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4488" w14:textId="77777777" w:rsidR="009260DE" w:rsidRPr="00D707F0" w:rsidRDefault="0021526C" w:rsidP="009260DE">
      <w:pPr>
        <w:rPr>
          <w:sz w:val="24"/>
          <w:szCs w:val="24"/>
        </w:rPr>
      </w:pPr>
      <w:r w:rsidRPr="00D707F0">
        <w:rPr>
          <w:noProof/>
          <w:sz w:val="24"/>
          <w:szCs w:val="24"/>
          <w:lang w:eastAsia="da-DK"/>
        </w:rPr>
        <w:drawing>
          <wp:anchor distT="0" distB="0" distL="114300" distR="114300" simplePos="0" relativeHeight="251658240" behindDoc="0" locked="0" layoutInCell="1" allowOverlap="1" wp14:anchorId="39B03908" wp14:editId="3888C7F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D707F0">
        <w:rPr>
          <w:sz w:val="24"/>
          <w:szCs w:val="24"/>
        </w:rPr>
        <w:br w:type="textWrapping" w:clear="all"/>
      </w:r>
    </w:p>
    <w:p w14:paraId="0C8D6549" w14:textId="4DDB5F43" w:rsidR="009260DE" w:rsidRPr="00D707F0" w:rsidRDefault="009260DE" w:rsidP="009260DE">
      <w:pPr>
        <w:pStyle w:val="Titel"/>
        <w:tabs>
          <w:tab w:val="right" w:pos="9356"/>
        </w:tabs>
        <w:jc w:val="left"/>
        <w:rPr>
          <w:b w:val="0"/>
          <w:szCs w:val="24"/>
          <w:lang w:eastAsia="en-US"/>
        </w:rPr>
      </w:pPr>
      <w:r w:rsidRPr="00D707F0">
        <w:rPr>
          <w:b w:val="0"/>
          <w:szCs w:val="24"/>
          <w:lang w:eastAsia="en-US"/>
        </w:rPr>
        <w:tab/>
      </w:r>
      <w:r w:rsidR="00D33520">
        <w:rPr>
          <w:szCs w:val="24"/>
        </w:rPr>
        <w:t>6. maj 2026</w:t>
      </w:r>
    </w:p>
    <w:p w14:paraId="277346B0" w14:textId="77777777" w:rsidR="009260DE" w:rsidRPr="00D707F0" w:rsidRDefault="009260DE" w:rsidP="009260DE">
      <w:pPr>
        <w:pStyle w:val="Titel"/>
        <w:tabs>
          <w:tab w:val="left" w:pos="8222"/>
        </w:tabs>
        <w:jc w:val="left"/>
        <w:rPr>
          <w:b w:val="0"/>
          <w:szCs w:val="24"/>
        </w:rPr>
      </w:pPr>
    </w:p>
    <w:p w14:paraId="0C6B8503" w14:textId="77777777" w:rsidR="009260DE" w:rsidRPr="00D707F0" w:rsidRDefault="009260DE" w:rsidP="009260DE">
      <w:pPr>
        <w:pStyle w:val="Titel"/>
        <w:jc w:val="left"/>
        <w:rPr>
          <w:b w:val="0"/>
          <w:szCs w:val="24"/>
        </w:rPr>
      </w:pPr>
    </w:p>
    <w:p w14:paraId="13DA8AFA" w14:textId="77777777" w:rsidR="009260DE" w:rsidRPr="00D707F0" w:rsidRDefault="009260DE" w:rsidP="009260DE">
      <w:pPr>
        <w:pStyle w:val="Titel"/>
        <w:jc w:val="left"/>
        <w:rPr>
          <w:b w:val="0"/>
          <w:szCs w:val="24"/>
        </w:rPr>
      </w:pPr>
    </w:p>
    <w:p w14:paraId="421245DA" w14:textId="77777777" w:rsidR="009260DE" w:rsidRPr="00D707F0" w:rsidRDefault="009260DE" w:rsidP="009260DE">
      <w:pPr>
        <w:jc w:val="center"/>
        <w:rPr>
          <w:b/>
          <w:sz w:val="24"/>
          <w:szCs w:val="24"/>
        </w:rPr>
      </w:pPr>
      <w:r w:rsidRPr="00D707F0">
        <w:rPr>
          <w:b/>
          <w:sz w:val="24"/>
          <w:szCs w:val="24"/>
        </w:rPr>
        <w:t>PRODUKTRESUMÉ</w:t>
      </w:r>
    </w:p>
    <w:p w14:paraId="520E9C67" w14:textId="77777777" w:rsidR="009260DE" w:rsidRPr="00D707F0" w:rsidRDefault="009260DE" w:rsidP="009260DE">
      <w:pPr>
        <w:jc w:val="center"/>
        <w:rPr>
          <w:b/>
          <w:sz w:val="24"/>
          <w:szCs w:val="24"/>
        </w:rPr>
      </w:pPr>
    </w:p>
    <w:p w14:paraId="1592FDF4" w14:textId="77777777" w:rsidR="009260DE" w:rsidRPr="00D707F0" w:rsidRDefault="009260DE" w:rsidP="009260DE">
      <w:pPr>
        <w:jc w:val="center"/>
        <w:rPr>
          <w:b/>
          <w:sz w:val="24"/>
          <w:szCs w:val="24"/>
        </w:rPr>
      </w:pPr>
      <w:r w:rsidRPr="00D707F0">
        <w:rPr>
          <w:b/>
          <w:sz w:val="24"/>
          <w:szCs w:val="24"/>
        </w:rPr>
        <w:t>for</w:t>
      </w:r>
    </w:p>
    <w:p w14:paraId="432527A6" w14:textId="77777777" w:rsidR="000B058C" w:rsidRPr="00D707F0" w:rsidRDefault="000B058C" w:rsidP="009260DE">
      <w:pPr>
        <w:jc w:val="center"/>
        <w:rPr>
          <w:b/>
          <w:sz w:val="24"/>
          <w:szCs w:val="24"/>
        </w:rPr>
      </w:pPr>
    </w:p>
    <w:p w14:paraId="036ED304" w14:textId="7EB12FB6" w:rsidR="009260DE" w:rsidRPr="00D707F0" w:rsidRDefault="005A1DB4" w:rsidP="009260DE">
      <w:pPr>
        <w:jc w:val="center"/>
        <w:rPr>
          <w:b/>
          <w:sz w:val="24"/>
          <w:szCs w:val="24"/>
        </w:rPr>
      </w:pPr>
      <w:proofErr w:type="spellStart"/>
      <w:r w:rsidRPr="00D707F0">
        <w:rPr>
          <w:b/>
          <w:sz w:val="24"/>
          <w:szCs w:val="24"/>
        </w:rPr>
        <w:t>Colistimethatnatrium</w:t>
      </w:r>
      <w:proofErr w:type="spellEnd"/>
      <w:r w:rsidRPr="00D707F0">
        <w:rPr>
          <w:b/>
          <w:sz w:val="24"/>
          <w:szCs w:val="24"/>
        </w:rPr>
        <w:t xml:space="preserve"> "</w:t>
      </w:r>
      <w:proofErr w:type="spellStart"/>
      <w:r w:rsidRPr="00D707F0">
        <w:rPr>
          <w:b/>
          <w:sz w:val="24"/>
          <w:szCs w:val="24"/>
        </w:rPr>
        <w:t>Xellia</w:t>
      </w:r>
      <w:proofErr w:type="spellEnd"/>
      <w:r w:rsidRPr="00D707F0">
        <w:rPr>
          <w:b/>
          <w:sz w:val="24"/>
          <w:szCs w:val="24"/>
        </w:rPr>
        <w:t xml:space="preserve">", pulver til opløsning til </w:t>
      </w:r>
      <w:proofErr w:type="spellStart"/>
      <w:r w:rsidRPr="00D707F0">
        <w:rPr>
          <w:b/>
          <w:sz w:val="24"/>
          <w:szCs w:val="24"/>
        </w:rPr>
        <w:t>nebulisator</w:t>
      </w:r>
      <w:proofErr w:type="spellEnd"/>
    </w:p>
    <w:p w14:paraId="4DA1ED69" w14:textId="77777777" w:rsidR="009260DE" w:rsidRPr="00D707F0" w:rsidRDefault="009260DE" w:rsidP="009260DE">
      <w:pPr>
        <w:jc w:val="both"/>
        <w:rPr>
          <w:sz w:val="24"/>
          <w:szCs w:val="24"/>
        </w:rPr>
      </w:pPr>
    </w:p>
    <w:p w14:paraId="581DAE62" w14:textId="77777777" w:rsidR="009260DE" w:rsidRPr="00D707F0" w:rsidRDefault="009260DE" w:rsidP="009260DE">
      <w:pPr>
        <w:jc w:val="both"/>
        <w:rPr>
          <w:sz w:val="24"/>
          <w:szCs w:val="24"/>
        </w:rPr>
      </w:pPr>
    </w:p>
    <w:p w14:paraId="05B7CC42" w14:textId="77777777" w:rsidR="009260DE" w:rsidRPr="00D707F0" w:rsidRDefault="009260DE" w:rsidP="009260DE">
      <w:pPr>
        <w:tabs>
          <w:tab w:val="left" w:pos="851"/>
        </w:tabs>
        <w:ind w:left="851" w:hanging="851"/>
        <w:rPr>
          <w:b/>
          <w:sz w:val="24"/>
          <w:szCs w:val="24"/>
        </w:rPr>
      </w:pPr>
      <w:r w:rsidRPr="00D707F0">
        <w:rPr>
          <w:b/>
          <w:sz w:val="24"/>
          <w:szCs w:val="24"/>
        </w:rPr>
        <w:t>0.</w:t>
      </w:r>
      <w:r w:rsidRPr="00D707F0">
        <w:rPr>
          <w:b/>
          <w:sz w:val="24"/>
          <w:szCs w:val="24"/>
        </w:rPr>
        <w:tab/>
        <w:t>D.SP.NR.</w:t>
      </w:r>
    </w:p>
    <w:p w14:paraId="7723AD9B" w14:textId="7B270629" w:rsidR="009260DE" w:rsidRPr="00D707F0" w:rsidRDefault="005A1DB4" w:rsidP="009260DE">
      <w:pPr>
        <w:tabs>
          <w:tab w:val="left" w:pos="851"/>
        </w:tabs>
        <w:ind w:left="851"/>
        <w:rPr>
          <w:sz w:val="24"/>
          <w:szCs w:val="24"/>
        </w:rPr>
      </w:pPr>
      <w:r w:rsidRPr="00D707F0">
        <w:rPr>
          <w:sz w:val="24"/>
          <w:szCs w:val="24"/>
        </w:rPr>
        <w:t>28358</w:t>
      </w:r>
    </w:p>
    <w:p w14:paraId="2EC804E7" w14:textId="77777777" w:rsidR="009260DE" w:rsidRPr="00D707F0" w:rsidRDefault="009260DE" w:rsidP="009260DE">
      <w:pPr>
        <w:tabs>
          <w:tab w:val="left" w:pos="851"/>
        </w:tabs>
        <w:ind w:left="851"/>
        <w:rPr>
          <w:sz w:val="24"/>
          <w:szCs w:val="24"/>
        </w:rPr>
      </w:pPr>
    </w:p>
    <w:p w14:paraId="4A70D37B" w14:textId="77777777" w:rsidR="009260DE" w:rsidRPr="00D707F0" w:rsidRDefault="009260DE" w:rsidP="009260DE">
      <w:pPr>
        <w:tabs>
          <w:tab w:val="left" w:pos="851"/>
        </w:tabs>
        <w:ind w:left="851" w:hanging="851"/>
        <w:rPr>
          <w:b/>
          <w:sz w:val="24"/>
          <w:szCs w:val="24"/>
        </w:rPr>
      </w:pPr>
      <w:r w:rsidRPr="00D707F0">
        <w:rPr>
          <w:b/>
          <w:sz w:val="24"/>
          <w:szCs w:val="24"/>
        </w:rPr>
        <w:t>1.</w:t>
      </w:r>
      <w:r w:rsidRPr="00D707F0">
        <w:rPr>
          <w:b/>
          <w:sz w:val="24"/>
          <w:szCs w:val="24"/>
        </w:rPr>
        <w:tab/>
        <w:t>LÆGEMIDLETS NAVN</w:t>
      </w:r>
    </w:p>
    <w:p w14:paraId="452BDD9F" w14:textId="47E5C185" w:rsidR="009260DE" w:rsidRPr="00D707F0" w:rsidRDefault="005A1DB4" w:rsidP="009260DE">
      <w:pPr>
        <w:tabs>
          <w:tab w:val="left" w:pos="851"/>
        </w:tabs>
        <w:ind w:left="851"/>
        <w:rPr>
          <w:sz w:val="24"/>
          <w:szCs w:val="24"/>
        </w:rPr>
      </w:pPr>
      <w:proofErr w:type="spellStart"/>
      <w:r w:rsidRPr="00D707F0">
        <w:rPr>
          <w:sz w:val="24"/>
          <w:szCs w:val="24"/>
        </w:rPr>
        <w:t>Colistimethatnatrium</w:t>
      </w:r>
      <w:proofErr w:type="spellEnd"/>
      <w:r w:rsidRPr="00D707F0">
        <w:rPr>
          <w:sz w:val="24"/>
          <w:szCs w:val="24"/>
        </w:rPr>
        <w:t xml:space="preserve"> "</w:t>
      </w:r>
      <w:proofErr w:type="spellStart"/>
      <w:r w:rsidRPr="00D707F0">
        <w:rPr>
          <w:sz w:val="24"/>
          <w:szCs w:val="24"/>
        </w:rPr>
        <w:t>Xellia</w:t>
      </w:r>
      <w:proofErr w:type="spellEnd"/>
      <w:r w:rsidRPr="00D707F0">
        <w:rPr>
          <w:sz w:val="24"/>
          <w:szCs w:val="24"/>
        </w:rPr>
        <w:t>"</w:t>
      </w:r>
    </w:p>
    <w:p w14:paraId="0E0FDEC2" w14:textId="77777777" w:rsidR="005A1DB4" w:rsidRPr="00D707F0" w:rsidRDefault="005A1DB4" w:rsidP="009260DE">
      <w:pPr>
        <w:tabs>
          <w:tab w:val="left" w:pos="851"/>
        </w:tabs>
        <w:ind w:left="851"/>
        <w:rPr>
          <w:sz w:val="24"/>
          <w:szCs w:val="24"/>
        </w:rPr>
      </w:pPr>
    </w:p>
    <w:p w14:paraId="3EE1E4B1" w14:textId="77777777" w:rsidR="009260DE" w:rsidRPr="00D707F0" w:rsidRDefault="009260DE" w:rsidP="009260DE">
      <w:pPr>
        <w:tabs>
          <w:tab w:val="left" w:pos="851"/>
        </w:tabs>
        <w:ind w:left="851" w:hanging="851"/>
        <w:rPr>
          <w:b/>
          <w:sz w:val="24"/>
          <w:szCs w:val="24"/>
        </w:rPr>
      </w:pPr>
      <w:r w:rsidRPr="00D707F0">
        <w:rPr>
          <w:b/>
          <w:sz w:val="24"/>
          <w:szCs w:val="24"/>
        </w:rPr>
        <w:t>2.</w:t>
      </w:r>
      <w:r w:rsidRPr="00D707F0">
        <w:rPr>
          <w:b/>
          <w:sz w:val="24"/>
          <w:szCs w:val="24"/>
        </w:rPr>
        <w:tab/>
        <w:t>KVALITATIV OG KVANTITATIV SAMMENSÆTNING</w:t>
      </w:r>
    </w:p>
    <w:p w14:paraId="5BC54950" w14:textId="77777777" w:rsidR="005A1DB4" w:rsidRPr="005A1DB4" w:rsidRDefault="005A1DB4" w:rsidP="000D10AE">
      <w:pPr>
        <w:ind w:left="851"/>
        <w:rPr>
          <w:bCs/>
          <w:sz w:val="24"/>
          <w:szCs w:val="24"/>
        </w:rPr>
      </w:pPr>
      <w:r w:rsidRPr="005A1DB4">
        <w:rPr>
          <w:sz w:val="24"/>
          <w:szCs w:val="24"/>
        </w:rPr>
        <w:t xml:space="preserve">Hvert hætteglas indeholder 1 million internationale enheder (IE) </w:t>
      </w:r>
      <w:bookmarkStart w:id="0" w:name="_Hlk228272981"/>
      <w:proofErr w:type="spellStart"/>
      <w:r w:rsidRPr="005A1DB4">
        <w:rPr>
          <w:sz w:val="24"/>
          <w:szCs w:val="24"/>
        </w:rPr>
        <w:t>colistimethatnatrium</w:t>
      </w:r>
      <w:bookmarkEnd w:id="0"/>
      <w:proofErr w:type="spellEnd"/>
      <w:r w:rsidRPr="005A1DB4">
        <w:rPr>
          <w:sz w:val="24"/>
          <w:szCs w:val="24"/>
        </w:rPr>
        <w:t xml:space="preserve">. </w:t>
      </w:r>
    </w:p>
    <w:p w14:paraId="137801EC" w14:textId="77777777" w:rsidR="009260DE" w:rsidRPr="00D707F0" w:rsidRDefault="009260DE" w:rsidP="009260DE">
      <w:pPr>
        <w:tabs>
          <w:tab w:val="left" w:pos="851"/>
        </w:tabs>
        <w:ind w:left="851"/>
        <w:rPr>
          <w:sz w:val="24"/>
          <w:szCs w:val="24"/>
        </w:rPr>
      </w:pPr>
    </w:p>
    <w:p w14:paraId="7DEE7C4B" w14:textId="77777777" w:rsidR="009260DE" w:rsidRPr="00D707F0" w:rsidRDefault="009260DE" w:rsidP="009260DE">
      <w:pPr>
        <w:tabs>
          <w:tab w:val="left" w:pos="851"/>
        </w:tabs>
        <w:ind w:left="851" w:hanging="851"/>
        <w:rPr>
          <w:b/>
          <w:sz w:val="24"/>
          <w:szCs w:val="24"/>
        </w:rPr>
      </w:pPr>
      <w:r w:rsidRPr="00D707F0">
        <w:rPr>
          <w:b/>
          <w:sz w:val="24"/>
          <w:szCs w:val="24"/>
        </w:rPr>
        <w:t>3.</w:t>
      </w:r>
      <w:r w:rsidRPr="00D707F0">
        <w:rPr>
          <w:b/>
          <w:sz w:val="24"/>
          <w:szCs w:val="24"/>
        </w:rPr>
        <w:tab/>
        <w:t>LÆGEMIDDELFORM</w:t>
      </w:r>
    </w:p>
    <w:p w14:paraId="50B6A399" w14:textId="77777777" w:rsidR="005A1DB4" w:rsidRPr="005A1DB4" w:rsidRDefault="005A1DB4" w:rsidP="000D10AE">
      <w:pPr>
        <w:ind w:left="851"/>
        <w:rPr>
          <w:sz w:val="24"/>
          <w:szCs w:val="24"/>
        </w:rPr>
      </w:pPr>
      <w:r w:rsidRPr="005A1DB4">
        <w:rPr>
          <w:sz w:val="24"/>
          <w:szCs w:val="24"/>
        </w:rPr>
        <w:t xml:space="preserve">Pulver til opløsning til </w:t>
      </w:r>
      <w:proofErr w:type="spellStart"/>
      <w:r w:rsidRPr="005A1DB4">
        <w:rPr>
          <w:sz w:val="24"/>
          <w:szCs w:val="24"/>
        </w:rPr>
        <w:t>nebulisator</w:t>
      </w:r>
      <w:proofErr w:type="spellEnd"/>
    </w:p>
    <w:p w14:paraId="09AF138E" w14:textId="77777777" w:rsidR="005A1DB4" w:rsidRPr="005A1DB4" w:rsidRDefault="005A1DB4" w:rsidP="000D10AE">
      <w:pPr>
        <w:ind w:left="851"/>
        <w:rPr>
          <w:sz w:val="24"/>
          <w:szCs w:val="24"/>
        </w:rPr>
      </w:pPr>
    </w:p>
    <w:p w14:paraId="1C8DE270" w14:textId="77777777" w:rsidR="005A1DB4" w:rsidRPr="005A1DB4" w:rsidRDefault="005A1DB4" w:rsidP="000D10AE">
      <w:pPr>
        <w:ind w:left="851"/>
        <w:rPr>
          <w:sz w:val="24"/>
          <w:szCs w:val="24"/>
        </w:rPr>
      </w:pPr>
      <w:r w:rsidRPr="005A1DB4">
        <w:rPr>
          <w:sz w:val="24"/>
          <w:szCs w:val="24"/>
        </w:rPr>
        <w:t>Hvidt til offwhite pulver.</w:t>
      </w:r>
    </w:p>
    <w:p w14:paraId="0166B6DF" w14:textId="77777777" w:rsidR="009260DE" w:rsidRPr="00D707F0" w:rsidRDefault="009260DE" w:rsidP="009260DE">
      <w:pPr>
        <w:tabs>
          <w:tab w:val="left" w:pos="851"/>
        </w:tabs>
        <w:ind w:left="851"/>
        <w:rPr>
          <w:sz w:val="24"/>
          <w:szCs w:val="24"/>
        </w:rPr>
      </w:pPr>
    </w:p>
    <w:p w14:paraId="5C823884" w14:textId="77777777" w:rsidR="009260DE" w:rsidRPr="00D707F0" w:rsidRDefault="009260DE" w:rsidP="009260DE">
      <w:pPr>
        <w:tabs>
          <w:tab w:val="left" w:pos="851"/>
        </w:tabs>
        <w:ind w:left="851"/>
        <w:rPr>
          <w:sz w:val="24"/>
          <w:szCs w:val="24"/>
        </w:rPr>
      </w:pPr>
    </w:p>
    <w:p w14:paraId="0ABEFFF1" w14:textId="77777777" w:rsidR="009260DE" w:rsidRPr="00D707F0" w:rsidRDefault="009260DE" w:rsidP="009260DE">
      <w:pPr>
        <w:tabs>
          <w:tab w:val="left" w:pos="851"/>
        </w:tabs>
        <w:ind w:left="851" w:hanging="851"/>
        <w:rPr>
          <w:b/>
          <w:sz w:val="24"/>
          <w:szCs w:val="24"/>
        </w:rPr>
      </w:pPr>
      <w:r w:rsidRPr="00D707F0">
        <w:rPr>
          <w:b/>
          <w:sz w:val="24"/>
          <w:szCs w:val="24"/>
        </w:rPr>
        <w:t>4.</w:t>
      </w:r>
      <w:r w:rsidRPr="00D707F0">
        <w:rPr>
          <w:b/>
          <w:sz w:val="24"/>
          <w:szCs w:val="24"/>
        </w:rPr>
        <w:tab/>
        <w:t>KLINISKE OPLYSNINGER</w:t>
      </w:r>
    </w:p>
    <w:p w14:paraId="5C6D7347" w14:textId="77777777" w:rsidR="009260DE" w:rsidRPr="00D707F0" w:rsidRDefault="009260DE" w:rsidP="009260DE">
      <w:pPr>
        <w:tabs>
          <w:tab w:val="left" w:pos="851"/>
        </w:tabs>
        <w:ind w:left="851"/>
        <w:rPr>
          <w:b/>
          <w:sz w:val="24"/>
          <w:szCs w:val="24"/>
        </w:rPr>
      </w:pPr>
    </w:p>
    <w:p w14:paraId="6DEC4381" w14:textId="77777777" w:rsidR="009260DE" w:rsidRPr="00D707F0" w:rsidRDefault="009260DE" w:rsidP="009260DE">
      <w:pPr>
        <w:tabs>
          <w:tab w:val="left" w:pos="851"/>
        </w:tabs>
        <w:ind w:left="851" w:hanging="851"/>
        <w:rPr>
          <w:b/>
          <w:sz w:val="24"/>
          <w:szCs w:val="24"/>
          <w:u w:val="single"/>
        </w:rPr>
      </w:pPr>
      <w:r w:rsidRPr="00D707F0">
        <w:rPr>
          <w:b/>
          <w:sz w:val="24"/>
          <w:szCs w:val="24"/>
        </w:rPr>
        <w:t>4.1</w:t>
      </w:r>
      <w:r w:rsidRPr="00D707F0">
        <w:rPr>
          <w:b/>
          <w:sz w:val="24"/>
          <w:szCs w:val="24"/>
        </w:rPr>
        <w:tab/>
        <w:t>Terapeutiske indikationer</w:t>
      </w:r>
    </w:p>
    <w:p w14:paraId="5B0FCB35" w14:textId="79B84620" w:rsidR="005A1DB4" w:rsidRPr="005A1DB4" w:rsidRDefault="005A1DB4" w:rsidP="000D10AE">
      <w:pPr>
        <w:ind w:left="851"/>
        <w:rPr>
          <w:sz w:val="24"/>
          <w:szCs w:val="24"/>
        </w:rPr>
      </w:pPr>
      <w:proofErr w:type="spellStart"/>
      <w:r w:rsidRPr="005A1DB4">
        <w:rPr>
          <w:sz w:val="24"/>
          <w:szCs w:val="24"/>
        </w:rPr>
        <w:t>Colistimethatnatrium</w:t>
      </w:r>
      <w:proofErr w:type="spellEnd"/>
      <w:r w:rsidRPr="005A1DB4">
        <w:rPr>
          <w:sz w:val="24"/>
          <w:szCs w:val="24"/>
        </w:rPr>
        <w:t xml:space="preserve"> </w:t>
      </w:r>
      <w:r w:rsidR="00D707F0">
        <w:rPr>
          <w:sz w:val="24"/>
          <w:szCs w:val="24"/>
        </w:rPr>
        <w:t>"</w:t>
      </w:r>
      <w:proofErr w:type="spellStart"/>
      <w:r w:rsidR="00D707F0">
        <w:rPr>
          <w:sz w:val="24"/>
          <w:szCs w:val="24"/>
        </w:rPr>
        <w:t>Xellia</w:t>
      </w:r>
      <w:proofErr w:type="spellEnd"/>
      <w:r w:rsidR="00D707F0">
        <w:rPr>
          <w:sz w:val="24"/>
          <w:szCs w:val="24"/>
        </w:rPr>
        <w:t>"</w:t>
      </w:r>
      <w:r w:rsidRPr="005A1DB4">
        <w:rPr>
          <w:sz w:val="24"/>
          <w:szCs w:val="24"/>
        </w:rPr>
        <w:t xml:space="preserve"> er indiceret til behandling af kroniske lungeinfektioner hos voksne og børn forårsaget af </w:t>
      </w:r>
      <w:proofErr w:type="spellStart"/>
      <w:r w:rsidRPr="005A1DB4">
        <w:rPr>
          <w:i/>
          <w:iCs/>
          <w:sz w:val="24"/>
          <w:szCs w:val="24"/>
        </w:rPr>
        <w:t>Pseudomonas</w:t>
      </w:r>
      <w:proofErr w:type="spellEnd"/>
      <w:r w:rsidRPr="005A1DB4">
        <w:rPr>
          <w:i/>
          <w:iCs/>
          <w:sz w:val="24"/>
          <w:szCs w:val="24"/>
        </w:rPr>
        <w:t xml:space="preserve"> </w:t>
      </w:r>
      <w:proofErr w:type="spellStart"/>
      <w:r w:rsidRPr="005A1DB4">
        <w:rPr>
          <w:i/>
          <w:iCs/>
          <w:sz w:val="24"/>
          <w:szCs w:val="24"/>
        </w:rPr>
        <w:t>aeruginosa</w:t>
      </w:r>
      <w:proofErr w:type="spellEnd"/>
      <w:r w:rsidRPr="005A1DB4">
        <w:rPr>
          <w:i/>
          <w:iCs/>
          <w:sz w:val="24"/>
          <w:szCs w:val="24"/>
        </w:rPr>
        <w:t xml:space="preserve"> </w:t>
      </w:r>
      <w:r w:rsidRPr="005A1DB4">
        <w:rPr>
          <w:sz w:val="24"/>
          <w:szCs w:val="24"/>
        </w:rPr>
        <w:t>hos patienter med cystisk fibrose (se pkt. 5.1).</w:t>
      </w:r>
    </w:p>
    <w:p w14:paraId="07F3878D" w14:textId="77777777" w:rsidR="005A1DB4" w:rsidRPr="005A1DB4" w:rsidRDefault="005A1DB4" w:rsidP="000D10AE">
      <w:pPr>
        <w:ind w:left="851"/>
        <w:rPr>
          <w:sz w:val="24"/>
          <w:szCs w:val="24"/>
        </w:rPr>
      </w:pPr>
    </w:p>
    <w:p w14:paraId="24A3D0CA" w14:textId="77777777" w:rsidR="005A1DB4" w:rsidRPr="005A1DB4" w:rsidRDefault="005A1DB4" w:rsidP="000D10AE">
      <w:pPr>
        <w:ind w:left="851"/>
        <w:rPr>
          <w:sz w:val="24"/>
          <w:szCs w:val="24"/>
        </w:rPr>
      </w:pPr>
      <w:r w:rsidRPr="005A1DB4">
        <w:rPr>
          <w:sz w:val="24"/>
          <w:szCs w:val="24"/>
        </w:rPr>
        <w:t>Der skal tages hensyn til officielle retningslinjer for hensigtsmæssig anvendelse af antibakterielle midler.</w:t>
      </w:r>
    </w:p>
    <w:p w14:paraId="7BBFD5C8" w14:textId="77777777" w:rsidR="009260DE" w:rsidRPr="00D707F0" w:rsidRDefault="009260DE" w:rsidP="009260DE">
      <w:pPr>
        <w:tabs>
          <w:tab w:val="left" w:pos="851"/>
        </w:tabs>
        <w:ind w:left="851"/>
        <w:rPr>
          <w:sz w:val="24"/>
          <w:szCs w:val="24"/>
        </w:rPr>
      </w:pPr>
    </w:p>
    <w:p w14:paraId="09794F99" w14:textId="77777777" w:rsidR="009260DE" w:rsidRPr="00D707F0" w:rsidRDefault="009260DE" w:rsidP="009260DE">
      <w:pPr>
        <w:tabs>
          <w:tab w:val="left" w:pos="851"/>
        </w:tabs>
        <w:ind w:left="851" w:hanging="851"/>
        <w:rPr>
          <w:b/>
          <w:sz w:val="24"/>
          <w:szCs w:val="24"/>
        </w:rPr>
      </w:pPr>
      <w:r w:rsidRPr="00D707F0">
        <w:rPr>
          <w:b/>
          <w:sz w:val="24"/>
          <w:szCs w:val="24"/>
        </w:rPr>
        <w:t>4.2</w:t>
      </w:r>
      <w:r w:rsidRPr="00D707F0">
        <w:rPr>
          <w:b/>
          <w:sz w:val="24"/>
          <w:szCs w:val="24"/>
        </w:rPr>
        <w:tab/>
        <w:t xml:space="preserve">Dosering og </w:t>
      </w:r>
      <w:r w:rsidR="002C1EC0" w:rsidRPr="00D707F0">
        <w:rPr>
          <w:b/>
          <w:sz w:val="24"/>
          <w:szCs w:val="24"/>
        </w:rPr>
        <w:t>administration</w:t>
      </w:r>
    </w:p>
    <w:p w14:paraId="6D837EAD" w14:textId="77777777" w:rsidR="005A1DB4" w:rsidRPr="005A1DB4" w:rsidRDefault="005A1DB4" w:rsidP="000D10AE">
      <w:pPr>
        <w:ind w:left="851"/>
        <w:rPr>
          <w:sz w:val="24"/>
          <w:szCs w:val="24"/>
        </w:rPr>
      </w:pPr>
      <w:r w:rsidRPr="005A1DB4">
        <w:rPr>
          <w:sz w:val="24"/>
          <w:szCs w:val="24"/>
        </w:rPr>
        <w:t xml:space="preserve">Det anbefales at administrere </w:t>
      </w:r>
      <w:proofErr w:type="spellStart"/>
      <w:r w:rsidRPr="005A1DB4">
        <w:rPr>
          <w:sz w:val="24"/>
          <w:szCs w:val="24"/>
        </w:rPr>
        <w:t>colistimethatnatrium</w:t>
      </w:r>
      <w:proofErr w:type="spellEnd"/>
      <w:r w:rsidRPr="005A1DB4">
        <w:rPr>
          <w:sz w:val="24"/>
          <w:szCs w:val="24"/>
        </w:rPr>
        <w:t xml:space="preserve"> (CMS) under opsyn af læger med passende erfaring i brugen.</w:t>
      </w:r>
    </w:p>
    <w:p w14:paraId="689F9B85" w14:textId="77777777" w:rsidR="005A1DB4" w:rsidRPr="005A1DB4" w:rsidRDefault="005A1DB4" w:rsidP="000D10AE">
      <w:pPr>
        <w:ind w:left="851"/>
        <w:rPr>
          <w:sz w:val="24"/>
          <w:szCs w:val="24"/>
        </w:rPr>
      </w:pPr>
    </w:p>
    <w:p w14:paraId="4E1E3414" w14:textId="77777777" w:rsidR="005A1DB4" w:rsidRPr="005A1DB4" w:rsidRDefault="005A1DB4" w:rsidP="000D10AE">
      <w:pPr>
        <w:ind w:left="851"/>
        <w:rPr>
          <w:sz w:val="24"/>
          <w:szCs w:val="24"/>
          <w:u w:val="single"/>
        </w:rPr>
      </w:pPr>
      <w:r w:rsidRPr="005A1DB4">
        <w:rPr>
          <w:sz w:val="24"/>
          <w:szCs w:val="24"/>
          <w:u w:val="single"/>
        </w:rPr>
        <w:t>Dosering</w:t>
      </w:r>
    </w:p>
    <w:p w14:paraId="77C0B948" w14:textId="77777777" w:rsidR="005A1DB4" w:rsidRPr="005A1DB4" w:rsidRDefault="005A1DB4" w:rsidP="000D10AE">
      <w:pPr>
        <w:ind w:left="851"/>
        <w:rPr>
          <w:sz w:val="24"/>
          <w:szCs w:val="24"/>
        </w:rPr>
      </w:pPr>
      <w:r w:rsidRPr="005A1DB4">
        <w:rPr>
          <w:sz w:val="24"/>
          <w:szCs w:val="24"/>
        </w:rPr>
        <w:t>Dosis kan justeres afhængigt af tilstandens sværhedsgrad og det kliniske respons.</w:t>
      </w:r>
    </w:p>
    <w:p w14:paraId="3790ED14" w14:textId="3F55685C" w:rsidR="00F23072" w:rsidRDefault="00F23072">
      <w:pPr>
        <w:rPr>
          <w:sz w:val="24"/>
          <w:szCs w:val="24"/>
        </w:rPr>
      </w:pPr>
      <w:r>
        <w:rPr>
          <w:sz w:val="24"/>
          <w:szCs w:val="24"/>
        </w:rPr>
        <w:br w:type="page"/>
      </w:r>
    </w:p>
    <w:p w14:paraId="4A915827" w14:textId="77777777" w:rsidR="005A1DB4" w:rsidRPr="005A1DB4" w:rsidRDefault="005A1DB4" w:rsidP="000D10AE">
      <w:pPr>
        <w:ind w:left="851"/>
        <w:rPr>
          <w:sz w:val="24"/>
          <w:szCs w:val="24"/>
        </w:rPr>
      </w:pPr>
    </w:p>
    <w:p w14:paraId="4DE3DDB9" w14:textId="77777777" w:rsidR="005A1DB4" w:rsidRPr="005A1DB4" w:rsidRDefault="005A1DB4" w:rsidP="000D10AE">
      <w:pPr>
        <w:ind w:left="851"/>
        <w:rPr>
          <w:sz w:val="24"/>
          <w:szCs w:val="24"/>
        </w:rPr>
      </w:pPr>
      <w:r w:rsidRPr="005A1DB4">
        <w:rPr>
          <w:sz w:val="24"/>
          <w:szCs w:val="24"/>
        </w:rPr>
        <w:t>Anbefalet dosisinterval:</w:t>
      </w:r>
    </w:p>
    <w:p w14:paraId="39BDEAA8" w14:textId="77777777" w:rsidR="005A1DB4" w:rsidRPr="005A1DB4" w:rsidRDefault="005A1DB4" w:rsidP="000D10AE">
      <w:pPr>
        <w:ind w:left="851"/>
        <w:rPr>
          <w:sz w:val="24"/>
          <w:szCs w:val="24"/>
        </w:rPr>
      </w:pPr>
    </w:p>
    <w:p w14:paraId="45E010D0" w14:textId="77777777" w:rsidR="005A1DB4" w:rsidRPr="005A1DB4" w:rsidRDefault="005A1DB4" w:rsidP="000D10AE">
      <w:pPr>
        <w:ind w:left="851"/>
        <w:rPr>
          <w:i/>
          <w:iCs/>
          <w:sz w:val="24"/>
          <w:szCs w:val="24"/>
        </w:rPr>
      </w:pPr>
      <w:r w:rsidRPr="005A1DB4">
        <w:rPr>
          <w:i/>
          <w:sz w:val="24"/>
          <w:szCs w:val="24"/>
        </w:rPr>
        <w:t>Administration via inhalation</w:t>
      </w:r>
    </w:p>
    <w:p w14:paraId="3FF1D6FA" w14:textId="77777777" w:rsidR="005A1DB4" w:rsidRPr="005A1DB4" w:rsidRDefault="005A1DB4" w:rsidP="000D10AE">
      <w:pPr>
        <w:ind w:left="851"/>
        <w:rPr>
          <w:i/>
          <w:iCs/>
          <w:sz w:val="24"/>
          <w:szCs w:val="24"/>
        </w:rPr>
      </w:pPr>
    </w:p>
    <w:p w14:paraId="3BD0FF60" w14:textId="77777777" w:rsidR="005A1DB4" w:rsidRPr="005A1DB4" w:rsidRDefault="005A1DB4" w:rsidP="000D10AE">
      <w:pPr>
        <w:ind w:left="851"/>
        <w:rPr>
          <w:i/>
          <w:iCs/>
          <w:sz w:val="24"/>
          <w:szCs w:val="24"/>
        </w:rPr>
      </w:pPr>
      <w:r w:rsidRPr="005A1DB4">
        <w:rPr>
          <w:i/>
          <w:sz w:val="24"/>
          <w:szCs w:val="24"/>
        </w:rPr>
        <w:t>Voksne, unge og børn ≥ 2 år</w:t>
      </w:r>
    </w:p>
    <w:p w14:paraId="5BE1D573" w14:textId="77777777" w:rsidR="005A1DB4" w:rsidRPr="005A1DB4" w:rsidRDefault="005A1DB4" w:rsidP="000D10AE">
      <w:pPr>
        <w:ind w:left="851"/>
        <w:rPr>
          <w:sz w:val="24"/>
          <w:szCs w:val="24"/>
        </w:rPr>
      </w:pPr>
      <w:r w:rsidRPr="005A1DB4">
        <w:rPr>
          <w:sz w:val="24"/>
          <w:szCs w:val="24"/>
        </w:rPr>
        <w:t>1</w:t>
      </w:r>
      <w:r w:rsidRPr="005A1DB4">
        <w:rPr>
          <w:sz w:val="24"/>
          <w:szCs w:val="24"/>
        </w:rPr>
        <w:noBreakHyphen/>
        <w:t>2 MIE to til tre gange om dagen (højst 6 MIE/dag)</w:t>
      </w:r>
    </w:p>
    <w:p w14:paraId="01C672E0" w14:textId="77777777" w:rsidR="005A1DB4" w:rsidRPr="005A1DB4" w:rsidRDefault="005A1DB4" w:rsidP="000D10AE">
      <w:pPr>
        <w:ind w:left="851"/>
        <w:rPr>
          <w:sz w:val="24"/>
          <w:szCs w:val="24"/>
        </w:rPr>
      </w:pPr>
    </w:p>
    <w:p w14:paraId="3531A38A" w14:textId="77777777" w:rsidR="005A1DB4" w:rsidRPr="005A1DB4" w:rsidRDefault="005A1DB4" w:rsidP="000D10AE">
      <w:pPr>
        <w:ind w:left="851"/>
        <w:rPr>
          <w:i/>
          <w:iCs/>
          <w:sz w:val="24"/>
          <w:szCs w:val="24"/>
        </w:rPr>
      </w:pPr>
      <w:r w:rsidRPr="005A1DB4">
        <w:rPr>
          <w:i/>
          <w:sz w:val="24"/>
          <w:szCs w:val="24"/>
        </w:rPr>
        <w:t>Børn &lt; 2 år</w:t>
      </w:r>
    </w:p>
    <w:p w14:paraId="4C5BA666" w14:textId="77777777" w:rsidR="005A1DB4" w:rsidRPr="005A1DB4" w:rsidRDefault="005A1DB4" w:rsidP="000D10AE">
      <w:pPr>
        <w:ind w:left="851"/>
        <w:rPr>
          <w:sz w:val="24"/>
          <w:szCs w:val="24"/>
        </w:rPr>
      </w:pPr>
      <w:r w:rsidRPr="005A1DB4">
        <w:rPr>
          <w:sz w:val="24"/>
          <w:szCs w:val="24"/>
        </w:rPr>
        <w:t>0,5</w:t>
      </w:r>
      <w:r w:rsidRPr="005A1DB4">
        <w:rPr>
          <w:sz w:val="24"/>
          <w:szCs w:val="24"/>
        </w:rPr>
        <w:noBreakHyphen/>
        <w:t>1 MIE to gange om dagen (højst 2 MIE/dag)</w:t>
      </w:r>
    </w:p>
    <w:p w14:paraId="730B698C" w14:textId="77777777" w:rsidR="005A1DB4" w:rsidRPr="005A1DB4" w:rsidRDefault="005A1DB4" w:rsidP="000D10AE">
      <w:pPr>
        <w:ind w:left="851"/>
        <w:rPr>
          <w:sz w:val="24"/>
          <w:szCs w:val="24"/>
        </w:rPr>
      </w:pPr>
    </w:p>
    <w:p w14:paraId="17DD1F8A" w14:textId="77777777" w:rsidR="005A1DB4" w:rsidRPr="005A1DB4" w:rsidRDefault="005A1DB4" w:rsidP="000D10AE">
      <w:pPr>
        <w:ind w:left="851"/>
        <w:rPr>
          <w:sz w:val="24"/>
          <w:szCs w:val="24"/>
        </w:rPr>
      </w:pPr>
      <w:r w:rsidRPr="005A1DB4">
        <w:rPr>
          <w:sz w:val="24"/>
          <w:szCs w:val="24"/>
        </w:rPr>
        <w:t>Relevant klinisk vejledning om behandlingsplaner, herunder behandlingsvarighed, hyppighed og samtidig administration af andre antibakterielle midler, skal overholdes.</w:t>
      </w:r>
    </w:p>
    <w:p w14:paraId="190FB864" w14:textId="77777777" w:rsidR="005A1DB4" w:rsidRPr="005A1DB4" w:rsidRDefault="005A1DB4" w:rsidP="000D10AE">
      <w:pPr>
        <w:ind w:left="851"/>
        <w:rPr>
          <w:sz w:val="24"/>
          <w:szCs w:val="24"/>
        </w:rPr>
      </w:pPr>
    </w:p>
    <w:p w14:paraId="0B21A435" w14:textId="77777777" w:rsidR="005A1DB4" w:rsidRPr="005A1DB4" w:rsidRDefault="005A1DB4" w:rsidP="000D10AE">
      <w:pPr>
        <w:ind w:left="851"/>
        <w:rPr>
          <w:i/>
          <w:iCs/>
          <w:sz w:val="24"/>
          <w:szCs w:val="24"/>
        </w:rPr>
      </w:pPr>
      <w:r w:rsidRPr="005A1DB4">
        <w:rPr>
          <w:i/>
          <w:sz w:val="24"/>
          <w:szCs w:val="24"/>
        </w:rPr>
        <w:t>Ældre</w:t>
      </w:r>
    </w:p>
    <w:p w14:paraId="24A52A7F" w14:textId="77777777" w:rsidR="005A1DB4" w:rsidRPr="005A1DB4" w:rsidRDefault="005A1DB4" w:rsidP="000D10AE">
      <w:pPr>
        <w:ind w:left="851"/>
        <w:rPr>
          <w:sz w:val="24"/>
          <w:szCs w:val="24"/>
        </w:rPr>
      </w:pPr>
      <w:r w:rsidRPr="005A1DB4">
        <w:rPr>
          <w:sz w:val="24"/>
          <w:szCs w:val="24"/>
        </w:rPr>
        <w:t>Dosisjustering anses ikke for at være nødvendig.</w:t>
      </w:r>
    </w:p>
    <w:p w14:paraId="6F5C082D" w14:textId="77777777" w:rsidR="005A1DB4" w:rsidRPr="005A1DB4" w:rsidRDefault="005A1DB4" w:rsidP="000D10AE">
      <w:pPr>
        <w:ind w:left="851"/>
        <w:rPr>
          <w:sz w:val="24"/>
          <w:szCs w:val="24"/>
        </w:rPr>
      </w:pPr>
    </w:p>
    <w:p w14:paraId="38B28F79" w14:textId="77777777" w:rsidR="005A1DB4" w:rsidRPr="005A1DB4" w:rsidRDefault="005A1DB4" w:rsidP="000D10AE">
      <w:pPr>
        <w:ind w:left="851"/>
        <w:rPr>
          <w:i/>
          <w:iCs/>
          <w:sz w:val="24"/>
          <w:szCs w:val="24"/>
        </w:rPr>
      </w:pPr>
      <w:r w:rsidRPr="005A1DB4">
        <w:rPr>
          <w:i/>
          <w:sz w:val="24"/>
          <w:szCs w:val="24"/>
        </w:rPr>
        <w:t>Nedsat nyrefunktion</w:t>
      </w:r>
    </w:p>
    <w:p w14:paraId="3536E8CE" w14:textId="77777777" w:rsidR="005A1DB4" w:rsidRPr="005A1DB4" w:rsidRDefault="005A1DB4" w:rsidP="000D10AE">
      <w:pPr>
        <w:ind w:left="851"/>
        <w:rPr>
          <w:sz w:val="24"/>
          <w:szCs w:val="24"/>
        </w:rPr>
      </w:pPr>
      <w:r w:rsidRPr="005A1DB4">
        <w:rPr>
          <w:sz w:val="24"/>
          <w:szCs w:val="24"/>
        </w:rPr>
        <w:t>Dosisjustering anses ikke for at være nødvendig, men forsigtighed tilrådes hos patienter med nedsat nyrefunktion (se pkt. 4.4 og 5.2).</w:t>
      </w:r>
    </w:p>
    <w:p w14:paraId="168DE421" w14:textId="77777777" w:rsidR="005A1DB4" w:rsidRPr="005A1DB4" w:rsidRDefault="005A1DB4" w:rsidP="000D10AE">
      <w:pPr>
        <w:ind w:left="851"/>
        <w:rPr>
          <w:sz w:val="24"/>
          <w:szCs w:val="24"/>
        </w:rPr>
      </w:pPr>
    </w:p>
    <w:p w14:paraId="5C758FCB" w14:textId="77777777" w:rsidR="005A1DB4" w:rsidRPr="005A1DB4" w:rsidRDefault="005A1DB4" w:rsidP="000D10AE">
      <w:pPr>
        <w:ind w:left="851"/>
        <w:rPr>
          <w:i/>
          <w:iCs/>
          <w:sz w:val="24"/>
          <w:szCs w:val="24"/>
        </w:rPr>
      </w:pPr>
      <w:r w:rsidRPr="005A1DB4">
        <w:rPr>
          <w:i/>
          <w:sz w:val="24"/>
          <w:szCs w:val="24"/>
        </w:rPr>
        <w:t>Nedsat leverfunktion</w:t>
      </w:r>
    </w:p>
    <w:p w14:paraId="251A355D" w14:textId="77777777" w:rsidR="005A1DB4" w:rsidRPr="005A1DB4" w:rsidRDefault="005A1DB4" w:rsidP="000D10AE">
      <w:pPr>
        <w:ind w:left="851"/>
        <w:rPr>
          <w:sz w:val="24"/>
          <w:szCs w:val="24"/>
        </w:rPr>
      </w:pPr>
      <w:r w:rsidRPr="005A1DB4">
        <w:rPr>
          <w:sz w:val="24"/>
          <w:szCs w:val="24"/>
        </w:rPr>
        <w:t>Dosisjustering anses ikke for at være nødvendig.</w:t>
      </w:r>
    </w:p>
    <w:p w14:paraId="797E09B9" w14:textId="77777777" w:rsidR="005A1DB4" w:rsidRPr="005A1DB4" w:rsidRDefault="005A1DB4" w:rsidP="000D10AE">
      <w:pPr>
        <w:ind w:left="851"/>
        <w:rPr>
          <w:bCs/>
          <w:sz w:val="24"/>
          <w:szCs w:val="24"/>
        </w:rPr>
      </w:pPr>
    </w:p>
    <w:p w14:paraId="7347EF59" w14:textId="77777777" w:rsidR="005A1DB4" w:rsidRPr="005A1DB4" w:rsidRDefault="005A1DB4" w:rsidP="000D10AE">
      <w:pPr>
        <w:ind w:left="851"/>
        <w:rPr>
          <w:bCs/>
          <w:sz w:val="24"/>
          <w:szCs w:val="24"/>
          <w:u w:val="single"/>
        </w:rPr>
      </w:pPr>
      <w:r w:rsidRPr="005A1DB4">
        <w:rPr>
          <w:sz w:val="24"/>
          <w:szCs w:val="24"/>
          <w:u w:val="single"/>
        </w:rPr>
        <w:t>Administration</w:t>
      </w:r>
    </w:p>
    <w:p w14:paraId="29B60DF6" w14:textId="77777777" w:rsidR="005A1DB4" w:rsidRPr="005A1DB4" w:rsidRDefault="005A1DB4" w:rsidP="000D10AE">
      <w:pPr>
        <w:ind w:left="851"/>
        <w:rPr>
          <w:bCs/>
          <w:sz w:val="24"/>
          <w:szCs w:val="24"/>
        </w:rPr>
      </w:pPr>
      <w:r w:rsidRPr="005A1DB4">
        <w:rPr>
          <w:sz w:val="24"/>
          <w:szCs w:val="24"/>
        </w:rPr>
        <w:t>Til inhalation.</w:t>
      </w:r>
    </w:p>
    <w:p w14:paraId="48426E1C" w14:textId="77777777" w:rsidR="005A1DB4" w:rsidRPr="005A1DB4" w:rsidRDefault="005A1DB4" w:rsidP="000D10AE">
      <w:pPr>
        <w:ind w:left="851"/>
        <w:rPr>
          <w:sz w:val="24"/>
          <w:szCs w:val="24"/>
        </w:rPr>
      </w:pPr>
      <w:r w:rsidRPr="005A1DB4">
        <w:rPr>
          <w:sz w:val="24"/>
          <w:szCs w:val="24"/>
        </w:rPr>
        <w:t xml:space="preserve">Egnede </w:t>
      </w:r>
      <w:proofErr w:type="spellStart"/>
      <w:r w:rsidRPr="005A1DB4">
        <w:rPr>
          <w:sz w:val="24"/>
          <w:szCs w:val="24"/>
        </w:rPr>
        <w:t>nebulisatorer</w:t>
      </w:r>
      <w:proofErr w:type="spellEnd"/>
      <w:r w:rsidRPr="005A1DB4">
        <w:rPr>
          <w:sz w:val="24"/>
          <w:szCs w:val="24"/>
        </w:rPr>
        <w:t xml:space="preserve"> er både jetforstøvere, herunder PARI LC PLUS eller PARI LC SPRINT, som anvendes med en egnet kompressor, og </w:t>
      </w:r>
      <w:proofErr w:type="spellStart"/>
      <w:r w:rsidRPr="005A1DB4">
        <w:rPr>
          <w:sz w:val="24"/>
          <w:szCs w:val="24"/>
        </w:rPr>
        <w:t>membrannebulisatorer</w:t>
      </w:r>
      <w:proofErr w:type="spellEnd"/>
      <w:r w:rsidRPr="005A1DB4">
        <w:rPr>
          <w:sz w:val="24"/>
          <w:szCs w:val="24"/>
        </w:rPr>
        <w:t xml:space="preserve">, dvs. </w:t>
      </w:r>
      <w:proofErr w:type="spellStart"/>
      <w:r w:rsidRPr="005A1DB4">
        <w:rPr>
          <w:sz w:val="24"/>
          <w:szCs w:val="24"/>
        </w:rPr>
        <w:t>eFlow</w:t>
      </w:r>
      <w:proofErr w:type="spellEnd"/>
      <w:r w:rsidRPr="005A1DB4">
        <w:rPr>
          <w:sz w:val="24"/>
          <w:szCs w:val="24"/>
        </w:rPr>
        <w:t xml:space="preserve"> rapid.</w:t>
      </w:r>
    </w:p>
    <w:p w14:paraId="3786F68C" w14:textId="77777777" w:rsidR="005A1DB4" w:rsidRPr="005A1DB4" w:rsidRDefault="005A1DB4" w:rsidP="000D10AE">
      <w:pPr>
        <w:ind w:left="851"/>
        <w:rPr>
          <w:sz w:val="24"/>
          <w:szCs w:val="24"/>
        </w:rPr>
      </w:pPr>
    </w:p>
    <w:p w14:paraId="4FAD328C" w14:textId="5A1992A6" w:rsidR="005A1DB4" w:rsidRPr="005A1DB4" w:rsidRDefault="005A1DB4" w:rsidP="000D10AE">
      <w:pPr>
        <w:ind w:left="851"/>
        <w:rPr>
          <w:sz w:val="24"/>
          <w:szCs w:val="24"/>
        </w:rPr>
      </w:pPr>
      <w:r w:rsidRPr="005A1DB4">
        <w:rPr>
          <w:sz w:val="24"/>
          <w:szCs w:val="24"/>
        </w:rPr>
        <w:t xml:space="preserve">Som nævnt ovenfor er </w:t>
      </w:r>
      <w:proofErr w:type="spellStart"/>
      <w:r w:rsidRPr="005A1DB4">
        <w:rPr>
          <w:sz w:val="24"/>
          <w:szCs w:val="24"/>
        </w:rPr>
        <w:t>Colistimethatnatrium</w:t>
      </w:r>
      <w:proofErr w:type="spellEnd"/>
      <w:r w:rsidRPr="005A1DB4">
        <w:rPr>
          <w:sz w:val="24"/>
          <w:szCs w:val="24"/>
        </w:rPr>
        <w:t xml:space="preserve"> </w:t>
      </w:r>
      <w:r w:rsidR="00D707F0">
        <w:rPr>
          <w:sz w:val="24"/>
          <w:szCs w:val="24"/>
        </w:rPr>
        <w:t>"</w:t>
      </w:r>
      <w:proofErr w:type="spellStart"/>
      <w:r w:rsidR="00D707F0">
        <w:rPr>
          <w:sz w:val="24"/>
          <w:szCs w:val="24"/>
        </w:rPr>
        <w:t>Xellia</w:t>
      </w:r>
      <w:proofErr w:type="spellEnd"/>
      <w:r w:rsidR="00D707F0">
        <w:rPr>
          <w:sz w:val="24"/>
          <w:szCs w:val="24"/>
        </w:rPr>
        <w:t>"</w:t>
      </w:r>
      <w:r w:rsidRPr="005A1DB4">
        <w:rPr>
          <w:sz w:val="24"/>
          <w:szCs w:val="24"/>
        </w:rPr>
        <w:t xml:space="preserve"> beregnet til administration via </w:t>
      </w:r>
      <w:proofErr w:type="spellStart"/>
      <w:r w:rsidRPr="005A1DB4">
        <w:rPr>
          <w:sz w:val="24"/>
          <w:szCs w:val="24"/>
        </w:rPr>
        <w:t>nebulisering</w:t>
      </w:r>
      <w:proofErr w:type="spellEnd"/>
      <w:r w:rsidRPr="005A1DB4">
        <w:rPr>
          <w:sz w:val="24"/>
          <w:szCs w:val="24"/>
        </w:rPr>
        <w:t xml:space="preserve"> med en egnet </w:t>
      </w:r>
      <w:proofErr w:type="spellStart"/>
      <w:r w:rsidRPr="005A1DB4">
        <w:rPr>
          <w:sz w:val="24"/>
          <w:szCs w:val="24"/>
        </w:rPr>
        <w:t>nebulisator</w:t>
      </w:r>
      <w:proofErr w:type="spellEnd"/>
      <w:r w:rsidRPr="005A1DB4">
        <w:rPr>
          <w:sz w:val="24"/>
          <w:szCs w:val="24"/>
        </w:rPr>
        <w:t>.</w:t>
      </w:r>
    </w:p>
    <w:p w14:paraId="42790EF5" w14:textId="77777777" w:rsidR="005A1DB4" w:rsidRPr="005A1DB4" w:rsidRDefault="005A1DB4" w:rsidP="000D10AE">
      <w:pPr>
        <w:ind w:left="851"/>
        <w:rPr>
          <w:sz w:val="24"/>
          <w:szCs w:val="24"/>
        </w:rPr>
      </w:pPr>
    </w:p>
    <w:p w14:paraId="393FAEA3" w14:textId="77777777" w:rsidR="005A1DB4" w:rsidRPr="005A1DB4" w:rsidRDefault="005A1DB4" w:rsidP="000D10AE">
      <w:pPr>
        <w:ind w:left="851"/>
        <w:rPr>
          <w:sz w:val="24"/>
          <w:szCs w:val="24"/>
        </w:rPr>
      </w:pPr>
      <w:r w:rsidRPr="005A1DB4">
        <w:rPr>
          <w:sz w:val="24"/>
          <w:szCs w:val="24"/>
        </w:rPr>
        <w:t xml:space="preserve">Lægemiddelafgivelseskarakteristika fra </w:t>
      </w:r>
      <w:r w:rsidRPr="005A1DB4">
        <w:rPr>
          <w:i/>
          <w:sz w:val="24"/>
          <w:szCs w:val="24"/>
        </w:rPr>
        <w:t>in </w:t>
      </w:r>
      <w:proofErr w:type="spellStart"/>
      <w:r w:rsidRPr="005A1DB4">
        <w:rPr>
          <w:i/>
          <w:sz w:val="24"/>
          <w:szCs w:val="24"/>
        </w:rPr>
        <w:t>vitro</w:t>
      </w:r>
      <w:proofErr w:type="spellEnd"/>
      <w:r w:rsidRPr="005A1DB4">
        <w:rPr>
          <w:sz w:val="24"/>
          <w:szCs w:val="24"/>
        </w:rPr>
        <w:t xml:space="preserve">-studier med de forskellige </w:t>
      </w:r>
      <w:proofErr w:type="spellStart"/>
      <w:r w:rsidRPr="005A1DB4">
        <w:rPr>
          <w:sz w:val="24"/>
          <w:szCs w:val="24"/>
        </w:rPr>
        <w:t>nebulisatorsystemer</w:t>
      </w:r>
      <w:proofErr w:type="spellEnd"/>
      <w:r w:rsidRPr="005A1DB4">
        <w:rPr>
          <w:sz w:val="24"/>
          <w:szCs w:val="24"/>
        </w:rPr>
        <w:t xml:space="preserve"> er beskrevet i tabellen nedenfor:</w:t>
      </w:r>
    </w:p>
    <w:p w14:paraId="5B1B70B0" w14:textId="77777777" w:rsidR="005A1DB4" w:rsidRPr="005A1DB4" w:rsidRDefault="005A1DB4" w:rsidP="005A1DB4">
      <w:pPr>
        <w:tabs>
          <w:tab w:val="left" w:pos="851"/>
        </w:tabs>
        <w:ind w:left="851"/>
        <w:rPr>
          <w:sz w:val="24"/>
          <w:szCs w:val="24"/>
        </w:rPr>
      </w:pPr>
    </w:p>
    <w:tbl>
      <w:tblPr>
        <w:tblW w:w="5000" w:type="pct"/>
        <w:tblCellMar>
          <w:left w:w="0" w:type="dxa"/>
          <w:right w:w="0" w:type="dxa"/>
        </w:tblCellMar>
        <w:tblLook w:val="04A0" w:firstRow="1" w:lastRow="0" w:firstColumn="1" w:lastColumn="0" w:noHBand="0" w:noVBand="1"/>
      </w:tblPr>
      <w:tblGrid>
        <w:gridCol w:w="5226"/>
        <w:gridCol w:w="1535"/>
        <w:gridCol w:w="1498"/>
        <w:gridCol w:w="1369"/>
      </w:tblGrid>
      <w:tr w:rsidR="005A1DB4" w:rsidRPr="005A1DB4" w14:paraId="31C3EB6B" w14:textId="77777777" w:rsidTr="000D10AE">
        <w:tc>
          <w:tcPr>
            <w:tcW w:w="27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F0919" w14:textId="77777777" w:rsidR="005A1DB4" w:rsidRPr="005A1DB4" w:rsidRDefault="005A1DB4" w:rsidP="000D10AE">
            <w:pPr>
              <w:ind w:left="64"/>
              <w:rPr>
                <w:sz w:val="24"/>
                <w:szCs w:val="24"/>
              </w:rPr>
            </w:pPr>
          </w:p>
        </w:tc>
        <w:tc>
          <w:tcPr>
            <w:tcW w:w="228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CD2E9" w14:textId="77777777" w:rsidR="005A1DB4" w:rsidRPr="005A1DB4" w:rsidRDefault="005A1DB4" w:rsidP="000D10AE">
            <w:pPr>
              <w:ind w:left="103"/>
              <w:rPr>
                <w:sz w:val="24"/>
                <w:szCs w:val="24"/>
              </w:rPr>
            </w:pPr>
            <w:proofErr w:type="spellStart"/>
            <w:r w:rsidRPr="005A1DB4">
              <w:rPr>
                <w:sz w:val="24"/>
                <w:szCs w:val="24"/>
              </w:rPr>
              <w:t>Nebulisatorsystem</w:t>
            </w:r>
            <w:proofErr w:type="spellEnd"/>
          </w:p>
        </w:tc>
      </w:tr>
      <w:tr w:rsidR="005A1DB4" w:rsidRPr="005A1DB4" w14:paraId="63D61D96" w14:textId="77777777" w:rsidTr="000D10AE">
        <w:tc>
          <w:tcPr>
            <w:tcW w:w="27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B393E" w14:textId="77777777" w:rsidR="005A1DB4" w:rsidRPr="005A1DB4" w:rsidRDefault="005A1DB4" w:rsidP="000D10AE">
            <w:pPr>
              <w:ind w:left="64"/>
              <w:rPr>
                <w:sz w:val="24"/>
                <w:szCs w:val="24"/>
              </w:rPr>
            </w:pPr>
            <w:r w:rsidRPr="005A1DB4">
              <w:rPr>
                <w:sz w:val="24"/>
                <w:szCs w:val="24"/>
              </w:rPr>
              <w:t>Parameter</w:t>
            </w: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FE367" w14:textId="77777777" w:rsidR="005A1DB4" w:rsidRPr="005A1DB4" w:rsidRDefault="005A1DB4" w:rsidP="000D10AE">
            <w:pPr>
              <w:ind w:left="103"/>
              <w:rPr>
                <w:sz w:val="24"/>
                <w:szCs w:val="24"/>
              </w:rPr>
            </w:pPr>
            <w:r w:rsidRPr="005A1DB4">
              <w:rPr>
                <w:sz w:val="24"/>
                <w:szCs w:val="24"/>
              </w:rPr>
              <w:t>PARI LC PLUS</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03C521" w14:textId="77777777" w:rsidR="005A1DB4" w:rsidRPr="005A1DB4" w:rsidRDefault="005A1DB4" w:rsidP="000D10AE">
            <w:pPr>
              <w:ind w:left="103"/>
              <w:rPr>
                <w:sz w:val="24"/>
                <w:szCs w:val="24"/>
              </w:rPr>
            </w:pPr>
            <w:r w:rsidRPr="005A1DB4">
              <w:rPr>
                <w:sz w:val="24"/>
                <w:szCs w:val="24"/>
              </w:rPr>
              <w:t>PARI LC SPRINT</w:t>
            </w:r>
          </w:p>
        </w:tc>
        <w:tc>
          <w:tcPr>
            <w:tcW w:w="7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E4D3E" w14:textId="77777777" w:rsidR="005A1DB4" w:rsidRPr="005A1DB4" w:rsidRDefault="005A1DB4" w:rsidP="000D10AE">
            <w:pPr>
              <w:ind w:left="103"/>
              <w:rPr>
                <w:sz w:val="24"/>
                <w:szCs w:val="24"/>
              </w:rPr>
            </w:pPr>
            <w:proofErr w:type="spellStart"/>
            <w:r w:rsidRPr="005A1DB4">
              <w:rPr>
                <w:sz w:val="24"/>
                <w:szCs w:val="24"/>
              </w:rPr>
              <w:t>eFlow</w:t>
            </w:r>
            <w:proofErr w:type="spellEnd"/>
            <w:r w:rsidRPr="005A1DB4">
              <w:rPr>
                <w:sz w:val="24"/>
                <w:szCs w:val="24"/>
              </w:rPr>
              <w:t xml:space="preserve"> rapid</w:t>
            </w:r>
          </w:p>
        </w:tc>
      </w:tr>
      <w:tr w:rsidR="005A1DB4" w:rsidRPr="005A1DB4" w14:paraId="738E38D2" w14:textId="77777777" w:rsidTr="000D10AE">
        <w:tc>
          <w:tcPr>
            <w:tcW w:w="27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9EA12" w14:textId="77777777" w:rsidR="005A1DB4" w:rsidRPr="005A1DB4" w:rsidRDefault="005A1DB4" w:rsidP="000D10AE">
            <w:pPr>
              <w:ind w:left="64"/>
              <w:rPr>
                <w:sz w:val="24"/>
                <w:szCs w:val="24"/>
              </w:rPr>
            </w:pPr>
            <w:r w:rsidRPr="005A1DB4">
              <w:rPr>
                <w:sz w:val="24"/>
                <w:szCs w:val="24"/>
              </w:rPr>
              <w:t xml:space="preserve">Samlet mængde lægemiddel tilført fra </w:t>
            </w:r>
            <w:proofErr w:type="spellStart"/>
            <w:r w:rsidRPr="005A1DB4">
              <w:rPr>
                <w:sz w:val="24"/>
                <w:szCs w:val="24"/>
              </w:rPr>
              <w:t>nebulisatorens</w:t>
            </w:r>
            <w:proofErr w:type="spellEnd"/>
            <w:r w:rsidRPr="005A1DB4">
              <w:rPr>
                <w:sz w:val="24"/>
                <w:szCs w:val="24"/>
              </w:rPr>
              <w:t xml:space="preserve"> mundstykke (millioner IE)</w:t>
            </w: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D58191" w14:textId="77777777" w:rsidR="005A1DB4" w:rsidRPr="005A1DB4" w:rsidRDefault="005A1DB4" w:rsidP="000D10AE">
            <w:pPr>
              <w:ind w:left="103"/>
              <w:rPr>
                <w:sz w:val="24"/>
                <w:szCs w:val="24"/>
              </w:rPr>
            </w:pPr>
            <w:r w:rsidRPr="005A1DB4">
              <w:rPr>
                <w:sz w:val="24"/>
                <w:szCs w:val="24"/>
              </w:rPr>
              <w:t>0,58</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D86707" w14:textId="77777777" w:rsidR="005A1DB4" w:rsidRPr="005A1DB4" w:rsidRDefault="005A1DB4" w:rsidP="000D10AE">
            <w:pPr>
              <w:ind w:left="103"/>
              <w:rPr>
                <w:sz w:val="24"/>
                <w:szCs w:val="24"/>
              </w:rPr>
            </w:pPr>
            <w:r w:rsidRPr="005A1DB4">
              <w:rPr>
                <w:sz w:val="24"/>
                <w:szCs w:val="24"/>
              </w:rPr>
              <w:t>0,58</w:t>
            </w:r>
          </w:p>
        </w:tc>
        <w:tc>
          <w:tcPr>
            <w:tcW w:w="7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538BA" w14:textId="77777777" w:rsidR="005A1DB4" w:rsidRPr="005A1DB4" w:rsidRDefault="005A1DB4" w:rsidP="000D10AE">
            <w:pPr>
              <w:ind w:left="103"/>
              <w:rPr>
                <w:sz w:val="24"/>
                <w:szCs w:val="24"/>
              </w:rPr>
            </w:pPr>
            <w:r w:rsidRPr="005A1DB4">
              <w:rPr>
                <w:sz w:val="24"/>
                <w:szCs w:val="24"/>
              </w:rPr>
              <w:t>0,88</w:t>
            </w:r>
          </w:p>
        </w:tc>
      </w:tr>
      <w:tr w:rsidR="005A1DB4" w:rsidRPr="005A1DB4" w14:paraId="7713CF91" w14:textId="77777777" w:rsidTr="000D10AE">
        <w:tc>
          <w:tcPr>
            <w:tcW w:w="27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26B6DE" w14:textId="77777777" w:rsidR="005A1DB4" w:rsidRPr="005A1DB4" w:rsidRDefault="005A1DB4" w:rsidP="000D10AE">
            <w:pPr>
              <w:ind w:left="64"/>
              <w:rPr>
                <w:sz w:val="24"/>
                <w:szCs w:val="24"/>
              </w:rPr>
            </w:pPr>
            <w:r w:rsidRPr="005A1DB4">
              <w:rPr>
                <w:sz w:val="24"/>
                <w:szCs w:val="24"/>
              </w:rPr>
              <w:t>Lægemiddelafgivelseshastighed (millioner IE/minut)</w:t>
            </w: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422FC1" w14:textId="77777777" w:rsidR="005A1DB4" w:rsidRPr="005A1DB4" w:rsidRDefault="005A1DB4" w:rsidP="000D10AE">
            <w:pPr>
              <w:ind w:left="103"/>
              <w:rPr>
                <w:sz w:val="24"/>
                <w:szCs w:val="24"/>
              </w:rPr>
            </w:pPr>
            <w:r w:rsidRPr="005A1DB4">
              <w:rPr>
                <w:sz w:val="24"/>
                <w:szCs w:val="24"/>
              </w:rPr>
              <w:t>0,11</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2EAF12" w14:textId="77777777" w:rsidR="005A1DB4" w:rsidRPr="005A1DB4" w:rsidRDefault="005A1DB4" w:rsidP="000D10AE">
            <w:pPr>
              <w:ind w:left="103"/>
              <w:rPr>
                <w:sz w:val="24"/>
                <w:szCs w:val="24"/>
              </w:rPr>
            </w:pPr>
            <w:r w:rsidRPr="005A1DB4">
              <w:rPr>
                <w:sz w:val="24"/>
                <w:szCs w:val="24"/>
              </w:rPr>
              <w:t>0,13</w:t>
            </w:r>
          </w:p>
        </w:tc>
        <w:tc>
          <w:tcPr>
            <w:tcW w:w="7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FF029A" w14:textId="77777777" w:rsidR="005A1DB4" w:rsidRPr="005A1DB4" w:rsidRDefault="005A1DB4" w:rsidP="000D10AE">
            <w:pPr>
              <w:ind w:left="103"/>
              <w:rPr>
                <w:sz w:val="24"/>
                <w:szCs w:val="24"/>
              </w:rPr>
            </w:pPr>
            <w:r w:rsidRPr="005A1DB4">
              <w:rPr>
                <w:sz w:val="24"/>
                <w:szCs w:val="24"/>
              </w:rPr>
              <w:t>0,08</w:t>
            </w:r>
          </w:p>
        </w:tc>
      </w:tr>
      <w:tr w:rsidR="005A1DB4" w:rsidRPr="005A1DB4" w14:paraId="4CCCFD9C" w14:textId="77777777" w:rsidTr="000D10AE">
        <w:tc>
          <w:tcPr>
            <w:tcW w:w="27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EF705" w14:textId="77777777" w:rsidR="005A1DB4" w:rsidRPr="005A1DB4" w:rsidRDefault="005A1DB4" w:rsidP="000D10AE">
            <w:pPr>
              <w:ind w:left="64"/>
              <w:rPr>
                <w:sz w:val="24"/>
                <w:szCs w:val="24"/>
              </w:rPr>
            </w:pPr>
            <w:r w:rsidRPr="005A1DB4">
              <w:rPr>
                <w:sz w:val="24"/>
                <w:szCs w:val="24"/>
              </w:rPr>
              <w:t>Fraktion af fine partikler (% &lt; 5 </w:t>
            </w:r>
            <w:proofErr w:type="spellStart"/>
            <w:r w:rsidRPr="005A1DB4">
              <w:rPr>
                <w:sz w:val="24"/>
                <w:szCs w:val="24"/>
              </w:rPr>
              <w:t>μm</w:t>
            </w:r>
            <w:proofErr w:type="spellEnd"/>
            <w:r w:rsidRPr="005A1DB4">
              <w:rPr>
                <w:sz w:val="24"/>
                <w:szCs w:val="24"/>
              </w:rPr>
              <w:t>)</w:t>
            </w: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2752B5" w14:textId="77777777" w:rsidR="005A1DB4" w:rsidRPr="005A1DB4" w:rsidRDefault="005A1DB4" w:rsidP="000D10AE">
            <w:pPr>
              <w:ind w:left="103"/>
              <w:rPr>
                <w:sz w:val="24"/>
                <w:szCs w:val="24"/>
              </w:rPr>
            </w:pPr>
            <w:r w:rsidRPr="005A1DB4">
              <w:rPr>
                <w:sz w:val="24"/>
                <w:szCs w:val="24"/>
              </w:rPr>
              <w:t>57,60</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9CC612" w14:textId="77777777" w:rsidR="005A1DB4" w:rsidRPr="005A1DB4" w:rsidRDefault="005A1DB4" w:rsidP="000D10AE">
            <w:pPr>
              <w:ind w:left="103"/>
              <w:rPr>
                <w:sz w:val="24"/>
                <w:szCs w:val="24"/>
              </w:rPr>
            </w:pPr>
            <w:r w:rsidRPr="005A1DB4">
              <w:rPr>
                <w:sz w:val="24"/>
                <w:szCs w:val="24"/>
              </w:rPr>
              <w:t>59,33</w:t>
            </w:r>
          </w:p>
        </w:tc>
        <w:tc>
          <w:tcPr>
            <w:tcW w:w="7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674BA0" w14:textId="77777777" w:rsidR="005A1DB4" w:rsidRPr="005A1DB4" w:rsidRDefault="005A1DB4" w:rsidP="000D10AE">
            <w:pPr>
              <w:ind w:left="103"/>
              <w:rPr>
                <w:sz w:val="24"/>
                <w:szCs w:val="24"/>
              </w:rPr>
            </w:pPr>
            <w:r w:rsidRPr="005A1DB4">
              <w:rPr>
                <w:sz w:val="24"/>
                <w:szCs w:val="24"/>
              </w:rPr>
              <w:t>57,54</w:t>
            </w:r>
          </w:p>
        </w:tc>
      </w:tr>
      <w:tr w:rsidR="005A1DB4" w:rsidRPr="005A1DB4" w14:paraId="122D6B57" w14:textId="77777777" w:rsidTr="000D10AE">
        <w:tc>
          <w:tcPr>
            <w:tcW w:w="27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2A2442" w14:textId="77777777" w:rsidR="005A1DB4" w:rsidRPr="005A1DB4" w:rsidRDefault="005A1DB4" w:rsidP="000D10AE">
            <w:pPr>
              <w:ind w:left="64"/>
              <w:rPr>
                <w:sz w:val="24"/>
                <w:szCs w:val="24"/>
              </w:rPr>
            </w:pPr>
            <w:r w:rsidRPr="005A1DB4">
              <w:rPr>
                <w:sz w:val="24"/>
                <w:szCs w:val="24"/>
              </w:rPr>
              <w:t>Dråbestørrelsesfordeling. Median aerodynamisk massediameter (MMAD) (</w:t>
            </w:r>
            <w:proofErr w:type="spellStart"/>
            <w:r w:rsidRPr="005A1DB4">
              <w:rPr>
                <w:sz w:val="24"/>
                <w:szCs w:val="24"/>
              </w:rPr>
              <w:t>μm</w:t>
            </w:r>
            <w:proofErr w:type="spellEnd"/>
            <w:r w:rsidRPr="005A1DB4">
              <w:rPr>
                <w:sz w:val="24"/>
                <w:szCs w:val="24"/>
              </w:rPr>
              <w:t>)</w:t>
            </w: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BDE8F8" w14:textId="77777777" w:rsidR="005A1DB4" w:rsidRPr="005A1DB4" w:rsidRDefault="005A1DB4" w:rsidP="000D10AE">
            <w:pPr>
              <w:ind w:left="103"/>
              <w:rPr>
                <w:sz w:val="24"/>
                <w:szCs w:val="24"/>
              </w:rPr>
            </w:pPr>
            <w:r w:rsidRPr="005A1DB4">
              <w:rPr>
                <w:sz w:val="24"/>
                <w:szCs w:val="24"/>
              </w:rPr>
              <w:t>4,15</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9F48A4" w14:textId="77777777" w:rsidR="005A1DB4" w:rsidRPr="005A1DB4" w:rsidRDefault="005A1DB4" w:rsidP="000D10AE">
            <w:pPr>
              <w:ind w:left="103"/>
              <w:rPr>
                <w:sz w:val="24"/>
                <w:szCs w:val="24"/>
              </w:rPr>
            </w:pPr>
            <w:r w:rsidRPr="005A1DB4">
              <w:rPr>
                <w:sz w:val="24"/>
                <w:szCs w:val="24"/>
              </w:rPr>
              <w:t>4,10</w:t>
            </w:r>
          </w:p>
        </w:tc>
        <w:tc>
          <w:tcPr>
            <w:tcW w:w="7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B2672F" w14:textId="77777777" w:rsidR="005A1DB4" w:rsidRPr="005A1DB4" w:rsidRDefault="005A1DB4" w:rsidP="000D10AE">
            <w:pPr>
              <w:ind w:left="103"/>
              <w:rPr>
                <w:sz w:val="24"/>
                <w:szCs w:val="24"/>
              </w:rPr>
            </w:pPr>
            <w:r w:rsidRPr="005A1DB4">
              <w:rPr>
                <w:sz w:val="24"/>
                <w:szCs w:val="24"/>
              </w:rPr>
              <w:t>4,52</w:t>
            </w:r>
          </w:p>
        </w:tc>
      </w:tr>
      <w:tr w:rsidR="005A1DB4" w:rsidRPr="005A1DB4" w14:paraId="3BDF47C4" w14:textId="77777777" w:rsidTr="000D10AE">
        <w:tc>
          <w:tcPr>
            <w:tcW w:w="27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7BA66B" w14:textId="77777777" w:rsidR="005A1DB4" w:rsidRPr="005A1DB4" w:rsidRDefault="005A1DB4" w:rsidP="000D10AE">
            <w:pPr>
              <w:ind w:left="64"/>
              <w:rPr>
                <w:sz w:val="24"/>
                <w:szCs w:val="24"/>
              </w:rPr>
            </w:pPr>
            <w:r w:rsidRPr="005A1DB4">
              <w:rPr>
                <w:sz w:val="24"/>
                <w:szCs w:val="24"/>
              </w:rPr>
              <w:t>Geometrisk standardafvigelse (GSD)</w:t>
            </w: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AC5174" w14:textId="77777777" w:rsidR="005A1DB4" w:rsidRPr="005A1DB4" w:rsidRDefault="005A1DB4" w:rsidP="000D10AE">
            <w:pPr>
              <w:ind w:left="103"/>
              <w:rPr>
                <w:sz w:val="24"/>
                <w:szCs w:val="24"/>
              </w:rPr>
            </w:pPr>
            <w:r w:rsidRPr="005A1DB4">
              <w:rPr>
                <w:sz w:val="24"/>
                <w:szCs w:val="24"/>
              </w:rPr>
              <w:t>2,24</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BDAF47" w14:textId="77777777" w:rsidR="005A1DB4" w:rsidRPr="005A1DB4" w:rsidRDefault="005A1DB4" w:rsidP="000D10AE">
            <w:pPr>
              <w:ind w:left="103"/>
              <w:rPr>
                <w:sz w:val="24"/>
                <w:szCs w:val="24"/>
              </w:rPr>
            </w:pPr>
            <w:r w:rsidRPr="005A1DB4">
              <w:rPr>
                <w:sz w:val="24"/>
                <w:szCs w:val="24"/>
              </w:rPr>
              <w:t>2,11</w:t>
            </w:r>
          </w:p>
        </w:tc>
        <w:tc>
          <w:tcPr>
            <w:tcW w:w="7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F9EBFF" w14:textId="77777777" w:rsidR="005A1DB4" w:rsidRPr="005A1DB4" w:rsidRDefault="005A1DB4" w:rsidP="000D10AE">
            <w:pPr>
              <w:ind w:left="103"/>
              <w:rPr>
                <w:sz w:val="24"/>
                <w:szCs w:val="24"/>
              </w:rPr>
            </w:pPr>
            <w:r w:rsidRPr="005A1DB4">
              <w:rPr>
                <w:sz w:val="24"/>
                <w:szCs w:val="24"/>
              </w:rPr>
              <w:t>1,73</w:t>
            </w:r>
          </w:p>
        </w:tc>
      </w:tr>
      <w:tr w:rsidR="005A1DB4" w:rsidRPr="005A1DB4" w14:paraId="0DCEEB9D" w14:textId="77777777" w:rsidTr="000D10AE">
        <w:tc>
          <w:tcPr>
            <w:tcW w:w="50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D0F188" w14:textId="2287BFD8" w:rsidR="005A1DB4" w:rsidRPr="005A1DB4" w:rsidRDefault="005A1DB4" w:rsidP="000D10AE">
            <w:pPr>
              <w:ind w:left="64"/>
              <w:rPr>
                <w:sz w:val="24"/>
                <w:szCs w:val="24"/>
              </w:rPr>
            </w:pPr>
            <w:r w:rsidRPr="005A1DB4">
              <w:rPr>
                <w:sz w:val="24"/>
                <w:szCs w:val="24"/>
              </w:rPr>
              <w:t xml:space="preserve">Målt ved brug af </w:t>
            </w:r>
            <w:proofErr w:type="spellStart"/>
            <w:r w:rsidRPr="005A1DB4">
              <w:rPr>
                <w:sz w:val="24"/>
                <w:szCs w:val="24"/>
              </w:rPr>
              <w:t>Colistimethatnatrium</w:t>
            </w:r>
            <w:proofErr w:type="spellEnd"/>
            <w:r w:rsidRPr="005A1DB4">
              <w:rPr>
                <w:sz w:val="24"/>
                <w:szCs w:val="24"/>
              </w:rPr>
              <w:t xml:space="preserve"> </w:t>
            </w:r>
            <w:r w:rsidR="00D707F0">
              <w:rPr>
                <w:sz w:val="24"/>
                <w:szCs w:val="24"/>
              </w:rPr>
              <w:t>"</w:t>
            </w:r>
            <w:proofErr w:type="spellStart"/>
            <w:r w:rsidR="00D707F0">
              <w:rPr>
                <w:sz w:val="24"/>
                <w:szCs w:val="24"/>
              </w:rPr>
              <w:t>Xellia</w:t>
            </w:r>
            <w:proofErr w:type="spellEnd"/>
            <w:r w:rsidR="00D707F0">
              <w:rPr>
                <w:sz w:val="24"/>
                <w:szCs w:val="24"/>
              </w:rPr>
              <w:t>"</w:t>
            </w:r>
            <w:r w:rsidRPr="005A1DB4">
              <w:rPr>
                <w:sz w:val="24"/>
                <w:szCs w:val="24"/>
              </w:rPr>
              <w:t xml:space="preserve"> </w:t>
            </w:r>
            <w:proofErr w:type="spellStart"/>
            <w:r w:rsidRPr="005A1DB4">
              <w:rPr>
                <w:sz w:val="24"/>
                <w:szCs w:val="24"/>
              </w:rPr>
              <w:t>rekonstitueret</w:t>
            </w:r>
            <w:proofErr w:type="spellEnd"/>
            <w:r w:rsidRPr="005A1DB4">
              <w:rPr>
                <w:sz w:val="24"/>
                <w:szCs w:val="24"/>
              </w:rPr>
              <w:t xml:space="preserve"> med 3 ml 0,9 % </w:t>
            </w:r>
            <w:proofErr w:type="spellStart"/>
            <w:r w:rsidRPr="005A1DB4">
              <w:rPr>
                <w:sz w:val="24"/>
                <w:szCs w:val="24"/>
              </w:rPr>
              <w:t>natriumchloridopløsning</w:t>
            </w:r>
            <w:proofErr w:type="spellEnd"/>
          </w:p>
        </w:tc>
      </w:tr>
    </w:tbl>
    <w:p w14:paraId="5631AD97" w14:textId="77777777" w:rsidR="005A1DB4" w:rsidRPr="005A1DB4" w:rsidRDefault="005A1DB4" w:rsidP="005A1DB4">
      <w:pPr>
        <w:tabs>
          <w:tab w:val="left" w:pos="851"/>
        </w:tabs>
        <w:ind w:left="851"/>
        <w:rPr>
          <w:sz w:val="24"/>
          <w:szCs w:val="24"/>
        </w:rPr>
      </w:pPr>
    </w:p>
    <w:p w14:paraId="4ADD659A" w14:textId="01075595" w:rsidR="005A1DB4" w:rsidRPr="005A1DB4" w:rsidRDefault="005A1DB4" w:rsidP="000D10AE">
      <w:pPr>
        <w:ind w:left="851"/>
        <w:rPr>
          <w:sz w:val="24"/>
          <w:szCs w:val="24"/>
        </w:rPr>
      </w:pPr>
      <w:proofErr w:type="spellStart"/>
      <w:r w:rsidRPr="005A1DB4">
        <w:rPr>
          <w:sz w:val="24"/>
          <w:szCs w:val="24"/>
        </w:rPr>
        <w:lastRenderedPageBreak/>
        <w:t>Colistimethatnatrium</w:t>
      </w:r>
      <w:proofErr w:type="spellEnd"/>
      <w:r w:rsidRPr="005A1DB4">
        <w:rPr>
          <w:sz w:val="24"/>
          <w:szCs w:val="24"/>
        </w:rPr>
        <w:t xml:space="preserve"> er meget opløseligt i </w:t>
      </w:r>
      <w:proofErr w:type="spellStart"/>
      <w:r w:rsidRPr="005A1DB4">
        <w:rPr>
          <w:sz w:val="24"/>
          <w:szCs w:val="24"/>
        </w:rPr>
        <w:t>rekonstitutionsmediet</w:t>
      </w:r>
      <w:proofErr w:type="spellEnd"/>
      <w:r w:rsidRPr="005A1DB4">
        <w:rPr>
          <w:sz w:val="24"/>
          <w:szCs w:val="24"/>
        </w:rPr>
        <w:t xml:space="preserve">. Den anbefalede teknik til opløsning af lægemidlet er tilsætning af 3 ml isotonisk </w:t>
      </w:r>
      <w:proofErr w:type="spellStart"/>
      <w:r w:rsidRPr="005A1DB4">
        <w:rPr>
          <w:sz w:val="24"/>
          <w:szCs w:val="24"/>
        </w:rPr>
        <w:t>natriumchloridopløsning</w:t>
      </w:r>
      <w:proofErr w:type="spellEnd"/>
      <w:r w:rsidRPr="005A1DB4">
        <w:rPr>
          <w:sz w:val="24"/>
          <w:szCs w:val="24"/>
        </w:rPr>
        <w:t xml:space="preserve"> (0,9 % vægt/vægt) til hætteglasset med </w:t>
      </w:r>
      <w:bookmarkStart w:id="1" w:name="_Hlk192676820"/>
      <w:proofErr w:type="spellStart"/>
      <w:r w:rsidRPr="005A1DB4">
        <w:rPr>
          <w:sz w:val="24"/>
          <w:szCs w:val="24"/>
        </w:rPr>
        <w:t>Colistimethatnatrium</w:t>
      </w:r>
      <w:proofErr w:type="spellEnd"/>
      <w:r w:rsidRPr="005A1DB4">
        <w:rPr>
          <w:sz w:val="24"/>
          <w:szCs w:val="24"/>
        </w:rPr>
        <w:t xml:space="preserve"> </w:t>
      </w:r>
      <w:r w:rsidR="00D707F0">
        <w:rPr>
          <w:sz w:val="24"/>
          <w:szCs w:val="24"/>
        </w:rPr>
        <w:t>"</w:t>
      </w:r>
      <w:proofErr w:type="spellStart"/>
      <w:r w:rsidR="00D707F0">
        <w:rPr>
          <w:sz w:val="24"/>
          <w:szCs w:val="24"/>
        </w:rPr>
        <w:t>Xellia</w:t>
      </w:r>
      <w:proofErr w:type="spellEnd"/>
      <w:r w:rsidR="00D707F0">
        <w:rPr>
          <w:sz w:val="24"/>
          <w:szCs w:val="24"/>
        </w:rPr>
        <w:t>"</w:t>
      </w:r>
      <w:r w:rsidRPr="005A1DB4">
        <w:rPr>
          <w:sz w:val="24"/>
          <w:szCs w:val="24"/>
        </w:rPr>
        <w:t xml:space="preserve"> </w:t>
      </w:r>
      <w:bookmarkEnd w:id="1"/>
      <w:r w:rsidRPr="005A1DB4">
        <w:rPr>
          <w:sz w:val="24"/>
          <w:szCs w:val="24"/>
        </w:rPr>
        <w:t>1 million IE ved forsigtig omrystning.</w:t>
      </w:r>
    </w:p>
    <w:p w14:paraId="2A8FA66E" w14:textId="77777777" w:rsidR="005A1DB4" w:rsidRPr="005A1DB4" w:rsidRDefault="005A1DB4" w:rsidP="000D10AE">
      <w:pPr>
        <w:ind w:left="851"/>
        <w:rPr>
          <w:sz w:val="24"/>
          <w:szCs w:val="24"/>
        </w:rPr>
      </w:pPr>
    </w:p>
    <w:p w14:paraId="63F08980" w14:textId="77777777" w:rsidR="005A1DB4" w:rsidRPr="005A1DB4" w:rsidRDefault="005A1DB4" w:rsidP="000D10AE">
      <w:pPr>
        <w:ind w:left="851"/>
        <w:rPr>
          <w:sz w:val="24"/>
          <w:szCs w:val="24"/>
        </w:rPr>
      </w:pPr>
      <w:r w:rsidRPr="005A1DB4">
        <w:rPr>
          <w:sz w:val="24"/>
          <w:szCs w:val="24"/>
        </w:rPr>
        <w:t xml:space="preserve">På grund af potentiel skumdannelse skal kraftig omrystning undgås. Den resulterende opløsning til </w:t>
      </w:r>
      <w:proofErr w:type="spellStart"/>
      <w:r w:rsidRPr="005A1DB4">
        <w:rPr>
          <w:sz w:val="24"/>
          <w:szCs w:val="24"/>
        </w:rPr>
        <w:t>nebulisering</w:t>
      </w:r>
      <w:proofErr w:type="spellEnd"/>
      <w:r w:rsidRPr="005A1DB4">
        <w:rPr>
          <w:sz w:val="24"/>
          <w:szCs w:val="24"/>
        </w:rPr>
        <w:t xml:space="preserve"> skal være klar og forsigtigt overføres til </w:t>
      </w:r>
      <w:proofErr w:type="spellStart"/>
      <w:r w:rsidRPr="005A1DB4">
        <w:rPr>
          <w:sz w:val="24"/>
          <w:szCs w:val="24"/>
        </w:rPr>
        <w:t>nebulisatorens</w:t>
      </w:r>
      <w:proofErr w:type="spellEnd"/>
      <w:r w:rsidRPr="005A1DB4">
        <w:rPr>
          <w:sz w:val="24"/>
          <w:szCs w:val="24"/>
        </w:rPr>
        <w:t xml:space="preserve"> lægemiddelreservoir.</w:t>
      </w:r>
    </w:p>
    <w:p w14:paraId="1DD7CE8A" w14:textId="77777777" w:rsidR="005A1DB4" w:rsidRPr="005A1DB4" w:rsidRDefault="005A1DB4" w:rsidP="000D10AE">
      <w:pPr>
        <w:ind w:left="851"/>
        <w:rPr>
          <w:sz w:val="24"/>
          <w:szCs w:val="24"/>
        </w:rPr>
      </w:pPr>
    </w:p>
    <w:p w14:paraId="7B1B5234" w14:textId="77777777" w:rsidR="005A1DB4" w:rsidRPr="005A1DB4" w:rsidRDefault="005A1DB4" w:rsidP="000D10AE">
      <w:pPr>
        <w:ind w:left="851"/>
        <w:rPr>
          <w:sz w:val="24"/>
          <w:szCs w:val="24"/>
        </w:rPr>
      </w:pPr>
      <w:r w:rsidRPr="005A1DB4">
        <w:rPr>
          <w:sz w:val="24"/>
          <w:szCs w:val="24"/>
        </w:rPr>
        <w:t>Opløsningen er kun til engangsbrug, og eventuel overskydende opløsning skal kasseres.</w:t>
      </w:r>
    </w:p>
    <w:p w14:paraId="622D9F6E" w14:textId="77777777" w:rsidR="005A1DB4" w:rsidRPr="005A1DB4" w:rsidRDefault="005A1DB4" w:rsidP="000D10AE">
      <w:pPr>
        <w:ind w:left="851"/>
        <w:rPr>
          <w:sz w:val="24"/>
          <w:szCs w:val="24"/>
        </w:rPr>
      </w:pPr>
    </w:p>
    <w:p w14:paraId="0B4A399F" w14:textId="77777777" w:rsidR="005A1DB4" w:rsidRPr="005A1DB4" w:rsidRDefault="005A1DB4" w:rsidP="000D10AE">
      <w:pPr>
        <w:ind w:left="851"/>
        <w:rPr>
          <w:sz w:val="24"/>
          <w:szCs w:val="24"/>
        </w:rPr>
      </w:pPr>
      <w:r w:rsidRPr="005A1DB4">
        <w:rPr>
          <w:sz w:val="24"/>
          <w:szCs w:val="24"/>
        </w:rPr>
        <w:t xml:space="preserve">Under brug skal </w:t>
      </w:r>
      <w:proofErr w:type="spellStart"/>
      <w:r w:rsidRPr="005A1DB4">
        <w:rPr>
          <w:sz w:val="24"/>
          <w:szCs w:val="24"/>
        </w:rPr>
        <w:t>nebulisatoren</w:t>
      </w:r>
      <w:proofErr w:type="spellEnd"/>
      <w:r w:rsidRPr="005A1DB4">
        <w:rPr>
          <w:sz w:val="24"/>
          <w:szCs w:val="24"/>
        </w:rPr>
        <w:t xml:space="preserve"> holdes på den måde, der er angivet i den pågældende </w:t>
      </w:r>
      <w:proofErr w:type="spellStart"/>
      <w:r w:rsidRPr="005A1DB4">
        <w:rPr>
          <w:sz w:val="24"/>
          <w:szCs w:val="24"/>
        </w:rPr>
        <w:t>nebulisators</w:t>
      </w:r>
      <w:proofErr w:type="spellEnd"/>
      <w:r w:rsidRPr="005A1DB4">
        <w:rPr>
          <w:sz w:val="24"/>
          <w:szCs w:val="24"/>
        </w:rPr>
        <w:t xml:space="preserve"> brugsanvisning.</w:t>
      </w:r>
    </w:p>
    <w:p w14:paraId="39914980" w14:textId="77777777" w:rsidR="005A1DB4" w:rsidRPr="005A1DB4" w:rsidRDefault="005A1DB4" w:rsidP="000D10AE">
      <w:pPr>
        <w:ind w:left="851"/>
        <w:rPr>
          <w:sz w:val="24"/>
          <w:szCs w:val="24"/>
        </w:rPr>
      </w:pPr>
    </w:p>
    <w:p w14:paraId="15BD8AF2" w14:textId="77777777" w:rsidR="005A1DB4" w:rsidRPr="005A1DB4" w:rsidRDefault="005A1DB4" w:rsidP="000D10AE">
      <w:pPr>
        <w:ind w:left="851"/>
        <w:rPr>
          <w:sz w:val="24"/>
          <w:szCs w:val="24"/>
        </w:rPr>
      </w:pPr>
      <w:r w:rsidRPr="005A1DB4">
        <w:rPr>
          <w:sz w:val="24"/>
          <w:szCs w:val="24"/>
        </w:rPr>
        <w:t>Patienten skal sidde i oprejst stilling og trække vejret normalt under inhalation. Inhalation skal ske uden afbrydelse af den normale vejrtrækning.</w:t>
      </w:r>
    </w:p>
    <w:p w14:paraId="2388186B" w14:textId="77777777" w:rsidR="005A1DB4" w:rsidRPr="005A1DB4" w:rsidRDefault="005A1DB4" w:rsidP="000D10AE">
      <w:pPr>
        <w:ind w:left="851"/>
        <w:rPr>
          <w:sz w:val="24"/>
          <w:szCs w:val="24"/>
        </w:rPr>
      </w:pPr>
    </w:p>
    <w:p w14:paraId="371D84AF" w14:textId="77777777" w:rsidR="005A1DB4" w:rsidRPr="005A1DB4" w:rsidRDefault="005A1DB4" w:rsidP="000D10AE">
      <w:pPr>
        <w:ind w:left="851"/>
        <w:rPr>
          <w:sz w:val="24"/>
          <w:szCs w:val="24"/>
        </w:rPr>
      </w:pPr>
      <w:proofErr w:type="spellStart"/>
      <w:r w:rsidRPr="005A1DB4">
        <w:rPr>
          <w:sz w:val="24"/>
          <w:szCs w:val="24"/>
        </w:rPr>
        <w:t>Nebulisatoren</w:t>
      </w:r>
      <w:proofErr w:type="spellEnd"/>
      <w:r w:rsidRPr="005A1DB4">
        <w:rPr>
          <w:sz w:val="24"/>
          <w:szCs w:val="24"/>
        </w:rPr>
        <w:t xml:space="preserve"> skal rengøres og desinficeres efter brug som beskrevet i brugsanvisningen til den pågældende </w:t>
      </w:r>
      <w:proofErr w:type="spellStart"/>
      <w:r w:rsidRPr="005A1DB4">
        <w:rPr>
          <w:sz w:val="24"/>
          <w:szCs w:val="24"/>
        </w:rPr>
        <w:t>nebulisator</w:t>
      </w:r>
      <w:proofErr w:type="spellEnd"/>
      <w:r w:rsidRPr="005A1DB4">
        <w:rPr>
          <w:sz w:val="24"/>
          <w:szCs w:val="24"/>
        </w:rPr>
        <w:t>.</w:t>
      </w:r>
    </w:p>
    <w:p w14:paraId="0277EFD1" w14:textId="77777777" w:rsidR="005A1DB4" w:rsidRPr="005A1DB4" w:rsidRDefault="005A1DB4" w:rsidP="000D10AE">
      <w:pPr>
        <w:ind w:left="851"/>
        <w:rPr>
          <w:sz w:val="24"/>
          <w:szCs w:val="24"/>
        </w:rPr>
      </w:pPr>
      <w:proofErr w:type="spellStart"/>
      <w:r w:rsidRPr="005A1DB4">
        <w:rPr>
          <w:sz w:val="24"/>
          <w:szCs w:val="24"/>
        </w:rPr>
        <w:t>Colistimethatnatrium</w:t>
      </w:r>
      <w:proofErr w:type="spellEnd"/>
      <w:r w:rsidRPr="005A1DB4">
        <w:rPr>
          <w:sz w:val="24"/>
          <w:szCs w:val="24"/>
        </w:rPr>
        <w:t xml:space="preserve"> gennemgår hydrolyse til det aktive stof </w:t>
      </w:r>
      <w:proofErr w:type="spellStart"/>
      <w:r w:rsidRPr="005A1DB4">
        <w:rPr>
          <w:sz w:val="24"/>
          <w:szCs w:val="24"/>
        </w:rPr>
        <w:t>colistin</w:t>
      </w:r>
      <w:proofErr w:type="spellEnd"/>
      <w:r w:rsidRPr="005A1DB4">
        <w:rPr>
          <w:sz w:val="24"/>
          <w:szCs w:val="24"/>
        </w:rPr>
        <w:t xml:space="preserve"> i vandig opløsning. Der findes særlige forsigtighedsregler vedrørende bortskaffelse og håndtering af </w:t>
      </w:r>
      <w:proofErr w:type="spellStart"/>
      <w:r w:rsidRPr="005A1DB4">
        <w:rPr>
          <w:sz w:val="24"/>
          <w:szCs w:val="24"/>
        </w:rPr>
        <w:t>rekonstituerede</w:t>
      </w:r>
      <w:proofErr w:type="spellEnd"/>
      <w:r w:rsidRPr="005A1DB4">
        <w:rPr>
          <w:sz w:val="24"/>
          <w:szCs w:val="24"/>
        </w:rPr>
        <w:t xml:space="preserve"> opløsninger i pkt. 6.6.</w:t>
      </w:r>
    </w:p>
    <w:p w14:paraId="4E37C7EB" w14:textId="77777777" w:rsidR="005A1DB4" w:rsidRPr="005A1DB4" w:rsidRDefault="005A1DB4" w:rsidP="000D10AE">
      <w:pPr>
        <w:ind w:left="851"/>
        <w:rPr>
          <w:sz w:val="24"/>
          <w:szCs w:val="24"/>
        </w:rPr>
      </w:pPr>
    </w:p>
    <w:p w14:paraId="4CFD558B" w14:textId="77777777" w:rsidR="005A1DB4" w:rsidRPr="005A1DB4" w:rsidRDefault="005A1DB4" w:rsidP="000D10AE">
      <w:pPr>
        <w:ind w:left="851"/>
        <w:rPr>
          <w:sz w:val="24"/>
          <w:szCs w:val="24"/>
        </w:rPr>
      </w:pPr>
      <w:r w:rsidRPr="005A1DB4">
        <w:rPr>
          <w:sz w:val="24"/>
          <w:szCs w:val="24"/>
        </w:rPr>
        <w:t>Hvis patienten får andre behandlinger, skal de tages i den rækkefølge, som lægen har anbefalet.</w:t>
      </w:r>
    </w:p>
    <w:p w14:paraId="2DC797CE" w14:textId="77777777" w:rsidR="005A1DB4" w:rsidRPr="005A1DB4" w:rsidRDefault="005A1DB4" w:rsidP="000D10AE">
      <w:pPr>
        <w:ind w:left="851"/>
        <w:rPr>
          <w:sz w:val="24"/>
          <w:szCs w:val="24"/>
        </w:rPr>
      </w:pPr>
    </w:p>
    <w:p w14:paraId="5D17794C" w14:textId="77777777" w:rsidR="005A1DB4" w:rsidRPr="005A1DB4" w:rsidRDefault="005A1DB4" w:rsidP="000D10AE">
      <w:pPr>
        <w:ind w:left="851"/>
        <w:rPr>
          <w:b/>
          <w:sz w:val="24"/>
          <w:szCs w:val="24"/>
        </w:rPr>
      </w:pPr>
      <w:r w:rsidRPr="005A1DB4">
        <w:rPr>
          <w:b/>
          <w:sz w:val="24"/>
          <w:szCs w:val="24"/>
        </w:rPr>
        <w:t>Dosisomregningstabel:</w:t>
      </w:r>
    </w:p>
    <w:p w14:paraId="6895530A" w14:textId="77777777" w:rsidR="005A1DB4" w:rsidRPr="005A1DB4" w:rsidRDefault="005A1DB4" w:rsidP="000D10AE">
      <w:pPr>
        <w:ind w:left="851"/>
        <w:rPr>
          <w:bCs/>
          <w:sz w:val="24"/>
          <w:szCs w:val="24"/>
        </w:rPr>
      </w:pPr>
    </w:p>
    <w:p w14:paraId="439F9F31" w14:textId="77777777" w:rsidR="005A1DB4" w:rsidRPr="005A1DB4" w:rsidRDefault="005A1DB4" w:rsidP="000D10AE">
      <w:pPr>
        <w:ind w:left="851"/>
        <w:rPr>
          <w:sz w:val="24"/>
          <w:szCs w:val="24"/>
        </w:rPr>
      </w:pPr>
      <w:r w:rsidRPr="005A1DB4">
        <w:rPr>
          <w:sz w:val="24"/>
          <w:szCs w:val="24"/>
        </w:rPr>
        <w:t xml:space="preserve">I EU skal dosis af </w:t>
      </w:r>
      <w:proofErr w:type="spellStart"/>
      <w:r w:rsidRPr="005A1DB4">
        <w:rPr>
          <w:sz w:val="24"/>
          <w:szCs w:val="24"/>
        </w:rPr>
        <w:t>colistimethatnatrium</w:t>
      </w:r>
      <w:proofErr w:type="spellEnd"/>
      <w:r w:rsidRPr="005A1DB4">
        <w:rPr>
          <w:sz w:val="24"/>
          <w:szCs w:val="24"/>
        </w:rPr>
        <w:t xml:space="preserve"> (CMS) angives i internationale enheder (IE) ved ordinering og administration. Præparatetiketten viser antallet af IE pr. hætteglas.</w:t>
      </w:r>
    </w:p>
    <w:p w14:paraId="5DAAFE9B" w14:textId="77777777" w:rsidR="005A1DB4" w:rsidRPr="005A1DB4" w:rsidRDefault="005A1DB4" w:rsidP="000D10AE">
      <w:pPr>
        <w:ind w:left="851"/>
        <w:rPr>
          <w:sz w:val="24"/>
          <w:szCs w:val="24"/>
        </w:rPr>
      </w:pPr>
      <w:r w:rsidRPr="005A1DB4">
        <w:rPr>
          <w:sz w:val="24"/>
          <w:szCs w:val="24"/>
        </w:rPr>
        <w:t xml:space="preserve">De forskellige termer til at angive dosis i forhold til potens har givet anledning til forvirring og fejlmedicinering. I USA og andre dele af verden angives dosis som milligram </w:t>
      </w:r>
      <w:proofErr w:type="spellStart"/>
      <w:r w:rsidRPr="005A1DB4">
        <w:rPr>
          <w:sz w:val="24"/>
          <w:szCs w:val="24"/>
        </w:rPr>
        <w:t>colistinbase</w:t>
      </w:r>
      <w:proofErr w:type="spellEnd"/>
      <w:r w:rsidRPr="005A1DB4">
        <w:rPr>
          <w:sz w:val="24"/>
          <w:szCs w:val="24"/>
        </w:rPr>
        <w:t>-aktivitet (mg CBA).</w:t>
      </w:r>
    </w:p>
    <w:p w14:paraId="03F6580E" w14:textId="77777777" w:rsidR="005A1DB4" w:rsidRPr="005A1DB4" w:rsidRDefault="005A1DB4" w:rsidP="000D10AE">
      <w:pPr>
        <w:ind w:left="851"/>
        <w:rPr>
          <w:sz w:val="24"/>
          <w:szCs w:val="24"/>
        </w:rPr>
      </w:pPr>
    </w:p>
    <w:p w14:paraId="1C9CB91A" w14:textId="77777777" w:rsidR="005A1DB4" w:rsidRPr="005A1DB4" w:rsidRDefault="005A1DB4" w:rsidP="000D10AE">
      <w:pPr>
        <w:ind w:left="851"/>
        <w:rPr>
          <w:sz w:val="24"/>
          <w:szCs w:val="24"/>
        </w:rPr>
      </w:pPr>
      <w:r w:rsidRPr="005A1DB4">
        <w:rPr>
          <w:sz w:val="24"/>
          <w:szCs w:val="24"/>
        </w:rPr>
        <w:t>Nedenstående omregningstabel er til orientering, og værdierne skal udelukkende betragtes som nominelle og omtrentlige.</w:t>
      </w:r>
    </w:p>
    <w:p w14:paraId="4375CDC5" w14:textId="77777777" w:rsidR="005A1DB4" w:rsidRPr="005A1DB4" w:rsidRDefault="005A1DB4" w:rsidP="000D10AE">
      <w:pPr>
        <w:ind w:left="851"/>
        <w:rPr>
          <w:sz w:val="24"/>
          <w:szCs w:val="24"/>
        </w:rPr>
      </w:pPr>
    </w:p>
    <w:p w14:paraId="1963E8AB" w14:textId="77777777" w:rsidR="005A1DB4" w:rsidRPr="005A1DB4" w:rsidRDefault="005A1DB4" w:rsidP="000D10AE">
      <w:pPr>
        <w:ind w:left="851"/>
        <w:rPr>
          <w:b/>
          <w:sz w:val="24"/>
          <w:szCs w:val="24"/>
        </w:rPr>
      </w:pPr>
      <w:r w:rsidRPr="005A1DB4">
        <w:rPr>
          <w:b/>
          <w:sz w:val="24"/>
          <w:szCs w:val="24"/>
        </w:rPr>
        <w:t>CMS-omregningstabel</w:t>
      </w:r>
    </w:p>
    <w:p w14:paraId="28E1A364" w14:textId="77777777" w:rsidR="005A1DB4" w:rsidRPr="005A1DB4" w:rsidRDefault="005A1DB4" w:rsidP="005A1DB4">
      <w:pPr>
        <w:tabs>
          <w:tab w:val="left" w:pos="851"/>
        </w:tabs>
        <w:ind w:left="851"/>
        <w:rPr>
          <w:b/>
          <w:bCs/>
          <w:sz w:val="24"/>
          <w:szCs w:val="24"/>
        </w:rPr>
      </w:pPr>
    </w:p>
    <w:tbl>
      <w:tblPr>
        <w:tblW w:w="45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623"/>
        <w:gridCol w:w="1556"/>
      </w:tblGrid>
      <w:tr w:rsidR="005A1DB4" w:rsidRPr="005A1DB4" w14:paraId="264062C1" w14:textId="77777777" w:rsidTr="000D10AE">
        <w:tc>
          <w:tcPr>
            <w:tcW w:w="3041" w:type="dxa"/>
            <w:gridSpan w:val="2"/>
            <w:tcBorders>
              <w:top w:val="single" w:sz="4" w:space="0" w:color="auto"/>
              <w:left w:val="single" w:sz="4" w:space="0" w:color="auto"/>
              <w:bottom w:val="single" w:sz="4" w:space="0" w:color="auto"/>
              <w:right w:val="single" w:sz="4" w:space="0" w:color="auto"/>
            </w:tcBorders>
            <w:hideMark/>
          </w:tcPr>
          <w:p w14:paraId="734600CD" w14:textId="77777777" w:rsidR="005A1DB4" w:rsidRPr="005A1DB4" w:rsidRDefault="005A1DB4" w:rsidP="000D10AE">
            <w:pPr>
              <w:ind w:left="60"/>
              <w:rPr>
                <w:b/>
                <w:sz w:val="24"/>
                <w:szCs w:val="24"/>
              </w:rPr>
            </w:pPr>
            <w:r w:rsidRPr="005A1DB4">
              <w:rPr>
                <w:b/>
                <w:sz w:val="24"/>
                <w:szCs w:val="24"/>
              </w:rPr>
              <w:t>Potens</w:t>
            </w:r>
          </w:p>
        </w:tc>
        <w:tc>
          <w:tcPr>
            <w:tcW w:w="1556" w:type="dxa"/>
            <w:vMerge w:val="restart"/>
            <w:tcBorders>
              <w:top w:val="single" w:sz="4" w:space="0" w:color="auto"/>
              <w:left w:val="single" w:sz="4" w:space="0" w:color="auto"/>
              <w:bottom w:val="single" w:sz="4" w:space="0" w:color="auto"/>
              <w:right w:val="single" w:sz="4" w:space="0" w:color="auto"/>
            </w:tcBorders>
            <w:hideMark/>
          </w:tcPr>
          <w:p w14:paraId="5F99B1A1" w14:textId="77777777" w:rsidR="005A1DB4" w:rsidRPr="005A1DB4" w:rsidRDefault="005A1DB4" w:rsidP="000D10AE">
            <w:pPr>
              <w:ind w:left="60"/>
              <w:rPr>
                <w:b/>
                <w:sz w:val="24"/>
                <w:szCs w:val="24"/>
              </w:rPr>
            </w:pPr>
            <w:r w:rsidRPr="005A1DB4">
              <w:rPr>
                <w:b/>
                <w:sz w:val="24"/>
                <w:szCs w:val="24"/>
              </w:rPr>
              <w:t>≈ masse af CMS (mg)*</w:t>
            </w:r>
          </w:p>
        </w:tc>
      </w:tr>
      <w:tr w:rsidR="005A1DB4" w:rsidRPr="005A1DB4" w14:paraId="25F53F55" w14:textId="77777777" w:rsidTr="000D10AE">
        <w:tc>
          <w:tcPr>
            <w:tcW w:w="1418" w:type="dxa"/>
            <w:tcBorders>
              <w:top w:val="single" w:sz="4" w:space="0" w:color="auto"/>
              <w:left w:val="single" w:sz="4" w:space="0" w:color="auto"/>
              <w:bottom w:val="single" w:sz="4" w:space="0" w:color="auto"/>
              <w:right w:val="single" w:sz="4" w:space="0" w:color="auto"/>
            </w:tcBorders>
            <w:hideMark/>
          </w:tcPr>
          <w:p w14:paraId="0F1943DC" w14:textId="77777777" w:rsidR="005A1DB4" w:rsidRPr="005A1DB4" w:rsidRDefault="005A1DB4" w:rsidP="000D10AE">
            <w:pPr>
              <w:ind w:left="60"/>
              <w:rPr>
                <w:b/>
                <w:sz w:val="24"/>
                <w:szCs w:val="24"/>
              </w:rPr>
            </w:pPr>
            <w:r w:rsidRPr="005A1DB4">
              <w:rPr>
                <w:b/>
                <w:sz w:val="24"/>
                <w:szCs w:val="24"/>
              </w:rPr>
              <w:t>IE</w:t>
            </w:r>
          </w:p>
        </w:tc>
        <w:tc>
          <w:tcPr>
            <w:tcW w:w="1623" w:type="dxa"/>
            <w:tcBorders>
              <w:top w:val="single" w:sz="4" w:space="0" w:color="auto"/>
              <w:left w:val="single" w:sz="4" w:space="0" w:color="auto"/>
              <w:bottom w:val="single" w:sz="4" w:space="0" w:color="auto"/>
              <w:right w:val="single" w:sz="4" w:space="0" w:color="auto"/>
            </w:tcBorders>
            <w:hideMark/>
          </w:tcPr>
          <w:p w14:paraId="574CF5CF" w14:textId="77777777" w:rsidR="005A1DB4" w:rsidRPr="005A1DB4" w:rsidRDefault="005A1DB4" w:rsidP="000D10AE">
            <w:pPr>
              <w:ind w:left="60"/>
              <w:rPr>
                <w:b/>
                <w:sz w:val="24"/>
                <w:szCs w:val="24"/>
              </w:rPr>
            </w:pPr>
            <w:r w:rsidRPr="005A1DB4">
              <w:rPr>
                <w:b/>
                <w:sz w:val="24"/>
                <w:szCs w:val="24"/>
              </w:rPr>
              <w:t>≈ mg CBA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EEA74" w14:textId="77777777" w:rsidR="005A1DB4" w:rsidRPr="005A1DB4" w:rsidRDefault="005A1DB4" w:rsidP="000D10AE">
            <w:pPr>
              <w:ind w:left="60"/>
              <w:rPr>
                <w:b/>
                <w:sz w:val="24"/>
                <w:szCs w:val="24"/>
              </w:rPr>
            </w:pPr>
          </w:p>
        </w:tc>
      </w:tr>
      <w:tr w:rsidR="005A1DB4" w:rsidRPr="005A1DB4" w14:paraId="05AB0A43" w14:textId="77777777" w:rsidTr="000D10AE">
        <w:tc>
          <w:tcPr>
            <w:tcW w:w="1418" w:type="dxa"/>
            <w:tcBorders>
              <w:top w:val="single" w:sz="4" w:space="0" w:color="auto"/>
              <w:left w:val="single" w:sz="4" w:space="0" w:color="auto"/>
              <w:bottom w:val="single" w:sz="4" w:space="0" w:color="auto"/>
              <w:right w:val="single" w:sz="4" w:space="0" w:color="auto"/>
            </w:tcBorders>
            <w:hideMark/>
          </w:tcPr>
          <w:p w14:paraId="4C8B5587" w14:textId="77777777" w:rsidR="005A1DB4" w:rsidRPr="005A1DB4" w:rsidRDefault="005A1DB4" w:rsidP="000D10AE">
            <w:pPr>
              <w:ind w:left="60"/>
              <w:rPr>
                <w:sz w:val="24"/>
                <w:szCs w:val="24"/>
              </w:rPr>
            </w:pPr>
            <w:r w:rsidRPr="005A1DB4">
              <w:rPr>
                <w:sz w:val="24"/>
                <w:szCs w:val="24"/>
              </w:rPr>
              <w:t>12.500</w:t>
            </w:r>
          </w:p>
        </w:tc>
        <w:tc>
          <w:tcPr>
            <w:tcW w:w="1623" w:type="dxa"/>
            <w:tcBorders>
              <w:top w:val="single" w:sz="4" w:space="0" w:color="auto"/>
              <w:left w:val="single" w:sz="4" w:space="0" w:color="auto"/>
              <w:bottom w:val="single" w:sz="4" w:space="0" w:color="auto"/>
              <w:right w:val="single" w:sz="4" w:space="0" w:color="auto"/>
            </w:tcBorders>
            <w:hideMark/>
          </w:tcPr>
          <w:p w14:paraId="185CF7FC" w14:textId="77777777" w:rsidR="005A1DB4" w:rsidRPr="005A1DB4" w:rsidRDefault="005A1DB4" w:rsidP="000D10AE">
            <w:pPr>
              <w:ind w:left="60"/>
              <w:rPr>
                <w:sz w:val="24"/>
                <w:szCs w:val="24"/>
              </w:rPr>
            </w:pPr>
            <w:r w:rsidRPr="005A1DB4">
              <w:rPr>
                <w:sz w:val="24"/>
                <w:szCs w:val="24"/>
              </w:rPr>
              <w:t>0,4</w:t>
            </w:r>
          </w:p>
        </w:tc>
        <w:tc>
          <w:tcPr>
            <w:tcW w:w="1556" w:type="dxa"/>
            <w:tcBorders>
              <w:top w:val="single" w:sz="4" w:space="0" w:color="auto"/>
              <w:left w:val="single" w:sz="4" w:space="0" w:color="auto"/>
              <w:bottom w:val="single" w:sz="4" w:space="0" w:color="auto"/>
              <w:right w:val="single" w:sz="4" w:space="0" w:color="auto"/>
            </w:tcBorders>
            <w:hideMark/>
          </w:tcPr>
          <w:p w14:paraId="41A22D27" w14:textId="77777777" w:rsidR="005A1DB4" w:rsidRPr="005A1DB4" w:rsidRDefault="005A1DB4" w:rsidP="000D10AE">
            <w:pPr>
              <w:ind w:left="60"/>
              <w:rPr>
                <w:sz w:val="24"/>
                <w:szCs w:val="24"/>
              </w:rPr>
            </w:pPr>
            <w:r w:rsidRPr="005A1DB4">
              <w:rPr>
                <w:sz w:val="24"/>
                <w:szCs w:val="24"/>
              </w:rPr>
              <w:t>1</w:t>
            </w:r>
          </w:p>
        </w:tc>
      </w:tr>
      <w:tr w:rsidR="005A1DB4" w:rsidRPr="005A1DB4" w14:paraId="615DAFA4" w14:textId="77777777" w:rsidTr="000D10AE">
        <w:tc>
          <w:tcPr>
            <w:tcW w:w="1418" w:type="dxa"/>
            <w:tcBorders>
              <w:top w:val="single" w:sz="4" w:space="0" w:color="auto"/>
              <w:left w:val="single" w:sz="4" w:space="0" w:color="auto"/>
              <w:bottom w:val="single" w:sz="4" w:space="0" w:color="auto"/>
              <w:right w:val="single" w:sz="4" w:space="0" w:color="auto"/>
            </w:tcBorders>
            <w:hideMark/>
          </w:tcPr>
          <w:p w14:paraId="0DB55EB2" w14:textId="77777777" w:rsidR="005A1DB4" w:rsidRPr="005A1DB4" w:rsidRDefault="005A1DB4" w:rsidP="000D10AE">
            <w:pPr>
              <w:ind w:left="60"/>
              <w:rPr>
                <w:sz w:val="24"/>
                <w:szCs w:val="24"/>
              </w:rPr>
            </w:pPr>
            <w:r w:rsidRPr="005A1DB4">
              <w:rPr>
                <w:sz w:val="24"/>
                <w:szCs w:val="24"/>
              </w:rPr>
              <w:t>150.000</w:t>
            </w:r>
          </w:p>
        </w:tc>
        <w:tc>
          <w:tcPr>
            <w:tcW w:w="1623" w:type="dxa"/>
            <w:tcBorders>
              <w:top w:val="single" w:sz="4" w:space="0" w:color="auto"/>
              <w:left w:val="single" w:sz="4" w:space="0" w:color="auto"/>
              <w:bottom w:val="single" w:sz="4" w:space="0" w:color="auto"/>
              <w:right w:val="single" w:sz="4" w:space="0" w:color="auto"/>
            </w:tcBorders>
            <w:hideMark/>
          </w:tcPr>
          <w:p w14:paraId="01FE888B" w14:textId="77777777" w:rsidR="005A1DB4" w:rsidRPr="005A1DB4" w:rsidRDefault="005A1DB4" w:rsidP="000D10AE">
            <w:pPr>
              <w:ind w:left="60"/>
              <w:rPr>
                <w:sz w:val="24"/>
                <w:szCs w:val="24"/>
              </w:rPr>
            </w:pPr>
            <w:r w:rsidRPr="005A1DB4">
              <w:rPr>
                <w:sz w:val="24"/>
                <w:szCs w:val="24"/>
              </w:rPr>
              <w:t>5</w:t>
            </w:r>
          </w:p>
        </w:tc>
        <w:tc>
          <w:tcPr>
            <w:tcW w:w="1556" w:type="dxa"/>
            <w:tcBorders>
              <w:top w:val="single" w:sz="4" w:space="0" w:color="auto"/>
              <w:left w:val="single" w:sz="4" w:space="0" w:color="auto"/>
              <w:bottom w:val="single" w:sz="4" w:space="0" w:color="auto"/>
              <w:right w:val="single" w:sz="4" w:space="0" w:color="auto"/>
            </w:tcBorders>
            <w:hideMark/>
          </w:tcPr>
          <w:p w14:paraId="1CC8E09D" w14:textId="77777777" w:rsidR="005A1DB4" w:rsidRPr="005A1DB4" w:rsidRDefault="005A1DB4" w:rsidP="000D10AE">
            <w:pPr>
              <w:ind w:left="60"/>
              <w:rPr>
                <w:sz w:val="24"/>
                <w:szCs w:val="24"/>
              </w:rPr>
            </w:pPr>
            <w:r w:rsidRPr="005A1DB4">
              <w:rPr>
                <w:sz w:val="24"/>
                <w:szCs w:val="24"/>
              </w:rPr>
              <w:t>12</w:t>
            </w:r>
          </w:p>
        </w:tc>
      </w:tr>
      <w:tr w:rsidR="005A1DB4" w:rsidRPr="005A1DB4" w14:paraId="627B94F4" w14:textId="77777777" w:rsidTr="000D10AE">
        <w:tc>
          <w:tcPr>
            <w:tcW w:w="1418" w:type="dxa"/>
            <w:tcBorders>
              <w:top w:val="single" w:sz="4" w:space="0" w:color="auto"/>
              <w:left w:val="single" w:sz="4" w:space="0" w:color="auto"/>
              <w:bottom w:val="single" w:sz="4" w:space="0" w:color="auto"/>
              <w:right w:val="single" w:sz="4" w:space="0" w:color="auto"/>
            </w:tcBorders>
            <w:hideMark/>
          </w:tcPr>
          <w:p w14:paraId="622817CB" w14:textId="77777777" w:rsidR="005A1DB4" w:rsidRPr="005A1DB4" w:rsidRDefault="005A1DB4" w:rsidP="000D10AE">
            <w:pPr>
              <w:ind w:left="60"/>
              <w:rPr>
                <w:sz w:val="24"/>
                <w:szCs w:val="24"/>
              </w:rPr>
            </w:pPr>
            <w:r w:rsidRPr="005A1DB4">
              <w:rPr>
                <w:sz w:val="24"/>
                <w:szCs w:val="24"/>
              </w:rPr>
              <w:t>1.000.000</w:t>
            </w:r>
          </w:p>
        </w:tc>
        <w:tc>
          <w:tcPr>
            <w:tcW w:w="1623" w:type="dxa"/>
            <w:tcBorders>
              <w:top w:val="single" w:sz="4" w:space="0" w:color="auto"/>
              <w:left w:val="single" w:sz="4" w:space="0" w:color="auto"/>
              <w:bottom w:val="single" w:sz="4" w:space="0" w:color="auto"/>
              <w:right w:val="single" w:sz="4" w:space="0" w:color="auto"/>
            </w:tcBorders>
            <w:hideMark/>
          </w:tcPr>
          <w:p w14:paraId="3725B232" w14:textId="77777777" w:rsidR="005A1DB4" w:rsidRPr="005A1DB4" w:rsidRDefault="005A1DB4" w:rsidP="000D10AE">
            <w:pPr>
              <w:ind w:left="60"/>
              <w:rPr>
                <w:sz w:val="24"/>
                <w:szCs w:val="24"/>
              </w:rPr>
            </w:pPr>
            <w:r w:rsidRPr="005A1DB4">
              <w:rPr>
                <w:sz w:val="24"/>
                <w:szCs w:val="24"/>
              </w:rPr>
              <w:t>34</w:t>
            </w:r>
          </w:p>
        </w:tc>
        <w:tc>
          <w:tcPr>
            <w:tcW w:w="1556" w:type="dxa"/>
            <w:tcBorders>
              <w:top w:val="single" w:sz="4" w:space="0" w:color="auto"/>
              <w:left w:val="single" w:sz="4" w:space="0" w:color="auto"/>
              <w:bottom w:val="single" w:sz="4" w:space="0" w:color="auto"/>
              <w:right w:val="single" w:sz="4" w:space="0" w:color="auto"/>
            </w:tcBorders>
            <w:hideMark/>
          </w:tcPr>
          <w:p w14:paraId="3C31EDC6" w14:textId="77777777" w:rsidR="005A1DB4" w:rsidRPr="005A1DB4" w:rsidRDefault="005A1DB4" w:rsidP="000D10AE">
            <w:pPr>
              <w:ind w:left="60"/>
              <w:rPr>
                <w:sz w:val="24"/>
                <w:szCs w:val="24"/>
              </w:rPr>
            </w:pPr>
            <w:r w:rsidRPr="005A1DB4">
              <w:rPr>
                <w:sz w:val="24"/>
                <w:szCs w:val="24"/>
              </w:rPr>
              <w:t>80</w:t>
            </w:r>
          </w:p>
        </w:tc>
      </w:tr>
      <w:tr w:rsidR="005A1DB4" w:rsidRPr="005A1DB4" w14:paraId="12F3FB32" w14:textId="77777777" w:rsidTr="000D10AE">
        <w:tc>
          <w:tcPr>
            <w:tcW w:w="1418" w:type="dxa"/>
            <w:tcBorders>
              <w:top w:val="single" w:sz="4" w:space="0" w:color="auto"/>
              <w:left w:val="single" w:sz="4" w:space="0" w:color="auto"/>
              <w:bottom w:val="single" w:sz="4" w:space="0" w:color="auto"/>
              <w:right w:val="single" w:sz="4" w:space="0" w:color="auto"/>
            </w:tcBorders>
            <w:hideMark/>
          </w:tcPr>
          <w:p w14:paraId="3A0E2E2E" w14:textId="77777777" w:rsidR="005A1DB4" w:rsidRPr="005A1DB4" w:rsidRDefault="005A1DB4" w:rsidP="000D10AE">
            <w:pPr>
              <w:ind w:left="60"/>
              <w:rPr>
                <w:sz w:val="24"/>
                <w:szCs w:val="24"/>
              </w:rPr>
            </w:pPr>
            <w:r w:rsidRPr="005A1DB4">
              <w:rPr>
                <w:sz w:val="24"/>
                <w:szCs w:val="24"/>
              </w:rPr>
              <w:t>4.500.000</w:t>
            </w:r>
          </w:p>
        </w:tc>
        <w:tc>
          <w:tcPr>
            <w:tcW w:w="1623" w:type="dxa"/>
            <w:tcBorders>
              <w:top w:val="single" w:sz="4" w:space="0" w:color="auto"/>
              <w:left w:val="single" w:sz="4" w:space="0" w:color="auto"/>
              <w:bottom w:val="single" w:sz="4" w:space="0" w:color="auto"/>
              <w:right w:val="single" w:sz="4" w:space="0" w:color="auto"/>
            </w:tcBorders>
            <w:hideMark/>
          </w:tcPr>
          <w:p w14:paraId="4D0E76DF" w14:textId="77777777" w:rsidR="005A1DB4" w:rsidRPr="005A1DB4" w:rsidRDefault="005A1DB4" w:rsidP="000D10AE">
            <w:pPr>
              <w:ind w:left="60"/>
              <w:rPr>
                <w:sz w:val="24"/>
                <w:szCs w:val="24"/>
              </w:rPr>
            </w:pPr>
            <w:r w:rsidRPr="005A1DB4">
              <w:rPr>
                <w:sz w:val="24"/>
                <w:szCs w:val="24"/>
              </w:rPr>
              <w:t>150</w:t>
            </w:r>
          </w:p>
        </w:tc>
        <w:tc>
          <w:tcPr>
            <w:tcW w:w="1556" w:type="dxa"/>
            <w:tcBorders>
              <w:top w:val="single" w:sz="4" w:space="0" w:color="auto"/>
              <w:left w:val="single" w:sz="4" w:space="0" w:color="auto"/>
              <w:bottom w:val="single" w:sz="4" w:space="0" w:color="auto"/>
              <w:right w:val="single" w:sz="4" w:space="0" w:color="auto"/>
            </w:tcBorders>
            <w:hideMark/>
          </w:tcPr>
          <w:p w14:paraId="3EF332E3" w14:textId="77777777" w:rsidR="005A1DB4" w:rsidRPr="005A1DB4" w:rsidRDefault="005A1DB4" w:rsidP="000D10AE">
            <w:pPr>
              <w:ind w:left="60"/>
              <w:rPr>
                <w:sz w:val="24"/>
                <w:szCs w:val="24"/>
              </w:rPr>
            </w:pPr>
            <w:r w:rsidRPr="005A1DB4">
              <w:rPr>
                <w:sz w:val="24"/>
                <w:szCs w:val="24"/>
              </w:rPr>
              <w:t>360</w:t>
            </w:r>
          </w:p>
        </w:tc>
      </w:tr>
      <w:tr w:rsidR="005A1DB4" w:rsidRPr="005A1DB4" w14:paraId="41B33ECE" w14:textId="77777777" w:rsidTr="000D10AE">
        <w:tc>
          <w:tcPr>
            <w:tcW w:w="1418" w:type="dxa"/>
            <w:tcBorders>
              <w:top w:val="single" w:sz="4" w:space="0" w:color="auto"/>
              <w:left w:val="single" w:sz="4" w:space="0" w:color="auto"/>
              <w:bottom w:val="single" w:sz="4" w:space="0" w:color="auto"/>
              <w:right w:val="single" w:sz="4" w:space="0" w:color="auto"/>
            </w:tcBorders>
            <w:hideMark/>
          </w:tcPr>
          <w:p w14:paraId="34F860A4" w14:textId="77777777" w:rsidR="005A1DB4" w:rsidRPr="005A1DB4" w:rsidRDefault="005A1DB4" w:rsidP="000D10AE">
            <w:pPr>
              <w:ind w:left="60"/>
              <w:rPr>
                <w:sz w:val="24"/>
                <w:szCs w:val="24"/>
              </w:rPr>
            </w:pPr>
            <w:r w:rsidRPr="005A1DB4">
              <w:rPr>
                <w:sz w:val="24"/>
                <w:szCs w:val="24"/>
              </w:rPr>
              <w:t>9.000.000</w:t>
            </w:r>
          </w:p>
        </w:tc>
        <w:tc>
          <w:tcPr>
            <w:tcW w:w="1623" w:type="dxa"/>
            <w:tcBorders>
              <w:top w:val="single" w:sz="4" w:space="0" w:color="auto"/>
              <w:left w:val="single" w:sz="4" w:space="0" w:color="auto"/>
              <w:bottom w:val="single" w:sz="4" w:space="0" w:color="auto"/>
              <w:right w:val="single" w:sz="4" w:space="0" w:color="auto"/>
            </w:tcBorders>
            <w:hideMark/>
          </w:tcPr>
          <w:p w14:paraId="37A04540" w14:textId="77777777" w:rsidR="005A1DB4" w:rsidRPr="005A1DB4" w:rsidRDefault="005A1DB4" w:rsidP="000D10AE">
            <w:pPr>
              <w:ind w:left="60"/>
              <w:rPr>
                <w:sz w:val="24"/>
                <w:szCs w:val="24"/>
              </w:rPr>
            </w:pPr>
            <w:r w:rsidRPr="005A1DB4">
              <w:rPr>
                <w:sz w:val="24"/>
                <w:szCs w:val="24"/>
              </w:rPr>
              <w:t>300</w:t>
            </w:r>
          </w:p>
        </w:tc>
        <w:tc>
          <w:tcPr>
            <w:tcW w:w="1556" w:type="dxa"/>
            <w:tcBorders>
              <w:top w:val="single" w:sz="4" w:space="0" w:color="auto"/>
              <w:left w:val="single" w:sz="4" w:space="0" w:color="auto"/>
              <w:bottom w:val="single" w:sz="4" w:space="0" w:color="auto"/>
              <w:right w:val="single" w:sz="4" w:space="0" w:color="auto"/>
            </w:tcBorders>
            <w:hideMark/>
          </w:tcPr>
          <w:p w14:paraId="1A8D81A4" w14:textId="77777777" w:rsidR="005A1DB4" w:rsidRPr="005A1DB4" w:rsidRDefault="005A1DB4" w:rsidP="000D10AE">
            <w:pPr>
              <w:ind w:left="60"/>
              <w:rPr>
                <w:sz w:val="24"/>
                <w:szCs w:val="24"/>
              </w:rPr>
            </w:pPr>
            <w:r w:rsidRPr="005A1DB4">
              <w:rPr>
                <w:sz w:val="24"/>
                <w:szCs w:val="24"/>
              </w:rPr>
              <w:t>720</w:t>
            </w:r>
          </w:p>
        </w:tc>
      </w:tr>
    </w:tbl>
    <w:p w14:paraId="147D3097" w14:textId="77777777" w:rsidR="005A1DB4" w:rsidRPr="005A1DB4" w:rsidRDefault="005A1DB4" w:rsidP="005A1DB4">
      <w:pPr>
        <w:tabs>
          <w:tab w:val="left" w:pos="851"/>
        </w:tabs>
        <w:ind w:left="851"/>
        <w:rPr>
          <w:sz w:val="24"/>
          <w:szCs w:val="24"/>
        </w:rPr>
      </w:pPr>
      <w:r w:rsidRPr="005A1DB4">
        <w:rPr>
          <w:sz w:val="24"/>
          <w:szCs w:val="24"/>
        </w:rPr>
        <w:t>* Nominel potens af lægemiddelstoffet = 12.500 IE/mg</w:t>
      </w:r>
    </w:p>
    <w:p w14:paraId="30EE9B54" w14:textId="77777777" w:rsidR="009260DE" w:rsidRPr="00D707F0" w:rsidRDefault="009260DE" w:rsidP="009260DE">
      <w:pPr>
        <w:tabs>
          <w:tab w:val="left" w:pos="851"/>
        </w:tabs>
        <w:ind w:left="851"/>
        <w:rPr>
          <w:sz w:val="24"/>
          <w:szCs w:val="24"/>
        </w:rPr>
      </w:pPr>
    </w:p>
    <w:p w14:paraId="4CC9C4E6" w14:textId="77777777" w:rsidR="009260DE" w:rsidRPr="00D707F0" w:rsidRDefault="009260DE" w:rsidP="009260DE">
      <w:pPr>
        <w:tabs>
          <w:tab w:val="left" w:pos="851"/>
        </w:tabs>
        <w:ind w:left="851" w:hanging="851"/>
        <w:rPr>
          <w:b/>
          <w:sz w:val="24"/>
          <w:szCs w:val="24"/>
        </w:rPr>
      </w:pPr>
      <w:r w:rsidRPr="00D707F0">
        <w:rPr>
          <w:b/>
          <w:sz w:val="24"/>
          <w:szCs w:val="24"/>
        </w:rPr>
        <w:t>4.3</w:t>
      </w:r>
      <w:r w:rsidRPr="00D707F0">
        <w:rPr>
          <w:b/>
          <w:sz w:val="24"/>
          <w:szCs w:val="24"/>
        </w:rPr>
        <w:tab/>
        <w:t>Kontraindikationer</w:t>
      </w:r>
    </w:p>
    <w:p w14:paraId="6BFBAA01" w14:textId="77777777" w:rsidR="005A1DB4" w:rsidRPr="005A1DB4" w:rsidRDefault="005A1DB4" w:rsidP="000D10AE">
      <w:pPr>
        <w:ind w:left="851"/>
        <w:rPr>
          <w:sz w:val="24"/>
          <w:szCs w:val="24"/>
        </w:rPr>
      </w:pPr>
      <w:r w:rsidRPr="005A1DB4">
        <w:rPr>
          <w:sz w:val="24"/>
          <w:szCs w:val="24"/>
        </w:rPr>
        <w:t xml:space="preserve">Overfølsomhed over for </w:t>
      </w:r>
      <w:proofErr w:type="spellStart"/>
      <w:r w:rsidRPr="005A1DB4">
        <w:rPr>
          <w:sz w:val="24"/>
          <w:szCs w:val="24"/>
        </w:rPr>
        <w:t>colistimethatnatrium</w:t>
      </w:r>
      <w:proofErr w:type="spellEnd"/>
      <w:r w:rsidRPr="005A1DB4">
        <w:rPr>
          <w:sz w:val="24"/>
          <w:szCs w:val="24"/>
        </w:rPr>
        <w:t xml:space="preserve">, </w:t>
      </w:r>
      <w:proofErr w:type="spellStart"/>
      <w:r w:rsidRPr="005A1DB4">
        <w:rPr>
          <w:sz w:val="24"/>
          <w:szCs w:val="24"/>
        </w:rPr>
        <w:t>colistin</w:t>
      </w:r>
      <w:proofErr w:type="spellEnd"/>
      <w:r w:rsidRPr="005A1DB4">
        <w:rPr>
          <w:sz w:val="24"/>
          <w:szCs w:val="24"/>
        </w:rPr>
        <w:t xml:space="preserve"> eller andre </w:t>
      </w:r>
      <w:proofErr w:type="spellStart"/>
      <w:r w:rsidRPr="005A1DB4">
        <w:rPr>
          <w:sz w:val="24"/>
          <w:szCs w:val="24"/>
        </w:rPr>
        <w:t>polymyxiner</w:t>
      </w:r>
      <w:proofErr w:type="spellEnd"/>
      <w:r w:rsidRPr="005A1DB4">
        <w:rPr>
          <w:sz w:val="24"/>
          <w:szCs w:val="24"/>
        </w:rPr>
        <w:t>.</w:t>
      </w:r>
    </w:p>
    <w:p w14:paraId="7EC1963B" w14:textId="77777777" w:rsidR="009260DE" w:rsidRPr="00D707F0" w:rsidRDefault="009260DE" w:rsidP="009260DE">
      <w:pPr>
        <w:tabs>
          <w:tab w:val="left" w:pos="851"/>
        </w:tabs>
        <w:ind w:left="851"/>
        <w:rPr>
          <w:sz w:val="24"/>
          <w:szCs w:val="24"/>
        </w:rPr>
      </w:pPr>
    </w:p>
    <w:p w14:paraId="63AD3F75" w14:textId="77777777" w:rsidR="009260DE" w:rsidRPr="00D707F0" w:rsidRDefault="009260DE" w:rsidP="009260DE">
      <w:pPr>
        <w:tabs>
          <w:tab w:val="left" w:pos="851"/>
        </w:tabs>
        <w:ind w:left="851" w:hanging="851"/>
        <w:rPr>
          <w:b/>
          <w:sz w:val="24"/>
          <w:szCs w:val="24"/>
        </w:rPr>
      </w:pPr>
      <w:r w:rsidRPr="00D707F0">
        <w:rPr>
          <w:b/>
          <w:sz w:val="24"/>
          <w:szCs w:val="24"/>
        </w:rPr>
        <w:t>4.4</w:t>
      </w:r>
      <w:r w:rsidRPr="00D707F0">
        <w:rPr>
          <w:b/>
          <w:sz w:val="24"/>
          <w:szCs w:val="24"/>
        </w:rPr>
        <w:tab/>
        <w:t>Særlige advarsler og forsigtighedsregler vedrørende brugen</w:t>
      </w:r>
    </w:p>
    <w:p w14:paraId="0FC29A8A" w14:textId="44EFBBFD" w:rsidR="005A1DB4" w:rsidRPr="005A1DB4" w:rsidRDefault="005A1DB4" w:rsidP="000D10AE">
      <w:pPr>
        <w:ind w:left="851"/>
        <w:rPr>
          <w:iCs/>
          <w:sz w:val="24"/>
          <w:szCs w:val="24"/>
        </w:rPr>
      </w:pPr>
      <w:r w:rsidRPr="005A1DB4">
        <w:rPr>
          <w:sz w:val="24"/>
          <w:szCs w:val="24"/>
        </w:rPr>
        <w:t xml:space="preserve">Nyrefunktionen skal overvåges ved behandlingsstart og regelmæssigt under behandlingen hos alle patienter. </w:t>
      </w:r>
      <w:proofErr w:type="spellStart"/>
      <w:r w:rsidRPr="005A1DB4">
        <w:rPr>
          <w:sz w:val="24"/>
          <w:szCs w:val="24"/>
        </w:rPr>
        <w:t>Hypovolæmiske</w:t>
      </w:r>
      <w:proofErr w:type="spellEnd"/>
      <w:r w:rsidRPr="005A1DB4">
        <w:rPr>
          <w:sz w:val="24"/>
          <w:szCs w:val="24"/>
        </w:rPr>
        <w:t xml:space="preserve"> patienter og patienter, der får andre potentielt </w:t>
      </w:r>
      <w:proofErr w:type="spellStart"/>
      <w:r w:rsidRPr="005A1DB4">
        <w:rPr>
          <w:sz w:val="24"/>
          <w:szCs w:val="24"/>
        </w:rPr>
        <w:t>nefrotoksiske</w:t>
      </w:r>
      <w:proofErr w:type="spellEnd"/>
      <w:r w:rsidRPr="005A1DB4">
        <w:rPr>
          <w:sz w:val="24"/>
          <w:szCs w:val="24"/>
        </w:rPr>
        <w:t xml:space="preserve"> lægemidler, har øget risiko for </w:t>
      </w:r>
      <w:proofErr w:type="spellStart"/>
      <w:r w:rsidRPr="005A1DB4">
        <w:rPr>
          <w:sz w:val="24"/>
          <w:szCs w:val="24"/>
        </w:rPr>
        <w:t>nefrotoksicitet</w:t>
      </w:r>
      <w:proofErr w:type="spellEnd"/>
      <w:r w:rsidRPr="005A1DB4">
        <w:rPr>
          <w:sz w:val="24"/>
          <w:szCs w:val="24"/>
        </w:rPr>
        <w:t xml:space="preserve"> ved brug af </w:t>
      </w:r>
      <w:proofErr w:type="spellStart"/>
      <w:r w:rsidRPr="005A1DB4">
        <w:rPr>
          <w:sz w:val="24"/>
          <w:szCs w:val="24"/>
        </w:rPr>
        <w:t>colistin</w:t>
      </w:r>
      <w:proofErr w:type="spellEnd"/>
      <w:r w:rsidRPr="005A1DB4">
        <w:rPr>
          <w:sz w:val="24"/>
          <w:szCs w:val="24"/>
        </w:rPr>
        <w:t xml:space="preserve"> (se pkt. 4.5). </w:t>
      </w:r>
      <w:proofErr w:type="spellStart"/>
      <w:r w:rsidRPr="005A1DB4">
        <w:rPr>
          <w:sz w:val="24"/>
          <w:szCs w:val="24"/>
        </w:rPr>
        <w:t>Nefrotoksicitet</w:t>
      </w:r>
      <w:proofErr w:type="spellEnd"/>
      <w:r w:rsidRPr="005A1DB4">
        <w:rPr>
          <w:sz w:val="24"/>
          <w:szCs w:val="24"/>
        </w:rPr>
        <w:t xml:space="preserve"> er i nogle studier blevet rapporteret at være forbundet med kumulativ dosis og behand</w:t>
      </w:r>
      <w:r w:rsidR="00F23072">
        <w:rPr>
          <w:sz w:val="24"/>
          <w:szCs w:val="24"/>
        </w:rPr>
        <w:t>l</w:t>
      </w:r>
      <w:r w:rsidRPr="005A1DB4">
        <w:rPr>
          <w:sz w:val="24"/>
          <w:szCs w:val="24"/>
        </w:rPr>
        <w:t xml:space="preserve">ingsvarighed. Fordelen ved en lang behandlingsvarighed skal afvejes mod den potentielt øgede risiko for </w:t>
      </w:r>
      <w:proofErr w:type="spellStart"/>
      <w:r w:rsidRPr="005A1DB4">
        <w:rPr>
          <w:sz w:val="24"/>
          <w:szCs w:val="24"/>
        </w:rPr>
        <w:t>renal</w:t>
      </w:r>
      <w:proofErr w:type="spellEnd"/>
      <w:r w:rsidRPr="005A1DB4">
        <w:rPr>
          <w:sz w:val="24"/>
          <w:szCs w:val="24"/>
        </w:rPr>
        <w:t xml:space="preserve"> toksicitet. </w:t>
      </w:r>
    </w:p>
    <w:p w14:paraId="37AF4DD7" w14:textId="77777777" w:rsidR="005A1DB4" w:rsidRPr="005A1DB4" w:rsidRDefault="005A1DB4" w:rsidP="000D10AE">
      <w:pPr>
        <w:ind w:left="851"/>
        <w:rPr>
          <w:sz w:val="24"/>
          <w:szCs w:val="24"/>
        </w:rPr>
      </w:pPr>
    </w:p>
    <w:p w14:paraId="5B4A034D" w14:textId="77777777" w:rsidR="005A1DB4" w:rsidRPr="005A1DB4" w:rsidRDefault="005A1DB4" w:rsidP="000D10AE">
      <w:pPr>
        <w:ind w:left="851"/>
        <w:rPr>
          <w:sz w:val="24"/>
          <w:szCs w:val="24"/>
        </w:rPr>
      </w:pPr>
      <w:r w:rsidRPr="005A1DB4">
        <w:rPr>
          <w:sz w:val="24"/>
          <w:szCs w:val="24"/>
        </w:rPr>
        <w:t xml:space="preserve">Det tilrådes, at der udvises forsigtighed ved administration af </w:t>
      </w:r>
      <w:proofErr w:type="spellStart"/>
      <w:r w:rsidRPr="005A1DB4">
        <w:rPr>
          <w:sz w:val="24"/>
          <w:szCs w:val="24"/>
        </w:rPr>
        <w:t>colistimethatnatrium</w:t>
      </w:r>
      <w:proofErr w:type="spellEnd"/>
      <w:r w:rsidRPr="005A1DB4">
        <w:rPr>
          <w:sz w:val="24"/>
          <w:szCs w:val="24"/>
        </w:rPr>
        <w:t xml:space="preserve"> til spædbørn &lt; 1 år, da nyrefunktionen ikke er fuldt moden hos denne aldersgruppe. </w:t>
      </w:r>
      <w:proofErr w:type="gramStart"/>
      <w:r w:rsidRPr="005A1DB4">
        <w:rPr>
          <w:sz w:val="24"/>
          <w:szCs w:val="24"/>
        </w:rPr>
        <w:t>Endvidere</w:t>
      </w:r>
      <w:proofErr w:type="gramEnd"/>
      <w:r w:rsidRPr="005A1DB4">
        <w:rPr>
          <w:sz w:val="24"/>
          <w:szCs w:val="24"/>
        </w:rPr>
        <w:t xml:space="preserve"> er det ikke kendt, hvordan en umoden nyrefunktion og metabolisk funktion påvirker omdannelsen af </w:t>
      </w:r>
      <w:proofErr w:type="spellStart"/>
      <w:r w:rsidRPr="005A1DB4">
        <w:rPr>
          <w:sz w:val="24"/>
          <w:szCs w:val="24"/>
        </w:rPr>
        <w:t>colistimethatnatrium</w:t>
      </w:r>
      <w:proofErr w:type="spellEnd"/>
      <w:r w:rsidRPr="005A1DB4">
        <w:rPr>
          <w:sz w:val="24"/>
          <w:szCs w:val="24"/>
        </w:rPr>
        <w:t xml:space="preserve"> til </w:t>
      </w:r>
      <w:proofErr w:type="spellStart"/>
      <w:r w:rsidRPr="005A1DB4">
        <w:rPr>
          <w:sz w:val="24"/>
          <w:szCs w:val="24"/>
        </w:rPr>
        <w:t>colistin</w:t>
      </w:r>
      <w:proofErr w:type="spellEnd"/>
      <w:r w:rsidRPr="005A1DB4">
        <w:rPr>
          <w:sz w:val="24"/>
          <w:szCs w:val="24"/>
        </w:rPr>
        <w:t>.</w:t>
      </w:r>
    </w:p>
    <w:p w14:paraId="416D84C7" w14:textId="77777777" w:rsidR="005A1DB4" w:rsidRPr="005A1DB4" w:rsidRDefault="005A1DB4" w:rsidP="000D10AE">
      <w:pPr>
        <w:ind w:left="851"/>
        <w:rPr>
          <w:sz w:val="24"/>
          <w:szCs w:val="24"/>
        </w:rPr>
      </w:pPr>
    </w:p>
    <w:p w14:paraId="218B9E09" w14:textId="77777777" w:rsidR="005A1DB4" w:rsidRPr="005A1DB4" w:rsidRDefault="005A1DB4" w:rsidP="000D10AE">
      <w:pPr>
        <w:ind w:left="851"/>
        <w:rPr>
          <w:sz w:val="24"/>
          <w:szCs w:val="24"/>
        </w:rPr>
      </w:pPr>
      <w:r w:rsidRPr="005A1DB4">
        <w:rPr>
          <w:sz w:val="24"/>
          <w:szCs w:val="24"/>
        </w:rPr>
        <w:t xml:space="preserve">I tilfælde af en allergisk reaktion skal behandlingen med </w:t>
      </w:r>
      <w:proofErr w:type="spellStart"/>
      <w:r w:rsidRPr="005A1DB4">
        <w:rPr>
          <w:sz w:val="24"/>
          <w:szCs w:val="24"/>
        </w:rPr>
        <w:t>colistimethatnatrium</w:t>
      </w:r>
      <w:proofErr w:type="spellEnd"/>
      <w:r w:rsidRPr="005A1DB4">
        <w:rPr>
          <w:sz w:val="24"/>
          <w:szCs w:val="24"/>
        </w:rPr>
        <w:t xml:space="preserve"> seponeres og passende foranstaltninger iværksættes.</w:t>
      </w:r>
    </w:p>
    <w:p w14:paraId="043A8DA6" w14:textId="77777777" w:rsidR="005A1DB4" w:rsidRPr="005A1DB4" w:rsidRDefault="005A1DB4" w:rsidP="000D10AE">
      <w:pPr>
        <w:ind w:left="851"/>
        <w:rPr>
          <w:sz w:val="24"/>
          <w:szCs w:val="24"/>
        </w:rPr>
      </w:pPr>
    </w:p>
    <w:p w14:paraId="5558CCA1" w14:textId="77777777" w:rsidR="005A1DB4" w:rsidRPr="005A1DB4" w:rsidRDefault="005A1DB4" w:rsidP="000D10AE">
      <w:pPr>
        <w:ind w:left="851"/>
        <w:rPr>
          <w:iCs/>
          <w:sz w:val="24"/>
          <w:szCs w:val="24"/>
        </w:rPr>
      </w:pPr>
      <w:r w:rsidRPr="005A1DB4">
        <w:rPr>
          <w:sz w:val="24"/>
          <w:szCs w:val="24"/>
        </w:rPr>
        <w:t xml:space="preserve">Det er rapporteret, at høje serumkoncentrationer af </w:t>
      </w:r>
      <w:proofErr w:type="spellStart"/>
      <w:r w:rsidRPr="005A1DB4">
        <w:rPr>
          <w:sz w:val="24"/>
          <w:szCs w:val="24"/>
        </w:rPr>
        <w:t>colistimethatnatrium</w:t>
      </w:r>
      <w:proofErr w:type="spellEnd"/>
      <w:r w:rsidRPr="005A1DB4">
        <w:rPr>
          <w:sz w:val="24"/>
          <w:szCs w:val="24"/>
        </w:rPr>
        <w:t xml:space="preserve">, som kan være associeret med overdosering eller manglende reduktion af dosis til patienter med nedsat nyrefunktion, kan medføre </w:t>
      </w:r>
      <w:proofErr w:type="spellStart"/>
      <w:r w:rsidRPr="005A1DB4">
        <w:rPr>
          <w:sz w:val="24"/>
          <w:szCs w:val="24"/>
        </w:rPr>
        <w:t>neurotoksiske</w:t>
      </w:r>
      <w:proofErr w:type="spellEnd"/>
      <w:r w:rsidRPr="005A1DB4">
        <w:rPr>
          <w:sz w:val="24"/>
          <w:szCs w:val="24"/>
        </w:rPr>
        <w:t xml:space="preserve"> bivirkninger såsom </w:t>
      </w:r>
      <w:proofErr w:type="spellStart"/>
      <w:r w:rsidRPr="005A1DB4">
        <w:rPr>
          <w:sz w:val="24"/>
          <w:szCs w:val="24"/>
        </w:rPr>
        <w:t>facial</w:t>
      </w:r>
      <w:proofErr w:type="spellEnd"/>
      <w:r w:rsidRPr="005A1DB4">
        <w:rPr>
          <w:sz w:val="24"/>
          <w:szCs w:val="24"/>
        </w:rPr>
        <w:t xml:space="preserve"> </w:t>
      </w:r>
      <w:proofErr w:type="spellStart"/>
      <w:r w:rsidRPr="005A1DB4">
        <w:rPr>
          <w:sz w:val="24"/>
          <w:szCs w:val="24"/>
        </w:rPr>
        <w:t>paræstesi</w:t>
      </w:r>
      <w:proofErr w:type="spellEnd"/>
      <w:r w:rsidRPr="005A1DB4">
        <w:rPr>
          <w:sz w:val="24"/>
          <w:szCs w:val="24"/>
        </w:rPr>
        <w:t>, muskelsvaghed</w:t>
      </w:r>
      <w:r w:rsidRPr="005A1DB4">
        <w:rPr>
          <w:i/>
          <w:iCs/>
          <w:sz w:val="24"/>
          <w:szCs w:val="24"/>
        </w:rPr>
        <w:t xml:space="preserve">, </w:t>
      </w:r>
      <w:proofErr w:type="spellStart"/>
      <w:r w:rsidRPr="005A1DB4">
        <w:rPr>
          <w:sz w:val="24"/>
          <w:szCs w:val="24"/>
        </w:rPr>
        <w:t>vertigo</w:t>
      </w:r>
      <w:proofErr w:type="spellEnd"/>
      <w:r w:rsidRPr="005A1DB4">
        <w:rPr>
          <w:sz w:val="24"/>
          <w:szCs w:val="24"/>
        </w:rPr>
        <w:t xml:space="preserve">, sløret tale, vasomotorisk ustabilitet, synsforstyrrelser, forvirring, psykose og apnø. Patienterne skal overvåges for perioral </w:t>
      </w:r>
      <w:proofErr w:type="spellStart"/>
      <w:r w:rsidRPr="005A1DB4">
        <w:rPr>
          <w:sz w:val="24"/>
          <w:szCs w:val="24"/>
        </w:rPr>
        <w:t>paræstesi</w:t>
      </w:r>
      <w:proofErr w:type="spellEnd"/>
      <w:r w:rsidRPr="005A1DB4">
        <w:rPr>
          <w:sz w:val="24"/>
          <w:szCs w:val="24"/>
        </w:rPr>
        <w:t xml:space="preserve"> og </w:t>
      </w:r>
      <w:proofErr w:type="spellStart"/>
      <w:r w:rsidRPr="005A1DB4">
        <w:rPr>
          <w:sz w:val="24"/>
          <w:szCs w:val="24"/>
        </w:rPr>
        <w:t>paræstesi</w:t>
      </w:r>
      <w:proofErr w:type="spellEnd"/>
      <w:r w:rsidRPr="005A1DB4">
        <w:rPr>
          <w:sz w:val="24"/>
          <w:szCs w:val="24"/>
        </w:rPr>
        <w:t xml:space="preserve"> i ekstremiteterne, som er tegn på overdosering (se pkt. 4.9).</w:t>
      </w:r>
    </w:p>
    <w:p w14:paraId="4AAF2696" w14:textId="77777777" w:rsidR="005A1DB4" w:rsidRPr="005A1DB4" w:rsidRDefault="005A1DB4" w:rsidP="000D10AE">
      <w:pPr>
        <w:ind w:left="851"/>
        <w:rPr>
          <w:iCs/>
          <w:sz w:val="24"/>
          <w:szCs w:val="24"/>
        </w:rPr>
      </w:pPr>
    </w:p>
    <w:p w14:paraId="3C682A20" w14:textId="77777777" w:rsidR="005A1DB4" w:rsidRPr="005A1DB4" w:rsidRDefault="005A1DB4" w:rsidP="000D10AE">
      <w:pPr>
        <w:ind w:left="851"/>
        <w:rPr>
          <w:sz w:val="24"/>
          <w:szCs w:val="24"/>
        </w:rPr>
      </w:pPr>
      <w:proofErr w:type="spellStart"/>
      <w:r w:rsidRPr="005A1DB4">
        <w:rPr>
          <w:sz w:val="24"/>
          <w:szCs w:val="24"/>
        </w:rPr>
        <w:t>Colistimethatnatrium</w:t>
      </w:r>
      <w:proofErr w:type="spellEnd"/>
      <w:r w:rsidRPr="005A1DB4">
        <w:rPr>
          <w:sz w:val="24"/>
          <w:szCs w:val="24"/>
        </w:rPr>
        <w:t xml:space="preserve"> er kendt for at reducere den </w:t>
      </w:r>
      <w:proofErr w:type="spellStart"/>
      <w:r w:rsidRPr="005A1DB4">
        <w:rPr>
          <w:sz w:val="24"/>
          <w:szCs w:val="24"/>
        </w:rPr>
        <w:t>præsynaptiske</w:t>
      </w:r>
      <w:proofErr w:type="spellEnd"/>
      <w:r w:rsidRPr="005A1DB4">
        <w:rPr>
          <w:sz w:val="24"/>
          <w:szCs w:val="24"/>
        </w:rPr>
        <w:t xml:space="preserve"> frigivelse af </w:t>
      </w:r>
      <w:proofErr w:type="spellStart"/>
      <w:r w:rsidRPr="005A1DB4">
        <w:rPr>
          <w:sz w:val="24"/>
          <w:szCs w:val="24"/>
        </w:rPr>
        <w:t>acetylcholin</w:t>
      </w:r>
      <w:proofErr w:type="spellEnd"/>
      <w:r w:rsidRPr="005A1DB4">
        <w:rPr>
          <w:sz w:val="24"/>
          <w:szCs w:val="24"/>
        </w:rPr>
        <w:t xml:space="preserve"> i den </w:t>
      </w:r>
      <w:proofErr w:type="spellStart"/>
      <w:r w:rsidRPr="005A1DB4">
        <w:rPr>
          <w:sz w:val="24"/>
          <w:szCs w:val="24"/>
        </w:rPr>
        <w:t>neuromuskulære</w:t>
      </w:r>
      <w:proofErr w:type="spellEnd"/>
      <w:r w:rsidRPr="005A1DB4">
        <w:rPr>
          <w:sz w:val="24"/>
          <w:szCs w:val="24"/>
        </w:rPr>
        <w:t xml:space="preserve"> overgang og bør derfor anvendes til patienter med </w:t>
      </w:r>
      <w:proofErr w:type="spellStart"/>
      <w:r w:rsidRPr="005A1DB4">
        <w:rPr>
          <w:sz w:val="24"/>
          <w:szCs w:val="24"/>
        </w:rPr>
        <w:t>myasthenia</w:t>
      </w:r>
      <w:proofErr w:type="spellEnd"/>
      <w:r w:rsidRPr="005A1DB4">
        <w:rPr>
          <w:sz w:val="24"/>
          <w:szCs w:val="24"/>
        </w:rPr>
        <w:t xml:space="preserve"> </w:t>
      </w:r>
      <w:proofErr w:type="spellStart"/>
      <w:r w:rsidRPr="005A1DB4">
        <w:rPr>
          <w:sz w:val="24"/>
          <w:szCs w:val="24"/>
        </w:rPr>
        <w:t>gravis</w:t>
      </w:r>
      <w:proofErr w:type="spellEnd"/>
      <w:r w:rsidRPr="005A1DB4">
        <w:rPr>
          <w:sz w:val="24"/>
          <w:szCs w:val="24"/>
        </w:rPr>
        <w:t xml:space="preserve"> med den største forsigtighed og kun, hvis det er klart nødvendigt. </w:t>
      </w:r>
    </w:p>
    <w:p w14:paraId="0324DB1B" w14:textId="77777777" w:rsidR="005A1DB4" w:rsidRPr="005A1DB4" w:rsidRDefault="005A1DB4" w:rsidP="000D10AE">
      <w:pPr>
        <w:ind w:left="851"/>
        <w:rPr>
          <w:sz w:val="24"/>
          <w:szCs w:val="24"/>
        </w:rPr>
      </w:pPr>
    </w:p>
    <w:p w14:paraId="37F6473E" w14:textId="77777777" w:rsidR="005A1DB4" w:rsidRPr="005A1DB4" w:rsidRDefault="005A1DB4" w:rsidP="000D10AE">
      <w:pPr>
        <w:ind w:left="851"/>
        <w:rPr>
          <w:sz w:val="24"/>
          <w:szCs w:val="24"/>
        </w:rPr>
      </w:pPr>
      <w:r w:rsidRPr="005A1DB4">
        <w:rPr>
          <w:sz w:val="24"/>
          <w:szCs w:val="24"/>
        </w:rPr>
        <w:t xml:space="preserve">Respirationsstop er blevet rapporteret efter intramuskulær administration af </w:t>
      </w:r>
      <w:proofErr w:type="spellStart"/>
      <w:r w:rsidRPr="005A1DB4">
        <w:rPr>
          <w:sz w:val="24"/>
          <w:szCs w:val="24"/>
        </w:rPr>
        <w:t>colistimethatnatrium</w:t>
      </w:r>
      <w:proofErr w:type="spellEnd"/>
      <w:r w:rsidRPr="005A1DB4">
        <w:rPr>
          <w:sz w:val="24"/>
          <w:szCs w:val="24"/>
        </w:rPr>
        <w:t xml:space="preserve">. Nedsat nyrefunktion øger risikoen for apnø og </w:t>
      </w:r>
      <w:proofErr w:type="spellStart"/>
      <w:r w:rsidRPr="005A1DB4">
        <w:rPr>
          <w:sz w:val="24"/>
          <w:szCs w:val="24"/>
        </w:rPr>
        <w:t>neuromuskulær</w:t>
      </w:r>
      <w:proofErr w:type="spellEnd"/>
      <w:r w:rsidRPr="005A1DB4">
        <w:rPr>
          <w:sz w:val="24"/>
          <w:szCs w:val="24"/>
        </w:rPr>
        <w:t xml:space="preserve"> blokade efter administration af </w:t>
      </w:r>
      <w:proofErr w:type="spellStart"/>
      <w:r w:rsidRPr="005A1DB4">
        <w:rPr>
          <w:sz w:val="24"/>
          <w:szCs w:val="24"/>
        </w:rPr>
        <w:t>colistimethatnatrium</w:t>
      </w:r>
      <w:proofErr w:type="spellEnd"/>
      <w:r w:rsidRPr="005A1DB4">
        <w:rPr>
          <w:sz w:val="24"/>
          <w:szCs w:val="24"/>
        </w:rPr>
        <w:t>.</w:t>
      </w:r>
    </w:p>
    <w:p w14:paraId="7E17E459" w14:textId="77777777" w:rsidR="005A1DB4" w:rsidRPr="005A1DB4" w:rsidRDefault="005A1DB4" w:rsidP="000D10AE">
      <w:pPr>
        <w:ind w:left="851"/>
        <w:rPr>
          <w:sz w:val="24"/>
          <w:szCs w:val="24"/>
        </w:rPr>
      </w:pPr>
    </w:p>
    <w:p w14:paraId="75A01E78" w14:textId="77777777" w:rsidR="005A1DB4" w:rsidRPr="005A1DB4" w:rsidRDefault="005A1DB4" w:rsidP="000D10AE">
      <w:pPr>
        <w:ind w:left="851"/>
        <w:rPr>
          <w:sz w:val="24"/>
          <w:szCs w:val="24"/>
        </w:rPr>
      </w:pPr>
      <w:proofErr w:type="spellStart"/>
      <w:r w:rsidRPr="005A1DB4">
        <w:rPr>
          <w:sz w:val="24"/>
          <w:szCs w:val="24"/>
        </w:rPr>
        <w:t>Colistimethatnatrium</w:t>
      </w:r>
      <w:proofErr w:type="spellEnd"/>
      <w:r w:rsidRPr="005A1DB4">
        <w:rPr>
          <w:sz w:val="24"/>
          <w:szCs w:val="24"/>
        </w:rPr>
        <w:t xml:space="preserve"> bør anvendes med den yderste forsigtighed til patienter med </w:t>
      </w:r>
      <w:proofErr w:type="spellStart"/>
      <w:r w:rsidRPr="005A1DB4">
        <w:rPr>
          <w:sz w:val="24"/>
          <w:szCs w:val="24"/>
        </w:rPr>
        <w:t>porfyri</w:t>
      </w:r>
      <w:proofErr w:type="spellEnd"/>
      <w:r w:rsidRPr="005A1DB4">
        <w:rPr>
          <w:sz w:val="24"/>
          <w:szCs w:val="24"/>
        </w:rPr>
        <w:t>.</w:t>
      </w:r>
    </w:p>
    <w:p w14:paraId="1ABDD06A" w14:textId="77777777" w:rsidR="005A1DB4" w:rsidRPr="005A1DB4" w:rsidRDefault="005A1DB4" w:rsidP="000D10AE">
      <w:pPr>
        <w:ind w:left="851"/>
        <w:rPr>
          <w:sz w:val="24"/>
          <w:szCs w:val="24"/>
        </w:rPr>
      </w:pPr>
    </w:p>
    <w:p w14:paraId="7EF13EDB" w14:textId="77777777" w:rsidR="005A1DB4" w:rsidRPr="005A1DB4" w:rsidRDefault="005A1DB4" w:rsidP="000D10AE">
      <w:pPr>
        <w:ind w:left="851"/>
        <w:rPr>
          <w:sz w:val="24"/>
          <w:szCs w:val="24"/>
        </w:rPr>
      </w:pPr>
      <w:r w:rsidRPr="005A1DB4">
        <w:rPr>
          <w:sz w:val="24"/>
          <w:szCs w:val="24"/>
        </w:rPr>
        <w:t xml:space="preserve">Antibiotika-associeret colitis og </w:t>
      </w:r>
      <w:proofErr w:type="spellStart"/>
      <w:r w:rsidRPr="005A1DB4">
        <w:rPr>
          <w:sz w:val="24"/>
          <w:szCs w:val="24"/>
        </w:rPr>
        <w:t>pseudomembranøs</w:t>
      </w:r>
      <w:proofErr w:type="spellEnd"/>
      <w:r w:rsidRPr="005A1DB4">
        <w:rPr>
          <w:sz w:val="24"/>
          <w:szCs w:val="24"/>
        </w:rPr>
        <w:t xml:space="preserve"> colitis er blevet rapporteret i forbindelse med næsten alle antibakterielle midler og kan muligvis forekomme med </w:t>
      </w:r>
      <w:proofErr w:type="spellStart"/>
      <w:r w:rsidRPr="005A1DB4">
        <w:rPr>
          <w:sz w:val="24"/>
          <w:szCs w:val="24"/>
        </w:rPr>
        <w:t>colistimethatnatrium</w:t>
      </w:r>
      <w:proofErr w:type="spellEnd"/>
      <w:r w:rsidRPr="005A1DB4">
        <w:rPr>
          <w:sz w:val="24"/>
          <w:szCs w:val="24"/>
        </w:rPr>
        <w:t xml:space="preserve">. Sværhedsgraden kan være fra let til livstruende. Det er vigtigt at overveje denne diagnose hos patienter, der udvikler diarré under eller efter brug af </w:t>
      </w:r>
      <w:proofErr w:type="spellStart"/>
      <w:r w:rsidRPr="005A1DB4">
        <w:rPr>
          <w:sz w:val="24"/>
          <w:szCs w:val="24"/>
        </w:rPr>
        <w:t>colistimethatnatrium</w:t>
      </w:r>
      <w:proofErr w:type="spellEnd"/>
      <w:r w:rsidRPr="005A1DB4">
        <w:rPr>
          <w:sz w:val="24"/>
          <w:szCs w:val="24"/>
        </w:rPr>
        <w:t xml:space="preserve">. </w:t>
      </w:r>
      <w:proofErr w:type="spellStart"/>
      <w:r w:rsidRPr="005A1DB4">
        <w:rPr>
          <w:sz w:val="24"/>
          <w:szCs w:val="24"/>
        </w:rPr>
        <w:t>Seponering</w:t>
      </w:r>
      <w:proofErr w:type="spellEnd"/>
      <w:r w:rsidRPr="005A1DB4">
        <w:rPr>
          <w:sz w:val="24"/>
          <w:szCs w:val="24"/>
        </w:rPr>
        <w:t xml:space="preserve"> af behandlingen og administration af en specifik behandling af </w:t>
      </w:r>
      <w:proofErr w:type="spellStart"/>
      <w:r w:rsidRPr="005A1DB4">
        <w:rPr>
          <w:i/>
          <w:iCs/>
          <w:sz w:val="24"/>
          <w:szCs w:val="24"/>
        </w:rPr>
        <w:t>Clostridium</w:t>
      </w:r>
      <w:proofErr w:type="spellEnd"/>
      <w:r w:rsidRPr="005A1DB4">
        <w:rPr>
          <w:i/>
          <w:iCs/>
          <w:sz w:val="24"/>
          <w:szCs w:val="24"/>
        </w:rPr>
        <w:t xml:space="preserve"> difficile</w:t>
      </w:r>
      <w:r w:rsidRPr="005A1DB4">
        <w:rPr>
          <w:sz w:val="24"/>
          <w:szCs w:val="24"/>
        </w:rPr>
        <w:t xml:space="preserve"> skal overvejes. Der bør ikke gives lægemidler, der hæmmer peristaltikken. </w:t>
      </w:r>
    </w:p>
    <w:p w14:paraId="08055B49" w14:textId="77777777" w:rsidR="005A1DB4" w:rsidRPr="005A1DB4" w:rsidRDefault="005A1DB4" w:rsidP="000D10AE">
      <w:pPr>
        <w:ind w:left="851"/>
        <w:rPr>
          <w:sz w:val="24"/>
          <w:szCs w:val="24"/>
        </w:rPr>
      </w:pPr>
      <w:proofErr w:type="spellStart"/>
      <w:r w:rsidRPr="005A1DB4">
        <w:rPr>
          <w:sz w:val="24"/>
          <w:szCs w:val="24"/>
        </w:rPr>
        <w:t>Bronkospasme</w:t>
      </w:r>
      <w:proofErr w:type="spellEnd"/>
      <w:r w:rsidRPr="005A1DB4">
        <w:rPr>
          <w:sz w:val="24"/>
          <w:szCs w:val="24"/>
        </w:rPr>
        <w:t xml:space="preserve"> kan forekomme ved inhalation af antibiotika. Dette kan forebygges eller behandles med passende brug af beta</w:t>
      </w:r>
      <w:r w:rsidRPr="005A1DB4">
        <w:rPr>
          <w:sz w:val="24"/>
          <w:szCs w:val="24"/>
          <w:vertAlign w:val="subscript"/>
        </w:rPr>
        <w:t>2</w:t>
      </w:r>
      <w:r w:rsidRPr="005A1DB4">
        <w:rPr>
          <w:sz w:val="24"/>
          <w:szCs w:val="24"/>
        </w:rPr>
        <w:noBreakHyphen/>
        <w:t>agonister. Behandlingen skal standses, hvis den giver for mange gener.</w:t>
      </w:r>
    </w:p>
    <w:p w14:paraId="508BBF95" w14:textId="77777777" w:rsidR="005A1DB4" w:rsidRPr="005A1DB4" w:rsidRDefault="005A1DB4" w:rsidP="000D10AE">
      <w:pPr>
        <w:ind w:left="851"/>
        <w:rPr>
          <w:sz w:val="24"/>
          <w:szCs w:val="24"/>
        </w:rPr>
      </w:pPr>
    </w:p>
    <w:p w14:paraId="1C419C96" w14:textId="77777777" w:rsidR="005A1DB4" w:rsidRPr="005A1DB4" w:rsidRDefault="005A1DB4" w:rsidP="000D10AE">
      <w:pPr>
        <w:ind w:left="851"/>
        <w:rPr>
          <w:i/>
          <w:iCs/>
          <w:sz w:val="24"/>
          <w:szCs w:val="24"/>
        </w:rPr>
      </w:pPr>
      <w:r w:rsidRPr="005A1DB4">
        <w:rPr>
          <w:i/>
          <w:sz w:val="24"/>
          <w:szCs w:val="24"/>
        </w:rPr>
        <w:t>Natrium</w:t>
      </w:r>
    </w:p>
    <w:p w14:paraId="1C20D7B9" w14:textId="77777777" w:rsidR="005A1DB4" w:rsidRPr="005A1DB4" w:rsidRDefault="005A1DB4" w:rsidP="000D10AE">
      <w:pPr>
        <w:ind w:left="851"/>
        <w:rPr>
          <w:sz w:val="24"/>
          <w:szCs w:val="24"/>
        </w:rPr>
      </w:pPr>
      <w:r w:rsidRPr="005A1DB4">
        <w:rPr>
          <w:sz w:val="24"/>
          <w:szCs w:val="24"/>
        </w:rPr>
        <w:t>Dette lægemiddel indeholder mindre end 1 mmol (23 mg) natrium pr. hætteglas, dvs. det er i det væsentlige natriumfrit.</w:t>
      </w:r>
    </w:p>
    <w:p w14:paraId="235B9117" w14:textId="77777777" w:rsidR="009260DE" w:rsidRPr="00D707F0" w:rsidRDefault="009260DE" w:rsidP="009260DE">
      <w:pPr>
        <w:tabs>
          <w:tab w:val="left" w:pos="851"/>
        </w:tabs>
        <w:ind w:left="851"/>
        <w:rPr>
          <w:sz w:val="24"/>
          <w:szCs w:val="24"/>
        </w:rPr>
      </w:pPr>
    </w:p>
    <w:p w14:paraId="0AD9EDA9" w14:textId="77777777" w:rsidR="009260DE" w:rsidRPr="00D707F0" w:rsidRDefault="009260DE" w:rsidP="009260DE">
      <w:pPr>
        <w:tabs>
          <w:tab w:val="left" w:pos="851"/>
        </w:tabs>
        <w:ind w:left="851" w:hanging="851"/>
        <w:rPr>
          <w:b/>
          <w:sz w:val="24"/>
          <w:szCs w:val="24"/>
        </w:rPr>
      </w:pPr>
      <w:r w:rsidRPr="00D707F0">
        <w:rPr>
          <w:b/>
          <w:sz w:val="24"/>
          <w:szCs w:val="24"/>
        </w:rPr>
        <w:t>4.5</w:t>
      </w:r>
      <w:r w:rsidRPr="00D707F0">
        <w:rPr>
          <w:b/>
          <w:sz w:val="24"/>
          <w:szCs w:val="24"/>
        </w:rPr>
        <w:tab/>
        <w:t>Interaktion med andre lægemidler og andre former for interaktion</w:t>
      </w:r>
    </w:p>
    <w:p w14:paraId="0C955F28" w14:textId="77777777" w:rsidR="005A1DB4" w:rsidRPr="005A1DB4" w:rsidRDefault="005A1DB4" w:rsidP="000D10AE">
      <w:pPr>
        <w:ind w:left="851"/>
        <w:rPr>
          <w:sz w:val="24"/>
          <w:szCs w:val="24"/>
        </w:rPr>
      </w:pPr>
      <w:r w:rsidRPr="005A1DB4">
        <w:rPr>
          <w:sz w:val="24"/>
          <w:szCs w:val="24"/>
        </w:rPr>
        <w:t xml:space="preserve">Anvendelse af </w:t>
      </w:r>
      <w:proofErr w:type="spellStart"/>
      <w:r w:rsidRPr="005A1DB4">
        <w:rPr>
          <w:sz w:val="24"/>
          <w:szCs w:val="24"/>
        </w:rPr>
        <w:t>colistimethatnatrium</w:t>
      </w:r>
      <w:proofErr w:type="spellEnd"/>
      <w:r w:rsidRPr="005A1DB4">
        <w:rPr>
          <w:sz w:val="24"/>
          <w:szCs w:val="24"/>
        </w:rPr>
        <w:t xml:space="preserve"> sammen med andre lægemidler, der er potentielt </w:t>
      </w:r>
      <w:proofErr w:type="spellStart"/>
      <w:r w:rsidRPr="005A1DB4">
        <w:rPr>
          <w:sz w:val="24"/>
          <w:szCs w:val="24"/>
        </w:rPr>
        <w:t>nefrotoksiske</w:t>
      </w:r>
      <w:proofErr w:type="spellEnd"/>
      <w:r w:rsidRPr="005A1DB4">
        <w:rPr>
          <w:sz w:val="24"/>
          <w:szCs w:val="24"/>
        </w:rPr>
        <w:t xml:space="preserve"> eller </w:t>
      </w:r>
      <w:proofErr w:type="spellStart"/>
      <w:r w:rsidRPr="005A1DB4">
        <w:rPr>
          <w:sz w:val="24"/>
          <w:szCs w:val="24"/>
        </w:rPr>
        <w:t>neurotoksiske</w:t>
      </w:r>
      <w:proofErr w:type="spellEnd"/>
      <w:r w:rsidRPr="005A1DB4">
        <w:rPr>
          <w:sz w:val="24"/>
          <w:szCs w:val="24"/>
        </w:rPr>
        <w:t xml:space="preserve">, skal ske med stor forsigtighed. Dette inkluderer aminoglykosid-antibiotika såsom </w:t>
      </w:r>
      <w:proofErr w:type="spellStart"/>
      <w:r w:rsidRPr="005A1DB4">
        <w:rPr>
          <w:sz w:val="24"/>
          <w:szCs w:val="24"/>
        </w:rPr>
        <w:t>gentamycin</w:t>
      </w:r>
      <w:proofErr w:type="spellEnd"/>
      <w:r w:rsidRPr="005A1DB4">
        <w:rPr>
          <w:sz w:val="24"/>
          <w:szCs w:val="24"/>
        </w:rPr>
        <w:t xml:space="preserve">, </w:t>
      </w:r>
      <w:proofErr w:type="spellStart"/>
      <w:r w:rsidRPr="005A1DB4">
        <w:rPr>
          <w:sz w:val="24"/>
          <w:szCs w:val="24"/>
        </w:rPr>
        <w:t>amikacin</w:t>
      </w:r>
      <w:proofErr w:type="spellEnd"/>
      <w:r w:rsidRPr="005A1DB4">
        <w:rPr>
          <w:sz w:val="24"/>
          <w:szCs w:val="24"/>
        </w:rPr>
        <w:t xml:space="preserve">, </w:t>
      </w:r>
      <w:proofErr w:type="spellStart"/>
      <w:r w:rsidRPr="005A1DB4">
        <w:rPr>
          <w:sz w:val="24"/>
          <w:szCs w:val="24"/>
        </w:rPr>
        <w:t>netilmicin</w:t>
      </w:r>
      <w:proofErr w:type="spellEnd"/>
      <w:r w:rsidRPr="005A1DB4">
        <w:rPr>
          <w:sz w:val="24"/>
          <w:szCs w:val="24"/>
        </w:rPr>
        <w:t xml:space="preserve"> og </w:t>
      </w:r>
      <w:proofErr w:type="spellStart"/>
      <w:r w:rsidRPr="005A1DB4">
        <w:rPr>
          <w:sz w:val="24"/>
          <w:szCs w:val="24"/>
        </w:rPr>
        <w:t>tobramycin</w:t>
      </w:r>
      <w:proofErr w:type="spellEnd"/>
      <w:r w:rsidRPr="005A1DB4">
        <w:rPr>
          <w:sz w:val="24"/>
          <w:szCs w:val="24"/>
        </w:rPr>
        <w:t xml:space="preserve">. Der kan være en forhøjet risiko for </w:t>
      </w:r>
      <w:proofErr w:type="spellStart"/>
      <w:r w:rsidRPr="005A1DB4">
        <w:rPr>
          <w:sz w:val="24"/>
          <w:szCs w:val="24"/>
        </w:rPr>
        <w:t>nefrotoksicitet</w:t>
      </w:r>
      <w:proofErr w:type="spellEnd"/>
      <w:r w:rsidRPr="005A1DB4">
        <w:rPr>
          <w:sz w:val="24"/>
          <w:szCs w:val="24"/>
        </w:rPr>
        <w:t xml:space="preserve"> ved samtidig behandling med </w:t>
      </w:r>
      <w:proofErr w:type="spellStart"/>
      <w:r w:rsidRPr="005A1DB4">
        <w:rPr>
          <w:sz w:val="24"/>
          <w:szCs w:val="24"/>
        </w:rPr>
        <w:t>cefalosporiner</w:t>
      </w:r>
      <w:proofErr w:type="spellEnd"/>
      <w:r w:rsidRPr="005A1DB4">
        <w:rPr>
          <w:sz w:val="24"/>
          <w:szCs w:val="24"/>
        </w:rPr>
        <w:t>.</w:t>
      </w:r>
    </w:p>
    <w:p w14:paraId="5970402C" w14:textId="77777777" w:rsidR="005A1DB4" w:rsidRPr="005A1DB4" w:rsidRDefault="005A1DB4" w:rsidP="000D10AE">
      <w:pPr>
        <w:ind w:left="851"/>
        <w:rPr>
          <w:sz w:val="24"/>
          <w:szCs w:val="24"/>
        </w:rPr>
      </w:pPr>
    </w:p>
    <w:p w14:paraId="425AAC21" w14:textId="77777777" w:rsidR="005A1DB4" w:rsidRPr="005A1DB4" w:rsidRDefault="005A1DB4" w:rsidP="000D10AE">
      <w:pPr>
        <w:ind w:left="851"/>
        <w:rPr>
          <w:sz w:val="24"/>
          <w:szCs w:val="24"/>
        </w:rPr>
      </w:pPr>
      <w:r w:rsidRPr="005A1DB4">
        <w:rPr>
          <w:sz w:val="24"/>
          <w:szCs w:val="24"/>
        </w:rPr>
        <w:t xml:space="preserve">Der skal udvises forsigtighed ved anvendelse sammen med andre formuleringer af </w:t>
      </w:r>
      <w:proofErr w:type="spellStart"/>
      <w:r w:rsidRPr="005A1DB4">
        <w:rPr>
          <w:sz w:val="24"/>
          <w:szCs w:val="24"/>
        </w:rPr>
        <w:t>colistimethatnatrium</w:t>
      </w:r>
      <w:proofErr w:type="spellEnd"/>
      <w:r w:rsidRPr="005A1DB4">
        <w:rPr>
          <w:sz w:val="24"/>
          <w:szCs w:val="24"/>
        </w:rPr>
        <w:t xml:space="preserve">, da der kun er ringe erfaring hermed og risiko for additiv toksicitet. </w:t>
      </w:r>
    </w:p>
    <w:p w14:paraId="2B8A4728" w14:textId="77777777" w:rsidR="005A1DB4" w:rsidRPr="005A1DB4" w:rsidRDefault="005A1DB4" w:rsidP="000D10AE">
      <w:pPr>
        <w:ind w:left="851"/>
        <w:rPr>
          <w:sz w:val="24"/>
          <w:szCs w:val="24"/>
        </w:rPr>
      </w:pPr>
    </w:p>
    <w:p w14:paraId="72D882D9" w14:textId="77777777" w:rsidR="005A1DB4" w:rsidRPr="005A1DB4" w:rsidRDefault="005A1DB4" w:rsidP="000D10AE">
      <w:pPr>
        <w:ind w:left="851"/>
        <w:rPr>
          <w:sz w:val="24"/>
          <w:szCs w:val="24"/>
        </w:rPr>
      </w:pPr>
      <w:r w:rsidRPr="005A1DB4">
        <w:rPr>
          <w:sz w:val="24"/>
          <w:szCs w:val="24"/>
        </w:rPr>
        <w:t xml:space="preserve">Der er ikke udført </w:t>
      </w:r>
      <w:r w:rsidRPr="005A1DB4">
        <w:rPr>
          <w:i/>
          <w:sz w:val="24"/>
          <w:szCs w:val="24"/>
        </w:rPr>
        <w:t>in </w:t>
      </w:r>
      <w:proofErr w:type="spellStart"/>
      <w:r w:rsidRPr="005A1DB4">
        <w:rPr>
          <w:i/>
          <w:sz w:val="24"/>
          <w:szCs w:val="24"/>
        </w:rPr>
        <w:t>vivo</w:t>
      </w:r>
      <w:proofErr w:type="spellEnd"/>
      <w:r w:rsidRPr="005A1DB4">
        <w:rPr>
          <w:sz w:val="24"/>
          <w:szCs w:val="24"/>
        </w:rPr>
        <w:t xml:space="preserve">-interaktionsstudier. Mekanismen ved omdannelse af </w:t>
      </w:r>
      <w:proofErr w:type="spellStart"/>
      <w:r w:rsidRPr="005A1DB4">
        <w:rPr>
          <w:sz w:val="24"/>
          <w:szCs w:val="24"/>
        </w:rPr>
        <w:t>colistimethatnatrium</w:t>
      </w:r>
      <w:proofErr w:type="spellEnd"/>
      <w:r w:rsidRPr="005A1DB4">
        <w:rPr>
          <w:sz w:val="24"/>
          <w:szCs w:val="24"/>
        </w:rPr>
        <w:t xml:space="preserve"> til det aktive stof </w:t>
      </w:r>
      <w:proofErr w:type="spellStart"/>
      <w:r w:rsidRPr="005A1DB4">
        <w:rPr>
          <w:sz w:val="24"/>
          <w:szCs w:val="24"/>
        </w:rPr>
        <w:t>colistin</w:t>
      </w:r>
      <w:proofErr w:type="spellEnd"/>
      <w:r w:rsidRPr="005A1DB4">
        <w:rPr>
          <w:sz w:val="24"/>
          <w:szCs w:val="24"/>
        </w:rPr>
        <w:t xml:space="preserve"> er ikke klarlagt. Mekanismen ved </w:t>
      </w:r>
      <w:proofErr w:type="spellStart"/>
      <w:r w:rsidRPr="005A1DB4">
        <w:rPr>
          <w:sz w:val="24"/>
          <w:szCs w:val="24"/>
        </w:rPr>
        <w:t>colistinclearance</w:t>
      </w:r>
      <w:proofErr w:type="spellEnd"/>
      <w:r w:rsidRPr="005A1DB4">
        <w:rPr>
          <w:sz w:val="24"/>
          <w:szCs w:val="24"/>
        </w:rPr>
        <w:t xml:space="preserve">, herunder </w:t>
      </w:r>
      <w:proofErr w:type="spellStart"/>
      <w:r w:rsidRPr="005A1DB4">
        <w:rPr>
          <w:sz w:val="24"/>
          <w:szCs w:val="24"/>
        </w:rPr>
        <w:t>renal</w:t>
      </w:r>
      <w:proofErr w:type="spellEnd"/>
      <w:r w:rsidRPr="005A1DB4">
        <w:rPr>
          <w:sz w:val="24"/>
          <w:szCs w:val="24"/>
        </w:rPr>
        <w:t xml:space="preserve"> </w:t>
      </w:r>
      <w:proofErr w:type="spellStart"/>
      <w:r w:rsidRPr="005A1DB4">
        <w:rPr>
          <w:sz w:val="24"/>
          <w:szCs w:val="24"/>
        </w:rPr>
        <w:t>clearance</w:t>
      </w:r>
      <w:proofErr w:type="spellEnd"/>
      <w:r w:rsidRPr="005A1DB4">
        <w:rPr>
          <w:sz w:val="24"/>
          <w:szCs w:val="24"/>
        </w:rPr>
        <w:t xml:space="preserve">, er ligeledes ukendt. </w:t>
      </w:r>
      <w:proofErr w:type="spellStart"/>
      <w:r w:rsidRPr="005A1DB4">
        <w:rPr>
          <w:sz w:val="24"/>
          <w:szCs w:val="24"/>
        </w:rPr>
        <w:t>Colistimethatnatrium</w:t>
      </w:r>
      <w:proofErr w:type="spellEnd"/>
      <w:r w:rsidRPr="005A1DB4">
        <w:rPr>
          <w:sz w:val="24"/>
          <w:szCs w:val="24"/>
        </w:rPr>
        <w:t xml:space="preserve"> eller </w:t>
      </w:r>
      <w:proofErr w:type="spellStart"/>
      <w:r w:rsidRPr="005A1DB4">
        <w:rPr>
          <w:sz w:val="24"/>
          <w:szCs w:val="24"/>
        </w:rPr>
        <w:t>colistin</w:t>
      </w:r>
      <w:proofErr w:type="spellEnd"/>
      <w:r w:rsidRPr="005A1DB4">
        <w:rPr>
          <w:sz w:val="24"/>
          <w:szCs w:val="24"/>
        </w:rPr>
        <w:t xml:space="preserve"> inducerede ikke aktiviteten af noget testet P</w:t>
      </w:r>
      <w:r w:rsidRPr="005A1DB4">
        <w:rPr>
          <w:sz w:val="24"/>
          <w:szCs w:val="24"/>
        </w:rPr>
        <w:noBreakHyphen/>
        <w:t>450 (CYP)</w:t>
      </w:r>
      <w:r w:rsidRPr="005A1DB4">
        <w:rPr>
          <w:sz w:val="24"/>
          <w:szCs w:val="24"/>
        </w:rPr>
        <w:noBreakHyphen/>
        <w:t xml:space="preserve">enzym (CYP1A2, 2B6, 2C8, 2C9, 2C19 og 3A4/5) i </w:t>
      </w:r>
      <w:r w:rsidRPr="005A1DB4">
        <w:rPr>
          <w:i/>
          <w:sz w:val="24"/>
          <w:szCs w:val="24"/>
        </w:rPr>
        <w:t>in </w:t>
      </w:r>
      <w:proofErr w:type="spellStart"/>
      <w:r w:rsidRPr="005A1DB4">
        <w:rPr>
          <w:i/>
          <w:sz w:val="24"/>
          <w:szCs w:val="24"/>
        </w:rPr>
        <w:t>vitro</w:t>
      </w:r>
      <w:proofErr w:type="spellEnd"/>
      <w:r w:rsidRPr="005A1DB4">
        <w:rPr>
          <w:sz w:val="24"/>
          <w:szCs w:val="24"/>
        </w:rPr>
        <w:t xml:space="preserve">-studier af humane </w:t>
      </w:r>
      <w:proofErr w:type="spellStart"/>
      <w:r w:rsidRPr="005A1DB4">
        <w:rPr>
          <w:sz w:val="24"/>
          <w:szCs w:val="24"/>
        </w:rPr>
        <w:t>hepatocytter</w:t>
      </w:r>
      <w:proofErr w:type="spellEnd"/>
      <w:r w:rsidRPr="005A1DB4">
        <w:rPr>
          <w:sz w:val="24"/>
          <w:szCs w:val="24"/>
        </w:rPr>
        <w:t xml:space="preserve">. </w:t>
      </w:r>
    </w:p>
    <w:p w14:paraId="7720BD4F" w14:textId="77777777" w:rsidR="005A1DB4" w:rsidRPr="005A1DB4" w:rsidRDefault="005A1DB4" w:rsidP="000D10AE">
      <w:pPr>
        <w:ind w:left="851"/>
        <w:rPr>
          <w:sz w:val="24"/>
          <w:szCs w:val="24"/>
        </w:rPr>
      </w:pPr>
    </w:p>
    <w:p w14:paraId="3E0B70EB" w14:textId="4B734A9D" w:rsidR="005A1DB4" w:rsidRPr="005A1DB4" w:rsidRDefault="005A1DB4" w:rsidP="000D10AE">
      <w:pPr>
        <w:ind w:left="851"/>
        <w:rPr>
          <w:sz w:val="24"/>
          <w:szCs w:val="24"/>
        </w:rPr>
      </w:pPr>
      <w:r w:rsidRPr="005A1DB4">
        <w:rPr>
          <w:sz w:val="24"/>
          <w:szCs w:val="24"/>
        </w:rPr>
        <w:t xml:space="preserve">Potentialet for lægemiddelinteraktioner skal tages i betragtning, når </w:t>
      </w:r>
      <w:proofErr w:type="spellStart"/>
      <w:r w:rsidRPr="005A1DB4">
        <w:rPr>
          <w:sz w:val="24"/>
          <w:szCs w:val="24"/>
        </w:rPr>
        <w:t>Colistimethatnatrium</w:t>
      </w:r>
      <w:proofErr w:type="spellEnd"/>
      <w:r w:rsidRPr="005A1DB4">
        <w:rPr>
          <w:sz w:val="24"/>
          <w:szCs w:val="24"/>
        </w:rPr>
        <w:t xml:space="preserve"> </w:t>
      </w:r>
      <w:r w:rsidR="00D707F0">
        <w:rPr>
          <w:sz w:val="24"/>
          <w:szCs w:val="24"/>
        </w:rPr>
        <w:t>"</w:t>
      </w:r>
      <w:proofErr w:type="spellStart"/>
      <w:r w:rsidR="00D707F0">
        <w:rPr>
          <w:sz w:val="24"/>
          <w:szCs w:val="24"/>
        </w:rPr>
        <w:t>Xellia</w:t>
      </w:r>
      <w:proofErr w:type="spellEnd"/>
      <w:r w:rsidR="00D707F0">
        <w:rPr>
          <w:sz w:val="24"/>
          <w:szCs w:val="24"/>
        </w:rPr>
        <w:t>"</w:t>
      </w:r>
      <w:r w:rsidRPr="005A1DB4">
        <w:rPr>
          <w:sz w:val="24"/>
          <w:szCs w:val="24"/>
        </w:rPr>
        <w:t xml:space="preserve"> administreres samtidigt med lægemidler, der vides at hæmme eller inducere </w:t>
      </w:r>
      <w:proofErr w:type="spellStart"/>
      <w:r w:rsidRPr="005A1DB4">
        <w:rPr>
          <w:sz w:val="24"/>
          <w:szCs w:val="24"/>
        </w:rPr>
        <w:t>lægemiddelmetaboliserende</w:t>
      </w:r>
      <w:proofErr w:type="spellEnd"/>
      <w:r w:rsidRPr="005A1DB4">
        <w:rPr>
          <w:sz w:val="24"/>
          <w:szCs w:val="24"/>
        </w:rPr>
        <w:t xml:space="preserve"> enzymer, eller lægemidler, der vides at være substrater for </w:t>
      </w:r>
      <w:proofErr w:type="spellStart"/>
      <w:r w:rsidRPr="005A1DB4">
        <w:rPr>
          <w:sz w:val="24"/>
          <w:szCs w:val="24"/>
        </w:rPr>
        <w:t>renale</w:t>
      </w:r>
      <w:proofErr w:type="spellEnd"/>
      <w:r w:rsidRPr="005A1DB4">
        <w:rPr>
          <w:sz w:val="24"/>
          <w:szCs w:val="24"/>
        </w:rPr>
        <w:t xml:space="preserve"> transportmekanismer.</w:t>
      </w:r>
    </w:p>
    <w:p w14:paraId="57F7AC87" w14:textId="77777777" w:rsidR="005A1DB4" w:rsidRPr="005A1DB4" w:rsidRDefault="005A1DB4" w:rsidP="000D10AE">
      <w:pPr>
        <w:ind w:left="851"/>
        <w:rPr>
          <w:sz w:val="24"/>
          <w:szCs w:val="24"/>
        </w:rPr>
      </w:pPr>
    </w:p>
    <w:p w14:paraId="53A2A9FB" w14:textId="77777777" w:rsidR="005A1DB4" w:rsidRPr="005A1DB4" w:rsidRDefault="005A1DB4" w:rsidP="000D10AE">
      <w:pPr>
        <w:ind w:left="851"/>
        <w:rPr>
          <w:sz w:val="24"/>
          <w:szCs w:val="24"/>
        </w:rPr>
      </w:pPr>
      <w:r w:rsidRPr="005A1DB4">
        <w:rPr>
          <w:sz w:val="24"/>
          <w:szCs w:val="24"/>
        </w:rPr>
        <w:t xml:space="preserve">På grund af </w:t>
      </w:r>
      <w:proofErr w:type="spellStart"/>
      <w:r w:rsidRPr="005A1DB4">
        <w:rPr>
          <w:sz w:val="24"/>
          <w:szCs w:val="24"/>
        </w:rPr>
        <w:t>colistins</w:t>
      </w:r>
      <w:proofErr w:type="spellEnd"/>
      <w:r w:rsidRPr="005A1DB4">
        <w:rPr>
          <w:sz w:val="24"/>
          <w:szCs w:val="24"/>
        </w:rPr>
        <w:t xml:space="preserve"> virkninger på frigivelsen af </w:t>
      </w:r>
      <w:proofErr w:type="spellStart"/>
      <w:r w:rsidRPr="005A1DB4">
        <w:rPr>
          <w:sz w:val="24"/>
          <w:szCs w:val="24"/>
        </w:rPr>
        <w:t>acetylcholin</w:t>
      </w:r>
      <w:proofErr w:type="spellEnd"/>
      <w:r w:rsidRPr="005A1DB4">
        <w:rPr>
          <w:sz w:val="24"/>
          <w:szCs w:val="24"/>
        </w:rPr>
        <w:t xml:space="preserve"> bør ikke</w:t>
      </w:r>
      <w:r w:rsidRPr="005A1DB4">
        <w:rPr>
          <w:sz w:val="24"/>
          <w:szCs w:val="24"/>
        </w:rPr>
        <w:noBreakHyphen/>
      </w:r>
      <w:proofErr w:type="spellStart"/>
      <w:r w:rsidRPr="005A1DB4">
        <w:rPr>
          <w:sz w:val="24"/>
          <w:szCs w:val="24"/>
        </w:rPr>
        <w:t>depolariserende</w:t>
      </w:r>
      <w:proofErr w:type="spellEnd"/>
      <w:r w:rsidRPr="005A1DB4">
        <w:rPr>
          <w:sz w:val="24"/>
          <w:szCs w:val="24"/>
        </w:rPr>
        <w:t xml:space="preserve"> </w:t>
      </w:r>
      <w:proofErr w:type="spellStart"/>
      <w:r w:rsidRPr="005A1DB4">
        <w:rPr>
          <w:sz w:val="24"/>
          <w:szCs w:val="24"/>
        </w:rPr>
        <w:t>muskelrelaksantia</w:t>
      </w:r>
      <w:proofErr w:type="spellEnd"/>
      <w:r w:rsidRPr="005A1DB4">
        <w:rPr>
          <w:sz w:val="24"/>
          <w:szCs w:val="24"/>
        </w:rPr>
        <w:t xml:space="preserve"> anvendes med forsigtighed til patienter, der får </w:t>
      </w:r>
      <w:proofErr w:type="spellStart"/>
      <w:r w:rsidRPr="005A1DB4">
        <w:rPr>
          <w:sz w:val="24"/>
          <w:szCs w:val="24"/>
        </w:rPr>
        <w:t>colistimethatnatrium</w:t>
      </w:r>
      <w:proofErr w:type="spellEnd"/>
      <w:r w:rsidRPr="005A1DB4">
        <w:rPr>
          <w:sz w:val="24"/>
          <w:szCs w:val="24"/>
        </w:rPr>
        <w:t>, da virkningen kan blive forlænget (se pkt. 4.4).</w:t>
      </w:r>
    </w:p>
    <w:p w14:paraId="225FF474" w14:textId="77777777" w:rsidR="005A1DB4" w:rsidRPr="005A1DB4" w:rsidRDefault="005A1DB4" w:rsidP="000D10AE">
      <w:pPr>
        <w:ind w:left="851"/>
        <w:rPr>
          <w:sz w:val="24"/>
          <w:szCs w:val="24"/>
        </w:rPr>
      </w:pPr>
    </w:p>
    <w:p w14:paraId="5631B9B1" w14:textId="77777777" w:rsidR="005A1DB4" w:rsidRPr="005A1DB4" w:rsidRDefault="005A1DB4" w:rsidP="000D10AE">
      <w:pPr>
        <w:ind w:left="851"/>
        <w:rPr>
          <w:sz w:val="24"/>
          <w:szCs w:val="24"/>
        </w:rPr>
      </w:pPr>
      <w:r w:rsidRPr="005A1DB4">
        <w:rPr>
          <w:sz w:val="24"/>
          <w:szCs w:val="24"/>
        </w:rPr>
        <w:t xml:space="preserve">Samtidig behandling med </w:t>
      </w:r>
      <w:proofErr w:type="spellStart"/>
      <w:r w:rsidRPr="005A1DB4">
        <w:rPr>
          <w:sz w:val="24"/>
          <w:szCs w:val="24"/>
        </w:rPr>
        <w:t>colistimethatnatrium</w:t>
      </w:r>
      <w:proofErr w:type="spellEnd"/>
      <w:r w:rsidRPr="005A1DB4">
        <w:rPr>
          <w:sz w:val="24"/>
          <w:szCs w:val="24"/>
        </w:rPr>
        <w:t xml:space="preserve"> og makrolider, såsom </w:t>
      </w:r>
      <w:proofErr w:type="spellStart"/>
      <w:r w:rsidRPr="005A1DB4">
        <w:rPr>
          <w:sz w:val="24"/>
          <w:szCs w:val="24"/>
        </w:rPr>
        <w:t>azithromycin</w:t>
      </w:r>
      <w:proofErr w:type="spellEnd"/>
      <w:r w:rsidRPr="005A1DB4">
        <w:rPr>
          <w:sz w:val="24"/>
          <w:szCs w:val="24"/>
        </w:rPr>
        <w:t xml:space="preserve"> og </w:t>
      </w:r>
      <w:proofErr w:type="spellStart"/>
      <w:r w:rsidRPr="005A1DB4">
        <w:rPr>
          <w:sz w:val="24"/>
          <w:szCs w:val="24"/>
        </w:rPr>
        <w:t>clarithromycin</w:t>
      </w:r>
      <w:proofErr w:type="spellEnd"/>
      <w:r w:rsidRPr="005A1DB4">
        <w:rPr>
          <w:sz w:val="24"/>
          <w:szCs w:val="24"/>
        </w:rPr>
        <w:t xml:space="preserve">, eller </w:t>
      </w:r>
      <w:proofErr w:type="spellStart"/>
      <w:r w:rsidRPr="005A1DB4">
        <w:rPr>
          <w:sz w:val="24"/>
          <w:szCs w:val="24"/>
        </w:rPr>
        <w:t>fluorquinoloner</w:t>
      </w:r>
      <w:proofErr w:type="spellEnd"/>
      <w:r w:rsidRPr="005A1DB4">
        <w:rPr>
          <w:sz w:val="24"/>
          <w:szCs w:val="24"/>
        </w:rPr>
        <w:t xml:space="preserve">, såsom </w:t>
      </w:r>
      <w:proofErr w:type="spellStart"/>
      <w:r w:rsidRPr="005A1DB4">
        <w:rPr>
          <w:sz w:val="24"/>
          <w:szCs w:val="24"/>
        </w:rPr>
        <w:t>norfloxacin</w:t>
      </w:r>
      <w:proofErr w:type="spellEnd"/>
      <w:r w:rsidRPr="005A1DB4">
        <w:rPr>
          <w:sz w:val="24"/>
          <w:szCs w:val="24"/>
        </w:rPr>
        <w:t xml:space="preserve"> og </w:t>
      </w:r>
      <w:proofErr w:type="spellStart"/>
      <w:r w:rsidRPr="005A1DB4">
        <w:rPr>
          <w:sz w:val="24"/>
          <w:szCs w:val="24"/>
        </w:rPr>
        <w:t>ciprofloxacin</w:t>
      </w:r>
      <w:proofErr w:type="spellEnd"/>
      <w:r w:rsidRPr="005A1DB4">
        <w:rPr>
          <w:sz w:val="24"/>
          <w:szCs w:val="24"/>
        </w:rPr>
        <w:t xml:space="preserve">, skal ske med forsigtighed til patienter med </w:t>
      </w:r>
      <w:proofErr w:type="spellStart"/>
      <w:r w:rsidRPr="005A1DB4">
        <w:rPr>
          <w:sz w:val="24"/>
          <w:szCs w:val="24"/>
        </w:rPr>
        <w:t>myasthenia</w:t>
      </w:r>
      <w:proofErr w:type="spellEnd"/>
      <w:r w:rsidRPr="005A1DB4">
        <w:rPr>
          <w:sz w:val="24"/>
          <w:szCs w:val="24"/>
        </w:rPr>
        <w:t xml:space="preserve"> </w:t>
      </w:r>
      <w:proofErr w:type="spellStart"/>
      <w:r w:rsidRPr="005A1DB4">
        <w:rPr>
          <w:sz w:val="24"/>
          <w:szCs w:val="24"/>
        </w:rPr>
        <w:t>gravis</w:t>
      </w:r>
      <w:proofErr w:type="spellEnd"/>
      <w:r w:rsidRPr="005A1DB4">
        <w:rPr>
          <w:sz w:val="24"/>
          <w:szCs w:val="24"/>
        </w:rPr>
        <w:t xml:space="preserve"> (se pkt. 4.4).</w:t>
      </w:r>
    </w:p>
    <w:p w14:paraId="57E56BF8" w14:textId="77777777" w:rsidR="009260DE" w:rsidRPr="00D707F0" w:rsidRDefault="009260DE" w:rsidP="009260DE">
      <w:pPr>
        <w:tabs>
          <w:tab w:val="left" w:pos="851"/>
        </w:tabs>
        <w:ind w:left="851"/>
        <w:rPr>
          <w:sz w:val="24"/>
          <w:szCs w:val="24"/>
        </w:rPr>
      </w:pPr>
    </w:p>
    <w:p w14:paraId="176BEA5A" w14:textId="77777777" w:rsidR="009260DE" w:rsidRPr="00D707F0" w:rsidRDefault="009260DE" w:rsidP="009260DE">
      <w:pPr>
        <w:tabs>
          <w:tab w:val="left" w:pos="851"/>
        </w:tabs>
        <w:ind w:left="851" w:hanging="851"/>
        <w:rPr>
          <w:b/>
          <w:sz w:val="24"/>
          <w:szCs w:val="24"/>
        </w:rPr>
      </w:pPr>
      <w:r w:rsidRPr="00D707F0">
        <w:rPr>
          <w:b/>
          <w:sz w:val="24"/>
          <w:szCs w:val="24"/>
        </w:rPr>
        <w:t>4.6</w:t>
      </w:r>
      <w:r w:rsidRPr="00D707F0">
        <w:rPr>
          <w:b/>
          <w:sz w:val="24"/>
          <w:szCs w:val="24"/>
        </w:rPr>
        <w:tab/>
      </w:r>
      <w:r w:rsidR="0071241E" w:rsidRPr="00D707F0">
        <w:rPr>
          <w:b/>
          <w:sz w:val="24"/>
          <w:szCs w:val="24"/>
        </w:rPr>
        <w:t>Fertilitet, g</w:t>
      </w:r>
      <w:r w:rsidRPr="00D707F0">
        <w:rPr>
          <w:b/>
          <w:sz w:val="24"/>
          <w:szCs w:val="24"/>
        </w:rPr>
        <w:t>raviditet og amning</w:t>
      </w:r>
    </w:p>
    <w:p w14:paraId="6A8CFE12" w14:textId="77777777" w:rsidR="00D707F0" w:rsidRDefault="00D707F0" w:rsidP="000D10AE">
      <w:pPr>
        <w:ind w:left="851"/>
        <w:rPr>
          <w:sz w:val="24"/>
          <w:szCs w:val="24"/>
          <w:u w:val="single"/>
        </w:rPr>
      </w:pPr>
    </w:p>
    <w:p w14:paraId="1491B310" w14:textId="2D672F44" w:rsidR="005A1DB4" w:rsidRPr="005A1DB4" w:rsidRDefault="005A1DB4" w:rsidP="000D10AE">
      <w:pPr>
        <w:ind w:left="851"/>
        <w:rPr>
          <w:sz w:val="24"/>
          <w:szCs w:val="24"/>
          <w:u w:val="single"/>
        </w:rPr>
      </w:pPr>
      <w:r w:rsidRPr="005A1DB4">
        <w:rPr>
          <w:sz w:val="24"/>
          <w:szCs w:val="24"/>
          <w:u w:val="single"/>
        </w:rPr>
        <w:t xml:space="preserve">Fertilitet </w:t>
      </w:r>
    </w:p>
    <w:p w14:paraId="348F2935" w14:textId="77777777" w:rsidR="005A1DB4" w:rsidRPr="005A1DB4" w:rsidRDefault="005A1DB4" w:rsidP="000D10AE">
      <w:pPr>
        <w:ind w:left="851"/>
        <w:rPr>
          <w:sz w:val="24"/>
          <w:szCs w:val="24"/>
        </w:rPr>
      </w:pPr>
      <w:r w:rsidRPr="005A1DB4">
        <w:rPr>
          <w:sz w:val="24"/>
          <w:szCs w:val="24"/>
        </w:rPr>
        <w:t xml:space="preserve">Data fra dyreforsøg er utilstrækkelige hvad angår </w:t>
      </w:r>
      <w:proofErr w:type="spellStart"/>
      <w:r w:rsidRPr="005A1DB4">
        <w:rPr>
          <w:sz w:val="24"/>
          <w:szCs w:val="24"/>
        </w:rPr>
        <w:t>colistimethatnatriums</w:t>
      </w:r>
      <w:proofErr w:type="spellEnd"/>
      <w:r w:rsidRPr="005A1DB4">
        <w:rPr>
          <w:sz w:val="24"/>
          <w:szCs w:val="24"/>
        </w:rPr>
        <w:t xml:space="preserve"> indvirkning på reproduktion.</w:t>
      </w:r>
    </w:p>
    <w:p w14:paraId="732C9929" w14:textId="77777777" w:rsidR="005A1DB4" w:rsidRPr="005A1DB4" w:rsidRDefault="005A1DB4" w:rsidP="000D10AE">
      <w:pPr>
        <w:ind w:left="851"/>
        <w:rPr>
          <w:sz w:val="24"/>
          <w:szCs w:val="24"/>
        </w:rPr>
      </w:pPr>
    </w:p>
    <w:p w14:paraId="10FCC1F8" w14:textId="77777777" w:rsidR="005A1DB4" w:rsidRPr="005A1DB4" w:rsidRDefault="005A1DB4" w:rsidP="000D10AE">
      <w:pPr>
        <w:ind w:left="851"/>
        <w:rPr>
          <w:sz w:val="24"/>
          <w:szCs w:val="24"/>
          <w:u w:val="single"/>
        </w:rPr>
      </w:pPr>
      <w:r w:rsidRPr="005A1DB4">
        <w:rPr>
          <w:sz w:val="24"/>
          <w:szCs w:val="24"/>
          <w:u w:val="single"/>
        </w:rPr>
        <w:t xml:space="preserve">Graviditet </w:t>
      </w:r>
    </w:p>
    <w:p w14:paraId="4BA9F52D" w14:textId="77777777" w:rsidR="005A1DB4" w:rsidRPr="005A1DB4" w:rsidRDefault="005A1DB4" w:rsidP="000D10AE">
      <w:pPr>
        <w:ind w:left="851"/>
        <w:rPr>
          <w:sz w:val="24"/>
          <w:szCs w:val="24"/>
        </w:rPr>
      </w:pPr>
      <w:r w:rsidRPr="005A1DB4">
        <w:rPr>
          <w:sz w:val="24"/>
          <w:szCs w:val="24"/>
        </w:rPr>
        <w:t xml:space="preserve">Der er utilstrækkelige data fra anvendelse af </w:t>
      </w:r>
      <w:proofErr w:type="spellStart"/>
      <w:r w:rsidRPr="005A1DB4">
        <w:rPr>
          <w:sz w:val="24"/>
          <w:szCs w:val="24"/>
        </w:rPr>
        <w:t>colistimethatnatrium</w:t>
      </w:r>
      <w:proofErr w:type="spellEnd"/>
      <w:r w:rsidRPr="005A1DB4">
        <w:rPr>
          <w:sz w:val="24"/>
          <w:szCs w:val="24"/>
        </w:rPr>
        <w:t xml:space="preserve"> til gravide kvinder. Enkeltdosisstudier med gravide kvinder viser, at </w:t>
      </w:r>
      <w:proofErr w:type="spellStart"/>
      <w:r w:rsidRPr="005A1DB4">
        <w:rPr>
          <w:sz w:val="24"/>
          <w:szCs w:val="24"/>
        </w:rPr>
        <w:t>colistimethatnatrium</w:t>
      </w:r>
      <w:proofErr w:type="spellEnd"/>
      <w:r w:rsidRPr="005A1DB4">
        <w:rPr>
          <w:sz w:val="24"/>
          <w:szCs w:val="24"/>
        </w:rPr>
        <w:t xml:space="preserve"> passerer placentabarrieren, og der er derfor risiko for </w:t>
      </w:r>
      <w:proofErr w:type="spellStart"/>
      <w:r w:rsidRPr="005A1DB4">
        <w:rPr>
          <w:sz w:val="24"/>
          <w:szCs w:val="24"/>
        </w:rPr>
        <w:t>føtal</w:t>
      </w:r>
      <w:proofErr w:type="spellEnd"/>
      <w:r w:rsidRPr="005A1DB4">
        <w:rPr>
          <w:sz w:val="24"/>
          <w:szCs w:val="24"/>
        </w:rPr>
        <w:t xml:space="preserve"> toksicitet, hvis gentagne doser indgives under graviditet. Data fra dyreforsøg er utilstrækkelige, hvad angår </w:t>
      </w:r>
      <w:proofErr w:type="spellStart"/>
      <w:r w:rsidRPr="005A1DB4">
        <w:rPr>
          <w:sz w:val="24"/>
          <w:szCs w:val="24"/>
        </w:rPr>
        <w:t>colistimethatnatriums</w:t>
      </w:r>
      <w:proofErr w:type="spellEnd"/>
      <w:r w:rsidRPr="005A1DB4">
        <w:rPr>
          <w:sz w:val="24"/>
          <w:szCs w:val="24"/>
        </w:rPr>
        <w:t xml:space="preserve"> indvirkning på fosterudviklingen. </w:t>
      </w:r>
      <w:proofErr w:type="spellStart"/>
      <w:r w:rsidRPr="005A1DB4">
        <w:rPr>
          <w:sz w:val="24"/>
          <w:szCs w:val="24"/>
        </w:rPr>
        <w:t>Colistimethatnatrium</w:t>
      </w:r>
      <w:proofErr w:type="spellEnd"/>
      <w:r w:rsidRPr="005A1DB4">
        <w:rPr>
          <w:sz w:val="24"/>
          <w:szCs w:val="24"/>
        </w:rPr>
        <w:t xml:space="preserve"> må derfor kun anvendes under graviditet, hvis fordelene opvejer de potentielle risici.</w:t>
      </w:r>
    </w:p>
    <w:p w14:paraId="522F8E06" w14:textId="77777777" w:rsidR="005A1DB4" w:rsidRPr="005A1DB4" w:rsidRDefault="005A1DB4" w:rsidP="000D10AE">
      <w:pPr>
        <w:ind w:left="851"/>
        <w:rPr>
          <w:sz w:val="24"/>
          <w:szCs w:val="24"/>
        </w:rPr>
      </w:pPr>
    </w:p>
    <w:p w14:paraId="05684B62" w14:textId="77777777" w:rsidR="005A1DB4" w:rsidRPr="005A1DB4" w:rsidRDefault="005A1DB4" w:rsidP="000D10AE">
      <w:pPr>
        <w:ind w:left="851"/>
        <w:rPr>
          <w:sz w:val="24"/>
          <w:szCs w:val="24"/>
          <w:u w:val="single"/>
        </w:rPr>
      </w:pPr>
      <w:r w:rsidRPr="005A1DB4">
        <w:rPr>
          <w:sz w:val="24"/>
          <w:szCs w:val="24"/>
          <w:u w:val="single"/>
        </w:rPr>
        <w:t xml:space="preserve">Amning </w:t>
      </w:r>
    </w:p>
    <w:p w14:paraId="0D20A1DB" w14:textId="77777777" w:rsidR="005A1DB4" w:rsidRPr="005A1DB4" w:rsidRDefault="005A1DB4" w:rsidP="000D10AE">
      <w:pPr>
        <w:ind w:left="851"/>
        <w:rPr>
          <w:sz w:val="24"/>
          <w:szCs w:val="24"/>
        </w:rPr>
      </w:pPr>
      <w:proofErr w:type="spellStart"/>
      <w:r w:rsidRPr="005A1DB4">
        <w:rPr>
          <w:sz w:val="24"/>
          <w:szCs w:val="24"/>
        </w:rPr>
        <w:t>Colistimethatnatrium</w:t>
      </w:r>
      <w:proofErr w:type="spellEnd"/>
      <w:r w:rsidRPr="005A1DB4">
        <w:rPr>
          <w:sz w:val="24"/>
          <w:szCs w:val="24"/>
        </w:rPr>
        <w:t xml:space="preserve"> udskilles i human mælk i lave koncentrationer og må derfor kun anvendes efter en omhyggelig vurdering af benefit/</w:t>
      </w:r>
      <w:proofErr w:type="spellStart"/>
      <w:r w:rsidRPr="005A1DB4">
        <w:rPr>
          <w:sz w:val="24"/>
          <w:szCs w:val="24"/>
        </w:rPr>
        <w:t>risk</w:t>
      </w:r>
      <w:proofErr w:type="spellEnd"/>
      <w:r w:rsidRPr="005A1DB4">
        <w:rPr>
          <w:sz w:val="24"/>
          <w:szCs w:val="24"/>
        </w:rPr>
        <w:t>-forholdet.</w:t>
      </w:r>
    </w:p>
    <w:p w14:paraId="00A020B5" w14:textId="77777777" w:rsidR="009260DE" w:rsidRPr="00D707F0" w:rsidRDefault="009260DE" w:rsidP="009260DE">
      <w:pPr>
        <w:tabs>
          <w:tab w:val="left" w:pos="851"/>
        </w:tabs>
        <w:ind w:left="851"/>
        <w:rPr>
          <w:sz w:val="24"/>
          <w:szCs w:val="24"/>
        </w:rPr>
      </w:pPr>
    </w:p>
    <w:p w14:paraId="1A136658" w14:textId="77777777" w:rsidR="009260DE" w:rsidRPr="00D707F0" w:rsidRDefault="009260DE" w:rsidP="009260DE">
      <w:pPr>
        <w:tabs>
          <w:tab w:val="left" w:pos="851"/>
        </w:tabs>
        <w:ind w:left="851" w:hanging="851"/>
        <w:rPr>
          <w:b/>
          <w:sz w:val="24"/>
          <w:szCs w:val="24"/>
        </w:rPr>
      </w:pPr>
      <w:r w:rsidRPr="00D707F0">
        <w:rPr>
          <w:b/>
          <w:sz w:val="24"/>
          <w:szCs w:val="24"/>
        </w:rPr>
        <w:t>4.7</w:t>
      </w:r>
      <w:r w:rsidRPr="00D707F0">
        <w:rPr>
          <w:b/>
          <w:sz w:val="24"/>
          <w:szCs w:val="24"/>
        </w:rPr>
        <w:tab/>
        <w:t xml:space="preserve">Virkning på evnen til at føre motorkøretøj </w:t>
      </w:r>
      <w:r w:rsidR="0071241E" w:rsidRPr="00D707F0">
        <w:rPr>
          <w:b/>
          <w:sz w:val="24"/>
          <w:szCs w:val="24"/>
        </w:rPr>
        <w:t>og</w:t>
      </w:r>
      <w:r w:rsidRPr="00D707F0">
        <w:rPr>
          <w:b/>
          <w:sz w:val="24"/>
          <w:szCs w:val="24"/>
        </w:rPr>
        <w:t xml:space="preserve"> betjene maskiner</w:t>
      </w:r>
    </w:p>
    <w:p w14:paraId="6563E5D0" w14:textId="77777777" w:rsidR="005A1DB4" w:rsidRPr="005A1DB4" w:rsidRDefault="005A1DB4" w:rsidP="000D10AE">
      <w:pPr>
        <w:ind w:left="851"/>
        <w:rPr>
          <w:sz w:val="24"/>
          <w:szCs w:val="24"/>
        </w:rPr>
      </w:pPr>
      <w:r w:rsidRPr="005A1DB4">
        <w:rPr>
          <w:sz w:val="24"/>
          <w:szCs w:val="24"/>
        </w:rPr>
        <w:t>Ikke mærkning.</w:t>
      </w:r>
    </w:p>
    <w:p w14:paraId="4474490F" w14:textId="77777777" w:rsidR="005A1DB4" w:rsidRPr="005A1DB4" w:rsidRDefault="005A1DB4" w:rsidP="000D10AE">
      <w:pPr>
        <w:ind w:left="851"/>
        <w:rPr>
          <w:sz w:val="24"/>
          <w:szCs w:val="24"/>
        </w:rPr>
      </w:pPr>
      <w:r w:rsidRPr="005A1DB4">
        <w:rPr>
          <w:sz w:val="24"/>
          <w:szCs w:val="24"/>
        </w:rPr>
        <w:t xml:space="preserve">Under parenteral behandling med </w:t>
      </w:r>
      <w:proofErr w:type="spellStart"/>
      <w:r w:rsidRPr="005A1DB4">
        <w:rPr>
          <w:sz w:val="24"/>
          <w:szCs w:val="24"/>
        </w:rPr>
        <w:t>colistimethatnatrium</w:t>
      </w:r>
      <w:proofErr w:type="spellEnd"/>
      <w:r w:rsidRPr="005A1DB4">
        <w:rPr>
          <w:sz w:val="24"/>
          <w:szCs w:val="24"/>
        </w:rPr>
        <w:t xml:space="preserve"> kan der forekomme </w:t>
      </w:r>
      <w:proofErr w:type="spellStart"/>
      <w:r w:rsidRPr="005A1DB4">
        <w:rPr>
          <w:sz w:val="24"/>
          <w:szCs w:val="24"/>
        </w:rPr>
        <w:t>neurotoksicitet</w:t>
      </w:r>
      <w:proofErr w:type="spellEnd"/>
      <w:r w:rsidRPr="005A1DB4">
        <w:rPr>
          <w:sz w:val="24"/>
          <w:szCs w:val="24"/>
        </w:rPr>
        <w:t xml:space="preserve"> med mulighed for svimmelhed, forvirring eller synsforstyrrelser. Patienterne skal advares om ikke at føre motorkøretøj eller betjene maskiner, hvis disse virkninger forekommer.</w:t>
      </w:r>
    </w:p>
    <w:p w14:paraId="33E27B82" w14:textId="3C0BC15C" w:rsidR="00F23072" w:rsidRDefault="00F23072">
      <w:pPr>
        <w:rPr>
          <w:sz w:val="24"/>
          <w:szCs w:val="24"/>
        </w:rPr>
      </w:pPr>
      <w:r>
        <w:rPr>
          <w:sz w:val="24"/>
          <w:szCs w:val="24"/>
        </w:rPr>
        <w:br w:type="page"/>
      </w:r>
    </w:p>
    <w:p w14:paraId="2A05C834" w14:textId="77777777" w:rsidR="009260DE" w:rsidRPr="00D707F0" w:rsidRDefault="009260DE" w:rsidP="009260DE">
      <w:pPr>
        <w:tabs>
          <w:tab w:val="left" w:pos="851"/>
        </w:tabs>
        <w:ind w:left="851"/>
        <w:rPr>
          <w:sz w:val="24"/>
          <w:szCs w:val="24"/>
        </w:rPr>
      </w:pPr>
    </w:p>
    <w:p w14:paraId="12A8ED24" w14:textId="77777777" w:rsidR="009260DE" w:rsidRPr="00D707F0" w:rsidRDefault="009260DE" w:rsidP="009260DE">
      <w:pPr>
        <w:tabs>
          <w:tab w:val="left" w:pos="851"/>
        </w:tabs>
        <w:ind w:left="851" w:hanging="851"/>
        <w:rPr>
          <w:b/>
          <w:sz w:val="24"/>
          <w:szCs w:val="24"/>
        </w:rPr>
      </w:pPr>
      <w:r w:rsidRPr="00D707F0">
        <w:rPr>
          <w:b/>
          <w:sz w:val="24"/>
          <w:szCs w:val="24"/>
        </w:rPr>
        <w:t>4.8</w:t>
      </w:r>
      <w:r w:rsidRPr="00D707F0">
        <w:rPr>
          <w:b/>
          <w:sz w:val="24"/>
          <w:szCs w:val="24"/>
        </w:rPr>
        <w:tab/>
        <w:t>Bivirkninger</w:t>
      </w:r>
    </w:p>
    <w:p w14:paraId="0AE854DF" w14:textId="77777777" w:rsidR="005A1DB4" w:rsidRPr="005A1DB4" w:rsidRDefault="005A1DB4" w:rsidP="000D10AE">
      <w:pPr>
        <w:ind w:left="851"/>
        <w:rPr>
          <w:sz w:val="24"/>
          <w:szCs w:val="24"/>
        </w:rPr>
      </w:pPr>
      <w:r w:rsidRPr="005A1DB4">
        <w:rPr>
          <w:sz w:val="24"/>
          <w:szCs w:val="24"/>
        </w:rPr>
        <w:t xml:space="preserve">De mest almindelige bivirkninger efter </w:t>
      </w:r>
      <w:proofErr w:type="spellStart"/>
      <w:r w:rsidRPr="005A1DB4">
        <w:rPr>
          <w:sz w:val="24"/>
          <w:szCs w:val="24"/>
        </w:rPr>
        <w:t>nebulisering</w:t>
      </w:r>
      <w:proofErr w:type="spellEnd"/>
      <w:r w:rsidRPr="005A1DB4">
        <w:rPr>
          <w:sz w:val="24"/>
          <w:szCs w:val="24"/>
        </w:rPr>
        <w:t xml:space="preserve"> af </w:t>
      </w:r>
      <w:proofErr w:type="spellStart"/>
      <w:r w:rsidRPr="005A1DB4">
        <w:rPr>
          <w:sz w:val="24"/>
          <w:szCs w:val="24"/>
        </w:rPr>
        <w:t>colistimethatnatrium</w:t>
      </w:r>
      <w:proofErr w:type="spellEnd"/>
      <w:r w:rsidRPr="005A1DB4">
        <w:rPr>
          <w:sz w:val="24"/>
          <w:szCs w:val="24"/>
        </w:rPr>
        <w:t xml:space="preserve"> er hoste og </w:t>
      </w:r>
      <w:proofErr w:type="spellStart"/>
      <w:r w:rsidRPr="005A1DB4">
        <w:rPr>
          <w:sz w:val="24"/>
          <w:szCs w:val="24"/>
        </w:rPr>
        <w:t>bronkospasme</w:t>
      </w:r>
      <w:proofErr w:type="spellEnd"/>
      <w:r w:rsidRPr="005A1DB4">
        <w:rPr>
          <w:sz w:val="24"/>
          <w:szCs w:val="24"/>
        </w:rPr>
        <w:t xml:space="preserve"> (indikeret ved trykken for brystet, som kan påvises ved et fald i FEV</w:t>
      </w:r>
      <w:r w:rsidRPr="005A1DB4">
        <w:rPr>
          <w:sz w:val="24"/>
          <w:szCs w:val="24"/>
          <w:vertAlign w:val="subscript"/>
        </w:rPr>
        <w:t>1</w:t>
      </w:r>
      <w:r w:rsidRPr="005A1DB4">
        <w:rPr>
          <w:sz w:val="24"/>
          <w:szCs w:val="24"/>
        </w:rPr>
        <w:t>) hos cirka 10 % af patienterne (se også pkt. 4.4).</w:t>
      </w:r>
    </w:p>
    <w:p w14:paraId="0E0CA38A" w14:textId="77777777" w:rsidR="005A1DB4" w:rsidRPr="005A1DB4" w:rsidRDefault="005A1DB4" w:rsidP="000D10AE">
      <w:pPr>
        <w:ind w:left="851"/>
        <w:rPr>
          <w:sz w:val="24"/>
          <w:szCs w:val="24"/>
        </w:rPr>
      </w:pPr>
    </w:p>
    <w:p w14:paraId="15EAA546" w14:textId="77777777" w:rsidR="005A1DB4" w:rsidRPr="005A1DB4" w:rsidRDefault="005A1DB4" w:rsidP="000D10AE">
      <w:pPr>
        <w:ind w:left="851"/>
        <w:rPr>
          <w:sz w:val="24"/>
          <w:szCs w:val="24"/>
        </w:rPr>
      </w:pPr>
      <w:r w:rsidRPr="005A1DB4">
        <w:rPr>
          <w:sz w:val="24"/>
          <w:szCs w:val="24"/>
        </w:rPr>
        <w:t>Bivirkningerne er opstillet i tabelform nedenfor efter systemorganklasse og hyppighed. Hyppigheder er defineret som: meget almindelig (≥ 1/10), almindelig (≥ 1/100 til &lt; 1/10), ikke almindelig (≥ 1/1.000 til &lt; 1/100), sjælden (≥ 1/10.000 til &lt; 1/1.000), meget sjælden (&lt; 1/10.000) og ikke kendt (kan ikke estimeres ud fra forhåndenværende data).</w:t>
      </w:r>
    </w:p>
    <w:p w14:paraId="65D3347C" w14:textId="77777777" w:rsidR="005A1DB4" w:rsidRPr="005A1DB4" w:rsidRDefault="005A1DB4" w:rsidP="005A1DB4">
      <w:pPr>
        <w:tabs>
          <w:tab w:val="left" w:pos="851"/>
        </w:tabs>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041"/>
        <w:gridCol w:w="3299"/>
      </w:tblGrid>
      <w:tr w:rsidR="005A1DB4" w:rsidRPr="005A1DB4" w14:paraId="112AD87D" w14:textId="77777777" w:rsidTr="00324A08">
        <w:tc>
          <w:tcPr>
            <w:tcW w:w="1708" w:type="pct"/>
            <w:tcBorders>
              <w:top w:val="single" w:sz="4" w:space="0" w:color="auto"/>
              <w:left w:val="single" w:sz="4" w:space="0" w:color="auto"/>
              <w:bottom w:val="single" w:sz="4" w:space="0" w:color="auto"/>
              <w:right w:val="single" w:sz="4" w:space="0" w:color="auto"/>
            </w:tcBorders>
            <w:hideMark/>
          </w:tcPr>
          <w:p w14:paraId="729172E1" w14:textId="77777777" w:rsidR="005A1DB4" w:rsidRPr="005A1DB4" w:rsidRDefault="005A1DB4" w:rsidP="000D10AE">
            <w:pPr>
              <w:ind w:left="64"/>
              <w:rPr>
                <w:b/>
                <w:bCs/>
                <w:sz w:val="24"/>
                <w:szCs w:val="24"/>
              </w:rPr>
            </w:pPr>
            <w:r w:rsidRPr="005A1DB4">
              <w:rPr>
                <w:b/>
                <w:sz w:val="24"/>
                <w:szCs w:val="24"/>
              </w:rPr>
              <w:t>Systemorganklasse</w:t>
            </w:r>
          </w:p>
        </w:tc>
        <w:tc>
          <w:tcPr>
            <w:tcW w:w="1579" w:type="pct"/>
            <w:tcBorders>
              <w:top w:val="single" w:sz="4" w:space="0" w:color="auto"/>
              <w:left w:val="single" w:sz="4" w:space="0" w:color="auto"/>
              <w:bottom w:val="single" w:sz="4" w:space="0" w:color="auto"/>
              <w:right w:val="single" w:sz="4" w:space="0" w:color="auto"/>
            </w:tcBorders>
            <w:hideMark/>
          </w:tcPr>
          <w:p w14:paraId="50F108EA" w14:textId="77777777" w:rsidR="005A1DB4" w:rsidRPr="005A1DB4" w:rsidRDefault="005A1DB4" w:rsidP="000D10AE">
            <w:pPr>
              <w:ind w:left="64"/>
              <w:rPr>
                <w:b/>
                <w:bCs/>
                <w:sz w:val="24"/>
                <w:szCs w:val="24"/>
              </w:rPr>
            </w:pPr>
            <w:r w:rsidRPr="005A1DB4">
              <w:rPr>
                <w:b/>
                <w:sz w:val="24"/>
                <w:szCs w:val="24"/>
              </w:rPr>
              <w:t>Hyppighed</w:t>
            </w:r>
          </w:p>
        </w:tc>
        <w:tc>
          <w:tcPr>
            <w:tcW w:w="1713" w:type="pct"/>
            <w:tcBorders>
              <w:top w:val="single" w:sz="4" w:space="0" w:color="auto"/>
              <w:left w:val="single" w:sz="4" w:space="0" w:color="auto"/>
              <w:bottom w:val="single" w:sz="4" w:space="0" w:color="auto"/>
              <w:right w:val="single" w:sz="4" w:space="0" w:color="auto"/>
            </w:tcBorders>
            <w:hideMark/>
          </w:tcPr>
          <w:p w14:paraId="49EFD77E" w14:textId="77777777" w:rsidR="005A1DB4" w:rsidRPr="005A1DB4" w:rsidRDefault="005A1DB4" w:rsidP="000D10AE">
            <w:pPr>
              <w:ind w:left="64"/>
              <w:rPr>
                <w:b/>
                <w:bCs/>
                <w:sz w:val="24"/>
                <w:szCs w:val="24"/>
              </w:rPr>
            </w:pPr>
            <w:r w:rsidRPr="005A1DB4">
              <w:rPr>
                <w:b/>
                <w:sz w:val="24"/>
                <w:szCs w:val="24"/>
              </w:rPr>
              <w:t>Rapporterede bivirkninger</w:t>
            </w:r>
          </w:p>
        </w:tc>
      </w:tr>
      <w:tr w:rsidR="005A1DB4" w:rsidRPr="005A1DB4" w14:paraId="607BB819" w14:textId="77777777" w:rsidTr="00324A08">
        <w:tc>
          <w:tcPr>
            <w:tcW w:w="1708" w:type="pct"/>
            <w:tcBorders>
              <w:top w:val="single" w:sz="4" w:space="0" w:color="auto"/>
              <w:left w:val="single" w:sz="4" w:space="0" w:color="auto"/>
              <w:bottom w:val="single" w:sz="4" w:space="0" w:color="auto"/>
              <w:right w:val="single" w:sz="4" w:space="0" w:color="auto"/>
            </w:tcBorders>
            <w:hideMark/>
          </w:tcPr>
          <w:p w14:paraId="33BFF37A" w14:textId="77777777" w:rsidR="005A1DB4" w:rsidRPr="005A1DB4" w:rsidRDefault="005A1DB4" w:rsidP="000D10AE">
            <w:pPr>
              <w:ind w:left="64"/>
              <w:rPr>
                <w:sz w:val="24"/>
                <w:szCs w:val="24"/>
              </w:rPr>
            </w:pPr>
            <w:r w:rsidRPr="005A1DB4">
              <w:rPr>
                <w:sz w:val="24"/>
                <w:szCs w:val="24"/>
              </w:rPr>
              <w:t>Immunsystemet</w:t>
            </w:r>
          </w:p>
        </w:tc>
        <w:tc>
          <w:tcPr>
            <w:tcW w:w="1579" w:type="pct"/>
            <w:tcBorders>
              <w:top w:val="single" w:sz="4" w:space="0" w:color="auto"/>
              <w:left w:val="single" w:sz="4" w:space="0" w:color="auto"/>
              <w:bottom w:val="single" w:sz="4" w:space="0" w:color="auto"/>
              <w:right w:val="single" w:sz="4" w:space="0" w:color="auto"/>
            </w:tcBorders>
            <w:hideMark/>
          </w:tcPr>
          <w:p w14:paraId="65EC4E68" w14:textId="77777777" w:rsidR="005A1DB4" w:rsidRPr="005A1DB4" w:rsidRDefault="005A1DB4" w:rsidP="000D10AE">
            <w:pPr>
              <w:ind w:left="64"/>
              <w:rPr>
                <w:sz w:val="24"/>
                <w:szCs w:val="24"/>
              </w:rPr>
            </w:pPr>
            <w:r w:rsidRPr="005A1DB4">
              <w:rPr>
                <w:sz w:val="24"/>
                <w:szCs w:val="24"/>
              </w:rPr>
              <w:t>Ikke kendt</w:t>
            </w:r>
          </w:p>
        </w:tc>
        <w:tc>
          <w:tcPr>
            <w:tcW w:w="1713" w:type="pct"/>
            <w:tcBorders>
              <w:top w:val="single" w:sz="4" w:space="0" w:color="auto"/>
              <w:left w:val="single" w:sz="4" w:space="0" w:color="auto"/>
              <w:bottom w:val="single" w:sz="4" w:space="0" w:color="auto"/>
              <w:right w:val="single" w:sz="4" w:space="0" w:color="auto"/>
            </w:tcBorders>
            <w:hideMark/>
          </w:tcPr>
          <w:p w14:paraId="3588E9BD" w14:textId="77777777" w:rsidR="005A1DB4" w:rsidRPr="005A1DB4" w:rsidRDefault="005A1DB4" w:rsidP="000D10AE">
            <w:pPr>
              <w:ind w:left="64"/>
              <w:rPr>
                <w:sz w:val="24"/>
                <w:szCs w:val="24"/>
              </w:rPr>
            </w:pPr>
            <w:r w:rsidRPr="005A1DB4">
              <w:rPr>
                <w:sz w:val="24"/>
                <w:szCs w:val="24"/>
              </w:rPr>
              <w:t>Overfølsomhedsreaktioner såsom hududslæt</w:t>
            </w:r>
          </w:p>
        </w:tc>
      </w:tr>
      <w:tr w:rsidR="005A1DB4" w:rsidRPr="005A1DB4" w14:paraId="5FB7A61B" w14:textId="77777777" w:rsidTr="00324A08">
        <w:tc>
          <w:tcPr>
            <w:tcW w:w="1708" w:type="pct"/>
            <w:tcBorders>
              <w:top w:val="single" w:sz="4" w:space="0" w:color="auto"/>
              <w:left w:val="single" w:sz="4" w:space="0" w:color="auto"/>
              <w:bottom w:val="single" w:sz="4" w:space="0" w:color="auto"/>
              <w:right w:val="single" w:sz="4" w:space="0" w:color="auto"/>
            </w:tcBorders>
            <w:hideMark/>
          </w:tcPr>
          <w:p w14:paraId="05527904" w14:textId="77777777" w:rsidR="005A1DB4" w:rsidRPr="005A1DB4" w:rsidRDefault="005A1DB4" w:rsidP="000D10AE">
            <w:pPr>
              <w:ind w:left="64"/>
              <w:rPr>
                <w:sz w:val="24"/>
                <w:szCs w:val="24"/>
              </w:rPr>
            </w:pPr>
            <w:r w:rsidRPr="005A1DB4">
              <w:rPr>
                <w:sz w:val="24"/>
                <w:szCs w:val="24"/>
              </w:rPr>
              <w:t xml:space="preserve">Luftveje, thorax og </w:t>
            </w:r>
            <w:proofErr w:type="spellStart"/>
            <w:r w:rsidRPr="005A1DB4">
              <w:rPr>
                <w:sz w:val="24"/>
                <w:szCs w:val="24"/>
              </w:rPr>
              <w:t>mediastinum</w:t>
            </w:r>
            <w:proofErr w:type="spellEnd"/>
          </w:p>
        </w:tc>
        <w:tc>
          <w:tcPr>
            <w:tcW w:w="1579" w:type="pct"/>
            <w:tcBorders>
              <w:top w:val="single" w:sz="4" w:space="0" w:color="auto"/>
              <w:left w:val="single" w:sz="4" w:space="0" w:color="auto"/>
              <w:bottom w:val="single" w:sz="4" w:space="0" w:color="auto"/>
              <w:right w:val="single" w:sz="4" w:space="0" w:color="auto"/>
            </w:tcBorders>
            <w:hideMark/>
          </w:tcPr>
          <w:p w14:paraId="47F95170" w14:textId="77777777" w:rsidR="005A1DB4" w:rsidRPr="005A1DB4" w:rsidRDefault="005A1DB4" w:rsidP="000D10AE">
            <w:pPr>
              <w:ind w:left="64"/>
              <w:rPr>
                <w:sz w:val="24"/>
                <w:szCs w:val="24"/>
              </w:rPr>
            </w:pPr>
            <w:r w:rsidRPr="005A1DB4">
              <w:rPr>
                <w:sz w:val="24"/>
                <w:szCs w:val="24"/>
              </w:rPr>
              <w:t>Meget almindelig</w:t>
            </w:r>
          </w:p>
        </w:tc>
        <w:tc>
          <w:tcPr>
            <w:tcW w:w="1713" w:type="pct"/>
            <w:tcBorders>
              <w:top w:val="single" w:sz="4" w:space="0" w:color="auto"/>
              <w:left w:val="single" w:sz="4" w:space="0" w:color="auto"/>
              <w:bottom w:val="single" w:sz="4" w:space="0" w:color="auto"/>
              <w:right w:val="single" w:sz="4" w:space="0" w:color="auto"/>
            </w:tcBorders>
            <w:hideMark/>
          </w:tcPr>
          <w:p w14:paraId="42B61E5D" w14:textId="77777777" w:rsidR="005A1DB4" w:rsidRPr="005A1DB4" w:rsidRDefault="005A1DB4" w:rsidP="000D10AE">
            <w:pPr>
              <w:ind w:left="64"/>
              <w:rPr>
                <w:sz w:val="24"/>
                <w:szCs w:val="24"/>
              </w:rPr>
            </w:pPr>
            <w:r w:rsidRPr="005A1DB4">
              <w:rPr>
                <w:sz w:val="24"/>
                <w:szCs w:val="24"/>
              </w:rPr>
              <w:t xml:space="preserve">Hoste, trykken for brystet, </w:t>
            </w:r>
            <w:proofErr w:type="spellStart"/>
            <w:r w:rsidRPr="005A1DB4">
              <w:rPr>
                <w:sz w:val="24"/>
                <w:szCs w:val="24"/>
              </w:rPr>
              <w:t>bronkokonstriktion</w:t>
            </w:r>
            <w:proofErr w:type="spellEnd"/>
            <w:r w:rsidRPr="005A1DB4">
              <w:rPr>
                <w:sz w:val="24"/>
                <w:szCs w:val="24"/>
              </w:rPr>
              <w:t xml:space="preserve"> eller </w:t>
            </w:r>
            <w:proofErr w:type="spellStart"/>
            <w:r w:rsidRPr="005A1DB4">
              <w:rPr>
                <w:sz w:val="24"/>
                <w:szCs w:val="24"/>
              </w:rPr>
              <w:t>bronkospasme</w:t>
            </w:r>
            <w:proofErr w:type="spellEnd"/>
          </w:p>
        </w:tc>
      </w:tr>
      <w:tr w:rsidR="005A1DB4" w:rsidRPr="005A1DB4" w14:paraId="27293876" w14:textId="77777777" w:rsidTr="00324A08">
        <w:tc>
          <w:tcPr>
            <w:tcW w:w="1708" w:type="pct"/>
            <w:tcBorders>
              <w:top w:val="single" w:sz="4" w:space="0" w:color="auto"/>
              <w:left w:val="single" w:sz="4" w:space="0" w:color="auto"/>
              <w:bottom w:val="single" w:sz="4" w:space="0" w:color="auto"/>
              <w:right w:val="single" w:sz="4" w:space="0" w:color="auto"/>
            </w:tcBorders>
            <w:hideMark/>
          </w:tcPr>
          <w:p w14:paraId="236C4F39" w14:textId="77777777" w:rsidR="005A1DB4" w:rsidRPr="005A1DB4" w:rsidRDefault="005A1DB4" w:rsidP="000D10AE">
            <w:pPr>
              <w:ind w:left="64"/>
              <w:rPr>
                <w:sz w:val="24"/>
                <w:szCs w:val="24"/>
              </w:rPr>
            </w:pPr>
            <w:r w:rsidRPr="005A1DB4">
              <w:rPr>
                <w:sz w:val="24"/>
                <w:szCs w:val="24"/>
              </w:rPr>
              <w:t>Almene symptomer og reaktioner på administrationsstedet</w:t>
            </w:r>
          </w:p>
        </w:tc>
        <w:tc>
          <w:tcPr>
            <w:tcW w:w="1579" w:type="pct"/>
            <w:tcBorders>
              <w:top w:val="single" w:sz="4" w:space="0" w:color="auto"/>
              <w:left w:val="single" w:sz="4" w:space="0" w:color="auto"/>
              <w:bottom w:val="single" w:sz="4" w:space="0" w:color="auto"/>
              <w:right w:val="single" w:sz="4" w:space="0" w:color="auto"/>
            </w:tcBorders>
            <w:hideMark/>
          </w:tcPr>
          <w:p w14:paraId="0D280963" w14:textId="77777777" w:rsidR="005A1DB4" w:rsidRPr="005A1DB4" w:rsidRDefault="005A1DB4" w:rsidP="000D10AE">
            <w:pPr>
              <w:ind w:left="64"/>
              <w:rPr>
                <w:sz w:val="24"/>
                <w:szCs w:val="24"/>
              </w:rPr>
            </w:pPr>
            <w:r w:rsidRPr="005A1DB4">
              <w:rPr>
                <w:sz w:val="24"/>
                <w:szCs w:val="24"/>
              </w:rPr>
              <w:t>Ikke kendt</w:t>
            </w:r>
          </w:p>
        </w:tc>
        <w:tc>
          <w:tcPr>
            <w:tcW w:w="1713" w:type="pct"/>
            <w:tcBorders>
              <w:top w:val="single" w:sz="4" w:space="0" w:color="auto"/>
              <w:left w:val="single" w:sz="4" w:space="0" w:color="auto"/>
              <w:bottom w:val="single" w:sz="4" w:space="0" w:color="auto"/>
              <w:right w:val="single" w:sz="4" w:space="0" w:color="auto"/>
            </w:tcBorders>
            <w:hideMark/>
          </w:tcPr>
          <w:p w14:paraId="53FCDFF9" w14:textId="77777777" w:rsidR="005A1DB4" w:rsidRPr="005A1DB4" w:rsidRDefault="005A1DB4" w:rsidP="000D10AE">
            <w:pPr>
              <w:ind w:left="64"/>
              <w:rPr>
                <w:sz w:val="24"/>
                <w:szCs w:val="24"/>
              </w:rPr>
            </w:pPr>
            <w:r w:rsidRPr="005A1DB4">
              <w:rPr>
                <w:sz w:val="24"/>
                <w:szCs w:val="24"/>
              </w:rPr>
              <w:t>Ondt i halsen og ondt i munden</w:t>
            </w:r>
          </w:p>
        </w:tc>
      </w:tr>
    </w:tbl>
    <w:p w14:paraId="7367DB02" w14:textId="77777777" w:rsidR="005A1DB4" w:rsidRPr="005A1DB4" w:rsidRDefault="005A1DB4" w:rsidP="00324A08">
      <w:pPr>
        <w:ind w:left="851"/>
        <w:rPr>
          <w:sz w:val="24"/>
          <w:szCs w:val="24"/>
        </w:rPr>
      </w:pPr>
    </w:p>
    <w:p w14:paraId="7249DB40" w14:textId="77777777" w:rsidR="005A1DB4" w:rsidRPr="005A1DB4" w:rsidRDefault="005A1DB4" w:rsidP="00324A08">
      <w:pPr>
        <w:ind w:left="851"/>
        <w:rPr>
          <w:sz w:val="24"/>
          <w:szCs w:val="24"/>
        </w:rPr>
      </w:pPr>
      <w:r w:rsidRPr="005A1DB4">
        <w:rPr>
          <w:sz w:val="24"/>
          <w:szCs w:val="24"/>
        </w:rPr>
        <w:t xml:space="preserve">Hvis overfølsomhedsreaktioner såsom hududslæt forekommer, skal behandlingen med </w:t>
      </w:r>
      <w:proofErr w:type="spellStart"/>
      <w:r w:rsidRPr="005A1DB4">
        <w:rPr>
          <w:sz w:val="24"/>
          <w:szCs w:val="24"/>
        </w:rPr>
        <w:t>colistimethatnatrium</w:t>
      </w:r>
      <w:proofErr w:type="spellEnd"/>
      <w:r w:rsidRPr="005A1DB4">
        <w:rPr>
          <w:sz w:val="24"/>
          <w:szCs w:val="24"/>
        </w:rPr>
        <w:t xml:space="preserve"> seponeres.</w:t>
      </w:r>
    </w:p>
    <w:p w14:paraId="166D2C73" w14:textId="77777777" w:rsidR="005A1DB4" w:rsidRPr="005A1DB4" w:rsidRDefault="005A1DB4" w:rsidP="00324A08">
      <w:pPr>
        <w:ind w:left="851"/>
        <w:rPr>
          <w:sz w:val="24"/>
          <w:szCs w:val="24"/>
        </w:rPr>
      </w:pPr>
    </w:p>
    <w:p w14:paraId="754EF78A" w14:textId="77777777" w:rsidR="005A1DB4" w:rsidRPr="005A1DB4" w:rsidRDefault="005A1DB4" w:rsidP="00324A08">
      <w:pPr>
        <w:ind w:left="851"/>
        <w:rPr>
          <w:sz w:val="24"/>
          <w:szCs w:val="24"/>
        </w:rPr>
      </w:pPr>
      <w:r w:rsidRPr="005A1DB4">
        <w:rPr>
          <w:sz w:val="24"/>
          <w:szCs w:val="24"/>
        </w:rPr>
        <w:t xml:space="preserve">Tilfælde af ondt i halsen eller ondt i munden kan skyldes overfølsomhed eller superinfektion med </w:t>
      </w:r>
      <w:proofErr w:type="spellStart"/>
      <w:r w:rsidRPr="005A1DB4">
        <w:rPr>
          <w:i/>
          <w:iCs/>
          <w:sz w:val="24"/>
          <w:szCs w:val="24"/>
        </w:rPr>
        <w:t>Candida</w:t>
      </w:r>
      <w:proofErr w:type="spellEnd"/>
      <w:r w:rsidRPr="005A1DB4">
        <w:rPr>
          <w:sz w:val="24"/>
          <w:szCs w:val="24"/>
        </w:rPr>
        <w:t>-arter.</w:t>
      </w:r>
    </w:p>
    <w:p w14:paraId="717B5913" w14:textId="77777777" w:rsidR="005A1DB4" w:rsidRPr="005A1DB4" w:rsidRDefault="005A1DB4" w:rsidP="00324A08">
      <w:pPr>
        <w:ind w:left="851"/>
        <w:rPr>
          <w:sz w:val="24"/>
          <w:szCs w:val="24"/>
        </w:rPr>
      </w:pPr>
    </w:p>
    <w:p w14:paraId="24151621" w14:textId="77777777" w:rsidR="005A1DB4" w:rsidRPr="005A1DB4" w:rsidRDefault="005A1DB4" w:rsidP="00324A08">
      <w:pPr>
        <w:ind w:left="851"/>
        <w:rPr>
          <w:sz w:val="24"/>
          <w:szCs w:val="24"/>
          <w:u w:val="single"/>
        </w:rPr>
      </w:pPr>
      <w:r w:rsidRPr="005A1DB4">
        <w:rPr>
          <w:sz w:val="24"/>
          <w:szCs w:val="24"/>
          <w:u w:val="single"/>
        </w:rPr>
        <w:t>Indberetning af formodede bivirkninger</w:t>
      </w:r>
    </w:p>
    <w:p w14:paraId="57FEBCF0" w14:textId="77777777" w:rsidR="005A1DB4" w:rsidRPr="00D707F0" w:rsidRDefault="005A1DB4" w:rsidP="00324A08">
      <w:pPr>
        <w:ind w:left="851"/>
        <w:rPr>
          <w:sz w:val="24"/>
          <w:szCs w:val="24"/>
        </w:rPr>
      </w:pPr>
      <w:r w:rsidRPr="005A1DB4">
        <w:rPr>
          <w:sz w:val="24"/>
          <w:szCs w:val="24"/>
        </w:rPr>
        <w:t>Når lægemidlet er godkendt, er indberetning af formodede bivirkninger vigtig. Det muliggør løbende overvågning af benefit/</w:t>
      </w:r>
      <w:proofErr w:type="spellStart"/>
      <w:r w:rsidRPr="005A1DB4">
        <w:rPr>
          <w:sz w:val="24"/>
          <w:szCs w:val="24"/>
        </w:rPr>
        <w:t>risk</w:t>
      </w:r>
      <w:proofErr w:type="spellEnd"/>
      <w:r w:rsidRPr="005A1DB4">
        <w:rPr>
          <w:sz w:val="24"/>
          <w:szCs w:val="24"/>
        </w:rPr>
        <w:t xml:space="preserve">-forholdet for lægemidlet. Sundhedspersoner anmodes om at indberette alle formodede bivirkninger via: </w:t>
      </w:r>
    </w:p>
    <w:p w14:paraId="6BEBAFD5" w14:textId="77777777" w:rsidR="00324A08" w:rsidRPr="005A1DB4" w:rsidRDefault="00324A08" w:rsidP="00324A08">
      <w:pPr>
        <w:ind w:left="851"/>
        <w:rPr>
          <w:sz w:val="24"/>
          <w:szCs w:val="24"/>
        </w:rPr>
      </w:pPr>
    </w:p>
    <w:p w14:paraId="62A331EE" w14:textId="77777777" w:rsidR="005A1DB4" w:rsidRPr="005A1DB4" w:rsidRDefault="005A1DB4" w:rsidP="00324A08">
      <w:pPr>
        <w:ind w:left="851"/>
        <w:rPr>
          <w:sz w:val="24"/>
          <w:szCs w:val="24"/>
        </w:rPr>
      </w:pPr>
      <w:r w:rsidRPr="005A1DB4">
        <w:rPr>
          <w:sz w:val="24"/>
          <w:szCs w:val="24"/>
        </w:rPr>
        <w:t>Lægemiddelstyrelsen</w:t>
      </w:r>
    </w:p>
    <w:p w14:paraId="29BF6322" w14:textId="77777777" w:rsidR="005A1DB4" w:rsidRPr="005A1DB4" w:rsidRDefault="005A1DB4" w:rsidP="00324A08">
      <w:pPr>
        <w:ind w:left="851"/>
        <w:rPr>
          <w:sz w:val="24"/>
          <w:szCs w:val="24"/>
        </w:rPr>
      </w:pPr>
      <w:r w:rsidRPr="005A1DB4">
        <w:rPr>
          <w:sz w:val="24"/>
          <w:szCs w:val="24"/>
        </w:rPr>
        <w:t>Axel Heides Gade 1</w:t>
      </w:r>
    </w:p>
    <w:p w14:paraId="2E4AE9DE" w14:textId="77777777" w:rsidR="005A1DB4" w:rsidRPr="005A1DB4" w:rsidRDefault="005A1DB4" w:rsidP="00324A08">
      <w:pPr>
        <w:ind w:left="851"/>
        <w:rPr>
          <w:sz w:val="24"/>
          <w:szCs w:val="24"/>
        </w:rPr>
      </w:pPr>
      <w:r w:rsidRPr="005A1DB4">
        <w:rPr>
          <w:sz w:val="24"/>
          <w:szCs w:val="24"/>
        </w:rPr>
        <w:t>DK-2300 København S</w:t>
      </w:r>
    </w:p>
    <w:p w14:paraId="0AFAAD50" w14:textId="77777777" w:rsidR="005A1DB4" w:rsidRPr="005A1DB4" w:rsidRDefault="005A1DB4" w:rsidP="00324A08">
      <w:pPr>
        <w:ind w:left="851"/>
        <w:rPr>
          <w:sz w:val="24"/>
          <w:szCs w:val="24"/>
        </w:rPr>
      </w:pPr>
      <w:r w:rsidRPr="005A1DB4">
        <w:rPr>
          <w:sz w:val="24"/>
          <w:szCs w:val="24"/>
        </w:rPr>
        <w:t xml:space="preserve">Websted: </w:t>
      </w:r>
      <w:hyperlink r:id="rId9" w:history="1">
        <w:r w:rsidRPr="005A1DB4">
          <w:rPr>
            <w:rStyle w:val="Hyperlink"/>
            <w:sz w:val="24"/>
            <w:szCs w:val="24"/>
          </w:rPr>
          <w:t>www.meldenbivirkning.dk</w:t>
        </w:r>
      </w:hyperlink>
    </w:p>
    <w:p w14:paraId="520DB8AE" w14:textId="77777777" w:rsidR="009260DE" w:rsidRPr="00D707F0" w:rsidRDefault="009260DE" w:rsidP="00A10294">
      <w:pPr>
        <w:tabs>
          <w:tab w:val="left" w:pos="851"/>
        </w:tabs>
        <w:ind w:left="851"/>
        <w:rPr>
          <w:sz w:val="24"/>
          <w:szCs w:val="24"/>
        </w:rPr>
      </w:pPr>
    </w:p>
    <w:p w14:paraId="7372B9F5" w14:textId="77777777" w:rsidR="009260DE" w:rsidRPr="00D707F0" w:rsidRDefault="009260DE" w:rsidP="009260DE">
      <w:pPr>
        <w:tabs>
          <w:tab w:val="left" w:pos="851"/>
        </w:tabs>
        <w:ind w:left="851" w:hanging="851"/>
        <w:rPr>
          <w:b/>
          <w:sz w:val="24"/>
          <w:szCs w:val="24"/>
        </w:rPr>
      </w:pPr>
      <w:r w:rsidRPr="00D707F0">
        <w:rPr>
          <w:b/>
          <w:sz w:val="24"/>
          <w:szCs w:val="24"/>
        </w:rPr>
        <w:t>4.9</w:t>
      </w:r>
      <w:r w:rsidRPr="00D707F0">
        <w:rPr>
          <w:b/>
          <w:sz w:val="24"/>
          <w:szCs w:val="24"/>
        </w:rPr>
        <w:tab/>
        <w:t>Overdosering</w:t>
      </w:r>
    </w:p>
    <w:p w14:paraId="280943B0" w14:textId="77777777" w:rsidR="005A1DB4" w:rsidRPr="005A1DB4" w:rsidRDefault="005A1DB4" w:rsidP="00324A08">
      <w:pPr>
        <w:ind w:left="851"/>
        <w:rPr>
          <w:sz w:val="24"/>
          <w:szCs w:val="24"/>
        </w:rPr>
      </w:pPr>
      <w:r w:rsidRPr="005A1DB4">
        <w:rPr>
          <w:sz w:val="24"/>
          <w:szCs w:val="24"/>
        </w:rPr>
        <w:t xml:space="preserve">Overdosering kan forårsage </w:t>
      </w:r>
      <w:proofErr w:type="spellStart"/>
      <w:r w:rsidRPr="005A1DB4">
        <w:rPr>
          <w:sz w:val="24"/>
          <w:szCs w:val="24"/>
        </w:rPr>
        <w:t>neuromuskulær</w:t>
      </w:r>
      <w:proofErr w:type="spellEnd"/>
      <w:r w:rsidRPr="005A1DB4">
        <w:rPr>
          <w:sz w:val="24"/>
          <w:szCs w:val="24"/>
        </w:rPr>
        <w:t xml:space="preserve"> blokade, som kan føre til muskelslaphed, apnø og muligvis respirationsophør. Overdosering kan også forårsage akut nyresvigt, som viser sig ved nedsat diurese og forhøjede serumkoncentrationer af BUN og </w:t>
      </w:r>
      <w:proofErr w:type="spellStart"/>
      <w:r w:rsidRPr="005A1DB4">
        <w:rPr>
          <w:sz w:val="24"/>
          <w:szCs w:val="24"/>
        </w:rPr>
        <w:t>kreatinin</w:t>
      </w:r>
      <w:proofErr w:type="spellEnd"/>
      <w:r w:rsidRPr="005A1DB4">
        <w:rPr>
          <w:sz w:val="24"/>
          <w:szCs w:val="24"/>
        </w:rPr>
        <w:t>.</w:t>
      </w:r>
    </w:p>
    <w:p w14:paraId="0676913B" w14:textId="77777777" w:rsidR="005A1DB4" w:rsidRPr="005A1DB4" w:rsidRDefault="005A1DB4" w:rsidP="00324A08">
      <w:pPr>
        <w:ind w:left="851"/>
        <w:rPr>
          <w:sz w:val="24"/>
          <w:szCs w:val="24"/>
        </w:rPr>
      </w:pPr>
    </w:p>
    <w:p w14:paraId="0DAE3331" w14:textId="77777777" w:rsidR="005A1DB4" w:rsidRPr="005A1DB4" w:rsidRDefault="005A1DB4" w:rsidP="00324A08">
      <w:pPr>
        <w:ind w:left="851"/>
        <w:rPr>
          <w:i/>
          <w:sz w:val="24"/>
          <w:szCs w:val="24"/>
        </w:rPr>
      </w:pPr>
      <w:r w:rsidRPr="005A1DB4">
        <w:rPr>
          <w:sz w:val="24"/>
          <w:szCs w:val="24"/>
        </w:rPr>
        <w:t xml:space="preserve">Der findes intet specifikt antidot, og behandlingen skal være understøttende. Foranstaltninger til at øge eliminationshastigheden af </w:t>
      </w:r>
      <w:proofErr w:type="spellStart"/>
      <w:r w:rsidRPr="005A1DB4">
        <w:rPr>
          <w:sz w:val="24"/>
          <w:szCs w:val="24"/>
        </w:rPr>
        <w:t>colistin</w:t>
      </w:r>
      <w:proofErr w:type="spellEnd"/>
      <w:r w:rsidRPr="005A1DB4">
        <w:rPr>
          <w:sz w:val="24"/>
          <w:szCs w:val="24"/>
        </w:rPr>
        <w:t xml:space="preserve">, f.eks. </w:t>
      </w:r>
      <w:proofErr w:type="spellStart"/>
      <w:r w:rsidRPr="005A1DB4">
        <w:rPr>
          <w:sz w:val="24"/>
          <w:szCs w:val="24"/>
        </w:rPr>
        <w:t>mannitoldiurese</w:t>
      </w:r>
      <w:proofErr w:type="spellEnd"/>
      <w:r w:rsidRPr="005A1DB4">
        <w:rPr>
          <w:sz w:val="24"/>
          <w:szCs w:val="24"/>
        </w:rPr>
        <w:t xml:space="preserve">, forlænget hæmodialyse eller </w:t>
      </w:r>
      <w:proofErr w:type="spellStart"/>
      <w:r w:rsidRPr="005A1DB4">
        <w:rPr>
          <w:sz w:val="24"/>
          <w:szCs w:val="24"/>
        </w:rPr>
        <w:t>peritonealdialyse</w:t>
      </w:r>
      <w:proofErr w:type="spellEnd"/>
      <w:r w:rsidRPr="005A1DB4">
        <w:rPr>
          <w:sz w:val="24"/>
          <w:szCs w:val="24"/>
        </w:rPr>
        <w:t>, kan forsøges, men effektiviteten er ukendt.</w:t>
      </w:r>
    </w:p>
    <w:p w14:paraId="3B69A56A" w14:textId="77777777" w:rsidR="009260DE" w:rsidRPr="00D707F0" w:rsidRDefault="009260DE" w:rsidP="009260DE">
      <w:pPr>
        <w:tabs>
          <w:tab w:val="left" w:pos="851"/>
        </w:tabs>
        <w:ind w:left="851"/>
        <w:rPr>
          <w:sz w:val="24"/>
          <w:szCs w:val="24"/>
        </w:rPr>
      </w:pPr>
    </w:p>
    <w:p w14:paraId="5EFB9E96" w14:textId="77777777" w:rsidR="009260DE" w:rsidRPr="00D707F0" w:rsidRDefault="009260DE" w:rsidP="009260DE">
      <w:pPr>
        <w:tabs>
          <w:tab w:val="left" w:pos="851"/>
        </w:tabs>
        <w:ind w:left="851" w:hanging="851"/>
        <w:rPr>
          <w:b/>
          <w:sz w:val="24"/>
          <w:szCs w:val="24"/>
        </w:rPr>
      </w:pPr>
      <w:r w:rsidRPr="00D707F0">
        <w:rPr>
          <w:b/>
          <w:sz w:val="24"/>
          <w:szCs w:val="24"/>
        </w:rPr>
        <w:t>4.10</w:t>
      </w:r>
      <w:r w:rsidRPr="00D707F0">
        <w:rPr>
          <w:b/>
          <w:sz w:val="24"/>
          <w:szCs w:val="24"/>
        </w:rPr>
        <w:tab/>
        <w:t>Udlevering</w:t>
      </w:r>
    </w:p>
    <w:p w14:paraId="75FFBA7A" w14:textId="722B90BC" w:rsidR="009260DE" w:rsidRPr="00D707F0" w:rsidRDefault="00324A08" w:rsidP="009260DE">
      <w:pPr>
        <w:tabs>
          <w:tab w:val="left" w:pos="851"/>
        </w:tabs>
        <w:ind w:left="851"/>
        <w:rPr>
          <w:sz w:val="24"/>
          <w:szCs w:val="24"/>
        </w:rPr>
      </w:pPr>
      <w:r w:rsidRPr="00D707F0">
        <w:rPr>
          <w:sz w:val="24"/>
          <w:szCs w:val="24"/>
        </w:rPr>
        <w:t>B</w:t>
      </w:r>
    </w:p>
    <w:p w14:paraId="6EA1E04A" w14:textId="77777777" w:rsidR="009260DE" w:rsidRPr="00D707F0" w:rsidRDefault="009260DE" w:rsidP="009260DE">
      <w:pPr>
        <w:tabs>
          <w:tab w:val="left" w:pos="851"/>
        </w:tabs>
        <w:ind w:left="851"/>
        <w:rPr>
          <w:sz w:val="24"/>
          <w:szCs w:val="24"/>
        </w:rPr>
      </w:pPr>
    </w:p>
    <w:p w14:paraId="53266E65" w14:textId="3ADE4E4E" w:rsidR="00F23072" w:rsidRDefault="00F23072">
      <w:pPr>
        <w:rPr>
          <w:sz w:val="24"/>
          <w:szCs w:val="24"/>
        </w:rPr>
      </w:pPr>
      <w:r>
        <w:rPr>
          <w:sz w:val="24"/>
          <w:szCs w:val="24"/>
        </w:rPr>
        <w:br w:type="page"/>
      </w:r>
    </w:p>
    <w:p w14:paraId="7D6ED0E3" w14:textId="77777777" w:rsidR="009260DE" w:rsidRPr="00D707F0" w:rsidRDefault="009260DE" w:rsidP="009260DE">
      <w:pPr>
        <w:tabs>
          <w:tab w:val="left" w:pos="851"/>
        </w:tabs>
        <w:ind w:left="851"/>
        <w:rPr>
          <w:sz w:val="24"/>
          <w:szCs w:val="24"/>
        </w:rPr>
      </w:pPr>
    </w:p>
    <w:p w14:paraId="0465E7BF" w14:textId="77777777" w:rsidR="009260DE" w:rsidRPr="00D707F0" w:rsidRDefault="009260DE" w:rsidP="009260DE">
      <w:pPr>
        <w:tabs>
          <w:tab w:val="left" w:pos="851"/>
        </w:tabs>
        <w:ind w:left="851" w:hanging="851"/>
        <w:rPr>
          <w:b/>
          <w:sz w:val="24"/>
          <w:szCs w:val="24"/>
        </w:rPr>
      </w:pPr>
      <w:r w:rsidRPr="00D707F0">
        <w:rPr>
          <w:b/>
          <w:sz w:val="24"/>
          <w:szCs w:val="24"/>
        </w:rPr>
        <w:t>5.</w:t>
      </w:r>
      <w:r w:rsidRPr="00D707F0">
        <w:rPr>
          <w:b/>
          <w:sz w:val="24"/>
          <w:szCs w:val="24"/>
        </w:rPr>
        <w:tab/>
        <w:t>FARMAKOLOGISKE EGENSKABER</w:t>
      </w:r>
    </w:p>
    <w:p w14:paraId="54782FB3" w14:textId="77777777" w:rsidR="009260DE" w:rsidRPr="00D707F0" w:rsidRDefault="009260DE" w:rsidP="009260DE">
      <w:pPr>
        <w:tabs>
          <w:tab w:val="left" w:pos="851"/>
        </w:tabs>
        <w:ind w:left="851"/>
        <w:rPr>
          <w:sz w:val="24"/>
          <w:szCs w:val="24"/>
        </w:rPr>
      </w:pPr>
    </w:p>
    <w:p w14:paraId="21CAD167" w14:textId="77777777" w:rsidR="009260DE" w:rsidRPr="00D707F0" w:rsidRDefault="009260DE" w:rsidP="009260DE">
      <w:pPr>
        <w:tabs>
          <w:tab w:val="num" w:pos="851"/>
        </w:tabs>
        <w:ind w:left="851" w:hanging="851"/>
        <w:rPr>
          <w:b/>
          <w:sz w:val="24"/>
          <w:szCs w:val="24"/>
        </w:rPr>
      </w:pPr>
      <w:r w:rsidRPr="00D707F0">
        <w:rPr>
          <w:b/>
          <w:sz w:val="24"/>
          <w:szCs w:val="24"/>
        </w:rPr>
        <w:t>5.1</w:t>
      </w:r>
      <w:r w:rsidRPr="00D707F0">
        <w:rPr>
          <w:b/>
          <w:sz w:val="24"/>
          <w:szCs w:val="24"/>
        </w:rPr>
        <w:tab/>
      </w:r>
      <w:proofErr w:type="spellStart"/>
      <w:r w:rsidRPr="00D707F0">
        <w:rPr>
          <w:b/>
          <w:sz w:val="24"/>
          <w:szCs w:val="24"/>
        </w:rPr>
        <w:t>Farmakodynamiske</w:t>
      </w:r>
      <w:proofErr w:type="spellEnd"/>
      <w:r w:rsidRPr="00D707F0">
        <w:rPr>
          <w:b/>
          <w:sz w:val="24"/>
          <w:szCs w:val="24"/>
        </w:rPr>
        <w:t xml:space="preserve"> egenskaber</w:t>
      </w:r>
    </w:p>
    <w:p w14:paraId="17A63A14" w14:textId="3DFBE57C" w:rsidR="005A1DB4" w:rsidRPr="005A1DB4" w:rsidRDefault="005A1DB4" w:rsidP="00324A08">
      <w:pPr>
        <w:ind w:left="851"/>
        <w:rPr>
          <w:sz w:val="24"/>
          <w:szCs w:val="24"/>
        </w:rPr>
      </w:pPr>
      <w:proofErr w:type="spellStart"/>
      <w:r w:rsidRPr="005A1DB4">
        <w:rPr>
          <w:sz w:val="24"/>
          <w:szCs w:val="24"/>
        </w:rPr>
        <w:t>Farmakoterapeutisk</w:t>
      </w:r>
      <w:proofErr w:type="spellEnd"/>
      <w:r w:rsidRPr="005A1DB4">
        <w:rPr>
          <w:sz w:val="24"/>
          <w:szCs w:val="24"/>
        </w:rPr>
        <w:t xml:space="preserve"> klassifikation: Antibakterielle midler til systemisk brug, andre antibakterielle midler, </w:t>
      </w:r>
      <w:proofErr w:type="spellStart"/>
      <w:r w:rsidRPr="005A1DB4">
        <w:rPr>
          <w:sz w:val="24"/>
          <w:szCs w:val="24"/>
        </w:rPr>
        <w:t>polymyxiner</w:t>
      </w:r>
      <w:proofErr w:type="spellEnd"/>
      <w:r w:rsidR="00324A08" w:rsidRPr="00D707F0">
        <w:rPr>
          <w:sz w:val="24"/>
          <w:szCs w:val="24"/>
        </w:rPr>
        <w:t xml:space="preserve">, </w:t>
      </w:r>
      <w:r w:rsidRPr="005A1DB4">
        <w:rPr>
          <w:sz w:val="24"/>
          <w:szCs w:val="24"/>
        </w:rPr>
        <w:t>ATC-kode: J01XB01</w:t>
      </w:r>
      <w:r w:rsidR="00D707F0">
        <w:rPr>
          <w:sz w:val="24"/>
          <w:szCs w:val="24"/>
        </w:rPr>
        <w:t>.</w:t>
      </w:r>
    </w:p>
    <w:p w14:paraId="5F0ED1DA" w14:textId="77777777" w:rsidR="005A1DB4" w:rsidRPr="005A1DB4" w:rsidRDefault="005A1DB4" w:rsidP="00324A08">
      <w:pPr>
        <w:ind w:left="851"/>
        <w:rPr>
          <w:sz w:val="24"/>
          <w:szCs w:val="24"/>
        </w:rPr>
      </w:pPr>
    </w:p>
    <w:p w14:paraId="56958810" w14:textId="77777777" w:rsidR="005A1DB4" w:rsidRPr="005A1DB4" w:rsidRDefault="005A1DB4" w:rsidP="00324A08">
      <w:pPr>
        <w:ind w:left="851"/>
        <w:rPr>
          <w:sz w:val="24"/>
          <w:szCs w:val="24"/>
          <w:u w:val="single"/>
        </w:rPr>
      </w:pPr>
      <w:r w:rsidRPr="005A1DB4">
        <w:rPr>
          <w:sz w:val="24"/>
          <w:szCs w:val="24"/>
          <w:u w:val="single"/>
        </w:rPr>
        <w:t>Virkningsmekanisme</w:t>
      </w:r>
    </w:p>
    <w:p w14:paraId="4191AEEB" w14:textId="1F508A68" w:rsidR="005A1DB4" w:rsidRPr="005A1DB4" w:rsidRDefault="005A1DB4" w:rsidP="00324A08">
      <w:pPr>
        <w:ind w:left="851"/>
        <w:rPr>
          <w:sz w:val="24"/>
          <w:szCs w:val="24"/>
        </w:rPr>
      </w:pPr>
      <w:proofErr w:type="spellStart"/>
      <w:r w:rsidRPr="005A1DB4">
        <w:rPr>
          <w:sz w:val="24"/>
          <w:szCs w:val="24"/>
        </w:rPr>
        <w:t>Colistin</w:t>
      </w:r>
      <w:proofErr w:type="spellEnd"/>
      <w:r w:rsidRPr="005A1DB4">
        <w:rPr>
          <w:sz w:val="24"/>
          <w:szCs w:val="24"/>
        </w:rPr>
        <w:t xml:space="preserve"> er et antibakterielt middel og et cyklisk polypeptid, der tilhører </w:t>
      </w:r>
      <w:proofErr w:type="spellStart"/>
      <w:r w:rsidRPr="005A1DB4">
        <w:rPr>
          <w:sz w:val="24"/>
          <w:szCs w:val="24"/>
        </w:rPr>
        <w:t>polymyxin</w:t>
      </w:r>
      <w:r w:rsidR="00F23072">
        <w:rPr>
          <w:sz w:val="24"/>
          <w:szCs w:val="24"/>
        </w:rPr>
        <w:softHyphen/>
      </w:r>
      <w:r w:rsidRPr="005A1DB4">
        <w:rPr>
          <w:sz w:val="24"/>
          <w:szCs w:val="24"/>
        </w:rPr>
        <w:t>gruppen</w:t>
      </w:r>
      <w:proofErr w:type="spellEnd"/>
      <w:r w:rsidRPr="005A1DB4">
        <w:rPr>
          <w:sz w:val="24"/>
          <w:szCs w:val="24"/>
        </w:rPr>
        <w:t xml:space="preserve">. </w:t>
      </w:r>
      <w:proofErr w:type="spellStart"/>
      <w:r w:rsidRPr="005A1DB4">
        <w:rPr>
          <w:sz w:val="24"/>
          <w:szCs w:val="24"/>
        </w:rPr>
        <w:t>Polymyxiner</w:t>
      </w:r>
      <w:proofErr w:type="spellEnd"/>
      <w:r w:rsidRPr="005A1DB4">
        <w:rPr>
          <w:sz w:val="24"/>
          <w:szCs w:val="24"/>
        </w:rPr>
        <w:t xml:space="preserve"> virker ved at beskadige cellemembranen, og de resulterende fysiologiske virkninger er dræbende for bakterien. </w:t>
      </w:r>
      <w:proofErr w:type="spellStart"/>
      <w:r w:rsidRPr="005A1DB4">
        <w:rPr>
          <w:sz w:val="24"/>
          <w:szCs w:val="24"/>
        </w:rPr>
        <w:t>Polymyxiner</w:t>
      </w:r>
      <w:proofErr w:type="spellEnd"/>
      <w:r w:rsidRPr="005A1DB4">
        <w:rPr>
          <w:sz w:val="24"/>
          <w:szCs w:val="24"/>
        </w:rPr>
        <w:t xml:space="preserve"> er selektive for aerobe gramnegative bakterier med en hydrofob ydre membran.</w:t>
      </w:r>
    </w:p>
    <w:p w14:paraId="0CF056CC" w14:textId="77777777" w:rsidR="005A1DB4" w:rsidRPr="005A1DB4" w:rsidRDefault="005A1DB4" w:rsidP="00324A08">
      <w:pPr>
        <w:ind w:left="851"/>
        <w:rPr>
          <w:sz w:val="24"/>
          <w:szCs w:val="24"/>
        </w:rPr>
      </w:pPr>
    </w:p>
    <w:p w14:paraId="7B3E9963" w14:textId="77777777" w:rsidR="005A1DB4" w:rsidRPr="005A1DB4" w:rsidRDefault="005A1DB4" w:rsidP="00324A08">
      <w:pPr>
        <w:ind w:left="851"/>
        <w:rPr>
          <w:sz w:val="24"/>
          <w:szCs w:val="24"/>
          <w:u w:val="single"/>
        </w:rPr>
      </w:pPr>
      <w:r w:rsidRPr="005A1DB4">
        <w:rPr>
          <w:sz w:val="24"/>
          <w:szCs w:val="24"/>
          <w:u w:val="single"/>
        </w:rPr>
        <w:t>Resistens</w:t>
      </w:r>
    </w:p>
    <w:p w14:paraId="2B8F5D88" w14:textId="77777777" w:rsidR="005A1DB4" w:rsidRPr="005A1DB4" w:rsidRDefault="005A1DB4" w:rsidP="00324A08">
      <w:pPr>
        <w:ind w:left="851"/>
        <w:rPr>
          <w:sz w:val="24"/>
          <w:szCs w:val="24"/>
        </w:rPr>
      </w:pPr>
      <w:r w:rsidRPr="005A1DB4">
        <w:rPr>
          <w:sz w:val="24"/>
          <w:szCs w:val="24"/>
        </w:rPr>
        <w:t xml:space="preserve">Resistente bakterier er kendetegnet ved en modificering af fosfatgrupperne i </w:t>
      </w:r>
      <w:proofErr w:type="spellStart"/>
      <w:r w:rsidRPr="005A1DB4">
        <w:rPr>
          <w:sz w:val="24"/>
          <w:szCs w:val="24"/>
        </w:rPr>
        <w:t>lipopolysaccharid</w:t>
      </w:r>
      <w:proofErr w:type="spellEnd"/>
      <w:r w:rsidRPr="005A1DB4">
        <w:rPr>
          <w:sz w:val="24"/>
          <w:szCs w:val="24"/>
        </w:rPr>
        <w:t xml:space="preserve">, der bliver substitueret med </w:t>
      </w:r>
      <w:proofErr w:type="spellStart"/>
      <w:r w:rsidRPr="005A1DB4">
        <w:rPr>
          <w:sz w:val="24"/>
          <w:szCs w:val="24"/>
        </w:rPr>
        <w:t>ethanolamin</w:t>
      </w:r>
      <w:proofErr w:type="spellEnd"/>
      <w:r w:rsidRPr="005A1DB4">
        <w:rPr>
          <w:sz w:val="24"/>
          <w:szCs w:val="24"/>
        </w:rPr>
        <w:t xml:space="preserve"> eller </w:t>
      </w:r>
      <w:proofErr w:type="spellStart"/>
      <w:r w:rsidRPr="005A1DB4">
        <w:rPr>
          <w:sz w:val="24"/>
          <w:szCs w:val="24"/>
        </w:rPr>
        <w:t>aminoarabinose</w:t>
      </w:r>
      <w:proofErr w:type="spellEnd"/>
      <w:r w:rsidRPr="005A1DB4">
        <w:rPr>
          <w:sz w:val="24"/>
          <w:szCs w:val="24"/>
        </w:rPr>
        <w:t xml:space="preserve">. Hos naturligt resistente gramnegative bakterier, såsom </w:t>
      </w:r>
      <w:r w:rsidRPr="005A1DB4">
        <w:rPr>
          <w:i/>
          <w:sz w:val="24"/>
          <w:szCs w:val="24"/>
        </w:rPr>
        <w:t xml:space="preserve">Proteus </w:t>
      </w:r>
      <w:proofErr w:type="spellStart"/>
      <w:r w:rsidRPr="005A1DB4">
        <w:rPr>
          <w:i/>
          <w:sz w:val="24"/>
          <w:szCs w:val="24"/>
        </w:rPr>
        <w:t>mirabilis</w:t>
      </w:r>
      <w:proofErr w:type="spellEnd"/>
      <w:r w:rsidRPr="005A1DB4">
        <w:rPr>
          <w:i/>
          <w:sz w:val="24"/>
          <w:szCs w:val="24"/>
        </w:rPr>
        <w:t xml:space="preserve"> og </w:t>
      </w:r>
      <w:proofErr w:type="spellStart"/>
      <w:r w:rsidRPr="005A1DB4">
        <w:rPr>
          <w:i/>
          <w:sz w:val="24"/>
          <w:szCs w:val="24"/>
        </w:rPr>
        <w:t>Burkholderia</w:t>
      </w:r>
      <w:proofErr w:type="spellEnd"/>
      <w:r w:rsidRPr="005A1DB4">
        <w:rPr>
          <w:i/>
          <w:sz w:val="24"/>
          <w:szCs w:val="24"/>
        </w:rPr>
        <w:t xml:space="preserve"> </w:t>
      </w:r>
      <w:proofErr w:type="spellStart"/>
      <w:r w:rsidRPr="005A1DB4">
        <w:rPr>
          <w:i/>
          <w:sz w:val="24"/>
          <w:szCs w:val="24"/>
        </w:rPr>
        <w:t>cepacia</w:t>
      </w:r>
      <w:proofErr w:type="spellEnd"/>
      <w:r w:rsidRPr="005A1DB4">
        <w:rPr>
          <w:sz w:val="24"/>
          <w:szCs w:val="24"/>
        </w:rPr>
        <w:t xml:space="preserve">, er lipidfosfat fuldstændigt substitueret med </w:t>
      </w:r>
      <w:proofErr w:type="spellStart"/>
      <w:r w:rsidRPr="005A1DB4">
        <w:rPr>
          <w:sz w:val="24"/>
          <w:szCs w:val="24"/>
        </w:rPr>
        <w:t>ethanolamin</w:t>
      </w:r>
      <w:proofErr w:type="spellEnd"/>
      <w:r w:rsidRPr="005A1DB4">
        <w:rPr>
          <w:sz w:val="24"/>
          <w:szCs w:val="24"/>
        </w:rPr>
        <w:t xml:space="preserve"> eller </w:t>
      </w:r>
      <w:proofErr w:type="spellStart"/>
      <w:r w:rsidRPr="005A1DB4">
        <w:rPr>
          <w:sz w:val="24"/>
          <w:szCs w:val="24"/>
        </w:rPr>
        <w:t>aminoarabinose</w:t>
      </w:r>
      <w:proofErr w:type="spellEnd"/>
      <w:r w:rsidRPr="005A1DB4">
        <w:rPr>
          <w:sz w:val="24"/>
          <w:szCs w:val="24"/>
        </w:rPr>
        <w:t>.</w:t>
      </w:r>
    </w:p>
    <w:p w14:paraId="3603F9E8" w14:textId="77777777" w:rsidR="005A1DB4" w:rsidRPr="005A1DB4" w:rsidRDefault="005A1DB4" w:rsidP="00324A08">
      <w:pPr>
        <w:ind w:left="851"/>
        <w:rPr>
          <w:sz w:val="24"/>
          <w:szCs w:val="24"/>
        </w:rPr>
      </w:pPr>
    </w:p>
    <w:p w14:paraId="51970868" w14:textId="77777777" w:rsidR="005A1DB4" w:rsidRPr="005A1DB4" w:rsidRDefault="005A1DB4" w:rsidP="00324A08">
      <w:pPr>
        <w:ind w:left="851"/>
        <w:rPr>
          <w:sz w:val="24"/>
          <w:szCs w:val="24"/>
        </w:rPr>
      </w:pPr>
      <w:r w:rsidRPr="005A1DB4">
        <w:rPr>
          <w:sz w:val="24"/>
          <w:szCs w:val="24"/>
        </w:rPr>
        <w:t xml:space="preserve">Der forventes krydsresistens mellem </w:t>
      </w:r>
      <w:proofErr w:type="spellStart"/>
      <w:r w:rsidRPr="005A1DB4">
        <w:rPr>
          <w:sz w:val="24"/>
          <w:szCs w:val="24"/>
        </w:rPr>
        <w:t>colistin</w:t>
      </w:r>
      <w:proofErr w:type="spellEnd"/>
      <w:r w:rsidRPr="005A1DB4">
        <w:rPr>
          <w:sz w:val="24"/>
          <w:szCs w:val="24"/>
        </w:rPr>
        <w:t xml:space="preserve"> (</w:t>
      </w:r>
      <w:proofErr w:type="spellStart"/>
      <w:r w:rsidRPr="005A1DB4">
        <w:rPr>
          <w:sz w:val="24"/>
          <w:szCs w:val="24"/>
        </w:rPr>
        <w:t>polymyxin</w:t>
      </w:r>
      <w:proofErr w:type="spellEnd"/>
      <w:r w:rsidRPr="005A1DB4">
        <w:rPr>
          <w:sz w:val="24"/>
          <w:szCs w:val="24"/>
        </w:rPr>
        <w:t xml:space="preserve"> E) og </w:t>
      </w:r>
      <w:proofErr w:type="spellStart"/>
      <w:r w:rsidRPr="005A1DB4">
        <w:rPr>
          <w:sz w:val="24"/>
          <w:szCs w:val="24"/>
        </w:rPr>
        <w:t>polymyxin</w:t>
      </w:r>
      <w:proofErr w:type="spellEnd"/>
      <w:r w:rsidRPr="005A1DB4">
        <w:rPr>
          <w:sz w:val="24"/>
          <w:szCs w:val="24"/>
        </w:rPr>
        <w:t xml:space="preserve"> B. Da </w:t>
      </w:r>
      <w:proofErr w:type="spellStart"/>
      <w:r w:rsidRPr="005A1DB4">
        <w:rPr>
          <w:sz w:val="24"/>
          <w:szCs w:val="24"/>
        </w:rPr>
        <w:t>polymyxiners</w:t>
      </w:r>
      <w:proofErr w:type="spellEnd"/>
      <w:r w:rsidRPr="005A1DB4">
        <w:rPr>
          <w:sz w:val="24"/>
          <w:szCs w:val="24"/>
        </w:rPr>
        <w:t xml:space="preserve"> virkningsmekanisme er forskellig fra andre antibakterielle midlers, forventes resistens over for </w:t>
      </w:r>
      <w:proofErr w:type="spellStart"/>
      <w:r w:rsidRPr="005A1DB4">
        <w:rPr>
          <w:sz w:val="24"/>
          <w:szCs w:val="24"/>
        </w:rPr>
        <w:t>colistin</w:t>
      </w:r>
      <w:proofErr w:type="spellEnd"/>
      <w:r w:rsidRPr="005A1DB4">
        <w:rPr>
          <w:sz w:val="24"/>
          <w:szCs w:val="24"/>
        </w:rPr>
        <w:t xml:space="preserve"> og </w:t>
      </w:r>
      <w:proofErr w:type="spellStart"/>
      <w:r w:rsidRPr="005A1DB4">
        <w:rPr>
          <w:sz w:val="24"/>
          <w:szCs w:val="24"/>
        </w:rPr>
        <w:t>polymyxin</w:t>
      </w:r>
      <w:proofErr w:type="spellEnd"/>
      <w:r w:rsidRPr="005A1DB4">
        <w:rPr>
          <w:sz w:val="24"/>
          <w:szCs w:val="24"/>
        </w:rPr>
        <w:t xml:space="preserve"> ved ovenstående mekanisme alene ikke at resultere i resistens over for andre lægemiddelklasser. </w:t>
      </w:r>
    </w:p>
    <w:p w14:paraId="2A2A506E" w14:textId="77777777" w:rsidR="005A1DB4" w:rsidRPr="005A1DB4" w:rsidRDefault="005A1DB4" w:rsidP="00324A08">
      <w:pPr>
        <w:ind w:left="851"/>
        <w:rPr>
          <w:sz w:val="24"/>
          <w:szCs w:val="24"/>
        </w:rPr>
      </w:pPr>
    </w:p>
    <w:p w14:paraId="345C4CDA" w14:textId="77777777" w:rsidR="005A1DB4" w:rsidRPr="005A1DB4" w:rsidRDefault="005A1DB4" w:rsidP="00324A08">
      <w:pPr>
        <w:ind w:left="851"/>
        <w:rPr>
          <w:sz w:val="24"/>
          <w:szCs w:val="24"/>
          <w:u w:val="single"/>
        </w:rPr>
      </w:pPr>
      <w:proofErr w:type="spellStart"/>
      <w:r w:rsidRPr="005A1DB4">
        <w:rPr>
          <w:sz w:val="24"/>
          <w:szCs w:val="24"/>
          <w:u w:val="single"/>
        </w:rPr>
        <w:t>Farmakokinetiske</w:t>
      </w:r>
      <w:proofErr w:type="spellEnd"/>
      <w:r w:rsidRPr="005A1DB4">
        <w:rPr>
          <w:sz w:val="24"/>
          <w:szCs w:val="24"/>
          <w:u w:val="single"/>
        </w:rPr>
        <w:t>/</w:t>
      </w:r>
      <w:proofErr w:type="spellStart"/>
      <w:r w:rsidRPr="005A1DB4">
        <w:rPr>
          <w:sz w:val="24"/>
          <w:szCs w:val="24"/>
          <w:u w:val="single"/>
        </w:rPr>
        <w:t>farmakodynamiske</w:t>
      </w:r>
      <w:proofErr w:type="spellEnd"/>
      <w:r w:rsidRPr="005A1DB4">
        <w:rPr>
          <w:sz w:val="24"/>
          <w:szCs w:val="24"/>
          <w:u w:val="single"/>
        </w:rPr>
        <w:t xml:space="preserve"> (PK/PD) forhold</w:t>
      </w:r>
    </w:p>
    <w:p w14:paraId="53FD0636" w14:textId="77777777" w:rsidR="005A1DB4" w:rsidRPr="005A1DB4" w:rsidRDefault="005A1DB4" w:rsidP="00324A08">
      <w:pPr>
        <w:ind w:left="851"/>
        <w:rPr>
          <w:b/>
          <w:bCs/>
          <w:sz w:val="24"/>
          <w:szCs w:val="24"/>
        </w:rPr>
      </w:pPr>
      <w:r w:rsidRPr="005A1DB4">
        <w:rPr>
          <w:sz w:val="24"/>
          <w:szCs w:val="24"/>
        </w:rPr>
        <w:t xml:space="preserve">Det er rapporteret, at </w:t>
      </w:r>
      <w:proofErr w:type="spellStart"/>
      <w:r w:rsidRPr="005A1DB4">
        <w:rPr>
          <w:sz w:val="24"/>
          <w:szCs w:val="24"/>
        </w:rPr>
        <w:t>polymyxiner</w:t>
      </w:r>
      <w:proofErr w:type="spellEnd"/>
      <w:r w:rsidRPr="005A1DB4">
        <w:rPr>
          <w:sz w:val="24"/>
          <w:szCs w:val="24"/>
        </w:rPr>
        <w:t xml:space="preserve"> har en koncentrationsafhængig baktericid virkning på følsomme bakterier. </w:t>
      </w:r>
      <w:proofErr w:type="spellStart"/>
      <w:r w:rsidRPr="005A1DB4">
        <w:rPr>
          <w:sz w:val="24"/>
          <w:szCs w:val="24"/>
        </w:rPr>
        <w:t>fAUC</w:t>
      </w:r>
      <w:proofErr w:type="spellEnd"/>
      <w:r w:rsidRPr="005A1DB4">
        <w:rPr>
          <w:sz w:val="24"/>
          <w:szCs w:val="24"/>
        </w:rPr>
        <w:t>/MIC formodes at korrelere med klinisk virkning.</w:t>
      </w:r>
    </w:p>
    <w:p w14:paraId="2CE4163E" w14:textId="77777777" w:rsidR="005A1DB4" w:rsidRPr="005A1DB4" w:rsidRDefault="005A1DB4" w:rsidP="00324A08">
      <w:pPr>
        <w:ind w:left="851"/>
        <w:rPr>
          <w:sz w:val="24"/>
          <w:szCs w:val="24"/>
        </w:rPr>
      </w:pPr>
    </w:p>
    <w:p w14:paraId="45360D15" w14:textId="77777777" w:rsidR="005A1DB4" w:rsidRPr="005A1DB4" w:rsidRDefault="005A1DB4" w:rsidP="00324A08">
      <w:pPr>
        <w:ind w:left="851"/>
        <w:rPr>
          <w:sz w:val="24"/>
          <w:szCs w:val="24"/>
          <w:u w:val="single"/>
        </w:rPr>
      </w:pPr>
      <w:r w:rsidRPr="005A1DB4">
        <w:rPr>
          <w:sz w:val="24"/>
          <w:szCs w:val="24"/>
          <w:u w:val="single"/>
        </w:rPr>
        <w:t xml:space="preserve">Grænseværdier ved følsomhedstestning </w:t>
      </w:r>
    </w:p>
    <w:p w14:paraId="45A0C02F" w14:textId="77777777" w:rsidR="005A1DB4" w:rsidRPr="005A1DB4" w:rsidRDefault="005A1DB4" w:rsidP="00324A08">
      <w:pPr>
        <w:ind w:left="851"/>
        <w:rPr>
          <w:sz w:val="24"/>
          <w:szCs w:val="24"/>
        </w:rPr>
      </w:pPr>
      <w:r w:rsidRPr="005A1DB4">
        <w:rPr>
          <w:sz w:val="24"/>
          <w:szCs w:val="24"/>
        </w:rPr>
        <w:t xml:space="preserve">MIC (mindste inhiberende </w:t>
      </w:r>
      <w:proofErr w:type="gramStart"/>
      <w:r w:rsidRPr="005A1DB4">
        <w:rPr>
          <w:sz w:val="24"/>
          <w:szCs w:val="24"/>
        </w:rPr>
        <w:t>koncentration)-</w:t>
      </w:r>
      <w:proofErr w:type="gramEnd"/>
      <w:r w:rsidRPr="005A1DB4">
        <w:rPr>
          <w:sz w:val="24"/>
          <w:szCs w:val="24"/>
        </w:rPr>
        <w:t xml:space="preserve">fortolkningskriterierne for følsomhedstestning er fastlagt af </w:t>
      </w:r>
      <w:r w:rsidRPr="005A1DB4">
        <w:rPr>
          <w:i/>
          <w:iCs/>
          <w:sz w:val="24"/>
          <w:szCs w:val="24"/>
        </w:rPr>
        <w:t xml:space="preserve">European </w:t>
      </w:r>
      <w:proofErr w:type="spellStart"/>
      <w:r w:rsidRPr="005A1DB4">
        <w:rPr>
          <w:i/>
          <w:iCs/>
          <w:sz w:val="24"/>
          <w:szCs w:val="24"/>
        </w:rPr>
        <w:t>Committee</w:t>
      </w:r>
      <w:proofErr w:type="spellEnd"/>
      <w:r w:rsidRPr="005A1DB4">
        <w:rPr>
          <w:i/>
          <w:iCs/>
          <w:sz w:val="24"/>
          <w:szCs w:val="24"/>
        </w:rPr>
        <w:t xml:space="preserve"> on </w:t>
      </w:r>
      <w:proofErr w:type="spellStart"/>
      <w:r w:rsidRPr="005A1DB4">
        <w:rPr>
          <w:i/>
          <w:iCs/>
          <w:sz w:val="24"/>
          <w:szCs w:val="24"/>
        </w:rPr>
        <w:t>Antimicrobial</w:t>
      </w:r>
      <w:proofErr w:type="spellEnd"/>
      <w:r w:rsidRPr="005A1DB4">
        <w:rPr>
          <w:i/>
          <w:iCs/>
          <w:sz w:val="24"/>
          <w:szCs w:val="24"/>
        </w:rPr>
        <w:t xml:space="preserve"> </w:t>
      </w:r>
      <w:proofErr w:type="spellStart"/>
      <w:r w:rsidRPr="005A1DB4">
        <w:rPr>
          <w:i/>
          <w:iCs/>
          <w:sz w:val="24"/>
          <w:szCs w:val="24"/>
        </w:rPr>
        <w:t>Susceptibility</w:t>
      </w:r>
      <w:proofErr w:type="spellEnd"/>
      <w:r w:rsidRPr="005A1DB4">
        <w:rPr>
          <w:i/>
          <w:iCs/>
          <w:sz w:val="24"/>
          <w:szCs w:val="24"/>
        </w:rPr>
        <w:t xml:space="preserve"> </w:t>
      </w:r>
      <w:proofErr w:type="spellStart"/>
      <w:r w:rsidRPr="005A1DB4">
        <w:rPr>
          <w:i/>
          <w:iCs/>
          <w:sz w:val="24"/>
          <w:szCs w:val="24"/>
        </w:rPr>
        <w:t>Testing</w:t>
      </w:r>
      <w:proofErr w:type="spellEnd"/>
      <w:r w:rsidRPr="005A1DB4">
        <w:rPr>
          <w:sz w:val="24"/>
          <w:szCs w:val="24"/>
        </w:rPr>
        <w:t xml:space="preserve"> (EUCAST) for </w:t>
      </w:r>
      <w:proofErr w:type="spellStart"/>
      <w:r w:rsidRPr="005A1DB4">
        <w:rPr>
          <w:sz w:val="24"/>
          <w:szCs w:val="24"/>
        </w:rPr>
        <w:t>colistin</w:t>
      </w:r>
      <w:proofErr w:type="spellEnd"/>
      <w:r w:rsidRPr="005A1DB4">
        <w:rPr>
          <w:sz w:val="24"/>
          <w:szCs w:val="24"/>
        </w:rPr>
        <w:t xml:space="preserve"> og er anført her: </w:t>
      </w:r>
      <w:hyperlink r:id="rId10" w:history="1">
        <w:r w:rsidRPr="005A1DB4">
          <w:rPr>
            <w:rStyle w:val="Hyperlink"/>
            <w:sz w:val="24"/>
            <w:szCs w:val="24"/>
          </w:rPr>
          <w:t>https://www.ema.europa.eu/documents/other/minimum-inhibitory-concentration-mic-breakpoints_en.xlsx</w:t>
        </w:r>
      </w:hyperlink>
      <w:r w:rsidRPr="005A1DB4">
        <w:rPr>
          <w:sz w:val="24"/>
          <w:szCs w:val="24"/>
          <w:u w:val="single"/>
        </w:rPr>
        <w:t xml:space="preserve"> </w:t>
      </w:r>
    </w:p>
    <w:p w14:paraId="42F9B7F2" w14:textId="77777777" w:rsidR="005A1DB4" w:rsidRPr="005A1DB4" w:rsidRDefault="005A1DB4" w:rsidP="00324A08">
      <w:pPr>
        <w:ind w:left="851"/>
        <w:rPr>
          <w:sz w:val="24"/>
          <w:szCs w:val="24"/>
          <w:u w:val="single"/>
        </w:rPr>
      </w:pPr>
    </w:p>
    <w:p w14:paraId="011295D6" w14:textId="77777777" w:rsidR="005A1DB4" w:rsidRPr="005A1DB4" w:rsidRDefault="005A1DB4" w:rsidP="00324A08">
      <w:pPr>
        <w:ind w:left="851"/>
        <w:rPr>
          <w:sz w:val="24"/>
          <w:szCs w:val="24"/>
          <w:u w:val="single"/>
        </w:rPr>
      </w:pPr>
      <w:r w:rsidRPr="005A1DB4">
        <w:rPr>
          <w:sz w:val="24"/>
          <w:szCs w:val="24"/>
          <w:u w:val="single"/>
        </w:rPr>
        <w:t>Følsomhed</w:t>
      </w:r>
    </w:p>
    <w:p w14:paraId="410ADAD4" w14:textId="77777777" w:rsidR="005A1DB4" w:rsidRPr="005A1DB4" w:rsidRDefault="005A1DB4" w:rsidP="00324A08">
      <w:pPr>
        <w:ind w:left="851"/>
        <w:rPr>
          <w:sz w:val="24"/>
          <w:szCs w:val="24"/>
        </w:rPr>
      </w:pPr>
      <w:r w:rsidRPr="005A1DB4">
        <w:rPr>
          <w:sz w:val="24"/>
          <w:szCs w:val="24"/>
        </w:rPr>
        <w:t>Forekomsten af erhvervet resistens kan variere geografisk og over tid for udvalgte arter, og lokal resistensinformation er ønskelig, især ved behandling af svære infektioner. Der skal om nødvendigt søges ekspertrådgivning, når lokal forekomst af resistens er sådan, at anvendeligheden af lægemidlet i det mindste ved visse infektionstyper er tvivlsom.</w:t>
      </w:r>
    </w:p>
    <w:p w14:paraId="5879D7AC" w14:textId="77777777" w:rsidR="005A1DB4" w:rsidRPr="005A1DB4" w:rsidRDefault="005A1DB4" w:rsidP="005A1DB4">
      <w:pPr>
        <w:tabs>
          <w:tab w:val="left" w:pos="851"/>
        </w:tabs>
        <w:ind w:left="851"/>
        <w:rPr>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5A1DB4" w:rsidRPr="005A1DB4" w14:paraId="0BCFA817" w14:textId="77777777" w:rsidTr="00D707F0">
        <w:tc>
          <w:tcPr>
            <w:tcW w:w="6379" w:type="dxa"/>
            <w:tcBorders>
              <w:top w:val="single" w:sz="4" w:space="0" w:color="auto"/>
              <w:left w:val="single" w:sz="4" w:space="0" w:color="auto"/>
              <w:bottom w:val="single" w:sz="4" w:space="0" w:color="auto"/>
              <w:right w:val="single" w:sz="4" w:space="0" w:color="auto"/>
            </w:tcBorders>
            <w:hideMark/>
          </w:tcPr>
          <w:p w14:paraId="5553D2ED" w14:textId="77777777" w:rsidR="005A1DB4" w:rsidRPr="005A1DB4" w:rsidRDefault="005A1DB4" w:rsidP="00324A08">
            <w:pPr>
              <w:ind w:left="64"/>
              <w:rPr>
                <w:b/>
                <w:bCs/>
                <w:sz w:val="24"/>
                <w:szCs w:val="24"/>
              </w:rPr>
            </w:pPr>
            <w:r w:rsidRPr="005A1DB4">
              <w:rPr>
                <w:b/>
                <w:sz w:val="24"/>
                <w:szCs w:val="24"/>
              </w:rPr>
              <w:t>Arter, der normalt er følsomme</w:t>
            </w:r>
          </w:p>
        </w:tc>
      </w:tr>
      <w:tr w:rsidR="005A1DB4" w:rsidRPr="005A1DB4" w14:paraId="7DD7A3B1" w14:textId="77777777" w:rsidTr="00D707F0">
        <w:tc>
          <w:tcPr>
            <w:tcW w:w="6379" w:type="dxa"/>
            <w:tcBorders>
              <w:top w:val="single" w:sz="4" w:space="0" w:color="auto"/>
              <w:left w:val="single" w:sz="4" w:space="0" w:color="auto"/>
              <w:bottom w:val="single" w:sz="4" w:space="0" w:color="auto"/>
              <w:right w:val="single" w:sz="4" w:space="0" w:color="auto"/>
            </w:tcBorders>
            <w:hideMark/>
          </w:tcPr>
          <w:p w14:paraId="3870339A" w14:textId="77777777" w:rsidR="005A1DB4" w:rsidRPr="005A1DB4" w:rsidRDefault="005A1DB4" w:rsidP="00324A08">
            <w:pPr>
              <w:ind w:left="64"/>
              <w:rPr>
                <w:i/>
                <w:iCs/>
                <w:sz w:val="24"/>
                <w:szCs w:val="24"/>
                <w:lang w:val="en-US"/>
              </w:rPr>
            </w:pPr>
            <w:r w:rsidRPr="005A1DB4">
              <w:rPr>
                <w:i/>
                <w:sz w:val="24"/>
                <w:szCs w:val="24"/>
                <w:lang w:val="en-US"/>
              </w:rPr>
              <w:t>Acinetobacter baumannii</w:t>
            </w:r>
            <w:r w:rsidRPr="005A1DB4">
              <w:rPr>
                <w:i/>
                <w:iCs/>
                <w:sz w:val="24"/>
                <w:szCs w:val="24"/>
                <w:lang w:val="en-US"/>
              </w:rPr>
              <w:br/>
            </w:r>
            <w:proofErr w:type="spellStart"/>
            <w:r w:rsidRPr="005A1DB4">
              <w:rPr>
                <w:i/>
                <w:sz w:val="24"/>
                <w:szCs w:val="24"/>
                <w:lang w:val="en-US"/>
              </w:rPr>
              <w:t>Haemophilus</w:t>
            </w:r>
            <w:proofErr w:type="spellEnd"/>
            <w:r w:rsidRPr="005A1DB4">
              <w:rPr>
                <w:i/>
                <w:sz w:val="24"/>
                <w:szCs w:val="24"/>
                <w:lang w:val="en-US"/>
              </w:rPr>
              <w:t xml:space="preserve"> influenzae </w:t>
            </w:r>
            <w:r w:rsidRPr="005A1DB4">
              <w:rPr>
                <w:i/>
                <w:iCs/>
                <w:sz w:val="24"/>
                <w:szCs w:val="24"/>
                <w:lang w:val="en-US"/>
              </w:rPr>
              <w:br/>
            </w:r>
            <w:r w:rsidRPr="005A1DB4">
              <w:rPr>
                <w:i/>
                <w:sz w:val="24"/>
                <w:szCs w:val="24"/>
                <w:lang w:val="en-US"/>
              </w:rPr>
              <w:t xml:space="preserve">Klebsiella </w:t>
            </w:r>
            <w:proofErr w:type="spellStart"/>
            <w:r w:rsidRPr="005A1DB4">
              <w:rPr>
                <w:sz w:val="24"/>
                <w:szCs w:val="24"/>
                <w:lang w:val="en-US"/>
              </w:rPr>
              <w:t>spp</w:t>
            </w:r>
            <w:proofErr w:type="spellEnd"/>
            <w:r w:rsidRPr="005A1DB4">
              <w:rPr>
                <w:i/>
                <w:sz w:val="24"/>
                <w:szCs w:val="24"/>
                <w:lang w:val="en-US"/>
              </w:rPr>
              <w:t xml:space="preserve"> </w:t>
            </w:r>
          </w:p>
          <w:p w14:paraId="43786C18" w14:textId="77777777" w:rsidR="005A1DB4" w:rsidRPr="005A1DB4" w:rsidRDefault="005A1DB4" w:rsidP="00324A08">
            <w:pPr>
              <w:ind w:left="64"/>
              <w:rPr>
                <w:i/>
                <w:iCs/>
                <w:sz w:val="24"/>
                <w:szCs w:val="24"/>
              </w:rPr>
            </w:pPr>
            <w:proofErr w:type="spellStart"/>
            <w:r w:rsidRPr="005A1DB4">
              <w:rPr>
                <w:i/>
                <w:sz w:val="24"/>
                <w:szCs w:val="24"/>
              </w:rPr>
              <w:t>Pseudomonas</w:t>
            </w:r>
            <w:proofErr w:type="spellEnd"/>
            <w:r w:rsidRPr="005A1DB4">
              <w:rPr>
                <w:i/>
                <w:sz w:val="24"/>
                <w:szCs w:val="24"/>
              </w:rPr>
              <w:t xml:space="preserve"> </w:t>
            </w:r>
            <w:proofErr w:type="spellStart"/>
            <w:r w:rsidRPr="005A1DB4">
              <w:rPr>
                <w:i/>
                <w:sz w:val="24"/>
                <w:szCs w:val="24"/>
              </w:rPr>
              <w:t>aeruginosa</w:t>
            </w:r>
            <w:proofErr w:type="spellEnd"/>
          </w:p>
        </w:tc>
      </w:tr>
      <w:tr w:rsidR="005A1DB4" w:rsidRPr="005A1DB4" w14:paraId="71DB3414" w14:textId="77777777" w:rsidTr="00D707F0">
        <w:tc>
          <w:tcPr>
            <w:tcW w:w="6379" w:type="dxa"/>
            <w:tcBorders>
              <w:top w:val="single" w:sz="4" w:space="0" w:color="auto"/>
              <w:left w:val="single" w:sz="4" w:space="0" w:color="auto"/>
              <w:bottom w:val="single" w:sz="4" w:space="0" w:color="auto"/>
              <w:right w:val="single" w:sz="4" w:space="0" w:color="auto"/>
            </w:tcBorders>
            <w:hideMark/>
          </w:tcPr>
          <w:p w14:paraId="54AFA85F" w14:textId="77777777" w:rsidR="005A1DB4" w:rsidRPr="005A1DB4" w:rsidRDefault="005A1DB4" w:rsidP="00324A08">
            <w:pPr>
              <w:ind w:left="64"/>
              <w:rPr>
                <w:b/>
                <w:bCs/>
                <w:sz w:val="24"/>
                <w:szCs w:val="24"/>
              </w:rPr>
            </w:pPr>
            <w:r w:rsidRPr="005A1DB4">
              <w:rPr>
                <w:b/>
                <w:sz w:val="24"/>
                <w:szCs w:val="24"/>
              </w:rPr>
              <w:t>Arter, for hvilke erhvervet resistens kan være et problem</w:t>
            </w:r>
          </w:p>
        </w:tc>
      </w:tr>
      <w:tr w:rsidR="005A1DB4" w:rsidRPr="005A1DB4" w14:paraId="5331C7D4" w14:textId="77777777" w:rsidTr="00D707F0">
        <w:tc>
          <w:tcPr>
            <w:tcW w:w="6379" w:type="dxa"/>
            <w:tcBorders>
              <w:top w:val="single" w:sz="4" w:space="0" w:color="auto"/>
              <w:left w:val="single" w:sz="4" w:space="0" w:color="auto"/>
              <w:bottom w:val="single" w:sz="4" w:space="0" w:color="auto"/>
              <w:right w:val="single" w:sz="4" w:space="0" w:color="auto"/>
            </w:tcBorders>
            <w:hideMark/>
          </w:tcPr>
          <w:p w14:paraId="0169CEDE" w14:textId="77777777" w:rsidR="005A1DB4" w:rsidRPr="005A1DB4" w:rsidRDefault="005A1DB4" w:rsidP="00324A08">
            <w:pPr>
              <w:ind w:left="64"/>
              <w:rPr>
                <w:i/>
                <w:iCs/>
                <w:sz w:val="24"/>
                <w:szCs w:val="24"/>
              </w:rPr>
            </w:pPr>
            <w:proofErr w:type="spellStart"/>
            <w:r w:rsidRPr="005A1DB4">
              <w:rPr>
                <w:i/>
                <w:sz w:val="24"/>
                <w:szCs w:val="24"/>
              </w:rPr>
              <w:t>Stenotrophomonas</w:t>
            </w:r>
            <w:proofErr w:type="spellEnd"/>
            <w:r w:rsidRPr="005A1DB4">
              <w:rPr>
                <w:i/>
                <w:sz w:val="24"/>
                <w:szCs w:val="24"/>
              </w:rPr>
              <w:t xml:space="preserve"> </w:t>
            </w:r>
            <w:proofErr w:type="spellStart"/>
            <w:r w:rsidRPr="005A1DB4">
              <w:rPr>
                <w:i/>
                <w:sz w:val="24"/>
                <w:szCs w:val="24"/>
              </w:rPr>
              <w:t>maltophilia</w:t>
            </w:r>
            <w:proofErr w:type="spellEnd"/>
            <w:r w:rsidRPr="005A1DB4">
              <w:rPr>
                <w:i/>
                <w:sz w:val="24"/>
                <w:szCs w:val="24"/>
              </w:rPr>
              <w:t xml:space="preserve"> </w:t>
            </w:r>
            <w:r w:rsidRPr="005A1DB4">
              <w:rPr>
                <w:i/>
                <w:iCs/>
                <w:sz w:val="24"/>
                <w:szCs w:val="24"/>
              </w:rPr>
              <w:br/>
            </w:r>
            <w:proofErr w:type="spellStart"/>
            <w:r w:rsidRPr="005A1DB4">
              <w:rPr>
                <w:i/>
                <w:sz w:val="24"/>
                <w:szCs w:val="24"/>
              </w:rPr>
              <w:t>Achromobacter</w:t>
            </w:r>
            <w:proofErr w:type="spellEnd"/>
            <w:r w:rsidRPr="005A1DB4">
              <w:rPr>
                <w:i/>
                <w:sz w:val="24"/>
                <w:szCs w:val="24"/>
              </w:rPr>
              <w:t xml:space="preserve"> </w:t>
            </w:r>
            <w:proofErr w:type="spellStart"/>
            <w:r w:rsidRPr="005A1DB4">
              <w:rPr>
                <w:i/>
                <w:sz w:val="24"/>
                <w:szCs w:val="24"/>
              </w:rPr>
              <w:t>xylosoxidans</w:t>
            </w:r>
            <w:proofErr w:type="spellEnd"/>
            <w:r w:rsidRPr="005A1DB4">
              <w:rPr>
                <w:i/>
                <w:sz w:val="24"/>
                <w:szCs w:val="24"/>
              </w:rPr>
              <w:t xml:space="preserve"> </w:t>
            </w:r>
            <w:r w:rsidRPr="005A1DB4">
              <w:rPr>
                <w:iCs/>
                <w:sz w:val="24"/>
                <w:szCs w:val="24"/>
              </w:rPr>
              <w:t>(</w:t>
            </w:r>
            <w:r w:rsidRPr="005A1DB4">
              <w:rPr>
                <w:sz w:val="24"/>
                <w:szCs w:val="24"/>
              </w:rPr>
              <w:t>tidligere</w:t>
            </w:r>
            <w:r w:rsidRPr="005A1DB4">
              <w:rPr>
                <w:i/>
                <w:sz w:val="24"/>
                <w:szCs w:val="24"/>
              </w:rPr>
              <w:t xml:space="preserve"> </w:t>
            </w:r>
            <w:proofErr w:type="spellStart"/>
            <w:r w:rsidRPr="005A1DB4">
              <w:rPr>
                <w:i/>
                <w:sz w:val="24"/>
                <w:szCs w:val="24"/>
              </w:rPr>
              <w:t>Alcaligenes</w:t>
            </w:r>
            <w:proofErr w:type="spellEnd"/>
            <w:r w:rsidRPr="005A1DB4">
              <w:rPr>
                <w:i/>
                <w:sz w:val="24"/>
                <w:szCs w:val="24"/>
              </w:rPr>
              <w:t xml:space="preserve"> </w:t>
            </w:r>
            <w:proofErr w:type="spellStart"/>
            <w:r w:rsidRPr="005A1DB4">
              <w:rPr>
                <w:i/>
                <w:sz w:val="24"/>
                <w:szCs w:val="24"/>
              </w:rPr>
              <w:t>xylosoxidans</w:t>
            </w:r>
            <w:proofErr w:type="spellEnd"/>
            <w:r w:rsidRPr="005A1DB4">
              <w:rPr>
                <w:iCs/>
                <w:sz w:val="24"/>
                <w:szCs w:val="24"/>
              </w:rPr>
              <w:t>)</w:t>
            </w:r>
          </w:p>
        </w:tc>
      </w:tr>
      <w:tr w:rsidR="005A1DB4" w:rsidRPr="005A1DB4" w14:paraId="27E250A6" w14:textId="77777777" w:rsidTr="00D707F0">
        <w:tc>
          <w:tcPr>
            <w:tcW w:w="6379" w:type="dxa"/>
            <w:tcBorders>
              <w:top w:val="single" w:sz="4" w:space="0" w:color="auto"/>
              <w:left w:val="single" w:sz="4" w:space="0" w:color="auto"/>
              <w:bottom w:val="single" w:sz="4" w:space="0" w:color="auto"/>
              <w:right w:val="single" w:sz="4" w:space="0" w:color="auto"/>
            </w:tcBorders>
            <w:hideMark/>
          </w:tcPr>
          <w:p w14:paraId="37CBFE2A" w14:textId="77777777" w:rsidR="005A1DB4" w:rsidRPr="005A1DB4" w:rsidRDefault="005A1DB4" w:rsidP="00324A08">
            <w:pPr>
              <w:ind w:left="64"/>
              <w:rPr>
                <w:b/>
                <w:bCs/>
                <w:sz w:val="24"/>
                <w:szCs w:val="24"/>
              </w:rPr>
            </w:pPr>
            <w:r w:rsidRPr="005A1DB4">
              <w:rPr>
                <w:b/>
                <w:sz w:val="24"/>
                <w:szCs w:val="24"/>
              </w:rPr>
              <w:t>Organismer med generel resistens</w:t>
            </w:r>
          </w:p>
        </w:tc>
      </w:tr>
      <w:tr w:rsidR="005A1DB4" w:rsidRPr="005A1DB4" w14:paraId="253B151A" w14:textId="77777777" w:rsidTr="00D707F0">
        <w:tc>
          <w:tcPr>
            <w:tcW w:w="6379" w:type="dxa"/>
            <w:tcBorders>
              <w:top w:val="single" w:sz="4" w:space="0" w:color="auto"/>
              <w:left w:val="single" w:sz="4" w:space="0" w:color="auto"/>
              <w:bottom w:val="single" w:sz="4" w:space="0" w:color="auto"/>
              <w:right w:val="single" w:sz="4" w:space="0" w:color="auto"/>
            </w:tcBorders>
            <w:hideMark/>
          </w:tcPr>
          <w:p w14:paraId="303CBD68" w14:textId="77777777" w:rsidR="005A1DB4" w:rsidRPr="005A1DB4" w:rsidRDefault="005A1DB4" w:rsidP="00324A08">
            <w:pPr>
              <w:ind w:left="64"/>
              <w:rPr>
                <w:i/>
                <w:iCs/>
                <w:sz w:val="24"/>
                <w:szCs w:val="24"/>
              </w:rPr>
            </w:pPr>
            <w:proofErr w:type="spellStart"/>
            <w:r w:rsidRPr="005A1DB4">
              <w:rPr>
                <w:i/>
                <w:sz w:val="24"/>
                <w:szCs w:val="24"/>
              </w:rPr>
              <w:t>Burkholderia</w:t>
            </w:r>
            <w:proofErr w:type="spellEnd"/>
            <w:r w:rsidRPr="005A1DB4">
              <w:rPr>
                <w:i/>
                <w:sz w:val="24"/>
                <w:szCs w:val="24"/>
              </w:rPr>
              <w:t xml:space="preserve"> </w:t>
            </w:r>
            <w:proofErr w:type="spellStart"/>
            <w:r w:rsidRPr="005A1DB4">
              <w:rPr>
                <w:i/>
                <w:sz w:val="24"/>
                <w:szCs w:val="24"/>
              </w:rPr>
              <w:t>cepacia</w:t>
            </w:r>
            <w:proofErr w:type="spellEnd"/>
            <w:r w:rsidRPr="005A1DB4">
              <w:rPr>
                <w:i/>
                <w:sz w:val="24"/>
                <w:szCs w:val="24"/>
              </w:rPr>
              <w:t xml:space="preserve"> </w:t>
            </w:r>
            <w:r w:rsidRPr="005A1DB4">
              <w:rPr>
                <w:sz w:val="24"/>
                <w:szCs w:val="24"/>
              </w:rPr>
              <w:t>og beslægtede arter</w:t>
            </w:r>
            <w:r w:rsidRPr="005A1DB4">
              <w:rPr>
                <w:i/>
                <w:iCs/>
                <w:sz w:val="24"/>
                <w:szCs w:val="24"/>
              </w:rPr>
              <w:br/>
            </w:r>
            <w:r w:rsidRPr="005A1DB4">
              <w:rPr>
                <w:i/>
                <w:sz w:val="24"/>
                <w:szCs w:val="24"/>
              </w:rPr>
              <w:t>Proteus</w:t>
            </w:r>
            <w:r w:rsidRPr="005A1DB4">
              <w:rPr>
                <w:sz w:val="24"/>
                <w:szCs w:val="24"/>
              </w:rPr>
              <w:t>-arter</w:t>
            </w:r>
            <w:r w:rsidRPr="005A1DB4">
              <w:rPr>
                <w:i/>
                <w:iCs/>
                <w:sz w:val="24"/>
                <w:szCs w:val="24"/>
              </w:rPr>
              <w:br/>
            </w:r>
            <w:proofErr w:type="spellStart"/>
            <w:r w:rsidRPr="005A1DB4">
              <w:rPr>
                <w:i/>
                <w:sz w:val="24"/>
                <w:szCs w:val="24"/>
              </w:rPr>
              <w:t>Providencia</w:t>
            </w:r>
            <w:proofErr w:type="spellEnd"/>
            <w:r w:rsidRPr="005A1DB4">
              <w:rPr>
                <w:sz w:val="24"/>
                <w:szCs w:val="24"/>
              </w:rPr>
              <w:t>-arter</w:t>
            </w:r>
            <w:r w:rsidRPr="005A1DB4">
              <w:rPr>
                <w:i/>
                <w:iCs/>
                <w:sz w:val="24"/>
                <w:szCs w:val="24"/>
              </w:rPr>
              <w:br/>
            </w:r>
            <w:proofErr w:type="spellStart"/>
            <w:r w:rsidRPr="005A1DB4">
              <w:rPr>
                <w:i/>
                <w:sz w:val="24"/>
                <w:szCs w:val="24"/>
              </w:rPr>
              <w:t>Serratia</w:t>
            </w:r>
            <w:proofErr w:type="spellEnd"/>
            <w:r w:rsidRPr="005A1DB4">
              <w:rPr>
                <w:sz w:val="24"/>
                <w:szCs w:val="24"/>
              </w:rPr>
              <w:t>-arter</w:t>
            </w:r>
          </w:p>
        </w:tc>
      </w:tr>
    </w:tbl>
    <w:p w14:paraId="56AAE298" w14:textId="77777777" w:rsidR="009260DE" w:rsidRPr="00D707F0" w:rsidRDefault="009260DE" w:rsidP="009260DE">
      <w:pPr>
        <w:tabs>
          <w:tab w:val="left" w:pos="851"/>
        </w:tabs>
        <w:ind w:left="851"/>
        <w:rPr>
          <w:sz w:val="24"/>
          <w:szCs w:val="24"/>
        </w:rPr>
      </w:pPr>
    </w:p>
    <w:p w14:paraId="74C3BA75" w14:textId="77777777" w:rsidR="009260DE" w:rsidRPr="00D707F0" w:rsidRDefault="009260DE" w:rsidP="009260DE">
      <w:pPr>
        <w:tabs>
          <w:tab w:val="left" w:pos="851"/>
        </w:tabs>
        <w:ind w:left="851" w:hanging="851"/>
        <w:rPr>
          <w:b/>
          <w:sz w:val="24"/>
          <w:szCs w:val="24"/>
        </w:rPr>
      </w:pPr>
      <w:r w:rsidRPr="00D707F0">
        <w:rPr>
          <w:b/>
          <w:sz w:val="24"/>
          <w:szCs w:val="24"/>
        </w:rPr>
        <w:t>5.2</w:t>
      </w:r>
      <w:r w:rsidRPr="00D707F0">
        <w:rPr>
          <w:b/>
          <w:sz w:val="24"/>
          <w:szCs w:val="24"/>
        </w:rPr>
        <w:tab/>
      </w:r>
      <w:proofErr w:type="spellStart"/>
      <w:r w:rsidRPr="00D707F0">
        <w:rPr>
          <w:b/>
          <w:sz w:val="24"/>
          <w:szCs w:val="24"/>
        </w:rPr>
        <w:t>Farmakokinetiske</w:t>
      </w:r>
      <w:proofErr w:type="spellEnd"/>
      <w:r w:rsidRPr="00D707F0">
        <w:rPr>
          <w:b/>
          <w:sz w:val="24"/>
          <w:szCs w:val="24"/>
        </w:rPr>
        <w:t xml:space="preserve"> egenskaber</w:t>
      </w:r>
    </w:p>
    <w:p w14:paraId="23A19DC2" w14:textId="77777777" w:rsidR="00D707F0" w:rsidRDefault="00D707F0" w:rsidP="00324A08">
      <w:pPr>
        <w:ind w:left="851"/>
        <w:rPr>
          <w:sz w:val="24"/>
          <w:szCs w:val="24"/>
          <w:u w:val="single"/>
        </w:rPr>
      </w:pPr>
    </w:p>
    <w:p w14:paraId="119B35DA" w14:textId="0669CB1C" w:rsidR="005A1DB4" w:rsidRPr="005A1DB4" w:rsidRDefault="005A1DB4" w:rsidP="00324A08">
      <w:pPr>
        <w:ind w:left="851"/>
        <w:rPr>
          <w:sz w:val="24"/>
          <w:szCs w:val="24"/>
          <w:u w:val="single"/>
        </w:rPr>
      </w:pPr>
      <w:r w:rsidRPr="005A1DB4">
        <w:rPr>
          <w:sz w:val="24"/>
          <w:szCs w:val="24"/>
          <w:u w:val="single"/>
        </w:rPr>
        <w:t>Absorption</w:t>
      </w:r>
    </w:p>
    <w:p w14:paraId="0A6DB93A" w14:textId="77777777" w:rsidR="005A1DB4" w:rsidRPr="005A1DB4" w:rsidRDefault="005A1DB4" w:rsidP="00324A08">
      <w:pPr>
        <w:ind w:left="851"/>
        <w:rPr>
          <w:sz w:val="24"/>
          <w:szCs w:val="24"/>
        </w:rPr>
      </w:pPr>
      <w:r w:rsidRPr="005A1DB4">
        <w:rPr>
          <w:sz w:val="24"/>
          <w:szCs w:val="24"/>
        </w:rPr>
        <w:t xml:space="preserve">Oplysninger om farmakokinetikken for </w:t>
      </w:r>
      <w:proofErr w:type="spellStart"/>
      <w:r w:rsidRPr="005A1DB4">
        <w:rPr>
          <w:sz w:val="24"/>
          <w:szCs w:val="24"/>
        </w:rPr>
        <w:t>colistimethatnatrium</w:t>
      </w:r>
      <w:proofErr w:type="spellEnd"/>
      <w:r w:rsidRPr="005A1DB4">
        <w:rPr>
          <w:sz w:val="24"/>
          <w:szCs w:val="24"/>
        </w:rPr>
        <w:t xml:space="preserve"> (CMS) og </w:t>
      </w:r>
      <w:proofErr w:type="spellStart"/>
      <w:r w:rsidRPr="005A1DB4">
        <w:rPr>
          <w:sz w:val="24"/>
          <w:szCs w:val="24"/>
        </w:rPr>
        <w:t>colistin</w:t>
      </w:r>
      <w:proofErr w:type="spellEnd"/>
      <w:r w:rsidRPr="005A1DB4">
        <w:rPr>
          <w:sz w:val="24"/>
          <w:szCs w:val="24"/>
        </w:rPr>
        <w:t xml:space="preserve"> er begrænsede. Der er noget, der tyder på, at farmakokinetikken hos kritisk syge patienter er forskellig fra farmakokinetikken hos patienter med mindre svær fysiologisk forstyrrelse og hos raske frivillige. Følgende data er baseret på studier, der anvender HPLC til bestemmelse af CMS/</w:t>
      </w:r>
      <w:proofErr w:type="spellStart"/>
      <w:r w:rsidRPr="005A1DB4">
        <w:rPr>
          <w:sz w:val="24"/>
          <w:szCs w:val="24"/>
        </w:rPr>
        <w:t>colistin</w:t>
      </w:r>
      <w:proofErr w:type="spellEnd"/>
      <w:r w:rsidRPr="005A1DB4">
        <w:rPr>
          <w:sz w:val="24"/>
          <w:szCs w:val="24"/>
        </w:rPr>
        <w:t>-plasmakoncentrationer.</w:t>
      </w:r>
    </w:p>
    <w:p w14:paraId="2E678F0F" w14:textId="77777777" w:rsidR="005A1DB4" w:rsidRPr="005A1DB4" w:rsidRDefault="005A1DB4" w:rsidP="00324A08">
      <w:pPr>
        <w:ind w:left="851"/>
        <w:rPr>
          <w:sz w:val="24"/>
          <w:szCs w:val="24"/>
        </w:rPr>
      </w:pPr>
    </w:p>
    <w:p w14:paraId="55E7F3A3" w14:textId="77777777" w:rsidR="005A1DB4" w:rsidRPr="005A1DB4" w:rsidRDefault="005A1DB4" w:rsidP="00324A08">
      <w:pPr>
        <w:ind w:left="851"/>
        <w:rPr>
          <w:sz w:val="24"/>
          <w:szCs w:val="24"/>
        </w:rPr>
      </w:pPr>
      <w:r w:rsidRPr="005A1DB4">
        <w:rPr>
          <w:sz w:val="24"/>
          <w:szCs w:val="24"/>
        </w:rPr>
        <w:t>Absorption fra mave-tarm-kanalen opstår ikke i nogen væsentlig udstrækning hos normale mennesker.</w:t>
      </w:r>
    </w:p>
    <w:p w14:paraId="3E7A8F1A" w14:textId="77777777" w:rsidR="005A1DB4" w:rsidRPr="005A1DB4" w:rsidRDefault="005A1DB4" w:rsidP="00324A08">
      <w:pPr>
        <w:ind w:left="851"/>
        <w:rPr>
          <w:sz w:val="24"/>
          <w:szCs w:val="24"/>
        </w:rPr>
      </w:pPr>
    </w:p>
    <w:p w14:paraId="7ED0BEF2" w14:textId="77777777" w:rsidR="005A1DB4" w:rsidRPr="005A1DB4" w:rsidRDefault="005A1DB4" w:rsidP="00324A08">
      <w:pPr>
        <w:ind w:left="851"/>
        <w:rPr>
          <w:sz w:val="24"/>
          <w:szCs w:val="24"/>
        </w:rPr>
      </w:pPr>
      <w:r w:rsidRPr="005A1DB4">
        <w:rPr>
          <w:sz w:val="24"/>
          <w:szCs w:val="24"/>
        </w:rPr>
        <w:t xml:space="preserve">Når lægemidlet gives via </w:t>
      </w:r>
      <w:proofErr w:type="spellStart"/>
      <w:r w:rsidRPr="005A1DB4">
        <w:rPr>
          <w:sz w:val="24"/>
          <w:szCs w:val="24"/>
        </w:rPr>
        <w:t>nebulisering</w:t>
      </w:r>
      <w:proofErr w:type="spellEnd"/>
      <w:r w:rsidRPr="005A1DB4">
        <w:rPr>
          <w:sz w:val="24"/>
          <w:szCs w:val="24"/>
        </w:rPr>
        <w:t xml:space="preserve">, er der rapporteret om variabel absorption, som kan afhænge af aerosolpartikelstørrelsen, </w:t>
      </w:r>
      <w:proofErr w:type="spellStart"/>
      <w:r w:rsidRPr="005A1DB4">
        <w:rPr>
          <w:sz w:val="24"/>
          <w:szCs w:val="24"/>
        </w:rPr>
        <w:t>nebulisatorsystemet</w:t>
      </w:r>
      <w:proofErr w:type="spellEnd"/>
      <w:r w:rsidRPr="005A1DB4">
        <w:rPr>
          <w:sz w:val="24"/>
          <w:szCs w:val="24"/>
        </w:rPr>
        <w:t xml:space="preserve"> og lungestatus. Studier med raske frivillige og patienter med forskellige infektioner har rapporteret om serumniveauer fra nul til potentielt terapeutiske koncentrationer på 4 mg/l eller mere. Derfor bør muligheden for systemisk absorption altid tages i betragtning ved behandling af patienter ved inhalation.</w:t>
      </w:r>
    </w:p>
    <w:p w14:paraId="293A3656" w14:textId="77777777" w:rsidR="005A1DB4" w:rsidRPr="005A1DB4" w:rsidRDefault="005A1DB4" w:rsidP="00324A08">
      <w:pPr>
        <w:ind w:left="851"/>
        <w:rPr>
          <w:sz w:val="24"/>
          <w:szCs w:val="24"/>
          <w:u w:val="single"/>
        </w:rPr>
      </w:pPr>
    </w:p>
    <w:p w14:paraId="394354CA" w14:textId="77777777" w:rsidR="005A1DB4" w:rsidRPr="005A1DB4" w:rsidRDefault="005A1DB4" w:rsidP="00324A08">
      <w:pPr>
        <w:ind w:left="851"/>
        <w:rPr>
          <w:sz w:val="24"/>
          <w:szCs w:val="24"/>
          <w:u w:val="single"/>
        </w:rPr>
      </w:pPr>
      <w:r w:rsidRPr="005A1DB4">
        <w:rPr>
          <w:sz w:val="24"/>
          <w:szCs w:val="24"/>
          <w:u w:val="single"/>
        </w:rPr>
        <w:t>Fordeling</w:t>
      </w:r>
    </w:p>
    <w:p w14:paraId="67189129" w14:textId="77777777" w:rsidR="005A1DB4" w:rsidRPr="005A1DB4" w:rsidRDefault="005A1DB4" w:rsidP="00324A08">
      <w:pPr>
        <w:ind w:left="851"/>
        <w:rPr>
          <w:sz w:val="24"/>
          <w:szCs w:val="24"/>
        </w:rPr>
      </w:pPr>
      <w:proofErr w:type="spellStart"/>
      <w:r w:rsidRPr="005A1DB4">
        <w:rPr>
          <w:sz w:val="24"/>
          <w:szCs w:val="24"/>
        </w:rPr>
        <w:t>Colistins</w:t>
      </w:r>
      <w:proofErr w:type="spellEnd"/>
      <w:r w:rsidRPr="005A1DB4">
        <w:rPr>
          <w:sz w:val="24"/>
          <w:szCs w:val="24"/>
        </w:rPr>
        <w:t xml:space="preserve"> fordelingsvolumen hos raske personer er lav og svarer omtrent til ekstracellulærvæsken (ECF). Fordelingsvolumenen er relevant forøget hos kritisk syge personer. Proteinbindingen er moderat og falder ved højere koncentrationer. Ved fravær af </w:t>
      </w:r>
      <w:proofErr w:type="spellStart"/>
      <w:r w:rsidRPr="005A1DB4">
        <w:rPr>
          <w:sz w:val="24"/>
          <w:szCs w:val="24"/>
        </w:rPr>
        <w:t>meningeal</w:t>
      </w:r>
      <w:proofErr w:type="spellEnd"/>
      <w:r w:rsidRPr="005A1DB4">
        <w:rPr>
          <w:sz w:val="24"/>
          <w:szCs w:val="24"/>
        </w:rPr>
        <w:t xml:space="preserve"> inflammation er penetrering ind i cerebrospinalvæsken (CSF) minimal, men den øges ved </w:t>
      </w:r>
      <w:proofErr w:type="spellStart"/>
      <w:r w:rsidRPr="005A1DB4">
        <w:rPr>
          <w:sz w:val="24"/>
          <w:szCs w:val="24"/>
        </w:rPr>
        <w:t>meningeal</w:t>
      </w:r>
      <w:proofErr w:type="spellEnd"/>
      <w:r w:rsidRPr="005A1DB4">
        <w:rPr>
          <w:sz w:val="24"/>
          <w:szCs w:val="24"/>
        </w:rPr>
        <w:t xml:space="preserve"> inflammation.</w:t>
      </w:r>
    </w:p>
    <w:p w14:paraId="3485D28C" w14:textId="77777777" w:rsidR="005A1DB4" w:rsidRPr="005A1DB4" w:rsidRDefault="005A1DB4" w:rsidP="00324A08">
      <w:pPr>
        <w:ind w:left="851"/>
        <w:rPr>
          <w:sz w:val="24"/>
          <w:szCs w:val="24"/>
        </w:rPr>
      </w:pPr>
      <w:r w:rsidRPr="005A1DB4">
        <w:rPr>
          <w:sz w:val="24"/>
          <w:szCs w:val="24"/>
        </w:rPr>
        <w:t xml:space="preserve">Både CMS og </w:t>
      </w:r>
      <w:proofErr w:type="spellStart"/>
      <w:r w:rsidRPr="005A1DB4">
        <w:rPr>
          <w:sz w:val="24"/>
          <w:szCs w:val="24"/>
        </w:rPr>
        <w:t>colistin</w:t>
      </w:r>
      <w:proofErr w:type="spellEnd"/>
      <w:r w:rsidRPr="005A1DB4">
        <w:rPr>
          <w:sz w:val="24"/>
          <w:szCs w:val="24"/>
        </w:rPr>
        <w:t xml:space="preserve"> fremviser lineær farmakokinetik i det klinisk relevante dosisområde.</w:t>
      </w:r>
    </w:p>
    <w:p w14:paraId="0CEB19FB" w14:textId="77777777" w:rsidR="005A1DB4" w:rsidRPr="005A1DB4" w:rsidRDefault="005A1DB4" w:rsidP="00324A08">
      <w:pPr>
        <w:ind w:left="851"/>
        <w:rPr>
          <w:sz w:val="24"/>
          <w:szCs w:val="24"/>
        </w:rPr>
      </w:pPr>
    </w:p>
    <w:p w14:paraId="325072D9" w14:textId="77777777" w:rsidR="005A1DB4" w:rsidRPr="005A1DB4" w:rsidRDefault="005A1DB4" w:rsidP="00324A08">
      <w:pPr>
        <w:ind w:left="851"/>
        <w:rPr>
          <w:sz w:val="24"/>
          <w:szCs w:val="24"/>
          <w:u w:val="single"/>
        </w:rPr>
      </w:pPr>
      <w:r w:rsidRPr="005A1DB4">
        <w:rPr>
          <w:sz w:val="24"/>
          <w:szCs w:val="24"/>
          <w:u w:val="single"/>
        </w:rPr>
        <w:t>Elimination</w:t>
      </w:r>
    </w:p>
    <w:p w14:paraId="5352BF4E" w14:textId="77777777" w:rsidR="005A1DB4" w:rsidRPr="005A1DB4" w:rsidRDefault="005A1DB4" w:rsidP="00324A08">
      <w:pPr>
        <w:ind w:left="851"/>
        <w:rPr>
          <w:sz w:val="24"/>
          <w:szCs w:val="24"/>
        </w:rPr>
      </w:pPr>
      <w:r w:rsidRPr="005A1DB4">
        <w:rPr>
          <w:sz w:val="24"/>
          <w:szCs w:val="24"/>
        </w:rPr>
        <w:t xml:space="preserve">Det estimeres, at ca. 30 % af </w:t>
      </w:r>
      <w:proofErr w:type="spellStart"/>
      <w:r w:rsidRPr="005A1DB4">
        <w:rPr>
          <w:sz w:val="24"/>
          <w:szCs w:val="24"/>
        </w:rPr>
        <w:t>colistimethatnatrium</w:t>
      </w:r>
      <w:proofErr w:type="spellEnd"/>
      <w:r w:rsidRPr="005A1DB4">
        <w:rPr>
          <w:sz w:val="24"/>
          <w:szCs w:val="24"/>
        </w:rPr>
        <w:t xml:space="preserve"> omdannes til </w:t>
      </w:r>
      <w:proofErr w:type="spellStart"/>
      <w:r w:rsidRPr="005A1DB4">
        <w:rPr>
          <w:sz w:val="24"/>
          <w:szCs w:val="24"/>
        </w:rPr>
        <w:t>colistin</w:t>
      </w:r>
      <w:proofErr w:type="spellEnd"/>
      <w:r w:rsidRPr="005A1DB4">
        <w:rPr>
          <w:sz w:val="24"/>
          <w:szCs w:val="24"/>
        </w:rPr>
        <w:t xml:space="preserve"> hos raske personer. Dets </w:t>
      </w:r>
      <w:proofErr w:type="spellStart"/>
      <w:r w:rsidRPr="005A1DB4">
        <w:rPr>
          <w:sz w:val="24"/>
          <w:szCs w:val="24"/>
        </w:rPr>
        <w:t>clearance</w:t>
      </w:r>
      <w:proofErr w:type="spellEnd"/>
      <w:r w:rsidRPr="005A1DB4">
        <w:rPr>
          <w:sz w:val="24"/>
          <w:szCs w:val="24"/>
        </w:rPr>
        <w:t xml:space="preserve"> er afhængig af </w:t>
      </w:r>
      <w:proofErr w:type="spellStart"/>
      <w:r w:rsidRPr="005A1DB4">
        <w:rPr>
          <w:sz w:val="24"/>
          <w:szCs w:val="24"/>
        </w:rPr>
        <w:t>kreatininclearance</w:t>
      </w:r>
      <w:proofErr w:type="spellEnd"/>
      <w:r w:rsidRPr="005A1DB4">
        <w:rPr>
          <w:sz w:val="24"/>
          <w:szCs w:val="24"/>
        </w:rPr>
        <w:t xml:space="preserve">, og ved faldende nyrefunktion omdannes en større del af CMS til </w:t>
      </w:r>
      <w:proofErr w:type="spellStart"/>
      <w:r w:rsidRPr="005A1DB4">
        <w:rPr>
          <w:sz w:val="24"/>
          <w:szCs w:val="24"/>
        </w:rPr>
        <w:t>colistin</w:t>
      </w:r>
      <w:proofErr w:type="spellEnd"/>
      <w:r w:rsidRPr="005A1DB4">
        <w:rPr>
          <w:sz w:val="24"/>
          <w:szCs w:val="24"/>
        </w:rPr>
        <w:t>. Hos patienter med meget dårlig nyrefunktion (</w:t>
      </w:r>
      <w:proofErr w:type="spellStart"/>
      <w:r w:rsidRPr="005A1DB4">
        <w:rPr>
          <w:sz w:val="24"/>
          <w:szCs w:val="24"/>
        </w:rPr>
        <w:t>kreatininclearance</w:t>
      </w:r>
      <w:proofErr w:type="spellEnd"/>
      <w:r w:rsidRPr="005A1DB4">
        <w:rPr>
          <w:sz w:val="24"/>
          <w:szCs w:val="24"/>
        </w:rPr>
        <w:t xml:space="preserve"> &lt; 30 ml/min) kan graden af omdannelse være så høj som 60 til 70 %. CMS elimineres overvejende via nyrerne ved </w:t>
      </w:r>
      <w:proofErr w:type="spellStart"/>
      <w:r w:rsidRPr="005A1DB4">
        <w:rPr>
          <w:sz w:val="24"/>
          <w:szCs w:val="24"/>
        </w:rPr>
        <w:t>glomerulær</w:t>
      </w:r>
      <w:proofErr w:type="spellEnd"/>
      <w:r w:rsidRPr="005A1DB4">
        <w:rPr>
          <w:sz w:val="24"/>
          <w:szCs w:val="24"/>
        </w:rPr>
        <w:t xml:space="preserve"> filtration. Hos raske personer udskilles 60 % til 70 % af CMS </w:t>
      </w:r>
      <w:proofErr w:type="spellStart"/>
      <w:r w:rsidRPr="005A1DB4">
        <w:rPr>
          <w:sz w:val="24"/>
          <w:szCs w:val="24"/>
        </w:rPr>
        <w:t>uomdannet</w:t>
      </w:r>
      <w:proofErr w:type="spellEnd"/>
      <w:r w:rsidRPr="005A1DB4">
        <w:rPr>
          <w:sz w:val="24"/>
          <w:szCs w:val="24"/>
        </w:rPr>
        <w:t xml:space="preserve"> i urinen i løbet af 24 timer.</w:t>
      </w:r>
    </w:p>
    <w:p w14:paraId="2881F053" w14:textId="77777777" w:rsidR="005A1DB4" w:rsidRPr="005A1DB4" w:rsidRDefault="005A1DB4" w:rsidP="00324A08">
      <w:pPr>
        <w:ind w:left="851"/>
        <w:rPr>
          <w:sz w:val="24"/>
          <w:szCs w:val="24"/>
        </w:rPr>
      </w:pPr>
    </w:p>
    <w:p w14:paraId="1BED6397" w14:textId="77777777" w:rsidR="005A1DB4" w:rsidRPr="005A1DB4" w:rsidRDefault="005A1DB4" w:rsidP="00324A08">
      <w:pPr>
        <w:ind w:left="851"/>
        <w:rPr>
          <w:sz w:val="24"/>
          <w:szCs w:val="24"/>
        </w:rPr>
      </w:pPr>
      <w:r w:rsidRPr="005A1DB4">
        <w:rPr>
          <w:sz w:val="24"/>
          <w:szCs w:val="24"/>
        </w:rPr>
        <w:t xml:space="preserve">Elimineringen af det aktive </w:t>
      </w:r>
      <w:proofErr w:type="spellStart"/>
      <w:r w:rsidRPr="005A1DB4">
        <w:rPr>
          <w:sz w:val="24"/>
          <w:szCs w:val="24"/>
        </w:rPr>
        <w:t>colistin</w:t>
      </w:r>
      <w:proofErr w:type="spellEnd"/>
      <w:r w:rsidRPr="005A1DB4">
        <w:rPr>
          <w:sz w:val="24"/>
          <w:szCs w:val="24"/>
        </w:rPr>
        <w:t xml:space="preserve"> er ufuldstændigt karakteriseret. </w:t>
      </w:r>
      <w:proofErr w:type="spellStart"/>
      <w:r w:rsidRPr="005A1DB4">
        <w:rPr>
          <w:sz w:val="24"/>
          <w:szCs w:val="24"/>
        </w:rPr>
        <w:t>Colistin</w:t>
      </w:r>
      <w:proofErr w:type="spellEnd"/>
      <w:r w:rsidRPr="005A1DB4">
        <w:rPr>
          <w:sz w:val="24"/>
          <w:szCs w:val="24"/>
        </w:rPr>
        <w:t xml:space="preserve"> gennemgår omfattende </w:t>
      </w:r>
      <w:proofErr w:type="spellStart"/>
      <w:r w:rsidRPr="005A1DB4">
        <w:rPr>
          <w:sz w:val="24"/>
          <w:szCs w:val="24"/>
        </w:rPr>
        <w:t>renal</w:t>
      </w:r>
      <w:proofErr w:type="spellEnd"/>
      <w:r w:rsidRPr="005A1DB4">
        <w:rPr>
          <w:sz w:val="24"/>
          <w:szCs w:val="24"/>
        </w:rPr>
        <w:t xml:space="preserve"> </w:t>
      </w:r>
      <w:proofErr w:type="spellStart"/>
      <w:r w:rsidRPr="005A1DB4">
        <w:rPr>
          <w:sz w:val="24"/>
          <w:szCs w:val="24"/>
        </w:rPr>
        <w:t>tubulær</w:t>
      </w:r>
      <w:proofErr w:type="spellEnd"/>
      <w:r w:rsidRPr="005A1DB4">
        <w:rPr>
          <w:sz w:val="24"/>
          <w:szCs w:val="24"/>
        </w:rPr>
        <w:t xml:space="preserve"> </w:t>
      </w:r>
      <w:proofErr w:type="spellStart"/>
      <w:r w:rsidRPr="005A1DB4">
        <w:rPr>
          <w:sz w:val="24"/>
          <w:szCs w:val="24"/>
        </w:rPr>
        <w:t>reabsorption</w:t>
      </w:r>
      <w:proofErr w:type="spellEnd"/>
      <w:r w:rsidRPr="005A1DB4">
        <w:rPr>
          <w:sz w:val="24"/>
          <w:szCs w:val="24"/>
        </w:rPr>
        <w:t xml:space="preserve"> og cleares muligvis enten non-</w:t>
      </w:r>
      <w:proofErr w:type="spellStart"/>
      <w:r w:rsidRPr="005A1DB4">
        <w:rPr>
          <w:sz w:val="24"/>
          <w:szCs w:val="24"/>
        </w:rPr>
        <w:t>renalt</w:t>
      </w:r>
      <w:proofErr w:type="spellEnd"/>
      <w:r w:rsidRPr="005A1DB4">
        <w:rPr>
          <w:sz w:val="24"/>
          <w:szCs w:val="24"/>
        </w:rPr>
        <w:t xml:space="preserve"> eller gennemgår </w:t>
      </w:r>
      <w:proofErr w:type="spellStart"/>
      <w:r w:rsidRPr="005A1DB4">
        <w:rPr>
          <w:sz w:val="24"/>
          <w:szCs w:val="24"/>
        </w:rPr>
        <w:t>renal</w:t>
      </w:r>
      <w:proofErr w:type="spellEnd"/>
      <w:r w:rsidRPr="005A1DB4">
        <w:rPr>
          <w:sz w:val="24"/>
          <w:szCs w:val="24"/>
        </w:rPr>
        <w:t xml:space="preserve"> metabolisme med mulighed for </w:t>
      </w:r>
      <w:proofErr w:type="spellStart"/>
      <w:r w:rsidRPr="005A1DB4">
        <w:rPr>
          <w:sz w:val="24"/>
          <w:szCs w:val="24"/>
        </w:rPr>
        <w:t>renal</w:t>
      </w:r>
      <w:proofErr w:type="spellEnd"/>
      <w:r w:rsidRPr="005A1DB4">
        <w:rPr>
          <w:sz w:val="24"/>
          <w:szCs w:val="24"/>
        </w:rPr>
        <w:t xml:space="preserve"> akkumulering. </w:t>
      </w:r>
      <w:proofErr w:type="spellStart"/>
      <w:r w:rsidRPr="005A1DB4">
        <w:rPr>
          <w:sz w:val="24"/>
          <w:szCs w:val="24"/>
        </w:rPr>
        <w:t>Colistinclearance</w:t>
      </w:r>
      <w:proofErr w:type="spellEnd"/>
      <w:r w:rsidRPr="005A1DB4">
        <w:rPr>
          <w:sz w:val="24"/>
          <w:szCs w:val="24"/>
        </w:rPr>
        <w:t xml:space="preserve"> er reduceret ved nedsat nyrefunktion, muligvis på grund af øget omdannelse af CMS.</w:t>
      </w:r>
    </w:p>
    <w:p w14:paraId="7D125D9C" w14:textId="77777777" w:rsidR="005A1DB4" w:rsidRPr="005A1DB4" w:rsidRDefault="005A1DB4" w:rsidP="00324A08">
      <w:pPr>
        <w:ind w:left="851"/>
        <w:rPr>
          <w:sz w:val="24"/>
          <w:szCs w:val="24"/>
        </w:rPr>
      </w:pPr>
    </w:p>
    <w:p w14:paraId="449E2DFF" w14:textId="77777777" w:rsidR="005A1DB4" w:rsidRPr="005A1DB4" w:rsidRDefault="005A1DB4" w:rsidP="00324A08">
      <w:pPr>
        <w:ind w:left="851"/>
        <w:rPr>
          <w:iCs/>
          <w:sz w:val="24"/>
          <w:szCs w:val="24"/>
        </w:rPr>
      </w:pPr>
      <w:r w:rsidRPr="005A1DB4">
        <w:rPr>
          <w:sz w:val="24"/>
          <w:szCs w:val="24"/>
        </w:rPr>
        <w:t xml:space="preserve">Det er rapporteret, at halveringstiden for </w:t>
      </w:r>
      <w:proofErr w:type="spellStart"/>
      <w:r w:rsidRPr="005A1DB4">
        <w:rPr>
          <w:sz w:val="24"/>
          <w:szCs w:val="24"/>
        </w:rPr>
        <w:t>colistin</w:t>
      </w:r>
      <w:proofErr w:type="spellEnd"/>
      <w:r w:rsidRPr="005A1DB4">
        <w:rPr>
          <w:sz w:val="24"/>
          <w:szCs w:val="24"/>
        </w:rPr>
        <w:t xml:space="preserve"> hos raske personer og personer med cystisk fibrose er henholdsvis ca. 3 t og 4 t med en total-</w:t>
      </w:r>
      <w:proofErr w:type="spellStart"/>
      <w:r w:rsidRPr="005A1DB4">
        <w:rPr>
          <w:sz w:val="24"/>
          <w:szCs w:val="24"/>
        </w:rPr>
        <w:t>clearance</w:t>
      </w:r>
      <w:proofErr w:type="spellEnd"/>
      <w:r w:rsidRPr="005A1DB4">
        <w:rPr>
          <w:sz w:val="24"/>
          <w:szCs w:val="24"/>
        </w:rPr>
        <w:t xml:space="preserve"> på ca. 3 l/t. Hos kritisk syge patienter er halveringstiden rapporteret at være forlænget til ca. 9-18 t. </w:t>
      </w:r>
    </w:p>
    <w:p w14:paraId="6D9A2FAC" w14:textId="6FDA67A8" w:rsidR="00F23072" w:rsidRDefault="00F23072">
      <w:pPr>
        <w:rPr>
          <w:sz w:val="24"/>
          <w:szCs w:val="24"/>
        </w:rPr>
      </w:pPr>
      <w:r>
        <w:rPr>
          <w:sz w:val="24"/>
          <w:szCs w:val="24"/>
        </w:rPr>
        <w:br w:type="page"/>
      </w:r>
    </w:p>
    <w:p w14:paraId="28C79ADC" w14:textId="77777777" w:rsidR="009260DE" w:rsidRPr="00D707F0" w:rsidRDefault="009260DE" w:rsidP="009260DE">
      <w:pPr>
        <w:tabs>
          <w:tab w:val="left" w:pos="851"/>
        </w:tabs>
        <w:ind w:left="851"/>
        <w:rPr>
          <w:sz w:val="24"/>
          <w:szCs w:val="24"/>
        </w:rPr>
      </w:pPr>
    </w:p>
    <w:p w14:paraId="4F23D903" w14:textId="77777777" w:rsidR="009260DE" w:rsidRPr="00D707F0" w:rsidRDefault="009260DE" w:rsidP="009260DE">
      <w:pPr>
        <w:tabs>
          <w:tab w:val="left" w:pos="851"/>
        </w:tabs>
        <w:ind w:left="851" w:hanging="851"/>
        <w:rPr>
          <w:b/>
          <w:sz w:val="24"/>
          <w:szCs w:val="24"/>
        </w:rPr>
      </w:pPr>
      <w:r w:rsidRPr="00D707F0">
        <w:rPr>
          <w:b/>
          <w:sz w:val="24"/>
          <w:szCs w:val="24"/>
        </w:rPr>
        <w:t>5.3</w:t>
      </w:r>
      <w:r w:rsidRPr="00D707F0">
        <w:rPr>
          <w:b/>
          <w:sz w:val="24"/>
          <w:szCs w:val="24"/>
        </w:rPr>
        <w:tab/>
      </w:r>
      <w:r w:rsidR="00BD7931" w:rsidRPr="00D707F0">
        <w:rPr>
          <w:b/>
          <w:sz w:val="24"/>
          <w:szCs w:val="24"/>
        </w:rPr>
        <w:t>Non-</w:t>
      </w:r>
      <w:r w:rsidRPr="00D707F0">
        <w:rPr>
          <w:b/>
          <w:sz w:val="24"/>
          <w:szCs w:val="24"/>
        </w:rPr>
        <w:t>kliniske sikkerhedsdata</w:t>
      </w:r>
    </w:p>
    <w:p w14:paraId="78471E59" w14:textId="77777777" w:rsidR="005A1DB4" w:rsidRPr="005A1DB4" w:rsidRDefault="005A1DB4" w:rsidP="00324A08">
      <w:pPr>
        <w:ind w:left="851"/>
        <w:rPr>
          <w:sz w:val="24"/>
          <w:szCs w:val="24"/>
        </w:rPr>
      </w:pPr>
      <w:r w:rsidRPr="005A1DB4">
        <w:rPr>
          <w:sz w:val="24"/>
          <w:szCs w:val="24"/>
        </w:rPr>
        <w:t xml:space="preserve">Data vedrørende potentiel genotoksicitet er begrænsede, og </w:t>
      </w:r>
      <w:proofErr w:type="spellStart"/>
      <w:r w:rsidRPr="005A1DB4">
        <w:rPr>
          <w:sz w:val="24"/>
          <w:szCs w:val="24"/>
        </w:rPr>
        <w:t>karcinogenicitetsdata</w:t>
      </w:r>
      <w:proofErr w:type="spellEnd"/>
      <w:r w:rsidRPr="005A1DB4">
        <w:rPr>
          <w:sz w:val="24"/>
          <w:szCs w:val="24"/>
        </w:rPr>
        <w:t xml:space="preserve"> for </w:t>
      </w:r>
      <w:proofErr w:type="spellStart"/>
      <w:r w:rsidRPr="005A1DB4">
        <w:rPr>
          <w:sz w:val="24"/>
          <w:szCs w:val="24"/>
        </w:rPr>
        <w:t>colistimethatnatrium</w:t>
      </w:r>
      <w:proofErr w:type="spellEnd"/>
      <w:r w:rsidRPr="005A1DB4">
        <w:rPr>
          <w:sz w:val="24"/>
          <w:szCs w:val="24"/>
        </w:rPr>
        <w:t xml:space="preserve"> foreligger ikke. Det er blevet påvist, at </w:t>
      </w:r>
      <w:proofErr w:type="spellStart"/>
      <w:r w:rsidRPr="005A1DB4">
        <w:rPr>
          <w:sz w:val="24"/>
          <w:szCs w:val="24"/>
        </w:rPr>
        <w:t>colistimethatnatrium</w:t>
      </w:r>
      <w:proofErr w:type="spellEnd"/>
      <w:r w:rsidRPr="005A1DB4">
        <w:rPr>
          <w:sz w:val="24"/>
          <w:szCs w:val="24"/>
        </w:rPr>
        <w:t xml:space="preserve"> inducerer kromosomaberrationer i humane lymfocytter </w:t>
      </w:r>
      <w:r w:rsidRPr="005A1DB4">
        <w:rPr>
          <w:i/>
          <w:sz w:val="24"/>
          <w:szCs w:val="24"/>
        </w:rPr>
        <w:t>in </w:t>
      </w:r>
      <w:proofErr w:type="spellStart"/>
      <w:r w:rsidRPr="005A1DB4">
        <w:rPr>
          <w:i/>
          <w:sz w:val="24"/>
          <w:szCs w:val="24"/>
        </w:rPr>
        <w:t>vitro</w:t>
      </w:r>
      <w:proofErr w:type="spellEnd"/>
      <w:r w:rsidRPr="005A1DB4">
        <w:rPr>
          <w:sz w:val="24"/>
          <w:szCs w:val="24"/>
        </w:rPr>
        <w:t xml:space="preserve">. Denne virkning kan være forbundet med en reduktion i det </w:t>
      </w:r>
      <w:proofErr w:type="spellStart"/>
      <w:r w:rsidRPr="005A1DB4">
        <w:rPr>
          <w:sz w:val="24"/>
          <w:szCs w:val="24"/>
        </w:rPr>
        <w:t>mitotiske</w:t>
      </w:r>
      <w:proofErr w:type="spellEnd"/>
      <w:r w:rsidRPr="005A1DB4">
        <w:rPr>
          <w:sz w:val="24"/>
          <w:szCs w:val="24"/>
        </w:rPr>
        <w:t xml:space="preserve"> indeks, som ligeledes blev observeret.</w:t>
      </w:r>
    </w:p>
    <w:p w14:paraId="5B642335" w14:textId="77777777" w:rsidR="005A1DB4" w:rsidRPr="005A1DB4" w:rsidRDefault="005A1DB4" w:rsidP="00324A08">
      <w:pPr>
        <w:ind w:left="851"/>
        <w:rPr>
          <w:sz w:val="24"/>
          <w:szCs w:val="24"/>
        </w:rPr>
      </w:pPr>
    </w:p>
    <w:p w14:paraId="2BA7913B" w14:textId="77777777" w:rsidR="005A1DB4" w:rsidRPr="005A1DB4" w:rsidRDefault="005A1DB4" w:rsidP="00324A08">
      <w:pPr>
        <w:ind w:left="851"/>
        <w:rPr>
          <w:sz w:val="24"/>
          <w:szCs w:val="24"/>
        </w:rPr>
      </w:pPr>
      <w:r w:rsidRPr="005A1DB4">
        <w:rPr>
          <w:sz w:val="24"/>
          <w:szCs w:val="24"/>
        </w:rPr>
        <w:t xml:space="preserve">Data fra studier af reproduktionstoksicitet hos rotter og mus tyder ikke på </w:t>
      </w:r>
      <w:proofErr w:type="spellStart"/>
      <w:r w:rsidRPr="005A1DB4">
        <w:rPr>
          <w:sz w:val="24"/>
          <w:szCs w:val="24"/>
        </w:rPr>
        <w:t>teratogene</w:t>
      </w:r>
      <w:proofErr w:type="spellEnd"/>
      <w:r w:rsidRPr="005A1DB4">
        <w:rPr>
          <w:sz w:val="24"/>
          <w:szCs w:val="24"/>
        </w:rPr>
        <w:t xml:space="preserve"> egenskaber. Hos kaniner resulterede </w:t>
      </w:r>
      <w:proofErr w:type="spellStart"/>
      <w:r w:rsidRPr="005A1DB4">
        <w:rPr>
          <w:sz w:val="24"/>
          <w:szCs w:val="24"/>
        </w:rPr>
        <w:t>colistimethatnatrium</w:t>
      </w:r>
      <w:proofErr w:type="spellEnd"/>
      <w:r w:rsidRPr="005A1DB4">
        <w:rPr>
          <w:sz w:val="24"/>
          <w:szCs w:val="24"/>
        </w:rPr>
        <w:t xml:space="preserve"> givet intramuskulært under </w:t>
      </w:r>
      <w:proofErr w:type="spellStart"/>
      <w:r w:rsidRPr="005A1DB4">
        <w:rPr>
          <w:sz w:val="24"/>
          <w:szCs w:val="24"/>
        </w:rPr>
        <w:t>organogenesen</w:t>
      </w:r>
      <w:proofErr w:type="spellEnd"/>
      <w:r w:rsidRPr="005A1DB4">
        <w:rPr>
          <w:sz w:val="24"/>
          <w:szCs w:val="24"/>
        </w:rPr>
        <w:t xml:space="preserve"> i doser på 4,15 og 9,3 mg/kg i </w:t>
      </w:r>
      <w:proofErr w:type="spellStart"/>
      <w:r w:rsidRPr="005A1DB4">
        <w:rPr>
          <w:sz w:val="24"/>
          <w:szCs w:val="24"/>
        </w:rPr>
        <w:t>talipes</w:t>
      </w:r>
      <w:proofErr w:type="spellEnd"/>
      <w:r w:rsidRPr="005A1DB4">
        <w:rPr>
          <w:sz w:val="24"/>
          <w:szCs w:val="24"/>
        </w:rPr>
        <w:t xml:space="preserve"> </w:t>
      </w:r>
      <w:proofErr w:type="spellStart"/>
      <w:r w:rsidRPr="005A1DB4">
        <w:rPr>
          <w:sz w:val="24"/>
          <w:szCs w:val="24"/>
        </w:rPr>
        <w:t>varus</w:t>
      </w:r>
      <w:proofErr w:type="spellEnd"/>
      <w:r w:rsidRPr="005A1DB4">
        <w:rPr>
          <w:sz w:val="24"/>
          <w:szCs w:val="24"/>
        </w:rPr>
        <w:t xml:space="preserve"> hos henholdsvis 2,6 og 2,9 % af fostrene. Disse doser er 0,5 og 1,2 gange større end den maksimale daglige dosis til mennesker. Desuden forekom der øget resorption ved 9,3 mg/kg.</w:t>
      </w:r>
    </w:p>
    <w:p w14:paraId="567B4A44" w14:textId="77777777" w:rsidR="005A1DB4" w:rsidRPr="005A1DB4" w:rsidRDefault="005A1DB4" w:rsidP="00324A08">
      <w:pPr>
        <w:ind w:left="851"/>
        <w:rPr>
          <w:sz w:val="24"/>
          <w:szCs w:val="24"/>
        </w:rPr>
      </w:pPr>
    </w:p>
    <w:p w14:paraId="52DCF7A1" w14:textId="77777777" w:rsidR="005A1DB4" w:rsidRPr="005A1DB4" w:rsidRDefault="005A1DB4" w:rsidP="00324A08">
      <w:pPr>
        <w:ind w:left="851"/>
        <w:rPr>
          <w:sz w:val="24"/>
          <w:szCs w:val="24"/>
        </w:rPr>
      </w:pPr>
      <w:r w:rsidRPr="005A1DB4">
        <w:rPr>
          <w:sz w:val="24"/>
          <w:szCs w:val="24"/>
        </w:rPr>
        <w:t>Der er ingen andre prækliniske sikkerhedsdata af relevans for den ordinerende læge ud over de sikkerhedsdata, der stammer fra patienteksponeringen og allerede er medtaget i andre af produktresuméets punkter.</w:t>
      </w:r>
    </w:p>
    <w:p w14:paraId="6A8D6EC9" w14:textId="77777777" w:rsidR="009260DE" w:rsidRPr="00D707F0" w:rsidRDefault="009260DE" w:rsidP="009260DE">
      <w:pPr>
        <w:tabs>
          <w:tab w:val="left" w:pos="851"/>
        </w:tabs>
        <w:ind w:left="851"/>
        <w:rPr>
          <w:sz w:val="24"/>
          <w:szCs w:val="24"/>
        </w:rPr>
      </w:pPr>
    </w:p>
    <w:p w14:paraId="4EDFFDFE" w14:textId="77777777" w:rsidR="009260DE" w:rsidRPr="00D707F0" w:rsidRDefault="009260DE" w:rsidP="009260DE">
      <w:pPr>
        <w:tabs>
          <w:tab w:val="left" w:pos="851"/>
        </w:tabs>
        <w:ind w:left="851"/>
        <w:rPr>
          <w:sz w:val="24"/>
          <w:szCs w:val="24"/>
        </w:rPr>
      </w:pPr>
    </w:p>
    <w:p w14:paraId="021FE579" w14:textId="77777777" w:rsidR="009260DE" w:rsidRPr="00D707F0" w:rsidRDefault="009260DE" w:rsidP="009260DE">
      <w:pPr>
        <w:tabs>
          <w:tab w:val="left" w:pos="851"/>
        </w:tabs>
        <w:ind w:left="851" w:hanging="851"/>
        <w:rPr>
          <w:b/>
          <w:sz w:val="24"/>
          <w:szCs w:val="24"/>
        </w:rPr>
      </w:pPr>
      <w:r w:rsidRPr="00D707F0">
        <w:rPr>
          <w:b/>
          <w:sz w:val="24"/>
          <w:szCs w:val="24"/>
        </w:rPr>
        <w:t>6.</w:t>
      </w:r>
      <w:r w:rsidRPr="00D707F0">
        <w:rPr>
          <w:b/>
          <w:sz w:val="24"/>
          <w:szCs w:val="24"/>
        </w:rPr>
        <w:tab/>
        <w:t>FARMACEUTISKE OPLYSNINGER</w:t>
      </w:r>
    </w:p>
    <w:p w14:paraId="1CB31186" w14:textId="77777777" w:rsidR="009260DE" w:rsidRPr="00D707F0" w:rsidRDefault="009260DE" w:rsidP="009260DE">
      <w:pPr>
        <w:tabs>
          <w:tab w:val="left" w:pos="851"/>
        </w:tabs>
        <w:ind w:left="851"/>
        <w:rPr>
          <w:sz w:val="24"/>
          <w:szCs w:val="24"/>
        </w:rPr>
      </w:pPr>
    </w:p>
    <w:p w14:paraId="1CB40EDC" w14:textId="77777777" w:rsidR="009260DE" w:rsidRPr="00D707F0" w:rsidRDefault="009260DE" w:rsidP="009260DE">
      <w:pPr>
        <w:tabs>
          <w:tab w:val="left" w:pos="851"/>
        </w:tabs>
        <w:ind w:left="851" w:hanging="851"/>
        <w:rPr>
          <w:b/>
          <w:sz w:val="24"/>
          <w:szCs w:val="24"/>
        </w:rPr>
      </w:pPr>
      <w:r w:rsidRPr="00D707F0">
        <w:rPr>
          <w:b/>
          <w:sz w:val="24"/>
          <w:szCs w:val="24"/>
        </w:rPr>
        <w:t>6.1</w:t>
      </w:r>
      <w:r w:rsidRPr="00D707F0">
        <w:rPr>
          <w:b/>
          <w:sz w:val="24"/>
          <w:szCs w:val="24"/>
        </w:rPr>
        <w:tab/>
        <w:t>Hjælpestoffer</w:t>
      </w:r>
    </w:p>
    <w:p w14:paraId="46B61ADF" w14:textId="77777777" w:rsidR="005A1DB4" w:rsidRPr="005A1DB4" w:rsidRDefault="005A1DB4" w:rsidP="00324A08">
      <w:pPr>
        <w:ind w:left="851"/>
        <w:rPr>
          <w:sz w:val="24"/>
          <w:szCs w:val="24"/>
        </w:rPr>
      </w:pPr>
      <w:r w:rsidRPr="005A1DB4">
        <w:rPr>
          <w:sz w:val="24"/>
          <w:szCs w:val="24"/>
        </w:rPr>
        <w:t>Ingen.</w:t>
      </w:r>
    </w:p>
    <w:p w14:paraId="2FC0EA13" w14:textId="77777777" w:rsidR="009260DE" w:rsidRPr="00D707F0" w:rsidRDefault="009260DE" w:rsidP="009260DE">
      <w:pPr>
        <w:tabs>
          <w:tab w:val="left" w:pos="851"/>
        </w:tabs>
        <w:ind w:left="851"/>
        <w:rPr>
          <w:sz w:val="24"/>
          <w:szCs w:val="24"/>
        </w:rPr>
      </w:pPr>
    </w:p>
    <w:p w14:paraId="16E0B75E" w14:textId="77777777" w:rsidR="009260DE" w:rsidRPr="00D707F0" w:rsidRDefault="009260DE" w:rsidP="009260DE">
      <w:pPr>
        <w:tabs>
          <w:tab w:val="left" w:pos="851"/>
        </w:tabs>
        <w:ind w:left="851" w:hanging="851"/>
        <w:rPr>
          <w:b/>
          <w:sz w:val="24"/>
          <w:szCs w:val="24"/>
        </w:rPr>
      </w:pPr>
      <w:r w:rsidRPr="00D707F0">
        <w:rPr>
          <w:b/>
          <w:sz w:val="24"/>
          <w:szCs w:val="24"/>
        </w:rPr>
        <w:t>6.2</w:t>
      </w:r>
      <w:r w:rsidRPr="00D707F0">
        <w:rPr>
          <w:b/>
          <w:sz w:val="24"/>
          <w:szCs w:val="24"/>
        </w:rPr>
        <w:tab/>
        <w:t>Uforligeligheder</w:t>
      </w:r>
    </w:p>
    <w:p w14:paraId="187BBAD9" w14:textId="77777777" w:rsidR="005A1DB4" w:rsidRPr="005A1DB4" w:rsidRDefault="005A1DB4" w:rsidP="00324A08">
      <w:pPr>
        <w:ind w:left="851"/>
        <w:rPr>
          <w:sz w:val="24"/>
          <w:szCs w:val="24"/>
        </w:rPr>
      </w:pPr>
      <w:r w:rsidRPr="005A1DB4">
        <w:rPr>
          <w:sz w:val="24"/>
          <w:szCs w:val="24"/>
        </w:rPr>
        <w:t xml:space="preserve">Dette lægemiddel må ikke blandes med andre lægemidler end dem, der er anført under pkt. 6.6. </w:t>
      </w:r>
    </w:p>
    <w:p w14:paraId="5515363A" w14:textId="77777777" w:rsidR="009260DE" w:rsidRPr="00D707F0" w:rsidRDefault="009260DE" w:rsidP="009260DE">
      <w:pPr>
        <w:tabs>
          <w:tab w:val="left" w:pos="851"/>
        </w:tabs>
        <w:ind w:left="851"/>
        <w:rPr>
          <w:sz w:val="24"/>
          <w:szCs w:val="24"/>
        </w:rPr>
      </w:pPr>
    </w:p>
    <w:p w14:paraId="29CE2A69" w14:textId="77777777" w:rsidR="009260DE" w:rsidRPr="00D707F0" w:rsidRDefault="009260DE" w:rsidP="009260DE">
      <w:pPr>
        <w:tabs>
          <w:tab w:val="left" w:pos="851"/>
        </w:tabs>
        <w:ind w:left="851" w:hanging="851"/>
        <w:rPr>
          <w:b/>
          <w:sz w:val="24"/>
          <w:szCs w:val="24"/>
        </w:rPr>
      </w:pPr>
      <w:r w:rsidRPr="00D707F0">
        <w:rPr>
          <w:b/>
          <w:sz w:val="24"/>
          <w:szCs w:val="24"/>
        </w:rPr>
        <w:t>6.3</w:t>
      </w:r>
      <w:r w:rsidRPr="00D707F0">
        <w:rPr>
          <w:b/>
          <w:sz w:val="24"/>
          <w:szCs w:val="24"/>
        </w:rPr>
        <w:tab/>
        <w:t>Opbevaringstid</w:t>
      </w:r>
    </w:p>
    <w:p w14:paraId="1AD95345" w14:textId="77777777" w:rsidR="00D707F0" w:rsidRPr="00D707F0" w:rsidRDefault="00D707F0" w:rsidP="00324A08">
      <w:pPr>
        <w:ind w:left="851"/>
        <w:rPr>
          <w:bCs/>
          <w:sz w:val="24"/>
          <w:szCs w:val="24"/>
        </w:rPr>
      </w:pPr>
    </w:p>
    <w:p w14:paraId="2613E857" w14:textId="0A2DD1E1" w:rsidR="005A1DB4" w:rsidRPr="005A1DB4" w:rsidRDefault="005A1DB4" w:rsidP="00324A08">
      <w:pPr>
        <w:ind w:left="851"/>
        <w:rPr>
          <w:b/>
          <w:bCs/>
          <w:sz w:val="24"/>
          <w:szCs w:val="24"/>
        </w:rPr>
      </w:pPr>
      <w:r w:rsidRPr="005A1DB4">
        <w:rPr>
          <w:b/>
          <w:sz w:val="24"/>
          <w:szCs w:val="24"/>
        </w:rPr>
        <w:t xml:space="preserve">Uåbnet: </w:t>
      </w:r>
    </w:p>
    <w:p w14:paraId="64C513B1" w14:textId="77777777" w:rsidR="005A1DB4" w:rsidRPr="005A1DB4" w:rsidRDefault="005A1DB4" w:rsidP="00324A08">
      <w:pPr>
        <w:ind w:left="851"/>
        <w:rPr>
          <w:sz w:val="24"/>
          <w:szCs w:val="24"/>
        </w:rPr>
      </w:pPr>
      <w:r w:rsidRPr="005A1DB4">
        <w:rPr>
          <w:sz w:val="24"/>
          <w:szCs w:val="24"/>
        </w:rPr>
        <w:t xml:space="preserve">2 år </w:t>
      </w:r>
    </w:p>
    <w:p w14:paraId="77914F14" w14:textId="77777777" w:rsidR="005A1DB4" w:rsidRPr="005A1DB4" w:rsidRDefault="005A1DB4" w:rsidP="00324A08">
      <w:pPr>
        <w:ind w:left="851"/>
        <w:rPr>
          <w:sz w:val="24"/>
          <w:szCs w:val="24"/>
        </w:rPr>
      </w:pPr>
    </w:p>
    <w:p w14:paraId="1C93B40B" w14:textId="77777777" w:rsidR="005A1DB4" w:rsidRPr="005A1DB4" w:rsidRDefault="005A1DB4" w:rsidP="00324A08">
      <w:pPr>
        <w:ind w:left="851"/>
        <w:rPr>
          <w:b/>
          <w:bCs/>
          <w:sz w:val="24"/>
          <w:szCs w:val="24"/>
        </w:rPr>
      </w:pPr>
      <w:r w:rsidRPr="005A1DB4">
        <w:rPr>
          <w:b/>
          <w:sz w:val="24"/>
          <w:szCs w:val="24"/>
        </w:rPr>
        <w:t xml:space="preserve">Efter </w:t>
      </w:r>
      <w:proofErr w:type="spellStart"/>
      <w:r w:rsidRPr="005A1DB4">
        <w:rPr>
          <w:b/>
          <w:sz w:val="24"/>
          <w:szCs w:val="24"/>
        </w:rPr>
        <w:t>rekonstitution</w:t>
      </w:r>
      <w:proofErr w:type="spellEnd"/>
      <w:r w:rsidRPr="005A1DB4">
        <w:rPr>
          <w:b/>
          <w:sz w:val="24"/>
          <w:szCs w:val="24"/>
        </w:rPr>
        <w:t>:</w:t>
      </w:r>
    </w:p>
    <w:p w14:paraId="696ED48C" w14:textId="77777777" w:rsidR="005A1DB4" w:rsidRPr="005A1DB4" w:rsidRDefault="005A1DB4" w:rsidP="00324A08">
      <w:pPr>
        <w:ind w:left="851"/>
        <w:rPr>
          <w:sz w:val="24"/>
          <w:szCs w:val="24"/>
        </w:rPr>
      </w:pPr>
      <w:r w:rsidRPr="005A1DB4">
        <w:rPr>
          <w:sz w:val="24"/>
          <w:szCs w:val="24"/>
        </w:rPr>
        <w:t xml:space="preserve">Hydrolyse af </w:t>
      </w:r>
      <w:proofErr w:type="spellStart"/>
      <w:r w:rsidRPr="005A1DB4">
        <w:rPr>
          <w:sz w:val="24"/>
          <w:szCs w:val="24"/>
        </w:rPr>
        <w:t>colistimethat</w:t>
      </w:r>
      <w:proofErr w:type="spellEnd"/>
      <w:r w:rsidRPr="005A1DB4">
        <w:rPr>
          <w:sz w:val="24"/>
          <w:szCs w:val="24"/>
        </w:rPr>
        <w:t xml:space="preserve"> øges signifikant ved </w:t>
      </w:r>
      <w:proofErr w:type="spellStart"/>
      <w:r w:rsidRPr="005A1DB4">
        <w:rPr>
          <w:sz w:val="24"/>
          <w:szCs w:val="24"/>
        </w:rPr>
        <w:t>rekonstitution</w:t>
      </w:r>
      <w:proofErr w:type="spellEnd"/>
      <w:r w:rsidRPr="005A1DB4">
        <w:rPr>
          <w:sz w:val="24"/>
          <w:szCs w:val="24"/>
        </w:rPr>
        <w:t xml:space="preserve"> og fortynding under den kritiske micellekoncentration på cirka 80.000 IE pr. ml. </w:t>
      </w:r>
    </w:p>
    <w:p w14:paraId="5BDCF4CC" w14:textId="77777777" w:rsidR="005A1DB4" w:rsidRPr="005A1DB4" w:rsidRDefault="005A1DB4" w:rsidP="00324A08">
      <w:pPr>
        <w:ind w:left="851"/>
        <w:rPr>
          <w:sz w:val="24"/>
          <w:szCs w:val="24"/>
        </w:rPr>
      </w:pPr>
      <w:r w:rsidRPr="005A1DB4">
        <w:rPr>
          <w:sz w:val="24"/>
          <w:szCs w:val="24"/>
        </w:rPr>
        <w:t xml:space="preserve">Opløsninger under denne koncentration skal anvendes med det samme. </w:t>
      </w:r>
    </w:p>
    <w:p w14:paraId="46A80C34" w14:textId="77777777" w:rsidR="005A1DB4" w:rsidRPr="005A1DB4" w:rsidRDefault="005A1DB4" w:rsidP="00324A08">
      <w:pPr>
        <w:ind w:left="851"/>
        <w:rPr>
          <w:sz w:val="24"/>
          <w:szCs w:val="24"/>
        </w:rPr>
      </w:pPr>
    </w:p>
    <w:p w14:paraId="37E8F56B" w14:textId="77777777" w:rsidR="005A1DB4" w:rsidRPr="005A1DB4" w:rsidRDefault="005A1DB4" w:rsidP="00324A08">
      <w:pPr>
        <w:ind w:left="851"/>
        <w:rPr>
          <w:sz w:val="24"/>
          <w:szCs w:val="24"/>
        </w:rPr>
      </w:pPr>
      <w:r w:rsidRPr="005A1DB4">
        <w:rPr>
          <w:sz w:val="24"/>
          <w:szCs w:val="24"/>
        </w:rPr>
        <w:t xml:space="preserve">For opløsninger til </w:t>
      </w:r>
      <w:proofErr w:type="spellStart"/>
      <w:r w:rsidRPr="005A1DB4">
        <w:rPr>
          <w:sz w:val="24"/>
          <w:szCs w:val="24"/>
        </w:rPr>
        <w:t>nebulisering</w:t>
      </w:r>
      <w:proofErr w:type="spellEnd"/>
      <w:r w:rsidRPr="005A1DB4">
        <w:rPr>
          <w:sz w:val="24"/>
          <w:szCs w:val="24"/>
        </w:rPr>
        <w:t xml:space="preserve"> er kemisk og fysisk brugsstabilitet af </w:t>
      </w:r>
      <w:proofErr w:type="spellStart"/>
      <w:r w:rsidRPr="005A1DB4">
        <w:rPr>
          <w:sz w:val="24"/>
          <w:szCs w:val="24"/>
        </w:rPr>
        <w:t>rekonstitueret</w:t>
      </w:r>
      <w:proofErr w:type="spellEnd"/>
      <w:r w:rsidRPr="005A1DB4">
        <w:rPr>
          <w:sz w:val="24"/>
          <w:szCs w:val="24"/>
        </w:rPr>
        <w:t xml:space="preserve"> opløsning i det oprindelige hætteglas med en koncentration på ≥ 80.000 IE/ml påvist i 24 timer ved 2 til 8 ºC. </w:t>
      </w:r>
    </w:p>
    <w:p w14:paraId="7F1BCB21" w14:textId="77777777" w:rsidR="005A1DB4" w:rsidRPr="005A1DB4" w:rsidRDefault="005A1DB4" w:rsidP="00324A08">
      <w:pPr>
        <w:ind w:left="851"/>
        <w:rPr>
          <w:sz w:val="24"/>
          <w:szCs w:val="24"/>
        </w:rPr>
      </w:pPr>
    </w:p>
    <w:p w14:paraId="684CB935" w14:textId="77777777" w:rsidR="005A1DB4" w:rsidRPr="005A1DB4" w:rsidRDefault="005A1DB4" w:rsidP="00324A08">
      <w:pPr>
        <w:ind w:left="851"/>
        <w:rPr>
          <w:sz w:val="24"/>
          <w:szCs w:val="24"/>
        </w:rPr>
      </w:pPr>
      <w:r w:rsidRPr="005A1DB4">
        <w:rPr>
          <w:sz w:val="24"/>
          <w:szCs w:val="24"/>
        </w:rPr>
        <w:t>Fra et mikrobiologisk synspunkt skal produktet anvendes med det samme, medmindre metoden til anbrud/</w:t>
      </w:r>
      <w:proofErr w:type="spellStart"/>
      <w:r w:rsidRPr="005A1DB4">
        <w:rPr>
          <w:sz w:val="24"/>
          <w:szCs w:val="24"/>
        </w:rPr>
        <w:t>rekonstitution</w:t>
      </w:r>
      <w:proofErr w:type="spellEnd"/>
      <w:r w:rsidRPr="005A1DB4">
        <w:rPr>
          <w:sz w:val="24"/>
          <w:szCs w:val="24"/>
        </w:rPr>
        <w:t>/fortynding udelukker risikoen for mikrobiel kontaminering.</w:t>
      </w:r>
    </w:p>
    <w:p w14:paraId="626A08C8" w14:textId="77777777" w:rsidR="005A1DB4" w:rsidRPr="005A1DB4" w:rsidRDefault="005A1DB4" w:rsidP="00324A08">
      <w:pPr>
        <w:ind w:left="851"/>
        <w:rPr>
          <w:sz w:val="24"/>
          <w:szCs w:val="24"/>
        </w:rPr>
      </w:pPr>
      <w:r w:rsidRPr="005A1DB4">
        <w:rPr>
          <w:sz w:val="24"/>
          <w:szCs w:val="24"/>
        </w:rPr>
        <w:t xml:space="preserve">Hvis produktet ikke anvendes med det samme, er opbevaringstider og -betingelser brugerens ansvar. </w:t>
      </w:r>
    </w:p>
    <w:p w14:paraId="0D3DF6A2" w14:textId="77777777" w:rsidR="009260DE" w:rsidRPr="00D707F0" w:rsidRDefault="009260DE" w:rsidP="009260DE">
      <w:pPr>
        <w:tabs>
          <w:tab w:val="left" w:pos="851"/>
        </w:tabs>
        <w:ind w:left="851"/>
        <w:rPr>
          <w:sz w:val="24"/>
          <w:szCs w:val="24"/>
        </w:rPr>
      </w:pPr>
    </w:p>
    <w:p w14:paraId="1D2B5435" w14:textId="77777777" w:rsidR="009260DE" w:rsidRPr="00D707F0" w:rsidRDefault="009260DE" w:rsidP="009260DE">
      <w:pPr>
        <w:tabs>
          <w:tab w:val="left" w:pos="851"/>
        </w:tabs>
        <w:ind w:left="851" w:hanging="851"/>
        <w:rPr>
          <w:b/>
          <w:sz w:val="24"/>
          <w:szCs w:val="24"/>
        </w:rPr>
      </w:pPr>
      <w:r w:rsidRPr="00D707F0">
        <w:rPr>
          <w:b/>
          <w:sz w:val="24"/>
          <w:szCs w:val="24"/>
        </w:rPr>
        <w:t>6.4</w:t>
      </w:r>
      <w:r w:rsidRPr="00D707F0">
        <w:rPr>
          <w:b/>
          <w:sz w:val="24"/>
          <w:szCs w:val="24"/>
        </w:rPr>
        <w:tab/>
        <w:t>Særlige opbevaringsforhold</w:t>
      </w:r>
    </w:p>
    <w:p w14:paraId="0342EDF6" w14:textId="77777777" w:rsidR="005A1DB4" w:rsidRPr="005A1DB4" w:rsidRDefault="005A1DB4" w:rsidP="00324A08">
      <w:pPr>
        <w:ind w:left="851"/>
        <w:rPr>
          <w:sz w:val="24"/>
          <w:szCs w:val="24"/>
        </w:rPr>
      </w:pPr>
      <w:r w:rsidRPr="005A1DB4">
        <w:rPr>
          <w:sz w:val="24"/>
          <w:szCs w:val="24"/>
        </w:rPr>
        <w:t>Dette lægemiddel kræver ingen særlige forholdsregler vedrørende opbevaringen.</w:t>
      </w:r>
    </w:p>
    <w:p w14:paraId="39AF9B02" w14:textId="77777777" w:rsidR="005A1DB4" w:rsidRPr="005A1DB4" w:rsidRDefault="005A1DB4" w:rsidP="00324A08">
      <w:pPr>
        <w:ind w:left="851"/>
        <w:rPr>
          <w:sz w:val="24"/>
          <w:szCs w:val="24"/>
        </w:rPr>
      </w:pPr>
    </w:p>
    <w:p w14:paraId="20DA6EC0" w14:textId="77777777" w:rsidR="005A1DB4" w:rsidRPr="005A1DB4" w:rsidRDefault="005A1DB4" w:rsidP="00324A08">
      <w:pPr>
        <w:ind w:left="851"/>
        <w:rPr>
          <w:sz w:val="24"/>
          <w:szCs w:val="24"/>
        </w:rPr>
      </w:pPr>
      <w:r w:rsidRPr="005A1DB4">
        <w:rPr>
          <w:sz w:val="24"/>
          <w:szCs w:val="24"/>
        </w:rPr>
        <w:t xml:space="preserve">Opbevaringsforhold efter </w:t>
      </w:r>
      <w:proofErr w:type="spellStart"/>
      <w:r w:rsidRPr="005A1DB4">
        <w:rPr>
          <w:sz w:val="24"/>
          <w:szCs w:val="24"/>
        </w:rPr>
        <w:t>rekonstitution</w:t>
      </w:r>
      <w:proofErr w:type="spellEnd"/>
      <w:r w:rsidRPr="005A1DB4">
        <w:rPr>
          <w:sz w:val="24"/>
          <w:szCs w:val="24"/>
        </w:rPr>
        <w:t xml:space="preserve"> af lægemidlet, se pkt. 6.3. </w:t>
      </w:r>
    </w:p>
    <w:p w14:paraId="169E2AD8" w14:textId="77777777" w:rsidR="009260DE" w:rsidRPr="00D707F0" w:rsidRDefault="009260DE" w:rsidP="009260DE">
      <w:pPr>
        <w:tabs>
          <w:tab w:val="left" w:pos="851"/>
        </w:tabs>
        <w:ind w:left="851"/>
        <w:rPr>
          <w:sz w:val="24"/>
          <w:szCs w:val="24"/>
        </w:rPr>
      </w:pPr>
    </w:p>
    <w:p w14:paraId="4CDE5A17" w14:textId="77777777" w:rsidR="009260DE" w:rsidRPr="00D707F0" w:rsidRDefault="009260DE" w:rsidP="009260DE">
      <w:pPr>
        <w:tabs>
          <w:tab w:val="left" w:pos="851"/>
        </w:tabs>
        <w:ind w:left="851" w:hanging="851"/>
        <w:rPr>
          <w:b/>
          <w:sz w:val="24"/>
          <w:szCs w:val="24"/>
        </w:rPr>
      </w:pPr>
      <w:r w:rsidRPr="00D707F0">
        <w:rPr>
          <w:b/>
          <w:sz w:val="24"/>
          <w:szCs w:val="24"/>
        </w:rPr>
        <w:t>6.5</w:t>
      </w:r>
      <w:r w:rsidRPr="00D707F0">
        <w:rPr>
          <w:b/>
          <w:sz w:val="24"/>
          <w:szCs w:val="24"/>
        </w:rPr>
        <w:tab/>
        <w:t>Emballagetype og pakningsstørrelser</w:t>
      </w:r>
    </w:p>
    <w:p w14:paraId="6E23000D" w14:textId="0C8CA318" w:rsidR="005A1DB4" w:rsidRPr="005A1DB4" w:rsidRDefault="005A1DB4" w:rsidP="00324A08">
      <w:pPr>
        <w:ind w:left="851"/>
        <w:rPr>
          <w:sz w:val="24"/>
          <w:szCs w:val="24"/>
        </w:rPr>
      </w:pPr>
      <w:r w:rsidRPr="005A1DB4">
        <w:rPr>
          <w:sz w:val="24"/>
          <w:szCs w:val="24"/>
        </w:rPr>
        <w:t>Produktet leveres i type I</w:t>
      </w:r>
      <w:r w:rsidRPr="005A1DB4">
        <w:rPr>
          <w:sz w:val="24"/>
          <w:szCs w:val="24"/>
        </w:rPr>
        <w:noBreakHyphen/>
        <w:t>hætteglas af klart glas, 10 ml, der er forseglet med en type I</w:t>
      </w:r>
      <w:r w:rsidRPr="005A1DB4">
        <w:rPr>
          <w:sz w:val="24"/>
          <w:szCs w:val="24"/>
        </w:rPr>
        <w:noBreakHyphen/>
        <w:t xml:space="preserve">gummiprop af </w:t>
      </w:r>
      <w:proofErr w:type="spellStart"/>
      <w:r w:rsidRPr="005A1DB4">
        <w:rPr>
          <w:sz w:val="24"/>
          <w:szCs w:val="24"/>
        </w:rPr>
        <w:t>silikoniseret</w:t>
      </w:r>
      <w:proofErr w:type="spellEnd"/>
      <w:r w:rsidRPr="005A1DB4">
        <w:rPr>
          <w:sz w:val="24"/>
          <w:szCs w:val="24"/>
        </w:rPr>
        <w:t xml:space="preserve"> </w:t>
      </w:r>
      <w:proofErr w:type="spellStart"/>
      <w:r w:rsidRPr="005A1DB4">
        <w:rPr>
          <w:sz w:val="24"/>
          <w:szCs w:val="24"/>
        </w:rPr>
        <w:t>chlorbutyl</w:t>
      </w:r>
      <w:proofErr w:type="spellEnd"/>
      <w:r w:rsidRPr="005A1DB4">
        <w:rPr>
          <w:sz w:val="24"/>
          <w:szCs w:val="24"/>
        </w:rPr>
        <w:t xml:space="preserve"> og beskyttet af en 20 mm-afrivnings</w:t>
      </w:r>
      <w:r w:rsidR="00F23072">
        <w:rPr>
          <w:sz w:val="24"/>
          <w:szCs w:val="24"/>
        </w:rPr>
        <w:softHyphen/>
      </w:r>
      <w:r w:rsidRPr="005A1DB4">
        <w:rPr>
          <w:sz w:val="24"/>
          <w:szCs w:val="24"/>
        </w:rPr>
        <w:t xml:space="preserve">forsegling af aluminium med en rød flip-top af plast. </w:t>
      </w:r>
    </w:p>
    <w:p w14:paraId="4FC5F03A" w14:textId="77777777" w:rsidR="005A1DB4" w:rsidRPr="005A1DB4" w:rsidRDefault="005A1DB4" w:rsidP="00324A08">
      <w:pPr>
        <w:ind w:left="851"/>
        <w:rPr>
          <w:sz w:val="24"/>
          <w:szCs w:val="24"/>
        </w:rPr>
      </w:pPr>
    </w:p>
    <w:p w14:paraId="779DC47F" w14:textId="77777777" w:rsidR="005A1DB4" w:rsidRPr="005A1DB4" w:rsidRDefault="005A1DB4" w:rsidP="00324A08">
      <w:pPr>
        <w:ind w:left="851"/>
        <w:rPr>
          <w:sz w:val="24"/>
          <w:szCs w:val="24"/>
        </w:rPr>
      </w:pPr>
      <w:r w:rsidRPr="005A1DB4">
        <w:rPr>
          <w:sz w:val="24"/>
          <w:szCs w:val="24"/>
        </w:rPr>
        <w:t xml:space="preserve">Produktet leveres i pakningsstørrelser på 10 hætteglas. </w:t>
      </w:r>
    </w:p>
    <w:p w14:paraId="027A0AEC" w14:textId="77777777" w:rsidR="009260DE" w:rsidRPr="00D707F0" w:rsidRDefault="009260DE" w:rsidP="009260DE">
      <w:pPr>
        <w:tabs>
          <w:tab w:val="left" w:pos="851"/>
        </w:tabs>
        <w:ind w:left="851"/>
        <w:rPr>
          <w:sz w:val="24"/>
          <w:szCs w:val="24"/>
        </w:rPr>
      </w:pPr>
    </w:p>
    <w:p w14:paraId="1F019FF5" w14:textId="77777777" w:rsidR="009260DE" w:rsidRPr="00D707F0" w:rsidRDefault="009260DE" w:rsidP="009260DE">
      <w:pPr>
        <w:tabs>
          <w:tab w:val="left" w:pos="851"/>
        </w:tabs>
        <w:ind w:left="851" w:hanging="851"/>
        <w:rPr>
          <w:b/>
          <w:sz w:val="24"/>
          <w:szCs w:val="24"/>
        </w:rPr>
      </w:pPr>
      <w:r w:rsidRPr="00D707F0">
        <w:rPr>
          <w:b/>
          <w:sz w:val="24"/>
          <w:szCs w:val="24"/>
        </w:rPr>
        <w:t>6.6</w:t>
      </w:r>
      <w:r w:rsidRPr="00D707F0">
        <w:rPr>
          <w:b/>
          <w:sz w:val="24"/>
          <w:szCs w:val="24"/>
        </w:rPr>
        <w:tab/>
        <w:t xml:space="preserve">Regler for </w:t>
      </w:r>
      <w:r w:rsidR="00BD7931" w:rsidRPr="00D707F0">
        <w:rPr>
          <w:b/>
          <w:sz w:val="24"/>
          <w:szCs w:val="24"/>
        </w:rPr>
        <w:t>bortskaffelse</w:t>
      </w:r>
      <w:r w:rsidRPr="00D707F0">
        <w:rPr>
          <w:b/>
          <w:sz w:val="24"/>
          <w:szCs w:val="24"/>
        </w:rPr>
        <w:t xml:space="preserve"> og anden håndtering</w:t>
      </w:r>
    </w:p>
    <w:p w14:paraId="26B20A6C" w14:textId="77777777" w:rsidR="005A1DB4" w:rsidRPr="005A1DB4" w:rsidRDefault="005A1DB4" w:rsidP="00324A08">
      <w:pPr>
        <w:ind w:left="851"/>
        <w:rPr>
          <w:sz w:val="24"/>
          <w:szCs w:val="24"/>
        </w:rPr>
      </w:pPr>
      <w:r w:rsidRPr="005A1DB4">
        <w:rPr>
          <w:sz w:val="24"/>
          <w:szCs w:val="24"/>
        </w:rPr>
        <w:t xml:space="preserve">Kun til engangsbrug. Eventuel overskydende opløsning skal kasseres. </w:t>
      </w:r>
    </w:p>
    <w:p w14:paraId="1746A1DC" w14:textId="77777777" w:rsidR="005A1DB4" w:rsidRPr="005A1DB4" w:rsidRDefault="005A1DB4" w:rsidP="00324A08">
      <w:pPr>
        <w:ind w:left="851"/>
        <w:rPr>
          <w:sz w:val="24"/>
          <w:szCs w:val="24"/>
        </w:rPr>
      </w:pPr>
      <w:r w:rsidRPr="005A1DB4">
        <w:rPr>
          <w:sz w:val="24"/>
          <w:szCs w:val="24"/>
        </w:rPr>
        <w:t xml:space="preserve">Opløsningen skal inspiceres visuelt for partikler og misfarvning inden administration. Opløsningen må kun bruges, hvis den er klar og partikelfri. </w:t>
      </w:r>
    </w:p>
    <w:p w14:paraId="0BBC397C" w14:textId="77777777" w:rsidR="005A1DB4" w:rsidRPr="005A1DB4" w:rsidRDefault="005A1DB4" w:rsidP="00324A08">
      <w:pPr>
        <w:ind w:left="851"/>
        <w:rPr>
          <w:sz w:val="24"/>
          <w:szCs w:val="24"/>
        </w:rPr>
      </w:pPr>
    </w:p>
    <w:p w14:paraId="4EF6053D" w14:textId="77777777" w:rsidR="005A1DB4" w:rsidRPr="005A1DB4" w:rsidRDefault="005A1DB4" w:rsidP="00324A08">
      <w:pPr>
        <w:ind w:left="851"/>
        <w:rPr>
          <w:sz w:val="24"/>
          <w:szCs w:val="24"/>
        </w:rPr>
      </w:pPr>
      <w:r w:rsidRPr="005A1DB4">
        <w:rPr>
          <w:sz w:val="24"/>
          <w:szCs w:val="24"/>
        </w:rPr>
        <w:t xml:space="preserve">Ved inhalation med </w:t>
      </w:r>
      <w:proofErr w:type="spellStart"/>
      <w:r w:rsidRPr="005A1DB4">
        <w:rPr>
          <w:sz w:val="24"/>
          <w:szCs w:val="24"/>
        </w:rPr>
        <w:t>nebulisator</w:t>
      </w:r>
      <w:proofErr w:type="spellEnd"/>
      <w:r w:rsidRPr="005A1DB4">
        <w:rPr>
          <w:sz w:val="24"/>
          <w:szCs w:val="24"/>
        </w:rPr>
        <w:t xml:space="preserve"> skal indholdet af hætteglasset </w:t>
      </w:r>
      <w:proofErr w:type="spellStart"/>
      <w:r w:rsidRPr="005A1DB4">
        <w:rPr>
          <w:sz w:val="24"/>
          <w:szCs w:val="24"/>
        </w:rPr>
        <w:t>rekonstitueres</w:t>
      </w:r>
      <w:proofErr w:type="spellEnd"/>
      <w:r w:rsidRPr="005A1DB4">
        <w:rPr>
          <w:sz w:val="24"/>
          <w:szCs w:val="24"/>
        </w:rPr>
        <w:t xml:space="preserve"> med </w:t>
      </w:r>
      <w:proofErr w:type="spellStart"/>
      <w:r w:rsidRPr="005A1DB4">
        <w:rPr>
          <w:sz w:val="24"/>
          <w:szCs w:val="24"/>
        </w:rPr>
        <w:t>natriumchlorid</w:t>
      </w:r>
      <w:proofErr w:type="spellEnd"/>
      <w:r w:rsidRPr="005A1DB4">
        <w:rPr>
          <w:sz w:val="24"/>
          <w:szCs w:val="24"/>
        </w:rPr>
        <w:t xml:space="preserve"> 9 mg/ml (0,9 %) opløsning.</w:t>
      </w:r>
    </w:p>
    <w:p w14:paraId="4F33E208" w14:textId="6F4C4740" w:rsidR="005A1DB4" w:rsidRPr="005A1DB4" w:rsidRDefault="005A1DB4" w:rsidP="00324A08">
      <w:pPr>
        <w:ind w:left="851"/>
        <w:rPr>
          <w:sz w:val="24"/>
          <w:szCs w:val="24"/>
        </w:rPr>
      </w:pPr>
      <w:proofErr w:type="spellStart"/>
      <w:r w:rsidRPr="005A1DB4">
        <w:rPr>
          <w:sz w:val="24"/>
          <w:szCs w:val="24"/>
        </w:rPr>
        <w:t>Colistimethatnatrium</w:t>
      </w:r>
      <w:proofErr w:type="spellEnd"/>
      <w:r w:rsidRPr="005A1DB4">
        <w:rPr>
          <w:sz w:val="24"/>
          <w:szCs w:val="24"/>
        </w:rPr>
        <w:t xml:space="preserve"> er meget opløseligt i </w:t>
      </w:r>
      <w:proofErr w:type="spellStart"/>
      <w:r w:rsidRPr="005A1DB4">
        <w:rPr>
          <w:sz w:val="24"/>
          <w:szCs w:val="24"/>
        </w:rPr>
        <w:t>rekonstitutionsmediet</w:t>
      </w:r>
      <w:proofErr w:type="spellEnd"/>
      <w:r w:rsidRPr="005A1DB4">
        <w:rPr>
          <w:sz w:val="24"/>
          <w:szCs w:val="24"/>
        </w:rPr>
        <w:t xml:space="preserve">. Den anbefalede teknik til opløsning af lægemidlet er tilsætning af 3 ml isotonisk </w:t>
      </w:r>
      <w:proofErr w:type="spellStart"/>
      <w:r w:rsidRPr="005A1DB4">
        <w:rPr>
          <w:sz w:val="24"/>
          <w:szCs w:val="24"/>
        </w:rPr>
        <w:t>natriumchloridopløsning</w:t>
      </w:r>
      <w:proofErr w:type="spellEnd"/>
      <w:r w:rsidRPr="005A1DB4">
        <w:rPr>
          <w:sz w:val="24"/>
          <w:szCs w:val="24"/>
        </w:rPr>
        <w:t xml:space="preserve"> (0,9 % vægt/vægt) til hætteglasset med </w:t>
      </w:r>
      <w:proofErr w:type="spellStart"/>
      <w:r w:rsidRPr="005A1DB4">
        <w:rPr>
          <w:sz w:val="24"/>
          <w:szCs w:val="24"/>
        </w:rPr>
        <w:t>Colistimethatnatrium</w:t>
      </w:r>
      <w:proofErr w:type="spellEnd"/>
      <w:r w:rsidRPr="005A1DB4">
        <w:rPr>
          <w:sz w:val="24"/>
          <w:szCs w:val="24"/>
        </w:rPr>
        <w:t xml:space="preserve"> </w:t>
      </w:r>
      <w:r w:rsidR="00D707F0">
        <w:rPr>
          <w:sz w:val="24"/>
          <w:szCs w:val="24"/>
        </w:rPr>
        <w:t>"</w:t>
      </w:r>
      <w:proofErr w:type="spellStart"/>
      <w:r w:rsidR="00D707F0">
        <w:rPr>
          <w:sz w:val="24"/>
          <w:szCs w:val="24"/>
        </w:rPr>
        <w:t>Xellia</w:t>
      </w:r>
      <w:proofErr w:type="spellEnd"/>
      <w:r w:rsidR="00D707F0">
        <w:rPr>
          <w:sz w:val="24"/>
          <w:szCs w:val="24"/>
        </w:rPr>
        <w:t>"</w:t>
      </w:r>
      <w:r w:rsidRPr="005A1DB4">
        <w:rPr>
          <w:sz w:val="24"/>
          <w:szCs w:val="24"/>
        </w:rPr>
        <w:t xml:space="preserve"> 1 million IE ved forsigtig omrystning.</w:t>
      </w:r>
    </w:p>
    <w:p w14:paraId="147323D3" w14:textId="77777777" w:rsidR="005A1DB4" w:rsidRPr="005A1DB4" w:rsidRDefault="005A1DB4" w:rsidP="00324A08">
      <w:pPr>
        <w:ind w:left="851"/>
        <w:rPr>
          <w:sz w:val="24"/>
          <w:szCs w:val="24"/>
        </w:rPr>
      </w:pPr>
      <w:proofErr w:type="spellStart"/>
      <w:r w:rsidRPr="005A1DB4">
        <w:rPr>
          <w:sz w:val="24"/>
          <w:szCs w:val="24"/>
        </w:rPr>
        <w:t>Nebulisatorens</w:t>
      </w:r>
      <w:proofErr w:type="spellEnd"/>
      <w:r w:rsidRPr="005A1DB4">
        <w:rPr>
          <w:sz w:val="24"/>
          <w:szCs w:val="24"/>
        </w:rPr>
        <w:t xml:space="preserve"> udgang kan udluftes til fri luft, eller der kan monteres et filter. </w:t>
      </w:r>
      <w:proofErr w:type="spellStart"/>
      <w:r w:rsidRPr="005A1DB4">
        <w:rPr>
          <w:sz w:val="24"/>
          <w:szCs w:val="24"/>
        </w:rPr>
        <w:t>Nebulisering</w:t>
      </w:r>
      <w:proofErr w:type="spellEnd"/>
      <w:r w:rsidRPr="005A1DB4">
        <w:rPr>
          <w:sz w:val="24"/>
          <w:szCs w:val="24"/>
        </w:rPr>
        <w:t xml:space="preserve"> skal foregå i et lokale med god udluftning.</w:t>
      </w:r>
    </w:p>
    <w:p w14:paraId="2032241B" w14:textId="77777777" w:rsidR="005A1DB4" w:rsidRPr="005A1DB4" w:rsidRDefault="005A1DB4" w:rsidP="00324A08">
      <w:pPr>
        <w:ind w:left="851"/>
        <w:rPr>
          <w:sz w:val="24"/>
          <w:szCs w:val="24"/>
        </w:rPr>
      </w:pPr>
    </w:p>
    <w:p w14:paraId="3E9FDA1A" w14:textId="77777777" w:rsidR="005A1DB4" w:rsidRPr="005A1DB4" w:rsidRDefault="005A1DB4" w:rsidP="00324A08">
      <w:pPr>
        <w:ind w:left="851"/>
        <w:rPr>
          <w:sz w:val="24"/>
          <w:szCs w:val="24"/>
        </w:rPr>
      </w:pPr>
      <w:r w:rsidRPr="005A1DB4">
        <w:rPr>
          <w:sz w:val="24"/>
          <w:szCs w:val="24"/>
        </w:rPr>
        <w:t xml:space="preserve">Opløsningen skal anvendes umiddelbart efter </w:t>
      </w:r>
      <w:proofErr w:type="spellStart"/>
      <w:r w:rsidRPr="005A1DB4">
        <w:rPr>
          <w:sz w:val="24"/>
          <w:szCs w:val="24"/>
        </w:rPr>
        <w:t>rekonstitution</w:t>
      </w:r>
      <w:proofErr w:type="spellEnd"/>
      <w:r w:rsidRPr="005A1DB4">
        <w:rPr>
          <w:sz w:val="24"/>
          <w:szCs w:val="24"/>
        </w:rPr>
        <w:t xml:space="preserve"> (se pkt. 4.2). </w:t>
      </w:r>
    </w:p>
    <w:p w14:paraId="157EFD6D" w14:textId="77777777" w:rsidR="005A1DB4" w:rsidRPr="005A1DB4" w:rsidRDefault="005A1DB4" w:rsidP="00324A08">
      <w:pPr>
        <w:ind w:left="851"/>
        <w:rPr>
          <w:sz w:val="24"/>
          <w:szCs w:val="24"/>
        </w:rPr>
      </w:pPr>
    </w:p>
    <w:p w14:paraId="43CCFA3E" w14:textId="77777777" w:rsidR="005A1DB4" w:rsidRPr="005A1DB4" w:rsidRDefault="005A1DB4" w:rsidP="00324A08">
      <w:pPr>
        <w:ind w:left="851"/>
        <w:rPr>
          <w:sz w:val="24"/>
          <w:szCs w:val="24"/>
        </w:rPr>
      </w:pPr>
      <w:r w:rsidRPr="005A1DB4">
        <w:rPr>
          <w:sz w:val="24"/>
          <w:szCs w:val="24"/>
        </w:rPr>
        <w:t xml:space="preserve">Der findes oplysninger om det </w:t>
      </w:r>
      <w:proofErr w:type="spellStart"/>
      <w:r w:rsidRPr="005A1DB4">
        <w:rPr>
          <w:sz w:val="24"/>
          <w:szCs w:val="24"/>
        </w:rPr>
        <w:t>rekonstituerede</w:t>
      </w:r>
      <w:proofErr w:type="spellEnd"/>
      <w:r w:rsidRPr="005A1DB4">
        <w:rPr>
          <w:sz w:val="24"/>
          <w:szCs w:val="24"/>
        </w:rPr>
        <w:t xml:space="preserve"> produkts stabilitet i pkt. 6.3.</w:t>
      </w:r>
    </w:p>
    <w:p w14:paraId="29A8E67B" w14:textId="77777777" w:rsidR="005A1DB4" w:rsidRPr="005A1DB4" w:rsidRDefault="005A1DB4" w:rsidP="00324A08">
      <w:pPr>
        <w:ind w:left="851"/>
        <w:rPr>
          <w:sz w:val="24"/>
          <w:szCs w:val="24"/>
        </w:rPr>
      </w:pPr>
    </w:p>
    <w:p w14:paraId="4F9EBAE0" w14:textId="77777777" w:rsidR="005A1DB4" w:rsidRPr="005A1DB4" w:rsidRDefault="005A1DB4" w:rsidP="00324A08">
      <w:pPr>
        <w:ind w:left="851"/>
        <w:rPr>
          <w:sz w:val="24"/>
          <w:szCs w:val="24"/>
        </w:rPr>
      </w:pPr>
      <w:r w:rsidRPr="005A1DB4">
        <w:rPr>
          <w:sz w:val="24"/>
          <w:szCs w:val="24"/>
        </w:rPr>
        <w:t xml:space="preserve">Eventuelle rester af antibiotikaopløsninger samt alle materialer, der er blevet brugt til administration, skal bortskaffes i henhold til lokale retningslinjer. </w:t>
      </w:r>
    </w:p>
    <w:p w14:paraId="7E12E95F" w14:textId="77777777" w:rsidR="009260DE" w:rsidRPr="00D707F0" w:rsidRDefault="009260DE" w:rsidP="000730CA">
      <w:pPr>
        <w:tabs>
          <w:tab w:val="left" w:pos="851"/>
        </w:tabs>
        <w:ind w:left="851"/>
        <w:rPr>
          <w:sz w:val="24"/>
          <w:szCs w:val="24"/>
        </w:rPr>
      </w:pPr>
    </w:p>
    <w:p w14:paraId="368FDFD7" w14:textId="77777777" w:rsidR="009260DE" w:rsidRPr="00D707F0" w:rsidRDefault="009260DE" w:rsidP="009260DE">
      <w:pPr>
        <w:tabs>
          <w:tab w:val="left" w:pos="851"/>
        </w:tabs>
        <w:ind w:left="851" w:hanging="851"/>
        <w:rPr>
          <w:b/>
          <w:sz w:val="24"/>
          <w:szCs w:val="24"/>
        </w:rPr>
      </w:pPr>
      <w:r w:rsidRPr="00D707F0">
        <w:rPr>
          <w:b/>
          <w:sz w:val="24"/>
          <w:szCs w:val="24"/>
        </w:rPr>
        <w:t>7.</w:t>
      </w:r>
      <w:r w:rsidRPr="00D707F0">
        <w:rPr>
          <w:b/>
          <w:sz w:val="24"/>
          <w:szCs w:val="24"/>
        </w:rPr>
        <w:tab/>
        <w:t>INDEHAVER AF MARKEDSFØRINGSTILLADELSEN</w:t>
      </w:r>
    </w:p>
    <w:p w14:paraId="70566FC3" w14:textId="77777777" w:rsidR="005A1DB4" w:rsidRPr="005A1DB4" w:rsidRDefault="005A1DB4" w:rsidP="005A1DB4">
      <w:pPr>
        <w:tabs>
          <w:tab w:val="left" w:pos="851"/>
        </w:tabs>
        <w:ind w:left="851"/>
        <w:rPr>
          <w:sz w:val="24"/>
          <w:szCs w:val="24"/>
        </w:rPr>
      </w:pPr>
      <w:proofErr w:type="spellStart"/>
      <w:r w:rsidRPr="005A1DB4">
        <w:rPr>
          <w:sz w:val="24"/>
          <w:szCs w:val="24"/>
        </w:rPr>
        <w:t>Xellia</w:t>
      </w:r>
      <w:proofErr w:type="spellEnd"/>
      <w:r w:rsidRPr="005A1DB4">
        <w:rPr>
          <w:sz w:val="24"/>
          <w:szCs w:val="24"/>
        </w:rPr>
        <w:t xml:space="preserve"> Pharmaceuticals ApS</w:t>
      </w:r>
    </w:p>
    <w:p w14:paraId="3F0A751D" w14:textId="77777777" w:rsidR="005A1DB4" w:rsidRPr="005A1DB4" w:rsidRDefault="005A1DB4" w:rsidP="005A1DB4">
      <w:pPr>
        <w:tabs>
          <w:tab w:val="left" w:pos="851"/>
        </w:tabs>
        <w:ind w:left="851"/>
        <w:rPr>
          <w:sz w:val="24"/>
          <w:szCs w:val="24"/>
        </w:rPr>
      </w:pPr>
      <w:proofErr w:type="spellStart"/>
      <w:r w:rsidRPr="005A1DB4">
        <w:rPr>
          <w:sz w:val="24"/>
          <w:szCs w:val="24"/>
        </w:rPr>
        <w:t>Dalslandsgade</w:t>
      </w:r>
      <w:proofErr w:type="spellEnd"/>
      <w:r w:rsidRPr="005A1DB4">
        <w:rPr>
          <w:sz w:val="24"/>
          <w:szCs w:val="24"/>
        </w:rPr>
        <w:t xml:space="preserve"> 11</w:t>
      </w:r>
    </w:p>
    <w:p w14:paraId="0F3BBB52" w14:textId="77777777" w:rsidR="005A1DB4" w:rsidRPr="005A1DB4" w:rsidRDefault="005A1DB4" w:rsidP="005A1DB4">
      <w:pPr>
        <w:tabs>
          <w:tab w:val="left" w:pos="851"/>
        </w:tabs>
        <w:ind w:left="851"/>
        <w:rPr>
          <w:sz w:val="24"/>
          <w:szCs w:val="24"/>
        </w:rPr>
      </w:pPr>
      <w:r w:rsidRPr="005A1DB4">
        <w:rPr>
          <w:sz w:val="24"/>
          <w:szCs w:val="24"/>
        </w:rPr>
        <w:t>2300 København S</w:t>
      </w:r>
    </w:p>
    <w:p w14:paraId="66F9757F" w14:textId="77777777" w:rsidR="00641C65" w:rsidRPr="00D707F0" w:rsidRDefault="00641C65" w:rsidP="009260DE">
      <w:pPr>
        <w:tabs>
          <w:tab w:val="left" w:pos="851"/>
        </w:tabs>
        <w:ind w:left="851"/>
        <w:rPr>
          <w:sz w:val="24"/>
          <w:szCs w:val="24"/>
        </w:rPr>
      </w:pPr>
    </w:p>
    <w:p w14:paraId="0B1D8512" w14:textId="77777777" w:rsidR="009260DE" w:rsidRPr="00D707F0" w:rsidRDefault="009260DE" w:rsidP="009260DE">
      <w:pPr>
        <w:tabs>
          <w:tab w:val="left" w:pos="851"/>
        </w:tabs>
        <w:ind w:left="851" w:hanging="851"/>
        <w:rPr>
          <w:b/>
          <w:sz w:val="24"/>
          <w:szCs w:val="24"/>
        </w:rPr>
      </w:pPr>
      <w:r w:rsidRPr="00D707F0">
        <w:rPr>
          <w:b/>
          <w:sz w:val="24"/>
          <w:szCs w:val="24"/>
        </w:rPr>
        <w:t>8.</w:t>
      </w:r>
      <w:r w:rsidRPr="00D707F0">
        <w:rPr>
          <w:b/>
          <w:sz w:val="24"/>
          <w:szCs w:val="24"/>
        </w:rPr>
        <w:tab/>
        <w:t>MARKEDSFØRINGSTILLADELSESNUMMER (</w:t>
      </w:r>
      <w:r w:rsidR="00BF6243" w:rsidRPr="00D707F0">
        <w:rPr>
          <w:b/>
          <w:sz w:val="24"/>
          <w:szCs w:val="24"/>
        </w:rPr>
        <w:t>-</w:t>
      </w:r>
      <w:r w:rsidRPr="00D707F0">
        <w:rPr>
          <w:b/>
          <w:sz w:val="24"/>
          <w:szCs w:val="24"/>
        </w:rPr>
        <w:t>NUMRE)</w:t>
      </w:r>
    </w:p>
    <w:p w14:paraId="0686C7A7" w14:textId="445AAA3B" w:rsidR="009260DE" w:rsidRPr="00D707F0" w:rsidRDefault="005A1DB4" w:rsidP="009260DE">
      <w:pPr>
        <w:tabs>
          <w:tab w:val="left" w:pos="851"/>
        </w:tabs>
        <w:ind w:left="851"/>
        <w:rPr>
          <w:sz w:val="24"/>
          <w:szCs w:val="24"/>
        </w:rPr>
      </w:pPr>
      <w:r w:rsidRPr="00D707F0">
        <w:rPr>
          <w:sz w:val="24"/>
          <w:szCs w:val="24"/>
        </w:rPr>
        <w:t>72571</w:t>
      </w:r>
    </w:p>
    <w:p w14:paraId="7BA60969" w14:textId="77777777" w:rsidR="009260DE" w:rsidRPr="00D707F0" w:rsidRDefault="009260DE" w:rsidP="009260DE">
      <w:pPr>
        <w:tabs>
          <w:tab w:val="left" w:pos="851"/>
        </w:tabs>
        <w:ind w:left="851"/>
        <w:jc w:val="both"/>
        <w:rPr>
          <w:sz w:val="24"/>
          <w:szCs w:val="24"/>
        </w:rPr>
      </w:pPr>
    </w:p>
    <w:p w14:paraId="2BC406BE" w14:textId="77777777" w:rsidR="009260DE" w:rsidRPr="00D707F0" w:rsidRDefault="009260DE" w:rsidP="009260DE">
      <w:pPr>
        <w:tabs>
          <w:tab w:val="left" w:pos="851"/>
        </w:tabs>
        <w:ind w:left="851" w:hanging="851"/>
        <w:rPr>
          <w:b/>
          <w:sz w:val="24"/>
          <w:szCs w:val="24"/>
        </w:rPr>
      </w:pPr>
      <w:r w:rsidRPr="00D707F0">
        <w:rPr>
          <w:b/>
          <w:sz w:val="24"/>
          <w:szCs w:val="24"/>
        </w:rPr>
        <w:t>9.</w:t>
      </w:r>
      <w:r w:rsidRPr="00D707F0">
        <w:rPr>
          <w:b/>
          <w:sz w:val="24"/>
          <w:szCs w:val="24"/>
        </w:rPr>
        <w:tab/>
        <w:t>DATO FOR FØRSTE MARKEDSFØRINGSTILLADELSE</w:t>
      </w:r>
    </w:p>
    <w:p w14:paraId="1A437BC5" w14:textId="386C242B" w:rsidR="009260DE" w:rsidRPr="00D707F0" w:rsidRDefault="005A1DB4" w:rsidP="009260DE">
      <w:pPr>
        <w:tabs>
          <w:tab w:val="left" w:pos="851"/>
        </w:tabs>
        <w:ind w:left="851"/>
        <w:rPr>
          <w:sz w:val="24"/>
          <w:szCs w:val="24"/>
        </w:rPr>
      </w:pPr>
      <w:r w:rsidRPr="00D707F0">
        <w:rPr>
          <w:sz w:val="24"/>
          <w:szCs w:val="24"/>
        </w:rPr>
        <w:t>27. maj 2013</w:t>
      </w:r>
    </w:p>
    <w:p w14:paraId="29EFF8C1" w14:textId="77777777" w:rsidR="009260DE" w:rsidRPr="00D707F0" w:rsidRDefault="009260DE" w:rsidP="009260DE">
      <w:pPr>
        <w:tabs>
          <w:tab w:val="left" w:pos="851"/>
        </w:tabs>
        <w:ind w:left="851"/>
        <w:rPr>
          <w:sz w:val="24"/>
          <w:szCs w:val="24"/>
        </w:rPr>
      </w:pPr>
    </w:p>
    <w:p w14:paraId="7626C2D3" w14:textId="77777777" w:rsidR="009260DE" w:rsidRPr="00D707F0" w:rsidRDefault="009260DE" w:rsidP="009260DE">
      <w:pPr>
        <w:tabs>
          <w:tab w:val="left" w:pos="851"/>
        </w:tabs>
        <w:ind w:left="851" w:hanging="851"/>
        <w:rPr>
          <w:b/>
          <w:sz w:val="24"/>
          <w:szCs w:val="24"/>
        </w:rPr>
      </w:pPr>
      <w:r w:rsidRPr="00D707F0">
        <w:rPr>
          <w:b/>
          <w:sz w:val="24"/>
          <w:szCs w:val="24"/>
        </w:rPr>
        <w:t>10.</w:t>
      </w:r>
      <w:r w:rsidRPr="00D707F0">
        <w:rPr>
          <w:b/>
          <w:sz w:val="24"/>
          <w:szCs w:val="24"/>
        </w:rPr>
        <w:tab/>
        <w:t>DATO FOR ÆNDRING AF TEKSTEN</w:t>
      </w:r>
    </w:p>
    <w:p w14:paraId="480D1A21" w14:textId="4AA8871A" w:rsidR="009260DE" w:rsidRPr="00D707F0" w:rsidRDefault="005A1DB4" w:rsidP="009260DE">
      <w:pPr>
        <w:tabs>
          <w:tab w:val="left" w:pos="851"/>
        </w:tabs>
        <w:ind w:left="851"/>
        <w:rPr>
          <w:sz w:val="24"/>
          <w:szCs w:val="24"/>
        </w:rPr>
      </w:pPr>
      <w:r w:rsidRPr="00D707F0">
        <w:rPr>
          <w:sz w:val="24"/>
          <w:szCs w:val="24"/>
        </w:rPr>
        <w:t>-</w:t>
      </w:r>
    </w:p>
    <w:sectPr w:rsidR="009260DE" w:rsidRPr="00D707F0" w:rsidSect="000259B9">
      <w:footerReference w:type="default" r:id="rId11"/>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F181" w14:textId="77777777" w:rsidR="00F67854" w:rsidRDefault="00F67854">
      <w:r>
        <w:separator/>
      </w:r>
    </w:p>
  </w:endnote>
  <w:endnote w:type="continuationSeparator" w:id="0">
    <w:p w14:paraId="5A4D6B65" w14:textId="77777777" w:rsidR="00F67854" w:rsidRDefault="00F6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A71E" w14:textId="77777777" w:rsidR="000259B9" w:rsidRDefault="000259B9">
    <w:pPr>
      <w:pStyle w:val="Sidefod"/>
      <w:pBdr>
        <w:bottom w:val="single" w:sz="6" w:space="1" w:color="auto"/>
      </w:pBdr>
    </w:pPr>
  </w:p>
  <w:p w14:paraId="7D1730EA" w14:textId="77777777" w:rsidR="000259B9" w:rsidRDefault="000259B9" w:rsidP="00C42586">
    <w:pPr>
      <w:pStyle w:val="Sidefod"/>
      <w:tabs>
        <w:tab w:val="clear" w:pos="4819"/>
        <w:tab w:val="left" w:pos="8505"/>
      </w:tabs>
      <w:rPr>
        <w:i/>
        <w:sz w:val="18"/>
        <w:szCs w:val="18"/>
      </w:rPr>
    </w:pPr>
  </w:p>
  <w:p w14:paraId="7DBC8D7F" w14:textId="2A71DFA7"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F23072">
      <w:rPr>
        <w:i/>
        <w:noProof/>
        <w:sz w:val="18"/>
        <w:szCs w:val="18"/>
      </w:rPr>
      <w:t>Colistimethatnatrium Xellia, pulver til opløsning til nebulisator 1.000.000 IE.docx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6C758" w14:textId="77777777" w:rsidR="00F67854" w:rsidRDefault="00F67854">
      <w:r>
        <w:separator/>
      </w:r>
    </w:p>
  </w:footnote>
  <w:footnote w:type="continuationSeparator" w:id="0">
    <w:p w14:paraId="5634A156" w14:textId="77777777" w:rsidR="00F67854" w:rsidRDefault="00F67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1050052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777057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493634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380843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796415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54"/>
    <w:rsid w:val="000259B9"/>
    <w:rsid w:val="00041491"/>
    <w:rsid w:val="00050D16"/>
    <w:rsid w:val="000730CA"/>
    <w:rsid w:val="00074F2A"/>
    <w:rsid w:val="000A1CA8"/>
    <w:rsid w:val="000A466B"/>
    <w:rsid w:val="000B058C"/>
    <w:rsid w:val="000D10AE"/>
    <w:rsid w:val="000D68B0"/>
    <w:rsid w:val="000E4EE6"/>
    <w:rsid w:val="001454E2"/>
    <w:rsid w:val="00206CE8"/>
    <w:rsid w:val="0021526C"/>
    <w:rsid w:val="00283A2B"/>
    <w:rsid w:val="002B30AD"/>
    <w:rsid w:val="002C1EC0"/>
    <w:rsid w:val="002C2C01"/>
    <w:rsid w:val="00324A08"/>
    <w:rsid w:val="003A29AE"/>
    <w:rsid w:val="003A32D7"/>
    <w:rsid w:val="003B4074"/>
    <w:rsid w:val="003C769A"/>
    <w:rsid w:val="003D3A90"/>
    <w:rsid w:val="003F1838"/>
    <w:rsid w:val="004251C1"/>
    <w:rsid w:val="0045746C"/>
    <w:rsid w:val="0049104B"/>
    <w:rsid w:val="004E3B12"/>
    <w:rsid w:val="005119CA"/>
    <w:rsid w:val="00532310"/>
    <w:rsid w:val="00565F0F"/>
    <w:rsid w:val="00594A86"/>
    <w:rsid w:val="00596D86"/>
    <w:rsid w:val="005A1DB4"/>
    <w:rsid w:val="00637F5A"/>
    <w:rsid w:val="00641C65"/>
    <w:rsid w:val="006560B1"/>
    <w:rsid w:val="006756DD"/>
    <w:rsid w:val="00685D19"/>
    <w:rsid w:val="0071241E"/>
    <w:rsid w:val="00737275"/>
    <w:rsid w:val="00740EEC"/>
    <w:rsid w:val="0078011A"/>
    <w:rsid w:val="00782AF4"/>
    <w:rsid w:val="00790EE7"/>
    <w:rsid w:val="007B6649"/>
    <w:rsid w:val="0082576E"/>
    <w:rsid w:val="0089346F"/>
    <w:rsid w:val="00907F75"/>
    <w:rsid w:val="009260DE"/>
    <w:rsid w:val="0093258A"/>
    <w:rsid w:val="009457A2"/>
    <w:rsid w:val="009C7BA3"/>
    <w:rsid w:val="009D1F5A"/>
    <w:rsid w:val="00A10294"/>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3520"/>
    <w:rsid w:val="00D34D98"/>
    <w:rsid w:val="00D366CF"/>
    <w:rsid w:val="00D707F0"/>
    <w:rsid w:val="00D93992"/>
    <w:rsid w:val="00E108AA"/>
    <w:rsid w:val="00E3749A"/>
    <w:rsid w:val="00E7437F"/>
    <w:rsid w:val="00E865B8"/>
    <w:rsid w:val="00EC0B9B"/>
    <w:rsid w:val="00ED5E9F"/>
    <w:rsid w:val="00F23072"/>
    <w:rsid w:val="00F66D4F"/>
    <w:rsid w:val="00F67854"/>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3865"/>
  <w15:chartTrackingRefBased/>
  <w15:docId w15:val="{B6B7CB54-C118-4679-835F-2438A673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5A1DB4"/>
    <w:rPr>
      <w:color w:val="0563C1" w:themeColor="hyperlink"/>
      <w:u w:val="single"/>
    </w:rPr>
  </w:style>
  <w:style w:type="character" w:styleId="Ulstomtale">
    <w:name w:val="Unresolved Mention"/>
    <w:basedOn w:val="Standardskrifttypeiafsnit"/>
    <w:uiPriority w:val="99"/>
    <w:semiHidden/>
    <w:unhideWhenUsed/>
    <w:rsid w:val="005A1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2504">
      <w:bodyDiv w:val="1"/>
      <w:marLeft w:val="0"/>
      <w:marRight w:val="0"/>
      <w:marTop w:val="0"/>
      <w:marBottom w:val="0"/>
      <w:divBdr>
        <w:top w:val="none" w:sz="0" w:space="0" w:color="auto"/>
        <w:left w:val="none" w:sz="0" w:space="0" w:color="auto"/>
        <w:bottom w:val="none" w:sz="0" w:space="0" w:color="auto"/>
        <w:right w:val="none" w:sz="0" w:space="0" w:color="auto"/>
      </w:divBdr>
    </w:div>
    <w:div w:id="14077433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8036331">
      <w:bodyDiv w:val="1"/>
      <w:marLeft w:val="0"/>
      <w:marRight w:val="0"/>
      <w:marTop w:val="0"/>
      <w:marBottom w:val="0"/>
      <w:divBdr>
        <w:top w:val="none" w:sz="0" w:space="0" w:color="auto"/>
        <w:left w:val="none" w:sz="0" w:space="0" w:color="auto"/>
        <w:bottom w:val="none" w:sz="0" w:space="0" w:color="auto"/>
        <w:right w:val="none" w:sz="0" w:space="0" w:color="auto"/>
      </w:divBdr>
    </w:div>
    <w:div w:id="266816372">
      <w:bodyDiv w:val="1"/>
      <w:marLeft w:val="0"/>
      <w:marRight w:val="0"/>
      <w:marTop w:val="0"/>
      <w:marBottom w:val="0"/>
      <w:divBdr>
        <w:top w:val="none" w:sz="0" w:space="0" w:color="auto"/>
        <w:left w:val="none" w:sz="0" w:space="0" w:color="auto"/>
        <w:bottom w:val="none" w:sz="0" w:space="0" w:color="auto"/>
        <w:right w:val="none" w:sz="0" w:space="0" w:color="auto"/>
      </w:divBdr>
    </w:div>
    <w:div w:id="410855556">
      <w:bodyDiv w:val="1"/>
      <w:marLeft w:val="0"/>
      <w:marRight w:val="0"/>
      <w:marTop w:val="0"/>
      <w:marBottom w:val="0"/>
      <w:divBdr>
        <w:top w:val="none" w:sz="0" w:space="0" w:color="auto"/>
        <w:left w:val="none" w:sz="0" w:space="0" w:color="auto"/>
        <w:bottom w:val="none" w:sz="0" w:space="0" w:color="auto"/>
        <w:right w:val="none" w:sz="0" w:space="0" w:color="auto"/>
      </w:divBdr>
    </w:div>
    <w:div w:id="426584484">
      <w:bodyDiv w:val="1"/>
      <w:marLeft w:val="0"/>
      <w:marRight w:val="0"/>
      <w:marTop w:val="0"/>
      <w:marBottom w:val="0"/>
      <w:divBdr>
        <w:top w:val="none" w:sz="0" w:space="0" w:color="auto"/>
        <w:left w:val="none" w:sz="0" w:space="0" w:color="auto"/>
        <w:bottom w:val="none" w:sz="0" w:space="0" w:color="auto"/>
        <w:right w:val="none" w:sz="0" w:space="0" w:color="auto"/>
      </w:divBdr>
    </w:div>
    <w:div w:id="589506402">
      <w:bodyDiv w:val="1"/>
      <w:marLeft w:val="0"/>
      <w:marRight w:val="0"/>
      <w:marTop w:val="0"/>
      <w:marBottom w:val="0"/>
      <w:divBdr>
        <w:top w:val="none" w:sz="0" w:space="0" w:color="auto"/>
        <w:left w:val="none" w:sz="0" w:space="0" w:color="auto"/>
        <w:bottom w:val="none" w:sz="0" w:space="0" w:color="auto"/>
        <w:right w:val="none" w:sz="0" w:space="0" w:color="auto"/>
      </w:divBdr>
    </w:div>
    <w:div w:id="692734333">
      <w:bodyDiv w:val="1"/>
      <w:marLeft w:val="0"/>
      <w:marRight w:val="0"/>
      <w:marTop w:val="0"/>
      <w:marBottom w:val="0"/>
      <w:divBdr>
        <w:top w:val="none" w:sz="0" w:space="0" w:color="auto"/>
        <w:left w:val="none" w:sz="0" w:space="0" w:color="auto"/>
        <w:bottom w:val="none" w:sz="0" w:space="0" w:color="auto"/>
        <w:right w:val="none" w:sz="0" w:space="0" w:color="auto"/>
      </w:divBdr>
    </w:div>
    <w:div w:id="703335429">
      <w:bodyDiv w:val="1"/>
      <w:marLeft w:val="0"/>
      <w:marRight w:val="0"/>
      <w:marTop w:val="0"/>
      <w:marBottom w:val="0"/>
      <w:divBdr>
        <w:top w:val="none" w:sz="0" w:space="0" w:color="auto"/>
        <w:left w:val="none" w:sz="0" w:space="0" w:color="auto"/>
        <w:bottom w:val="none" w:sz="0" w:space="0" w:color="auto"/>
        <w:right w:val="none" w:sz="0" w:space="0" w:color="auto"/>
      </w:divBdr>
    </w:div>
    <w:div w:id="706489911">
      <w:bodyDiv w:val="1"/>
      <w:marLeft w:val="0"/>
      <w:marRight w:val="0"/>
      <w:marTop w:val="0"/>
      <w:marBottom w:val="0"/>
      <w:divBdr>
        <w:top w:val="none" w:sz="0" w:space="0" w:color="auto"/>
        <w:left w:val="none" w:sz="0" w:space="0" w:color="auto"/>
        <w:bottom w:val="none" w:sz="0" w:space="0" w:color="auto"/>
        <w:right w:val="none" w:sz="0" w:space="0" w:color="auto"/>
      </w:divBdr>
    </w:div>
    <w:div w:id="816144293">
      <w:bodyDiv w:val="1"/>
      <w:marLeft w:val="0"/>
      <w:marRight w:val="0"/>
      <w:marTop w:val="0"/>
      <w:marBottom w:val="0"/>
      <w:divBdr>
        <w:top w:val="none" w:sz="0" w:space="0" w:color="auto"/>
        <w:left w:val="none" w:sz="0" w:space="0" w:color="auto"/>
        <w:bottom w:val="none" w:sz="0" w:space="0" w:color="auto"/>
        <w:right w:val="none" w:sz="0" w:space="0" w:color="auto"/>
      </w:divBdr>
    </w:div>
    <w:div w:id="905652274">
      <w:bodyDiv w:val="1"/>
      <w:marLeft w:val="0"/>
      <w:marRight w:val="0"/>
      <w:marTop w:val="0"/>
      <w:marBottom w:val="0"/>
      <w:divBdr>
        <w:top w:val="none" w:sz="0" w:space="0" w:color="auto"/>
        <w:left w:val="none" w:sz="0" w:space="0" w:color="auto"/>
        <w:bottom w:val="none" w:sz="0" w:space="0" w:color="auto"/>
        <w:right w:val="none" w:sz="0" w:space="0" w:color="auto"/>
      </w:divBdr>
    </w:div>
    <w:div w:id="948703513">
      <w:bodyDiv w:val="1"/>
      <w:marLeft w:val="0"/>
      <w:marRight w:val="0"/>
      <w:marTop w:val="0"/>
      <w:marBottom w:val="0"/>
      <w:divBdr>
        <w:top w:val="none" w:sz="0" w:space="0" w:color="auto"/>
        <w:left w:val="none" w:sz="0" w:space="0" w:color="auto"/>
        <w:bottom w:val="none" w:sz="0" w:space="0" w:color="auto"/>
        <w:right w:val="none" w:sz="0" w:space="0" w:color="auto"/>
      </w:divBdr>
    </w:div>
    <w:div w:id="1083650291">
      <w:bodyDiv w:val="1"/>
      <w:marLeft w:val="0"/>
      <w:marRight w:val="0"/>
      <w:marTop w:val="0"/>
      <w:marBottom w:val="0"/>
      <w:divBdr>
        <w:top w:val="none" w:sz="0" w:space="0" w:color="auto"/>
        <w:left w:val="none" w:sz="0" w:space="0" w:color="auto"/>
        <w:bottom w:val="none" w:sz="0" w:space="0" w:color="auto"/>
        <w:right w:val="none" w:sz="0" w:space="0" w:color="auto"/>
      </w:divBdr>
    </w:div>
    <w:div w:id="1174764611">
      <w:bodyDiv w:val="1"/>
      <w:marLeft w:val="0"/>
      <w:marRight w:val="0"/>
      <w:marTop w:val="0"/>
      <w:marBottom w:val="0"/>
      <w:divBdr>
        <w:top w:val="none" w:sz="0" w:space="0" w:color="auto"/>
        <w:left w:val="none" w:sz="0" w:space="0" w:color="auto"/>
        <w:bottom w:val="none" w:sz="0" w:space="0" w:color="auto"/>
        <w:right w:val="none" w:sz="0" w:space="0" w:color="auto"/>
      </w:divBdr>
    </w:div>
    <w:div w:id="1198733313">
      <w:bodyDiv w:val="1"/>
      <w:marLeft w:val="0"/>
      <w:marRight w:val="0"/>
      <w:marTop w:val="0"/>
      <w:marBottom w:val="0"/>
      <w:divBdr>
        <w:top w:val="none" w:sz="0" w:space="0" w:color="auto"/>
        <w:left w:val="none" w:sz="0" w:space="0" w:color="auto"/>
        <w:bottom w:val="none" w:sz="0" w:space="0" w:color="auto"/>
        <w:right w:val="none" w:sz="0" w:space="0" w:color="auto"/>
      </w:divBdr>
    </w:div>
    <w:div w:id="1223443328">
      <w:bodyDiv w:val="1"/>
      <w:marLeft w:val="0"/>
      <w:marRight w:val="0"/>
      <w:marTop w:val="0"/>
      <w:marBottom w:val="0"/>
      <w:divBdr>
        <w:top w:val="none" w:sz="0" w:space="0" w:color="auto"/>
        <w:left w:val="none" w:sz="0" w:space="0" w:color="auto"/>
        <w:bottom w:val="none" w:sz="0" w:space="0" w:color="auto"/>
        <w:right w:val="none" w:sz="0" w:space="0" w:color="auto"/>
      </w:divBdr>
    </w:div>
    <w:div w:id="1269049595">
      <w:bodyDiv w:val="1"/>
      <w:marLeft w:val="0"/>
      <w:marRight w:val="0"/>
      <w:marTop w:val="0"/>
      <w:marBottom w:val="0"/>
      <w:divBdr>
        <w:top w:val="none" w:sz="0" w:space="0" w:color="auto"/>
        <w:left w:val="none" w:sz="0" w:space="0" w:color="auto"/>
        <w:bottom w:val="none" w:sz="0" w:space="0" w:color="auto"/>
        <w:right w:val="none" w:sz="0" w:space="0" w:color="auto"/>
      </w:divBdr>
    </w:div>
    <w:div w:id="1313560027">
      <w:bodyDiv w:val="1"/>
      <w:marLeft w:val="0"/>
      <w:marRight w:val="0"/>
      <w:marTop w:val="0"/>
      <w:marBottom w:val="0"/>
      <w:divBdr>
        <w:top w:val="none" w:sz="0" w:space="0" w:color="auto"/>
        <w:left w:val="none" w:sz="0" w:space="0" w:color="auto"/>
        <w:bottom w:val="none" w:sz="0" w:space="0" w:color="auto"/>
        <w:right w:val="none" w:sz="0" w:space="0" w:color="auto"/>
      </w:divBdr>
    </w:div>
    <w:div w:id="1353259753">
      <w:bodyDiv w:val="1"/>
      <w:marLeft w:val="0"/>
      <w:marRight w:val="0"/>
      <w:marTop w:val="0"/>
      <w:marBottom w:val="0"/>
      <w:divBdr>
        <w:top w:val="none" w:sz="0" w:space="0" w:color="auto"/>
        <w:left w:val="none" w:sz="0" w:space="0" w:color="auto"/>
        <w:bottom w:val="none" w:sz="0" w:space="0" w:color="auto"/>
        <w:right w:val="none" w:sz="0" w:space="0" w:color="auto"/>
      </w:divBdr>
    </w:div>
    <w:div w:id="1427967078">
      <w:bodyDiv w:val="1"/>
      <w:marLeft w:val="0"/>
      <w:marRight w:val="0"/>
      <w:marTop w:val="0"/>
      <w:marBottom w:val="0"/>
      <w:divBdr>
        <w:top w:val="none" w:sz="0" w:space="0" w:color="auto"/>
        <w:left w:val="none" w:sz="0" w:space="0" w:color="auto"/>
        <w:bottom w:val="none" w:sz="0" w:space="0" w:color="auto"/>
        <w:right w:val="none" w:sz="0" w:space="0" w:color="auto"/>
      </w:divBdr>
    </w:div>
    <w:div w:id="1488092453">
      <w:bodyDiv w:val="1"/>
      <w:marLeft w:val="0"/>
      <w:marRight w:val="0"/>
      <w:marTop w:val="0"/>
      <w:marBottom w:val="0"/>
      <w:divBdr>
        <w:top w:val="none" w:sz="0" w:space="0" w:color="auto"/>
        <w:left w:val="none" w:sz="0" w:space="0" w:color="auto"/>
        <w:bottom w:val="none" w:sz="0" w:space="0" w:color="auto"/>
        <w:right w:val="none" w:sz="0" w:space="0" w:color="auto"/>
      </w:divBdr>
    </w:div>
    <w:div w:id="1544292251">
      <w:bodyDiv w:val="1"/>
      <w:marLeft w:val="0"/>
      <w:marRight w:val="0"/>
      <w:marTop w:val="0"/>
      <w:marBottom w:val="0"/>
      <w:divBdr>
        <w:top w:val="none" w:sz="0" w:space="0" w:color="auto"/>
        <w:left w:val="none" w:sz="0" w:space="0" w:color="auto"/>
        <w:bottom w:val="none" w:sz="0" w:space="0" w:color="auto"/>
        <w:right w:val="none" w:sz="0" w:space="0" w:color="auto"/>
      </w:divBdr>
    </w:div>
    <w:div w:id="1582332921">
      <w:bodyDiv w:val="1"/>
      <w:marLeft w:val="0"/>
      <w:marRight w:val="0"/>
      <w:marTop w:val="0"/>
      <w:marBottom w:val="0"/>
      <w:divBdr>
        <w:top w:val="none" w:sz="0" w:space="0" w:color="auto"/>
        <w:left w:val="none" w:sz="0" w:space="0" w:color="auto"/>
        <w:bottom w:val="none" w:sz="0" w:space="0" w:color="auto"/>
        <w:right w:val="none" w:sz="0" w:space="0" w:color="auto"/>
      </w:divBdr>
    </w:div>
    <w:div w:id="1731880050">
      <w:bodyDiv w:val="1"/>
      <w:marLeft w:val="0"/>
      <w:marRight w:val="0"/>
      <w:marTop w:val="0"/>
      <w:marBottom w:val="0"/>
      <w:divBdr>
        <w:top w:val="none" w:sz="0" w:space="0" w:color="auto"/>
        <w:left w:val="none" w:sz="0" w:space="0" w:color="auto"/>
        <w:bottom w:val="none" w:sz="0" w:space="0" w:color="auto"/>
        <w:right w:val="none" w:sz="0" w:space="0" w:color="auto"/>
      </w:divBdr>
    </w:div>
    <w:div w:id="1736270406">
      <w:bodyDiv w:val="1"/>
      <w:marLeft w:val="0"/>
      <w:marRight w:val="0"/>
      <w:marTop w:val="0"/>
      <w:marBottom w:val="0"/>
      <w:divBdr>
        <w:top w:val="none" w:sz="0" w:space="0" w:color="auto"/>
        <w:left w:val="none" w:sz="0" w:space="0" w:color="auto"/>
        <w:bottom w:val="none" w:sz="0" w:space="0" w:color="auto"/>
        <w:right w:val="none" w:sz="0" w:space="0" w:color="auto"/>
      </w:divBdr>
    </w:div>
    <w:div w:id="1745683857">
      <w:bodyDiv w:val="1"/>
      <w:marLeft w:val="0"/>
      <w:marRight w:val="0"/>
      <w:marTop w:val="0"/>
      <w:marBottom w:val="0"/>
      <w:divBdr>
        <w:top w:val="none" w:sz="0" w:space="0" w:color="auto"/>
        <w:left w:val="none" w:sz="0" w:space="0" w:color="auto"/>
        <w:bottom w:val="none" w:sz="0" w:space="0" w:color="auto"/>
        <w:right w:val="none" w:sz="0" w:space="0" w:color="auto"/>
      </w:divBdr>
    </w:div>
    <w:div w:id="1769813423">
      <w:bodyDiv w:val="1"/>
      <w:marLeft w:val="0"/>
      <w:marRight w:val="0"/>
      <w:marTop w:val="0"/>
      <w:marBottom w:val="0"/>
      <w:divBdr>
        <w:top w:val="none" w:sz="0" w:space="0" w:color="auto"/>
        <w:left w:val="none" w:sz="0" w:space="0" w:color="auto"/>
        <w:bottom w:val="none" w:sz="0" w:space="0" w:color="auto"/>
        <w:right w:val="none" w:sz="0" w:space="0" w:color="auto"/>
      </w:divBdr>
    </w:div>
    <w:div w:id="1792436750">
      <w:bodyDiv w:val="1"/>
      <w:marLeft w:val="0"/>
      <w:marRight w:val="0"/>
      <w:marTop w:val="0"/>
      <w:marBottom w:val="0"/>
      <w:divBdr>
        <w:top w:val="none" w:sz="0" w:space="0" w:color="auto"/>
        <w:left w:val="none" w:sz="0" w:space="0" w:color="auto"/>
        <w:bottom w:val="none" w:sz="0" w:space="0" w:color="auto"/>
        <w:right w:val="none" w:sz="0" w:space="0" w:color="auto"/>
      </w:divBdr>
    </w:div>
    <w:div w:id="1793667915">
      <w:bodyDiv w:val="1"/>
      <w:marLeft w:val="0"/>
      <w:marRight w:val="0"/>
      <w:marTop w:val="0"/>
      <w:marBottom w:val="0"/>
      <w:divBdr>
        <w:top w:val="none" w:sz="0" w:space="0" w:color="auto"/>
        <w:left w:val="none" w:sz="0" w:space="0" w:color="auto"/>
        <w:bottom w:val="none" w:sz="0" w:space="0" w:color="auto"/>
        <w:right w:val="none" w:sz="0" w:space="0" w:color="auto"/>
      </w:divBdr>
    </w:div>
    <w:div w:id="1820533796">
      <w:bodyDiv w:val="1"/>
      <w:marLeft w:val="0"/>
      <w:marRight w:val="0"/>
      <w:marTop w:val="0"/>
      <w:marBottom w:val="0"/>
      <w:divBdr>
        <w:top w:val="none" w:sz="0" w:space="0" w:color="auto"/>
        <w:left w:val="none" w:sz="0" w:space="0" w:color="auto"/>
        <w:bottom w:val="none" w:sz="0" w:space="0" w:color="auto"/>
        <w:right w:val="none" w:sz="0" w:space="0" w:color="auto"/>
      </w:divBdr>
    </w:div>
    <w:div w:id="1845853634">
      <w:bodyDiv w:val="1"/>
      <w:marLeft w:val="0"/>
      <w:marRight w:val="0"/>
      <w:marTop w:val="0"/>
      <w:marBottom w:val="0"/>
      <w:divBdr>
        <w:top w:val="none" w:sz="0" w:space="0" w:color="auto"/>
        <w:left w:val="none" w:sz="0" w:space="0" w:color="auto"/>
        <w:bottom w:val="none" w:sz="0" w:space="0" w:color="auto"/>
        <w:right w:val="none" w:sz="0" w:space="0" w:color="auto"/>
      </w:divBdr>
    </w:div>
    <w:div w:id="1867982431">
      <w:bodyDiv w:val="1"/>
      <w:marLeft w:val="0"/>
      <w:marRight w:val="0"/>
      <w:marTop w:val="0"/>
      <w:marBottom w:val="0"/>
      <w:divBdr>
        <w:top w:val="none" w:sz="0" w:space="0" w:color="auto"/>
        <w:left w:val="none" w:sz="0" w:space="0" w:color="auto"/>
        <w:bottom w:val="none" w:sz="0" w:space="0" w:color="auto"/>
        <w:right w:val="none" w:sz="0" w:space="0" w:color="auto"/>
      </w:divBdr>
    </w:div>
    <w:div w:id="1960796298">
      <w:bodyDiv w:val="1"/>
      <w:marLeft w:val="0"/>
      <w:marRight w:val="0"/>
      <w:marTop w:val="0"/>
      <w:marBottom w:val="0"/>
      <w:divBdr>
        <w:top w:val="none" w:sz="0" w:space="0" w:color="auto"/>
        <w:left w:val="none" w:sz="0" w:space="0" w:color="auto"/>
        <w:bottom w:val="none" w:sz="0" w:space="0" w:color="auto"/>
        <w:right w:val="none" w:sz="0" w:space="0" w:color="auto"/>
      </w:divBdr>
    </w:div>
    <w:div w:id="1989551351">
      <w:bodyDiv w:val="1"/>
      <w:marLeft w:val="0"/>
      <w:marRight w:val="0"/>
      <w:marTop w:val="0"/>
      <w:marBottom w:val="0"/>
      <w:divBdr>
        <w:top w:val="none" w:sz="0" w:space="0" w:color="auto"/>
        <w:left w:val="none" w:sz="0" w:space="0" w:color="auto"/>
        <w:bottom w:val="none" w:sz="0" w:space="0" w:color="auto"/>
        <w:right w:val="none" w:sz="0" w:space="0" w:color="auto"/>
      </w:divBdr>
    </w:div>
    <w:div w:id="1990478833">
      <w:bodyDiv w:val="1"/>
      <w:marLeft w:val="0"/>
      <w:marRight w:val="0"/>
      <w:marTop w:val="0"/>
      <w:marBottom w:val="0"/>
      <w:divBdr>
        <w:top w:val="none" w:sz="0" w:space="0" w:color="auto"/>
        <w:left w:val="none" w:sz="0" w:space="0" w:color="auto"/>
        <w:bottom w:val="none" w:sz="0" w:space="0" w:color="auto"/>
        <w:right w:val="none" w:sz="0" w:space="0" w:color="auto"/>
      </w:divBdr>
    </w:div>
    <w:div w:id="1999579828">
      <w:bodyDiv w:val="1"/>
      <w:marLeft w:val="0"/>
      <w:marRight w:val="0"/>
      <w:marTop w:val="0"/>
      <w:marBottom w:val="0"/>
      <w:divBdr>
        <w:top w:val="none" w:sz="0" w:space="0" w:color="auto"/>
        <w:left w:val="none" w:sz="0" w:space="0" w:color="auto"/>
        <w:bottom w:val="none" w:sz="0" w:space="0" w:color="auto"/>
        <w:right w:val="none" w:sz="0" w:space="0" w:color="auto"/>
      </w:divBdr>
    </w:div>
    <w:div w:id="2015261020">
      <w:bodyDiv w:val="1"/>
      <w:marLeft w:val="0"/>
      <w:marRight w:val="0"/>
      <w:marTop w:val="0"/>
      <w:marBottom w:val="0"/>
      <w:divBdr>
        <w:top w:val="none" w:sz="0" w:space="0" w:color="auto"/>
        <w:left w:val="none" w:sz="0" w:space="0" w:color="auto"/>
        <w:bottom w:val="none" w:sz="0" w:space="0" w:color="auto"/>
        <w:right w:val="none" w:sz="0" w:space="0" w:color="auto"/>
      </w:divBdr>
    </w:div>
    <w:div w:id="2026056415">
      <w:bodyDiv w:val="1"/>
      <w:marLeft w:val="0"/>
      <w:marRight w:val="0"/>
      <w:marTop w:val="0"/>
      <w:marBottom w:val="0"/>
      <w:divBdr>
        <w:top w:val="none" w:sz="0" w:space="0" w:color="auto"/>
        <w:left w:val="none" w:sz="0" w:space="0" w:color="auto"/>
        <w:bottom w:val="none" w:sz="0" w:space="0" w:color="auto"/>
        <w:right w:val="none" w:sz="0" w:space="0" w:color="auto"/>
      </w:divBdr>
    </w:div>
    <w:div w:id="2032141756">
      <w:bodyDiv w:val="1"/>
      <w:marLeft w:val="0"/>
      <w:marRight w:val="0"/>
      <w:marTop w:val="0"/>
      <w:marBottom w:val="0"/>
      <w:divBdr>
        <w:top w:val="none" w:sz="0" w:space="0" w:color="auto"/>
        <w:left w:val="none" w:sz="0" w:space="0" w:color="auto"/>
        <w:bottom w:val="none" w:sz="0" w:space="0" w:color="auto"/>
        <w:right w:val="none" w:sz="0" w:space="0" w:color="auto"/>
      </w:divBdr>
    </w:div>
    <w:div w:id="2063409228">
      <w:bodyDiv w:val="1"/>
      <w:marLeft w:val="0"/>
      <w:marRight w:val="0"/>
      <w:marTop w:val="0"/>
      <w:marBottom w:val="0"/>
      <w:divBdr>
        <w:top w:val="none" w:sz="0" w:space="0" w:color="auto"/>
        <w:left w:val="none" w:sz="0" w:space="0" w:color="auto"/>
        <w:bottom w:val="none" w:sz="0" w:space="0" w:color="auto"/>
        <w:right w:val="none" w:sz="0" w:space="0" w:color="auto"/>
      </w:divBdr>
    </w:div>
    <w:div w:id="210221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ma.europa.eu/documents/other/minimum-inhibitory-concentration-mic-breakpoints_en.xlsx" TargetMode="External"/><Relationship Id="rId4" Type="http://schemas.openxmlformats.org/officeDocument/2006/relationships/settings" Target="settings.xml"/><Relationship Id="rId9" Type="http://schemas.openxmlformats.org/officeDocument/2006/relationships/hyperlink" Target="http://www.meldenbivirkning.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179BE-7520-440D-A36F-D2DC026D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33</TotalTime>
  <Pages>10</Pages>
  <Words>2722</Words>
  <Characters>18877</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2024094418, MT</dc:description>
  <cp:lastModifiedBy>Gitte Jørgensen</cp:lastModifiedBy>
  <cp:revision>7</cp:revision>
  <cp:lastPrinted>2012-08-22T08:53:00Z</cp:lastPrinted>
  <dcterms:created xsi:type="dcterms:W3CDTF">2026-04-28T10:25:00Z</dcterms:created>
  <dcterms:modified xsi:type="dcterms:W3CDTF">2026-05-06T10:39:00Z</dcterms:modified>
</cp:coreProperties>
</file>