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163966" w:rsidRDefault="0021526C" w:rsidP="00257426">
      <w:pPr>
        <w:rPr>
          <w:b/>
          <w:szCs w:val="24"/>
        </w:rPr>
      </w:pPr>
      <w:r w:rsidRPr="00163966">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63966">
        <w:rPr>
          <w:sz w:val="24"/>
          <w:szCs w:val="24"/>
        </w:rPr>
        <w:br w:type="textWrapping" w:clear="all"/>
      </w:r>
    </w:p>
    <w:p w:rsidR="009260DE" w:rsidRPr="00163966" w:rsidRDefault="009260DE" w:rsidP="009260DE">
      <w:pPr>
        <w:pStyle w:val="Titel"/>
        <w:tabs>
          <w:tab w:val="right" w:pos="9356"/>
        </w:tabs>
        <w:jc w:val="left"/>
        <w:rPr>
          <w:b w:val="0"/>
          <w:szCs w:val="24"/>
          <w:lang w:eastAsia="en-US"/>
        </w:rPr>
      </w:pPr>
      <w:r w:rsidRPr="00163966">
        <w:rPr>
          <w:b w:val="0"/>
          <w:szCs w:val="24"/>
          <w:lang w:eastAsia="en-US"/>
        </w:rPr>
        <w:tab/>
      </w:r>
      <w:r w:rsidR="00F65081">
        <w:rPr>
          <w:szCs w:val="24"/>
        </w:rPr>
        <w:t>9</w:t>
      </w:r>
      <w:r w:rsidR="004859AA">
        <w:rPr>
          <w:szCs w:val="24"/>
        </w:rPr>
        <w:t xml:space="preserve">. </w:t>
      </w:r>
      <w:r w:rsidR="00AA504E">
        <w:rPr>
          <w:szCs w:val="24"/>
        </w:rPr>
        <w:t>januar</w:t>
      </w:r>
      <w:r w:rsidR="004859AA">
        <w:rPr>
          <w:szCs w:val="24"/>
        </w:rPr>
        <w:t xml:space="preserve"> 202</w:t>
      </w:r>
      <w:r w:rsidR="00AA504E">
        <w:rPr>
          <w:szCs w:val="24"/>
        </w:rPr>
        <w:t>5</w:t>
      </w:r>
    </w:p>
    <w:p w:rsidR="00772909" w:rsidRPr="00163966" w:rsidRDefault="00772909" w:rsidP="009260DE">
      <w:pPr>
        <w:pStyle w:val="Titel"/>
        <w:tabs>
          <w:tab w:val="left" w:pos="8222"/>
        </w:tabs>
        <w:jc w:val="left"/>
        <w:rPr>
          <w:b w:val="0"/>
          <w:szCs w:val="24"/>
        </w:rPr>
      </w:pPr>
    </w:p>
    <w:p w:rsidR="009260DE" w:rsidRPr="00163966" w:rsidRDefault="009260DE" w:rsidP="009260DE">
      <w:pPr>
        <w:pStyle w:val="Titel"/>
        <w:jc w:val="left"/>
        <w:rPr>
          <w:b w:val="0"/>
          <w:szCs w:val="24"/>
        </w:rPr>
      </w:pPr>
    </w:p>
    <w:p w:rsidR="009260DE" w:rsidRPr="00163966" w:rsidRDefault="009260DE" w:rsidP="009260DE">
      <w:pPr>
        <w:pStyle w:val="Titel"/>
        <w:jc w:val="left"/>
        <w:rPr>
          <w:b w:val="0"/>
          <w:szCs w:val="24"/>
        </w:rPr>
      </w:pPr>
    </w:p>
    <w:p w:rsidR="009260DE" w:rsidRPr="00163966" w:rsidRDefault="009260DE" w:rsidP="009260DE">
      <w:pPr>
        <w:jc w:val="center"/>
        <w:rPr>
          <w:b/>
          <w:sz w:val="24"/>
          <w:szCs w:val="24"/>
        </w:rPr>
      </w:pPr>
      <w:r w:rsidRPr="00163966">
        <w:rPr>
          <w:b/>
          <w:sz w:val="24"/>
          <w:szCs w:val="24"/>
        </w:rPr>
        <w:t>PRODUKTRESUMÉ</w:t>
      </w:r>
    </w:p>
    <w:p w:rsidR="009260DE" w:rsidRPr="00163966" w:rsidRDefault="009260DE" w:rsidP="009260DE">
      <w:pPr>
        <w:jc w:val="center"/>
        <w:rPr>
          <w:b/>
          <w:sz w:val="24"/>
          <w:szCs w:val="24"/>
        </w:rPr>
      </w:pPr>
    </w:p>
    <w:p w:rsidR="009260DE" w:rsidRPr="00163966" w:rsidRDefault="00D24024" w:rsidP="00D24024">
      <w:pPr>
        <w:tabs>
          <w:tab w:val="center" w:pos="4819"/>
        </w:tabs>
        <w:rPr>
          <w:b/>
          <w:sz w:val="24"/>
          <w:szCs w:val="24"/>
        </w:rPr>
      </w:pPr>
      <w:r>
        <w:rPr>
          <w:b/>
          <w:sz w:val="24"/>
          <w:szCs w:val="24"/>
        </w:rPr>
        <w:tab/>
      </w:r>
      <w:r w:rsidR="009260DE" w:rsidRPr="00163966">
        <w:rPr>
          <w:b/>
          <w:sz w:val="24"/>
          <w:szCs w:val="24"/>
        </w:rPr>
        <w:t>for</w:t>
      </w:r>
    </w:p>
    <w:p w:rsidR="000B058C" w:rsidRPr="00163966" w:rsidRDefault="000B058C" w:rsidP="009260DE">
      <w:pPr>
        <w:jc w:val="center"/>
        <w:rPr>
          <w:b/>
          <w:sz w:val="24"/>
          <w:szCs w:val="24"/>
        </w:rPr>
      </w:pPr>
    </w:p>
    <w:p w:rsidR="009260DE" w:rsidRPr="00163966" w:rsidRDefault="00B10E6E" w:rsidP="009260DE">
      <w:pPr>
        <w:jc w:val="center"/>
        <w:rPr>
          <w:b/>
          <w:sz w:val="24"/>
          <w:szCs w:val="24"/>
        </w:rPr>
      </w:pPr>
      <w:proofErr w:type="spellStart"/>
      <w:r w:rsidRPr="00163966">
        <w:rPr>
          <w:b/>
          <w:sz w:val="24"/>
          <w:szCs w:val="24"/>
        </w:rPr>
        <w:t>Comboval</w:t>
      </w:r>
      <w:proofErr w:type="spellEnd"/>
      <w:r w:rsidRPr="00163966">
        <w:rPr>
          <w:b/>
          <w:sz w:val="24"/>
          <w:szCs w:val="24"/>
        </w:rPr>
        <w:t>, infusionsvæske, opløsning</w:t>
      </w:r>
    </w:p>
    <w:p w:rsidR="009260DE" w:rsidRPr="00163966" w:rsidRDefault="009260DE" w:rsidP="009260DE">
      <w:pPr>
        <w:jc w:val="both"/>
        <w:rPr>
          <w:sz w:val="24"/>
          <w:szCs w:val="24"/>
        </w:rPr>
      </w:pPr>
    </w:p>
    <w:p w:rsidR="009260DE" w:rsidRPr="00163966" w:rsidRDefault="009260DE" w:rsidP="009260DE">
      <w:pPr>
        <w:jc w:val="both"/>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0.</w:t>
      </w:r>
      <w:r w:rsidRPr="00163966">
        <w:rPr>
          <w:b/>
          <w:sz w:val="24"/>
          <w:szCs w:val="24"/>
        </w:rPr>
        <w:tab/>
        <w:t>D.SP.NR.</w:t>
      </w:r>
    </w:p>
    <w:p w:rsidR="009260DE" w:rsidRPr="00163966" w:rsidRDefault="0035233E" w:rsidP="009260DE">
      <w:pPr>
        <w:tabs>
          <w:tab w:val="left" w:pos="851"/>
        </w:tabs>
        <w:ind w:left="851"/>
        <w:rPr>
          <w:sz w:val="24"/>
          <w:szCs w:val="24"/>
        </w:rPr>
      </w:pPr>
      <w:r w:rsidRPr="00163966">
        <w:rPr>
          <w:sz w:val="24"/>
          <w:szCs w:val="24"/>
        </w:rPr>
        <w:t>32178</w:t>
      </w: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1.</w:t>
      </w:r>
      <w:r w:rsidRPr="00163966">
        <w:rPr>
          <w:b/>
          <w:sz w:val="24"/>
          <w:szCs w:val="24"/>
        </w:rPr>
        <w:tab/>
        <w:t>LÆGEMIDLETS NAVN</w:t>
      </w:r>
    </w:p>
    <w:p w:rsidR="009260DE" w:rsidRPr="00163966" w:rsidRDefault="00FC6982" w:rsidP="009260DE">
      <w:pPr>
        <w:tabs>
          <w:tab w:val="left" w:pos="851"/>
        </w:tabs>
        <w:ind w:left="851"/>
        <w:rPr>
          <w:sz w:val="24"/>
          <w:szCs w:val="24"/>
        </w:rPr>
      </w:pPr>
      <w:proofErr w:type="spellStart"/>
      <w:r w:rsidRPr="00163966">
        <w:rPr>
          <w:sz w:val="24"/>
          <w:szCs w:val="24"/>
        </w:rPr>
        <w:t>Comboval</w:t>
      </w:r>
      <w:proofErr w:type="spellEnd"/>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2.</w:t>
      </w:r>
      <w:r w:rsidRPr="00163966">
        <w:rPr>
          <w:b/>
          <w:sz w:val="24"/>
          <w:szCs w:val="24"/>
        </w:rPr>
        <w:tab/>
        <w:t>KVALITATIV OG KVANTITATIV SAMMENSÆTNING</w:t>
      </w:r>
    </w:p>
    <w:p w:rsidR="00FC6982" w:rsidRPr="00163966" w:rsidRDefault="00FC6982" w:rsidP="00FC6982">
      <w:pPr>
        <w:tabs>
          <w:tab w:val="left" w:pos="851"/>
        </w:tabs>
        <w:ind w:left="851"/>
        <w:rPr>
          <w:sz w:val="24"/>
          <w:szCs w:val="24"/>
        </w:rPr>
      </w:pPr>
      <w:r w:rsidRPr="00163966">
        <w:rPr>
          <w:sz w:val="24"/>
          <w:szCs w:val="24"/>
        </w:rPr>
        <w:t xml:space="preserve">En ml indeholder 10 mg paracetamol og </w:t>
      </w:r>
      <w:proofErr w:type="spellStart"/>
      <w:r w:rsidRPr="00163966">
        <w:rPr>
          <w:sz w:val="24"/>
          <w:szCs w:val="24"/>
        </w:rPr>
        <w:t>ibuprofennatriumdihydrat</w:t>
      </w:r>
      <w:proofErr w:type="spellEnd"/>
      <w:r w:rsidRPr="00163966">
        <w:rPr>
          <w:sz w:val="24"/>
          <w:szCs w:val="24"/>
        </w:rPr>
        <w:t xml:space="preserve"> svarende til 3 mg ibuprofen.</w:t>
      </w:r>
    </w:p>
    <w:p w:rsidR="00FC6982" w:rsidRPr="00163966" w:rsidRDefault="00FC6982" w:rsidP="00FC6982">
      <w:pPr>
        <w:tabs>
          <w:tab w:val="left" w:pos="851"/>
        </w:tabs>
        <w:ind w:left="851"/>
        <w:rPr>
          <w:sz w:val="24"/>
          <w:szCs w:val="24"/>
        </w:rPr>
      </w:pPr>
      <w:r w:rsidRPr="00163966">
        <w:rPr>
          <w:sz w:val="24"/>
          <w:szCs w:val="24"/>
        </w:rPr>
        <w:t xml:space="preserve">Et 100 ml hætteglas indeholder 1.000 mg paracetamol og </w:t>
      </w:r>
      <w:proofErr w:type="spellStart"/>
      <w:r w:rsidRPr="00163966">
        <w:rPr>
          <w:sz w:val="24"/>
          <w:szCs w:val="24"/>
        </w:rPr>
        <w:t>ibuprofennatriumdihydrat</w:t>
      </w:r>
      <w:proofErr w:type="spellEnd"/>
      <w:r w:rsidRPr="00163966">
        <w:rPr>
          <w:sz w:val="24"/>
          <w:szCs w:val="24"/>
        </w:rPr>
        <w:t xml:space="preserve"> svarende til 300 mg ibuprofen.</w:t>
      </w:r>
    </w:p>
    <w:p w:rsidR="00FC6982" w:rsidRPr="00163966" w:rsidRDefault="00FC6982" w:rsidP="00FC6982">
      <w:pPr>
        <w:tabs>
          <w:tab w:val="left" w:pos="851"/>
        </w:tabs>
        <w:ind w:left="851"/>
        <w:rPr>
          <w:sz w:val="24"/>
          <w:szCs w:val="24"/>
        </w:rPr>
      </w:pPr>
    </w:p>
    <w:p w:rsidR="00FC6982" w:rsidRPr="00163966" w:rsidRDefault="00FC6982" w:rsidP="00FC6982">
      <w:pPr>
        <w:tabs>
          <w:tab w:val="left" w:pos="851"/>
        </w:tabs>
        <w:ind w:left="851"/>
        <w:rPr>
          <w:sz w:val="24"/>
          <w:szCs w:val="24"/>
          <w:u w:val="single"/>
        </w:rPr>
      </w:pPr>
      <w:r w:rsidRPr="00163966">
        <w:rPr>
          <w:sz w:val="24"/>
          <w:szCs w:val="24"/>
          <w:u w:val="single"/>
        </w:rPr>
        <w:t>Hjælpestof, som behandleren skal være opmærksom på</w:t>
      </w:r>
    </w:p>
    <w:p w:rsidR="00FC6982" w:rsidRPr="00163966" w:rsidRDefault="00FC6982" w:rsidP="00FC6982">
      <w:pPr>
        <w:tabs>
          <w:tab w:val="left" w:pos="851"/>
        </w:tabs>
        <w:ind w:left="851"/>
        <w:rPr>
          <w:sz w:val="24"/>
          <w:szCs w:val="24"/>
        </w:rPr>
      </w:pPr>
      <w:r w:rsidRPr="00163966">
        <w:rPr>
          <w:sz w:val="24"/>
          <w:szCs w:val="24"/>
        </w:rPr>
        <w:t>Natrium 35 mg pr. 100 ml (0,35 mg/ml).</w:t>
      </w:r>
    </w:p>
    <w:p w:rsidR="00FC6982" w:rsidRPr="00163966" w:rsidRDefault="00FC6982" w:rsidP="00FC6982">
      <w:pPr>
        <w:tabs>
          <w:tab w:val="left" w:pos="851"/>
        </w:tabs>
        <w:ind w:left="851"/>
        <w:rPr>
          <w:sz w:val="24"/>
          <w:szCs w:val="24"/>
        </w:rPr>
      </w:pPr>
      <w:r w:rsidRPr="00163966">
        <w:rPr>
          <w:sz w:val="24"/>
          <w:szCs w:val="24"/>
        </w:rPr>
        <w:t>Natrium 1,52 mmol pr. 100 ml (0,0152 mmol/ml).</w:t>
      </w:r>
    </w:p>
    <w:p w:rsidR="00FC6982" w:rsidRPr="00163966" w:rsidRDefault="00FC6982" w:rsidP="00FC6982">
      <w:pPr>
        <w:tabs>
          <w:tab w:val="left" w:pos="851"/>
        </w:tabs>
        <w:ind w:left="851"/>
        <w:rPr>
          <w:sz w:val="24"/>
          <w:szCs w:val="24"/>
        </w:rPr>
      </w:pPr>
    </w:p>
    <w:p w:rsidR="00FC6982" w:rsidRPr="00163966" w:rsidRDefault="00FC6982" w:rsidP="00FC6982">
      <w:pPr>
        <w:tabs>
          <w:tab w:val="left" w:pos="851"/>
        </w:tabs>
        <w:ind w:left="851"/>
        <w:rPr>
          <w:sz w:val="24"/>
          <w:szCs w:val="24"/>
        </w:rPr>
      </w:pPr>
      <w:r w:rsidRPr="00163966">
        <w:rPr>
          <w:sz w:val="24"/>
          <w:szCs w:val="24"/>
        </w:rPr>
        <w:t>Alle hjælpestoffer er anført under pkt. 6.1.</w:t>
      </w: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3.</w:t>
      </w:r>
      <w:r w:rsidRPr="00163966">
        <w:rPr>
          <w:b/>
          <w:sz w:val="24"/>
          <w:szCs w:val="24"/>
        </w:rPr>
        <w:tab/>
        <w:t>LÆGEMIDDELFORM</w:t>
      </w:r>
    </w:p>
    <w:p w:rsidR="00AA3894" w:rsidRPr="00163966" w:rsidRDefault="00AA3894" w:rsidP="00AA3894">
      <w:pPr>
        <w:tabs>
          <w:tab w:val="left" w:pos="851"/>
        </w:tabs>
        <w:ind w:left="851"/>
        <w:rPr>
          <w:sz w:val="24"/>
          <w:szCs w:val="24"/>
        </w:rPr>
      </w:pPr>
      <w:r w:rsidRPr="00163966">
        <w:rPr>
          <w:sz w:val="24"/>
          <w:szCs w:val="24"/>
        </w:rPr>
        <w:t>Infusionsvæske, opløsning</w:t>
      </w:r>
    </w:p>
    <w:p w:rsidR="00AA3894" w:rsidRPr="00163966" w:rsidRDefault="00AA3894" w:rsidP="00AA3894">
      <w:pPr>
        <w:tabs>
          <w:tab w:val="left" w:pos="851"/>
        </w:tabs>
        <w:ind w:left="851"/>
        <w:rPr>
          <w:sz w:val="24"/>
          <w:szCs w:val="24"/>
        </w:rPr>
      </w:pPr>
    </w:p>
    <w:p w:rsidR="00AA3894" w:rsidRPr="00163966" w:rsidRDefault="00AA3894" w:rsidP="00AA3894">
      <w:pPr>
        <w:tabs>
          <w:tab w:val="left" w:pos="851"/>
        </w:tabs>
        <w:ind w:left="851"/>
        <w:rPr>
          <w:sz w:val="24"/>
          <w:szCs w:val="24"/>
        </w:rPr>
      </w:pPr>
      <w:r w:rsidRPr="00163966">
        <w:rPr>
          <w:sz w:val="24"/>
          <w:szCs w:val="24"/>
        </w:rPr>
        <w:t xml:space="preserve">Klar, farveløs opløsning uden synlige partikler med en pH-værdi på 6,3-7,3 og en </w:t>
      </w:r>
      <w:proofErr w:type="spellStart"/>
      <w:r w:rsidRPr="00163966">
        <w:rPr>
          <w:sz w:val="24"/>
          <w:szCs w:val="24"/>
        </w:rPr>
        <w:t>osmolalitet</w:t>
      </w:r>
      <w:proofErr w:type="spellEnd"/>
      <w:r w:rsidRPr="00163966">
        <w:rPr>
          <w:sz w:val="24"/>
          <w:szCs w:val="24"/>
        </w:rPr>
        <w:t xml:space="preserve"> på 285</w:t>
      </w:r>
      <w:r w:rsidRPr="00163966">
        <w:rPr>
          <w:sz w:val="24"/>
          <w:szCs w:val="24"/>
        </w:rPr>
        <w:noBreakHyphen/>
        <w:t>320 </w:t>
      </w:r>
      <w:proofErr w:type="spellStart"/>
      <w:r w:rsidRPr="00163966">
        <w:rPr>
          <w:sz w:val="24"/>
          <w:szCs w:val="24"/>
        </w:rPr>
        <w:t>mOsmol</w:t>
      </w:r>
      <w:proofErr w:type="spellEnd"/>
      <w:r w:rsidRPr="00163966">
        <w:rPr>
          <w:sz w:val="24"/>
          <w:szCs w:val="24"/>
        </w:rPr>
        <w:t>/kg.</w:t>
      </w:r>
    </w:p>
    <w:p w:rsidR="00AA3894" w:rsidRPr="00163966" w:rsidRDefault="00AA3894" w:rsidP="00AA3894">
      <w:pPr>
        <w:tabs>
          <w:tab w:val="left" w:pos="851"/>
        </w:tabs>
        <w:ind w:left="851"/>
        <w:rPr>
          <w:sz w:val="24"/>
          <w:szCs w:val="24"/>
        </w:rPr>
      </w:pP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4.</w:t>
      </w:r>
      <w:r w:rsidRPr="00163966">
        <w:rPr>
          <w:b/>
          <w:sz w:val="24"/>
          <w:szCs w:val="24"/>
        </w:rPr>
        <w:tab/>
        <w:t>KLINISKE OPLYSNINGER</w:t>
      </w:r>
    </w:p>
    <w:p w:rsidR="009260DE" w:rsidRPr="00163966" w:rsidRDefault="009260DE" w:rsidP="009260DE">
      <w:pPr>
        <w:tabs>
          <w:tab w:val="left" w:pos="851"/>
        </w:tabs>
        <w:ind w:left="851"/>
        <w:rPr>
          <w:b/>
          <w:sz w:val="24"/>
          <w:szCs w:val="24"/>
        </w:rPr>
      </w:pPr>
    </w:p>
    <w:p w:rsidR="009260DE" w:rsidRPr="00163966" w:rsidRDefault="009260DE" w:rsidP="009260DE">
      <w:pPr>
        <w:tabs>
          <w:tab w:val="left" w:pos="851"/>
        </w:tabs>
        <w:ind w:left="851" w:hanging="851"/>
        <w:rPr>
          <w:b/>
          <w:sz w:val="24"/>
          <w:szCs w:val="24"/>
          <w:u w:val="single"/>
        </w:rPr>
      </w:pPr>
      <w:r w:rsidRPr="00163966">
        <w:rPr>
          <w:b/>
          <w:sz w:val="24"/>
          <w:szCs w:val="24"/>
        </w:rPr>
        <w:t>4.1</w:t>
      </w:r>
      <w:r w:rsidRPr="00163966">
        <w:rPr>
          <w:b/>
          <w:sz w:val="24"/>
          <w:szCs w:val="24"/>
        </w:rPr>
        <w:tab/>
        <w:t>Terapeutiske indikationer</w:t>
      </w:r>
    </w:p>
    <w:p w:rsidR="00E2677C" w:rsidRPr="00163966" w:rsidRDefault="00E2677C" w:rsidP="00E2677C">
      <w:pPr>
        <w:tabs>
          <w:tab w:val="left" w:pos="851"/>
        </w:tabs>
        <w:ind w:left="851"/>
        <w:rPr>
          <w:sz w:val="24"/>
          <w:szCs w:val="24"/>
        </w:rPr>
      </w:pPr>
      <w:proofErr w:type="spellStart"/>
      <w:r w:rsidRPr="00163966">
        <w:rPr>
          <w:sz w:val="24"/>
          <w:szCs w:val="24"/>
        </w:rPr>
        <w:t>Comboval</w:t>
      </w:r>
      <w:proofErr w:type="spellEnd"/>
      <w:r w:rsidRPr="00163966">
        <w:rPr>
          <w:sz w:val="24"/>
          <w:szCs w:val="24"/>
        </w:rPr>
        <w:t xml:space="preserve"> er indiceret til voksne til symptomatisk korttidsbehandling af akutte, moderate smerter, hvor intravenøs administration anses for at være klinisk nødvendig, og/eller hvor andre administrationsveje ikke er mulige.</w:t>
      </w:r>
    </w:p>
    <w:p w:rsidR="00065C2F" w:rsidRPr="00163966" w:rsidRDefault="00065C2F">
      <w:pPr>
        <w:rPr>
          <w:sz w:val="24"/>
          <w:szCs w:val="24"/>
        </w:rPr>
      </w:pPr>
      <w:r w:rsidRPr="00163966">
        <w:rPr>
          <w:sz w:val="24"/>
          <w:szCs w:val="24"/>
        </w:rPr>
        <w:br w:type="page"/>
      </w:r>
    </w:p>
    <w:p w:rsidR="009260DE" w:rsidRPr="00163966" w:rsidRDefault="009260DE" w:rsidP="009260DE">
      <w:pPr>
        <w:tabs>
          <w:tab w:val="left" w:pos="851"/>
        </w:tabs>
        <w:ind w:left="851"/>
        <w:rPr>
          <w:sz w:val="24"/>
          <w:szCs w:val="24"/>
        </w:rPr>
      </w:pPr>
    </w:p>
    <w:p w:rsidR="00274FA3" w:rsidRPr="00163966" w:rsidRDefault="00274FA3" w:rsidP="00274FA3">
      <w:pPr>
        <w:tabs>
          <w:tab w:val="left" w:pos="851"/>
        </w:tabs>
        <w:ind w:left="851" w:hanging="851"/>
        <w:rPr>
          <w:b/>
          <w:sz w:val="24"/>
          <w:szCs w:val="24"/>
        </w:rPr>
      </w:pPr>
      <w:r w:rsidRPr="00163966">
        <w:rPr>
          <w:b/>
          <w:sz w:val="24"/>
          <w:szCs w:val="24"/>
        </w:rPr>
        <w:t>4.2</w:t>
      </w:r>
      <w:r w:rsidRPr="00163966">
        <w:rPr>
          <w:b/>
          <w:sz w:val="24"/>
          <w:szCs w:val="24"/>
        </w:rPr>
        <w:tab/>
        <w:t>Dosering og administration</w:t>
      </w:r>
    </w:p>
    <w:p w:rsidR="00065C2F" w:rsidRPr="00163966" w:rsidRDefault="00065C2F" w:rsidP="00065C2F">
      <w:pPr>
        <w:tabs>
          <w:tab w:val="left" w:pos="851"/>
        </w:tabs>
        <w:ind w:left="851"/>
        <w:rPr>
          <w:sz w:val="24"/>
          <w:szCs w:val="24"/>
        </w:rPr>
      </w:pPr>
    </w:p>
    <w:p w:rsidR="00065C2F" w:rsidRPr="00163966" w:rsidRDefault="00065C2F" w:rsidP="00065C2F">
      <w:pPr>
        <w:tabs>
          <w:tab w:val="left" w:pos="851"/>
        </w:tabs>
        <w:ind w:left="851"/>
        <w:rPr>
          <w:b/>
          <w:sz w:val="24"/>
          <w:szCs w:val="24"/>
        </w:rPr>
      </w:pPr>
      <w:r w:rsidRPr="00163966">
        <w:rPr>
          <w:b/>
          <w:sz w:val="24"/>
          <w:szCs w:val="24"/>
        </w:rPr>
        <w:t>Dosering</w:t>
      </w:r>
    </w:p>
    <w:p w:rsidR="00065C2F" w:rsidRPr="00163966" w:rsidRDefault="00065C2F" w:rsidP="00065C2F">
      <w:pPr>
        <w:tabs>
          <w:tab w:val="left" w:pos="851"/>
        </w:tabs>
        <w:ind w:left="851"/>
        <w:rPr>
          <w:sz w:val="24"/>
          <w:szCs w:val="24"/>
        </w:rPr>
      </w:pPr>
      <w:r w:rsidRPr="00163966">
        <w:rPr>
          <w:sz w:val="24"/>
          <w:szCs w:val="24"/>
        </w:rPr>
        <w:t>Kun til intravenøs administration og korttidsbrug i maksimalt 2 dage. Bivirkninger kan minimeres ved at anvende den laveste effektive dosis i den kortest mulige tid, der er nødvendig for at behandle symptomerne (se pkt. 4.4).</w:t>
      </w:r>
    </w:p>
    <w:p w:rsidR="00065C2F" w:rsidRPr="00163966" w:rsidRDefault="00065C2F" w:rsidP="00065C2F">
      <w:pPr>
        <w:tabs>
          <w:tab w:val="left" w:pos="851"/>
        </w:tabs>
        <w:ind w:left="851"/>
        <w:rPr>
          <w:sz w:val="24"/>
          <w:szCs w:val="24"/>
        </w:rPr>
      </w:pPr>
    </w:p>
    <w:p w:rsidR="004859AA" w:rsidRPr="00D26EF0" w:rsidRDefault="004859AA" w:rsidP="004859AA">
      <w:pPr>
        <w:tabs>
          <w:tab w:val="left" w:pos="851"/>
        </w:tabs>
        <w:ind w:left="851"/>
        <w:rPr>
          <w:sz w:val="24"/>
          <w:szCs w:val="24"/>
          <w:u w:val="single"/>
        </w:rPr>
      </w:pPr>
      <w:r w:rsidRPr="00D26EF0">
        <w:rPr>
          <w:sz w:val="24"/>
          <w:szCs w:val="24"/>
          <w:u w:val="single"/>
        </w:rPr>
        <w:t>Voksne (vægt &gt; 50 kg)</w:t>
      </w:r>
    </w:p>
    <w:p w:rsidR="004859AA" w:rsidRPr="00D26EF0" w:rsidRDefault="004859AA" w:rsidP="004859AA">
      <w:pPr>
        <w:tabs>
          <w:tab w:val="left" w:pos="851"/>
        </w:tabs>
        <w:ind w:left="851"/>
        <w:rPr>
          <w:sz w:val="24"/>
          <w:szCs w:val="24"/>
        </w:rPr>
      </w:pPr>
      <w:r w:rsidRPr="00D26EF0">
        <w:rPr>
          <w:sz w:val="24"/>
          <w:szCs w:val="24"/>
        </w:rPr>
        <w:t>Der gives et hætteglas (100 ml) som en 15 minutters infusion hver 6. time i nødvendigt omfang. En samlet daglig dosis på fire hætteglas (400 ml), hvilket svarer til 4.000 mg (4 g) paracetamol og 1.200 mg ibuprofen, må ikke overskrides.</w:t>
      </w:r>
    </w:p>
    <w:p w:rsidR="00065C2F" w:rsidRPr="00163966" w:rsidRDefault="00065C2F" w:rsidP="00065C2F">
      <w:pPr>
        <w:tabs>
          <w:tab w:val="left" w:pos="851"/>
        </w:tabs>
        <w:ind w:left="851"/>
        <w:rPr>
          <w:sz w:val="24"/>
          <w:szCs w:val="24"/>
        </w:rPr>
      </w:pPr>
    </w:p>
    <w:p w:rsidR="00065C2F" w:rsidRPr="00163966" w:rsidRDefault="00065C2F" w:rsidP="00065C2F">
      <w:pPr>
        <w:tabs>
          <w:tab w:val="left" w:pos="851"/>
        </w:tabs>
        <w:ind w:left="851"/>
        <w:rPr>
          <w:sz w:val="24"/>
          <w:szCs w:val="24"/>
          <w:u w:val="single"/>
        </w:rPr>
      </w:pPr>
      <w:r w:rsidRPr="00163966">
        <w:rPr>
          <w:sz w:val="24"/>
          <w:szCs w:val="24"/>
          <w:u w:val="single"/>
        </w:rPr>
        <w:t xml:space="preserve">Voksne (vægt </w:t>
      </w:r>
      <w:r w:rsidR="00894608" w:rsidRPr="00163966">
        <w:rPr>
          <w:sz w:val="24"/>
          <w:szCs w:val="24"/>
          <w:u w:val="single"/>
        </w:rPr>
        <w:t>≤</w:t>
      </w:r>
      <w:r w:rsidR="009D2186" w:rsidRPr="00163966">
        <w:rPr>
          <w:sz w:val="24"/>
          <w:szCs w:val="24"/>
          <w:u w:val="single"/>
        </w:rPr>
        <w:t xml:space="preserve"> </w:t>
      </w:r>
      <w:r w:rsidRPr="00163966">
        <w:rPr>
          <w:sz w:val="24"/>
          <w:szCs w:val="24"/>
          <w:u w:val="single"/>
        </w:rPr>
        <w:t>50 kg)</w:t>
      </w:r>
    </w:p>
    <w:p w:rsidR="00065C2F" w:rsidRPr="00163966" w:rsidRDefault="00065C2F" w:rsidP="00065C2F">
      <w:pPr>
        <w:tabs>
          <w:tab w:val="left" w:pos="851"/>
        </w:tabs>
        <w:ind w:left="851"/>
        <w:rPr>
          <w:sz w:val="24"/>
          <w:szCs w:val="24"/>
        </w:rPr>
      </w:pPr>
      <w:r w:rsidRPr="00163966">
        <w:rPr>
          <w:sz w:val="24"/>
          <w:szCs w:val="24"/>
        </w:rPr>
        <w:t>Voksne, der vejer 50 kg eller derunder, skal doseres i henhold til deres vægt med en dosering på 1,5 ml/kg (15 mg/kg paracetamol + 4,5 mg/kg ibuprofen) som en 15 minutters infusion hver 6. time i nødvendigt omfang. Dette svarer til en maksimal enkeltdosis på 75 ml (resterende lægemiddel i hætteglasset skal kasseres) og en samlet daglig dosis på 3.000 mg (3 g) paracetamol og 900 mg ibuprofen.</w:t>
      </w:r>
    </w:p>
    <w:p w:rsidR="00065C2F" w:rsidRPr="00163966" w:rsidRDefault="00065C2F" w:rsidP="00065C2F">
      <w:pPr>
        <w:tabs>
          <w:tab w:val="left" w:pos="851"/>
        </w:tabs>
        <w:ind w:left="851"/>
        <w:rPr>
          <w:i/>
          <w:sz w:val="24"/>
          <w:szCs w:val="24"/>
        </w:rPr>
      </w:pPr>
    </w:p>
    <w:p w:rsidR="004859AA" w:rsidRPr="00D26EF0" w:rsidRDefault="004859AA" w:rsidP="004859AA">
      <w:pPr>
        <w:tabs>
          <w:tab w:val="left" w:pos="851"/>
        </w:tabs>
        <w:ind w:left="851"/>
        <w:rPr>
          <w:sz w:val="24"/>
          <w:szCs w:val="24"/>
          <w:u w:val="single"/>
        </w:rPr>
      </w:pPr>
      <w:r w:rsidRPr="00D26EF0">
        <w:rPr>
          <w:sz w:val="24"/>
          <w:szCs w:val="24"/>
          <w:u w:val="single"/>
        </w:rPr>
        <w:t>Pædiatrisk population</w:t>
      </w:r>
    </w:p>
    <w:p w:rsidR="004859AA" w:rsidRPr="00D26EF0" w:rsidRDefault="004859AA" w:rsidP="004859AA">
      <w:pPr>
        <w:tabs>
          <w:tab w:val="left" w:pos="851"/>
        </w:tabs>
        <w:ind w:left="851"/>
        <w:rPr>
          <w:sz w:val="24"/>
          <w:szCs w:val="24"/>
        </w:rPr>
      </w:pPr>
      <w:r>
        <w:rPr>
          <w:sz w:val="24"/>
          <w:szCs w:val="24"/>
        </w:rPr>
        <w:t>Dette lægemiddel</w:t>
      </w:r>
      <w:r w:rsidRPr="00D26EF0">
        <w:rPr>
          <w:sz w:val="24"/>
          <w:szCs w:val="24"/>
        </w:rPr>
        <w:t xml:space="preserve"> er kontraindiceret til børn under 18 år (se pkt. 4.3).</w:t>
      </w:r>
    </w:p>
    <w:p w:rsidR="00065C2F" w:rsidRPr="00163966" w:rsidRDefault="00065C2F" w:rsidP="00065C2F">
      <w:pPr>
        <w:tabs>
          <w:tab w:val="left" w:pos="851"/>
        </w:tabs>
        <w:ind w:left="851"/>
        <w:rPr>
          <w:sz w:val="24"/>
          <w:szCs w:val="24"/>
        </w:rPr>
      </w:pPr>
    </w:p>
    <w:p w:rsidR="00065C2F" w:rsidRPr="00163966" w:rsidRDefault="00065C2F" w:rsidP="00065C2F">
      <w:pPr>
        <w:tabs>
          <w:tab w:val="left" w:pos="851"/>
        </w:tabs>
        <w:ind w:left="851"/>
        <w:rPr>
          <w:sz w:val="24"/>
          <w:szCs w:val="24"/>
          <w:u w:val="single"/>
        </w:rPr>
      </w:pPr>
      <w:r w:rsidRPr="00163966">
        <w:rPr>
          <w:sz w:val="24"/>
          <w:szCs w:val="24"/>
          <w:u w:val="single"/>
        </w:rPr>
        <w:t>Specielle populationer</w:t>
      </w:r>
    </w:p>
    <w:p w:rsidR="00894608" w:rsidRPr="00163966" w:rsidRDefault="00894608" w:rsidP="00065C2F">
      <w:pPr>
        <w:tabs>
          <w:tab w:val="left" w:pos="851"/>
        </w:tabs>
        <w:ind w:left="851"/>
        <w:rPr>
          <w:i/>
          <w:sz w:val="24"/>
          <w:szCs w:val="24"/>
        </w:rPr>
      </w:pPr>
    </w:p>
    <w:p w:rsidR="00065C2F" w:rsidRPr="00163966" w:rsidRDefault="00065C2F" w:rsidP="00065C2F">
      <w:pPr>
        <w:tabs>
          <w:tab w:val="left" w:pos="851"/>
        </w:tabs>
        <w:ind w:left="851"/>
        <w:rPr>
          <w:sz w:val="24"/>
          <w:szCs w:val="24"/>
        </w:rPr>
      </w:pPr>
      <w:r w:rsidRPr="00163966">
        <w:rPr>
          <w:i/>
          <w:sz w:val="24"/>
          <w:szCs w:val="24"/>
        </w:rPr>
        <w:t>Ældre</w:t>
      </w:r>
    </w:p>
    <w:p w:rsidR="00065C2F" w:rsidRPr="00163966" w:rsidRDefault="00065C2F" w:rsidP="00065C2F">
      <w:pPr>
        <w:tabs>
          <w:tab w:val="left" w:pos="851"/>
        </w:tabs>
        <w:ind w:left="851"/>
        <w:rPr>
          <w:sz w:val="24"/>
          <w:szCs w:val="24"/>
        </w:rPr>
      </w:pPr>
      <w:r w:rsidRPr="00163966">
        <w:rPr>
          <w:sz w:val="24"/>
          <w:szCs w:val="24"/>
        </w:rPr>
        <w:t>Der bør udvises forsigtighed ved valg af dosis til ældre patienter, der normalt starter i den lave ende af doseringsintervallet, så den afspejler den øgede hyppighed af nedsat lever-, nyre- eller hjertefunktion og samtidig sygdom eller anden medicinsk behandling.</w:t>
      </w:r>
    </w:p>
    <w:p w:rsidR="00065C2F" w:rsidRPr="00163966" w:rsidRDefault="00065C2F" w:rsidP="00065C2F">
      <w:pPr>
        <w:tabs>
          <w:tab w:val="left" w:pos="851"/>
        </w:tabs>
        <w:ind w:left="851"/>
        <w:rPr>
          <w:sz w:val="24"/>
          <w:szCs w:val="24"/>
        </w:rPr>
      </w:pPr>
    </w:p>
    <w:p w:rsidR="00065C2F" w:rsidRPr="00163966" w:rsidRDefault="00065C2F" w:rsidP="00065C2F">
      <w:pPr>
        <w:tabs>
          <w:tab w:val="left" w:pos="851"/>
        </w:tabs>
        <w:ind w:left="851"/>
        <w:rPr>
          <w:sz w:val="24"/>
          <w:szCs w:val="24"/>
        </w:rPr>
      </w:pPr>
      <w:r w:rsidRPr="00163966">
        <w:rPr>
          <w:sz w:val="24"/>
          <w:szCs w:val="24"/>
        </w:rPr>
        <w:t xml:space="preserve">Ældre har øget risiko for alvorlige konsekvenser af bivirkningerne. Hvis det anses for nødvendigt at bruge et NSAID, skal den laveste effektive dosis anvendes i kortest mulige tid. Behandlingen bør evalueres med regelmæssige intervaller og seponeres, hvis der ikke ses nogen fordel, eller der opstår intolerance. Patienten skal monitoreres regelmæssigt for </w:t>
      </w:r>
      <w:proofErr w:type="spellStart"/>
      <w:r w:rsidRPr="00163966">
        <w:rPr>
          <w:sz w:val="24"/>
          <w:szCs w:val="24"/>
        </w:rPr>
        <w:t>gastrointestinal</w:t>
      </w:r>
      <w:proofErr w:type="spellEnd"/>
      <w:r w:rsidRPr="00163966">
        <w:rPr>
          <w:sz w:val="24"/>
          <w:szCs w:val="24"/>
        </w:rPr>
        <w:t xml:space="preserve"> blødning under behandling med et NSAID.</w:t>
      </w:r>
    </w:p>
    <w:p w:rsidR="00065C2F" w:rsidRPr="00163966" w:rsidRDefault="00065C2F" w:rsidP="00065C2F">
      <w:pPr>
        <w:tabs>
          <w:tab w:val="left" w:pos="851"/>
        </w:tabs>
        <w:ind w:left="851"/>
        <w:rPr>
          <w:sz w:val="24"/>
          <w:szCs w:val="24"/>
        </w:rPr>
      </w:pPr>
    </w:p>
    <w:p w:rsidR="00065C2F" w:rsidRPr="00163966" w:rsidRDefault="00065C2F" w:rsidP="00065C2F">
      <w:pPr>
        <w:tabs>
          <w:tab w:val="left" w:pos="851"/>
        </w:tabs>
        <w:ind w:left="851"/>
        <w:rPr>
          <w:sz w:val="24"/>
          <w:szCs w:val="24"/>
        </w:rPr>
      </w:pPr>
      <w:r w:rsidRPr="00163966">
        <w:rPr>
          <w:i/>
          <w:sz w:val="24"/>
          <w:szCs w:val="24"/>
        </w:rPr>
        <w:t>Nedsat nyrefunktion</w:t>
      </w:r>
    </w:p>
    <w:p w:rsidR="00065C2F" w:rsidRPr="00163966" w:rsidRDefault="00065C2F" w:rsidP="00065C2F">
      <w:pPr>
        <w:tabs>
          <w:tab w:val="left" w:pos="851"/>
        </w:tabs>
        <w:ind w:left="851"/>
        <w:rPr>
          <w:sz w:val="24"/>
          <w:szCs w:val="24"/>
        </w:rPr>
      </w:pPr>
      <w:r w:rsidRPr="00163966">
        <w:rPr>
          <w:sz w:val="24"/>
          <w:szCs w:val="24"/>
        </w:rPr>
        <w:t>Der skal udvises forsigtighed med doseringen af ibuprofen til patienter med nedsat nyrefunktion. Dette lægemiddel er kontraindiceret hos patienter med svær nyreinsufficiens (se pkt. 4.3).</w:t>
      </w:r>
    </w:p>
    <w:p w:rsidR="00065C2F" w:rsidRPr="00163966" w:rsidRDefault="00065C2F" w:rsidP="00065C2F">
      <w:pPr>
        <w:tabs>
          <w:tab w:val="left" w:pos="851"/>
        </w:tabs>
        <w:ind w:left="851"/>
        <w:rPr>
          <w:sz w:val="24"/>
          <w:szCs w:val="24"/>
        </w:rPr>
      </w:pPr>
    </w:p>
    <w:p w:rsidR="00065C2F" w:rsidRPr="00163966" w:rsidRDefault="00065C2F" w:rsidP="00065C2F">
      <w:pPr>
        <w:tabs>
          <w:tab w:val="left" w:pos="851"/>
        </w:tabs>
        <w:ind w:left="851"/>
        <w:rPr>
          <w:sz w:val="24"/>
          <w:szCs w:val="24"/>
        </w:rPr>
      </w:pPr>
      <w:r w:rsidRPr="00163966">
        <w:rPr>
          <w:sz w:val="24"/>
          <w:szCs w:val="24"/>
        </w:rPr>
        <w:t>Doseringen skal vurderes individuelt. Initialdosen skal reduceres hos patienter med let til moderat nedsat nyrefunktion. Dosen skal være så lav som muligt og bruges i den kortest mulige tid, der er nødvendig for at behandle symptomerne. Nyrefunktionen skal monitoreres (se pkt. 4.3 og 4.4).</w:t>
      </w:r>
    </w:p>
    <w:p w:rsidR="00065C2F" w:rsidRPr="00163966" w:rsidRDefault="00065C2F" w:rsidP="00065C2F">
      <w:pPr>
        <w:tabs>
          <w:tab w:val="left" w:pos="851"/>
        </w:tabs>
        <w:ind w:left="851"/>
        <w:rPr>
          <w:sz w:val="24"/>
          <w:szCs w:val="24"/>
        </w:rPr>
      </w:pPr>
    </w:p>
    <w:p w:rsidR="00065C2F" w:rsidRPr="00163966" w:rsidRDefault="00065C2F" w:rsidP="00065C2F">
      <w:pPr>
        <w:tabs>
          <w:tab w:val="left" w:pos="851"/>
        </w:tabs>
        <w:ind w:left="851"/>
        <w:rPr>
          <w:sz w:val="24"/>
          <w:szCs w:val="24"/>
        </w:rPr>
      </w:pPr>
      <w:r w:rsidRPr="00163966">
        <w:rPr>
          <w:i/>
          <w:sz w:val="24"/>
          <w:szCs w:val="24"/>
        </w:rPr>
        <w:t>Nedsat leverfunktion</w:t>
      </w:r>
    </w:p>
    <w:p w:rsidR="00065C2F" w:rsidRPr="00163966" w:rsidRDefault="00065C2F" w:rsidP="00065C2F">
      <w:pPr>
        <w:tabs>
          <w:tab w:val="left" w:pos="851"/>
        </w:tabs>
        <w:ind w:left="851"/>
        <w:rPr>
          <w:sz w:val="24"/>
          <w:szCs w:val="24"/>
        </w:rPr>
      </w:pPr>
      <w:r w:rsidRPr="00163966">
        <w:rPr>
          <w:sz w:val="24"/>
          <w:szCs w:val="24"/>
        </w:rPr>
        <w:t xml:space="preserve">Anvendelse af paracetamol i doser, som er højere end de anbefalede, kan føre til </w:t>
      </w:r>
      <w:proofErr w:type="spellStart"/>
      <w:r w:rsidRPr="00163966">
        <w:rPr>
          <w:sz w:val="24"/>
          <w:szCs w:val="24"/>
        </w:rPr>
        <w:t>hepatotoksicitet</w:t>
      </w:r>
      <w:proofErr w:type="spellEnd"/>
      <w:r w:rsidRPr="00163966">
        <w:rPr>
          <w:sz w:val="24"/>
          <w:szCs w:val="24"/>
        </w:rPr>
        <w:t xml:space="preserve"> og endda leverinsufficiens og død. Hos patienter med yderligere risikofaktorer for </w:t>
      </w:r>
      <w:proofErr w:type="spellStart"/>
      <w:r w:rsidRPr="00163966">
        <w:rPr>
          <w:sz w:val="24"/>
          <w:szCs w:val="24"/>
        </w:rPr>
        <w:t>hepatotoksicitet</w:t>
      </w:r>
      <w:proofErr w:type="spellEnd"/>
      <w:r w:rsidRPr="00163966">
        <w:rPr>
          <w:sz w:val="24"/>
          <w:szCs w:val="24"/>
        </w:rPr>
        <w:t xml:space="preserve">, for eksempel </w:t>
      </w:r>
      <w:proofErr w:type="spellStart"/>
      <w:r w:rsidRPr="00163966">
        <w:rPr>
          <w:sz w:val="24"/>
          <w:szCs w:val="24"/>
        </w:rPr>
        <w:t>hepatocellulær</w:t>
      </w:r>
      <w:proofErr w:type="spellEnd"/>
      <w:r w:rsidRPr="00163966">
        <w:rPr>
          <w:sz w:val="24"/>
          <w:szCs w:val="24"/>
        </w:rPr>
        <w:t xml:space="preserve"> insufficiens, kronisk </w:t>
      </w:r>
      <w:r w:rsidRPr="00163966">
        <w:rPr>
          <w:sz w:val="24"/>
          <w:szCs w:val="24"/>
        </w:rPr>
        <w:lastRenderedPageBreak/>
        <w:t xml:space="preserve">alkoholisme, kronisk fejlernæring (lave niveauer af </w:t>
      </w:r>
      <w:proofErr w:type="spellStart"/>
      <w:r w:rsidRPr="00163966">
        <w:rPr>
          <w:sz w:val="24"/>
          <w:szCs w:val="24"/>
        </w:rPr>
        <w:t>glutathion</w:t>
      </w:r>
      <w:proofErr w:type="spellEnd"/>
      <w:r w:rsidRPr="00163966">
        <w:rPr>
          <w:sz w:val="24"/>
          <w:szCs w:val="24"/>
        </w:rPr>
        <w:t xml:space="preserve"> i leveren), eller dehydrering bør en samlet daglig dosis på 3.000 mg (3 g) paracetamol ikke overskrides.</w:t>
      </w:r>
    </w:p>
    <w:p w:rsidR="00065C2F" w:rsidRPr="00163966" w:rsidRDefault="00065C2F" w:rsidP="00065C2F">
      <w:pPr>
        <w:tabs>
          <w:tab w:val="left" w:pos="851"/>
        </w:tabs>
        <w:ind w:left="851"/>
        <w:rPr>
          <w:sz w:val="24"/>
          <w:szCs w:val="24"/>
        </w:rPr>
      </w:pPr>
    </w:p>
    <w:p w:rsidR="004859AA" w:rsidRPr="00D26EF0" w:rsidRDefault="004859AA" w:rsidP="004859AA">
      <w:pPr>
        <w:tabs>
          <w:tab w:val="left" w:pos="851"/>
        </w:tabs>
        <w:ind w:left="851"/>
        <w:rPr>
          <w:sz w:val="24"/>
          <w:szCs w:val="24"/>
        </w:rPr>
      </w:pPr>
      <w:r w:rsidRPr="00D26EF0">
        <w:rPr>
          <w:sz w:val="24"/>
          <w:szCs w:val="24"/>
        </w:rPr>
        <w:t>Dette lægemiddel er kontraindiceret hos patienter med svær leverinsufficiens (se pkt. 4.3). En patient med symptomer og/eller tegn, der tyder på leverdysfunktion, eller som har unormale værdier i leverfunktionstest, bør evalueres for tegn på udvikling af en mere alvorlig leverreaktion under behandling</w:t>
      </w:r>
      <w:r>
        <w:rPr>
          <w:sz w:val="24"/>
          <w:szCs w:val="24"/>
        </w:rPr>
        <w:t>en</w:t>
      </w:r>
      <w:r w:rsidRPr="00D26EF0">
        <w:rPr>
          <w:sz w:val="24"/>
          <w:szCs w:val="24"/>
        </w:rPr>
        <w:t xml:space="preserve">, og </w:t>
      </w:r>
      <w:r>
        <w:rPr>
          <w:sz w:val="24"/>
          <w:szCs w:val="24"/>
        </w:rPr>
        <w:t>behandlingen</w:t>
      </w:r>
      <w:r w:rsidRPr="00D26EF0">
        <w:rPr>
          <w:sz w:val="24"/>
          <w:szCs w:val="24"/>
        </w:rPr>
        <w:t xml:space="preserve"> bør seponeres. </w:t>
      </w:r>
      <w:r>
        <w:rPr>
          <w:sz w:val="24"/>
          <w:szCs w:val="24"/>
        </w:rPr>
        <w:t>Behandlingen</w:t>
      </w:r>
      <w:r w:rsidRPr="00D26EF0">
        <w:rPr>
          <w:sz w:val="24"/>
          <w:szCs w:val="24"/>
        </w:rPr>
        <w:t xml:space="preserve"> skal seponeres, hvis der udvikles kliniske tegn og symptomer svarende til leversygdom, eller hvis der opstår systemiske manifestationer (fx </w:t>
      </w:r>
      <w:proofErr w:type="spellStart"/>
      <w:r w:rsidRPr="00D26EF0">
        <w:rPr>
          <w:sz w:val="24"/>
          <w:szCs w:val="24"/>
        </w:rPr>
        <w:t>eosinofili</w:t>
      </w:r>
      <w:proofErr w:type="spellEnd"/>
      <w:r w:rsidRPr="00D26EF0">
        <w:rPr>
          <w:sz w:val="24"/>
          <w:szCs w:val="24"/>
        </w:rPr>
        <w:t>, udslæt osv.).</w:t>
      </w:r>
    </w:p>
    <w:p w:rsidR="004859AA" w:rsidRPr="00D26EF0" w:rsidRDefault="004859AA" w:rsidP="004859AA">
      <w:pPr>
        <w:tabs>
          <w:tab w:val="left" w:pos="851"/>
        </w:tabs>
        <w:ind w:left="851"/>
        <w:rPr>
          <w:sz w:val="24"/>
          <w:szCs w:val="24"/>
        </w:rPr>
      </w:pPr>
    </w:p>
    <w:p w:rsidR="004859AA" w:rsidRPr="00D26EF0" w:rsidRDefault="004859AA" w:rsidP="004859AA">
      <w:pPr>
        <w:tabs>
          <w:tab w:val="left" w:pos="851"/>
        </w:tabs>
        <w:ind w:left="851"/>
        <w:rPr>
          <w:b/>
          <w:sz w:val="24"/>
          <w:szCs w:val="24"/>
        </w:rPr>
      </w:pPr>
      <w:r w:rsidRPr="00D26EF0">
        <w:rPr>
          <w:b/>
          <w:sz w:val="24"/>
          <w:szCs w:val="24"/>
        </w:rPr>
        <w:t>Administration</w:t>
      </w:r>
    </w:p>
    <w:p w:rsidR="004859AA" w:rsidRPr="00D26EF0" w:rsidRDefault="004859AA" w:rsidP="004859AA">
      <w:pPr>
        <w:tabs>
          <w:tab w:val="left" w:pos="851"/>
        </w:tabs>
        <w:ind w:left="851"/>
        <w:rPr>
          <w:sz w:val="24"/>
          <w:szCs w:val="24"/>
        </w:rPr>
      </w:pPr>
      <w:r>
        <w:rPr>
          <w:sz w:val="24"/>
          <w:szCs w:val="24"/>
        </w:rPr>
        <w:t>Dette lægemiddel</w:t>
      </w:r>
      <w:r w:rsidRPr="00D26EF0">
        <w:rPr>
          <w:sz w:val="24"/>
          <w:szCs w:val="24"/>
        </w:rPr>
        <w:t xml:space="preserve"> skal administreres som en 15 minutters intravenøs infusion.</w:t>
      </w:r>
    </w:p>
    <w:p w:rsidR="00065C2F" w:rsidRPr="00163966" w:rsidRDefault="00065C2F" w:rsidP="00065C2F">
      <w:pPr>
        <w:tabs>
          <w:tab w:val="left" w:pos="851"/>
        </w:tabs>
        <w:ind w:left="851"/>
        <w:rPr>
          <w:sz w:val="24"/>
          <w:szCs w:val="24"/>
        </w:rPr>
      </w:pPr>
    </w:p>
    <w:p w:rsidR="00065C2F" w:rsidRPr="00163966" w:rsidRDefault="00065C2F" w:rsidP="00065C2F">
      <w:pPr>
        <w:tabs>
          <w:tab w:val="left" w:pos="851"/>
        </w:tabs>
        <w:ind w:left="851"/>
        <w:rPr>
          <w:sz w:val="24"/>
          <w:szCs w:val="24"/>
        </w:rPr>
      </w:pPr>
      <w:r w:rsidRPr="00163966">
        <w:rPr>
          <w:sz w:val="24"/>
          <w:szCs w:val="24"/>
        </w:rPr>
        <w:t xml:space="preserve">Som det er tilfældet for alle infusionsopløsninger i hætteglas, skal man huske, at nøje monitorering er påkrævet, især i slutningen af infusionen, uanset administrationsvej. For at undgå </w:t>
      </w:r>
      <w:proofErr w:type="spellStart"/>
      <w:r w:rsidRPr="00163966">
        <w:rPr>
          <w:sz w:val="24"/>
          <w:szCs w:val="24"/>
        </w:rPr>
        <w:t>luftemboli</w:t>
      </w:r>
      <w:proofErr w:type="spellEnd"/>
      <w:r w:rsidRPr="00163966">
        <w:rPr>
          <w:sz w:val="24"/>
          <w:szCs w:val="24"/>
        </w:rPr>
        <w:t xml:space="preserve"> er denne monitorering i slutningen af infusionen især vigtig ved infusion med central administration.</w:t>
      </w: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4.3</w:t>
      </w:r>
      <w:r w:rsidRPr="00163966">
        <w:rPr>
          <w:b/>
          <w:sz w:val="24"/>
          <w:szCs w:val="24"/>
        </w:rPr>
        <w:tab/>
        <w:t>Kontraindikationer</w:t>
      </w:r>
    </w:p>
    <w:p w:rsidR="009D2186" w:rsidRPr="00163966" w:rsidRDefault="009D2186" w:rsidP="009D2186">
      <w:pPr>
        <w:tabs>
          <w:tab w:val="left" w:pos="851"/>
        </w:tabs>
        <w:ind w:left="851"/>
        <w:rPr>
          <w:sz w:val="24"/>
          <w:szCs w:val="24"/>
        </w:rPr>
      </w:pPr>
    </w:p>
    <w:p w:rsidR="009D2186" w:rsidRPr="00163966" w:rsidRDefault="009D2186" w:rsidP="009D2186">
      <w:pPr>
        <w:tabs>
          <w:tab w:val="left" w:pos="851"/>
        </w:tabs>
        <w:ind w:left="851"/>
        <w:rPr>
          <w:sz w:val="24"/>
          <w:szCs w:val="24"/>
        </w:rPr>
      </w:pPr>
      <w:r w:rsidRPr="00163966">
        <w:rPr>
          <w:sz w:val="24"/>
          <w:szCs w:val="24"/>
        </w:rPr>
        <w:t>Dette produkt er kontraindiceret til brug:</w:t>
      </w:r>
    </w:p>
    <w:p w:rsidR="009D2186" w:rsidRPr="00163966" w:rsidRDefault="009D2186" w:rsidP="009D2186">
      <w:pPr>
        <w:pStyle w:val="Listeafsnit"/>
        <w:numPr>
          <w:ilvl w:val="0"/>
          <w:numId w:val="6"/>
        </w:numPr>
        <w:tabs>
          <w:tab w:val="left" w:pos="851"/>
        </w:tabs>
        <w:ind w:left="1134" w:hanging="283"/>
        <w:rPr>
          <w:sz w:val="24"/>
          <w:szCs w:val="24"/>
        </w:rPr>
      </w:pPr>
      <w:r w:rsidRPr="00163966">
        <w:rPr>
          <w:sz w:val="24"/>
          <w:szCs w:val="24"/>
        </w:rPr>
        <w:t xml:space="preserve">hos patienter med kendt overfølsomhed over for paracetamol, ibuprofen, andre </w:t>
      </w:r>
      <w:proofErr w:type="spellStart"/>
      <w:r w:rsidR="00F103E2" w:rsidRPr="00163966">
        <w:rPr>
          <w:sz w:val="24"/>
          <w:szCs w:val="24"/>
        </w:rPr>
        <w:t>NSAIDer</w:t>
      </w:r>
      <w:proofErr w:type="spellEnd"/>
      <w:r w:rsidRPr="00163966">
        <w:rPr>
          <w:sz w:val="24"/>
          <w:szCs w:val="24"/>
        </w:rPr>
        <w:t xml:space="preserve"> eller over for et eller flere af hjælpestofferne anført i pkt. 6.1</w:t>
      </w:r>
    </w:p>
    <w:p w:rsidR="009D2186" w:rsidRPr="00163966" w:rsidRDefault="009D2186" w:rsidP="009D2186">
      <w:pPr>
        <w:pStyle w:val="Listeafsnit"/>
        <w:numPr>
          <w:ilvl w:val="0"/>
          <w:numId w:val="6"/>
        </w:numPr>
        <w:tabs>
          <w:tab w:val="left" w:pos="851"/>
        </w:tabs>
        <w:ind w:left="1134" w:hanging="283"/>
        <w:rPr>
          <w:sz w:val="24"/>
          <w:szCs w:val="24"/>
        </w:rPr>
      </w:pPr>
      <w:r w:rsidRPr="00163966">
        <w:rPr>
          <w:sz w:val="24"/>
          <w:szCs w:val="24"/>
        </w:rPr>
        <w:t>hos patienter med svær hjerteinsufficiens (NYHA-klasse IV)</w:t>
      </w:r>
    </w:p>
    <w:p w:rsidR="009D2186" w:rsidRPr="00163966" w:rsidRDefault="009D2186" w:rsidP="009D2186">
      <w:pPr>
        <w:pStyle w:val="Listeafsnit"/>
        <w:numPr>
          <w:ilvl w:val="0"/>
          <w:numId w:val="6"/>
        </w:numPr>
        <w:tabs>
          <w:tab w:val="left" w:pos="851"/>
        </w:tabs>
        <w:ind w:left="1134" w:hanging="283"/>
        <w:rPr>
          <w:sz w:val="24"/>
          <w:szCs w:val="24"/>
        </w:rPr>
      </w:pPr>
      <w:r w:rsidRPr="00163966">
        <w:rPr>
          <w:sz w:val="24"/>
          <w:szCs w:val="24"/>
        </w:rPr>
        <w:t xml:space="preserve">hos patienter med aktiv alkoholisme, da et kronisk overforbrug af alkohol kan prædisponere patienten for </w:t>
      </w:r>
      <w:proofErr w:type="spellStart"/>
      <w:r w:rsidRPr="00163966">
        <w:rPr>
          <w:sz w:val="24"/>
          <w:szCs w:val="24"/>
        </w:rPr>
        <w:t>hepatotoksicitet</w:t>
      </w:r>
      <w:proofErr w:type="spellEnd"/>
      <w:r w:rsidRPr="00163966">
        <w:rPr>
          <w:sz w:val="24"/>
          <w:szCs w:val="24"/>
        </w:rPr>
        <w:t xml:space="preserve"> (på grund af lægemidlets indhold af paracetamol)</w:t>
      </w:r>
    </w:p>
    <w:p w:rsidR="009D2186" w:rsidRPr="00163966" w:rsidRDefault="009D2186" w:rsidP="009D2186">
      <w:pPr>
        <w:pStyle w:val="Listeafsnit"/>
        <w:numPr>
          <w:ilvl w:val="0"/>
          <w:numId w:val="6"/>
        </w:numPr>
        <w:tabs>
          <w:tab w:val="left" w:pos="851"/>
        </w:tabs>
        <w:ind w:left="1134" w:hanging="283"/>
        <w:rPr>
          <w:sz w:val="24"/>
          <w:szCs w:val="24"/>
        </w:rPr>
      </w:pPr>
      <w:r w:rsidRPr="00163966">
        <w:rPr>
          <w:sz w:val="24"/>
          <w:szCs w:val="24"/>
        </w:rPr>
        <w:t xml:space="preserve">hos patienter med tidligere tilfælde af astma, </w:t>
      </w:r>
      <w:proofErr w:type="spellStart"/>
      <w:r w:rsidRPr="00163966">
        <w:rPr>
          <w:sz w:val="24"/>
          <w:szCs w:val="24"/>
        </w:rPr>
        <w:t>urticaria</w:t>
      </w:r>
      <w:proofErr w:type="spellEnd"/>
      <w:r w:rsidRPr="00163966">
        <w:rPr>
          <w:sz w:val="24"/>
          <w:szCs w:val="24"/>
        </w:rPr>
        <w:t xml:space="preserve"> eller allergilignende reaktioner efter at have fået acetylsalicylsyre eller andre </w:t>
      </w:r>
      <w:proofErr w:type="spellStart"/>
      <w:r w:rsidR="00F103E2" w:rsidRPr="00163966">
        <w:rPr>
          <w:sz w:val="24"/>
          <w:szCs w:val="24"/>
        </w:rPr>
        <w:t>NSAIDer</w:t>
      </w:r>
      <w:proofErr w:type="spellEnd"/>
    </w:p>
    <w:p w:rsidR="009D2186" w:rsidRPr="00163966" w:rsidRDefault="009D2186" w:rsidP="009D2186">
      <w:pPr>
        <w:pStyle w:val="Listeafsnit"/>
        <w:numPr>
          <w:ilvl w:val="0"/>
          <w:numId w:val="6"/>
        </w:numPr>
        <w:tabs>
          <w:tab w:val="left" w:pos="851"/>
        </w:tabs>
        <w:ind w:left="1134" w:hanging="283"/>
        <w:rPr>
          <w:sz w:val="24"/>
          <w:szCs w:val="24"/>
        </w:rPr>
      </w:pPr>
      <w:r w:rsidRPr="00163966">
        <w:rPr>
          <w:sz w:val="24"/>
          <w:szCs w:val="24"/>
        </w:rPr>
        <w:t xml:space="preserve">hos patienter med tilfælde af </w:t>
      </w:r>
      <w:proofErr w:type="spellStart"/>
      <w:r w:rsidRPr="00163966">
        <w:rPr>
          <w:sz w:val="24"/>
          <w:szCs w:val="24"/>
        </w:rPr>
        <w:t>gastrointestinal</w:t>
      </w:r>
      <w:proofErr w:type="spellEnd"/>
      <w:r w:rsidRPr="00163966">
        <w:rPr>
          <w:sz w:val="24"/>
          <w:szCs w:val="24"/>
        </w:rPr>
        <w:t xml:space="preserve"> blødning eller perforation i anamnesen, der er forbundet med tidligere NSAID-behandling</w:t>
      </w:r>
    </w:p>
    <w:p w:rsidR="009D2186" w:rsidRPr="00163966" w:rsidRDefault="009D2186" w:rsidP="009D2186">
      <w:pPr>
        <w:pStyle w:val="Listeafsnit"/>
        <w:numPr>
          <w:ilvl w:val="0"/>
          <w:numId w:val="6"/>
        </w:numPr>
        <w:tabs>
          <w:tab w:val="left" w:pos="851"/>
        </w:tabs>
        <w:ind w:left="1134" w:hanging="283"/>
        <w:rPr>
          <w:sz w:val="24"/>
          <w:szCs w:val="24"/>
        </w:rPr>
      </w:pPr>
      <w:r w:rsidRPr="00163966">
        <w:rPr>
          <w:sz w:val="24"/>
          <w:szCs w:val="24"/>
        </w:rPr>
        <w:t xml:space="preserve">hos patienter med </w:t>
      </w:r>
      <w:proofErr w:type="gramStart"/>
      <w:r w:rsidRPr="00163966">
        <w:rPr>
          <w:sz w:val="24"/>
          <w:szCs w:val="24"/>
        </w:rPr>
        <w:t>aktiv eller tidligere tilfælde</w:t>
      </w:r>
      <w:proofErr w:type="gramEnd"/>
      <w:r w:rsidRPr="00163966">
        <w:rPr>
          <w:sz w:val="24"/>
          <w:szCs w:val="24"/>
        </w:rPr>
        <w:t xml:space="preserve"> af tilbagevendende </w:t>
      </w:r>
      <w:proofErr w:type="spellStart"/>
      <w:r w:rsidRPr="00163966">
        <w:rPr>
          <w:sz w:val="24"/>
          <w:szCs w:val="24"/>
        </w:rPr>
        <w:t>peptisk</w:t>
      </w:r>
      <w:proofErr w:type="spellEnd"/>
      <w:r w:rsidRPr="00163966">
        <w:rPr>
          <w:sz w:val="24"/>
          <w:szCs w:val="24"/>
        </w:rPr>
        <w:t xml:space="preserve"> </w:t>
      </w:r>
      <w:proofErr w:type="spellStart"/>
      <w:r w:rsidRPr="00163966">
        <w:rPr>
          <w:sz w:val="24"/>
          <w:szCs w:val="24"/>
        </w:rPr>
        <w:t>ulceration</w:t>
      </w:r>
      <w:proofErr w:type="spellEnd"/>
      <w:r w:rsidRPr="00163966">
        <w:rPr>
          <w:sz w:val="24"/>
          <w:szCs w:val="24"/>
        </w:rPr>
        <w:t xml:space="preserve">/blødning (mindst to adskilte episoder med påvist </w:t>
      </w:r>
      <w:proofErr w:type="spellStart"/>
      <w:r w:rsidRPr="00163966">
        <w:rPr>
          <w:sz w:val="24"/>
          <w:szCs w:val="24"/>
        </w:rPr>
        <w:t>ulceration</w:t>
      </w:r>
      <w:proofErr w:type="spellEnd"/>
      <w:r w:rsidRPr="00163966">
        <w:rPr>
          <w:sz w:val="24"/>
          <w:szCs w:val="24"/>
        </w:rPr>
        <w:t xml:space="preserve"> eller blødning)</w:t>
      </w:r>
    </w:p>
    <w:p w:rsidR="009D2186" w:rsidRPr="00163966" w:rsidRDefault="009D2186" w:rsidP="009D2186">
      <w:pPr>
        <w:pStyle w:val="Listeafsnit"/>
        <w:numPr>
          <w:ilvl w:val="0"/>
          <w:numId w:val="6"/>
        </w:numPr>
        <w:tabs>
          <w:tab w:val="left" w:pos="851"/>
        </w:tabs>
        <w:ind w:left="1134" w:hanging="283"/>
        <w:rPr>
          <w:sz w:val="24"/>
          <w:szCs w:val="24"/>
        </w:rPr>
      </w:pPr>
      <w:r w:rsidRPr="00163966">
        <w:rPr>
          <w:sz w:val="24"/>
          <w:szCs w:val="24"/>
        </w:rPr>
        <w:t>hos patienter med svær leverinsufficiens eller svær nyreinsufficiens (se pkt. 4.4.)</w:t>
      </w:r>
    </w:p>
    <w:p w:rsidR="009D2186" w:rsidRPr="00163966" w:rsidRDefault="009D2186" w:rsidP="009D2186">
      <w:pPr>
        <w:pStyle w:val="Listeafsnit"/>
        <w:numPr>
          <w:ilvl w:val="0"/>
          <w:numId w:val="6"/>
        </w:numPr>
        <w:tabs>
          <w:tab w:val="left" w:pos="851"/>
        </w:tabs>
        <w:ind w:left="1134" w:hanging="283"/>
        <w:rPr>
          <w:sz w:val="24"/>
          <w:szCs w:val="24"/>
        </w:rPr>
      </w:pPr>
      <w:r w:rsidRPr="00163966">
        <w:rPr>
          <w:sz w:val="24"/>
          <w:szCs w:val="24"/>
        </w:rPr>
        <w:t xml:space="preserve">hos patienter med </w:t>
      </w:r>
      <w:proofErr w:type="spellStart"/>
      <w:r w:rsidRPr="00163966">
        <w:rPr>
          <w:sz w:val="24"/>
          <w:szCs w:val="24"/>
        </w:rPr>
        <w:t>cerebrovaskulær</w:t>
      </w:r>
      <w:proofErr w:type="spellEnd"/>
      <w:r w:rsidRPr="00163966">
        <w:rPr>
          <w:sz w:val="24"/>
          <w:szCs w:val="24"/>
        </w:rPr>
        <w:t xml:space="preserve"> eller anden aktiv blødning</w:t>
      </w:r>
    </w:p>
    <w:p w:rsidR="009D2186" w:rsidRPr="00163966" w:rsidRDefault="009D2186" w:rsidP="009D2186">
      <w:pPr>
        <w:pStyle w:val="Listeafsnit"/>
        <w:numPr>
          <w:ilvl w:val="0"/>
          <w:numId w:val="6"/>
        </w:numPr>
        <w:tabs>
          <w:tab w:val="left" w:pos="851"/>
        </w:tabs>
        <w:ind w:left="1134" w:hanging="283"/>
        <w:rPr>
          <w:sz w:val="24"/>
          <w:szCs w:val="24"/>
        </w:rPr>
      </w:pPr>
      <w:r w:rsidRPr="00163966">
        <w:rPr>
          <w:sz w:val="24"/>
          <w:szCs w:val="24"/>
        </w:rPr>
        <w:t>hos patienter med koagulationsforstyrrelser samt tilstande, der medfører øget tendens til blødning</w:t>
      </w:r>
    </w:p>
    <w:p w:rsidR="009D2186" w:rsidRPr="00163966" w:rsidRDefault="009D2186" w:rsidP="009D2186">
      <w:pPr>
        <w:pStyle w:val="Listeafsnit"/>
        <w:numPr>
          <w:ilvl w:val="0"/>
          <w:numId w:val="6"/>
        </w:numPr>
        <w:tabs>
          <w:tab w:val="left" w:pos="851"/>
        </w:tabs>
        <w:ind w:left="1134" w:hanging="283"/>
        <w:rPr>
          <w:sz w:val="24"/>
          <w:szCs w:val="24"/>
        </w:rPr>
      </w:pPr>
      <w:r w:rsidRPr="00163966">
        <w:rPr>
          <w:sz w:val="24"/>
          <w:szCs w:val="24"/>
        </w:rPr>
        <w:t>hos patienter med svær dehydrering (forårsaget af opkastning, diarré eller utilstrækkeligt væskeindtag)</w:t>
      </w:r>
    </w:p>
    <w:p w:rsidR="009D2186" w:rsidRPr="00163966" w:rsidRDefault="009D2186" w:rsidP="009D2186">
      <w:pPr>
        <w:pStyle w:val="Listeafsnit"/>
        <w:numPr>
          <w:ilvl w:val="0"/>
          <w:numId w:val="6"/>
        </w:numPr>
        <w:tabs>
          <w:tab w:val="left" w:pos="851"/>
        </w:tabs>
        <w:ind w:left="1134" w:hanging="283"/>
        <w:rPr>
          <w:sz w:val="24"/>
          <w:szCs w:val="24"/>
        </w:rPr>
      </w:pPr>
      <w:r w:rsidRPr="00163966">
        <w:rPr>
          <w:sz w:val="24"/>
          <w:szCs w:val="24"/>
        </w:rPr>
        <w:t>under tredje trimester af en graviditet (se pkt. 4.6)</w:t>
      </w:r>
    </w:p>
    <w:p w:rsidR="009D2186" w:rsidRPr="00163966" w:rsidRDefault="009D2186" w:rsidP="009D2186">
      <w:pPr>
        <w:pStyle w:val="Listeafsnit"/>
        <w:numPr>
          <w:ilvl w:val="0"/>
          <w:numId w:val="6"/>
        </w:numPr>
        <w:tabs>
          <w:tab w:val="left" w:pos="851"/>
        </w:tabs>
        <w:ind w:left="1134" w:hanging="283"/>
        <w:rPr>
          <w:sz w:val="24"/>
          <w:szCs w:val="24"/>
        </w:rPr>
      </w:pPr>
      <w:r w:rsidRPr="00163966">
        <w:rPr>
          <w:sz w:val="24"/>
          <w:szCs w:val="24"/>
        </w:rPr>
        <w:t>hos patienter under 18 år.</w:t>
      </w: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4.4</w:t>
      </w:r>
      <w:r w:rsidRPr="00163966">
        <w:rPr>
          <w:b/>
          <w:sz w:val="24"/>
          <w:szCs w:val="24"/>
        </w:rPr>
        <w:tab/>
        <w:t>Særlige advarsler og forsigtighedsregler vedrørende brugen</w:t>
      </w:r>
    </w:p>
    <w:p w:rsidR="00F103E2" w:rsidRPr="00163966" w:rsidRDefault="00F103E2" w:rsidP="00F103E2">
      <w:pPr>
        <w:tabs>
          <w:tab w:val="left" w:pos="851"/>
        </w:tabs>
        <w:ind w:left="851"/>
        <w:rPr>
          <w:sz w:val="24"/>
          <w:szCs w:val="24"/>
        </w:rPr>
      </w:pPr>
      <w:r w:rsidRPr="00163966">
        <w:rPr>
          <w:sz w:val="24"/>
          <w:szCs w:val="24"/>
        </w:rPr>
        <w:t>Bivirkninger kan minimeres ved at anvende den laveste effektive dosis i den kortest mulige tid, der er nødvendig for at behandle symptomerne. Dette lægemiddel er beregnet til korttidsbrug, og anvendelse i mere end 2 dage anbefales ikke.</w:t>
      </w:r>
    </w:p>
    <w:p w:rsidR="00F103E2" w:rsidRPr="00163966" w:rsidRDefault="00F103E2" w:rsidP="00F103E2">
      <w:pPr>
        <w:tabs>
          <w:tab w:val="left" w:pos="851"/>
        </w:tabs>
        <w:ind w:left="851"/>
        <w:rPr>
          <w:sz w:val="24"/>
          <w:szCs w:val="24"/>
        </w:rPr>
      </w:pPr>
    </w:p>
    <w:p w:rsidR="004859AA" w:rsidRPr="00D26EF0" w:rsidRDefault="004859AA" w:rsidP="004859AA">
      <w:pPr>
        <w:tabs>
          <w:tab w:val="left" w:pos="851"/>
        </w:tabs>
        <w:ind w:left="851"/>
        <w:rPr>
          <w:sz w:val="24"/>
          <w:szCs w:val="24"/>
        </w:rPr>
      </w:pPr>
      <w:r w:rsidRPr="00D26EF0">
        <w:rPr>
          <w:sz w:val="24"/>
          <w:szCs w:val="24"/>
        </w:rPr>
        <w:t xml:space="preserve">Anvendelse af </w:t>
      </w:r>
      <w:r>
        <w:rPr>
          <w:sz w:val="24"/>
          <w:szCs w:val="24"/>
        </w:rPr>
        <w:t>dette lægemiddel</w:t>
      </w:r>
      <w:r w:rsidRPr="00D26EF0">
        <w:rPr>
          <w:sz w:val="24"/>
          <w:szCs w:val="24"/>
        </w:rPr>
        <w:t xml:space="preserve"> samtidig med </w:t>
      </w:r>
      <w:proofErr w:type="spellStart"/>
      <w:r w:rsidRPr="00D26EF0">
        <w:rPr>
          <w:sz w:val="24"/>
          <w:szCs w:val="24"/>
        </w:rPr>
        <w:t>NSAIDer</w:t>
      </w:r>
      <w:proofErr w:type="spellEnd"/>
      <w:r w:rsidRPr="00D26EF0">
        <w:rPr>
          <w:sz w:val="24"/>
          <w:szCs w:val="24"/>
        </w:rPr>
        <w:t>, herunder selektive cyklooxygenase-2-hæmmere, skal undgås.</w:t>
      </w:r>
    </w:p>
    <w:p w:rsidR="003D1B0E" w:rsidRPr="00163966" w:rsidRDefault="003D1B0E">
      <w:pPr>
        <w:rPr>
          <w:sz w:val="24"/>
          <w:szCs w:val="24"/>
        </w:rPr>
      </w:pPr>
      <w:r w:rsidRPr="00163966">
        <w:rPr>
          <w:sz w:val="24"/>
          <w:szCs w:val="24"/>
        </w:rPr>
        <w:br w:type="page"/>
      </w:r>
    </w:p>
    <w:p w:rsidR="00F103E2" w:rsidRPr="00163966" w:rsidRDefault="00F103E2" w:rsidP="00F103E2">
      <w:pPr>
        <w:tabs>
          <w:tab w:val="left" w:pos="851"/>
        </w:tabs>
        <w:ind w:left="851"/>
        <w:rPr>
          <w:sz w:val="24"/>
          <w:szCs w:val="24"/>
        </w:rPr>
      </w:pPr>
    </w:p>
    <w:p w:rsidR="003D1B0E" w:rsidRPr="00163966" w:rsidRDefault="00F103E2" w:rsidP="00F103E2">
      <w:pPr>
        <w:tabs>
          <w:tab w:val="left" w:pos="851"/>
        </w:tabs>
        <w:ind w:left="851"/>
        <w:rPr>
          <w:sz w:val="24"/>
          <w:szCs w:val="24"/>
        </w:rPr>
      </w:pPr>
      <w:r w:rsidRPr="00163966">
        <w:rPr>
          <w:sz w:val="24"/>
          <w:szCs w:val="24"/>
        </w:rPr>
        <w:t>For at undgå risikoen for overdosering</w:t>
      </w:r>
    </w:p>
    <w:p w:rsidR="003D1B0E" w:rsidRPr="00163966" w:rsidRDefault="00F103E2" w:rsidP="003D1B0E">
      <w:pPr>
        <w:pStyle w:val="Listeafsnit"/>
        <w:numPr>
          <w:ilvl w:val="0"/>
          <w:numId w:val="8"/>
        </w:numPr>
        <w:tabs>
          <w:tab w:val="left" w:pos="851"/>
        </w:tabs>
        <w:ind w:left="1134" w:hanging="283"/>
        <w:rPr>
          <w:sz w:val="24"/>
          <w:szCs w:val="24"/>
        </w:rPr>
      </w:pPr>
      <w:r w:rsidRPr="00163966">
        <w:rPr>
          <w:sz w:val="24"/>
          <w:szCs w:val="24"/>
        </w:rPr>
        <w:t xml:space="preserve">skal det kontrolleres, at anden medicin ikke indeholder paracetamol eller </w:t>
      </w:r>
      <w:proofErr w:type="spellStart"/>
      <w:r w:rsidRPr="00163966">
        <w:rPr>
          <w:sz w:val="24"/>
          <w:szCs w:val="24"/>
        </w:rPr>
        <w:t>NSAIDer</w:t>
      </w:r>
      <w:proofErr w:type="spellEnd"/>
    </w:p>
    <w:p w:rsidR="00F103E2" w:rsidRPr="00163966" w:rsidRDefault="00F103E2" w:rsidP="003D1B0E">
      <w:pPr>
        <w:pStyle w:val="Listeafsnit"/>
        <w:numPr>
          <w:ilvl w:val="0"/>
          <w:numId w:val="8"/>
        </w:numPr>
        <w:tabs>
          <w:tab w:val="left" w:pos="851"/>
        </w:tabs>
        <w:ind w:left="1134" w:hanging="283"/>
        <w:rPr>
          <w:sz w:val="24"/>
          <w:szCs w:val="24"/>
        </w:rPr>
      </w:pPr>
      <w:r w:rsidRPr="00163966">
        <w:rPr>
          <w:sz w:val="24"/>
          <w:szCs w:val="24"/>
        </w:rPr>
        <w:t>skal de anbefalede maksimumdoser overholdes (se pkt. 4.2).</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sz w:val="24"/>
          <w:szCs w:val="24"/>
          <w:u w:val="single"/>
        </w:rPr>
      </w:pPr>
      <w:proofErr w:type="spellStart"/>
      <w:r w:rsidRPr="00163966">
        <w:rPr>
          <w:sz w:val="24"/>
          <w:szCs w:val="24"/>
          <w:u w:val="single"/>
        </w:rPr>
        <w:t>Kardiovaskulære</w:t>
      </w:r>
      <w:proofErr w:type="spellEnd"/>
      <w:r w:rsidRPr="00163966">
        <w:rPr>
          <w:sz w:val="24"/>
          <w:szCs w:val="24"/>
          <w:u w:val="single"/>
        </w:rPr>
        <w:t xml:space="preserve"> </w:t>
      </w:r>
      <w:proofErr w:type="spellStart"/>
      <w:r w:rsidRPr="00163966">
        <w:rPr>
          <w:sz w:val="24"/>
          <w:szCs w:val="24"/>
          <w:u w:val="single"/>
        </w:rPr>
        <w:t>trombotiske</w:t>
      </w:r>
      <w:proofErr w:type="spellEnd"/>
      <w:r w:rsidRPr="00163966">
        <w:rPr>
          <w:sz w:val="24"/>
          <w:szCs w:val="24"/>
          <w:u w:val="single"/>
        </w:rPr>
        <w:t xml:space="preserve"> hændelser</w:t>
      </w:r>
    </w:p>
    <w:p w:rsidR="00F103E2" w:rsidRPr="00163966" w:rsidRDefault="00F103E2" w:rsidP="00F103E2">
      <w:pPr>
        <w:tabs>
          <w:tab w:val="left" w:pos="851"/>
        </w:tabs>
        <w:ind w:left="851"/>
        <w:rPr>
          <w:sz w:val="24"/>
          <w:szCs w:val="24"/>
        </w:rPr>
      </w:pPr>
      <w:r w:rsidRPr="00163966">
        <w:rPr>
          <w:sz w:val="24"/>
          <w:szCs w:val="24"/>
        </w:rPr>
        <w:t xml:space="preserve">Kliniske studier indikerer, at anvendelse af ibuprofen, især i en høj dosis (2.400 mg/dag), kan være forbundet med en let forhøjet risiko for arterielle </w:t>
      </w:r>
      <w:proofErr w:type="spellStart"/>
      <w:r w:rsidRPr="00163966">
        <w:rPr>
          <w:sz w:val="24"/>
          <w:szCs w:val="24"/>
        </w:rPr>
        <w:t>trombotiske</w:t>
      </w:r>
      <w:proofErr w:type="spellEnd"/>
      <w:r w:rsidRPr="00163966">
        <w:rPr>
          <w:sz w:val="24"/>
          <w:szCs w:val="24"/>
        </w:rPr>
        <w:t xml:space="preserve"> hændelser (for eksempel myokardieinfarkt eller stroke). Generelt indikerer epidemiologiske studier ikke, at en lav dosis ibuprofen (fx 1.200 mg/dag) er forbundet med forhøjet risiko for arterielle </w:t>
      </w:r>
      <w:proofErr w:type="spellStart"/>
      <w:r w:rsidRPr="00163966">
        <w:rPr>
          <w:sz w:val="24"/>
          <w:szCs w:val="24"/>
        </w:rPr>
        <w:t>trombotiske</w:t>
      </w:r>
      <w:proofErr w:type="spellEnd"/>
      <w:r w:rsidRPr="00163966">
        <w:rPr>
          <w:sz w:val="24"/>
          <w:szCs w:val="24"/>
        </w:rPr>
        <w:t xml:space="preserve"> hændelser.</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sz w:val="24"/>
          <w:szCs w:val="24"/>
        </w:rPr>
      </w:pPr>
      <w:r w:rsidRPr="00163966">
        <w:rPr>
          <w:sz w:val="24"/>
          <w:szCs w:val="24"/>
        </w:rPr>
        <w:t xml:space="preserve">Patienter med ukontrolleret hypertension, kongestiv hjerteinsufficiens (NYHA-klasse II-III), konstateret iskæmisk hjertesygdom, perifer arteriel sygdom og/eller </w:t>
      </w:r>
      <w:proofErr w:type="spellStart"/>
      <w:r w:rsidRPr="00163966">
        <w:rPr>
          <w:sz w:val="24"/>
          <w:szCs w:val="24"/>
        </w:rPr>
        <w:t>cerebrovaskulær</w:t>
      </w:r>
      <w:proofErr w:type="spellEnd"/>
      <w:r w:rsidRPr="00163966">
        <w:rPr>
          <w:sz w:val="24"/>
          <w:szCs w:val="24"/>
        </w:rPr>
        <w:t xml:space="preserve"> sygdom må kun behandles med ibuprofen efter nøje overvejelse, og høje doser (2.400 mg/dag) skal undgås.</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sz w:val="24"/>
          <w:szCs w:val="24"/>
        </w:rPr>
      </w:pPr>
      <w:r w:rsidRPr="00163966">
        <w:rPr>
          <w:sz w:val="24"/>
          <w:szCs w:val="24"/>
        </w:rPr>
        <w:t xml:space="preserve">Det skal også overvejes nøje, inden langtidsbehandling af patienter med risikofaktorer for </w:t>
      </w:r>
      <w:proofErr w:type="spellStart"/>
      <w:r w:rsidRPr="00163966">
        <w:rPr>
          <w:sz w:val="24"/>
          <w:szCs w:val="24"/>
        </w:rPr>
        <w:t>kardiovaskulære</w:t>
      </w:r>
      <w:proofErr w:type="spellEnd"/>
      <w:r w:rsidRPr="00163966">
        <w:rPr>
          <w:sz w:val="24"/>
          <w:szCs w:val="24"/>
        </w:rPr>
        <w:t xml:space="preserve"> hændelser (fx hypertension, </w:t>
      </w:r>
      <w:proofErr w:type="spellStart"/>
      <w:r w:rsidRPr="00163966">
        <w:rPr>
          <w:sz w:val="24"/>
          <w:szCs w:val="24"/>
        </w:rPr>
        <w:t>hyperlipidæmi</w:t>
      </w:r>
      <w:proofErr w:type="spellEnd"/>
      <w:r w:rsidRPr="00163966">
        <w:rPr>
          <w:sz w:val="24"/>
          <w:szCs w:val="24"/>
        </w:rPr>
        <w:t>, diabetes mellitus samt rygning) initieres. Det gælder især, hvis der er behov for høje doser ibuprofen (2.400 mg/dag).</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bCs/>
          <w:iCs/>
          <w:sz w:val="24"/>
          <w:szCs w:val="24"/>
          <w:u w:val="single"/>
        </w:rPr>
      </w:pPr>
      <w:r w:rsidRPr="00163966">
        <w:rPr>
          <w:bCs/>
          <w:iCs/>
          <w:sz w:val="24"/>
          <w:szCs w:val="24"/>
          <w:u w:val="single"/>
        </w:rPr>
        <w:t>Nedsat leverfunktion</w:t>
      </w:r>
    </w:p>
    <w:p w:rsidR="00F103E2" w:rsidRPr="00163966" w:rsidRDefault="00F103E2" w:rsidP="00F103E2">
      <w:pPr>
        <w:tabs>
          <w:tab w:val="left" w:pos="851"/>
        </w:tabs>
        <w:ind w:left="851"/>
        <w:rPr>
          <w:sz w:val="24"/>
          <w:szCs w:val="24"/>
        </w:rPr>
      </w:pPr>
      <w:r w:rsidRPr="00163966">
        <w:rPr>
          <w:sz w:val="24"/>
          <w:szCs w:val="24"/>
        </w:rPr>
        <w:t xml:space="preserve">Anvendelse af paracetamol i doser højere end de anbefalede kan føre til </w:t>
      </w:r>
      <w:proofErr w:type="spellStart"/>
      <w:r w:rsidRPr="00163966">
        <w:rPr>
          <w:sz w:val="24"/>
          <w:szCs w:val="24"/>
        </w:rPr>
        <w:t>hepatotoksicitet</w:t>
      </w:r>
      <w:proofErr w:type="spellEnd"/>
      <w:r w:rsidRPr="00163966">
        <w:rPr>
          <w:sz w:val="24"/>
          <w:szCs w:val="24"/>
        </w:rPr>
        <w:t xml:space="preserve"> og endda leverinsufficiens og død. Desuden skal patienter med nedsat leverfunktion eller leversygdom i anamnesen, som er i langtidsbehandling med ibuprofen eller paracetamol, have leverfunktionen kontrolleret med regelmæssige intervaller, da det er rapporteret, at ibuprofen har en mindre og forbigående virkning på leverenzymerne. Reduktion af dosis anbefales hos patienter, der udviser tegn på forværring af leverfunktionen. Behandlingen skal afbrydes hos patienter, som udvikler svær leverinsufficiens (se pkt. 4.3).</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sz w:val="24"/>
          <w:szCs w:val="24"/>
        </w:rPr>
      </w:pPr>
      <w:r w:rsidRPr="00163966">
        <w:rPr>
          <w:sz w:val="24"/>
          <w:szCs w:val="24"/>
        </w:rPr>
        <w:t xml:space="preserve">Som det er tilfældet med andre </w:t>
      </w:r>
      <w:proofErr w:type="spellStart"/>
      <w:r w:rsidRPr="00163966">
        <w:rPr>
          <w:sz w:val="24"/>
          <w:szCs w:val="24"/>
        </w:rPr>
        <w:t>NSAIDer</w:t>
      </w:r>
      <w:proofErr w:type="spellEnd"/>
      <w:r w:rsidRPr="00163966">
        <w:rPr>
          <w:sz w:val="24"/>
          <w:szCs w:val="24"/>
        </w:rPr>
        <w:t xml:space="preserve">, er der også for ibuprofen indberettet alvorlige leverreaktioner, herunder gulsot og tilfælde af fatal hepatitis, om end disse har været sjældne. Ibuprofen skal seponeres, hvis unormale resultater af leverfunktionstest vedvarer eller forværres; hvis der udvikles kliniske tegn og symptomer svarende til leversygdom, eller der opstår systemiske manifestationer (fx </w:t>
      </w:r>
      <w:proofErr w:type="spellStart"/>
      <w:r w:rsidRPr="00163966">
        <w:rPr>
          <w:sz w:val="24"/>
          <w:szCs w:val="24"/>
        </w:rPr>
        <w:t>eosinofili</w:t>
      </w:r>
      <w:proofErr w:type="spellEnd"/>
      <w:r w:rsidRPr="00163966">
        <w:rPr>
          <w:sz w:val="24"/>
          <w:szCs w:val="24"/>
        </w:rPr>
        <w:t xml:space="preserve">, udslæt osv.). Det er rapporteret, at begge aktive stoffer har forårsaget </w:t>
      </w:r>
      <w:proofErr w:type="spellStart"/>
      <w:r w:rsidRPr="00163966">
        <w:rPr>
          <w:sz w:val="24"/>
          <w:szCs w:val="24"/>
        </w:rPr>
        <w:t>hepatotoksicitet</w:t>
      </w:r>
      <w:proofErr w:type="spellEnd"/>
      <w:r w:rsidRPr="00163966">
        <w:rPr>
          <w:sz w:val="24"/>
          <w:szCs w:val="24"/>
        </w:rPr>
        <w:t xml:space="preserve"> og endda leverinsufficiens, især paracetamol.</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bCs/>
          <w:iCs/>
          <w:sz w:val="24"/>
          <w:szCs w:val="24"/>
          <w:u w:val="single"/>
        </w:rPr>
      </w:pPr>
      <w:r w:rsidRPr="00163966">
        <w:rPr>
          <w:bCs/>
          <w:iCs/>
          <w:sz w:val="24"/>
          <w:szCs w:val="24"/>
          <w:u w:val="single"/>
        </w:rPr>
        <w:t>Nedsat nyrefunktion</w:t>
      </w:r>
    </w:p>
    <w:p w:rsidR="00F103E2" w:rsidRPr="00163966" w:rsidRDefault="00F103E2" w:rsidP="00F103E2">
      <w:pPr>
        <w:tabs>
          <w:tab w:val="left" w:pos="851"/>
        </w:tabs>
        <w:ind w:left="851"/>
        <w:rPr>
          <w:bCs/>
          <w:iCs/>
          <w:sz w:val="24"/>
          <w:szCs w:val="24"/>
        </w:rPr>
      </w:pPr>
      <w:r w:rsidRPr="00163966">
        <w:rPr>
          <w:sz w:val="24"/>
          <w:szCs w:val="24"/>
        </w:rPr>
        <w:t xml:space="preserve">Paracetamol kan anvendes til patienter med kronisk nyresygdom uden at justere doseringen. Der er minimal risiko for toksicitet af paracetamol hos patienter med moderat til svær nyreinsufficiens. På grund af indholdet af ibuprofen i dette produkt skal der dog udvises forsigtighed i forbindelse med initiering af behandling med ibuprofen hos patienter, der er dehydrerede. Ibuprofens to vigtigste metabolitter udskilles fortrinsvis i urinen, og en nedsat nyrefunktion kan medføre akkumulering af disse metabolitter. Betydningen af dette kendes ikke. Det er rapporteret, at </w:t>
      </w:r>
      <w:proofErr w:type="spellStart"/>
      <w:r w:rsidRPr="00163966">
        <w:rPr>
          <w:sz w:val="24"/>
          <w:szCs w:val="24"/>
        </w:rPr>
        <w:t>NSAIDer</w:t>
      </w:r>
      <w:proofErr w:type="spellEnd"/>
      <w:r w:rsidRPr="00163966">
        <w:rPr>
          <w:sz w:val="24"/>
          <w:szCs w:val="24"/>
        </w:rPr>
        <w:t xml:space="preserve"> har forårsaget </w:t>
      </w:r>
      <w:proofErr w:type="spellStart"/>
      <w:r w:rsidRPr="00163966">
        <w:rPr>
          <w:sz w:val="24"/>
          <w:szCs w:val="24"/>
        </w:rPr>
        <w:t>nefrotoksicitet</w:t>
      </w:r>
      <w:proofErr w:type="spellEnd"/>
      <w:r w:rsidRPr="00163966">
        <w:rPr>
          <w:sz w:val="24"/>
          <w:szCs w:val="24"/>
        </w:rPr>
        <w:t xml:space="preserve"> i forskellige former: </w:t>
      </w:r>
      <w:proofErr w:type="spellStart"/>
      <w:r w:rsidRPr="00163966">
        <w:rPr>
          <w:sz w:val="24"/>
          <w:szCs w:val="24"/>
        </w:rPr>
        <w:t>interstitiel</w:t>
      </w:r>
      <w:proofErr w:type="spellEnd"/>
      <w:r w:rsidRPr="00163966">
        <w:rPr>
          <w:sz w:val="24"/>
          <w:szCs w:val="24"/>
        </w:rPr>
        <w:t xml:space="preserve"> </w:t>
      </w:r>
      <w:proofErr w:type="spellStart"/>
      <w:r w:rsidRPr="00163966">
        <w:rPr>
          <w:sz w:val="24"/>
          <w:szCs w:val="24"/>
        </w:rPr>
        <w:t>nefritis</w:t>
      </w:r>
      <w:proofErr w:type="spellEnd"/>
      <w:r w:rsidRPr="00163966">
        <w:rPr>
          <w:sz w:val="24"/>
          <w:szCs w:val="24"/>
        </w:rPr>
        <w:t xml:space="preserve">, </w:t>
      </w:r>
      <w:proofErr w:type="spellStart"/>
      <w:r w:rsidRPr="00163966">
        <w:rPr>
          <w:sz w:val="24"/>
          <w:szCs w:val="24"/>
        </w:rPr>
        <w:t>nefrotisk</w:t>
      </w:r>
      <w:proofErr w:type="spellEnd"/>
      <w:r w:rsidRPr="00163966">
        <w:rPr>
          <w:sz w:val="24"/>
          <w:szCs w:val="24"/>
        </w:rPr>
        <w:t xml:space="preserve"> syndrom samt nyreinsufficiens. En svækkelse af nyrefunktionen efter anvendelse af ibuprofen er normalt reversibel. Hos patienter med nedsat nyre-, hjerte- eller leverfunktion, patienter, der får </w:t>
      </w:r>
      <w:proofErr w:type="spellStart"/>
      <w:r w:rsidRPr="00163966">
        <w:rPr>
          <w:sz w:val="24"/>
          <w:szCs w:val="24"/>
        </w:rPr>
        <w:t>diuretika</w:t>
      </w:r>
      <w:proofErr w:type="spellEnd"/>
      <w:r w:rsidRPr="00163966">
        <w:rPr>
          <w:sz w:val="24"/>
          <w:szCs w:val="24"/>
        </w:rPr>
        <w:t xml:space="preserve"> og ACE-</w:t>
      </w:r>
      <w:proofErr w:type="spellStart"/>
      <w:r w:rsidRPr="00163966">
        <w:rPr>
          <w:sz w:val="24"/>
          <w:szCs w:val="24"/>
        </w:rPr>
        <w:t>hæmmere</w:t>
      </w:r>
      <w:proofErr w:type="spellEnd"/>
      <w:r w:rsidRPr="00163966">
        <w:rPr>
          <w:sz w:val="24"/>
          <w:szCs w:val="24"/>
        </w:rPr>
        <w:t xml:space="preserve">, samt ældre personer skal der udvises forsigtighed, da </w:t>
      </w:r>
      <w:r w:rsidRPr="00163966">
        <w:rPr>
          <w:sz w:val="24"/>
          <w:szCs w:val="24"/>
        </w:rPr>
        <w:lastRenderedPageBreak/>
        <w:t xml:space="preserve">anvendelse af </w:t>
      </w:r>
      <w:proofErr w:type="spellStart"/>
      <w:r w:rsidRPr="00163966">
        <w:rPr>
          <w:sz w:val="24"/>
          <w:szCs w:val="24"/>
        </w:rPr>
        <w:t>NSAIDer</w:t>
      </w:r>
      <w:proofErr w:type="spellEnd"/>
      <w:r w:rsidRPr="00163966">
        <w:rPr>
          <w:sz w:val="24"/>
          <w:szCs w:val="24"/>
        </w:rPr>
        <w:t xml:space="preserve"> kan medføre svækkelse af nyrefunktionen. Dosen bør være så lav som muligt, og nyrefunktionen skal monitoreres hos disse patienter. Behandlingen skal afbrydes hos patienter, som udvikler svær nyreinsufficiens (se pkt. 4.3).</w:t>
      </w:r>
    </w:p>
    <w:p w:rsidR="00F103E2" w:rsidRPr="00163966" w:rsidRDefault="00F103E2" w:rsidP="00F103E2">
      <w:pPr>
        <w:tabs>
          <w:tab w:val="left" w:pos="851"/>
        </w:tabs>
        <w:ind w:left="851"/>
        <w:rPr>
          <w:sz w:val="24"/>
          <w:szCs w:val="24"/>
        </w:rPr>
      </w:pPr>
    </w:p>
    <w:p w:rsidR="004859AA" w:rsidRPr="00D26EF0" w:rsidRDefault="004859AA" w:rsidP="004859AA">
      <w:pPr>
        <w:tabs>
          <w:tab w:val="left" w:pos="851"/>
        </w:tabs>
        <w:ind w:left="851"/>
        <w:rPr>
          <w:bCs/>
          <w:iCs/>
          <w:sz w:val="24"/>
          <w:szCs w:val="24"/>
          <w:u w:val="single"/>
        </w:rPr>
      </w:pPr>
      <w:r w:rsidRPr="00D26EF0">
        <w:rPr>
          <w:bCs/>
          <w:iCs/>
          <w:sz w:val="24"/>
          <w:szCs w:val="24"/>
          <w:u w:val="single"/>
        </w:rPr>
        <w:t>Kombineret anvendelse af ACE-</w:t>
      </w:r>
      <w:proofErr w:type="spellStart"/>
      <w:r w:rsidRPr="00D26EF0">
        <w:rPr>
          <w:bCs/>
          <w:iCs/>
          <w:sz w:val="24"/>
          <w:szCs w:val="24"/>
          <w:u w:val="single"/>
        </w:rPr>
        <w:t>hæmmere</w:t>
      </w:r>
      <w:proofErr w:type="spellEnd"/>
      <w:r w:rsidRPr="00D26EF0">
        <w:rPr>
          <w:bCs/>
          <w:iCs/>
          <w:sz w:val="24"/>
          <w:szCs w:val="24"/>
          <w:u w:val="single"/>
        </w:rPr>
        <w:t xml:space="preserve"> eller </w:t>
      </w:r>
      <w:proofErr w:type="spellStart"/>
      <w:r w:rsidRPr="00D26EF0">
        <w:rPr>
          <w:bCs/>
          <w:iCs/>
          <w:sz w:val="24"/>
          <w:szCs w:val="24"/>
          <w:u w:val="single"/>
        </w:rPr>
        <w:t>angiotensinreceptorantagonister</w:t>
      </w:r>
      <w:proofErr w:type="spellEnd"/>
      <w:r w:rsidRPr="00D26EF0">
        <w:rPr>
          <w:bCs/>
          <w:iCs/>
          <w:sz w:val="24"/>
          <w:szCs w:val="24"/>
          <w:u w:val="single"/>
        </w:rPr>
        <w:t xml:space="preserve">, antiinflammatoriske lægemidler og </w:t>
      </w:r>
      <w:proofErr w:type="spellStart"/>
      <w:r w:rsidRPr="00D26EF0">
        <w:rPr>
          <w:bCs/>
          <w:iCs/>
          <w:sz w:val="24"/>
          <w:szCs w:val="24"/>
          <w:u w:val="single"/>
        </w:rPr>
        <w:t>thiaziddiuretika</w:t>
      </w:r>
      <w:proofErr w:type="spellEnd"/>
    </w:p>
    <w:p w:rsidR="004859AA" w:rsidRPr="00D26EF0" w:rsidRDefault="004859AA" w:rsidP="004859AA">
      <w:pPr>
        <w:tabs>
          <w:tab w:val="left" w:pos="851"/>
        </w:tabs>
        <w:ind w:left="851"/>
        <w:rPr>
          <w:sz w:val="24"/>
          <w:szCs w:val="24"/>
        </w:rPr>
      </w:pPr>
      <w:r w:rsidRPr="00D26EF0">
        <w:rPr>
          <w:sz w:val="24"/>
          <w:szCs w:val="24"/>
        </w:rPr>
        <w:t xml:space="preserve">Anvendelse af et ACE-hæmmende lægemiddel (ACE-hæmmer eller </w:t>
      </w:r>
      <w:proofErr w:type="spellStart"/>
      <w:r w:rsidRPr="00D26EF0">
        <w:rPr>
          <w:sz w:val="24"/>
          <w:szCs w:val="24"/>
        </w:rPr>
        <w:t>angiotensinreceptor</w:t>
      </w:r>
      <w:proofErr w:type="spellEnd"/>
      <w:r>
        <w:rPr>
          <w:sz w:val="24"/>
          <w:szCs w:val="24"/>
        </w:rPr>
        <w:t>-</w:t>
      </w:r>
      <w:r w:rsidRPr="00D26EF0">
        <w:rPr>
          <w:sz w:val="24"/>
          <w:szCs w:val="24"/>
        </w:rPr>
        <w:t xml:space="preserve">antagonist), et antiinflammatorisk lægemiddel (NSAID eller COX-2-hæmmer) samt </w:t>
      </w:r>
      <w:proofErr w:type="spellStart"/>
      <w:r w:rsidRPr="00D26EF0">
        <w:rPr>
          <w:sz w:val="24"/>
          <w:szCs w:val="24"/>
        </w:rPr>
        <w:t>thiaziddiuretika</w:t>
      </w:r>
      <w:proofErr w:type="spellEnd"/>
      <w:r w:rsidRPr="00D26EF0">
        <w:rPr>
          <w:sz w:val="24"/>
          <w:szCs w:val="24"/>
        </w:rPr>
        <w:t xml:space="preserve"> på samme tid øger risikoen for nyreinsufficiens. Dette omfatter også anvendelse i produkter som faste kombinationer, der indeholder mere end én lægemiddelklasse. Kombineret anvendelse af disse præparater skal ledsages af øget monitorering af </w:t>
      </w:r>
      <w:proofErr w:type="spellStart"/>
      <w:r w:rsidRPr="00D26EF0">
        <w:rPr>
          <w:sz w:val="24"/>
          <w:szCs w:val="24"/>
        </w:rPr>
        <w:t>serumkreatinin</w:t>
      </w:r>
      <w:proofErr w:type="spellEnd"/>
      <w:r w:rsidRPr="00D26EF0">
        <w:rPr>
          <w:sz w:val="24"/>
          <w:szCs w:val="24"/>
        </w:rPr>
        <w:t>, især ved iværksættelse af kombinationen. Lægemidler fra disse tre klasser skal kombineres med forsigtighed, især hos ældre patienter eller patienter med eksisterende nyresvækkelse.</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bCs/>
          <w:iCs/>
          <w:sz w:val="24"/>
          <w:szCs w:val="24"/>
          <w:u w:val="single"/>
        </w:rPr>
      </w:pPr>
      <w:r w:rsidRPr="00163966">
        <w:rPr>
          <w:bCs/>
          <w:iCs/>
          <w:sz w:val="24"/>
          <w:szCs w:val="24"/>
          <w:u w:val="single"/>
        </w:rPr>
        <w:t>Ældre</w:t>
      </w:r>
    </w:p>
    <w:p w:rsidR="00F103E2" w:rsidRPr="00163966" w:rsidRDefault="00F103E2" w:rsidP="00F103E2">
      <w:pPr>
        <w:tabs>
          <w:tab w:val="left" w:pos="851"/>
        </w:tabs>
        <w:ind w:left="851"/>
        <w:rPr>
          <w:sz w:val="24"/>
          <w:szCs w:val="24"/>
        </w:rPr>
      </w:pPr>
      <w:r w:rsidRPr="00163966">
        <w:rPr>
          <w:sz w:val="24"/>
          <w:szCs w:val="24"/>
        </w:rPr>
        <w:t xml:space="preserve">Dosen skal være så lav som muligt og bruges i den kortest mulige tid, der er nødvendig for at behandle symptomerne. Der skal udvises forsigtighed ved anvendelse af ibuprofen til voksne over 65 år, hvor </w:t>
      </w:r>
      <w:proofErr w:type="spellStart"/>
      <w:r w:rsidRPr="00163966">
        <w:rPr>
          <w:sz w:val="24"/>
          <w:szCs w:val="24"/>
        </w:rPr>
        <w:t>komorbiditeter</w:t>
      </w:r>
      <w:proofErr w:type="spellEnd"/>
      <w:r w:rsidRPr="00163966">
        <w:rPr>
          <w:sz w:val="24"/>
          <w:szCs w:val="24"/>
        </w:rPr>
        <w:t xml:space="preserve"> og samtidig medicinering skal tages i betragtning på grund af en forhøjet risiko for bivirkninger, især hjerteinsufficiens, </w:t>
      </w:r>
      <w:proofErr w:type="spellStart"/>
      <w:r w:rsidRPr="00163966">
        <w:rPr>
          <w:sz w:val="24"/>
          <w:szCs w:val="24"/>
        </w:rPr>
        <w:t>gastrointestinal</w:t>
      </w:r>
      <w:proofErr w:type="spellEnd"/>
      <w:r w:rsidRPr="00163966">
        <w:rPr>
          <w:sz w:val="24"/>
          <w:szCs w:val="24"/>
        </w:rPr>
        <w:t xml:space="preserve"> </w:t>
      </w:r>
      <w:proofErr w:type="spellStart"/>
      <w:r w:rsidRPr="00163966">
        <w:rPr>
          <w:sz w:val="24"/>
          <w:szCs w:val="24"/>
        </w:rPr>
        <w:t>ulceration</w:t>
      </w:r>
      <w:proofErr w:type="spellEnd"/>
      <w:r w:rsidRPr="00163966">
        <w:rPr>
          <w:sz w:val="24"/>
          <w:szCs w:val="24"/>
        </w:rPr>
        <w:t xml:space="preserve"> og nyresvækkelse.</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bCs/>
          <w:iCs/>
          <w:sz w:val="24"/>
          <w:szCs w:val="24"/>
          <w:u w:val="single"/>
        </w:rPr>
      </w:pPr>
      <w:r w:rsidRPr="00163966">
        <w:rPr>
          <w:bCs/>
          <w:iCs/>
          <w:sz w:val="24"/>
          <w:szCs w:val="24"/>
          <w:u w:val="single"/>
        </w:rPr>
        <w:t>Hæmatologiske virkninger</w:t>
      </w:r>
    </w:p>
    <w:p w:rsidR="00F103E2" w:rsidRPr="00163966" w:rsidRDefault="00F103E2" w:rsidP="00F103E2">
      <w:pPr>
        <w:tabs>
          <w:tab w:val="left" w:pos="851"/>
        </w:tabs>
        <w:ind w:left="851"/>
        <w:rPr>
          <w:sz w:val="24"/>
          <w:szCs w:val="24"/>
        </w:rPr>
      </w:pPr>
      <w:r w:rsidRPr="00163966">
        <w:rPr>
          <w:sz w:val="24"/>
          <w:szCs w:val="24"/>
        </w:rPr>
        <w:t xml:space="preserve">Der er rapporteret sjældne tilfælde af </w:t>
      </w:r>
      <w:proofErr w:type="spellStart"/>
      <w:r w:rsidRPr="00163966">
        <w:rPr>
          <w:sz w:val="24"/>
          <w:szCs w:val="24"/>
        </w:rPr>
        <w:t>bloddyskrasier</w:t>
      </w:r>
      <w:proofErr w:type="spellEnd"/>
      <w:r w:rsidRPr="00163966">
        <w:rPr>
          <w:sz w:val="24"/>
          <w:szCs w:val="24"/>
        </w:rPr>
        <w:t>. Patienter i langtidsbehandling med ibuprofen skal regelmæssigt underkastes hæmatologisk monitorering.</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bCs/>
          <w:iCs/>
          <w:sz w:val="24"/>
          <w:szCs w:val="24"/>
          <w:u w:val="single"/>
        </w:rPr>
      </w:pPr>
      <w:proofErr w:type="spellStart"/>
      <w:r w:rsidRPr="00163966">
        <w:rPr>
          <w:bCs/>
          <w:iCs/>
          <w:sz w:val="24"/>
          <w:szCs w:val="24"/>
          <w:u w:val="single"/>
        </w:rPr>
        <w:t>Anafylaktoide</w:t>
      </w:r>
      <w:proofErr w:type="spellEnd"/>
      <w:r w:rsidRPr="00163966">
        <w:rPr>
          <w:bCs/>
          <w:iCs/>
          <w:sz w:val="24"/>
          <w:szCs w:val="24"/>
          <w:u w:val="single"/>
        </w:rPr>
        <w:t xml:space="preserve"> reaktioner</w:t>
      </w:r>
    </w:p>
    <w:p w:rsidR="00F103E2" w:rsidRPr="00163966" w:rsidRDefault="00F103E2" w:rsidP="00F103E2">
      <w:pPr>
        <w:tabs>
          <w:tab w:val="left" w:pos="851"/>
        </w:tabs>
        <w:ind w:left="851"/>
        <w:rPr>
          <w:sz w:val="24"/>
          <w:szCs w:val="24"/>
        </w:rPr>
      </w:pPr>
      <w:r w:rsidRPr="00163966">
        <w:rPr>
          <w:sz w:val="24"/>
          <w:szCs w:val="24"/>
        </w:rPr>
        <w:t xml:space="preserve">Som standardpraksis ved intravenøs infusion anbefales nøje monitorering af patienten, især i starten af infusionen, for at opdage en eventuel </w:t>
      </w:r>
      <w:proofErr w:type="spellStart"/>
      <w:r w:rsidRPr="00163966">
        <w:rPr>
          <w:sz w:val="24"/>
          <w:szCs w:val="24"/>
        </w:rPr>
        <w:t>anafylaktisk</w:t>
      </w:r>
      <w:proofErr w:type="spellEnd"/>
      <w:r w:rsidRPr="00163966">
        <w:rPr>
          <w:sz w:val="24"/>
          <w:szCs w:val="24"/>
        </w:rPr>
        <w:t xml:space="preserve"> reaktion, der skyldes det aktive stof eller hjælpestofferne.</w:t>
      </w:r>
    </w:p>
    <w:p w:rsidR="00F103E2" w:rsidRPr="00163966" w:rsidRDefault="00F103E2" w:rsidP="00F103E2">
      <w:pPr>
        <w:tabs>
          <w:tab w:val="left" w:pos="851"/>
        </w:tabs>
        <w:ind w:left="851"/>
        <w:rPr>
          <w:sz w:val="24"/>
          <w:szCs w:val="24"/>
        </w:rPr>
      </w:pPr>
    </w:p>
    <w:p w:rsidR="004859AA" w:rsidRPr="00D26EF0" w:rsidRDefault="004859AA" w:rsidP="004859AA">
      <w:pPr>
        <w:tabs>
          <w:tab w:val="left" w:pos="851"/>
        </w:tabs>
        <w:ind w:left="851"/>
        <w:rPr>
          <w:sz w:val="24"/>
          <w:szCs w:val="24"/>
        </w:rPr>
      </w:pPr>
      <w:r w:rsidRPr="00D26EF0">
        <w:rPr>
          <w:sz w:val="24"/>
          <w:szCs w:val="24"/>
        </w:rPr>
        <w:t xml:space="preserve">Der er i meget sjældne tilfælde observeret alvorlige akutte overfølsomhedsreaktioner (fx </w:t>
      </w:r>
      <w:proofErr w:type="spellStart"/>
      <w:r w:rsidRPr="00D26EF0">
        <w:rPr>
          <w:sz w:val="24"/>
          <w:szCs w:val="24"/>
        </w:rPr>
        <w:t>anafylaktisk</w:t>
      </w:r>
      <w:proofErr w:type="spellEnd"/>
      <w:r w:rsidRPr="00D26EF0">
        <w:rPr>
          <w:sz w:val="24"/>
          <w:szCs w:val="24"/>
        </w:rPr>
        <w:t xml:space="preserve"> </w:t>
      </w:r>
      <w:proofErr w:type="spellStart"/>
      <w:r w:rsidRPr="00D26EF0">
        <w:rPr>
          <w:sz w:val="24"/>
          <w:szCs w:val="24"/>
        </w:rPr>
        <w:t>shock</w:t>
      </w:r>
      <w:proofErr w:type="spellEnd"/>
      <w:r w:rsidRPr="00D26EF0">
        <w:rPr>
          <w:sz w:val="24"/>
          <w:szCs w:val="24"/>
        </w:rPr>
        <w:t xml:space="preserve">). Behandlingen skal seponeres, og symptomatisk behandling iværksættes ved de første tegn på en overfølsomhedsreaktion efter administration af </w:t>
      </w:r>
      <w:r>
        <w:rPr>
          <w:sz w:val="24"/>
          <w:szCs w:val="24"/>
        </w:rPr>
        <w:t>dette lægemiddel</w:t>
      </w:r>
      <w:r w:rsidRPr="00D26EF0">
        <w:rPr>
          <w:sz w:val="24"/>
          <w:szCs w:val="24"/>
        </w:rPr>
        <w:t>. De medicinsk nødvendige foranstaltninger i overensstemmelse med symptomerne skal iværksættes af specialister.</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bCs/>
          <w:iCs/>
          <w:sz w:val="24"/>
          <w:szCs w:val="24"/>
          <w:u w:val="single"/>
        </w:rPr>
      </w:pPr>
      <w:r w:rsidRPr="00163966">
        <w:rPr>
          <w:bCs/>
          <w:iCs/>
          <w:sz w:val="24"/>
          <w:szCs w:val="24"/>
          <w:u w:val="single"/>
        </w:rPr>
        <w:t>Koagulationsdefekter</w:t>
      </w:r>
    </w:p>
    <w:p w:rsidR="00F103E2" w:rsidRPr="00163966" w:rsidRDefault="00F103E2" w:rsidP="00F103E2">
      <w:pPr>
        <w:tabs>
          <w:tab w:val="left" w:pos="851"/>
        </w:tabs>
        <w:ind w:left="851"/>
        <w:rPr>
          <w:sz w:val="24"/>
          <w:szCs w:val="24"/>
        </w:rPr>
      </w:pPr>
      <w:r w:rsidRPr="00163966">
        <w:rPr>
          <w:sz w:val="24"/>
          <w:szCs w:val="24"/>
        </w:rPr>
        <w:t xml:space="preserve">Ibuprofen kan som alle andre </w:t>
      </w:r>
      <w:proofErr w:type="spellStart"/>
      <w:r w:rsidRPr="00163966">
        <w:rPr>
          <w:sz w:val="24"/>
          <w:szCs w:val="24"/>
        </w:rPr>
        <w:t>NSAIDer</w:t>
      </w:r>
      <w:proofErr w:type="spellEnd"/>
      <w:r w:rsidRPr="00163966">
        <w:rPr>
          <w:sz w:val="24"/>
          <w:szCs w:val="24"/>
        </w:rPr>
        <w:t xml:space="preserve"> hæmme </w:t>
      </w:r>
      <w:proofErr w:type="spellStart"/>
      <w:r w:rsidRPr="00163966">
        <w:rPr>
          <w:sz w:val="24"/>
          <w:szCs w:val="24"/>
        </w:rPr>
        <w:t>trombocytaggregationen</w:t>
      </w:r>
      <w:proofErr w:type="spellEnd"/>
      <w:r w:rsidRPr="00163966">
        <w:rPr>
          <w:sz w:val="24"/>
          <w:szCs w:val="24"/>
        </w:rPr>
        <w:t xml:space="preserve">. Ibuprofen har vist sig at forlænge blødningstiden (dog inden for normalområdet) hos raske personer. Da denne effekt med forlænget blødning kan være særlig kraftig hos patienter med underliggende </w:t>
      </w:r>
      <w:proofErr w:type="spellStart"/>
      <w:r w:rsidRPr="00163966">
        <w:rPr>
          <w:sz w:val="24"/>
          <w:szCs w:val="24"/>
        </w:rPr>
        <w:t>hæmostatiske</w:t>
      </w:r>
      <w:proofErr w:type="spellEnd"/>
      <w:r w:rsidRPr="00163966">
        <w:rPr>
          <w:sz w:val="24"/>
          <w:szCs w:val="24"/>
        </w:rPr>
        <w:t xml:space="preserve"> defekter, skal produkter, der indeholder ibuprofen, anvendes med forsigtighed hos personer med </w:t>
      </w:r>
      <w:proofErr w:type="spellStart"/>
      <w:r w:rsidRPr="00163966">
        <w:rPr>
          <w:sz w:val="24"/>
          <w:szCs w:val="24"/>
        </w:rPr>
        <w:t>intrinsiske</w:t>
      </w:r>
      <w:proofErr w:type="spellEnd"/>
      <w:r w:rsidRPr="00163966">
        <w:rPr>
          <w:sz w:val="24"/>
          <w:szCs w:val="24"/>
        </w:rPr>
        <w:t xml:space="preserve"> koagulationsdefekter samt patienter i behandling med </w:t>
      </w:r>
      <w:proofErr w:type="spellStart"/>
      <w:r w:rsidRPr="00163966">
        <w:rPr>
          <w:sz w:val="24"/>
          <w:szCs w:val="24"/>
        </w:rPr>
        <w:t>antikoagulantia</w:t>
      </w:r>
      <w:proofErr w:type="spellEnd"/>
      <w:r w:rsidRPr="00163966">
        <w:rPr>
          <w:sz w:val="24"/>
          <w:szCs w:val="24"/>
        </w:rPr>
        <w:t>. Patienter med koagulationsforstyrrelser eller patienter, der opereres, skal monitoreres. Der er behov for særlig årvågenhed, når produktet anvendes til patienter umiddelbart efter større operationer.</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bCs/>
          <w:iCs/>
          <w:sz w:val="24"/>
          <w:szCs w:val="24"/>
          <w:u w:val="single"/>
        </w:rPr>
      </w:pPr>
      <w:proofErr w:type="spellStart"/>
      <w:r w:rsidRPr="00163966">
        <w:rPr>
          <w:bCs/>
          <w:iCs/>
          <w:sz w:val="24"/>
          <w:szCs w:val="24"/>
          <w:u w:val="single"/>
        </w:rPr>
        <w:t>Gastrointestinale</w:t>
      </w:r>
      <w:proofErr w:type="spellEnd"/>
      <w:r w:rsidRPr="00163966">
        <w:rPr>
          <w:bCs/>
          <w:iCs/>
          <w:sz w:val="24"/>
          <w:szCs w:val="24"/>
          <w:u w:val="single"/>
        </w:rPr>
        <w:t xml:space="preserve"> hændelser</w:t>
      </w:r>
    </w:p>
    <w:p w:rsidR="00F103E2" w:rsidRPr="00163966" w:rsidRDefault="00F103E2" w:rsidP="00F103E2">
      <w:pPr>
        <w:tabs>
          <w:tab w:val="left" w:pos="851"/>
        </w:tabs>
        <w:ind w:left="851"/>
        <w:rPr>
          <w:sz w:val="24"/>
          <w:szCs w:val="24"/>
        </w:rPr>
      </w:pPr>
      <w:r w:rsidRPr="00163966">
        <w:rPr>
          <w:sz w:val="24"/>
          <w:szCs w:val="24"/>
        </w:rPr>
        <w:t xml:space="preserve">Der er rapporteret om </w:t>
      </w:r>
      <w:proofErr w:type="spellStart"/>
      <w:r w:rsidRPr="00163966">
        <w:rPr>
          <w:sz w:val="24"/>
          <w:szCs w:val="24"/>
        </w:rPr>
        <w:t>gastrointestinal</w:t>
      </w:r>
      <w:proofErr w:type="spellEnd"/>
      <w:r w:rsidRPr="00163966">
        <w:rPr>
          <w:sz w:val="24"/>
          <w:szCs w:val="24"/>
        </w:rPr>
        <w:t xml:space="preserve"> blødning, </w:t>
      </w:r>
      <w:proofErr w:type="spellStart"/>
      <w:r w:rsidRPr="00163966">
        <w:rPr>
          <w:sz w:val="24"/>
          <w:szCs w:val="24"/>
        </w:rPr>
        <w:t>ulceration</w:t>
      </w:r>
      <w:proofErr w:type="spellEnd"/>
      <w:r w:rsidRPr="00163966">
        <w:rPr>
          <w:sz w:val="24"/>
          <w:szCs w:val="24"/>
        </w:rPr>
        <w:t xml:space="preserve"> eller perforation, der kan være fatal, for alle </w:t>
      </w:r>
      <w:proofErr w:type="spellStart"/>
      <w:r w:rsidRPr="00163966">
        <w:rPr>
          <w:sz w:val="24"/>
          <w:szCs w:val="24"/>
        </w:rPr>
        <w:t>NSAIDer</w:t>
      </w:r>
      <w:proofErr w:type="spellEnd"/>
      <w:r w:rsidRPr="00163966">
        <w:rPr>
          <w:sz w:val="24"/>
          <w:szCs w:val="24"/>
        </w:rPr>
        <w:t xml:space="preserve">. Disse hændelser kan opstå når som helst under behandlingen med </w:t>
      </w:r>
      <w:r w:rsidRPr="00163966">
        <w:rPr>
          <w:sz w:val="24"/>
          <w:szCs w:val="24"/>
        </w:rPr>
        <w:lastRenderedPageBreak/>
        <w:t xml:space="preserve">eller uden advarselssymptomer eller tidligere tilfælde af alvorlige </w:t>
      </w:r>
      <w:proofErr w:type="spellStart"/>
      <w:r w:rsidRPr="00163966">
        <w:rPr>
          <w:sz w:val="24"/>
          <w:szCs w:val="24"/>
        </w:rPr>
        <w:t>gastrointestinale</w:t>
      </w:r>
      <w:proofErr w:type="spellEnd"/>
      <w:r w:rsidRPr="00163966">
        <w:rPr>
          <w:sz w:val="24"/>
          <w:szCs w:val="24"/>
        </w:rPr>
        <w:t xml:space="preserve"> hændelser.</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sz w:val="24"/>
          <w:szCs w:val="24"/>
        </w:rPr>
      </w:pPr>
      <w:r w:rsidRPr="00163966">
        <w:rPr>
          <w:sz w:val="24"/>
          <w:szCs w:val="24"/>
        </w:rPr>
        <w:t xml:space="preserve">Risikoen for </w:t>
      </w:r>
      <w:proofErr w:type="spellStart"/>
      <w:r w:rsidRPr="00163966">
        <w:rPr>
          <w:sz w:val="24"/>
          <w:szCs w:val="24"/>
        </w:rPr>
        <w:t>gastrointestinal</w:t>
      </w:r>
      <w:proofErr w:type="spellEnd"/>
      <w:r w:rsidRPr="00163966">
        <w:rPr>
          <w:sz w:val="24"/>
          <w:szCs w:val="24"/>
        </w:rPr>
        <w:t xml:space="preserve"> blødning, </w:t>
      </w:r>
      <w:proofErr w:type="spellStart"/>
      <w:r w:rsidRPr="00163966">
        <w:rPr>
          <w:sz w:val="24"/>
          <w:szCs w:val="24"/>
        </w:rPr>
        <w:t>ulceration</w:t>
      </w:r>
      <w:proofErr w:type="spellEnd"/>
      <w:r w:rsidRPr="00163966">
        <w:rPr>
          <w:sz w:val="24"/>
          <w:szCs w:val="24"/>
        </w:rPr>
        <w:t xml:space="preserve"> eller perforation stiger i takt med højere </w:t>
      </w:r>
      <w:proofErr w:type="spellStart"/>
      <w:r w:rsidRPr="00163966">
        <w:rPr>
          <w:sz w:val="24"/>
          <w:szCs w:val="24"/>
        </w:rPr>
        <w:t>NSAID’doser</w:t>
      </w:r>
      <w:proofErr w:type="spellEnd"/>
      <w:r w:rsidRPr="00163966">
        <w:rPr>
          <w:sz w:val="24"/>
          <w:szCs w:val="24"/>
        </w:rPr>
        <w:t xml:space="preserve"> hos patienter med tidligere tilfælde af ulcus, især komplicerede tilfælde med blødning eller perforation (se pkt. 4.3) samt hos ældre. Disse patienter bør starte behandlingen på den laveste mulige dosis.</w:t>
      </w:r>
    </w:p>
    <w:p w:rsidR="00F103E2" w:rsidRPr="00163966" w:rsidRDefault="00F103E2" w:rsidP="00F103E2">
      <w:pPr>
        <w:tabs>
          <w:tab w:val="left" w:pos="851"/>
        </w:tabs>
        <w:ind w:left="851"/>
        <w:rPr>
          <w:sz w:val="24"/>
          <w:szCs w:val="24"/>
        </w:rPr>
      </w:pPr>
    </w:p>
    <w:p w:rsidR="004859AA" w:rsidRPr="00D26EF0" w:rsidRDefault="004859AA" w:rsidP="004859AA">
      <w:pPr>
        <w:tabs>
          <w:tab w:val="left" w:pos="851"/>
        </w:tabs>
        <w:ind w:left="851"/>
        <w:rPr>
          <w:sz w:val="24"/>
          <w:szCs w:val="24"/>
        </w:rPr>
      </w:pPr>
      <w:r w:rsidRPr="00D26EF0">
        <w:rPr>
          <w:sz w:val="24"/>
          <w:szCs w:val="24"/>
        </w:rPr>
        <w:t xml:space="preserve">Kombinationsbehandling med beskyttende midler (fx </w:t>
      </w:r>
      <w:proofErr w:type="spellStart"/>
      <w:r w:rsidRPr="00D26EF0">
        <w:rPr>
          <w:sz w:val="24"/>
          <w:szCs w:val="24"/>
        </w:rPr>
        <w:t>misoprostol</w:t>
      </w:r>
      <w:proofErr w:type="spellEnd"/>
      <w:r w:rsidRPr="00D26EF0">
        <w:rPr>
          <w:sz w:val="24"/>
          <w:szCs w:val="24"/>
        </w:rPr>
        <w:t xml:space="preserve"> eller protonpumpe</w:t>
      </w:r>
      <w:r>
        <w:rPr>
          <w:sz w:val="24"/>
          <w:szCs w:val="24"/>
        </w:rPr>
        <w:t>-</w:t>
      </w:r>
      <w:proofErr w:type="spellStart"/>
      <w:r w:rsidRPr="00D26EF0">
        <w:rPr>
          <w:sz w:val="24"/>
          <w:szCs w:val="24"/>
        </w:rPr>
        <w:t>hæmmere</w:t>
      </w:r>
      <w:proofErr w:type="spellEnd"/>
      <w:r w:rsidRPr="00D26EF0">
        <w:rPr>
          <w:sz w:val="24"/>
          <w:szCs w:val="24"/>
        </w:rPr>
        <w:t xml:space="preserve">) bør overvejes til disse patienter og desuden til patienter, der har behov for samtidig lavdosis-acetylsalicylsyre eller andre lægemidler, der sandsynligvis vil forhøje den </w:t>
      </w:r>
      <w:proofErr w:type="spellStart"/>
      <w:r w:rsidRPr="00D26EF0">
        <w:rPr>
          <w:sz w:val="24"/>
          <w:szCs w:val="24"/>
        </w:rPr>
        <w:t>gastrointestinale</w:t>
      </w:r>
      <w:proofErr w:type="spellEnd"/>
      <w:r w:rsidRPr="00D26EF0">
        <w:rPr>
          <w:sz w:val="24"/>
          <w:szCs w:val="24"/>
        </w:rPr>
        <w:t xml:space="preserve"> risiko (se nedenfor og pkt. 4.5). Patienter med tidligere tilfælde af </w:t>
      </w:r>
      <w:proofErr w:type="spellStart"/>
      <w:r w:rsidRPr="00D26EF0">
        <w:rPr>
          <w:sz w:val="24"/>
          <w:szCs w:val="24"/>
        </w:rPr>
        <w:t>gastrointestinal</w:t>
      </w:r>
      <w:proofErr w:type="spellEnd"/>
      <w:r w:rsidRPr="00D26EF0">
        <w:rPr>
          <w:sz w:val="24"/>
          <w:szCs w:val="24"/>
        </w:rPr>
        <w:t xml:space="preserve"> toksicitet, især ældre patienter, bør indberette eventuelle usædvanlige </w:t>
      </w:r>
      <w:proofErr w:type="spellStart"/>
      <w:r w:rsidRPr="00D26EF0">
        <w:rPr>
          <w:sz w:val="24"/>
          <w:szCs w:val="24"/>
        </w:rPr>
        <w:t>abdominale</w:t>
      </w:r>
      <w:proofErr w:type="spellEnd"/>
      <w:r w:rsidRPr="00D26EF0">
        <w:rPr>
          <w:sz w:val="24"/>
          <w:szCs w:val="24"/>
        </w:rPr>
        <w:t xml:space="preserve"> symptomer (herunder specielt </w:t>
      </w:r>
      <w:proofErr w:type="spellStart"/>
      <w:r w:rsidRPr="00D26EF0">
        <w:rPr>
          <w:sz w:val="24"/>
          <w:szCs w:val="24"/>
        </w:rPr>
        <w:t>gastrointestinal</w:t>
      </w:r>
      <w:proofErr w:type="spellEnd"/>
      <w:r w:rsidRPr="00D26EF0">
        <w:rPr>
          <w:sz w:val="24"/>
          <w:szCs w:val="24"/>
        </w:rPr>
        <w:t xml:space="preserve"> blødning), især i de indledende faser af behandlingen.</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sz w:val="24"/>
          <w:szCs w:val="24"/>
        </w:rPr>
      </w:pPr>
      <w:r w:rsidRPr="00163966">
        <w:rPr>
          <w:sz w:val="24"/>
          <w:szCs w:val="24"/>
        </w:rPr>
        <w:t xml:space="preserve">Der tilrådes til forsigtighed ved anvendelse til patienter, der får samtidig præparater, som kan øge risikoen for </w:t>
      </w:r>
      <w:proofErr w:type="spellStart"/>
      <w:r w:rsidRPr="00163966">
        <w:rPr>
          <w:sz w:val="24"/>
          <w:szCs w:val="24"/>
        </w:rPr>
        <w:t>ulceration</w:t>
      </w:r>
      <w:proofErr w:type="spellEnd"/>
      <w:r w:rsidRPr="00163966">
        <w:rPr>
          <w:sz w:val="24"/>
          <w:szCs w:val="24"/>
        </w:rPr>
        <w:t xml:space="preserve"> eller blødning, for eksempel orale </w:t>
      </w:r>
      <w:proofErr w:type="spellStart"/>
      <w:r w:rsidRPr="00163966">
        <w:rPr>
          <w:sz w:val="24"/>
          <w:szCs w:val="24"/>
        </w:rPr>
        <w:t>kortikosteroider</w:t>
      </w:r>
      <w:proofErr w:type="spellEnd"/>
      <w:r w:rsidRPr="00163966">
        <w:rPr>
          <w:sz w:val="24"/>
          <w:szCs w:val="24"/>
        </w:rPr>
        <w:t xml:space="preserve">, </w:t>
      </w:r>
      <w:proofErr w:type="spellStart"/>
      <w:r w:rsidRPr="00163966">
        <w:rPr>
          <w:sz w:val="24"/>
          <w:szCs w:val="24"/>
        </w:rPr>
        <w:t>antikoagulantia</w:t>
      </w:r>
      <w:proofErr w:type="spellEnd"/>
      <w:r w:rsidRPr="00163966">
        <w:rPr>
          <w:sz w:val="24"/>
          <w:szCs w:val="24"/>
        </w:rPr>
        <w:t xml:space="preserve"> (fx </w:t>
      </w:r>
      <w:proofErr w:type="spellStart"/>
      <w:r w:rsidRPr="00163966">
        <w:rPr>
          <w:sz w:val="24"/>
          <w:szCs w:val="24"/>
        </w:rPr>
        <w:t>warfarin</w:t>
      </w:r>
      <w:proofErr w:type="spellEnd"/>
      <w:r w:rsidRPr="00163966">
        <w:rPr>
          <w:sz w:val="24"/>
          <w:szCs w:val="24"/>
        </w:rPr>
        <w:t xml:space="preserve">), selektive serotonin </w:t>
      </w:r>
      <w:proofErr w:type="spellStart"/>
      <w:r w:rsidRPr="00163966">
        <w:rPr>
          <w:sz w:val="24"/>
          <w:szCs w:val="24"/>
        </w:rPr>
        <w:t>reuptake-hæmmere</w:t>
      </w:r>
      <w:proofErr w:type="spellEnd"/>
      <w:r w:rsidRPr="00163966">
        <w:rPr>
          <w:sz w:val="24"/>
          <w:szCs w:val="24"/>
        </w:rPr>
        <w:t xml:space="preserve"> eller </w:t>
      </w:r>
      <w:proofErr w:type="spellStart"/>
      <w:r w:rsidRPr="00163966">
        <w:rPr>
          <w:sz w:val="24"/>
          <w:szCs w:val="24"/>
        </w:rPr>
        <w:t>antithrombocyt</w:t>
      </w:r>
      <w:proofErr w:type="spellEnd"/>
      <w:r w:rsidRPr="00163966">
        <w:rPr>
          <w:sz w:val="24"/>
          <w:szCs w:val="24"/>
        </w:rPr>
        <w:t>-midler (fx acetylsalicylsyre) (se pkt. 4.5).</w:t>
      </w:r>
    </w:p>
    <w:p w:rsidR="00F103E2" w:rsidRPr="00163966" w:rsidRDefault="00F103E2" w:rsidP="00F103E2">
      <w:pPr>
        <w:tabs>
          <w:tab w:val="left" w:pos="851"/>
        </w:tabs>
        <w:ind w:left="851"/>
        <w:rPr>
          <w:sz w:val="24"/>
          <w:szCs w:val="24"/>
        </w:rPr>
      </w:pPr>
    </w:p>
    <w:p w:rsidR="004859AA" w:rsidRPr="00D26EF0" w:rsidRDefault="004859AA" w:rsidP="004859AA">
      <w:pPr>
        <w:tabs>
          <w:tab w:val="left" w:pos="851"/>
        </w:tabs>
        <w:ind w:left="851"/>
        <w:rPr>
          <w:sz w:val="24"/>
          <w:szCs w:val="24"/>
        </w:rPr>
      </w:pPr>
      <w:r w:rsidRPr="00D26EF0">
        <w:rPr>
          <w:sz w:val="24"/>
          <w:szCs w:val="24"/>
        </w:rPr>
        <w:t xml:space="preserve">På grund af indholdet af ibuprofen skal </w:t>
      </w:r>
      <w:r>
        <w:rPr>
          <w:sz w:val="24"/>
          <w:szCs w:val="24"/>
        </w:rPr>
        <w:t>dette lægemiddel</w:t>
      </w:r>
      <w:r w:rsidRPr="00D26EF0">
        <w:rPr>
          <w:sz w:val="24"/>
          <w:szCs w:val="24"/>
        </w:rPr>
        <w:t xml:space="preserve"> anvendes med forsigtighed hos patienter med tidligere tilfælde af </w:t>
      </w:r>
      <w:proofErr w:type="spellStart"/>
      <w:r w:rsidRPr="00D26EF0">
        <w:rPr>
          <w:sz w:val="24"/>
          <w:szCs w:val="24"/>
        </w:rPr>
        <w:t>gastrointestinal</w:t>
      </w:r>
      <w:proofErr w:type="spellEnd"/>
      <w:r w:rsidRPr="00D26EF0">
        <w:rPr>
          <w:sz w:val="24"/>
          <w:szCs w:val="24"/>
        </w:rPr>
        <w:t xml:space="preserve"> sygdom (</w:t>
      </w:r>
      <w:proofErr w:type="spellStart"/>
      <w:r w:rsidRPr="00D26EF0">
        <w:rPr>
          <w:sz w:val="24"/>
          <w:szCs w:val="24"/>
        </w:rPr>
        <w:t>ulcerativ</w:t>
      </w:r>
      <w:proofErr w:type="spellEnd"/>
      <w:r w:rsidRPr="00D26EF0">
        <w:rPr>
          <w:sz w:val="24"/>
          <w:szCs w:val="24"/>
        </w:rPr>
        <w:t xml:space="preserve"> colitis, </w:t>
      </w:r>
      <w:proofErr w:type="spellStart"/>
      <w:r w:rsidRPr="00D26EF0">
        <w:rPr>
          <w:sz w:val="24"/>
          <w:szCs w:val="24"/>
        </w:rPr>
        <w:t>Crohns</w:t>
      </w:r>
      <w:proofErr w:type="spellEnd"/>
      <w:r w:rsidRPr="00D26EF0">
        <w:rPr>
          <w:sz w:val="24"/>
          <w:szCs w:val="24"/>
        </w:rPr>
        <w:t xml:space="preserve"> sygdom) og hos patienter med </w:t>
      </w:r>
      <w:proofErr w:type="spellStart"/>
      <w:r w:rsidRPr="00D26EF0">
        <w:rPr>
          <w:sz w:val="24"/>
          <w:szCs w:val="24"/>
        </w:rPr>
        <w:t>porfyri</w:t>
      </w:r>
      <w:proofErr w:type="spellEnd"/>
      <w:r w:rsidRPr="00D26EF0">
        <w:rPr>
          <w:sz w:val="24"/>
          <w:szCs w:val="24"/>
        </w:rPr>
        <w:t>.</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sz w:val="24"/>
          <w:szCs w:val="24"/>
        </w:rPr>
      </w:pPr>
      <w:r w:rsidRPr="00163966">
        <w:rPr>
          <w:sz w:val="24"/>
          <w:szCs w:val="24"/>
        </w:rPr>
        <w:t xml:space="preserve">Ældre har øget hyppighed af bivirkninger af </w:t>
      </w:r>
      <w:proofErr w:type="spellStart"/>
      <w:r w:rsidRPr="00163966">
        <w:rPr>
          <w:sz w:val="24"/>
          <w:szCs w:val="24"/>
        </w:rPr>
        <w:t>NSAIDer</w:t>
      </w:r>
      <w:proofErr w:type="spellEnd"/>
      <w:r w:rsidRPr="00163966">
        <w:rPr>
          <w:sz w:val="24"/>
          <w:szCs w:val="24"/>
        </w:rPr>
        <w:t xml:space="preserve">, især </w:t>
      </w:r>
      <w:proofErr w:type="spellStart"/>
      <w:r w:rsidRPr="00163966">
        <w:rPr>
          <w:sz w:val="24"/>
          <w:szCs w:val="24"/>
        </w:rPr>
        <w:t>gastrointestinal</w:t>
      </w:r>
      <w:proofErr w:type="spellEnd"/>
      <w:r w:rsidRPr="00163966">
        <w:rPr>
          <w:sz w:val="24"/>
          <w:szCs w:val="24"/>
        </w:rPr>
        <w:t xml:space="preserve"> blødning og perforation, som kan være fatal (se pkt. 4.2).</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sz w:val="24"/>
          <w:szCs w:val="24"/>
        </w:rPr>
      </w:pPr>
      <w:r w:rsidRPr="00163966">
        <w:rPr>
          <w:sz w:val="24"/>
          <w:szCs w:val="24"/>
        </w:rPr>
        <w:t xml:space="preserve">Dette produkt skal seponeres ved ethvert tegn på </w:t>
      </w:r>
      <w:proofErr w:type="spellStart"/>
      <w:r w:rsidRPr="00163966">
        <w:rPr>
          <w:sz w:val="24"/>
          <w:szCs w:val="24"/>
        </w:rPr>
        <w:t>gastrointestinal</w:t>
      </w:r>
      <w:proofErr w:type="spellEnd"/>
      <w:r w:rsidRPr="00163966">
        <w:rPr>
          <w:sz w:val="24"/>
          <w:szCs w:val="24"/>
        </w:rPr>
        <w:t xml:space="preserve"> blødning eller </w:t>
      </w:r>
      <w:proofErr w:type="spellStart"/>
      <w:r w:rsidRPr="00163966">
        <w:rPr>
          <w:sz w:val="24"/>
          <w:szCs w:val="24"/>
        </w:rPr>
        <w:t>ulceration</w:t>
      </w:r>
      <w:proofErr w:type="spellEnd"/>
      <w:r w:rsidRPr="00163966">
        <w:rPr>
          <w:sz w:val="24"/>
          <w:szCs w:val="24"/>
        </w:rPr>
        <w:t>.</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bCs/>
          <w:iCs/>
          <w:sz w:val="24"/>
          <w:szCs w:val="24"/>
          <w:u w:val="single"/>
        </w:rPr>
      </w:pPr>
      <w:r w:rsidRPr="00163966">
        <w:rPr>
          <w:bCs/>
          <w:iCs/>
          <w:sz w:val="24"/>
          <w:szCs w:val="24"/>
          <w:u w:val="single"/>
        </w:rPr>
        <w:t>Hypertension</w:t>
      </w:r>
    </w:p>
    <w:p w:rsidR="00F103E2" w:rsidRPr="00163966" w:rsidRDefault="00F103E2" w:rsidP="00F103E2">
      <w:pPr>
        <w:tabs>
          <w:tab w:val="left" w:pos="851"/>
        </w:tabs>
        <w:ind w:left="851"/>
        <w:rPr>
          <w:sz w:val="24"/>
          <w:szCs w:val="24"/>
        </w:rPr>
      </w:pPr>
      <w:proofErr w:type="spellStart"/>
      <w:r w:rsidRPr="00163966">
        <w:rPr>
          <w:sz w:val="24"/>
          <w:szCs w:val="24"/>
        </w:rPr>
        <w:t>NSAIDer</w:t>
      </w:r>
      <w:proofErr w:type="spellEnd"/>
      <w:r w:rsidRPr="00163966">
        <w:rPr>
          <w:sz w:val="24"/>
          <w:szCs w:val="24"/>
        </w:rPr>
        <w:t xml:space="preserve"> kan føre til debut af ny hypertension eller forværring af eksisterende hypertension, og patienter, der får </w:t>
      </w:r>
      <w:proofErr w:type="spellStart"/>
      <w:r w:rsidRPr="00163966">
        <w:rPr>
          <w:sz w:val="24"/>
          <w:szCs w:val="24"/>
        </w:rPr>
        <w:t>antihypertensiva</w:t>
      </w:r>
      <w:proofErr w:type="spellEnd"/>
      <w:r w:rsidRPr="00163966">
        <w:rPr>
          <w:sz w:val="24"/>
          <w:szCs w:val="24"/>
        </w:rPr>
        <w:t xml:space="preserve"> med </w:t>
      </w:r>
      <w:proofErr w:type="spellStart"/>
      <w:r w:rsidRPr="00163966">
        <w:rPr>
          <w:sz w:val="24"/>
          <w:szCs w:val="24"/>
        </w:rPr>
        <w:t>NSAIDer</w:t>
      </w:r>
      <w:proofErr w:type="spellEnd"/>
      <w:r w:rsidRPr="00163966">
        <w:rPr>
          <w:sz w:val="24"/>
          <w:szCs w:val="24"/>
        </w:rPr>
        <w:t xml:space="preserve">, kan have nedsat </w:t>
      </w:r>
      <w:proofErr w:type="spellStart"/>
      <w:r w:rsidRPr="00163966">
        <w:rPr>
          <w:sz w:val="24"/>
          <w:szCs w:val="24"/>
        </w:rPr>
        <w:t>antihypertensiv</w:t>
      </w:r>
      <w:proofErr w:type="spellEnd"/>
      <w:r w:rsidRPr="00163966">
        <w:rPr>
          <w:sz w:val="24"/>
          <w:szCs w:val="24"/>
        </w:rPr>
        <w:t xml:space="preserve"> respons. Der tilrådes til forsigtighed ved ordination af </w:t>
      </w:r>
      <w:proofErr w:type="spellStart"/>
      <w:r w:rsidRPr="00163966">
        <w:rPr>
          <w:sz w:val="24"/>
          <w:szCs w:val="24"/>
        </w:rPr>
        <w:t>NSAIDer</w:t>
      </w:r>
      <w:proofErr w:type="spellEnd"/>
      <w:r w:rsidRPr="00163966">
        <w:rPr>
          <w:sz w:val="24"/>
          <w:szCs w:val="24"/>
        </w:rPr>
        <w:t xml:space="preserve"> til patienter med hypertension. Blodtryk skal monitoreres nøje under initiering af behandling med et NSAID og efterfølgende med regelmæssige intervaller.</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bCs/>
          <w:iCs/>
          <w:sz w:val="24"/>
          <w:szCs w:val="24"/>
          <w:u w:val="single"/>
        </w:rPr>
      </w:pPr>
      <w:r w:rsidRPr="00163966">
        <w:rPr>
          <w:bCs/>
          <w:iCs/>
          <w:sz w:val="24"/>
          <w:szCs w:val="24"/>
          <w:u w:val="single"/>
        </w:rPr>
        <w:t>Hjerteinsufficiens</w:t>
      </w:r>
    </w:p>
    <w:p w:rsidR="00F103E2" w:rsidRPr="00163966" w:rsidRDefault="00F103E2" w:rsidP="00F103E2">
      <w:pPr>
        <w:tabs>
          <w:tab w:val="left" w:pos="851"/>
        </w:tabs>
        <w:ind w:left="851"/>
        <w:rPr>
          <w:sz w:val="24"/>
          <w:szCs w:val="24"/>
        </w:rPr>
      </w:pPr>
      <w:r w:rsidRPr="00163966">
        <w:rPr>
          <w:sz w:val="24"/>
          <w:szCs w:val="24"/>
        </w:rPr>
        <w:t xml:space="preserve">Der er observeret væskeretention og ødem hos nogle patienter, som fik </w:t>
      </w:r>
      <w:proofErr w:type="spellStart"/>
      <w:r w:rsidRPr="00163966">
        <w:rPr>
          <w:sz w:val="24"/>
          <w:szCs w:val="24"/>
        </w:rPr>
        <w:t>NSAIDer</w:t>
      </w:r>
      <w:proofErr w:type="spellEnd"/>
      <w:r w:rsidRPr="00163966">
        <w:rPr>
          <w:sz w:val="24"/>
          <w:szCs w:val="24"/>
        </w:rPr>
        <w:t>. Der tilrådes derfor til forsigtighed ved anvendelse til patienter med væskeretention eller hjerteinsufficiens.</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bCs/>
          <w:iCs/>
          <w:sz w:val="24"/>
          <w:szCs w:val="24"/>
          <w:u w:val="single"/>
        </w:rPr>
      </w:pPr>
      <w:r w:rsidRPr="00163966">
        <w:rPr>
          <w:bCs/>
          <w:iCs/>
          <w:sz w:val="24"/>
          <w:szCs w:val="24"/>
          <w:u w:val="single"/>
        </w:rPr>
        <w:t>Alvorlige hudreaktioner</w:t>
      </w:r>
    </w:p>
    <w:p w:rsidR="00F103E2" w:rsidRPr="00163966" w:rsidRDefault="00F103E2" w:rsidP="00F103E2">
      <w:pPr>
        <w:tabs>
          <w:tab w:val="left" w:pos="851"/>
        </w:tabs>
        <w:ind w:left="851"/>
        <w:rPr>
          <w:sz w:val="24"/>
          <w:szCs w:val="24"/>
        </w:rPr>
      </w:pPr>
      <w:proofErr w:type="spellStart"/>
      <w:r w:rsidRPr="00163966">
        <w:rPr>
          <w:sz w:val="24"/>
          <w:szCs w:val="24"/>
        </w:rPr>
        <w:t>NSAIDer</w:t>
      </w:r>
      <w:proofErr w:type="spellEnd"/>
      <w:r w:rsidRPr="00163966">
        <w:rPr>
          <w:sz w:val="24"/>
          <w:szCs w:val="24"/>
        </w:rPr>
        <w:t xml:space="preserve"> kan i meget sjældne tilfælde forårsage alvorlige </w:t>
      </w:r>
      <w:proofErr w:type="spellStart"/>
      <w:r w:rsidRPr="00163966">
        <w:rPr>
          <w:sz w:val="24"/>
          <w:szCs w:val="24"/>
        </w:rPr>
        <w:t>kutane</w:t>
      </w:r>
      <w:proofErr w:type="spellEnd"/>
      <w:r w:rsidRPr="00163966">
        <w:rPr>
          <w:sz w:val="24"/>
          <w:szCs w:val="24"/>
        </w:rPr>
        <w:t xml:space="preserve"> bivirkninger, for eksempel </w:t>
      </w:r>
      <w:proofErr w:type="spellStart"/>
      <w:r w:rsidRPr="00163966">
        <w:rPr>
          <w:sz w:val="24"/>
          <w:szCs w:val="24"/>
        </w:rPr>
        <w:t>eksfoliativ</w:t>
      </w:r>
      <w:proofErr w:type="spellEnd"/>
      <w:r w:rsidRPr="00163966">
        <w:rPr>
          <w:sz w:val="24"/>
          <w:szCs w:val="24"/>
        </w:rPr>
        <w:t xml:space="preserve"> </w:t>
      </w:r>
      <w:proofErr w:type="spellStart"/>
      <w:r w:rsidRPr="00163966">
        <w:rPr>
          <w:sz w:val="24"/>
          <w:szCs w:val="24"/>
        </w:rPr>
        <w:t>dermatitis</w:t>
      </w:r>
      <w:proofErr w:type="spellEnd"/>
      <w:r w:rsidRPr="00163966">
        <w:rPr>
          <w:sz w:val="24"/>
          <w:szCs w:val="24"/>
        </w:rPr>
        <w:t xml:space="preserve">, toksisk </w:t>
      </w:r>
      <w:proofErr w:type="spellStart"/>
      <w:r w:rsidRPr="00163966">
        <w:rPr>
          <w:sz w:val="24"/>
          <w:szCs w:val="24"/>
        </w:rPr>
        <w:t>epidermal</w:t>
      </w:r>
      <w:proofErr w:type="spellEnd"/>
      <w:r w:rsidRPr="00163966">
        <w:rPr>
          <w:sz w:val="24"/>
          <w:szCs w:val="24"/>
        </w:rPr>
        <w:t xml:space="preserve"> </w:t>
      </w:r>
      <w:proofErr w:type="spellStart"/>
      <w:r w:rsidRPr="00163966">
        <w:rPr>
          <w:sz w:val="24"/>
          <w:szCs w:val="24"/>
        </w:rPr>
        <w:t>nekrolyse</w:t>
      </w:r>
      <w:proofErr w:type="spellEnd"/>
      <w:r w:rsidRPr="00163966">
        <w:rPr>
          <w:sz w:val="24"/>
          <w:szCs w:val="24"/>
        </w:rPr>
        <w:t xml:space="preserve"> (TEN) og Stevens-Johnsons syndrom (SJS), der kan være fatalt og opstå uden varsel. Der er rapporteret om akut generaliseret </w:t>
      </w:r>
      <w:proofErr w:type="spellStart"/>
      <w:r w:rsidRPr="00163966">
        <w:rPr>
          <w:sz w:val="24"/>
          <w:szCs w:val="24"/>
        </w:rPr>
        <w:t>eksantematøs</w:t>
      </w:r>
      <w:proofErr w:type="spellEnd"/>
      <w:r w:rsidRPr="00163966">
        <w:rPr>
          <w:sz w:val="24"/>
          <w:szCs w:val="24"/>
        </w:rPr>
        <w:t xml:space="preserve"> </w:t>
      </w:r>
      <w:proofErr w:type="spellStart"/>
      <w:r w:rsidRPr="00163966">
        <w:rPr>
          <w:sz w:val="24"/>
          <w:szCs w:val="24"/>
        </w:rPr>
        <w:t>pustulose</w:t>
      </w:r>
      <w:proofErr w:type="spellEnd"/>
      <w:r w:rsidRPr="00163966">
        <w:rPr>
          <w:sz w:val="24"/>
          <w:szCs w:val="24"/>
        </w:rPr>
        <w:t xml:space="preserve"> (AGEP) i forbindelse med produkter, der indeholdt ibuprofen. Patienterne forekommer at have den højeste risiko for disse reaktioner tidligt i behandlingsforløbet, idet reaktionerne i de fleste tilfælde starter inden for den første måneds behandling.</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sz w:val="24"/>
          <w:szCs w:val="24"/>
        </w:rPr>
      </w:pPr>
      <w:r w:rsidRPr="00163966">
        <w:rPr>
          <w:sz w:val="24"/>
          <w:szCs w:val="24"/>
        </w:rPr>
        <w:lastRenderedPageBreak/>
        <w:t>Patienterne skal informeres om tegnene og symptomerne på alvorlige hudreaktioner og anmodes om at søge læge ved debut af hududslæt eller andre tegn på overfølsomhed.</w:t>
      </w:r>
    </w:p>
    <w:p w:rsidR="00F103E2" w:rsidRPr="00163966" w:rsidRDefault="00F103E2" w:rsidP="00F103E2">
      <w:pPr>
        <w:tabs>
          <w:tab w:val="left" w:pos="851"/>
        </w:tabs>
        <w:ind w:left="851"/>
        <w:rPr>
          <w:sz w:val="24"/>
          <w:szCs w:val="24"/>
        </w:rPr>
      </w:pPr>
    </w:p>
    <w:p w:rsidR="004859AA" w:rsidRPr="00D26EF0" w:rsidRDefault="004859AA" w:rsidP="004859AA">
      <w:pPr>
        <w:tabs>
          <w:tab w:val="left" w:pos="851"/>
        </w:tabs>
        <w:ind w:left="851"/>
        <w:rPr>
          <w:sz w:val="24"/>
          <w:szCs w:val="24"/>
        </w:rPr>
      </w:pPr>
      <w:proofErr w:type="spellStart"/>
      <w:r w:rsidRPr="00D26EF0">
        <w:rPr>
          <w:sz w:val="24"/>
          <w:szCs w:val="24"/>
        </w:rPr>
        <w:t>Varicella</w:t>
      </w:r>
      <w:proofErr w:type="spellEnd"/>
      <w:r w:rsidRPr="00D26EF0">
        <w:rPr>
          <w:sz w:val="24"/>
          <w:szCs w:val="24"/>
        </w:rPr>
        <w:t xml:space="preserve"> kan undtagelsesvis forårsage alvorlige infektiøse komplikationer i hud og blødvæv. Foreløbig kan det ikke udelukkes, at </w:t>
      </w:r>
      <w:proofErr w:type="spellStart"/>
      <w:r w:rsidRPr="00D26EF0">
        <w:rPr>
          <w:sz w:val="24"/>
          <w:szCs w:val="24"/>
        </w:rPr>
        <w:t>NSAIDer</w:t>
      </w:r>
      <w:proofErr w:type="spellEnd"/>
      <w:r w:rsidRPr="00D26EF0">
        <w:rPr>
          <w:sz w:val="24"/>
          <w:szCs w:val="24"/>
        </w:rPr>
        <w:t xml:space="preserve"> spiller en medvirkende rolle i forværringen af disse infektioner. Det tilrådes derfor at undgå anvendelse af </w:t>
      </w:r>
      <w:r>
        <w:rPr>
          <w:sz w:val="24"/>
          <w:szCs w:val="24"/>
        </w:rPr>
        <w:t>dette lægemiddel</w:t>
      </w:r>
      <w:r w:rsidRPr="00D26EF0">
        <w:rPr>
          <w:sz w:val="24"/>
          <w:szCs w:val="24"/>
        </w:rPr>
        <w:t xml:space="preserve"> i tilfælde af </w:t>
      </w:r>
      <w:proofErr w:type="spellStart"/>
      <w:r w:rsidRPr="00D26EF0">
        <w:rPr>
          <w:sz w:val="24"/>
          <w:szCs w:val="24"/>
        </w:rPr>
        <w:t>varicella</w:t>
      </w:r>
      <w:proofErr w:type="spellEnd"/>
      <w:r w:rsidRPr="00D26EF0">
        <w:rPr>
          <w:sz w:val="24"/>
          <w:szCs w:val="24"/>
        </w:rPr>
        <w:t>.</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bCs/>
          <w:iCs/>
          <w:sz w:val="24"/>
          <w:szCs w:val="24"/>
          <w:u w:val="single"/>
        </w:rPr>
      </w:pPr>
      <w:r w:rsidRPr="00163966">
        <w:rPr>
          <w:bCs/>
          <w:iCs/>
          <w:sz w:val="24"/>
          <w:szCs w:val="24"/>
          <w:u w:val="single"/>
        </w:rPr>
        <w:t>Eksisterende astma</w:t>
      </w:r>
    </w:p>
    <w:p w:rsidR="00F103E2" w:rsidRPr="00163966" w:rsidRDefault="00F103E2" w:rsidP="00F103E2">
      <w:pPr>
        <w:tabs>
          <w:tab w:val="left" w:pos="851"/>
        </w:tabs>
        <w:ind w:left="851"/>
        <w:rPr>
          <w:sz w:val="24"/>
          <w:szCs w:val="24"/>
        </w:rPr>
      </w:pPr>
      <w:r w:rsidRPr="00163966">
        <w:rPr>
          <w:sz w:val="24"/>
          <w:szCs w:val="24"/>
        </w:rPr>
        <w:t>Produkter, der indeholder ibuprofen, bør ikke gives til patienter med astma, der er følsom over for acetylsalicylsyre, og skal anvendes med forsigtighed til patienter med eksisterende astma.</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sz w:val="24"/>
          <w:szCs w:val="24"/>
          <w:u w:val="single"/>
        </w:rPr>
      </w:pPr>
      <w:r w:rsidRPr="00163966">
        <w:rPr>
          <w:sz w:val="24"/>
          <w:szCs w:val="24"/>
          <w:u w:val="single"/>
        </w:rPr>
        <w:t>Virkninger på øjne</w:t>
      </w:r>
    </w:p>
    <w:p w:rsidR="00F103E2" w:rsidRPr="00163966" w:rsidRDefault="00F103E2" w:rsidP="00F103E2">
      <w:pPr>
        <w:tabs>
          <w:tab w:val="left" w:pos="851"/>
        </w:tabs>
        <w:ind w:left="851"/>
        <w:rPr>
          <w:sz w:val="24"/>
          <w:szCs w:val="24"/>
        </w:rPr>
      </w:pPr>
      <w:r w:rsidRPr="00163966">
        <w:rPr>
          <w:sz w:val="24"/>
          <w:szCs w:val="24"/>
        </w:rPr>
        <w:t xml:space="preserve">Der er observeret bivirkninger på øjnene efter anvendelse af </w:t>
      </w:r>
      <w:proofErr w:type="spellStart"/>
      <w:r w:rsidRPr="00163966">
        <w:rPr>
          <w:sz w:val="24"/>
          <w:szCs w:val="24"/>
        </w:rPr>
        <w:t>NSAIDer</w:t>
      </w:r>
      <w:proofErr w:type="spellEnd"/>
      <w:r w:rsidRPr="00163966">
        <w:rPr>
          <w:sz w:val="24"/>
          <w:szCs w:val="24"/>
        </w:rPr>
        <w:t>. Patienter, der udvikler synsforstyrrelser under behandling med produkter, som indeholder ibuprofen, skal derfor have undersøgt øjnene.</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sz w:val="24"/>
          <w:szCs w:val="24"/>
          <w:u w:val="single"/>
        </w:rPr>
      </w:pPr>
      <w:r w:rsidRPr="00163966">
        <w:rPr>
          <w:sz w:val="24"/>
          <w:szCs w:val="24"/>
          <w:u w:val="single"/>
        </w:rPr>
        <w:t>Aseptisk meningitis</w:t>
      </w:r>
    </w:p>
    <w:p w:rsidR="00F103E2" w:rsidRPr="00163966" w:rsidRDefault="00F103E2" w:rsidP="00F103E2">
      <w:pPr>
        <w:tabs>
          <w:tab w:val="left" w:pos="851"/>
        </w:tabs>
        <w:ind w:left="851"/>
        <w:rPr>
          <w:sz w:val="24"/>
          <w:szCs w:val="24"/>
        </w:rPr>
      </w:pPr>
      <w:r w:rsidRPr="00163966">
        <w:rPr>
          <w:sz w:val="24"/>
          <w:szCs w:val="24"/>
        </w:rPr>
        <w:t xml:space="preserve">Der er rapporteret om aseptisk meningitis efter anvendelse af produkter, der indeholdt ibuprofen, men kun i sjældne tilfælde. Det er sædvanligvis, men ikke altid, forekommet hos patienter med systemisk lupus </w:t>
      </w:r>
      <w:proofErr w:type="spellStart"/>
      <w:r w:rsidRPr="00163966">
        <w:rPr>
          <w:sz w:val="24"/>
          <w:szCs w:val="24"/>
        </w:rPr>
        <w:t>erythematosus</w:t>
      </w:r>
      <w:proofErr w:type="spellEnd"/>
      <w:r w:rsidRPr="00163966">
        <w:rPr>
          <w:sz w:val="24"/>
          <w:szCs w:val="24"/>
        </w:rPr>
        <w:t xml:space="preserve"> (SLE) eller andre bindevævssygdomme.</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sz w:val="24"/>
          <w:szCs w:val="24"/>
          <w:u w:val="single"/>
        </w:rPr>
      </w:pPr>
      <w:r w:rsidRPr="00163966">
        <w:rPr>
          <w:sz w:val="24"/>
          <w:szCs w:val="24"/>
          <w:u w:val="single"/>
        </w:rPr>
        <w:t>Indvirkning på laboratorieprøver</w:t>
      </w:r>
    </w:p>
    <w:p w:rsidR="00F103E2" w:rsidRPr="00163966" w:rsidRDefault="00F103E2" w:rsidP="00F103E2">
      <w:pPr>
        <w:tabs>
          <w:tab w:val="left" w:pos="851"/>
        </w:tabs>
        <w:ind w:left="851"/>
        <w:rPr>
          <w:sz w:val="24"/>
          <w:szCs w:val="24"/>
        </w:rPr>
      </w:pPr>
      <w:r w:rsidRPr="00163966">
        <w:rPr>
          <w:sz w:val="24"/>
          <w:szCs w:val="24"/>
        </w:rPr>
        <w:t>Paracetamol forårsager ingen interferens med laboratorieanalyser, når gængse analysesystemer anvendes. Visse metoder giver dog mulighed for indvirkning på laboratorieprøver, som beskrevet herunder:</w:t>
      </w:r>
    </w:p>
    <w:p w:rsidR="00F103E2" w:rsidRPr="00163966" w:rsidRDefault="00F103E2" w:rsidP="00F103E2">
      <w:pPr>
        <w:tabs>
          <w:tab w:val="left" w:pos="851"/>
        </w:tabs>
        <w:ind w:left="851"/>
        <w:rPr>
          <w:sz w:val="24"/>
          <w:szCs w:val="24"/>
        </w:rPr>
      </w:pPr>
    </w:p>
    <w:p w:rsidR="004859AA" w:rsidRPr="00D26EF0" w:rsidRDefault="004859AA" w:rsidP="004859AA">
      <w:pPr>
        <w:tabs>
          <w:tab w:val="left" w:pos="851"/>
        </w:tabs>
        <w:ind w:left="851"/>
        <w:rPr>
          <w:i/>
          <w:sz w:val="24"/>
          <w:szCs w:val="24"/>
        </w:rPr>
      </w:pPr>
      <w:r w:rsidRPr="00D26EF0">
        <w:rPr>
          <w:i/>
          <w:sz w:val="24"/>
          <w:szCs w:val="24"/>
        </w:rPr>
        <w:t>Urin</w:t>
      </w:r>
      <w:r>
        <w:rPr>
          <w:i/>
          <w:sz w:val="24"/>
          <w:szCs w:val="24"/>
        </w:rPr>
        <w:t>- og blod</w:t>
      </w:r>
      <w:r w:rsidRPr="00D26EF0">
        <w:rPr>
          <w:i/>
          <w:sz w:val="24"/>
          <w:szCs w:val="24"/>
        </w:rPr>
        <w:t>prøver</w:t>
      </w:r>
    </w:p>
    <w:p w:rsidR="004859AA" w:rsidRDefault="004859AA" w:rsidP="004859AA">
      <w:pPr>
        <w:tabs>
          <w:tab w:val="left" w:pos="851"/>
        </w:tabs>
        <w:ind w:left="851"/>
        <w:rPr>
          <w:sz w:val="24"/>
          <w:szCs w:val="24"/>
        </w:rPr>
      </w:pPr>
      <w:r w:rsidRPr="00D26EF0">
        <w:rPr>
          <w:sz w:val="24"/>
          <w:szCs w:val="24"/>
        </w:rPr>
        <w:t>I terapeutiske doser kan paracetamol indvirke på bestemmelsen af 5-hydroxyindoleddikesyre (5HIAA) og give falsk-positive resultater. Falske bestemmelser kan forebygges ved at undgå indtagelse af paracetamol adskillige timer inden og under indsamling af urinprøven.</w:t>
      </w:r>
    </w:p>
    <w:p w:rsidR="004859AA" w:rsidRDefault="004859AA" w:rsidP="004859AA">
      <w:pPr>
        <w:tabs>
          <w:tab w:val="left" w:pos="851"/>
        </w:tabs>
        <w:ind w:left="851"/>
        <w:rPr>
          <w:sz w:val="24"/>
          <w:szCs w:val="24"/>
        </w:rPr>
      </w:pPr>
      <w:bookmarkStart w:id="0" w:name="_Hlk130440262"/>
      <w:r w:rsidRPr="00D26EF0">
        <w:rPr>
          <w:sz w:val="24"/>
          <w:szCs w:val="24"/>
        </w:rPr>
        <w:t>Indtagelse af paracetamol kan påvirke urinsyretests, hvor der bruges fosforwolframsyre</w:t>
      </w:r>
      <w:r>
        <w:rPr>
          <w:sz w:val="24"/>
          <w:szCs w:val="24"/>
        </w:rPr>
        <w:t>.</w:t>
      </w:r>
    </w:p>
    <w:p w:rsidR="004859AA" w:rsidRPr="00D26EF0" w:rsidRDefault="004859AA" w:rsidP="004859AA">
      <w:pPr>
        <w:tabs>
          <w:tab w:val="left" w:pos="851"/>
        </w:tabs>
        <w:ind w:left="851"/>
        <w:rPr>
          <w:sz w:val="24"/>
          <w:szCs w:val="24"/>
        </w:rPr>
      </w:pPr>
      <w:r>
        <w:rPr>
          <w:sz w:val="24"/>
          <w:szCs w:val="24"/>
        </w:rPr>
        <w:t xml:space="preserve">Indtagelse af paracetamol kan påvirke </w:t>
      </w:r>
      <w:r w:rsidRPr="00D26EF0">
        <w:rPr>
          <w:sz w:val="24"/>
          <w:szCs w:val="24"/>
        </w:rPr>
        <w:t>blodsukkertests, hvor der bruges glukose-oxidase</w:t>
      </w:r>
      <w:r>
        <w:rPr>
          <w:sz w:val="24"/>
          <w:szCs w:val="24"/>
        </w:rPr>
        <w:t>-</w:t>
      </w:r>
      <w:proofErr w:type="spellStart"/>
      <w:r w:rsidRPr="00D26EF0">
        <w:rPr>
          <w:sz w:val="24"/>
          <w:szCs w:val="24"/>
        </w:rPr>
        <w:t>peroxidase</w:t>
      </w:r>
      <w:proofErr w:type="spellEnd"/>
      <w:r w:rsidRPr="00D26EF0">
        <w:rPr>
          <w:sz w:val="24"/>
          <w:szCs w:val="24"/>
        </w:rPr>
        <w:t>.</w:t>
      </w:r>
    </w:p>
    <w:bookmarkEnd w:id="0"/>
    <w:p w:rsidR="004859AA" w:rsidRPr="00D26EF0" w:rsidRDefault="004859AA" w:rsidP="004859AA">
      <w:pPr>
        <w:tabs>
          <w:tab w:val="left" w:pos="851"/>
        </w:tabs>
        <w:ind w:left="851"/>
        <w:rPr>
          <w:sz w:val="24"/>
          <w:szCs w:val="24"/>
        </w:rPr>
      </w:pPr>
    </w:p>
    <w:p w:rsidR="004859AA" w:rsidRPr="00D26EF0" w:rsidRDefault="004859AA" w:rsidP="004859AA">
      <w:pPr>
        <w:tabs>
          <w:tab w:val="left" w:pos="851"/>
        </w:tabs>
        <w:ind w:left="851"/>
        <w:rPr>
          <w:sz w:val="24"/>
          <w:szCs w:val="24"/>
          <w:u w:val="single"/>
        </w:rPr>
      </w:pPr>
      <w:r w:rsidRPr="00D26EF0">
        <w:rPr>
          <w:sz w:val="24"/>
          <w:szCs w:val="24"/>
          <w:u w:val="single"/>
        </w:rPr>
        <w:t>Maskering af symptomer på underliggende infektioner</w:t>
      </w:r>
    </w:p>
    <w:p w:rsidR="004859AA" w:rsidRPr="00D26EF0" w:rsidRDefault="004859AA" w:rsidP="004859AA">
      <w:pPr>
        <w:tabs>
          <w:tab w:val="left" w:pos="851"/>
        </w:tabs>
        <w:ind w:left="851"/>
        <w:rPr>
          <w:sz w:val="24"/>
          <w:szCs w:val="24"/>
        </w:rPr>
      </w:pPr>
      <w:r>
        <w:rPr>
          <w:sz w:val="24"/>
          <w:szCs w:val="24"/>
        </w:rPr>
        <w:t>Dette lægemiddel</w:t>
      </w:r>
      <w:r w:rsidRPr="00D26EF0">
        <w:rPr>
          <w:sz w:val="24"/>
          <w:szCs w:val="24"/>
        </w:rPr>
        <w:t xml:space="preserve"> kan maskere symptomerne på en infektion, hvilket kan medføre forsinket initiering af relevant behandling og dermed forværring af infektionens udfald. Dette er observeret ved bakteriel samfundserhvervet pneumoni og bakterielle komplikationer til </w:t>
      </w:r>
      <w:proofErr w:type="spellStart"/>
      <w:r w:rsidRPr="00D26EF0">
        <w:rPr>
          <w:sz w:val="24"/>
          <w:szCs w:val="24"/>
        </w:rPr>
        <w:t>varicella</w:t>
      </w:r>
      <w:proofErr w:type="spellEnd"/>
      <w:r w:rsidRPr="00D26EF0">
        <w:rPr>
          <w:sz w:val="24"/>
          <w:szCs w:val="24"/>
        </w:rPr>
        <w:t xml:space="preserve">. Det tilrådes at monitorere infektionen, hvis </w:t>
      </w:r>
      <w:proofErr w:type="spellStart"/>
      <w:r w:rsidRPr="00D26EF0">
        <w:rPr>
          <w:sz w:val="24"/>
          <w:szCs w:val="24"/>
        </w:rPr>
        <w:t>Comboval</w:t>
      </w:r>
      <w:proofErr w:type="spellEnd"/>
      <w:r w:rsidRPr="00D26EF0">
        <w:rPr>
          <w:sz w:val="24"/>
          <w:szCs w:val="24"/>
        </w:rPr>
        <w:t xml:space="preserve"> gives som smertestillende middel i forbindelse med en infektion. Hvis patienten ikke er indlagt på hospital, skal han/hun kontakte sin læge, såfremt symptomerne varer ved eller forværres.</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sz w:val="24"/>
          <w:szCs w:val="24"/>
          <w:u w:val="single"/>
        </w:rPr>
      </w:pPr>
      <w:r w:rsidRPr="00163966">
        <w:rPr>
          <w:sz w:val="24"/>
          <w:szCs w:val="24"/>
          <w:u w:val="single"/>
        </w:rPr>
        <w:t xml:space="preserve">Langvarig anvendelse af </w:t>
      </w:r>
      <w:proofErr w:type="spellStart"/>
      <w:r w:rsidRPr="00163966">
        <w:rPr>
          <w:sz w:val="24"/>
          <w:szCs w:val="24"/>
          <w:u w:val="single"/>
        </w:rPr>
        <w:t>analgetika</w:t>
      </w:r>
      <w:proofErr w:type="spellEnd"/>
    </w:p>
    <w:p w:rsidR="00F103E2" w:rsidRPr="00163966" w:rsidRDefault="00F103E2" w:rsidP="00F103E2">
      <w:pPr>
        <w:tabs>
          <w:tab w:val="left" w:pos="851"/>
        </w:tabs>
        <w:ind w:left="851"/>
        <w:rPr>
          <w:sz w:val="24"/>
          <w:szCs w:val="24"/>
        </w:rPr>
      </w:pPr>
      <w:r w:rsidRPr="00163966">
        <w:rPr>
          <w:sz w:val="24"/>
          <w:szCs w:val="24"/>
        </w:rPr>
        <w:t xml:space="preserve">Der kan opstå hovedpine efter langvarig anvendelse af </w:t>
      </w:r>
      <w:proofErr w:type="spellStart"/>
      <w:r w:rsidRPr="00163966">
        <w:rPr>
          <w:sz w:val="24"/>
          <w:szCs w:val="24"/>
        </w:rPr>
        <w:t>analgetika</w:t>
      </w:r>
      <w:proofErr w:type="spellEnd"/>
      <w:r w:rsidRPr="00163966">
        <w:rPr>
          <w:sz w:val="24"/>
          <w:szCs w:val="24"/>
        </w:rPr>
        <w:t>, som ikke må behandles ved at forhøje dosis af lægemidlet.</w:t>
      </w:r>
    </w:p>
    <w:p w:rsidR="00F103E2" w:rsidRPr="00163966" w:rsidRDefault="00F103E2" w:rsidP="00F103E2">
      <w:pPr>
        <w:tabs>
          <w:tab w:val="left" w:pos="851"/>
        </w:tabs>
        <w:ind w:left="851"/>
        <w:rPr>
          <w:sz w:val="24"/>
          <w:szCs w:val="24"/>
        </w:rPr>
      </w:pPr>
    </w:p>
    <w:p w:rsidR="00F103E2" w:rsidRPr="00163966" w:rsidRDefault="00F103E2" w:rsidP="004859AA">
      <w:pPr>
        <w:keepNext/>
        <w:tabs>
          <w:tab w:val="left" w:pos="851"/>
        </w:tabs>
        <w:ind w:left="851"/>
        <w:rPr>
          <w:sz w:val="24"/>
          <w:szCs w:val="24"/>
          <w:u w:val="single"/>
        </w:rPr>
      </w:pPr>
      <w:r w:rsidRPr="00163966">
        <w:rPr>
          <w:sz w:val="24"/>
          <w:szCs w:val="24"/>
          <w:u w:val="single"/>
        </w:rPr>
        <w:lastRenderedPageBreak/>
        <w:t>Særlige advarsler</w:t>
      </w:r>
    </w:p>
    <w:p w:rsidR="00F103E2" w:rsidRPr="00163966" w:rsidRDefault="00F103E2" w:rsidP="00F103E2">
      <w:pPr>
        <w:tabs>
          <w:tab w:val="left" w:pos="851"/>
        </w:tabs>
        <w:ind w:left="851"/>
        <w:rPr>
          <w:sz w:val="24"/>
          <w:szCs w:val="24"/>
        </w:rPr>
      </w:pPr>
      <w:r w:rsidRPr="00163966">
        <w:rPr>
          <w:sz w:val="24"/>
          <w:szCs w:val="24"/>
        </w:rPr>
        <w:t xml:space="preserve">Der er evidens for, at lægemidler, som hæmmer </w:t>
      </w:r>
      <w:proofErr w:type="spellStart"/>
      <w:r w:rsidRPr="00163966">
        <w:rPr>
          <w:sz w:val="24"/>
          <w:szCs w:val="24"/>
        </w:rPr>
        <w:t>cyclooxygenase</w:t>
      </w:r>
      <w:proofErr w:type="spellEnd"/>
      <w:r w:rsidRPr="00163966">
        <w:rPr>
          <w:sz w:val="24"/>
          <w:szCs w:val="24"/>
        </w:rPr>
        <w:t>/</w:t>
      </w:r>
      <w:proofErr w:type="spellStart"/>
      <w:r w:rsidRPr="00163966">
        <w:rPr>
          <w:sz w:val="24"/>
          <w:szCs w:val="24"/>
        </w:rPr>
        <w:t>prostaglandin</w:t>
      </w:r>
      <w:proofErr w:type="spellEnd"/>
      <w:r w:rsidRPr="00163966">
        <w:rPr>
          <w:sz w:val="24"/>
          <w:szCs w:val="24"/>
        </w:rPr>
        <w:t xml:space="preserve">-syntesen, kan forårsage nedsat fertilitet hos kvinder som følge af en effekt på ægløsningen. Denne effekt er reversibel ved </w:t>
      </w:r>
      <w:proofErr w:type="spellStart"/>
      <w:r w:rsidRPr="00163966">
        <w:rPr>
          <w:sz w:val="24"/>
          <w:szCs w:val="24"/>
        </w:rPr>
        <w:t>seponering</w:t>
      </w:r>
      <w:proofErr w:type="spellEnd"/>
      <w:r w:rsidRPr="00163966">
        <w:rPr>
          <w:sz w:val="24"/>
          <w:szCs w:val="24"/>
        </w:rPr>
        <w:t xml:space="preserve"> af lægemidlet.</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sz w:val="24"/>
          <w:szCs w:val="24"/>
        </w:rPr>
      </w:pPr>
      <w:r w:rsidRPr="00163966">
        <w:rPr>
          <w:sz w:val="24"/>
          <w:szCs w:val="24"/>
        </w:rPr>
        <w:t xml:space="preserve">Ibuprofen må kun anvendes efter nøje vurdering af fordele kontra risici hos patienter med </w:t>
      </w:r>
      <w:proofErr w:type="spellStart"/>
      <w:r w:rsidRPr="00163966">
        <w:rPr>
          <w:sz w:val="24"/>
          <w:szCs w:val="24"/>
        </w:rPr>
        <w:t>kongenitte</w:t>
      </w:r>
      <w:proofErr w:type="spellEnd"/>
      <w:r w:rsidRPr="00163966">
        <w:rPr>
          <w:sz w:val="24"/>
          <w:szCs w:val="24"/>
        </w:rPr>
        <w:t xml:space="preserve"> forstyrrelser i </w:t>
      </w:r>
      <w:proofErr w:type="spellStart"/>
      <w:r w:rsidRPr="00163966">
        <w:rPr>
          <w:sz w:val="24"/>
          <w:szCs w:val="24"/>
        </w:rPr>
        <w:t>porfyrinmetabolismen</w:t>
      </w:r>
      <w:proofErr w:type="spellEnd"/>
      <w:r w:rsidRPr="00163966">
        <w:rPr>
          <w:sz w:val="24"/>
          <w:szCs w:val="24"/>
        </w:rPr>
        <w:t xml:space="preserve"> (fx akut intermitterende </w:t>
      </w:r>
      <w:proofErr w:type="spellStart"/>
      <w:r w:rsidRPr="00163966">
        <w:rPr>
          <w:sz w:val="24"/>
          <w:szCs w:val="24"/>
        </w:rPr>
        <w:t>porfyri</w:t>
      </w:r>
      <w:proofErr w:type="spellEnd"/>
      <w:r w:rsidRPr="00163966">
        <w:rPr>
          <w:sz w:val="24"/>
          <w:szCs w:val="24"/>
        </w:rPr>
        <w:t>).</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sz w:val="24"/>
          <w:szCs w:val="24"/>
        </w:rPr>
      </w:pPr>
      <w:r w:rsidRPr="00163966">
        <w:rPr>
          <w:sz w:val="24"/>
          <w:szCs w:val="24"/>
        </w:rPr>
        <w:t xml:space="preserve">Bivirkninger forbundet med det aktive stof, især bivirkninger i mave-tarm-kanalen eller centralnervesystemet, kan være forstærkede ved samtidig indtagelse af alkohol og anvendelse af </w:t>
      </w:r>
      <w:proofErr w:type="spellStart"/>
      <w:r w:rsidRPr="00163966">
        <w:rPr>
          <w:sz w:val="24"/>
          <w:szCs w:val="24"/>
        </w:rPr>
        <w:t>NSAIDer</w:t>
      </w:r>
      <w:proofErr w:type="spellEnd"/>
      <w:r w:rsidRPr="00163966">
        <w:rPr>
          <w:sz w:val="24"/>
          <w:szCs w:val="24"/>
        </w:rPr>
        <w:t>.</w:t>
      </w:r>
    </w:p>
    <w:p w:rsidR="00F103E2" w:rsidRPr="00163966" w:rsidRDefault="00F103E2" w:rsidP="00F103E2">
      <w:pPr>
        <w:tabs>
          <w:tab w:val="left" w:pos="851"/>
        </w:tabs>
        <w:ind w:left="851"/>
        <w:rPr>
          <w:sz w:val="24"/>
          <w:szCs w:val="24"/>
        </w:rPr>
      </w:pPr>
    </w:p>
    <w:p w:rsidR="00F103E2" w:rsidRPr="00163966" w:rsidRDefault="00F103E2" w:rsidP="00F103E2">
      <w:pPr>
        <w:tabs>
          <w:tab w:val="left" w:pos="851"/>
        </w:tabs>
        <w:ind w:left="851"/>
        <w:rPr>
          <w:sz w:val="24"/>
          <w:szCs w:val="24"/>
        </w:rPr>
      </w:pPr>
      <w:r w:rsidRPr="00163966">
        <w:rPr>
          <w:sz w:val="24"/>
          <w:szCs w:val="24"/>
        </w:rPr>
        <w:t>Der skal derfor udvises forsigtighed i forbindelse med patienter med visse tilstande, der kan forværres:</w:t>
      </w:r>
    </w:p>
    <w:p w:rsidR="00F103E2" w:rsidRPr="00163966" w:rsidRDefault="00F103E2" w:rsidP="00E36952">
      <w:pPr>
        <w:numPr>
          <w:ilvl w:val="0"/>
          <w:numId w:val="7"/>
        </w:numPr>
        <w:tabs>
          <w:tab w:val="left" w:pos="851"/>
        </w:tabs>
        <w:ind w:left="1134" w:hanging="283"/>
        <w:rPr>
          <w:sz w:val="24"/>
          <w:szCs w:val="24"/>
        </w:rPr>
      </w:pPr>
      <w:r w:rsidRPr="00163966">
        <w:rPr>
          <w:sz w:val="24"/>
          <w:szCs w:val="24"/>
        </w:rPr>
        <w:t>Hos patienter, der reagerer allergisk over for andre stoffer, da de også har forhøjet risiko for overfølsomhedsreaktioner ved anvendelse af dette lægemiddel.</w:t>
      </w:r>
    </w:p>
    <w:p w:rsidR="00F103E2" w:rsidRPr="00163966" w:rsidRDefault="00F103E2" w:rsidP="00E36952">
      <w:pPr>
        <w:numPr>
          <w:ilvl w:val="0"/>
          <w:numId w:val="7"/>
        </w:numPr>
        <w:tabs>
          <w:tab w:val="left" w:pos="851"/>
        </w:tabs>
        <w:ind w:left="1134" w:hanging="283"/>
        <w:rPr>
          <w:sz w:val="24"/>
          <w:szCs w:val="24"/>
        </w:rPr>
      </w:pPr>
      <w:r w:rsidRPr="00163966">
        <w:rPr>
          <w:sz w:val="24"/>
          <w:szCs w:val="24"/>
        </w:rPr>
        <w:t xml:space="preserve">Hos patienter, der lider af høfeber, nasale polypper eller kronisk obstruktive lungesygdomme, da de har forhøjet risiko for at få en allergisk reaktion. En sådan reaktion kan vise sig som astmaanfald (såkaldt analgetisk astma), </w:t>
      </w:r>
      <w:proofErr w:type="spellStart"/>
      <w:r w:rsidRPr="00163966">
        <w:rPr>
          <w:sz w:val="24"/>
          <w:szCs w:val="24"/>
        </w:rPr>
        <w:t>Quinckes</w:t>
      </w:r>
      <w:proofErr w:type="spellEnd"/>
      <w:r w:rsidRPr="00163966">
        <w:rPr>
          <w:sz w:val="24"/>
          <w:szCs w:val="24"/>
        </w:rPr>
        <w:t xml:space="preserve"> ødem eller </w:t>
      </w:r>
      <w:proofErr w:type="spellStart"/>
      <w:r w:rsidRPr="00163966">
        <w:rPr>
          <w:sz w:val="24"/>
          <w:szCs w:val="24"/>
        </w:rPr>
        <w:t>urticaria</w:t>
      </w:r>
      <w:proofErr w:type="spellEnd"/>
      <w:r w:rsidRPr="00163966">
        <w:rPr>
          <w:sz w:val="24"/>
          <w:szCs w:val="24"/>
        </w:rPr>
        <w:t>.</w:t>
      </w:r>
    </w:p>
    <w:p w:rsidR="00F103E2" w:rsidRDefault="00F103E2" w:rsidP="00F103E2">
      <w:pPr>
        <w:tabs>
          <w:tab w:val="left" w:pos="851"/>
        </w:tabs>
        <w:ind w:left="851"/>
        <w:rPr>
          <w:sz w:val="24"/>
          <w:szCs w:val="24"/>
        </w:rPr>
      </w:pPr>
    </w:p>
    <w:p w:rsidR="00FF1D20" w:rsidRDefault="00FF1D20" w:rsidP="00F103E2">
      <w:pPr>
        <w:tabs>
          <w:tab w:val="left" w:pos="851"/>
        </w:tabs>
        <w:ind w:left="851"/>
        <w:rPr>
          <w:sz w:val="24"/>
          <w:szCs w:val="24"/>
        </w:rPr>
      </w:pPr>
      <w:r>
        <w:rPr>
          <w:sz w:val="24"/>
          <w:szCs w:val="24"/>
        </w:rPr>
        <w:t xml:space="preserve">Forsigtighed tilrådes, når paracetamol gives samtidigt med </w:t>
      </w:r>
      <w:proofErr w:type="spellStart"/>
      <w:r>
        <w:rPr>
          <w:sz w:val="24"/>
          <w:szCs w:val="24"/>
        </w:rPr>
        <w:t>flucloxacillin</w:t>
      </w:r>
      <w:proofErr w:type="spellEnd"/>
      <w:r>
        <w:rPr>
          <w:sz w:val="24"/>
          <w:szCs w:val="24"/>
        </w:rPr>
        <w:t xml:space="preserve"> på grund af den forhøjede risiko for metabolisk </w:t>
      </w:r>
      <w:proofErr w:type="spellStart"/>
      <w:r>
        <w:rPr>
          <w:sz w:val="24"/>
          <w:szCs w:val="24"/>
        </w:rPr>
        <w:t>acidose</w:t>
      </w:r>
      <w:proofErr w:type="spellEnd"/>
      <w:r>
        <w:rPr>
          <w:sz w:val="24"/>
          <w:szCs w:val="24"/>
        </w:rPr>
        <w:t xml:space="preserve"> med højt anion-</w:t>
      </w:r>
      <w:proofErr w:type="spellStart"/>
      <w:r>
        <w:rPr>
          <w:sz w:val="24"/>
          <w:szCs w:val="24"/>
        </w:rPr>
        <w:t>gap</w:t>
      </w:r>
      <w:proofErr w:type="spellEnd"/>
      <w:r>
        <w:rPr>
          <w:sz w:val="24"/>
          <w:szCs w:val="24"/>
        </w:rPr>
        <w:t xml:space="preserve"> (HAGMA), særligt for patienter med svært nedsat nyrefunktion, sepsis, fejlernæring og andre kilder til </w:t>
      </w:r>
      <w:proofErr w:type="spellStart"/>
      <w:r>
        <w:rPr>
          <w:sz w:val="24"/>
          <w:szCs w:val="24"/>
        </w:rPr>
        <w:t>glutathionmangel</w:t>
      </w:r>
      <w:proofErr w:type="spellEnd"/>
      <w:r>
        <w:rPr>
          <w:sz w:val="24"/>
          <w:szCs w:val="24"/>
        </w:rPr>
        <w:t xml:space="preserve"> (f.eks. kronisk alkoholisme), så vel som for dem, der anvender maksimale daglige doser af paracetamol. Tæt monitorering anbefales herunder måling af 5-oxoprolin i urinen.</w:t>
      </w:r>
    </w:p>
    <w:p w:rsidR="00FF1D20" w:rsidRPr="00163966" w:rsidRDefault="00FF1D20" w:rsidP="00F103E2">
      <w:pPr>
        <w:tabs>
          <w:tab w:val="left" w:pos="851"/>
        </w:tabs>
        <w:ind w:left="851"/>
        <w:rPr>
          <w:sz w:val="24"/>
          <w:szCs w:val="24"/>
        </w:rPr>
      </w:pPr>
    </w:p>
    <w:p w:rsidR="00F103E2" w:rsidRPr="00163966" w:rsidRDefault="00F103E2" w:rsidP="00F103E2">
      <w:pPr>
        <w:tabs>
          <w:tab w:val="left" w:pos="851"/>
        </w:tabs>
        <w:ind w:left="851"/>
        <w:rPr>
          <w:sz w:val="24"/>
          <w:szCs w:val="24"/>
        </w:rPr>
      </w:pPr>
      <w:r w:rsidRPr="00163966">
        <w:rPr>
          <w:sz w:val="24"/>
          <w:szCs w:val="24"/>
        </w:rPr>
        <w:t>Dette lægemiddel indeholder 35,06 mg natrium pr. 100 ml hætteglas, svarende til 1,75 % af den WHO anbefalede maksimale daglige indtagelse af 2 g natrium for en voksen.</w:t>
      </w: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4.5</w:t>
      </w:r>
      <w:r w:rsidRPr="00163966">
        <w:rPr>
          <w:b/>
          <w:sz w:val="24"/>
          <w:szCs w:val="24"/>
        </w:rPr>
        <w:tab/>
        <w:t>Interaktion med andre lægemidler og andre former for interaktion</w:t>
      </w:r>
    </w:p>
    <w:p w:rsidR="000154F4" w:rsidRPr="00163966" w:rsidRDefault="000154F4" w:rsidP="000154F4">
      <w:pPr>
        <w:tabs>
          <w:tab w:val="left" w:pos="851"/>
        </w:tabs>
        <w:ind w:left="851"/>
        <w:rPr>
          <w:sz w:val="24"/>
          <w:szCs w:val="24"/>
        </w:rPr>
      </w:pPr>
      <w:r w:rsidRPr="00163966">
        <w:rPr>
          <w:sz w:val="24"/>
          <w:szCs w:val="24"/>
        </w:rPr>
        <w:t xml:space="preserve">Dette lægemiddel bør ikke tages samtidig med andre lægemidler, der indeholder paracetamol, ibuprofen, acetylsalicylsyre eller </w:t>
      </w:r>
      <w:proofErr w:type="spellStart"/>
      <w:r w:rsidRPr="00163966">
        <w:rPr>
          <w:sz w:val="24"/>
          <w:szCs w:val="24"/>
        </w:rPr>
        <w:t>salicylater</w:t>
      </w:r>
      <w:proofErr w:type="spellEnd"/>
      <w:r w:rsidRPr="00163966">
        <w:rPr>
          <w:sz w:val="24"/>
          <w:szCs w:val="24"/>
        </w:rPr>
        <w:t xml:space="preserve"> eller samtidig med andre antiinflammatoriske lægemidler (</w:t>
      </w:r>
      <w:proofErr w:type="spellStart"/>
      <w:r w:rsidRPr="00163966">
        <w:rPr>
          <w:sz w:val="24"/>
          <w:szCs w:val="24"/>
        </w:rPr>
        <w:t>NSAIDer</w:t>
      </w:r>
      <w:proofErr w:type="spellEnd"/>
      <w:r w:rsidRPr="00163966">
        <w:rPr>
          <w:sz w:val="24"/>
          <w:szCs w:val="24"/>
        </w:rPr>
        <w:t>), medmindre det sker efter en læge anvisning.</w:t>
      </w:r>
    </w:p>
    <w:p w:rsidR="000154F4" w:rsidRPr="00163966" w:rsidRDefault="000154F4" w:rsidP="000154F4">
      <w:pPr>
        <w:tabs>
          <w:tab w:val="left" w:pos="851"/>
        </w:tabs>
        <w:ind w:left="851"/>
        <w:rPr>
          <w:iCs/>
          <w:sz w:val="24"/>
          <w:szCs w:val="24"/>
        </w:rPr>
      </w:pPr>
    </w:p>
    <w:p w:rsidR="000154F4" w:rsidRPr="00163966" w:rsidRDefault="000154F4" w:rsidP="000154F4">
      <w:pPr>
        <w:tabs>
          <w:tab w:val="left" w:pos="851"/>
        </w:tabs>
        <w:ind w:left="851"/>
        <w:rPr>
          <w:sz w:val="24"/>
          <w:szCs w:val="24"/>
          <w:u w:val="single"/>
        </w:rPr>
      </w:pPr>
      <w:r w:rsidRPr="00163966">
        <w:rPr>
          <w:sz w:val="24"/>
          <w:szCs w:val="24"/>
          <w:u w:val="single"/>
        </w:rPr>
        <w:t>Ibuprofen</w:t>
      </w:r>
    </w:p>
    <w:p w:rsidR="000154F4" w:rsidRPr="00163966" w:rsidRDefault="000154F4" w:rsidP="000154F4">
      <w:pPr>
        <w:tabs>
          <w:tab w:val="left" w:pos="851"/>
        </w:tabs>
        <w:ind w:left="851"/>
        <w:rPr>
          <w:sz w:val="24"/>
          <w:szCs w:val="24"/>
        </w:rPr>
      </w:pPr>
      <w:r w:rsidRPr="00163966">
        <w:rPr>
          <w:sz w:val="24"/>
          <w:szCs w:val="24"/>
        </w:rPr>
        <w:t xml:space="preserve">Som det er tilfældet med andre lægemidler, der indeholder ibuprofen, skal følgende kombinationer med </w:t>
      </w:r>
      <w:proofErr w:type="spellStart"/>
      <w:r w:rsidRPr="00163966">
        <w:rPr>
          <w:sz w:val="24"/>
          <w:szCs w:val="24"/>
        </w:rPr>
        <w:t>Comboval</w:t>
      </w:r>
      <w:proofErr w:type="spellEnd"/>
      <w:r w:rsidRPr="00163966">
        <w:rPr>
          <w:sz w:val="24"/>
          <w:szCs w:val="24"/>
        </w:rPr>
        <w:t xml:space="preserve"> undgås:</w:t>
      </w:r>
    </w:p>
    <w:p w:rsidR="000F360A" w:rsidRPr="00163966" w:rsidRDefault="000154F4" w:rsidP="000F360A">
      <w:pPr>
        <w:numPr>
          <w:ilvl w:val="0"/>
          <w:numId w:val="9"/>
        </w:numPr>
        <w:tabs>
          <w:tab w:val="left" w:pos="851"/>
        </w:tabs>
        <w:ind w:left="1134" w:hanging="283"/>
        <w:rPr>
          <w:sz w:val="24"/>
          <w:szCs w:val="24"/>
        </w:rPr>
      </w:pPr>
      <w:proofErr w:type="spellStart"/>
      <w:r w:rsidRPr="00163966">
        <w:rPr>
          <w:i/>
          <w:sz w:val="24"/>
          <w:szCs w:val="24"/>
        </w:rPr>
        <w:t>Dicumarol</w:t>
      </w:r>
      <w:proofErr w:type="spellEnd"/>
      <w:r w:rsidRPr="00163966">
        <w:rPr>
          <w:i/>
          <w:sz w:val="24"/>
          <w:szCs w:val="24"/>
        </w:rPr>
        <w:t>-gruppen</w:t>
      </w:r>
    </w:p>
    <w:p w:rsidR="000154F4" w:rsidRPr="00163966" w:rsidRDefault="000154F4" w:rsidP="000F360A">
      <w:pPr>
        <w:tabs>
          <w:tab w:val="left" w:pos="851"/>
        </w:tabs>
        <w:ind w:left="1134"/>
        <w:rPr>
          <w:sz w:val="24"/>
          <w:szCs w:val="24"/>
        </w:rPr>
      </w:pPr>
      <w:proofErr w:type="spellStart"/>
      <w:r w:rsidRPr="00163966">
        <w:rPr>
          <w:sz w:val="24"/>
          <w:szCs w:val="24"/>
        </w:rPr>
        <w:t>NSAIDer</w:t>
      </w:r>
      <w:proofErr w:type="spellEnd"/>
      <w:r w:rsidRPr="00163966">
        <w:rPr>
          <w:sz w:val="24"/>
          <w:szCs w:val="24"/>
        </w:rPr>
        <w:t xml:space="preserve"> kan forstærke virkningen af </w:t>
      </w:r>
      <w:proofErr w:type="spellStart"/>
      <w:r w:rsidRPr="00163966">
        <w:rPr>
          <w:sz w:val="24"/>
          <w:szCs w:val="24"/>
        </w:rPr>
        <w:t>antikoagulantia</w:t>
      </w:r>
      <w:proofErr w:type="spellEnd"/>
      <w:r w:rsidRPr="00163966">
        <w:rPr>
          <w:sz w:val="24"/>
          <w:szCs w:val="24"/>
        </w:rPr>
        <w:t xml:space="preserve"> såsom </w:t>
      </w:r>
      <w:proofErr w:type="spellStart"/>
      <w:r w:rsidRPr="00163966">
        <w:rPr>
          <w:sz w:val="24"/>
          <w:szCs w:val="24"/>
        </w:rPr>
        <w:t>warfarin</w:t>
      </w:r>
      <w:proofErr w:type="spellEnd"/>
      <w:r w:rsidRPr="00163966">
        <w:rPr>
          <w:sz w:val="24"/>
          <w:szCs w:val="24"/>
        </w:rPr>
        <w:t xml:space="preserve">. Eksperimentelle studier har vist, at ibuprofen forstærker </w:t>
      </w:r>
      <w:proofErr w:type="spellStart"/>
      <w:r w:rsidRPr="00163966">
        <w:rPr>
          <w:sz w:val="24"/>
          <w:szCs w:val="24"/>
        </w:rPr>
        <w:t>warfarins</w:t>
      </w:r>
      <w:proofErr w:type="spellEnd"/>
      <w:r w:rsidRPr="00163966">
        <w:rPr>
          <w:sz w:val="24"/>
          <w:szCs w:val="24"/>
        </w:rPr>
        <w:t xml:space="preserve"> indvirkning på blødningstiden. </w:t>
      </w:r>
      <w:proofErr w:type="spellStart"/>
      <w:r w:rsidRPr="00163966">
        <w:rPr>
          <w:sz w:val="24"/>
          <w:szCs w:val="24"/>
        </w:rPr>
        <w:t>NSAIDer</w:t>
      </w:r>
      <w:proofErr w:type="spellEnd"/>
      <w:r w:rsidRPr="00163966">
        <w:rPr>
          <w:sz w:val="24"/>
          <w:szCs w:val="24"/>
        </w:rPr>
        <w:t xml:space="preserve"> og </w:t>
      </w:r>
      <w:proofErr w:type="spellStart"/>
      <w:r w:rsidRPr="00163966">
        <w:rPr>
          <w:sz w:val="24"/>
          <w:szCs w:val="24"/>
        </w:rPr>
        <w:t>dicumarol</w:t>
      </w:r>
      <w:proofErr w:type="spellEnd"/>
      <w:r w:rsidRPr="00163966">
        <w:rPr>
          <w:sz w:val="24"/>
          <w:szCs w:val="24"/>
        </w:rPr>
        <w:t xml:space="preserve">-gruppen </w:t>
      </w:r>
      <w:proofErr w:type="spellStart"/>
      <w:r w:rsidRPr="00163966">
        <w:rPr>
          <w:sz w:val="24"/>
          <w:szCs w:val="24"/>
        </w:rPr>
        <w:t>metaboliseres</w:t>
      </w:r>
      <w:proofErr w:type="spellEnd"/>
      <w:r w:rsidRPr="00163966">
        <w:rPr>
          <w:sz w:val="24"/>
          <w:szCs w:val="24"/>
        </w:rPr>
        <w:t xml:space="preserve"> af det samme enzym, CYP2C9.</w:t>
      </w:r>
    </w:p>
    <w:p w:rsidR="000F360A" w:rsidRPr="00163966" w:rsidRDefault="000154F4" w:rsidP="000F360A">
      <w:pPr>
        <w:numPr>
          <w:ilvl w:val="0"/>
          <w:numId w:val="9"/>
        </w:numPr>
        <w:tabs>
          <w:tab w:val="left" w:pos="851"/>
        </w:tabs>
        <w:ind w:left="1134" w:hanging="283"/>
        <w:rPr>
          <w:sz w:val="24"/>
          <w:szCs w:val="24"/>
        </w:rPr>
      </w:pPr>
      <w:proofErr w:type="spellStart"/>
      <w:r w:rsidRPr="00163966">
        <w:rPr>
          <w:i/>
          <w:sz w:val="24"/>
          <w:szCs w:val="24"/>
        </w:rPr>
        <w:t>Antitrombotisk</w:t>
      </w:r>
      <w:proofErr w:type="spellEnd"/>
      <w:r w:rsidRPr="00163966">
        <w:rPr>
          <w:i/>
          <w:sz w:val="24"/>
          <w:szCs w:val="24"/>
        </w:rPr>
        <w:t xml:space="preserve"> medicin</w:t>
      </w:r>
    </w:p>
    <w:p w:rsidR="000154F4" w:rsidRPr="00163966" w:rsidRDefault="000154F4" w:rsidP="000F360A">
      <w:pPr>
        <w:tabs>
          <w:tab w:val="left" w:pos="851"/>
        </w:tabs>
        <w:ind w:left="1134"/>
        <w:rPr>
          <w:sz w:val="24"/>
          <w:szCs w:val="24"/>
        </w:rPr>
      </w:pPr>
      <w:proofErr w:type="spellStart"/>
      <w:r w:rsidRPr="00163966">
        <w:rPr>
          <w:sz w:val="24"/>
          <w:szCs w:val="24"/>
        </w:rPr>
        <w:t>NSAIDer</w:t>
      </w:r>
      <w:proofErr w:type="spellEnd"/>
      <w:r w:rsidRPr="00163966">
        <w:rPr>
          <w:sz w:val="24"/>
          <w:szCs w:val="24"/>
        </w:rPr>
        <w:t xml:space="preserve"> må ikke kombineres med </w:t>
      </w:r>
      <w:proofErr w:type="spellStart"/>
      <w:r w:rsidRPr="00163966">
        <w:rPr>
          <w:sz w:val="24"/>
          <w:szCs w:val="24"/>
        </w:rPr>
        <w:t>antitrombotisk</w:t>
      </w:r>
      <w:proofErr w:type="spellEnd"/>
      <w:r w:rsidRPr="00163966">
        <w:rPr>
          <w:sz w:val="24"/>
          <w:szCs w:val="24"/>
        </w:rPr>
        <w:t xml:space="preserve"> medicin såsom </w:t>
      </w:r>
      <w:proofErr w:type="spellStart"/>
      <w:r w:rsidRPr="00163966">
        <w:rPr>
          <w:sz w:val="24"/>
          <w:szCs w:val="24"/>
        </w:rPr>
        <w:t>ticlopidin</w:t>
      </w:r>
      <w:proofErr w:type="spellEnd"/>
      <w:r w:rsidRPr="00163966">
        <w:rPr>
          <w:sz w:val="24"/>
          <w:szCs w:val="24"/>
        </w:rPr>
        <w:t xml:space="preserve"> på grund af den </w:t>
      </w:r>
      <w:proofErr w:type="spellStart"/>
      <w:r w:rsidRPr="00163966">
        <w:rPr>
          <w:sz w:val="24"/>
          <w:szCs w:val="24"/>
        </w:rPr>
        <w:t>additive</w:t>
      </w:r>
      <w:proofErr w:type="spellEnd"/>
      <w:r w:rsidRPr="00163966">
        <w:rPr>
          <w:sz w:val="24"/>
          <w:szCs w:val="24"/>
        </w:rPr>
        <w:t xml:space="preserve"> hæmning af </w:t>
      </w:r>
      <w:proofErr w:type="spellStart"/>
      <w:r w:rsidRPr="00163966">
        <w:rPr>
          <w:sz w:val="24"/>
          <w:szCs w:val="24"/>
        </w:rPr>
        <w:t>trombocytfunktionen</w:t>
      </w:r>
      <w:proofErr w:type="spellEnd"/>
      <w:r w:rsidRPr="00163966">
        <w:rPr>
          <w:sz w:val="24"/>
          <w:szCs w:val="24"/>
        </w:rPr>
        <w:t xml:space="preserve"> (se nedenfor).</w:t>
      </w:r>
    </w:p>
    <w:p w:rsidR="004926C0" w:rsidRPr="00D26EF0" w:rsidRDefault="004926C0" w:rsidP="004926C0">
      <w:pPr>
        <w:numPr>
          <w:ilvl w:val="0"/>
          <w:numId w:val="9"/>
        </w:numPr>
        <w:tabs>
          <w:tab w:val="left" w:pos="851"/>
        </w:tabs>
        <w:ind w:left="1134" w:hanging="283"/>
        <w:rPr>
          <w:sz w:val="24"/>
          <w:szCs w:val="24"/>
        </w:rPr>
      </w:pPr>
      <w:proofErr w:type="spellStart"/>
      <w:r w:rsidRPr="00D26EF0">
        <w:rPr>
          <w:i/>
          <w:sz w:val="24"/>
          <w:szCs w:val="24"/>
        </w:rPr>
        <w:t>Methotrexat</w:t>
      </w:r>
      <w:proofErr w:type="spellEnd"/>
    </w:p>
    <w:p w:rsidR="004926C0" w:rsidRPr="00D26EF0" w:rsidRDefault="004926C0" w:rsidP="004926C0">
      <w:pPr>
        <w:tabs>
          <w:tab w:val="left" w:pos="851"/>
        </w:tabs>
        <w:ind w:left="1134"/>
        <w:rPr>
          <w:sz w:val="24"/>
          <w:szCs w:val="24"/>
        </w:rPr>
      </w:pPr>
      <w:proofErr w:type="spellStart"/>
      <w:r w:rsidRPr="00D26EF0">
        <w:rPr>
          <w:sz w:val="24"/>
          <w:szCs w:val="24"/>
        </w:rPr>
        <w:t>NSAIDer</w:t>
      </w:r>
      <w:proofErr w:type="spellEnd"/>
      <w:r w:rsidRPr="00D26EF0">
        <w:rPr>
          <w:sz w:val="24"/>
          <w:szCs w:val="24"/>
        </w:rPr>
        <w:t xml:space="preserve"> hæmmer den </w:t>
      </w:r>
      <w:proofErr w:type="spellStart"/>
      <w:r w:rsidRPr="00D26EF0">
        <w:rPr>
          <w:sz w:val="24"/>
          <w:szCs w:val="24"/>
        </w:rPr>
        <w:t>tubulære</w:t>
      </w:r>
      <w:proofErr w:type="spellEnd"/>
      <w:r w:rsidRPr="00D26EF0">
        <w:rPr>
          <w:sz w:val="24"/>
          <w:szCs w:val="24"/>
        </w:rPr>
        <w:t xml:space="preserve"> sekretion af </w:t>
      </w:r>
      <w:proofErr w:type="spellStart"/>
      <w:r w:rsidRPr="00D26EF0">
        <w:rPr>
          <w:sz w:val="24"/>
          <w:szCs w:val="24"/>
        </w:rPr>
        <w:t>methotrexat</w:t>
      </w:r>
      <w:proofErr w:type="spellEnd"/>
      <w:r w:rsidRPr="00D26EF0">
        <w:rPr>
          <w:sz w:val="24"/>
          <w:szCs w:val="24"/>
        </w:rPr>
        <w:t xml:space="preserve">, og der kan derfor også forekomme en vis metabolisk interaktion med nedsat </w:t>
      </w:r>
      <w:proofErr w:type="spellStart"/>
      <w:r w:rsidRPr="00D26EF0">
        <w:rPr>
          <w:sz w:val="24"/>
          <w:szCs w:val="24"/>
        </w:rPr>
        <w:t>clearance</w:t>
      </w:r>
      <w:proofErr w:type="spellEnd"/>
      <w:r w:rsidRPr="00D26EF0">
        <w:rPr>
          <w:sz w:val="24"/>
          <w:szCs w:val="24"/>
        </w:rPr>
        <w:t xml:space="preserve"> af </w:t>
      </w:r>
      <w:proofErr w:type="spellStart"/>
      <w:r w:rsidRPr="00D26EF0">
        <w:rPr>
          <w:sz w:val="24"/>
          <w:szCs w:val="24"/>
        </w:rPr>
        <w:t>methotrexat</w:t>
      </w:r>
      <w:proofErr w:type="spellEnd"/>
      <w:r w:rsidRPr="00D26EF0">
        <w:rPr>
          <w:sz w:val="24"/>
          <w:szCs w:val="24"/>
        </w:rPr>
        <w:t xml:space="preserve">. Risikoen for en potentiel interaktion mellem et NSAID og </w:t>
      </w:r>
      <w:proofErr w:type="spellStart"/>
      <w:r w:rsidRPr="00D26EF0">
        <w:rPr>
          <w:sz w:val="24"/>
          <w:szCs w:val="24"/>
        </w:rPr>
        <w:t>methotrexat</w:t>
      </w:r>
      <w:proofErr w:type="spellEnd"/>
      <w:r w:rsidRPr="00D26EF0">
        <w:rPr>
          <w:sz w:val="24"/>
          <w:szCs w:val="24"/>
        </w:rPr>
        <w:t xml:space="preserve"> skal også overvejes i forbindelse med lavdosisbehandling med </w:t>
      </w:r>
      <w:proofErr w:type="spellStart"/>
      <w:r w:rsidRPr="00D26EF0">
        <w:rPr>
          <w:sz w:val="24"/>
          <w:szCs w:val="24"/>
        </w:rPr>
        <w:t>methotrexat</w:t>
      </w:r>
      <w:proofErr w:type="spellEnd"/>
      <w:r w:rsidRPr="00D26EF0">
        <w:rPr>
          <w:sz w:val="24"/>
          <w:szCs w:val="24"/>
        </w:rPr>
        <w:t xml:space="preserve">, især hos patienter med nedsat </w:t>
      </w:r>
      <w:r w:rsidRPr="00D26EF0">
        <w:rPr>
          <w:sz w:val="24"/>
          <w:szCs w:val="24"/>
        </w:rPr>
        <w:lastRenderedPageBreak/>
        <w:t>nyrefunktion. Nyrefunktion skal altid monitoreres, når der gives kombinations</w:t>
      </w:r>
      <w:r>
        <w:rPr>
          <w:sz w:val="24"/>
          <w:szCs w:val="24"/>
        </w:rPr>
        <w:t>-</w:t>
      </w:r>
      <w:r w:rsidRPr="00D26EF0">
        <w:rPr>
          <w:sz w:val="24"/>
          <w:szCs w:val="24"/>
        </w:rPr>
        <w:t xml:space="preserve">behandling. Forsigtighed bør udvises, hvis både et NSAID og </w:t>
      </w:r>
      <w:proofErr w:type="spellStart"/>
      <w:r w:rsidRPr="00D26EF0">
        <w:rPr>
          <w:sz w:val="24"/>
          <w:szCs w:val="24"/>
        </w:rPr>
        <w:t>methotrexat</w:t>
      </w:r>
      <w:proofErr w:type="spellEnd"/>
      <w:r w:rsidRPr="00D26EF0">
        <w:rPr>
          <w:sz w:val="24"/>
          <w:szCs w:val="24"/>
        </w:rPr>
        <w:t xml:space="preserve"> gives inden for 24 timer, da plasmaniveauerne af </w:t>
      </w:r>
      <w:proofErr w:type="spellStart"/>
      <w:r w:rsidRPr="00D26EF0">
        <w:rPr>
          <w:sz w:val="24"/>
          <w:szCs w:val="24"/>
        </w:rPr>
        <w:t>methotrexat</w:t>
      </w:r>
      <w:proofErr w:type="spellEnd"/>
      <w:r w:rsidRPr="00D26EF0">
        <w:rPr>
          <w:sz w:val="24"/>
          <w:szCs w:val="24"/>
        </w:rPr>
        <w:t xml:space="preserve"> kan stige og forårsage øget toksicitet. Det skal derfor altid undgås at ordinere et NSAID samtidig med højdosisbehandling med </w:t>
      </w:r>
      <w:proofErr w:type="spellStart"/>
      <w:r w:rsidRPr="00D26EF0">
        <w:rPr>
          <w:sz w:val="24"/>
          <w:szCs w:val="24"/>
        </w:rPr>
        <w:t>methotrexat</w:t>
      </w:r>
      <w:proofErr w:type="spellEnd"/>
      <w:r w:rsidRPr="00D26EF0">
        <w:rPr>
          <w:sz w:val="24"/>
          <w:szCs w:val="24"/>
        </w:rPr>
        <w:t>.</w:t>
      </w:r>
    </w:p>
    <w:p w:rsidR="000F360A" w:rsidRPr="00163966" w:rsidRDefault="000154F4" w:rsidP="004926C0">
      <w:pPr>
        <w:keepNext/>
        <w:numPr>
          <w:ilvl w:val="0"/>
          <w:numId w:val="9"/>
        </w:numPr>
        <w:tabs>
          <w:tab w:val="left" w:pos="851"/>
        </w:tabs>
        <w:ind w:left="1134" w:hanging="283"/>
        <w:rPr>
          <w:sz w:val="24"/>
          <w:szCs w:val="24"/>
        </w:rPr>
      </w:pPr>
      <w:r w:rsidRPr="00163966">
        <w:rPr>
          <w:i/>
          <w:sz w:val="24"/>
          <w:szCs w:val="24"/>
        </w:rPr>
        <w:t>Acetylsalicylsyre</w:t>
      </w:r>
    </w:p>
    <w:p w:rsidR="000154F4" w:rsidRPr="00163966" w:rsidRDefault="000154F4" w:rsidP="000F360A">
      <w:pPr>
        <w:tabs>
          <w:tab w:val="left" w:pos="851"/>
        </w:tabs>
        <w:ind w:left="1134"/>
        <w:rPr>
          <w:sz w:val="24"/>
          <w:szCs w:val="24"/>
        </w:rPr>
      </w:pPr>
      <w:r w:rsidRPr="00163966">
        <w:rPr>
          <w:sz w:val="24"/>
          <w:szCs w:val="24"/>
        </w:rPr>
        <w:t xml:space="preserve">Samtidig administration af ibuprofen og acetylsalicylsyre frarådes generelt på grund af muligheden for forstærkede bivirkninger. Forsøgsdata indikerer, at ibuprofen kan udløse en </w:t>
      </w:r>
      <w:proofErr w:type="spellStart"/>
      <w:r w:rsidRPr="00163966">
        <w:rPr>
          <w:sz w:val="24"/>
          <w:szCs w:val="24"/>
        </w:rPr>
        <w:t>kompetitiv</w:t>
      </w:r>
      <w:proofErr w:type="spellEnd"/>
      <w:r w:rsidRPr="00163966">
        <w:rPr>
          <w:sz w:val="24"/>
          <w:szCs w:val="24"/>
        </w:rPr>
        <w:t xml:space="preserve"> hæmning af lavdosis-acetylsalicylsyrens virkning på </w:t>
      </w:r>
      <w:proofErr w:type="spellStart"/>
      <w:r w:rsidRPr="00163966">
        <w:rPr>
          <w:sz w:val="24"/>
          <w:szCs w:val="24"/>
        </w:rPr>
        <w:t>trombocyaggregationen</w:t>
      </w:r>
      <w:proofErr w:type="spellEnd"/>
      <w:r w:rsidRPr="00163966">
        <w:rPr>
          <w:sz w:val="24"/>
          <w:szCs w:val="24"/>
        </w:rPr>
        <w:t xml:space="preserve">, når de gives samtidig. Selvom der er uvished om ekstrapolering af disse data til den kliniske situation, kan man ikke udelukke muligheden for, at regelmæssig længerevarende anvendelse af ibuprofen kan mindske den </w:t>
      </w:r>
      <w:proofErr w:type="spellStart"/>
      <w:r w:rsidRPr="00163966">
        <w:rPr>
          <w:sz w:val="24"/>
          <w:szCs w:val="24"/>
        </w:rPr>
        <w:t>kardiobeskyttende</w:t>
      </w:r>
      <w:proofErr w:type="spellEnd"/>
      <w:r w:rsidRPr="00163966">
        <w:rPr>
          <w:sz w:val="24"/>
          <w:szCs w:val="24"/>
        </w:rPr>
        <w:t xml:space="preserve"> virkning af lavdosis-acetylsalicylsyre. Ingen klinisk relevant virkning anses for at være sandsynlig ved lejlighedsvis anvendelse af ibuprofen (se pkt. 5.1).</w:t>
      </w:r>
    </w:p>
    <w:p w:rsidR="000F360A" w:rsidRPr="00163966" w:rsidRDefault="000154F4" w:rsidP="000F360A">
      <w:pPr>
        <w:numPr>
          <w:ilvl w:val="0"/>
          <w:numId w:val="9"/>
        </w:numPr>
        <w:tabs>
          <w:tab w:val="left" w:pos="851"/>
        </w:tabs>
        <w:ind w:left="1134" w:hanging="283"/>
        <w:rPr>
          <w:sz w:val="24"/>
          <w:szCs w:val="24"/>
        </w:rPr>
      </w:pPr>
      <w:proofErr w:type="spellStart"/>
      <w:r w:rsidRPr="00163966">
        <w:rPr>
          <w:i/>
          <w:sz w:val="24"/>
          <w:szCs w:val="24"/>
        </w:rPr>
        <w:t>Lithium</w:t>
      </w:r>
      <w:proofErr w:type="spellEnd"/>
    </w:p>
    <w:p w:rsidR="000154F4" w:rsidRPr="00163966" w:rsidRDefault="000154F4" w:rsidP="000F360A">
      <w:pPr>
        <w:tabs>
          <w:tab w:val="left" w:pos="851"/>
        </w:tabs>
        <w:ind w:left="1134"/>
        <w:rPr>
          <w:sz w:val="24"/>
          <w:szCs w:val="24"/>
        </w:rPr>
      </w:pPr>
      <w:r w:rsidRPr="00163966">
        <w:rPr>
          <w:sz w:val="24"/>
          <w:szCs w:val="24"/>
        </w:rPr>
        <w:t xml:space="preserve">Ibuprofen mindsker nyrernes </w:t>
      </w:r>
      <w:proofErr w:type="spellStart"/>
      <w:r w:rsidRPr="00163966">
        <w:rPr>
          <w:sz w:val="24"/>
          <w:szCs w:val="24"/>
        </w:rPr>
        <w:t>clearance</w:t>
      </w:r>
      <w:proofErr w:type="spellEnd"/>
      <w:r w:rsidRPr="00163966">
        <w:rPr>
          <w:sz w:val="24"/>
          <w:szCs w:val="24"/>
        </w:rPr>
        <w:t xml:space="preserve"> af </w:t>
      </w:r>
      <w:proofErr w:type="spellStart"/>
      <w:r w:rsidRPr="00163966">
        <w:rPr>
          <w:sz w:val="24"/>
          <w:szCs w:val="24"/>
        </w:rPr>
        <w:t>lithium</w:t>
      </w:r>
      <w:proofErr w:type="spellEnd"/>
      <w:r w:rsidRPr="00163966">
        <w:rPr>
          <w:sz w:val="24"/>
          <w:szCs w:val="24"/>
        </w:rPr>
        <w:t xml:space="preserve">, og derfor kan serumniveauerne af </w:t>
      </w:r>
      <w:proofErr w:type="spellStart"/>
      <w:r w:rsidRPr="00163966">
        <w:rPr>
          <w:sz w:val="24"/>
          <w:szCs w:val="24"/>
        </w:rPr>
        <w:t>lithium</w:t>
      </w:r>
      <w:proofErr w:type="spellEnd"/>
      <w:r w:rsidRPr="00163966">
        <w:rPr>
          <w:sz w:val="24"/>
          <w:szCs w:val="24"/>
        </w:rPr>
        <w:t xml:space="preserve"> stige. Kombinationen bør undgås, medmindre der kan udføres hyppige kontroller af </w:t>
      </w:r>
      <w:proofErr w:type="spellStart"/>
      <w:r w:rsidRPr="00163966">
        <w:rPr>
          <w:sz w:val="24"/>
          <w:szCs w:val="24"/>
        </w:rPr>
        <w:t>serumlithium</w:t>
      </w:r>
      <w:proofErr w:type="spellEnd"/>
      <w:r w:rsidRPr="00163966">
        <w:rPr>
          <w:sz w:val="24"/>
          <w:szCs w:val="24"/>
        </w:rPr>
        <w:t xml:space="preserve">, og dosis af </w:t>
      </w:r>
      <w:proofErr w:type="spellStart"/>
      <w:r w:rsidRPr="00163966">
        <w:rPr>
          <w:sz w:val="24"/>
          <w:szCs w:val="24"/>
        </w:rPr>
        <w:t>lithium</w:t>
      </w:r>
      <w:proofErr w:type="spellEnd"/>
      <w:r w:rsidRPr="00163966">
        <w:rPr>
          <w:sz w:val="24"/>
          <w:szCs w:val="24"/>
        </w:rPr>
        <w:t xml:space="preserve"> eventuelt kan reduceres.</w:t>
      </w:r>
    </w:p>
    <w:p w:rsidR="000F360A" w:rsidRPr="00163966" w:rsidRDefault="000154F4" w:rsidP="000F360A">
      <w:pPr>
        <w:numPr>
          <w:ilvl w:val="0"/>
          <w:numId w:val="9"/>
        </w:numPr>
        <w:tabs>
          <w:tab w:val="left" w:pos="851"/>
        </w:tabs>
        <w:ind w:left="1134" w:hanging="283"/>
        <w:rPr>
          <w:sz w:val="24"/>
          <w:szCs w:val="24"/>
        </w:rPr>
      </w:pPr>
      <w:r w:rsidRPr="00163966">
        <w:rPr>
          <w:i/>
          <w:sz w:val="24"/>
          <w:szCs w:val="24"/>
        </w:rPr>
        <w:t>Hjerteglykosider</w:t>
      </w:r>
    </w:p>
    <w:p w:rsidR="000154F4" w:rsidRPr="00163966" w:rsidRDefault="000154F4" w:rsidP="000F360A">
      <w:pPr>
        <w:tabs>
          <w:tab w:val="left" w:pos="851"/>
        </w:tabs>
        <w:ind w:left="1134"/>
        <w:rPr>
          <w:sz w:val="24"/>
          <w:szCs w:val="24"/>
        </w:rPr>
      </w:pPr>
      <w:proofErr w:type="spellStart"/>
      <w:r w:rsidRPr="00163966">
        <w:rPr>
          <w:sz w:val="24"/>
          <w:szCs w:val="24"/>
        </w:rPr>
        <w:t>NSAIDer</w:t>
      </w:r>
      <w:proofErr w:type="spellEnd"/>
      <w:r w:rsidRPr="00163966">
        <w:rPr>
          <w:sz w:val="24"/>
          <w:szCs w:val="24"/>
        </w:rPr>
        <w:t xml:space="preserve"> kan forværre hjerteinsufficiens, mindske den </w:t>
      </w:r>
      <w:proofErr w:type="spellStart"/>
      <w:r w:rsidRPr="00163966">
        <w:rPr>
          <w:sz w:val="24"/>
          <w:szCs w:val="24"/>
        </w:rPr>
        <w:t>glomerulære</w:t>
      </w:r>
      <w:proofErr w:type="spellEnd"/>
      <w:r w:rsidRPr="00163966">
        <w:rPr>
          <w:sz w:val="24"/>
          <w:szCs w:val="24"/>
        </w:rPr>
        <w:t xml:space="preserve"> filtration og forhøje plasmaniveauerne af hjerteglykosider (fx </w:t>
      </w:r>
      <w:proofErr w:type="spellStart"/>
      <w:r w:rsidRPr="00163966">
        <w:rPr>
          <w:sz w:val="24"/>
          <w:szCs w:val="24"/>
        </w:rPr>
        <w:t>digoxin</w:t>
      </w:r>
      <w:proofErr w:type="spellEnd"/>
      <w:r w:rsidRPr="00163966">
        <w:rPr>
          <w:sz w:val="24"/>
          <w:szCs w:val="24"/>
        </w:rPr>
        <w:t>).</w:t>
      </w:r>
    </w:p>
    <w:p w:rsidR="00636E9E" w:rsidRPr="00163966" w:rsidRDefault="000154F4" w:rsidP="000F360A">
      <w:pPr>
        <w:numPr>
          <w:ilvl w:val="0"/>
          <w:numId w:val="9"/>
        </w:numPr>
        <w:tabs>
          <w:tab w:val="left" w:pos="851"/>
        </w:tabs>
        <w:ind w:left="1134" w:hanging="283"/>
        <w:rPr>
          <w:sz w:val="24"/>
          <w:szCs w:val="24"/>
        </w:rPr>
      </w:pPr>
      <w:proofErr w:type="spellStart"/>
      <w:r w:rsidRPr="00163966">
        <w:rPr>
          <w:i/>
          <w:sz w:val="24"/>
          <w:szCs w:val="24"/>
        </w:rPr>
        <w:t>Mifepriston</w:t>
      </w:r>
      <w:proofErr w:type="spellEnd"/>
    </w:p>
    <w:p w:rsidR="000154F4" w:rsidRPr="00163966" w:rsidRDefault="000154F4" w:rsidP="00636E9E">
      <w:pPr>
        <w:tabs>
          <w:tab w:val="left" w:pos="851"/>
        </w:tabs>
        <w:ind w:left="1134"/>
        <w:rPr>
          <w:sz w:val="24"/>
          <w:szCs w:val="24"/>
        </w:rPr>
      </w:pPr>
      <w:r w:rsidRPr="00163966">
        <w:rPr>
          <w:sz w:val="24"/>
          <w:szCs w:val="24"/>
        </w:rPr>
        <w:t xml:space="preserve">Der kan teoretisk forekomme nedsat virkning af lægemidlet på grund af de </w:t>
      </w:r>
      <w:proofErr w:type="spellStart"/>
      <w:r w:rsidRPr="00163966">
        <w:rPr>
          <w:sz w:val="24"/>
          <w:szCs w:val="24"/>
        </w:rPr>
        <w:t>antiprostaglandine</w:t>
      </w:r>
      <w:proofErr w:type="spellEnd"/>
      <w:r w:rsidRPr="00163966">
        <w:rPr>
          <w:sz w:val="24"/>
          <w:szCs w:val="24"/>
        </w:rPr>
        <w:t xml:space="preserve"> egenskaber ved </w:t>
      </w:r>
      <w:proofErr w:type="spellStart"/>
      <w:r w:rsidRPr="00163966">
        <w:rPr>
          <w:sz w:val="24"/>
          <w:szCs w:val="24"/>
        </w:rPr>
        <w:t>NSAIDer</w:t>
      </w:r>
      <w:proofErr w:type="spellEnd"/>
      <w:r w:rsidRPr="00163966">
        <w:rPr>
          <w:sz w:val="24"/>
          <w:szCs w:val="24"/>
        </w:rPr>
        <w:t xml:space="preserve">, herunder acetylsalicylsyre. Begrænset evidens indikerer, at samtidig administration af </w:t>
      </w:r>
      <w:proofErr w:type="spellStart"/>
      <w:r w:rsidRPr="00163966">
        <w:rPr>
          <w:sz w:val="24"/>
          <w:szCs w:val="24"/>
        </w:rPr>
        <w:t>NSAIDer</w:t>
      </w:r>
      <w:proofErr w:type="spellEnd"/>
      <w:r w:rsidRPr="00163966">
        <w:rPr>
          <w:sz w:val="24"/>
          <w:szCs w:val="24"/>
        </w:rPr>
        <w:t xml:space="preserve"> på samme dag som administration af </w:t>
      </w:r>
      <w:proofErr w:type="spellStart"/>
      <w:r w:rsidRPr="00163966">
        <w:rPr>
          <w:sz w:val="24"/>
          <w:szCs w:val="24"/>
        </w:rPr>
        <w:t>prostaglandin</w:t>
      </w:r>
      <w:proofErr w:type="spellEnd"/>
      <w:r w:rsidRPr="00163966">
        <w:rPr>
          <w:sz w:val="24"/>
          <w:szCs w:val="24"/>
        </w:rPr>
        <w:t xml:space="preserve"> ikke har nogen negativ indflydelse på </w:t>
      </w:r>
      <w:proofErr w:type="spellStart"/>
      <w:r w:rsidRPr="00163966">
        <w:rPr>
          <w:sz w:val="24"/>
          <w:szCs w:val="24"/>
        </w:rPr>
        <w:t>mifepristons</w:t>
      </w:r>
      <w:proofErr w:type="spellEnd"/>
      <w:r w:rsidRPr="00163966">
        <w:rPr>
          <w:sz w:val="24"/>
          <w:szCs w:val="24"/>
        </w:rPr>
        <w:t xml:space="preserve"> eller </w:t>
      </w:r>
      <w:proofErr w:type="spellStart"/>
      <w:r w:rsidRPr="00163966">
        <w:rPr>
          <w:sz w:val="24"/>
          <w:szCs w:val="24"/>
        </w:rPr>
        <w:t>prostaglandinets</w:t>
      </w:r>
      <w:proofErr w:type="spellEnd"/>
      <w:r w:rsidRPr="00163966">
        <w:rPr>
          <w:sz w:val="24"/>
          <w:szCs w:val="24"/>
        </w:rPr>
        <w:t xml:space="preserve"> virkninger på den </w:t>
      </w:r>
      <w:proofErr w:type="spellStart"/>
      <w:r w:rsidRPr="00163966">
        <w:rPr>
          <w:sz w:val="24"/>
          <w:szCs w:val="24"/>
        </w:rPr>
        <w:t>cervikale</w:t>
      </w:r>
      <w:proofErr w:type="spellEnd"/>
      <w:r w:rsidRPr="00163966">
        <w:rPr>
          <w:sz w:val="24"/>
          <w:szCs w:val="24"/>
        </w:rPr>
        <w:t xml:space="preserve"> modning eller livmoderens </w:t>
      </w:r>
      <w:proofErr w:type="spellStart"/>
      <w:r w:rsidRPr="00163966">
        <w:rPr>
          <w:sz w:val="24"/>
          <w:szCs w:val="24"/>
        </w:rPr>
        <w:t>kontraktilitet</w:t>
      </w:r>
      <w:proofErr w:type="spellEnd"/>
      <w:r w:rsidRPr="00163966">
        <w:rPr>
          <w:sz w:val="24"/>
          <w:szCs w:val="24"/>
        </w:rPr>
        <w:t xml:space="preserve"> og ikke mindsker den kliniske virkning af en medicinsk abort.</w:t>
      </w:r>
    </w:p>
    <w:p w:rsidR="00636E9E" w:rsidRPr="00163966" w:rsidRDefault="000154F4" w:rsidP="000F360A">
      <w:pPr>
        <w:numPr>
          <w:ilvl w:val="0"/>
          <w:numId w:val="9"/>
        </w:numPr>
        <w:tabs>
          <w:tab w:val="left" w:pos="851"/>
        </w:tabs>
        <w:ind w:left="1134" w:hanging="283"/>
        <w:rPr>
          <w:sz w:val="24"/>
          <w:szCs w:val="24"/>
        </w:rPr>
      </w:pPr>
      <w:r w:rsidRPr="00163966">
        <w:rPr>
          <w:i/>
          <w:sz w:val="24"/>
          <w:szCs w:val="24"/>
        </w:rPr>
        <w:t>ACE-</w:t>
      </w:r>
      <w:proofErr w:type="spellStart"/>
      <w:r w:rsidRPr="00163966">
        <w:rPr>
          <w:i/>
          <w:sz w:val="24"/>
          <w:szCs w:val="24"/>
        </w:rPr>
        <w:t>hæmmere</w:t>
      </w:r>
      <w:proofErr w:type="spellEnd"/>
      <w:r w:rsidRPr="00163966">
        <w:rPr>
          <w:i/>
          <w:sz w:val="24"/>
          <w:szCs w:val="24"/>
        </w:rPr>
        <w:t xml:space="preserve"> og </w:t>
      </w:r>
      <w:proofErr w:type="spellStart"/>
      <w:r w:rsidRPr="00163966">
        <w:rPr>
          <w:i/>
          <w:sz w:val="24"/>
          <w:szCs w:val="24"/>
        </w:rPr>
        <w:t>angiotensin</w:t>
      </w:r>
      <w:proofErr w:type="spellEnd"/>
      <w:r w:rsidRPr="00163966">
        <w:rPr>
          <w:i/>
          <w:sz w:val="24"/>
          <w:szCs w:val="24"/>
        </w:rPr>
        <w:t>-II-antagonister</w:t>
      </w:r>
    </w:p>
    <w:p w:rsidR="000154F4" w:rsidRPr="00163966" w:rsidRDefault="000154F4" w:rsidP="00636E9E">
      <w:pPr>
        <w:tabs>
          <w:tab w:val="left" w:pos="851"/>
        </w:tabs>
        <w:ind w:left="1134"/>
        <w:rPr>
          <w:sz w:val="24"/>
          <w:szCs w:val="24"/>
        </w:rPr>
      </w:pPr>
      <w:r w:rsidRPr="00163966">
        <w:rPr>
          <w:sz w:val="24"/>
          <w:szCs w:val="24"/>
        </w:rPr>
        <w:t>Der er øget risiko for akut nyreinsufficiens, som normalt er reversibel, hos patienter med nedsat nyrefunktion (fx dehydrerede og/eller ældre patienter), når behandling med ACE-</w:t>
      </w:r>
      <w:proofErr w:type="spellStart"/>
      <w:r w:rsidRPr="00163966">
        <w:rPr>
          <w:sz w:val="24"/>
          <w:szCs w:val="24"/>
        </w:rPr>
        <w:t>hæmmere</w:t>
      </w:r>
      <w:proofErr w:type="spellEnd"/>
      <w:r w:rsidRPr="00163966">
        <w:rPr>
          <w:sz w:val="24"/>
          <w:szCs w:val="24"/>
        </w:rPr>
        <w:t xml:space="preserve"> eller </w:t>
      </w:r>
      <w:proofErr w:type="spellStart"/>
      <w:r w:rsidRPr="00163966">
        <w:rPr>
          <w:sz w:val="24"/>
          <w:szCs w:val="24"/>
        </w:rPr>
        <w:t>angiotensin</w:t>
      </w:r>
      <w:proofErr w:type="spellEnd"/>
      <w:r w:rsidRPr="00163966">
        <w:rPr>
          <w:sz w:val="24"/>
          <w:szCs w:val="24"/>
        </w:rPr>
        <w:t xml:space="preserve">-II-antagonister gives samtidig med </w:t>
      </w:r>
      <w:proofErr w:type="spellStart"/>
      <w:r w:rsidRPr="00163966">
        <w:rPr>
          <w:sz w:val="24"/>
          <w:szCs w:val="24"/>
        </w:rPr>
        <w:t>NSAIDer</w:t>
      </w:r>
      <w:proofErr w:type="spellEnd"/>
      <w:r w:rsidRPr="00163966">
        <w:rPr>
          <w:sz w:val="24"/>
          <w:szCs w:val="24"/>
        </w:rPr>
        <w:t>, herunder selektive cyclooxygenase-2-hæmmere. Kombinationen skal derfor anvendes med forsigtighed til patienter med nedsat nyrefunktion, især ældre patienter. Patienterne skal være tilstrækkeligt hydrerede, og kontrol af nyrefunktionen bør overvejes efter initiering af kombinationsbehandlingen og med regelmæssige intervaller under behandlingen (se pkt. 4.4).</w:t>
      </w:r>
    </w:p>
    <w:p w:rsidR="00636E9E" w:rsidRPr="00163966" w:rsidRDefault="000154F4" w:rsidP="000F360A">
      <w:pPr>
        <w:numPr>
          <w:ilvl w:val="0"/>
          <w:numId w:val="9"/>
        </w:numPr>
        <w:tabs>
          <w:tab w:val="left" w:pos="851"/>
        </w:tabs>
        <w:ind w:left="1134" w:hanging="283"/>
        <w:rPr>
          <w:sz w:val="24"/>
          <w:szCs w:val="24"/>
        </w:rPr>
      </w:pPr>
      <w:r w:rsidRPr="00163966">
        <w:rPr>
          <w:i/>
          <w:sz w:val="24"/>
          <w:szCs w:val="24"/>
        </w:rPr>
        <w:t>Betablokkere</w:t>
      </w:r>
    </w:p>
    <w:p w:rsidR="000154F4" w:rsidRPr="00163966" w:rsidRDefault="000154F4" w:rsidP="00636E9E">
      <w:pPr>
        <w:tabs>
          <w:tab w:val="left" w:pos="851"/>
        </w:tabs>
        <w:ind w:left="1134"/>
        <w:rPr>
          <w:sz w:val="24"/>
          <w:szCs w:val="24"/>
        </w:rPr>
      </w:pPr>
      <w:proofErr w:type="spellStart"/>
      <w:r w:rsidRPr="00163966">
        <w:rPr>
          <w:sz w:val="24"/>
          <w:szCs w:val="24"/>
        </w:rPr>
        <w:t>NSAIDer</w:t>
      </w:r>
      <w:proofErr w:type="spellEnd"/>
      <w:r w:rsidRPr="00163966">
        <w:rPr>
          <w:sz w:val="24"/>
          <w:szCs w:val="24"/>
        </w:rPr>
        <w:t xml:space="preserve"> modvirker den </w:t>
      </w:r>
      <w:proofErr w:type="spellStart"/>
      <w:r w:rsidRPr="00163966">
        <w:rPr>
          <w:sz w:val="24"/>
          <w:szCs w:val="24"/>
        </w:rPr>
        <w:t>antihypertensive</w:t>
      </w:r>
      <w:proofErr w:type="spellEnd"/>
      <w:r w:rsidRPr="00163966">
        <w:rPr>
          <w:sz w:val="24"/>
          <w:szCs w:val="24"/>
        </w:rPr>
        <w:t xml:space="preserve"> virkning af </w:t>
      </w:r>
      <w:proofErr w:type="spellStart"/>
      <w:r w:rsidRPr="00163966">
        <w:rPr>
          <w:sz w:val="24"/>
          <w:szCs w:val="24"/>
        </w:rPr>
        <w:t>betaadrenoceptorblokerende</w:t>
      </w:r>
      <w:proofErr w:type="spellEnd"/>
      <w:r w:rsidRPr="00163966">
        <w:rPr>
          <w:sz w:val="24"/>
          <w:szCs w:val="24"/>
        </w:rPr>
        <w:t xml:space="preserve"> lægemidler.</w:t>
      </w:r>
    </w:p>
    <w:p w:rsidR="00636E9E" w:rsidRPr="00163966" w:rsidRDefault="000154F4" w:rsidP="000F360A">
      <w:pPr>
        <w:numPr>
          <w:ilvl w:val="0"/>
          <w:numId w:val="9"/>
        </w:numPr>
        <w:tabs>
          <w:tab w:val="left" w:pos="851"/>
        </w:tabs>
        <w:ind w:left="1134" w:hanging="283"/>
        <w:rPr>
          <w:sz w:val="24"/>
          <w:szCs w:val="24"/>
        </w:rPr>
      </w:pPr>
      <w:proofErr w:type="spellStart"/>
      <w:r w:rsidRPr="00163966">
        <w:rPr>
          <w:i/>
          <w:sz w:val="24"/>
          <w:szCs w:val="24"/>
        </w:rPr>
        <w:t>Sulfonylurinstoffer</w:t>
      </w:r>
      <w:proofErr w:type="spellEnd"/>
    </w:p>
    <w:p w:rsidR="000154F4" w:rsidRPr="00163966" w:rsidRDefault="000154F4" w:rsidP="00636E9E">
      <w:pPr>
        <w:tabs>
          <w:tab w:val="left" w:pos="851"/>
        </w:tabs>
        <w:ind w:left="1134"/>
        <w:rPr>
          <w:sz w:val="24"/>
          <w:szCs w:val="24"/>
        </w:rPr>
      </w:pPr>
      <w:r w:rsidRPr="00163966">
        <w:rPr>
          <w:sz w:val="24"/>
          <w:szCs w:val="24"/>
        </w:rPr>
        <w:t xml:space="preserve">Der er sjældne rapporter om hypoglykæmi hos patienter i behandling med lægemidler med </w:t>
      </w:r>
      <w:proofErr w:type="spellStart"/>
      <w:r w:rsidRPr="00163966">
        <w:rPr>
          <w:sz w:val="24"/>
          <w:szCs w:val="24"/>
        </w:rPr>
        <w:t>sulfonylurinstoffer</w:t>
      </w:r>
      <w:proofErr w:type="spellEnd"/>
      <w:r w:rsidRPr="00163966">
        <w:rPr>
          <w:sz w:val="24"/>
          <w:szCs w:val="24"/>
        </w:rPr>
        <w:t>, der får ibuprofen.</w:t>
      </w:r>
    </w:p>
    <w:p w:rsidR="00636E9E" w:rsidRPr="00163966" w:rsidRDefault="000154F4" w:rsidP="000F360A">
      <w:pPr>
        <w:numPr>
          <w:ilvl w:val="0"/>
          <w:numId w:val="9"/>
        </w:numPr>
        <w:tabs>
          <w:tab w:val="left" w:pos="851"/>
        </w:tabs>
        <w:ind w:left="1134" w:hanging="283"/>
        <w:rPr>
          <w:sz w:val="24"/>
          <w:szCs w:val="24"/>
        </w:rPr>
      </w:pPr>
      <w:proofErr w:type="spellStart"/>
      <w:r w:rsidRPr="00163966">
        <w:rPr>
          <w:i/>
          <w:sz w:val="24"/>
          <w:szCs w:val="24"/>
        </w:rPr>
        <w:t>Zidovudin</w:t>
      </w:r>
      <w:proofErr w:type="spellEnd"/>
    </w:p>
    <w:p w:rsidR="000154F4" w:rsidRPr="00163966" w:rsidRDefault="000154F4" w:rsidP="00636E9E">
      <w:pPr>
        <w:tabs>
          <w:tab w:val="left" w:pos="851"/>
        </w:tabs>
        <w:ind w:left="1134"/>
        <w:rPr>
          <w:sz w:val="24"/>
          <w:szCs w:val="24"/>
        </w:rPr>
      </w:pPr>
      <w:r w:rsidRPr="00163966">
        <w:rPr>
          <w:sz w:val="24"/>
          <w:szCs w:val="24"/>
        </w:rPr>
        <w:t xml:space="preserve">Der er evidens for øget risiko for </w:t>
      </w:r>
      <w:proofErr w:type="spellStart"/>
      <w:r w:rsidRPr="00163966">
        <w:rPr>
          <w:sz w:val="24"/>
          <w:szCs w:val="24"/>
        </w:rPr>
        <w:t>hæmartroser</w:t>
      </w:r>
      <w:proofErr w:type="spellEnd"/>
      <w:r w:rsidRPr="00163966">
        <w:rPr>
          <w:sz w:val="24"/>
          <w:szCs w:val="24"/>
        </w:rPr>
        <w:t xml:space="preserve"> og </w:t>
      </w:r>
      <w:proofErr w:type="spellStart"/>
      <w:r w:rsidRPr="00163966">
        <w:rPr>
          <w:sz w:val="24"/>
          <w:szCs w:val="24"/>
        </w:rPr>
        <w:t>hæmatom</w:t>
      </w:r>
      <w:proofErr w:type="spellEnd"/>
      <w:r w:rsidRPr="00163966">
        <w:rPr>
          <w:sz w:val="24"/>
          <w:szCs w:val="24"/>
        </w:rPr>
        <w:t xml:space="preserve"> hos hiv-positive blødere, der får samtidig behandling med </w:t>
      </w:r>
      <w:proofErr w:type="spellStart"/>
      <w:r w:rsidRPr="00163966">
        <w:rPr>
          <w:sz w:val="24"/>
          <w:szCs w:val="24"/>
        </w:rPr>
        <w:t>zidovudin</w:t>
      </w:r>
      <w:proofErr w:type="spellEnd"/>
      <w:r w:rsidRPr="00163966">
        <w:rPr>
          <w:sz w:val="24"/>
          <w:szCs w:val="24"/>
        </w:rPr>
        <w:t xml:space="preserve"> og ibuprofen.</w:t>
      </w:r>
    </w:p>
    <w:p w:rsidR="00636E9E" w:rsidRPr="00163966" w:rsidRDefault="000154F4" w:rsidP="000F360A">
      <w:pPr>
        <w:numPr>
          <w:ilvl w:val="0"/>
          <w:numId w:val="9"/>
        </w:numPr>
        <w:tabs>
          <w:tab w:val="left" w:pos="851"/>
        </w:tabs>
        <w:ind w:left="1134" w:hanging="283"/>
        <w:rPr>
          <w:sz w:val="24"/>
          <w:szCs w:val="24"/>
        </w:rPr>
      </w:pPr>
      <w:proofErr w:type="spellStart"/>
      <w:r w:rsidRPr="00163966">
        <w:rPr>
          <w:i/>
          <w:sz w:val="24"/>
          <w:szCs w:val="24"/>
        </w:rPr>
        <w:t>Quinolon</w:t>
      </w:r>
      <w:proofErr w:type="spellEnd"/>
      <w:r w:rsidRPr="00163966">
        <w:rPr>
          <w:i/>
          <w:sz w:val="24"/>
          <w:szCs w:val="24"/>
        </w:rPr>
        <w:t>-antibiotika</w:t>
      </w:r>
    </w:p>
    <w:p w:rsidR="000154F4" w:rsidRPr="00163966" w:rsidRDefault="000154F4" w:rsidP="00636E9E">
      <w:pPr>
        <w:tabs>
          <w:tab w:val="left" w:pos="851"/>
        </w:tabs>
        <w:ind w:left="1134"/>
        <w:rPr>
          <w:sz w:val="24"/>
          <w:szCs w:val="24"/>
        </w:rPr>
      </w:pPr>
      <w:r w:rsidRPr="00163966">
        <w:rPr>
          <w:sz w:val="24"/>
          <w:szCs w:val="24"/>
        </w:rPr>
        <w:t xml:space="preserve">Dyreforsøg indikerer, at </w:t>
      </w:r>
      <w:proofErr w:type="spellStart"/>
      <w:r w:rsidRPr="00163966">
        <w:rPr>
          <w:sz w:val="24"/>
          <w:szCs w:val="24"/>
        </w:rPr>
        <w:t>NSAIDer</w:t>
      </w:r>
      <w:proofErr w:type="spellEnd"/>
      <w:r w:rsidRPr="00163966">
        <w:rPr>
          <w:sz w:val="24"/>
          <w:szCs w:val="24"/>
        </w:rPr>
        <w:t xml:space="preserve"> kan øge risikoen for krampeanfald forbundet med </w:t>
      </w:r>
      <w:proofErr w:type="spellStart"/>
      <w:r w:rsidRPr="00163966">
        <w:rPr>
          <w:sz w:val="24"/>
          <w:szCs w:val="24"/>
        </w:rPr>
        <w:t>quinolon</w:t>
      </w:r>
      <w:proofErr w:type="spellEnd"/>
      <w:r w:rsidRPr="00163966">
        <w:rPr>
          <w:sz w:val="24"/>
          <w:szCs w:val="24"/>
        </w:rPr>
        <w:t xml:space="preserve">-antibiotika. Patienter, der får </w:t>
      </w:r>
      <w:proofErr w:type="spellStart"/>
      <w:r w:rsidRPr="00163966">
        <w:rPr>
          <w:sz w:val="24"/>
          <w:szCs w:val="24"/>
        </w:rPr>
        <w:t>NSAIDer</w:t>
      </w:r>
      <w:proofErr w:type="spellEnd"/>
      <w:r w:rsidRPr="00163966">
        <w:rPr>
          <w:sz w:val="24"/>
          <w:szCs w:val="24"/>
        </w:rPr>
        <w:t xml:space="preserve"> og </w:t>
      </w:r>
      <w:proofErr w:type="spellStart"/>
      <w:r w:rsidRPr="00163966">
        <w:rPr>
          <w:sz w:val="24"/>
          <w:szCs w:val="24"/>
        </w:rPr>
        <w:t>quinoloner</w:t>
      </w:r>
      <w:proofErr w:type="spellEnd"/>
      <w:r w:rsidRPr="00163966">
        <w:rPr>
          <w:sz w:val="24"/>
          <w:szCs w:val="24"/>
        </w:rPr>
        <w:t>, kan have øget risiko for at få krampeanfald.</w:t>
      </w:r>
    </w:p>
    <w:p w:rsidR="00636E9E" w:rsidRPr="00163966" w:rsidRDefault="000154F4" w:rsidP="000F360A">
      <w:pPr>
        <w:numPr>
          <w:ilvl w:val="0"/>
          <w:numId w:val="9"/>
        </w:numPr>
        <w:tabs>
          <w:tab w:val="left" w:pos="851"/>
        </w:tabs>
        <w:ind w:left="1134" w:hanging="283"/>
        <w:rPr>
          <w:sz w:val="24"/>
          <w:szCs w:val="24"/>
        </w:rPr>
      </w:pPr>
      <w:proofErr w:type="spellStart"/>
      <w:r w:rsidRPr="00163966">
        <w:rPr>
          <w:i/>
          <w:sz w:val="24"/>
          <w:szCs w:val="24"/>
        </w:rPr>
        <w:lastRenderedPageBreak/>
        <w:t>Thiazider</w:t>
      </w:r>
      <w:proofErr w:type="spellEnd"/>
      <w:r w:rsidRPr="00163966">
        <w:rPr>
          <w:i/>
          <w:sz w:val="24"/>
          <w:szCs w:val="24"/>
        </w:rPr>
        <w:t xml:space="preserve">, </w:t>
      </w:r>
      <w:proofErr w:type="spellStart"/>
      <w:r w:rsidRPr="00163966">
        <w:rPr>
          <w:i/>
          <w:sz w:val="24"/>
          <w:szCs w:val="24"/>
        </w:rPr>
        <w:t>thiazid</w:t>
      </w:r>
      <w:proofErr w:type="spellEnd"/>
      <w:r w:rsidRPr="00163966">
        <w:rPr>
          <w:i/>
          <w:sz w:val="24"/>
          <w:szCs w:val="24"/>
        </w:rPr>
        <w:t>-relaterede præparater samt loop-</w:t>
      </w:r>
      <w:proofErr w:type="spellStart"/>
      <w:r w:rsidRPr="00163966">
        <w:rPr>
          <w:i/>
          <w:sz w:val="24"/>
          <w:szCs w:val="24"/>
        </w:rPr>
        <w:t>diuretika</w:t>
      </w:r>
      <w:proofErr w:type="spellEnd"/>
    </w:p>
    <w:p w:rsidR="000154F4" w:rsidRPr="00163966" w:rsidRDefault="000154F4" w:rsidP="00636E9E">
      <w:pPr>
        <w:tabs>
          <w:tab w:val="left" w:pos="851"/>
        </w:tabs>
        <w:ind w:left="1134"/>
        <w:rPr>
          <w:sz w:val="24"/>
          <w:szCs w:val="24"/>
        </w:rPr>
      </w:pPr>
      <w:proofErr w:type="spellStart"/>
      <w:r w:rsidRPr="00163966">
        <w:rPr>
          <w:sz w:val="24"/>
          <w:szCs w:val="24"/>
        </w:rPr>
        <w:t>NSAIDer</w:t>
      </w:r>
      <w:proofErr w:type="spellEnd"/>
      <w:r w:rsidRPr="00163966">
        <w:rPr>
          <w:sz w:val="24"/>
          <w:szCs w:val="24"/>
        </w:rPr>
        <w:t xml:space="preserve"> kan modvirke den diuretiske virkning af </w:t>
      </w:r>
      <w:proofErr w:type="spellStart"/>
      <w:r w:rsidRPr="00163966">
        <w:rPr>
          <w:sz w:val="24"/>
          <w:szCs w:val="24"/>
        </w:rPr>
        <w:t>furosemid</w:t>
      </w:r>
      <w:proofErr w:type="spellEnd"/>
      <w:r w:rsidRPr="00163966">
        <w:rPr>
          <w:sz w:val="24"/>
          <w:szCs w:val="24"/>
        </w:rPr>
        <w:t xml:space="preserve"> og </w:t>
      </w:r>
      <w:proofErr w:type="spellStart"/>
      <w:r w:rsidRPr="00163966">
        <w:rPr>
          <w:sz w:val="24"/>
          <w:szCs w:val="24"/>
        </w:rPr>
        <w:t>bumetanid</w:t>
      </w:r>
      <w:proofErr w:type="spellEnd"/>
      <w:r w:rsidRPr="00163966">
        <w:rPr>
          <w:sz w:val="24"/>
          <w:szCs w:val="24"/>
        </w:rPr>
        <w:t xml:space="preserve">, muligvis på grund af hæmning af </w:t>
      </w:r>
      <w:proofErr w:type="spellStart"/>
      <w:r w:rsidRPr="00163966">
        <w:rPr>
          <w:sz w:val="24"/>
          <w:szCs w:val="24"/>
        </w:rPr>
        <w:t>prostaglandinsyntesen</w:t>
      </w:r>
      <w:proofErr w:type="spellEnd"/>
      <w:r w:rsidRPr="00163966">
        <w:rPr>
          <w:sz w:val="24"/>
          <w:szCs w:val="24"/>
        </w:rPr>
        <w:t xml:space="preserve">. De kan desuden modvirke den </w:t>
      </w:r>
      <w:proofErr w:type="spellStart"/>
      <w:r w:rsidRPr="00163966">
        <w:rPr>
          <w:sz w:val="24"/>
          <w:szCs w:val="24"/>
        </w:rPr>
        <w:t>antihypertensive</w:t>
      </w:r>
      <w:proofErr w:type="spellEnd"/>
      <w:r w:rsidRPr="00163966">
        <w:rPr>
          <w:sz w:val="24"/>
          <w:szCs w:val="24"/>
        </w:rPr>
        <w:t xml:space="preserve"> virkning af </w:t>
      </w:r>
      <w:proofErr w:type="spellStart"/>
      <w:r w:rsidRPr="00163966">
        <w:rPr>
          <w:sz w:val="24"/>
          <w:szCs w:val="24"/>
        </w:rPr>
        <w:t>thiazider</w:t>
      </w:r>
      <w:proofErr w:type="spellEnd"/>
      <w:r w:rsidRPr="00163966">
        <w:rPr>
          <w:sz w:val="24"/>
          <w:szCs w:val="24"/>
        </w:rPr>
        <w:t>.</w:t>
      </w:r>
    </w:p>
    <w:p w:rsidR="00636E9E" w:rsidRPr="00163966" w:rsidRDefault="000154F4" w:rsidP="000F360A">
      <w:pPr>
        <w:numPr>
          <w:ilvl w:val="0"/>
          <w:numId w:val="9"/>
        </w:numPr>
        <w:tabs>
          <w:tab w:val="left" w:pos="851"/>
        </w:tabs>
        <w:ind w:left="1134" w:hanging="283"/>
        <w:rPr>
          <w:sz w:val="24"/>
          <w:szCs w:val="24"/>
        </w:rPr>
      </w:pPr>
      <w:r w:rsidRPr="00163966">
        <w:rPr>
          <w:i/>
          <w:sz w:val="24"/>
          <w:szCs w:val="24"/>
        </w:rPr>
        <w:t xml:space="preserve">Kaliumbesparende </w:t>
      </w:r>
      <w:proofErr w:type="spellStart"/>
      <w:r w:rsidRPr="00163966">
        <w:rPr>
          <w:i/>
          <w:sz w:val="24"/>
          <w:szCs w:val="24"/>
        </w:rPr>
        <w:t>diuretika</w:t>
      </w:r>
      <w:proofErr w:type="spellEnd"/>
    </w:p>
    <w:p w:rsidR="000154F4" w:rsidRPr="00163966" w:rsidRDefault="000154F4" w:rsidP="00636E9E">
      <w:pPr>
        <w:tabs>
          <w:tab w:val="left" w:pos="851"/>
        </w:tabs>
        <w:ind w:left="1134"/>
        <w:rPr>
          <w:sz w:val="24"/>
          <w:szCs w:val="24"/>
        </w:rPr>
      </w:pPr>
      <w:r w:rsidRPr="00163966">
        <w:rPr>
          <w:sz w:val="24"/>
          <w:szCs w:val="24"/>
        </w:rPr>
        <w:t xml:space="preserve">Samtidig anvendelse kan føre til </w:t>
      </w:r>
      <w:proofErr w:type="spellStart"/>
      <w:r w:rsidRPr="00163966">
        <w:rPr>
          <w:sz w:val="24"/>
          <w:szCs w:val="24"/>
        </w:rPr>
        <w:t>hyperkaliæmi</w:t>
      </w:r>
      <w:proofErr w:type="spellEnd"/>
      <w:r w:rsidRPr="00163966">
        <w:rPr>
          <w:sz w:val="24"/>
          <w:szCs w:val="24"/>
        </w:rPr>
        <w:t>.</w:t>
      </w:r>
    </w:p>
    <w:p w:rsidR="00636E9E" w:rsidRPr="00163966" w:rsidRDefault="000154F4" w:rsidP="000F360A">
      <w:pPr>
        <w:numPr>
          <w:ilvl w:val="0"/>
          <w:numId w:val="9"/>
        </w:numPr>
        <w:tabs>
          <w:tab w:val="left" w:pos="851"/>
        </w:tabs>
        <w:ind w:left="1134" w:hanging="283"/>
        <w:rPr>
          <w:sz w:val="24"/>
          <w:szCs w:val="24"/>
        </w:rPr>
      </w:pPr>
      <w:r w:rsidRPr="00163966">
        <w:rPr>
          <w:i/>
          <w:sz w:val="24"/>
          <w:szCs w:val="24"/>
        </w:rPr>
        <w:t>Aminoglykosider</w:t>
      </w:r>
    </w:p>
    <w:p w:rsidR="000154F4" w:rsidRPr="00163966" w:rsidRDefault="000154F4" w:rsidP="00636E9E">
      <w:pPr>
        <w:tabs>
          <w:tab w:val="left" w:pos="851"/>
        </w:tabs>
        <w:ind w:left="1134"/>
        <w:rPr>
          <w:sz w:val="24"/>
          <w:szCs w:val="24"/>
        </w:rPr>
      </w:pPr>
      <w:proofErr w:type="spellStart"/>
      <w:r w:rsidRPr="00163966">
        <w:rPr>
          <w:sz w:val="24"/>
          <w:szCs w:val="24"/>
        </w:rPr>
        <w:t>NSAIDer</w:t>
      </w:r>
      <w:proofErr w:type="spellEnd"/>
      <w:r w:rsidRPr="00163966">
        <w:rPr>
          <w:sz w:val="24"/>
          <w:szCs w:val="24"/>
        </w:rPr>
        <w:t xml:space="preserve"> kan nedsætte udskillelsen af aminoglykosider.</w:t>
      </w:r>
    </w:p>
    <w:p w:rsidR="00636E9E" w:rsidRPr="00163966" w:rsidRDefault="000154F4" w:rsidP="000F360A">
      <w:pPr>
        <w:numPr>
          <w:ilvl w:val="0"/>
          <w:numId w:val="9"/>
        </w:numPr>
        <w:tabs>
          <w:tab w:val="left" w:pos="851"/>
        </w:tabs>
        <w:ind w:left="1134" w:hanging="283"/>
        <w:rPr>
          <w:sz w:val="24"/>
          <w:szCs w:val="24"/>
        </w:rPr>
      </w:pPr>
      <w:r w:rsidRPr="00163966">
        <w:rPr>
          <w:i/>
          <w:sz w:val="24"/>
          <w:szCs w:val="24"/>
        </w:rPr>
        <w:t xml:space="preserve">Selektive serotonin </w:t>
      </w:r>
      <w:proofErr w:type="spellStart"/>
      <w:r w:rsidRPr="00163966">
        <w:rPr>
          <w:i/>
          <w:sz w:val="24"/>
          <w:szCs w:val="24"/>
        </w:rPr>
        <w:t>reuptake-hæmmere</w:t>
      </w:r>
      <w:proofErr w:type="spellEnd"/>
      <w:r w:rsidRPr="00163966">
        <w:rPr>
          <w:i/>
          <w:sz w:val="24"/>
          <w:szCs w:val="24"/>
        </w:rPr>
        <w:t xml:space="preserve"> (</w:t>
      </w:r>
      <w:proofErr w:type="spellStart"/>
      <w:r w:rsidRPr="00163966">
        <w:rPr>
          <w:i/>
          <w:sz w:val="24"/>
          <w:szCs w:val="24"/>
        </w:rPr>
        <w:t>SSRI'er</w:t>
      </w:r>
      <w:proofErr w:type="spellEnd"/>
      <w:r w:rsidRPr="00163966">
        <w:rPr>
          <w:i/>
          <w:sz w:val="24"/>
          <w:szCs w:val="24"/>
        </w:rPr>
        <w:t>)</w:t>
      </w:r>
    </w:p>
    <w:p w:rsidR="000154F4" w:rsidRPr="00163966" w:rsidRDefault="000154F4" w:rsidP="00636E9E">
      <w:pPr>
        <w:tabs>
          <w:tab w:val="left" w:pos="851"/>
        </w:tabs>
        <w:ind w:left="1134"/>
        <w:rPr>
          <w:sz w:val="24"/>
          <w:szCs w:val="24"/>
        </w:rPr>
      </w:pPr>
      <w:proofErr w:type="spellStart"/>
      <w:r w:rsidRPr="00163966">
        <w:rPr>
          <w:sz w:val="24"/>
          <w:szCs w:val="24"/>
        </w:rPr>
        <w:t>SSRI'er</w:t>
      </w:r>
      <w:proofErr w:type="spellEnd"/>
      <w:r w:rsidRPr="00163966">
        <w:rPr>
          <w:sz w:val="24"/>
          <w:szCs w:val="24"/>
        </w:rPr>
        <w:t xml:space="preserve"> og </w:t>
      </w:r>
      <w:proofErr w:type="spellStart"/>
      <w:r w:rsidRPr="00163966">
        <w:rPr>
          <w:sz w:val="24"/>
          <w:szCs w:val="24"/>
        </w:rPr>
        <w:t>NSAIDer</w:t>
      </w:r>
      <w:proofErr w:type="spellEnd"/>
      <w:r w:rsidRPr="00163966">
        <w:rPr>
          <w:sz w:val="24"/>
          <w:szCs w:val="24"/>
        </w:rPr>
        <w:t xml:space="preserve"> medfører hver især en forhøjet risiko for blødning, for eksempel fra mave-tarm-kanalen. Denne risiko forstærkes ved kombinationsbehandling. Mekanismen kan muligvis være forbundet med mindsket optagelse af serotonin i </w:t>
      </w:r>
      <w:proofErr w:type="spellStart"/>
      <w:r w:rsidRPr="00163966">
        <w:rPr>
          <w:sz w:val="24"/>
          <w:szCs w:val="24"/>
        </w:rPr>
        <w:t>trombocytterne</w:t>
      </w:r>
      <w:proofErr w:type="spellEnd"/>
      <w:r w:rsidRPr="00163966">
        <w:rPr>
          <w:sz w:val="24"/>
          <w:szCs w:val="24"/>
        </w:rPr>
        <w:t xml:space="preserve"> (se pkt. 4.4).</w:t>
      </w:r>
    </w:p>
    <w:p w:rsidR="00636E9E" w:rsidRPr="00163966" w:rsidRDefault="000154F4" w:rsidP="000F360A">
      <w:pPr>
        <w:numPr>
          <w:ilvl w:val="0"/>
          <w:numId w:val="9"/>
        </w:numPr>
        <w:tabs>
          <w:tab w:val="left" w:pos="851"/>
        </w:tabs>
        <w:ind w:left="1134" w:hanging="283"/>
        <w:rPr>
          <w:sz w:val="24"/>
          <w:szCs w:val="24"/>
        </w:rPr>
      </w:pPr>
      <w:proofErr w:type="spellStart"/>
      <w:r w:rsidRPr="00163966">
        <w:rPr>
          <w:i/>
          <w:sz w:val="24"/>
          <w:szCs w:val="24"/>
        </w:rPr>
        <w:t>Ciclosporin</w:t>
      </w:r>
      <w:proofErr w:type="spellEnd"/>
    </w:p>
    <w:p w:rsidR="000154F4" w:rsidRPr="00163966" w:rsidRDefault="000154F4" w:rsidP="00636E9E">
      <w:pPr>
        <w:tabs>
          <w:tab w:val="left" w:pos="851"/>
        </w:tabs>
        <w:ind w:left="1134"/>
        <w:rPr>
          <w:sz w:val="24"/>
          <w:szCs w:val="24"/>
        </w:rPr>
      </w:pPr>
      <w:r w:rsidRPr="00163966">
        <w:rPr>
          <w:sz w:val="24"/>
          <w:szCs w:val="24"/>
        </w:rPr>
        <w:t xml:space="preserve">Samtidig administration af </w:t>
      </w:r>
      <w:proofErr w:type="spellStart"/>
      <w:r w:rsidRPr="00163966">
        <w:rPr>
          <w:sz w:val="24"/>
          <w:szCs w:val="24"/>
        </w:rPr>
        <w:t>NSAIDer</w:t>
      </w:r>
      <w:proofErr w:type="spellEnd"/>
      <w:r w:rsidRPr="00163966">
        <w:rPr>
          <w:sz w:val="24"/>
          <w:szCs w:val="24"/>
        </w:rPr>
        <w:t xml:space="preserve"> og </w:t>
      </w:r>
      <w:proofErr w:type="spellStart"/>
      <w:r w:rsidRPr="00163966">
        <w:rPr>
          <w:sz w:val="24"/>
          <w:szCs w:val="24"/>
        </w:rPr>
        <w:t>ciclosporin</w:t>
      </w:r>
      <w:proofErr w:type="spellEnd"/>
      <w:r w:rsidRPr="00163966">
        <w:rPr>
          <w:sz w:val="24"/>
          <w:szCs w:val="24"/>
        </w:rPr>
        <w:t xml:space="preserve"> menes at kunne forhøje risikoen for </w:t>
      </w:r>
      <w:proofErr w:type="spellStart"/>
      <w:r w:rsidRPr="00163966">
        <w:rPr>
          <w:sz w:val="24"/>
          <w:szCs w:val="24"/>
        </w:rPr>
        <w:t>nefrotoksicitet</w:t>
      </w:r>
      <w:proofErr w:type="spellEnd"/>
      <w:r w:rsidRPr="00163966">
        <w:rPr>
          <w:sz w:val="24"/>
          <w:szCs w:val="24"/>
        </w:rPr>
        <w:t xml:space="preserve"> på grund af den reducerede syntese af </w:t>
      </w:r>
      <w:proofErr w:type="spellStart"/>
      <w:r w:rsidRPr="00163966">
        <w:rPr>
          <w:sz w:val="24"/>
          <w:szCs w:val="24"/>
        </w:rPr>
        <w:t>prostacyklin</w:t>
      </w:r>
      <w:proofErr w:type="spellEnd"/>
      <w:r w:rsidRPr="00163966">
        <w:rPr>
          <w:sz w:val="24"/>
          <w:szCs w:val="24"/>
        </w:rPr>
        <w:t xml:space="preserve"> i nyrerne. Nyrefunktionen skal derfor monitoreres nøje ved kombinationsbehandling.</w:t>
      </w:r>
    </w:p>
    <w:p w:rsidR="00636E9E" w:rsidRPr="00163966" w:rsidRDefault="000154F4" w:rsidP="000F360A">
      <w:pPr>
        <w:numPr>
          <w:ilvl w:val="0"/>
          <w:numId w:val="9"/>
        </w:numPr>
        <w:tabs>
          <w:tab w:val="left" w:pos="851"/>
        </w:tabs>
        <w:ind w:left="1134" w:hanging="283"/>
        <w:rPr>
          <w:sz w:val="24"/>
          <w:szCs w:val="24"/>
        </w:rPr>
      </w:pPr>
      <w:proofErr w:type="spellStart"/>
      <w:r w:rsidRPr="00163966">
        <w:rPr>
          <w:i/>
          <w:sz w:val="24"/>
          <w:szCs w:val="24"/>
        </w:rPr>
        <w:t>Captopril</w:t>
      </w:r>
      <w:proofErr w:type="spellEnd"/>
    </w:p>
    <w:p w:rsidR="000154F4" w:rsidRPr="00163966" w:rsidRDefault="000154F4" w:rsidP="00636E9E">
      <w:pPr>
        <w:tabs>
          <w:tab w:val="left" w:pos="851"/>
        </w:tabs>
        <w:ind w:left="1134"/>
        <w:rPr>
          <w:sz w:val="24"/>
          <w:szCs w:val="24"/>
        </w:rPr>
      </w:pPr>
      <w:r w:rsidRPr="00163966">
        <w:rPr>
          <w:sz w:val="24"/>
          <w:szCs w:val="24"/>
        </w:rPr>
        <w:t xml:space="preserve">Eksperimentelle studier tyder på, at ibuprofen modvirker </w:t>
      </w:r>
      <w:proofErr w:type="spellStart"/>
      <w:r w:rsidRPr="00163966">
        <w:rPr>
          <w:sz w:val="24"/>
          <w:szCs w:val="24"/>
        </w:rPr>
        <w:t>captoprils</w:t>
      </w:r>
      <w:proofErr w:type="spellEnd"/>
      <w:r w:rsidRPr="00163966">
        <w:rPr>
          <w:sz w:val="24"/>
          <w:szCs w:val="24"/>
        </w:rPr>
        <w:t xml:space="preserve"> virkning på udskillelsen af natrium.</w:t>
      </w:r>
    </w:p>
    <w:p w:rsidR="00636E9E" w:rsidRPr="00163966" w:rsidRDefault="000154F4" w:rsidP="000F360A">
      <w:pPr>
        <w:numPr>
          <w:ilvl w:val="0"/>
          <w:numId w:val="9"/>
        </w:numPr>
        <w:tabs>
          <w:tab w:val="left" w:pos="851"/>
        </w:tabs>
        <w:ind w:left="1134" w:hanging="283"/>
        <w:rPr>
          <w:sz w:val="24"/>
          <w:szCs w:val="24"/>
        </w:rPr>
      </w:pPr>
      <w:proofErr w:type="spellStart"/>
      <w:r w:rsidRPr="00163966">
        <w:rPr>
          <w:i/>
          <w:sz w:val="24"/>
          <w:szCs w:val="24"/>
        </w:rPr>
        <w:t>Tacrolimus</w:t>
      </w:r>
      <w:proofErr w:type="spellEnd"/>
    </w:p>
    <w:p w:rsidR="000154F4" w:rsidRPr="00163966" w:rsidRDefault="000154F4" w:rsidP="00636E9E">
      <w:pPr>
        <w:tabs>
          <w:tab w:val="left" w:pos="851"/>
        </w:tabs>
        <w:ind w:left="1134"/>
        <w:rPr>
          <w:sz w:val="24"/>
          <w:szCs w:val="24"/>
        </w:rPr>
      </w:pPr>
      <w:r w:rsidRPr="00163966">
        <w:rPr>
          <w:sz w:val="24"/>
          <w:szCs w:val="24"/>
        </w:rPr>
        <w:t xml:space="preserve">Samtidig administration af </w:t>
      </w:r>
      <w:proofErr w:type="spellStart"/>
      <w:r w:rsidRPr="00163966">
        <w:rPr>
          <w:sz w:val="24"/>
          <w:szCs w:val="24"/>
        </w:rPr>
        <w:t>NSAIDer</w:t>
      </w:r>
      <w:proofErr w:type="spellEnd"/>
      <w:r w:rsidRPr="00163966">
        <w:rPr>
          <w:sz w:val="24"/>
          <w:szCs w:val="24"/>
        </w:rPr>
        <w:t xml:space="preserve"> og </w:t>
      </w:r>
      <w:proofErr w:type="spellStart"/>
      <w:r w:rsidRPr="00163966">
        <w:rPr>
          <w:sz w:val="24"/>
          <w:szCs w:val="24"/>
        </w:rPr>
        <w:t>tacrolimus</w:t>
      </w:r>
      <w:proofErr w:type="spellEnd"/>
      <w:r w:rsidRPr="00163966">
        <w:rPr>
          <w:sz w:val="24"/>
          <w:szCs w:val="24"/>
        </w:rPr>
        <w:t xml:space="preserve"> menes at kunne forhøje risikoen for </w:t>
      </w:r>
      <w:proofErr w:type="spellStart"/>
      <w:r w:rsidRPr="00163966">
        <w:rPr>
          <w:sz w:val="24"/>
          <w:szCs w:val="24"/>
        </w:rPr>
        <w:t>nefrotoksicitet</w:t>
      </w:r>
      <w:proofErr w:type="spellEnd"/>
      <w:r w:rsidRPr="00163966">
        <w:rPr>
          <w:sz w:val="24"/>
          <w:szCs w:val="24"/>
        </w:rPr>
        <w:t xml:space="preserve"> på grund af den reducerede syntese af </w:t>
      </w:r>
      <w:proofErr w:type="spellStart"/>
      <w:r w:rsidRPr="00163966">
        <w:rPr>
          <w:sz w:val="24"/>
          <w:szCs w:val="24"/>
        </w:rPr>
        <w:t>prostacyklin</w:t>
      </w:r>
      <w:proofErr w:type="spellEnd"/>
      <w:r w:rsidRPr="00163966">
        <w:rPr>
          <w:sz w:val="24"/>
          <w:szCs w:val="24"/>
        </w:rPr>
        <w:t xml:space="preserve"> i nyrerne. Nyrefunktionen skal derfor monitoreres nøje ved kombinationsbehandling.</w:t>
      </w:r>
    </w:p>
    <w:p w:rsidR="0036323D" w:rsidRPr="00163966" w:rsidRDefault="000154F4" w:rsidP="000F360A">
      <w:pPr>
        <w:numPr>
          <w:ilvl w:val="0"/>
          <w:numId w:val="9"/>
        </w:numPr>
        <w:tabs>
          <w:tab w:val="left" w:pos="851"/>
        </w:tabs>
        <w:ind w:left="1134" w:hanging="283"/>
        <w:rPr>
          <w:sz w:val="24"/>
          <w:szCs w:val="24"/>
        </w:rPr>
      </w:pPr>
      <w:proofErr w:type="spellStart"/>
      <w:r w:rsidRPr="00163966">
        <w:rPr>
          <w:i/>
          <w:sz w:val="24"/>
          <w:szCs w:val="24"/>
        </w:rPr>
        <w:t>Kortikosteroider</w:t>
      </w:r>
      <w:proofErr w:type="spellEnd"/>
    </w:p>
    <w:p w:rsidR="000154F4" w:rsidRPr="00163966" w:rsidRDefault="000154F4" w:rsidP="0036323D">
      <w:pPr>
        <w:tabs>
          <w:tab w:val="left" w:pos="851"/>
        </w:tabs>
        <w:ind w:left="1134"/>
        <w:rPr>
          <w:sz w:val="24"/>
          <w:szCs w:val="24"/>
        </w:rPr>
      </w:pPr>
      <w:r w:rsidRPr="00163966">
        <w:rPr>
          <w:sz w:val="24"/>
          <w:szCs w:val="24"/>
        </w:rPr>
        <w:t xml:space="preserve">Samtidig behandling medfører forhøjet risiko for </w:t>
      </w:r>
      <w:proofErr w:type="spellStart"/>
      <w:r w:rsidRPr="00163966">
        <w:rPr>
          <w:sz w:val="24"/>
          <w:szCs w:val="24"/>
        </w:rPr>
        <w:t>gastrointestinal</w:t>
      </w:r>
      <w:proofErr w:type="spellEnd"/>
      <w:r w:rsidRPr="00163966">
        <w:rPr>
          <w:sz w:val="24"/>
          <w:szCs w:val="24"/>
        </w:rPr>
        <w:t xml:space="preserve"> </w:t>
      </w:r>
      <w:proofErr w:type="spellStart"/>
      <w:r w:rsidRPr="00163966">
        <w:rPr>
          <w:sz w:val="24"/>
          <w:szCs w:val="24"/>
        </w:rPr>
        <w:t>ulceration</w:t>
      </w:r>
      <w:proofErr w:type="spellEnd"/>
      <w:r w:rsidRPr="00163966">
        <w:rPr>
          <w:sz w:val="24"/>
          <w:szCs w:val="24"/>
        </w:rPr>
        <w:t xml:space="preserve"> eller blødning.</w:t>
      </w:r>
    </w:p>
    <w:p w:rsidR="004926C0" w:rsidRPr="00D26EF0" w:rsidRDefault="004926C0" w:rsidP="004926C0">
      <w:pPr>
        <w:numPr>
          <w:ilvl w:val="0"/>
          <w:numId w:val="9"/>
        </w:numPr>
        <w:tabs>
          <w:tab w:val="left" w:pos="851"/>
        </w:tabs>
        <w:ind w:left="1134" w:hanging="283"/>
        <w:rPr>
          <w:sz w:val="24"/>
          <w:szCs w:val="24"/>
        </w:rPr>
      </w:pPr>
      <w:r w:rsidRPr="00D26EF0">
        <w:rPr>
          <w:i/>
          <w:sz w:val="24"/>
          <w:szCs w:val="24"/>
        </w:rPr>
        <w:t>CYP2C9-hæmmere</w:t>
      </w:r>
    </w:p>
    <w:p w:rsidR="004926C0" w:rsidRPr="00D26EF0" w:rsidRDefault="004926C0" w:rsidP="004926C0">
      <w:pPr>
        <w:tabs>
          <w:tab w:val="left" w:pos="851"/>
        </w:tabs>
        <w:ind w:left="1134"/>
        <w:rPr>
          <w:sz w:val="24"/>
          <w:szCs w:val="24"/>
        </w:rPr>
      </w:pPr>
      <w:r w:rsidRPr="00D26EF0">
        <w:rPr>
          <w:sz w:val="24"/>
          <w:szCs w:val="24"/>
        </w:rPr>
        <w:t xml:space="preserve">Samtidig administration af ibuprofen og CYP2C9-hæmmere kan øge eksponeringen for ibuprofen (CYP2C9-substrat). I et studie med </w:t>
      </w:r>
      <w:proofErr w:type="spellStart"/>
      <w:r w:rsidRPr="00D26EF0">
        <w:rPr>
          <w:sz w:val="24"/>
          <w:szCs w:val="24"/>
        </w:rPr>
        <w:t>voriconazol</w:t>
      </w:r>
      <w:proofErr w:type="spellEnd"/>
      <w:r w:rsidRPr="00D26EF0">
        <w:rPr>
          <w:sz w:val="24"/>
          <w:szCs w:val="24"/>
        </w:rPr>
        <w:t xml:space="preserve"> og </w:t>
      </w:r>
      <w:proofErr w:type="spellStart"/>
      <w:r w:rsidRPr="00D26EF0">
        <w:rPr>
          <w:sz w:val="24"/>
          <w:szCs w:val="24"/>
        </w:rPr>
        <w:t>fluconazol</w:t>
      </w:r>
      <w:proofErr w:type="spellEnd"/>
      <w:r w:rsidRPr="00D26EF0">
        <w:rPr>
          <w:sz w:val="24"/>
          <w:szCs w:val="24"/>
        </w:rPr>
        <w:t xml:space="preserve"> (CYP2C9-hæmmere) er der observeret en stigning i eksponeringen for </w:t>
      </w:r>
      <w:proofErr w:type="gramStart"/>
      <w:r w:rsidRPr="00D26EF0">
        <w:rPr>
          <w:sz w:val="24"/>
          <w:szCs w:val="24"/>
        </w:rPr>
        <w:t>S(</w:t>
      </w:r>
      <w:proofErr w:type="gramEnd"/>
      <w:r w:rsidRPr="00D26EF0">
        <w:rPr>
          <w:sz w:val="24"/>
          <w:szCs w:val="24"/>
        </w:rPr>
        <w:t xml:space="preserve">+)-ibuprofen på cirka 80 til 100 %. Det bør overvejes at reducere dosis af ibuprofen, hvis potente CYP2C9-hæmmere administreres samtidig, og især hvis højdosis-ibuprofen administreres samtidig med enten </w:t>
      </w:r>
      <w:proofErr w:type="spellStart"/>
      <w:r w:rsidRPr="00D26EF0">
        <w:rPr>
          <w:sz w:val="24"/>
          <w:szCs w:val="24"/>
        </w:rPr>
        <w:t>voriconazol</w:t>
      </w:r>
      <w:proofErr w:type="spellEnd"/>
      <w:r w:rsidRPr="00D26EF0">
        <w:rPr>
          <w:sz w:val="24"/>
          <w:szCs w:val="24"/>
        </w:rPr>
        <w:t xml:space="preserve"> eller </w:t>
      </w:r>
      <w:proofErr w:type="spellStart"/>
      <w:r w:rsidRPr="00D26EF0">
        <w:rPr>
          <w:sz w:val="24"/>
          <w:szCs w:val="24"/>
        </w:rPr>
        <w:t>fluconazol</w:t>
      </w:r>
      <w:proofErr w:type="spellEnd"/>
      <w:r w:rsidRPr="00D26EF0">
        <w:rPr>
          <w:sz w:val="24"/>
          <w:szCs w:val="24"/>
        </w:rPr>
        <w:t>.</w:t>
      </w:r>
    </w:p>
    <w:p w:rsidR="0036323D" w:rsidRPr="00163966" w:rsidRDefault="000154F4" w:rsidP="000F360A">
      <w:pPr>
        <w:numPr>
          <w:ilvl w:val="0"/>
          <w:numId w:val="9"/>
        </w:numPr>
        <w:tabs>
          <w:tab w:val="left" w:pos="851"/>
        </w:tabs>
        <w:ind w:left="1134" w:hanging="283"/>
        <w:rPr>
          <w:sz w:val="24"/>
          <w:szCs w:val="24"/>
        </w:rPr>
      </w:pPr>
      <w:proofErr w:type="spellStart"/>
      <w:r w:rsidRPr="00163966">
        <w:rPr>
          <w:i/>
          <w:sz w:val="24"/>
          <w:szCs w:val="24"/>
        </w:rPr>
        <w:t>Phenytoin</w:t>
      </w:r>
      <w:proofErr w:type="spellEnd"/>
    </w:p>
    <w:p w:rsidR="000154F4" w:rsidRPr="00163966" w:rsidRDefault="000154F4" w:rsidP="0036323D">
      <w:pPr>
        <w:tabs>
          <w:tab w:val="left" w:pos="851"/>
        </w:tabs>
        <w:ind w:left="1134"/>
        <w:rPr>
          <w:sz w:val="24"/>
          <w:szCs w:val="24"/>
        </w:rPr>
      </w:pPr>
      <w:r w:rsidRPr="00163966">
        <w:rPr>
          <w:sz w:val="24"/>
          <w:szCs w:val="24"/>
        </w:rPr>
        <w:t xml:space="preserve">Plasmaniveauerne af </w:t>
      </w:r>
      <w:proofErr w:type="spellStart"/>
      <w:r w:rsidRPr="00163966">
        <w:rPr>
          <w:sz w:val="24"/>
          <w:szCs w:val="24"/>
        </w:rPr>
        <w:t>phenytoin</w:t>
      </w:r>
      <w:proofErr w:type="spellEnd"/>
      <w:r w:rsidRPr="00163966">
        <w:rPr>
          <w:sz w:val="24"/>
          <w:szCs w:val="24"/>
        </w:rPr>
        <w:t xml:space="preserve"> kan blive forhøjet ved samtidig behandling med ibuprofen, og risikoen for toksicitet kan derfor stige.</w:t>
      </w:r>
    </w:p>
    <w:p w:rsidR="0036323D" w:rsidRPr="00163966" w:rsidRDefault="000154F4" w:rsidP="000F360A">
      <w:pPr>
        <w:numPr>
          <w:ilvl w:val="0"/>
          <w:numId w:val="9"/>
        </w:numPr>
        <w:tabs>
          <w:tab w:val="left" w:pos="851"/>
        </w:tabs>
        <w:ind w:left="1134" w:hanging="283"/>
        <w:rPr>
          <w:sz w:val="24"/>
          <w:szCs w:val="24"/>
        </w:rPr>
      </w:pPr>
      <w:proofErr w:type="spellStart"/>
      <w:r w:rsidRPr="00163966">
        <w:rPr>
          <w:i/>
          <w:sz w:val="24"/>
          <w:szCs w:val="24"/>
        </w:rPr>
        <w:t>Probenecid</w:t>
      </w:r>
      <w:proofErr w:type="spellEnd"/>
      <w:r w:rsidRPr="00163966">
        <w:rPr>
          <w:i/>
          <w:sz w:val="24"/>
          <w:szCs w:val="24"/>
        </w:rPr>
        <w:t xml:space="preserve"> og </w:t>
      </w:r>
      <w:proofErr w:type="spellStart"/>
      <w:r w:rsidRPr="00163966">
        <w:rPr>
          <w:i/>
          <w:sz w:val="24"/>
          <w:szCs w:val="24"/>
        </w:rPr>
        <w:t>sulfinpyrazon</w:t>
      </w:r>
      <w:proofErr w:type="spellEnd"/>
    </w:p>
    <w:p w:rsidR="000154F4" w:rsidRPr="00163966" w:rsidRDefault="000154F4" w:rsidP="0036323D">
      <w:pPr>
        <w:tabs>
          <w:tab w:val="left" w:pos="851"/>
        </w:tabs>
        <w:ind w:left="1134"/>
        <w:rPr>
          <w:sz w:val="24"/>
          <w:szCs w:val="24"/>
        </w:rPr>
      </w:pPr>
      <w:r w:rsidRPr="00163966">
        <w:rPr>
          <w:sz w:val="24"/>
          <w:szCs w:val="24"/>
        </w:rPr>
        <w:t xml:space="preserve">Lægemidler, der indeholder </w:t>
      </w:r>
      <w:proofErr w:type="spellStart"/>
      <w:r w:rsidRPr="00163966">
        <w:rPr>
          <w:sz w:val="24"/>
          <w:szCs w:val="24"/>
        </w:rPr>
        <w:t>probenecid</w:t>
      </w:r>
      <w:proofErr w:type="spellEnd"/>
      <w:r w:rsidRPr="00163966">
        <w:rPr>
          <w:sz w:val="24"/>
          <w:szCs w:val="24"/>
        </w:rPr>
        <w:t xml:space="preserve"> eller </w:t>
      </w:r>
      <w:proofErr w:type="spellStart"/>
      <w:r w:rsidRPr="00163966">
        <w:rPr>
          <w:sz w:val="24"/>
          <w:szCs w:val="24"/>
        </w:rPr>
        <w:t>sulfinpyrazon</w:t>
      </w:r>
      <w:proofErr w:type="spellEnd"/>
      <w:r w:rsidRPr="00163966">
        <w:rPr>
          <w:sz w:val="24"/>
          <w:szCs w:val="24"/>
        </w:rPr>
        <w:t>, kan forsinke udskillelsen af ibuprofen.</w:t>
      </w:r>
    </w:p>
    <w:p w:rsidR="0036323D" w:rsidRPr="00163966" w:rsidRDefault="000154F4" w:rsidP="000F360A">
      <w:pPr>
        <w:numPr>
          <w:ilvl w:val="0"/>
          <w:numId w:val="9"/>
        </w:numPr>
        <w:tabs>
          <w:tab w:val="left" w:pos="851"/>
        </w:tabs>
        <w:ind w:left="1134" w:hanging="283"/>
        <w:rPr>
          <w:sz w:val="24"/>
          <w:szCs w:val="24"/>
        </w:rPr>
      </w:pPr>
      <w:r w:rsidRPr="00163966">
        <w:rPr>
          <w:i/>
          <w:sz w:val="24"/>
          <w:szCs w:val="24"/>
        </w:rPr>
        <w:t>Urteekstrakter</w:t>
      </w:r>
    </w:p>
    <w:p w:rsidR="000154F4" w:rsidRPr="00163966" w:rsidRDefault="000154F4" w:rsidP="0036323D">
      <w:pPr>
        <w:tabs>
          <w:tab w:val="left" w:pos="851"/>
        </w:tabs>
        <w:ind w:left="1134"/>
        <w:rPr>
          <w:sz w:val="24"/>
          <w:szCs w:val="24"/>
        </w:rPr>
      </w:pPr>
      <w:proofErr w:type="spellStart"/>
      <w:r w:rsidRPr="00163966">
        <w:rPr>
          <w:sz w:val="24"/>
          <w:szCs w:val="24"/>
        </w:rPr>
        <w:t>Ginkgo</w:t>
      </w:r>
      <w:proofErr w:type="spellEnd"/>
      <w:r w:rsidRPr="00163966">
        <w:rPr>
          <w:sz w:val="24"/>
          <w:szCs w:val="24"/>
        </w:rPr>
        <w:t xml:space="preserve"> </w:t>
      </w:r>
      <w:proofErr w:type="spellStart"/>
      <w:r w:rsidRPr="00163966">
        <w:rPr>
          <w:sz w:val="24"/>
          <w:szCs w:val="24"/>
        </w:rPr>
        <w:t>biloba</w:t>
      </w:r>
      <w:proofErr w:type="spellEnd"/>
      <w:r w:rsidRPr="00163966">
        <w:rPr>
          <w:sz w:val="24"/>
          <w:szCs w:val="24"/>
        </w:rPr>
        <w:t xml:space="preserve"> kan øge risikoen for blødning ved anvendelse af </w:t>
      </w:r>
      <w:proofErr w:type="spellStart"/>
      <w:r w:rsidRPr="00163966">
        <w:rPr>
          <w:sz w:val="24"/>
          <w:szCs w:val="24"/>
        </w:rPr>
        <w:t>NSAIDer</w:t>
      </w:r>
      <w:proofErr w:type="spellEnd"/>
      <w:r w:rsidRPr="00163966">
        <w:rPr>
          <w:sz w:val="24"/>
          <w:szCs w:val="24"/>
        </w:rPr>
        <w:t>.</w:t>
      </w:r>
    </w:p>
    <w:p w:rsidR="000154F4" w:rsidRPr="00163966" w:rsidRDefault="000154F4" w:rsidP="000154F4">
      <w:pPr>
        <w:tabs>
          <w:tab w:val="left" w:pos="851"/>
        </w:tabs>
        <w:ind w:left="851"/>
        <w:rPr>
          <w:sz w:val="24"/>
          <w:szCs w:val="24"/>
        </w:rPr>
      </w:pPr>
    </w:p>
    <w:p w:rsidR="000154F4" w:rsidRPr="00163966" w:rsidRDefault="000154F4" w:rsidP="000154F4">
      <w:pPr>
        <w:tabs>
          <w:tab w:val="left" w:pos="851"/>
        </w:tabs>
        <w:ind w:left="851"/>
        <w:rPr>
          <w:sz w:val="24"/>
          <w:szCs w:val="24"/>
          <w:u w:val="single"/>
        </w:rPr>
      </w:pPr>
      <w:r w:rsidRPr="00163966">
        <w:rPr>
          <w:sz w:val="24"/>
          <w:szCs w:val="24"/>
          <w:u w:val="single"/>
        </w:rPr>
        <w:t>Paracetamol</w:t>
      </w:r>
    </w:p>
    <w:p w:rsidR="000154F4" w:rsidRPr="00163966" w:rsidRDefault="000154F4" w:rsidP="000F360A">
      <w:pPr>
        <w:numPr>
          <w:ilvl w:val="0"/>
          <w:numId w:val="10"/>
        </w:numPr>
        <w:tabs>
          <w:tab w:val="left" w:pos="851"/>
        </w:tabs>
        <w:ind w:left="1134" w:hanging="283"/>
        <w:rPr>
          <w:sz w:val="24"/>
          <w:szCs w:val="24"/>
        </w:rPr>
      </w:pPr>
      <w:proofErr w:type="spellStart"/>
      <w:r w:rsidRPr="00163966">
        <w:rPr>
          <w:sz w:val="24"/>
          <w:szCs w:val="24"/>
        </w:rPr>
        <w:t>Probenecid</w:t>
      </w:r>
      <w:proofErr w:type="spellEnd"/>
      <w:r w:rsidRPr="00163966">
        <w:rPr>
          <w:sz w:val="24"/>
          <w:szCs w:val="24"/>
        </w:rPr>
        <w:t xml:space="preserve"> hæmmer paracetamols binding til </w:t>
      </w:r>
      <w:proofErr w:type="spellStart"/>
      <w:r w:rsidRPr="00163966">
        <w:rPr>
          <w:sz w:val="24"/>
          <w:szCs w:val="24"/>
        </w:rPr>
        <w:t>glucuronsyre</w:t>
      </w:r>
      <w:proofErr w:type="spellEnd"/>
      <w:r w:rsidRPr="00163966">
        <w:rPr>
          <w:sz w:val="24"/>
          <w:szCs w:val="24"/>
        </w:rPr>
        <w:t xml:space="preserve"> og reducerer derfor </w:t>
      </w:r>
      <w:proofErr w:type="spellStart"/>
      <w:r w:rsidRPr="00163966">
        <w:rPr>
          <w:sz w:val="24"/>
          <w:szCs w:val="24"/>
        </w:rPr>
        <w:t>clearancen</w:t>
      </w:r>
      <w:proofErr w:type="spellEnd"/>
      <w:r w:rsidRPr="00163966">
        <w:rPr>
          <w:sz w:val="24"/>
          <w:szCs w:val="24"/>
        </w:rPr>
        <w:t xml:space="preserve"> af paracetamol med en faktor på cirka 2. Dosis af paracetamol bør reduceres hos patienter, der samtidig får </w:t>
      </w:r>
      <w:proofErr w:type="spellStart"/>
      <w:r w:rsidRPr="00163966">
        <w:rPr>
          <w:sz w:val="24"/>
          <w:szCs w:val="24"/>
        </w:rPr>
        <w:t>probenecid</w:t>
      </w:r>
      <w:proofErr w:type="spellEnd"/>
      <w:r w:rsidRPr="00163966">
        <w:rPr>
          <w:sz w:val="24"/>
          <w:szCs w:val="24"/>
        </w:rPr>
        <w:t>.</w:t>
      </w:r>
    </w:p>
    <w:p w:rsidR="000154F4" w:rsidRPr="00163966" w:rsidRDefault="000154F4" w:rsidP="000F360A">
      <w:pPr>
        <w:numPr>
          <w:ilvl w:val="0"/>
          <w:numId w:val="10"/>
        </w:numPr>
        <w:tabs>
          <w:tab w:val="left" w:pos="851"/>
        </w:tabs>
        <w:ind w:left="1134" w:hanging="283"/>
        <w:rPr>
          <w:sz w:val="24"/>
          <w:szCs w:val="24"/>
        </w:rPr>
      </w:pPr>
      <w:r w:rsidRPr="00163966">
        <w:rPr>
          <w:sz w:val="24"/>
          <w:szCs w:val="24"/>
        </w:rPr>
        <w:t xml:space="preserve">Enzyminducerende lægemidler såsom visse </w:t>
      </w:r>
      <w:proofErr w:type="spellStart"/>
      <w:r w:rsidRPr="00163966">
        <w:rPr>
          <w:sz w:val="24"/>
          <w:szCs w:val="24"/>
        </w:rPr>
        <w:t>antiepileptika</w:t>
      </w:r>
      <w:proofErr w:type="spellEnd"/>
      <w:r w:rsidRPr="00163966">
        <w:rPr>
          <w:sz w:val="24"/>
          <w:szCs w:val="24"/>
        </w:rPr>
        <w:t xml:space="preserve"> (</w:t>
      </w:r>
      <w:proofErr w:type="spellStart"/>
      <w:r w:rsidRPr="00163966">
        <w:rPr>
          <w:sz w:val="24"/>
          <w:szCs w:val="24"/>
        </w:rPr>
        <w:t>phenytoin</w:t>
      </w:r>
      <w:proofErr w:type="spellEnd"/>
      <w:r w:rsidRPr="00163966">
        <w:rPr>
          <w:sz w:val="24"/>
          <w:szCs w:val="24"/>
        </w:rPr>
        <w:t xml:space="preserve">, </w:t>
      </w:r>
      <w:proofErr w:type="spellStart"/>
      <w:r w:rsidRPr="00163966">
        <w:rPr>
          <w:sz w:val="24"/>
          <w:szCs w:val="24"/>
        </w:rPr>
        <w:t>phenobarbital</w:t>
      </w:r>
      <w:proofErr w:type="spellEnd"/>
      <w:r w:rsidRPr="00163966">
        <w:rPr>
          <w:sz w:val="24"/>
          <w:szCs w:val="24"/>
        </w:rPr>
        <w:t xml:space="preserve">, </w:t>
      </w:r>
      <w:proofErr w:type="spellStart"/>
      <w:r w:rsidRPr="00163966">
        <w:rPr>
          <w:sz w:val="24"/>
          <w:szCs w:val="24"/>
        </w:rPr>
        <w:t>carbamazepin</w:t>
      </w:r>
      <w:proofErr w:type="spellEnd"/>
      <w:r w:rsidRPr="00163966">
        <w:rPr>
          <w:sz w:val="24"/>
          <w:szCs w:val="24"/>
        </w:rPr>
        <w:t xml:space="preserve">) reducerede paracetamols plasma-AUC til cirka 60 % i </w:t>
      </w:r>
      <w:proofErr w:type="spellStart"/>
      <w:r w:rsidRPr="00163966">
        <w:rPr>
          <w:sz w:val="24"/>
          <w:szCs w:val="24"/>
        </w:rPr>
        <w:t>farmakokinetiske</w:t>
      </w:r>
      <w:proofErr w:type="spellEnd"/>
      <w:r w:rsidRPr="00163966">
        <w:rPr>
          <w:sz w:val="24"/>
          <w:szCs w:val="24"/>
        </w:rPr>
        <w:t xml:space="preserve"> undersøgelser. Andre stoffer med enzyminducerende egenskaber (dvs. </w:t>
      </w:r>
      <w:proofErr w:type="spellStart"/>
      <w:r w:rsidRPr="00163966">
        <w:rPr>
          <w:sz w:val="24"/>
          <w:szCs w:val="24"/>
        </w:rPr>
        <w:t>rifampicin</w:t>
      </w:r>
      <w:proofErr w:type="spellEnd"/>
      <w:r w:rsidRPr="00163966">
        <w:rPr>
          <w:sz w:val="24"/>
          <w:szCs w:val="24"/>
        </w:rPr>
        <w:t xml:space="preserve">, </w:t>
      </w:r>
      <w:proofErr w:type="spellStart"/>
      <w:r w:rsidRPr="00163966">
        <w:rPr>
          <w:i/>
          <w:sz w:val="24"/>
          <w:szCs w:val="24"/>
        </w:rPr>
        <w:lastRenderedPageBreak/>
        <w:t>Hypericum</w:t>
      </w:r>
      <w:proofErr w:type="spellEnd"/>
      <w:r w:rsidRPr="00163966">
        <w:rPr>
          <w:sz w:val="24"/>
          <w:szCs w:val="24"/>
        </w:rPr>
        <w:t>) kan også medføre reducerede koncentrationer af paracetamol. Desuden er risikoen for leverskade under behandling med den maksimalt anbefalede dosis paracetamol sandsynligvis højere hos patienter, der får enzyminducerende lægemidler.</w:t>
      </w:r>
    </w:p>
    <w:p w:rsidR="000154F4" w:rsidRPr="00163966" w:rsidRDefault="000154F4" w:rsidP="000F360A">
      <w:pPr>
        <w:numPr>
          <w:ilvl w:val="0"/>
          <w:numId w:val="10"/>
        </w:numPr>
        <w:tabs>
          <w:tab w:val="left" w:pos="851"/>
        </w:tabs>
        <w:ind w:left="1134" w:hanging="283"/>
        <w:rPr>
          <w:sz w:val="24"/>
          <w:szCs w:val="24"/>
        </w:rPr>
      </w:pPr>
      <w:proofErr w:type="spellStart"/>
      <w:r w:rsidRPr="00163966">
        <w:rPr>
          <w:sz w:val="24"/>
          <w:szCs w:val="24"/>
        </w:rPr>
        <w:t>Zidovudin</w:t>
      </w:r>
      <w:proofErr w:type="spellEnd"/>
      <w:r w:rsidRPr="00163966">
        <w:rPr>
          <w:sz w:val="24"/>
          <w:szCs w:val="24"/>
        </w:rPr>
        <w:t xml:space="preserve"> kan påvirke paracetamols metabolisme og omvendt, hvilket kan forstærke toksiciteten af begge.</w:t>
      </w:r>
    </w:p>
    <w:p w:rsidR="000154F4" w:rsidRPr="00163966" w:rsidRDefault="000154F4" w:rsidP="000F360A">
      <w:pPr>
        <w:numPr>
          <w:ilvl w:val="0"/>
          <w:numId w:val="10"/>
        </w:numPr>
        <w:tabs>
          <w:tab w:val="left" w:pos="851"/>
        </w:tabs>
        <w:ind w:left="1134" w:hanging="283"/>
        <w:rPr>
          <w:sz w:val="24"/>
          <w:szCs w:val="24"/>
        </w:rPr>
      </w:pPr>
      <w:r w:rsidRPr="00163966">
        <w:rPr>
          <w:sz w:val="24"/>
          <w:szCs w:val="24"/>
        </w:rPr>
        <w:t xml:space="preserve">Doseringen af </w:t>
      </w:r>
      <w:proofErr w:type="spellStart"/>
      <w:r w:rsidRPr="00163966">
        <w:rPr>
          <w:sz w:val="24"/>
          <w:szCs w:val="24"/>
        </w:rPr>
        <w:t>antikoagulantia</w:t>
      </w:r>
      <w:proofErr w:type="spellEnd"/>
      <w:r w:rsidRPr="00163966">
        <w:rPr>
          <w:sz w:val="24"/>
          <w:szCs w:val="24"/>
        </w:rPr>
        <w:t xml:space="preserve"> (</w:t>
      </w:r>
      <w:proofErr w:type="spellStart"/>
      <w:r w:rsidRPr="00163966">
        <w:rPr>
          <w:sz w:val="24"/>
          <w:szCs w:val="24"/>
        </w:rPr>
        <w:t>warfarin</w:t>
      </w:r>
      <w:proofErr w:type="spellEnd"/>
      <w:r w:rsidRPr="00163966">
        <w:rPr>
          <w:sz w:val="24"/>
          <w:szCs w:val="24"/>
        </w:rPr>
        <w:t xml:space="preserve">) skal muligvis reduceres, hvis paracetamol og </w:t>
      </w:r>
      <w:proofErr w:type="spellStart"/>
      <w:r w:rsidRPr="00163966">
        <w:rPr>
          <w:sz w:val="24"/>
          <w:szCs w:val="24"/>
        </w:rPr>
        <w:t>antikoagulantia</w:t>
      </w:r>
      <w:proofErr w:type="spellEnd"/>
      <w:r w:rsidRPr="00163966">
        <w:rPr>
          <w:sz w:val="24"/>
          <w:szCs w:val="24"/>
        </w:rPr>
        <w:t xml:space="preserve"> tages i længere tid.</w:t>
      </w:r>
    </w:p>
    <w:p w:rsidR="000154F4" w:rsidRPr="00163966" w:rsidRDefault="000154F4" w:rsidP="000F360A">
      <w:pPr>
        <w:numPr>
          <w:ilvl w:val="0"/>
          <w:numId w:val="10"/>
        </w:numPr>
        <w:tabs>
          <w:tab w:val="left" w:pos="851"/>
        </w:tabs>
        <w:ind w:left="1134" w:hanging="283"/>
        <w:rPr>
          <w:sz w:val="24"/>
          <w:szCs w:val="24"/>
        </w:rPr>
      </w:pPr>
      <w:r w:rsidRPr="00163966">
        <w:rPr>
          <w:sz w:val="24"/>
          <w:szCs w:val="24"/>
        </w:rPr>
        <w:t xml:space="preserve">Der er rapporteret om svær </w:t>
      </w:r>
      <w:proofErr w:type="spellStart"/>
      <w:r w:rsidRPr="00163966">
        <w:rPr>
          <w:sz w:val="24"/>
          <w:szCs w:val="24"/>
        </w:rPr>
        <w:t>hepatotoksicitet</w:t>
      </w:r>
      <w:proofErr w:type="spellEnd"/>
      <w:r w:rsidRPr="00163966">
        <w:rPr>
          <w:sz w:val="24"/>
          <w:szCs w:val="24"/>
        </w:rPr>
        <w:t xml:space="preserve"> ved terapeutiske doser eller moderate overdoser af paracetamol hos patienter, der fik </w:t>
      </w:r>
      <w:proofErr w:type="spellStart"/>
      <w:r w:rsidRPr="00163966">
        <w:rPr>
          <w:sz w:val="24"/>
          <w:szCs w:val="24"/>
        </w:rPr>
        <w:t>isoniazid</w:t>
      </w:r>
      <w:proofErr w:type="spellEnd"/>
      <w:r w:rsidRPr="00163966">
        <w:rPr>
          <w:sz w:val="24"/>
          <w:szCs w:val="24"/>
        </w:rPr>
        <w:t xml:space="preserve"> alene eller sammen med andre lægemidler til behandling af tuberkulose.</w:t>
      </w:r>
    </w:p>
    <w:p w:rsidR="000154F4" w:rsidRPr="00163966" w:rsidRDefault="000154F4" w:rsidP="000F360A">
      <w:pPr>
        <w:numPr>
          <w:ilvl w:val="0"/>
          <w:numId w:val="10"/>
        </w:numPr>
        <w:tabs>
          <w:tab w:val="left" w:pos="851"/>
        </w:tabs>
        <w:ind w:left="1134" w:hanging="283"/>
        <w:rPr>
          <w:sz w:val="24"/>
          <w:szCs w:val="24"/>
        </w:rPr>
      </w:pPr>
      <w:r w:rsidRPr="00163966">
        <w:rPr>
          <w:sz w:val="24"/>
          <w:szCs w:val="24"/>
        </w:rPr>
        <w:t xml:space="preserve">Paracetamol kan påvirke </w:t>
      </w:r>
      <w:proofErr w:type="spellStart"/>
      <w:r w:rsidRPr="00163966">
        <w:rPr>
          <w:sz w:val="24"/>
          <w:szCs w:val="24"/>
        </w:rPr>
        <w:t>chloramphenicols</w:t>
      </w:r>
      <w:proofErr w:type="spellEnd"/>
      <w:r w:rsidRPr="00163966">
        <w:rPr>
          <w:sz w:val="24"/>
          <w:szCs w:val="24"/>
        </w:rPr>
        <w:t xml:space="preserve"> farmakokinetik. Monitorering af plasmaniveauerne af </w:t>
      </w:r>
      <w:proofErr w:type="spellStart"/>
      <w:r w:rsidRPr="00163966">
        <w:rPr>
          <w:sz w:val="24"/>
          <w:szCs w:val="24"/>
        </w:rPr>
        <w:t>chloramphenicol</w:t>
      </w:r>
      <w:proofErr w:type="spellEnd"/>
      <w:r w:rsidRPr="00163966">
        <w:rPr>
          <w:sz w:val="24"/>
          <w:szCs w:val="24"/>
        </w:rPr>
        <w:t xml:space="preserve"> anbefales, hvis paracetamol skal kombineres med injektionsbehandling med </w:t>
      </w:r>
      <w:proofErr w:type="spellStart"/>
      <w:r w:rsidRPr="00163966">
        <w:rPr>
          <w:sz w:val="24"/>
          <w:szCs w:val="24"/>
        </w:rPr>
        <w:t>chloramphenicol</w:t>
      </w:r>
      <w:proofErr w:type="spellEnd"/>
      <w:r w:rsidRPr="00163966">
        <w:rPr>
          <w:sz w:val="24"/>
          <w:szCs w:val="24"/>
        </w:rPr>
        <w:t>.</w:t>
      </w:r>
    </w:p>
    <w:p w:rsidR="00BA47F0" w:rsidRDefault="000154F4" w:rsidP="00BA47F0">
      <w:pPr>
        <w:numPr>
          <w:ilvl w:val="0"/>
          <w:numId w:val="10"/>
        </w:numPr>
        <w:tabs>
          <w:tab w:val="left" w:pos="851"/>
        </w:tabs>
        <w:ind w:left="1134" w:hanging="283"/>
        <w:rPr>
          <w:sz w:val="24"/>
          <w:szCs w:val="24"/>
        </w:rPr>
      </w:pPr>
      <w:proofErr w:type="spellStart"/>
      <w:r w:rsidRPr="00163966">
        <w:rPr>
          <w:sz w:val="24"/>
          <w:szCs w:val="24"/>
        </w:rPr>
        <w:t>Ethylalcohol</w:t>
      </w:r>
      <w:proofErr w:type="spellEnd"/>
      <w:r w:rsidRPr="00163966">
        <w:rPr>
          <w:sz w:val="24"/>
          <w:szCs w:val="24"/>
        </w:rPr>
        <w:t xml:space="preserve"> forstærker paracetamols toksicitet, muligvis ved at inducere produktion i leveren af paracetamol-afledte </w:t>
      </w:r>
      <w:proofErr w:type="spellStart"/>
      <w:r w:rsidRPr="00163966">
        <w:rPr>
          <w:sz w:val="24"/>
          <w:szCs w:val="24"/>
        </w:rPr>
        <w:t>hepatotoksiske</w:t>
      </w:r>
      <w:proofErr w:type="spellEnd"/>
      <w:r w:rsidRPr="00163966">
        <w:rPr>
          <w:sz w:val="24"/>
          <w:szCs w:val="24"/>
        </w:rPr>
        <w:t xml:space="preserve"> produkter.</w:t>
      </w:r>
    </w:p>
    <w:p w:rsidR="00BA47F0" w:rsidRPr="00BA47F0" w:rsidRDefault="00BA47F0" w:rsidP="00BA47F0">
      <w:pPr>
        <w:numPr>
          <w:ilvl w:val="0"/>
          <w:numId w:val="10"/>
        </w:numPr>
        <w:tabs>
          <w:tab w:val="left" w:pos="851"/>
        </w:tabs>
        <w:ind w:left="1134" w:hanging="283"/>
        <w:rPr>
          <w:sz w:val="24"/>
          <w:szCs w:val="24"/>
        </w:rPr>
      </w:pPr>
      <w:r w:rsidRPr="00BA47F0">
        <w:rPr>
          <w:sz w:val="24"/>
          <w:szCs w:val="24"/>
        </w:rPr>
        <w:t xml:space="preserve">Der bør udvises forsigtighed, når paracetamol anvendes samtidig med </w:t>
      </w:r>
      <w:proofErr w:type="spellStart"/>
      <w:r w:rsidRPr="00BA47F0">
        <w:rPr>
          <w:sz w:val="24"/>
          <w:szCs w:val="24"/>
        </w:rPr>
        <w:t>flucloxacillin</w:t>
      </w:r>
      <w:proofErr w:type="spellEnd"/>
      <w:r w:rsidRPr="00BA47F0">
        <w:rPr>
          <w:sz w:val="24"/>
          <w:szCs w:val="24"/>
        </w:rPr>
        <w:t xml:space="preserve">, idet samtidig brug kan være forbundet med metabolisk </w:t>
      </w:r>
      <w:proofErr w:type="spellStart"/>
      <w:r w:rsidRPr="00BA47F0">
        <w:rPr>
          <w:sz w:val="24"/>
          <w:szCs w:val="24"/>
        </w:rPr>
        <w:t>acidose</w:t>
      </w:r>
      <w:proofErr w:type="spellEnd"/>
      <w:r w:rsidRPr="00BA47F0">
        <w:rPr>
          <w:sz w:val="24"/>
          <w:szCs w:val="24"/>
        </w:rPr>
        <w:t xml:space="preserve"> med højt anion-</w:t>
      </w:r>
      <w:proofErr w:type="spellStart"/>
      <w:r w:rsidRPr="00BA47F0">
        <w:rPr>
          <w:sz w:val="24"/>
          <w:szCs w:val="24"/>
        </w:rPr>
        <w:t>gap</w:t>
      </w:r>
      <w:proofErr w:type="spellEnd"/>
      <w:r w:rsidRPr="00BA47F0">
        <w:rPr>
          <w:sz w:val="24"/>
          <w:szCs w:val="24"/>
        </w:rPr>
        <w:t>, særligt hos patienter med risikofaktorer (se afsnit 4.4).</w:t>
      </w:r>
    </w:p>
    <w:p w:rsidR="004926C0" w:rsidRPr="00D26EF0" w:rsidRDefault="004926C0" w:rsidP="004926C0">
      <w:pPr>
        <w:tabs>
          <w:tab w:val="left" w:pos="851"/>
        </w:tabs>
        <w:rPr>
          <w:sz w:val="24"/>
          <w:szCs w:val="24"/>
        </w:rPr>
      </w:pPr>
    </w:p>
    <w:p w:rsidR="004926C0" w:rsidRPr="00D26EF0" w:rsidRDefault="004926C0" w:rsidP="004926C0">
      <w:pPr>
        <w:tabs>
          <w:tab w:val="left" w:pos="851"/>
        </w:tabs>
        <w:ind w:left="851"/>
        <w:rPr>
          <w:sz w:val="24"/>
          <w:szCs w:val="24"/>
          <w:u w:val="single"/>
        </w:rPr>
      </w:pPr>
      <w:r w:rsidRPr="00D26EF0">
        <w:rPr>
          <w:sz w:val="24"/>
          <w:szCs w:val="24"/>
          <w:u w:val="single"/>
        </w:rPr>
        <w:t>Pædiatrisk population</w:t>
      </w:r>
    </w:p>
    <w:p w:rsidR="004926C0" w:rsidRPr="00D26EF0" w:rsidRDefault="004926C0" w:rsidP="004926C0">
      <w:pPr>
        <w:tabs>
          <w:tab w:val="left" w:pos="851"/>
        </w:tabs>
        <w:ind w:left="851"/>
        <w:rPr>
          <w:sz w:val="24"/>
          <w:szCs w:val="24"/>
        </w:rPr>
      </w:pPr>
      <w:r w:rsidRPr="00D26EF0">
        <w:rPr>
          <w:sz w:val="24"/>
          <w:szCs w:val="24"/>
        </w:rPr>
        <w:t>Interaktionsstudier er kun udført hos voksne.</w:t>
      </w:r>
    </w:p>
    <w:p w:rsidR="009260DE" w:rsidRPr="00163966" w:rsidRDefault="009260DE" w:rsidP="009260DE">
      <w:pPr>
        <w:tabs>
          <w:tab w:val="left" w:pos="851"/>
        </w:tabs>
        <w:ind w:left="851"/>
        <w:rPr>
          <w:sz w:val="24"/>
          <w:szCs w:val="24"/>
        </w:rPr>
      </w:pPr>
    </w:p>
    <w:p w:rsidR="00274FA3" w:rsidRPr="00163966" w:rsidRDefault="00274FA3" w:rsidP="00274FA3">
      <w:pPr>
        <w:tabs>
          <w:tab w:val="left" w:pos="851"/>
        </w:tabs>
        <w:ind w:left="851" w:hanging="851"/>
        <w:rPr>
          <w:b/>
          <w:sz w:val="24"/>
          <w:szCs w:val="24"/>
        </w:rPr>
      </w:pPr>
      <w:r w:rsidRPr="00163966">
        <w:rPr>
          <w:b/>
          <w:sz w:val="24"/>
          <w:szCs w:val="24"/>
        </w:rPr>
        <w:t>4.6</w:t>
      </w:r>
      <w:r w:rsidRPr="00163966">
        <w:rPr>
          <w:b/>
          <w:sz w:val="24"/>
          <w:szCs w:val="24"/>
        </w:rPr>
        <w:tab/>
        <w:t>Fertilitet, graviditet og amning</w:t>
      </w:r>
    </w:p>
    <w:p w:rsidR="00F87D8A" w:rsidRPr="00163966" w:rsidRDefault="00F87D8A" w:rsidP="00F87D8A">
      <w:pPr>
        <w:tabs>
          <w:tab w:val="left" w:pos="851"/>
        </w:tabs>
        <w:ind w:left="851"/>
        <w:rPr>
          <w:sz w:val="24"/>
          <w:szCs w:val="24"/>
          <w:u w:val="single"/>
        </w:rPr>
      </w:pPr>
    </w:p>
    <w:p w:rsidR="004926C0" w:rsidRPr="00D26EF0" w:rsidRDefault="004926C0" w:rsidP="004926C0">
      <w:pPr>
        <w:tabs>
          <w:tab w:val="left" w:pos="851"/>
        </w:tabs>
        <w:ind w:left="851"/>
        <w:rPr>
          <w:sz w:val="24"/>
          <w:szCs w:val="24"/>
          <w:u w:val="single"/>
        </w:rPr>
      </w:pPr>
      <w:r w:rsidRPr="00D26EF0">
        <w:rPr>
          <w:sz w:val="24"/>
          <w:szCs w:val="24"/>
          <w:u w:val="single"/>
        </w:rPr>
        <w:t>Graviditet</w:t>
      </w:r>
    </w:p>
    <w:p w:rsidR="004926C0" w:rsidRPr="00D26EF0" w:rsidRDefault="004926C0" w:rsidP="004926C0">
      <w:pPr>
        <w:tabs>
          <w:tab w:val="left" w:pos="851"/>
        </w:tabs>
        <w:ind w:left="851"/>
        <w:rPr>
          <w:sz w:val="24"/>
          <w:szCs w:val="24"/>
        </w:rPr>
      </w:pPr>
      <w:r w:rsidRPr="00D26EF0">
        <w:rPr>
          <w:sz w:val="24"/>
          <w:szCs w:val="24"/>
        </w:rPr>
        <w:t xml:space="preserve">Der er ingen erfaring med anvendelse af dette produkt til mennesker under graviditet. På grund af indholdet af ibuprofen er </w:t>
      </w:r>
      <w:r>
        <w:rPr>
          <w:sz w:val="24"/>
          <w:szCs w:val="24"/>
        </w:rPr>
        <w:t>dette lægemiddel</w:t>
      </w:r>
      <w:r w:rsidRPr="00D26EF0">
        <w:rPr>
          <w:sz w:val="24"/>
          <w:szCs w:val="24"/>
        </w:rPr>
        <w:t xml:space="preserve"> kontraindiceret i graviditetens tredje trimester (se nedenfor).</w:t>
      </w:r>
    </w:p>
    <w:p w:rsidR="004926C0" w:rsidRPr="00D26EF0" w:rsidRDefault="004926C0" w:rsidP="004926C0">
      <w:pPr>
        <w:tabs>
          <w:tab w:val="left" w:pos="851"/>
        </w:tabs>
        <w:ind w:left="851"/>
        <w:rPr>
          <w:sz w:val="24"/>
          <w:szCs w:val="24"/>
        </w:rPr>
      </w:pPr>
    </w:p>
    <w:p w:rsidR="004926C0" w:rsidRPr="00D26EF0" w:rsidRDefault="004926C0" w:rsidP="004926C0">
      <w:pPr>
        <w:tabs>
          <w:tab w:val="left" w:pos="851"/>
        </w:tabs>
        <w:ind w:left="851"/>
        <w:rPr>
          <w:i/>
          <w:sz w:val="24"/>
          <w:szCs w:val="24"/>
        </w:rPr>
      </w:pPr>
      <w:r w:rsidRPr="00D26EF0">
        <w:rPr>
          <w:i/>
          <w:sz w:val="24"/>
          <w:szCs w:val="24"/>
        </w:rPr>
        <w:t>For ibuprofen</w:t>
      </w:r>
    </w:p>
    <w:p w:rsidR="004926C0" w:rsidRPr="0068381D" w:rsidRDefault="004926C0" w:rsidP="004926C0">
      <w:pPr>
        <w:tabs>
          <w:tab w:val="left" w:pos="851"/>
        </w:tabs>
        <w:ind w:left="851"/>
        <w:rPr>
          <w:sz w:val="24"/>
          <w:szCs w:val="24"/>
        </w:rPr>
      </w:pPr>
      <w:r w:rsidRPr="00D26EF0">
        <w:rPr>
          <w:sz w:val="24"/>
          <w:szCs w:val="24"/>
        </w:rPr>
        <w:t xml:space="preserve">Hæmning af </w:t>
      </w:r>
      <w:proofErr w:type="spellStart"/>
      <w:r w:rsidRPr="00D26EF0">
        <w:rPr>
          <w:sz w:val="24"/>
          <w:szCs w:val="24"/>
        </w:rPr>
        <w:t>prostaglandinsyntesen</w:t>
      </w:r>
      <w:proofErr w:type="spellEnd"/>
      <w:r w:rsidRPr="00D26EF0">
        <w:rPr>
          <w:sz w:val="24"/>
          <w:szCs w:val="24"/>
        </w:rPr>
        <w:t xml:space="preserve"> kan have en skadelig indvirkning på graviditeten og/eller embryoets/fosterets udvikling. Data fra epidemiologiske studier tyder på en øget risiko for spontan abort og for medfødte misdannelser i barnets hjerte og gastroschisis ved brug af </w:t>
      </w:r>
      <w:proofErr w:type="spellStart"/>
      <w:r w:rsidRPr="00D26EF0">
        <w:rPr>
          <w:sz w:val="24"/>
          <w:szCs w:val="24"/>
        </w:rPr>
        <w:t>prostaglandinsyntese-hæmmere</w:t>
      </w:r>
      <w:proofErr w:type="spellEnd"/>
      <w:r w:rsidRPr="00D26EF0">
        <w:rPr>
          <w:sz w:val="24"/>
          <w:szCs w:val="24"/>
        </w:rPr>
        <w:t xml:space="preserve"> i den tidlige graviditet. Den absolutte risiko for misdannelser i hjertet steg fra mindre end 1 % til cirka 1,5 %. Risikoen menes at stige i takt med øget dosis og behandlingsvarighed. Hos dyr har administration af </w:t>
      </w:r>
      <w:proofErr w:type="spellStart"/>
      <w:r w:rsidRPr="00D26EF0">
        <w:rPr>
          <w:sz w:val="24"/>
          <w:szCs w:val="24"/>
        </w:rPr>
        <w:t>prostaglandin</w:t>
      </w:r>
      <w:proofErr w:type="spellEnd"/>
      <w:r>
        <w:rPr>
          <w:sz w:val="24"/>
          <w:szCs w:val="24"/>
        </w:rPr>
        <w:t>-</w:t>
      </w:r>
      <w:r w:rsidRPr="00D26EF0">
        <w:rPr>
          <w:sz w:val="24"/>
          <w:szCs w:val="24"/>
        </w:rPr>
        <w:t>syntese-</w:t>
      </w:r>
      <w:proofErr w:type="spellStart"/>
      <w:r w:rsidRPr="00D26EF0">
        <w:rPr>
          <w:sz w:val="24"/>
          <w:szCs w:val="24"/>
        </w:rPr>
        <w:t>hæmmere</w:t>
      </w:r>
      <w:proofErr w:type="spellEnd"/>
      <w:r w:rsidRPr="00D26EF0">
        <w:rPr>
          <w:sz w:val="24"/>
          <w:szCs w:val="24"/>
        </w:rPr>
        <w:t xml:space="preserve"> vist sig at medføre øget hyppighed af præ- og postimplantationstab samt embryo-/fosterdød. Endvidere er der fundet øget forekomst af forskellige misdannelser, herunder </w:t>
      </w:r>
      <w:proofErr w:type="spellStart"/>
      <w:r w:rsidRPr="00D26EF0">
        <w:rPr>
          <w:sz w:val="24"/>
          <w:szCs w:val="24"/>
        </w:rPr>
        <w:t>kardiovaskulære</w:t>
      </w:r>
      <w:proofErr w:type="spellEnd"/>
      <w:r w:rsidRPr="00D26EF0">
        <w:rPr>
          <w:sz w:val="24"/>
          <w:szCs w:val="24"/>
        </w:rPr>
        <w:t xml:space="preserve"> misdannelser, hos dyr, der har fået </w:t>
      </w:r>
      <w:proofErr w:type="spellStart"/>
      <w:r w:rsidRPr="00D26EF0">
        <w:rPr>
          <w:sz w:val="24"/>
          <w:szCs w:val="24"/>
        </w:rPr>
        <w:t>prostaglandinsyntese-</w:t>
      </w:r>
      <w:r w:rsidRPr="0068381D">
        <w:rPr>
          <w:sz w:val="24"/>
          <w:szCs w:val="24"/>
        </w:rPr>
        <w:t>hæmmere</w:t>
      </w:r>
      <w:proofErr w:type="spellEnd"/>
      <w:r w:rsidRPr="0068381D">
        <w:rPr>
          <w:sz w:val="24"/>
          <w:szCs w:val="24"/>
        </w:rPr>
        <w:t xml:space="preserve"> i den organudviklende periode. </w:t>
      </w:r>
      <w:r w:rsidRPr="0043114E">
        <w:rPr>
          <w:sz w:val="24"/>
          <w:szCs w:val="24"/>
        </w:rPr>
        <w:t xml:space="preserve">Fra den 20. uge i graviditeten og fremefter kan brug af ibuprofen forårsage </w:t>
      </w:r>
      <w:proofErr w:type="spellStart"/>
      <w:r w:rsidRPr="0043114E">
        <w:rPr>
          <w:sz w:val="24"/>
          <w:szCs w:val="24"/>
        </w:rPr>
        <w:t>oligohydramnion</w:t>
      </w:r>
      <w:proofErr w:type="spellEnd"/>
      <w:r w:rsidRPr="0043114E">
        <w:rPr>
          <w:sz w:val="24"/>
          <w:szCs w:val="24"/>
        </w:rPr>
        <w:t xml:space="preserve">, der skyldes nyresvigt hos fosteret. Dette kan forekomme kort efter behandlingsstart og er som regel reversibelt efter behandlingsophør. Derudover er der rapporteret om konstriktion af </w:t>
      </w:r>
      <w:proofErr w:type="spellStart"/>
      <w:r w:rsidRPr="0043114E">
        <w:rPr>
          <w:sz w:val="24"/>
          <w:szCs w:val="24"/>
        </w:rPr>
        <w:t>ductus</w:t>
      </w:r>
      <w:proofErr w:type="spellEnd"/>
      <w:r w:rsidRPr="0043114E">
        <w:rPr>
          <w:sz w:val="24"/>
          <w:szCs w:val="24"/>
        </w:rPr>
        <w:t xml:space="preserve"> </w:t>
      </w:r>
      <w:proofErr w:type="spellStart"/>
      <w:r w:rsidRPr="0043114E">
        <w:rPr>
          <w:sz w:val="24"/>
          <w:szCs w:val="24"/>
        </w:rPr>
        <w:t>arteriosus</w:t>
      </w:r>
      <w:proofErr w:type="spellEnd"/>
      <w:r w:rsidRPr="0043114E">
        <w:rPr>
          <w:sz w:val="24"/>
          <w:szCs w:val="24"/>
        </w:rPr>
        <w:t xml:space="preserve"> efter behandling i andet trimester, som i de fleste tilfælde forsvandt efter behandlingsophør. Derfor bør ibuprofen kun anvendes på tvingende indikation i graviditetens første og andet trimester.</w:t>
      </w:r>
      <w:r w:rsidRPr="0068381D">
        <w:rPr>
          <w:sz w:val="24"/>
          <w:szCs w:val="24"/>
        </w:rPr>
        <w:t xml:space="preserve"> Hvis ibuprofen anvendes af en kvinde, som forsøger at blive gravid, eller tages i graviditetens første og andet trimester, bør dosis være så lav og behandlingstiden så kort som muligt. </w:t>
      </w:r>
      <w:r w:rsidRPr="0043114E">
        <w:rPr>
          <w:sz w:val="24"/>
          <w:szCs w:val="24"/>
        </w:rPr>
        <w:t xml:space="preserve">Overvågning for </w:t>
      </w:r>
      <w:proofErr w:type="spellStart"/>
      <w:r w:rsidRPr="0043114E">
        <w:rPr>
          <w:sz w:val="24"/>
          <w:szCs w:val="24"/>
        </w:rPr>
        <w:t>oligohydramnion</w:t>
      </w:r>
      <w:proofErr w:type="spellEnd"/>
      <w:r w:rsidRPr="0043114E">
        <w:rPr>
          <w:sz w:val="24"/>
          <w:szCs w:val="24"/>
        </w:rPr>
        <w:t xml:space="preserve"> og konstriktion af </w:t>
      </w:r>
      <w:proofErr w:type="spellStart"/>
      <w:r w:rsidRPr="0043114E">
        <w:rPr>
          <w:sz w:val="24"/>
          <w:szCs w:val="24"/>
        </w:rPr>
        <w:t>ductus</w:t>
      </w:r>
      <w:proofErr w:type="spellEnd"/>
      <w:r w:rsidRPr="0043114E">
        <w:rPr>
          <w:sz w:val="24"/>
          <w:szCs w:val="24"/>
        </w:rPr>
        <w:t xml:space="preserve"> </w:t>
      </w:r>
      <w:proofErr w:type="spellStart"/>
      <w:r w:rsidRPr="0043114E">
        <w:rPr>
          <w:sz w:val="24"/>
          <w:szCs w:val="24"/>
        </w:rPr>
        <w:t>arteriosus</w:t>
      </w:r>
      <w:proofErr w:type="spellEnd"/>
      <w:r w:rsidRPr="0043114E">
        <w:rPr>
          <w:sz w:val="24"/>
          <w:szCs w:val="24"/>
        </w:rPr>
        <w:t xml:space="preserve"> forud for fødslen skal overvejes efter eksponering for ibuprofen i adskillige dage fra graviditetens uge 20 og fremefter. Behandlingen skal stoppes, hvis </w:t>
      </w:r>
      <w:proofErr w:type="spellStart"/>
      <w:r w:rsidRPr="0043114E">
        <w:rPr>
          <w:sz w:val="24"/>
          <w:szCs w:val="24"/>
        </w:rPr>
        <w:t>oligohydramnion</w:t>
      </w:r>
      <w:proofErr w:type="spellEnd"/>
      <w:r w:rsidRPr="0043114E">
        <w:rPr>
          <w:sz w:val="24"/>
          <w:szCs w:val="24"/>
        </w:rPr>
        <w:t xml:space="preserve"> konstateres.</w:t>
      </w:r>
    </w:p>
    <w:p w:rsidR="004926C0" w:rsidRPr="0068381D" w:rsidRDefault="004926C0" w:rsidP="004926C0">
      <w:pPr>
        <w:tabs>
          <w:tab w:val="left" w:pos="851"/>
        </w:tabs>
        <w:ind w:left="851"/>
        <w:rPr>
          <w:sz w:val="24"/>
          <w:szCs w:val="24"/>
        </w:rPr>
      </w:pPr>
    </w:p>
    <w:p w:rsidR="004926C0" w:rsidRPr="0068381D" w:rsidRDefault="004926C0" w:rsidP="004926C0">
      <w:pPr>
        <w:tabs>
          <w:tab w:val="left" w:pos="851"/>
        </w:tabs>
        <w:ind w:left="851"/>
        <w:rPr>
          <w:sz w:val="24"/>
          <w:szCs w:val="24"/>
        </w:rPr>
      </w:pPr>
      <w:r w:rsidRPr="0068381D">
        <w:rPr>
          <w:sz w:val="24"/>
          <w:szCs w:val="24"/>
        </w:rPr>
        <w:lastRenderedPageBreak/>
        <w:t xml:space="preserve">I graviditetens tredje trimester kan alle </w:t>
      </w:r>
      <w:proofErr w:type="spellStart"/>
      <w:r w:rsidRPr="0068381D">
        <w:rPr>
          <w:sz w:val="24"/>
          <w:szCs w:val="24"/>
        </w:rPr>
        <w:t>prostaglandinsyntese-hæmmere</w:t>
      </w:r>
      <w:proofErr w:type="spellEnd"/>
      <w:r w:rsidRPr="0068381D">
        <w:rPr>
          <w:sz w:val="24"/>
          <w:szCs w:val="24"/>
        </w:rPr>
        <w:t xml:space="preserve"> udsætte fosteret for:</w:t>
      </w:r>
    </w:p>
    <w:p w:rsidR="004926C0" w:rsidRPr="0068381D" w:rsidRDefault="004926C0" w:rsidP="004926C0">
      <w:pPr>
        <w:numPr>
          <w:ilvl w:val="0"/>
          <w:numId w:val="11"/>
        </w:numPr>
        <w:tabs>
          <w:tab w:val="left" w:pos="851"/>
        </w:tabs>
        <w:ind w:left="1134" w:hanging="283"/>
        <w:rPr>
          <w:sz w:val="24"/>
          <w:szCs w:val="24"/>
        </w:rPr>
      </w:pPr>
      <w:proofErr w:type="spellStart"/>
      <w:r w:rsidRPr="0068381D">
        <w:rPr>
          <w:sz w:val="24"/>
          <w:szCs w:val="24"/>
        </w:rPr>
        <w:t>kardiopulmonal</w:t>
      </w:r>
      <w:proofErr w:type="spellEnd"/>
      <w:r w:rsidRPr="0068381D">
        <w:rPr>
          <w:sz w:val="24"/>
          <w:szCs w:val="24"/>
        </w:rPr>
        <w:t xml:space="preserve"> toksicitet (præmatur </w:t>
      </w:r>
      <w:r w:rsidRPr="0043114E">
        <w:rPr>
          <w:sz w:val="24"/>
          <w:szCs w:val="24"/>
        </w:rPr>
        <w:t>konstriktion/</w:t>
      </w:r>
      <w:r w:rsidRPr="0068381D">
        <w:rPr>
          <w:sz w:val="24"/>
          <w:szCs w:val="24"/>
        </w:rPr>
        <w:t xml:space="preserve">lukning af </w:t>
      </w:r>
      <w:proofErr w:type="spellStart"/>
      <w:r w:rsidRPr="0068381D">
        <w:rPr>
          <w:sz w:val="24"/>
          <w:szCs w:val="24"/>
        </w:rPr>
        <w:t>ductus</w:t>
      </w:r>
      <w:proofErr w:type="spellEnd"/>
      <w:r w:rsidRPr="0068381D">
        <w:rPr>
          <w:sz w:val="24"/>
          <w:szCs w:val="24"/>
        </w:rPr>
        <w:t xml:space="preserve"> </w:t>
      </w:r>
      <w:proofErr w:type="spellStart"/>
      <w:r w:rsidRPr="0068381D">
        <w:rPr>
          <w:sz w:val="24"/>
          <w:szCs w:val="24"/>
        </w:rPr>
        <w:t>arteriosus</w:t>
      </w:r>
      <w:proofErr w:type="spellEnd"/>
      <w:r w:rsidRPr="0068381D">
        <w:rPr>
          <w:sz w:val="24"/>
          <w:szCs w:val="24"/>
        </w:rPr>
        <w:t xml:space="preserve"> og </w:t>
      </w:r>
      <w:proofErr w:type="spellStart"/>
      <w:r w:rsidRPr="0068381D">
        <w:rPr>
          <w:sz w:val="24"/>
          <w:szCs w:val="24"/>
        </w:rPr>
        <w:t>pulmonal</w:t>
      </w:r>
      <w:proofErr w:type="spellEnd"/>
      <w:r w:rsidRPr="0068381D">
        <w:rPr>
          <w:sz w:val="24"/>
          <w:szCs w:val="24"/>
        </w:rPr>
        <w:t xml:space="preserve"> hypertension);</w:t>
      </w:r>
    </w:p>
    <w:p w:rsidR="004926C0" w:rsidRPr="0068381D" w:rsidRDefault="004926C0" w:rsidP="004926C0">
      <w:pPr>
        <w:numPr>
          <w:ilvl w:val="0"/>
          <w:numId w:val="11"/>
        </w:numPr>
        <w:tabs>
          <w:tab w:val="left" w:pos="851"/>
        </w:tabs>
        <w:ind w:left="1134" w:hanging="283"/>
        <w:rPr>
          <w:sz w:val="24"/>
          <w:szCs w:val="24"/>
        </w:rPr>
      </w:pPr>
      <w:proofErr w:type="spellStart"/>
      <w:r w:rsidRPr="0043114E">
        <w:rPr>
          <w:sz w:val="24"/>
          <w:szCs w:val="24"/>
        </w:rPr>
        <w:t>renal</w:t>
      </w:r>
      <w:proofErr w:type="spellEnd"/>
      <w:r w:rsidRPr="0043114E">
        <w:rPr>
          <w:sz w:val="24"/>
          <w:szCs w:val="24"/>
        </w:rPr>
        <w:t xml:space="preserve"> </w:t>
      </w:r>
      <w:r w:rsidRPr="0068381D">
        <w:rPr>
          <w:sz w:val="24"/>
          <w:szCs w:val="24"/>
        </w:rPr>
        <w:t xml:space="preserve">dysfunktion der kan føre til </w:t>
      </w:r>
      <w:proofErr w:type="spellStart"/>
      <w:r w:rsidRPr="0043114E">
        <w:rPr>
          <w:sz w:val="24"/>
          <w:szCs w:val="24"/>
        </w:rPr>
        <w:t>renal</w:t>
      </w:r>
      <w:r w:rsidRPr="0068381D">
        <w:rPr>
          <w:sz w:val="24"/>
          <w:szCs w:val="24"/>
        </w:rPr>
        <w:t>insufficiens</w:t>
      </w:r>
      <w:proofErr w:type="spellEnd"/>
      <w:r w:rsidRPr="0068381D">
        <w:rPr>
          <w:sz w:val="24"/>
          <w:szCs w:val="24"/>
        </w:rPr>
        <w:t xml:space="preserve"> med </w:t>
      </w:r>
      <w:proofErr w:type="spellStart"/>
      <w:r w:rsidRPr="0068381D">
        <w:rPr>
          <w:sz w:val="24"/>
          <w:szCs w:val="24"/>
        </w:rPr>
        <w:t>oligohydramnios</w:t>
      </w:r>
      <w:proofErr w:type="spellEnd"/>
      <w:r w:rsidRPr="0068381D">
        <w:rPr>
          <w:sz w:val="24"/>
          <w:szCs w:val="24"/>
        </w:rPr>
        <w:t xml:space="preserve"> </w:t>
      </w:r>
      <w:r w:rsidRPr="0043114E">
        <w:rPr>
          <w:sz w:val="24"/>
          <w:szCs w:val="24"/>
        </w:rPr>
        <w:t>(se ovenfor)</w:t>
      </w:r>
      <w:r w:rsidRPr="0068381D">
        <w:rPr>
          <w:sz w:val="24"/>
          <w:szCs w:val="24"/>
        </w:rPr>
        <w:t>.</w:t>
      </w:r>
    </w:p>
    <w:p w:rsidR="004926C0" w:rsidRPr="00D26EF0" w:rsidRDefault="004926C0" w:rsidP="004926C0">
      <w:pPr>
        <w:tabs>
          <w:tab w:val="left" w:pos="851"/>
        </w:tabs>
        <w:ind w:left="851"/>
        <w:rPr>
          <w:sz w:val="24"/>
          <w:szCs w:val="24"/>
        </w:rPr>
      </w:pPr>
    </w:p>
    <w:p w:rsidR="004926C0" w:rsidRPr="00D26EF0" w:rsidRDefault="004926C0" w:rsidP="004926C0">
      <w:pPr>
        <w:tabs>
          <w:tab w:val="left" w:pos="851"/>
        </w:tabs>
        <w:ind w:left="851"/>
        <w:rPr>
          <w:sz w:val="24"/>
          <w:szCs w:val="24"/>
        </w:rPr>
      </w:pPr>
      <w:r w:rsidRPr="00D26EF0">
        <w:rPr>
          <w:sz w:val="24"/>
          <w:szCs w:val="24"/>
        </w:rPr>
        <w:t>Ved graviditetens afslutning kan moder og spædbarn blive udsat for:</w:t>
      </w:r>
    </w:p>
    <w:p w:rsidR="004926C0" w:rsidRPr="00D26EF0" w:rsidRDefault="004926C0" w:rsidP="004926C0">
      <w:pPr>
        <w:numPr>
          <w:ilvl w:val="0"/>
          <w:numId w:val="12"/>
        </w:numPr>
        <w:tabs>
          <w:tab w:val="left" w:pos="851"/>
        </w:tabs>
        <w:ind w:left="1134" w:hanging="283"/>
        <w:rPr>
          <w:sz w:val="24"/>
          <w:szCs w:val="24"/>
        </w:rPr>
      </w:pPr>
      <w:r w:rsidRPr="00D26EF0">
        <w:rPr>
          <w:sz w:val="24"/>
          <w:szCs w:val="24"/>
        </w:rPr>
        <w:t>forlænget blødningstid som følge af nedsat aggregationsevne, hvilket kan forekomme selv ved meget lave doser;</w:t>
      </w:r>
    </w:p>
    <w:p w:rsidR="004926C0" w:rsidRPr="00D26EF0" w:rsidRDefault="004926C0" w:rsidP="004926C0">
      <w:pPr>
        <w:numPr>
          <w:ilvl w:val="0"/>
          <w:numId w:val="12"/>
        </w:numPr>
        <w:tabs>
          <w:tab w:val="left" w:pos="851"/>
        </w:tabs>
        <w:ind w:left="1134" w:hanging="283"/>
        <w:rPr>
          <w:sz w:val="24"/>
          <w:szCs w:val="24"/>
        </w:rPr>
      </w:pPr>
      <w:r w:rsidRPr="00D26EF0">
        <w:rPr>
          <w:sz w:val="24"/>
          <w:szCs w:val="24"/>
        </w:rPr>
        <w:t>hæmning af livmoderens kontraktioner, hvilket kan medføre forsinket eller forlænget fødsel.</w:t>
      </w:r>
    </w:p>
    <w:p w:rsidR="004926C0" w:rsidRPr="00D26EF0" w:rsidRDefault="004926C0" w:rsidP="004926C0">
      <w:pPr>
        <w:tabs>
          <w:tab w:val="left" w:pos="851"/>
        </w:tabs>
        <w:ind w:left="1134" w:hanging="283"/>
        <w:rPr>
          <w:sz w:val="24"/>
          <w:szCs w:val="24"/>
        </w:rPr>
      </w:pPr>
    </w:p>
    <w:p w:rsidR="0081361B" w:rsidRPr="00163966" w:rsidRDefault="004926C0" w:rsidP="004926C0">
      <w:pPr>
        <w:ind w:left="851"/>
        <w:rPr>
          <w:sz w:val="24"/>
          <w:szCs w:val="24"/>
        </w:rPr>
      </w:pPr>
      <w:r>
        <w:rPr>
          <w:sz w:val="24"/>
          <w:szCs w:val="24"/>
        </w:rPr>
        <w:t>Dette lægemiddel</w:t>
      </w:r>
      <w:r w:rsidRPr="00D26EF0">
        <w:rPr>
          <w:sz w:val="24"/>
          <w:szCs w:val="24"/>
        </w:rPr>
        <w:t xml:space="preserve"> er derfor kontraindiceret i graviditetens tredje trimester (se pkt. 4.3).</w:t>
      </w:r>
    </w:p>
    <w:p w:rsidR="00F87D8A" w:rsidRPr="00163966" w:rsidRDefault="00F87D8A" w:rsidP="00F87D8A">
      <w:pPr>
        <w:tabs>
          <w:tab w:val="left" w:pos="851"/>
        </w:tabs>
        <w:ind w:left="851"/>
        <w:rPr>
          <w:sz w:val="24"/>
          <w:szCs w:val="24"/>
        </w:rPr>
      </w:pPr>
    </w:p>
    <w:p w:rsidR="00F87D8A" w:rsidRPr="00163966" w:rsidRDefault="00F87D8A" w:rsidP="00F87D8A">
      <w:pPr>
        <w:tabs>
          <w:tab w:val="left" w:pos="851"/>
        </w:tabs>
        <w:ind w:left="851"/>
        <w:rPr>
          <w:i/>
          <w:sz w:val="24"/>
          <w:szCs w:val="24"/>
        </w:rPr>
      </w:pPr>
      <w:r w:rsidRPr="00163966">
        <w:rPr>
          <w:i/>
          <w:sz w:val="24"/>
          <w:szCs w:val="24"/>
        </w:rPr>
        <w:t>For paracetamol</w:t>
      </w:r>
    </w:p>
    <w:p w:rsidR="00F87D8A" w:rsidRPr="00163966" w:rsidRDefault="00F87D8A" w:rsidP="00F87D8A">
      <w:pPr>
        <w:tabs>
          <w:tab w:val="left" w:pos="851"/>
        </w:tabs>
        <w:ind w:left="851"/>
        <w:rPr>
          <w:sz w:val="24"/>
          <w:szCs w:val="24"/>
        </w:rPr>
      </w:pPr>
      <w:r w:rsidRPr="00163966">
        <w:rPr>
          <w:sz w:val="24"/>
          <w:szCs w:val="24"/>
        </w:rPr>
        <w:t xml:space="preserve">En stor mængde data vedrørende gravide kvinder, der har brugt paracetamol, indikerer hverken misdannende eller </w:t>
      </w:r>
      <w:proofErr w:type="spellStart"/>
      <w:r w:rsidRPr="00163966">
        <w:rPr>
          <w:sz w:val="24"/>
          <w:szCs w:val="24"/>
        </w:rPr>
        <w:t>føtal</w:t>
      </w:r>
      <w:proofErr w:type="spellEnd"/>
      <w:r w:rsidRPr="00163966">
        <w:rPr>
          <w:sz w:val="24"/>
          <w:szCs w:val="24"/>
        </w:rPr>
        <w:t xml:space="preserve">/neonatal toksicitet. Epidemiologiske undersøgelser af </w:t>
      </w:r>
      <w:proofErr w:type="spellStart"/>
      <w:r w:rsidRPr="00163966">
        <w:rPr>
          <w:sz w:val="24"/>
          <w:szCs w:val="24"/>
        </w:rPr>
        <w:t>neuroudviklingen</w:t>
      </w:r>
      <w:proofErr w:type="spellEnd"/>
      <w:r w:rsidRPr="00163966">
        <w:rPr>
          <w:sz w:val="24"/>
          <w:szCs w:val="24"/>
        </w:rPr>
        <w:t xml:space="preserve"> hos børn, der blev eksponeret for paracetamol </w:t>
      </w:r>
      <w:r w:rsidRPr="00163966">
        <w:rPr>
          <w:i/>
          <w:sz w:val="24"/>
          <w:szCs w:val="24"/>
        </w:rPr>
        <w:t xml:space="preserve">in </w:t>
      </w:r>
      <w:proofErr w:type="spellStart"/>
      <w:r w:rsidRPr="00163966">
        <w:rPr>
          <w:i/>
          <w:sz w:val="24"/>
          <w:szCs w:val="24"/>
        </w:rPr>
        <w:t>utero</w:t>
      </w:r>
      <w:proofErr w:type="spellEnd"/>
      <w:r w:rsidRPr="00163966">
        <w:rPr>
          <w:sz w:val="24"/>
          <w:szCs w:val="24"/>
        </w:rPr>
        <w:t xml:space="preserve">, viser </w:t>
      </w:r>
      <w:proofErr w:type="spellStart"/>
      <w:r w:rsidRPr="00163966">
        <w:rPr>
          <w:sz w:val="24"/>
          <w:szCs w:val="24"/>
        </w:rPr>
        <w:t>inkonklusive</w:t>
      </w:r>
      <w:proofErr w:type="spellEnd"/>
      <w:r w:rsidRPr="00163966">
        <w:rPr>
          <w:sz w:val="24"/>
          <w:szCs w:val="24"/>
        </w:rPr>
        <w:t xml:space="preserve"> resultater. Ved klinisk behov kan paracetamol anvendes under graviditet. Det bør dog anvendes i den laveste effektive dosis i kortest mulige tid og med den mindst mulige hyppighed.</w:t>
      </w:r>
    </w:p>
    <w:p w:rsidR="00F87D8A" w:rsidRPr="00163966" w:rsidRDefault="00F87D8A" w:rsidP="00F87D8A">
      <w:pPr>
        <w:tabs>
          <w:tab w:val="left" w:pos="851"/>
        </w:tabs>
        <w:ind w:left="851"/>
        <w:rPr>
          <w:sz w:val="24"/>
          <w:szCs w:val="24"/>
          <w:u w:val="single"/>
        </w:rPr>
      </w:pPr>
    </w:p>
    <w:p w:rsidR="00F87D8A" w:rsidRPr="00163966" w:rsidRDefault="00F87D8A" w:rsidP="00F87D8A">
      <w:pPr>
        <w:tabs>
          <w:tab w:val="left" w:pos="851"/>
        </w:tabs>
        <w:ind w:left="851"/>
        <w:rPr>
          <w:sz w:val="24"/>
          <w:szCs w:val="24"/>
          <w:u w:val="single"/>
        </w:rPr>
      </w:pPr>
      <w:r w:rsidRPr="00163966">
        <w:rPr>
          <w:sz w:val="24"/>
          <w:szCs w:val="24"/>
          <w:u w:val="single"/>
        </w:rPr>
        <w:t>Amning</w:t>
      </w:r>
    </w:p>
    <w:p w:rsidR="00F87D8A" w:rsidRPr="00163966" w:rsidRDefault="00F87D8A" w:rsidP="00F87D8A">
      <w:pPr>
        <w:tabs>
          <w:tab w:val="left" w:pos="851"/>
        </w:tabs>
        <w:ind w:left="851"/>
        <w:rPr>
          <w:sz w:val="24"/>
          <w:szCs w:val="24"/>
        </w:rPr>
      </w:pPr>
      <w:r w:rsidRPr="00163966">
        <w:rPr>
          <w:sz w:val="24"/>
          <w:szCs w:val="24"/>
        </w:rPr>
        <w:t>Paracetamol udskilles i modermælk, men ikke i en klinisk signifikant mængde, og de tilgængelige offentliggjorte data kontraindicerer ikke amning, så længe den anbefalede dosering ikke overskrides.</w:t>
      </w:r>
    </w:p>
    <w:p w:rsidR="00F87D8A" w:rsidRPr="00163966" w:rsidRDefault="00F87D8A" w:rsidP="00F87D8A">
      <w:pPr>
        <w:tabs>
          <w:tab w:val="left" w:pos="851"/>
        </w:tabs>
        <w:ind w:left="851"/>
        <w:rPr>
          <w:sz w:val="24"/>
          <w:szCs w:val="24"/>
        </w:rPr>
      </w:pPr>
    </w:p>
    <w:p w:rsidR="00F87D8A" w:rsidRPr="00163966" w:rsidRDefault="00F87D8A" w:rsidP="00F87D8A">
      <w:pPr>
        <w:tabs>
          <w:tab w:val="left" w:pos="851"/>
        </w:tabs>
        <w:ind w:left="851"/>
        <w:rPr>
          <w:sz w:val="24"/>
          <w:szCs w:val="24"/>
        </w:rPr>
      </w:pPr>
      <w:r w:rsidRPr="00163966">
        <w:rPr>
          <w:sz w:val="24"/>
          <w:szCs w:val="24"/>
        </w:rPr>
        <w:t>Ibuprofen og dets metabolitter kan passere ind i modermælk i meget små mængder. Med terapeutiske doser i korttidsbehandling forekommer en risiko for indflydelse på barnet usandsynlig.</w:t>
      </w:r>
    </w:p>
    <w:p w:rsidR="00F87D8A" w:rsidRPr="00163966" w:rsidRDefault="00F87D8A" w:rsidP="00F87D8A">
      <w:pPr>
        <w:tabs>
          <w:tab w:val="left" w:pos="851"/>
        </w:tabs>
        <w:ind w:left="851"/>
        <w:rPr>
          <w:sz w:val="24"/>
          <w:szCs w:val="24"/>
        </w:rPr>
      </w:pPr>
    </w:p>
    <w:p w:rsidR="00F87D8A" w:rsidRPr="00163966" w:rsidRDefault="00F87D8A" w:rsidP="00F87D8A">
      <w:pPr>
        <w:tabs>
          <w:tab w:val="left" w:pos="851"/>
        </w:tabs>
        <w:ind w:left="851"/>
        <w:rPr>
          <w:sz w:val="24"/>
          <w:szCs w:val="24"/>
        </w:rPr>
      </w:pPr>
      <w:r w:rsidRPr="00163966">
        <w:rPr>
          <w:sz w:val="24"/>
          <w:szCs w:val="24"/>
        </w:rPr>
        <w:t>I lyset af ovenstående evidens er det ikke nødvendigt at afbryde amning ved korttidsbehandling med den anbefalede dosis af dette produkt.</w:t>
      </w:r>
    </w:p>
    <w:p w:rsidR="00F87D8A" w:rsidRPr="00163966" w:rsidRDefault="00F87D8A" w:rsidP="00F87D8A">
      <w:pPr>
        <w:tabs>
          <w:tab w:val="left" w:pos="851"/>
        </w:tabs>
        <w:ind w:left="851"/>
        <w:rPr>
          <w:sz w:val="24"/>
          <w:szCs w:val="24"/>
          <w:u w:val="single"/>
        </w:rPr>
      </w:pPr>
    </w:p>
    <w:p w:rsidR="00F87D8A" w:rsidRPr="00163966" w:rsidRDefault="00F87D8A" w:rsidP="00F87D8A">
      <w:pPr>
        <w:tabs>
          <w:tab w:val="left" w:pos="851"/>
        </w:tabs>
        <w:ind w:left="851"/>
        <w:rPr>
          <w:sz w:val="24"/>
          <w:szCs w:val="24"/>
          <w:u w:val="single"/>
        </w:rPr>
      </w:pPr>
      <w:r w:rsidRPr="00163966">
        <w:rPr>
          <w:sz w:val="24"/>
          <w:szCs w:val="24"/>
          <w:u w:val="single"/>
        </w:rPr>
        <w:t>Fertilitet</w:t>
      </w:r>
    </w:p>
    <w:p w:rsidR="00F87D8A" w:rsidRPr="00163966" w:rsidRDefault="00F87D8A" w:rsidP="00F87D8A">
      <w:pPr>
        <w:tabs>
          <w:tab w:val="left" w:pos="851"/>
        </w:tabs>
        <w:ind w:left="851"/>
        <w:rPr>
          <w:sz w:val="24"/>
          <w:szCs w:val="24"/>
        </w:rPr>
      </w:pPr>
      <w:r w:rsidRPr="00163966">
        <w:rPr>
          <w:sz w:val="24"/>
          <w:szCs w:val="24"/>
        </w:rPr>
        <w:t xml:space="preserve">Anvendelse af produktet kan forringe fertiliteten hos kvinder, og anvendelse anbefales ikke til kvinder, der forsøger at blive gravide. For kvinder, som har problemer med at blive gravide, eller som undersøges for </w:t>
      </w:r>
      <w:proofErr w:type="spellStart"/>
      <w:r w:rsidRPr="00163966">
        <w:rPr>
          <w:sz w:val="24"/>
          <w:szCs w:val="24"/>
        </w:rPr>
        <w:t>infertilitet</w:t>
      </w:r>
      <w:proofErr w:type="spellEnd"/>
      <w:r w:rsidRPr="00163966">
        <w:rPr>
          <w:sz w:val="24"/>
          <w:szCs w:val="24"/>
        </w:rPr>
        <w:t xml:space="preserve">, bør </w:t>
      </w:r>
      <w:proofErr w:type="spellStart"/>
      <w:r w:rsidRPr="00163966">
        <w:rPr>
          <w:sz w:val="24"/>
          <w:szCs w:val="24"/>
        </w:rPr>
        <w:t>seponering</w:t>
      </w:r>
      <w:proofErr w:type="spellEnd"/>
      <w:r w:rsidRPr="00163966">
        <w:rPr>
          <w:sz w:val="24"/>
          <w:szCs w:val="24"/>
        </w:rPr>
        <w:t xml:space="preserve"> af produktet overvejes.</w:t>
      </w:r>
    </w:p>
    <w:p w:rsidR="009260DE" w:rsidRPr="00163966" w:rsidRDefault="009260DE" w:rsidP="009260DE">
      <w:pPr>
        <w:tabs>
          <w:tab w:val="left" w:pos="851"/>
        </w:tabs>
        <w:ind w:left="851"/>
        <w:rPr>
          <w:sz w:val="24"/>
          <w:szCs w:val="24"/>
        </w:rPr>
      </w:pPr>
    </w:p>
    <w:p w:rsidR="00274FA3" w:rsidRPr="00163966" w:rsidRDefault="00274FA3" w:rsidP="00274FA3">
      <w:pPr>
        <w:tabs>
          <w:tab w:val="left" w:pos="851"/>
        </w:tabs>
        <w:ind w:left="851" w:hanging="851"/>
        <w:rPr>
          <w:b/>
          <w:sz w:val="24"/>
          <w:szCs w:val="24"/>
        </w:rPr>
      </w:pPr>
      <w:r w:rsidRPr="00163966">
        <w:rPr>
          <w:b/>
          <w:sz w:val="24"/>
          <w:szCs w:val="24"/>
        </w:rPr>
        <w:t>4.7</w:t>
      </w:r>
      <w:r w:rsidRPr="00163966">
        <w:rPr>
          <w:b/>
          <w:sz w:val="24"/>
          <w:szCs w:val="24"/>
        </w:rPr>
        <w:tab/>
        <w:t>Virkning på evnen til at føre motorkøretøj og betjene maskiner</w:t>
      </w:r>
    </w:p>
    <w:p w:rsidR="004926C0" w:rsidRDefault="004926C0" w:rsidP="004926C0">
      <w:pPr>
        <w:tabs>
          <w:tab w:val="left" w:pos="851"/>
        </w:tabs>
        <w:ind w:left="851"/>
        <w:rPr>
          <w:sz w:val="24"/>
          <w:szCs w:val="24"/>
        </w:rPr>
      </w:pPr>
      <w:r w:rsidRPr="003C6D4F">
        <w:rPr>
          <w:sz w:val="24"/>
          <w:szCs w:val="24"/>
        </w:rPr>
        <w:t>Ikke mærkning.</w:t>
      </w:r>
    </w:p>
    <w:p w:rsidR="00AB5D25" w:rsidRPr="00163966" w:rsidRDefault="00AB5D25" w:rsidP="00AB5D25">
      <w:pPr>
        <w:tabs>
          <w:tab w:val="left" w:pos="851"/>
        </w:tabs>
        <w:ind w:left="851"/>
        <w:rPr>
          <w:sz w:val="24"/>
          <w:szCs w:val="24"/>
        </w:rPr>
      </w:pPr>
      <w:r w:rsidRPr="00163966">
        <w:rPr>
          <w:sz w:val="24"/>
          <w:szCs w:val="24"/>
        </w:rPr>
        <w:t xml:space="preserve">Bivirkninger såsom svimmelhed, døsighed, </w:t>
      </w:r>
      <w:proofErr w:type="spellStart"/>
      <w:r w:rsidRPr="00163966">
        <w:rPr>
          <w:sz w:val="24"/>
          <w:szCs w:val="24"/>
        </w:rPr>
        <w:t>fatigue</w:t>
      </w:r>
      <w:proofErr w:type="spellEnd"/>
      <w:r w:rsidRPr="00163966">
        <w:rPr>
          <w:sz w:val="24"/>
          <w:szCs w:val="24"/>
        </w:rPr>
        <w:t xml:space="preserve"> og synsforstyrrelser kan opstå efter anvendelse af </w:t>
      </w:r>
      <w:proofErr w:type="spellStart"/>
      <w:r w:rsidRPr="00163966">
        <w:rPr>
          <w:sz w:val="24"/>
          <w:szCs w:val="24"/>
        </w:rPr>
        <w:t>NSAIDer</w:t>
      </w:r>
      <w:proofErr w:type="spellEnd"/>
      <w:r w:rsidRPr="00163966">
        <w:rPr>
          <w:sz w:val="24"/>
          <w:szCs w:val="24"/>
        </w:rPr>
        <w:t>. Patienter, der er berørt af disse bivirkninger, bør ikke føre motorkøretøj eller betjene maskiner.</w:t>
      </w: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4.8</w:t>
      </w:r>
      <w:r w:rsidRPr="00163966">
        <w:rPr>
          <w:b/>
          <w:sz w:val="24"/>
          <w:szCs w:val="24"/>
        </w:rPr>
        <w:tab/>
        <w:t>Bivirkninger</w:t>
      </w:r>
    </w:p>
    <w:p w:rsidR="004926C0" w:rsidRPr="00D26EF0" w:rsidRDefault="004926C0" w:rsidP="004926C0">
      <w:pPr>
        <w:ind w:left="851"/>
        <w:rPr>
          <w:sz w:val="24"/>
          <w:szCs w:val="24"/>
        </w:rPr>
      </w:pPr>
      <w:r w:rsidRPr="00D26EF0">
        <w:rPr>
          <w:sz w:val="24"/>
          <w:szCs w:val="24"/>
          <w:lang w:eastAsia="da-DK"/>
        </w:rPr>
        <w:t>Kliniske forsøg</w:t>
      </w:r>
      <w:r>
        <w:rPr>
          <w:sz w:val="24"/>
          <w:szCs w:val="24"/>
          <w:lang w:eastAsia="da-DK"/>
        </w:rPr>
        <w:t xml:space="preserve">, hvor dette lægemiddel blev administreret intravenøst og sammen med en fast oral dosiskombination af paracetamol/ibuprofen (tabletter), </w:t>
      </w:r>
      <w:r w:rsidRPr="00D26EF0">
        <w:rPr>
          <w:sz w:val="24"/>
          <w:szCs w:val="24"/>
          <w:lang w:eastAsia="da-DK"/>
        </w:rPr>
        <w:t xml:space="preserve">har ikke vist nogen andre bivirkninger end dem, der gælder for paracetamol alene eller ibuprofen alene. </w:t>
      </w:r>
    </w:p>
    <w:p w:rsidR="00AB5D25" w:rsidRPr="00163966" w:rsidRDefault="00AB5D25" w:rsidP="00AB5D25">
      <w:pPr>
        <w:ind w:left="851"/>
        <w:rPr>
          <w:sz w:val="24"/>
          <w:szCs w:val="24"/>
        </w:rPr>
      </w:pPr>
    </w:p>
    <w:p w:rsidR="00AB5D25" w:rsidRPr="00163966" w:rsidRDefault="00AB5D25" w:rsidP="00AB5D25">
      <w:pPr>
        <w:ind w:left="851"/>
        <w:rPr>
          <w:sz w:val="24"/>
          <w:szCs w:val="24"/>
        </w:rPr>
      </w:pPr>
      <w:r w:rsidRPr="00163966">
        <w:rPr>
          <w:sz w:val="24"/>
          <w:szCs w:val="24"/>
          <w:lang w:eastAsia="da-DK"/>
        </w:rPr>
        <w:lastRenderedPageBreak/>
        <w:t xml:space="preserve">Bivirkninger er anført nedenfor som foretrukken term i henhold til </w:t>
      </w:r>
      <w:proofErr w:type="spellStart"/>
      <w:r w:rsidRPr="00163966">
        <w:rPr>
          <w:sz w:val="24"/>
          <w:szCs w:val="24"/>
          <w:lang w:eastAsia="da-DK"/>
        </w:rPr>
        <w:t>MedDRA</w:t>
      </w:r>
      <w:proofErr w:type="spellEnd"/>
      <w:r w:rsidRPr="00163966">
        <w:rPr>
          <w:sz w:val="24"/>
          <w:szCs w:val="24"/>
          <w:lang w:eastAsia="da-DK"/>
        </w:rPr>
        <w:t>, inddelt efter systemorganklasse og absolut hyppighed:</w:t>
      </w:r>
    </w:p>
    <w:p w:rsidR="00AB5D25" w:rsidRPr="00163966" w:rsidRDefault="00AB5D25" w:rsidP="00AB5D25">
      <w:pPr>
        <w:ind w:left="851"/>
        <w:rPr>
          <w:sz w:val="24"/>
          <w:szCs w:val="24"/>
        </w:rPr>
      </w:pPr>
      <w:r w:rsidRPr="00163966">
        <w:rPr>
          <w:sz w:val="24"/>
          <w:szCs w:val="24"/>
          <w:lang w:eastAsia="da-DK"/>
        </w:rPr>
        <w:t>Meget almindelig (≥1/10), almindelig (≥1/100 til &lt;1/10), ikke almindelig (≥1/1.000 til &lt;1/100), sjælden (≥1/10.000 til &lt;1/1.000), meget sjælden (&lt;1/10.000), ikke kendt (kan ikke estimeres ud fra forhåndenværende data).</w:t>
      </w:r>
    </w:p>
    <w:p w:rsidR="00AB5D25" w:rsidRPr="00163966" w:rsidRDefault="00AB5D25" w:rsidP="00AB5D25">
      <w:pPr>
        <w:ind w:left="851"/>
        <w:rPr>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6146"/>
      </w:tblGrid>
      <w:tr w:rsidR="00AB5D25" w:rsidRPr="00163966" w:rsidTr="00AB5D25">
        <w:tc>
          <w:tcPr>
            <w:tcW w:w="2478" w:type="dxa"/>
            <w:tcBorders>
              <w:top w:val="single" w:sz="4" w:space="0" w:color="auto"/>
              <w:left w:val="single" w:sz="4" w:space="0" w:color="auto"/>
              <w:bottom w:val="single" w:sz="4" w:space="0" w:color="auto"/>
              <w:right w:val="single" w:sz="4" w:space="0" w:color="auto"/>
            </w:tcBorders>
            <w:hideMark/>
          </w:tcPr>
          <w:p w:rsidR="00AB5D25" w:rsidRPr="00163966" w:rsidRDefault="00AB5D25">
            <w:pPr>
              <w:rPr>
                <w:b/>
              </w:rPr>
            </w:pPr>
            <w:r w:rsidRPr="00163966">
              <w:rPr>
                <w:b/>
                <w:szCs w:val="22"/>
              </w:rPr>
              <w:t>Infektioner og parasitære sygdomme</w:t>
            </w:r>
          </w:p>
        </w:tc>
        <w:tc>
          <w:tcPr>
            <w:tcW w:w="6594"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Meget sjælden</w:t>
            </w:r>
            <w:r w:rsidRPr="00163966">
              <w:rPr>
                <w:szCs w:val="22"/>
              </w:rPr>
              <w:t xml:space="preserve">: Forværring af infektionsrelaterede inflammationer (fx udvikling af </w:t>
            </w:r>
            <w:proofErr w:type="spellStart"/>
            <w:r w:rsidRPr="00163966">
              <w:rPr>
                <w:szCs w:val="22"/>
              </w:rPr>
              <w:t>nekrotiserende</w:t>
            </w:r>
            <w:proofErr w:type="spellEnd"/>
            <w:r w:rsidRPr="00163966">
              <w:rPr>
                <w:szCs w:val="22"/>
              </w:rPr>
              <w:t xml:space="preserve"> </w:t>
            </w:r>
            <w:proofErr w:type="spellStart"/>
            <w:r w:rsidRPr="00163966">
              <w:rPr>
                <w:szCs w:val="22"/>
              </w:rPr>
              <w:t>fascitis</w:t>
            </w:r>
            <w:proofErr w:type="spellEnd"/>
            <w:r w:rsidRPr="00163966">
              <w:rPr>
                <w:szCs w:val="22"/>
              </w:rPr>
              <w:t xml:space="preserve">), der falder sammen med brugen af </w:t>
            </w:r>
            <w:proofErr w:type="spellStart"/>
            <w:r w:rsidRPr="00163966">
              <w:rPr>
                <w:szCs w:val="22"/>
              </w:rPr>
              <w:t>NSAIDer</w:t>
            </w:r>
            <w:proofErr w:type="spellEnd"/>
            <w:r w:rsidRPr="00163966">
              <w:rPr>
                <w:szCs w:val="22"/>
              </w:rPr>
              <w:t>, er beskrevet.</w:t>
            </w:r>
          </w:p>
        </w:tc>
      </w:tr>
      <w:tr w:rsidR="00AB5D25" w:rsidRPr="00163966" w:rsidTr="00AB5D25">
        <w:tc>
          <w:tcPr>
            <w:tcW w:w="2478" w:type="dxa"/>
            <w:tcBorders>
              <w:top w:val="single" w:sz="4" w:space="0" w:color="auto"/>
              <w:left w:val="single" w:sz="4" w:space="0" w:color="auto"/>
              <w:bottom w:val="single" w:sz="4" w:space="0" w:color="auto"/>
              <w:right w:val="single" w:sz="4" w:space="0" w:color="auto"/>
            </w:tcBorders>
            <w:hideMark/>
          </w:tcPr>
          <w:p w:rsidR="00AB5D25" w:rsidRPr="00163966" w:rsidRDefault="00AB5D25">
            <w:pPr>
              <w:rPr>
                <w:b/>
              </w:rPr>
            </w:pPr>
            <w:r w:rsidRPr="00163966">
              <w:rPr>
                <w:b/>
                <w:szCs w:val="22"/>
              </w:rPr>
              <w:t>Blod og lymfesystem</w:t>
            </w:r>
          </w:p>
        </w:tc>
        <w:tc>
          <w:tcPr>
            <w:tcW w:w="6594"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Ikke almindelig</w:t>
            </w:r>
            <w:r w:rsidRPr="00163966">
              <w:rPr>
                <w:szCs w:val="22"/>
              </w:rPr>
              <w:t xml:space="preserve">: Fald i hæmoglobin og hæmatokrit. Om end der ikke er fastlagt en kausal sammenhæng, er der rapporteret om blødningsepisoder (fx </w:t>
            </w:r>
            <w:proofErr w:type="spellStart"/>
            <w:r w:rsidRPr="00163966">
              <w:rPr>
                <w:szCs w:val="22"/>
              </w:rPr>
              <w:t>epistaxis</w:t>
            </w:r>
            <w:proofErr w:type="spellEnd"/>
            <w:r w:rsidRPr="00163966">
              <w:rPr>
                <w:szCs w:val="22"/>
              </w:rPr>
              <w:t xml:space="preserve">, </w:t>
            </w:r>
            <w:proofErr w:type="spellStart"/>
            <w:r w:rsidRPr="00163966">
              <w:rPr>
                <w:szCs w:val="22"/>
              </w:rPr>
              <w:t>menoragi</w:t>
            </w:r>
            <w:proofErr w:type="spellEnd"/>
            <w:r w:rsidRPr="00163966">
              <w:rPr>
                <w:szCs w:val="22"/>
              </w:rPr>
              <w:t>) under behandling med lægemidlet.</w:t>
            </w:r>
          </w:p>
          <w:p w:rsidR="00AB5D25" w:rsidRPr="00163966" w:rsidRDefault="00AB5D25">
            <w:r w:rsidRPr="00163966">
              <w:rPr>
                <w:b/>
                <w:szCs w:val="22"/>
              </w:rPr>
              <w:t>Meget sjælden</w:t>
            </w:r>
            <w:r w:rsidRPr="00163966">
              <w:rPr>
                <w:szCs w:val="22"/>
              </w:rPr>
              <w:t xml:space="preserve">: Der er rapporteret om </w:t>
            </w:r>
            <w:proofErr w:type="spellStart"/>
            <w:r w:rsidRPr="00163966">
              <w:rPr>
                <w:szCs w:val="22"/>
              </w:rPr>
              <w:t>hæmatopoietiske</w:t>
            </w:r>
            <w:proofErr w:type="spellEnd"/>
            <w:r w:rsidRPr="00163966">
              <w:rPr>
                <w:szCs w:val="22"/>
              </w:rPr>
              <w:t xml:space="preserve"> forstyrrelser (</w:t>
            </w:r>
            <w:proofErr w:type="spellStart"/>
            <w:r w:rsidRPr="00163966">
              <w:rPr>
                <w:szCs w:val="22"/>
              </w:rPr>
              <w:t>agranulocytose</w:t>
            </w:r>
            <w:proofErr w:type="spellEnd"/>
            <w:r w:rsidRPr="00163966">
              <w:rPr>
                <w:szCs w:val="22"/>
              </w:rPr>
              <w:t xml:space="preserve">, anæmi, </w:t>
            </w:r>
            <w:proofErr w:type="spellStart"/>
            <w:r w:rsidRPr="00163966">
              <w:rPr>
                <w:szCs w:val="22"/>
              </w:rPr>
              <w:t>aplastisk</w:t>
            </w:r>
            <w:proofErr w:type="spellEnd"/>
            <w:r w:rsidRPr="00163966">
              <w:rPr>
                <w:szCs w:val="22"/>
              </w:rPr>
              <w:t xml:space="preserve"> anæmi, </w:t>
            </w:r>
            <w:proofErr w:type="spellStart"/>
            <w:r w:rsidRPr="00163966">
              <w:rPr>
                <w:szCs w:val="22"/>
              </w:rPr>
              <w:t>hæmolytisk</w:t>
            </w:r>
            <w:proofErr w:type="spellEnd"/>
            <w:r w:rsidRPr="00163966">
              <w:rPr>
                <w:szCs w:val="22"/>
              </w:rPr>
              <w:t xml:space="preserve"> anæmi, </w:t>
            </w:r>
            <w:proofErr w:type="spellStart"/>
            <w:r w:rsidRPr="00163966">
              <w:rPr>
                <w:szCs w:val="22"/>
              </w:rPr>
              <w:t>leukopeni</w:t>
            </w:r>
            <w:proofErr w:type="spellEnd"/>
            <w:r w:rsidRPr="00163966">
              <w:rPr>
                <w:szCs w:val="22"/>
              </w:rPr>
              <w:t xml:space="preserve">, </w:t>
            </w:r>
            <w:proofErr w:type="spellStart"/>
            <w:r w:rsidRPr="00163966">
              <w:rPr>
                <w:szCs w:val="22"/>
              </w:rPr>
              <w:t>neutropeni</w:t>
            </w:r>
            <w:proofErr w:type="spellEnd"/>
            <w:r w:rsidRPr="00163966">
              <w:rPr>
                <w:szCs w:val="22"/>
              </w:rPr>
              <w:t xml:space="preserve">, </w:t>
            </w:r>
            <w:proofErr w:type="spellStart"/>
            <w:r w:rsidRPr="00163966">
              <w:rPr>
                <w:szCs w:val="22"/>
              </w:rPr>
              <w:t>pancytopeni</w:t>
            </w:r>
            <w:proofErr w:type="spellEnd"/>
            <w:r w:rsidRPr="00163966">
              <w:rPr>
                <w:szCs w:val="22"/>
              </w:rPr>
              <w:t xml:space="preserve"> og </w:t>
            </w:r>
            <w:proofErr w:type="spellStart"/>
            <w:r w:rsidRPr="00163966">
              <w:rPr>
                <w:szCs w:val="22"/>
              </w:rPr>
              <w:t>trombocytopeni</w:t>
            </w:r>
            <w:proofErr w:type="spellEnd"/>
            <w:r w:rsidRPr="00163966">
              <w:rPr>
                <w:szCs w:val="22"/>
              </w:rPr>
              <w:t xml:space="preserve"> med eller uden </w:t>
            </w:r>
            <w:proofErr w:type="spellStart"/>
            <w:r w:rsidRPr="00163966">
              <w:rPr>
                <w:szCs w:val="22"/>
              </w:rPr>
              <w:t>purpura</w:t>
            </w:r>
            <w:proofErr w:type="spellEnd"/>
            <w:r w:rsidRPr="00163966">
              <w:rPr>
                <w:szCs w:val="22"/>
              </w:rPr>
              <w:t>) efter anvendelse af ibuprofen, der dog ikke nødvendigvis var kausalt forbundet med lægemidlet.</w:t>
            </w:r>
          </w:p>
        </w:tc>
      </w:tr>
      <w:tr w:rsidR="00AB5D25" w:rsidRPr="00163966" w:rsidTr="00AB5D25">
        <w:tc>
          <w:tcPr>
            <w:tcW w:w="2478" w:type="dxa"/>
            <w:tcBorders>
              <w:top w:val="single" w:sz="4" w:space="0" w:color="auto"/>
              <w:left w:val="single" w:sz="4" w:space="0" w:color="auto"/>
              <w:bottom w:val="single" w:sz="4" w:space="0" w:color="auto"/>
              <w:right w:val="single" w:sz="4" w:space="0" w:color="auto"/>
            </w:tcBorders>
            <w:hideMark/>
          </w:tcPr>
          <w:p w:rsidR="00AB5D25" w:rsidRPr="00163966" w:rsidRDefault="00AB5D25">
            <w:pPr>
              <w:rPr>
                <w:b/>
              </w:rPr>
            </w:pPr>
            <w:r w:rsidRPr="00163966">
              <w:rPr>
                <w:b/>
                <w:szCs w:val="22"/>
              </w:rPr>
              <w:t>Immunsystemet</w:t>
            </w:r>
          </w:p>
        </w:tc>
        <w:tc>
          <w:tcPr>
            <w:tcW w:w="6594"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Meget sjælden</w:t>
            </w:r>
            <w:r w:rsidRPr="00163966">
              <w:rPr>
                <w:szCs w:val="22"/>
              </w:rPr>
              <w:t xml:space="preserve">: Der er rapporteret om overfølsomhedsreaktioner, herunder hududslæt og krydsfølsomhed med </w:t>
            </w:r>
            <w:proofErr w:type="spellStart"/>
            <w:r w:rsidRPr="00163966">
              <w:rPr>
                <w:szCs w:val="22"/>
              </w:rPr>
              <w:t>sympatomimetika</w:t>
            </w:r>
            <w:proofErr w:type="spellEnd"/>
            <w:r w:rsidRPr="00163966">
              <w:rPr>
                <w:szCs w:val="22"/>
              </w:rPr>
              <w:t>.</w:t>
            </w:r>
          </w:p>
          <w:p w:rsidR="00AB5D25" w:rsidRPr="00163966" w:rsidRDefault="00AB5D25">
            <w:r w:rsidRPr="00163966">
              <w:rPr>
                <w:b/>
                <w:szCs w:val="22"/>
              </w:rPr>
              <w:t>Ikke almindelig</w:t>
            </w:r>
            <w:r w:rsidRPr="00163966">
              <w:rPr>
                <w:szCs w:val="22"/>
              </w:rPr>
              <w:t xml:space="preserve">: Der er rapporteret om andre allergiske reaktioner, men en kausal sammenhæng er ikke fastlagt: serumsyge, lupus </w:t>
            </w:r>
            <w:proofErr w:type="spellStart"/>
            <w:r w:rsidRPr="00163966">
              <w:rPr>
                <w:szCs w:val="22"/>
              </w:rPr>
              <w:t>erythematosus</w:t>
            </w:r>
            <w:proofErr w:type="spellEnd"/>
            <w:r w:rsidRPr="00163966">
              <w:rPr>
                <w:szCs w:val="22"/>
              </w:rPr>
              <w:t xml:space="preserve">, </w:t>
            </w:r>
            <w:proofErr w:type="spellStart"/>
            <w:r w:rsidRPr="00163966">
              <w:rPr>
                <w:szCs w:val="22"/>
              </w:rPr>
              <w:t>Henoch-Schönleins</w:t>
            </w:r>
            <w:proofErr w:type="spellEnd"/>
            <w:r w:rsidRPr="00163966">
              <w:rPr>
                <w:szCs w:val="22"/>
              </w:rPr>
              <w:t xml:space="preserve"> </w:t>
            </w:r>
            <w:proofErr w:type="spellStart"/>
            <w:r w:rsidRPr="00163966">
              <w:rPr>
                <w:szCs w:val="22"/>
              </w:rPr>
              <w:t>purpura</w:t>
            </w:r>
            <w:proofErr w:type="spellEnd"/>
            <w:r w:rsidRPr="00163966">
              <w:rPr>
                <w:szCs w:val="22"/>
              </w:rPr>
              <w:t xml:space="preserve">, </w:t>
            </w:r>
            <w:proofErr w:type="spellStart"/>
            <w:r w:rsidRPr="00163966">
              <w:rPr>
                <w:szCs w:val="22"/>
              </w:rPr>
              <w:t>angioødem</w:t>
            </w:r>
            <w:proofErr w:type="spellEnd"/>
            <w:r w:rsidRPr="00163966">
              <w:rPr>
                <w:szCs w:val="22"/>
              </w:rPr>
              <w:t>.</w:t>
            </w:r>
          </w:p>
        </w:tc>
      </w:tr>
      <w:tr w:rsidR="00AB5D25" w:rsidRPr="00163966" w:rsidTr="00AB5D25">
        <w:tc>
          <w:tcPr>
            <w:tcW w:w="2478"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Metabolisme og ernæring</w:t>
            </w:r>
            <w:r w:rsidRPr="00163966">
              <w:rPr>
                <w:szCs w:val="22"/>
              </w:rPr>
              <w:t>:</w:t>
            </w:r>
          </w:p>
        </w:tc>
        <w:tc>
          <w:tcPr>
            <w:tcW w:w="6594"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Meget sjælden</w:t>
            </w:r>
            <w:r w:rsidRPr="00163966">
              <w:rPr>
                <w:szCs w:val="22"/>
              </w:rPr>
              <w:t xml:space="preserve">: Et tilfælde af metabolisk </w:t>
            </w:r>
            <w:proofErr w:type="spellStart"/>
            <w:r w:rsidRPr="00163966">
              <w:rPr>
                <w:szCs w:val="22"/>
              </w:rPr>
              <w:t>acidose</w:t>
            </w:r>
            <w:proofErr w:type="spellEnd"/>
            <w:r w:rsidRPr="00163966">
              <w:rPr>
                <w:szCs w:val="22"/>
              </w:rPr>
              <w:t xml:space="preserve">, hvor kausaliteten er uvis, da der blev indtaget mere end ét lægemiddel. Tilfældet af metabolisk </w:t>
            </w:r>
            <w:proofErr w:type="spellStart"/>
            <w:r w:rsidRPr="00163966">
              <w:rPr>
                <w:szCs w:val="22"/>
              </w:rPr>
              <w:t>acidose</w:t>
            </w:r>
            <w:proofErr w:type="spellEnd"/>
            <w:r w:rsidRPr="00163966">
              <w:rPr>
                <w:szCs w:val="22"/>
              </w:rPr>
              <w:t xml:space="preserve"> opstod efter indtagelse af 75 gram paracetamol, 1,95 gram acetylsalicylsyre og en lille mængde flydende rengøringsmiddel. Patienten havde desuden krampeanfald i anamnesen, som forfatterne tilskrev et forhøjet laktatniveau, der kunne tyde på metabolisk </w:t>
            </w:r>
            <w:proofErr w:type="spellStart"/>
            <w:r w:rsidRPr="00163966">
              <w:rPr>
                <w:szCs w:val="22"/>
              </w:rPr>
              <w:t>acidose</w:t>
            </w:r>
            <w:proofErr w:type="spellEnd"/>
            <w:r w:rsidRPr="00163966">
              <w:rPr>
                <w:szCs w:val="22"/>
              </w:rPr>
              <w:t>.</w:t>
            </w:r>
          </w:p>
          <w:p w:rsidR="00AB5D25" w:rsidRPr="00163966" w:rsidRDefault="00AB5D25">
            <w:r w:rsidRPr="00163966">
              <w:rPr>
                <w:szCs w:val="22"/>
              </w:rPr>
              <w:t xml:space="preserve">Metaboliske bivirkninger har omfattet </w:t>
            </w:r>
            <w:proofErr w:type="spellStart"/>
            <w:r w:rsidRPr="00163966">
              <w:rPr>
                <w:szCs w:val="22"/>
              </w:rPr>
              <w:t>hypokaliæmi</w:t>
            </w:r>
            <w:proofErr w:type="spellEnd"/>
            <w:r w:rsidRPr="00163966">
              <w:rPr>
                <w:szCs w:val="22"/>
              </w:rPr>
              <w:t xml:space="preserve">. Der er indberettet metaboliske bivirkninger, herunder metabolisk </w:t>
            </w:r>
            <w:proofErr w:type="spellStart"/>
            <w:r w:rsidRPr="00163966">
              <w:rPr>
                <w:szCs w:val="22"/>
              </w:rPr>
              <w:t>acidose</w:t>
            </w:r>
            <w:proofErr w:type="spellEnd"/>
            <w:r w:rsidRPr="00163966">
              <w:rPr>
                <w:szCs w:val="22"/>
              </w:rPr>
              <w:t>, efter en kraftig overdosis paracetamol.</w:t>
            </w:r>
          </w:p>
          <w:p w:rsidR="00AB5D25" w:rsidRPr="00163966" w:rsidRDefault="00AB5D25">
            <w:r w:rsidRPr="00163966">
              <w:rPr>
                <w:b/>
                <w:szCs w:val="22"/>
              </w:rPr>
              <w:t>Ikke almindelig</w:t>
            </w:r>
            <w:r w:rsidRPr="00163966">
              <w:rPr>
                <w:szCs w:val="22"/>
              </w:rPr>
              <w:t xml:space="preserve">: </w:t>
            </w:r>
            <w:proofErr w:type="spellStart"/>
            <w:r w:rsidRPr="00163966">
              <w:rPr>
                <w:szCs w:val="22"/>
              </w:rPr>
              <w:t>Gynækomasti</w:t>
            </w:r>
            <w:proofErr w:type="spellEnd"/>
            <w:r w:rsidRPr="00163966">
              <w:rPr>
                <w:szCs w:val="22"/>
              </w:rPr>
              <w:t xml:space="preserve">, </w:t>
            </w:r>
            <w:proofErr w:type="spellStart"/>
            <w:r w:rsidRPr="00163966">
              <w:rPr>
                <w:szCs w:val="22"/>
              </w:rPr>
              <w:t>hypoglykæmisk</w:t>
            </w:r>
            <w:proofErr w:type="spellEnd"/>
            <w:r w:rsidRPr="00163966">
              <w:rPr>
                <w:szCs w:val="22"/>
              </w:rPr>
              <w:t xml:space="preserve"> reaktion.</w:t>
            </w:r>
          </w:p>
        </w:tc>
      </w:tr>
      <w:tr w:rsidR="00AB5D25" w:rsidRPr="00163966" w:rsidTr="00AB5D25">
        <w:tc>
          <w:tcPr>
            <w:tcW w:w="2478" w:type="dxa"/>
            <w:tcBorders>
              <w:top w:val="single" w:sz="4" w:space="0" w:color="auto"/>
              <w:left w:val="single" w:sz="4" w:space="0" w:color="auto"/>
              <w:bottom w:val="single" w:sz="4" w:space="0" w:color="auto"/>
              <w:right w:val="single" w:sz="4" w:space="0" w:color="auto"/>
            </w:tcBorders>
            <w:hideMark/>
          </w:tcPr>
          <w:p w:rsidR="00AB5D25" w:rsidRPr="00163966" w:rsidRDefault="00AB5D25">
            <w:pPr>
              <w:rPr>
                <w:b/>
              </w:rPr>
            </w:pPr>
            <w:r w:rsidRPr="00163966">
              <w:rPr>
                <w:b/>
                <w:szCs w:val="22"/>
              </w:rPr>
              <w:t>Nervesystemet</w:t>
            </w:r>
          </w:p>
        </w:tc>
        <w:tc>
          <w:tcPr>
            <w:tcW w:w="6594"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Almindelig</w:t>
            </w:r>
            <w:r w:rsidRPr="00163966">
              <w:rPr>
                <w:szCs w:val="22"/>
              </w:rPr>
              <w:t>: Svimmelhed, hovedpine, nervøsitet.</w:t>
            </w:r>
          </w:p>
          <w:p w:rsidR="00AB5D25" w:rsidRPr="00163966" w:rsidRDefault="00AB5D25">
            <w:r w:rsidRPr="00163966">
              <w:rPr>
                <w:b/>
                <w:bCs/>
                <w:szCs w:val="22"/>
              </w:rPr>
              <w:t>Ikke almindelig</w:t>
            </w:r>
            <w:r w:rsidRPr="00163966">
              <w:rPr>
                <w:szCs w:val="22"/>
              </w:rPr>
              <w:t xml:space="preserve">: Depression, </w:t>
            </w:r>
            <w:proofErr w:type="spellStart"/>
            <w:r w:rsidRPr="00163966">
              <w:rPr>
                <w:szCs w:val="22"/>
              </w:rPr>
              <w:t>insomni</w:t>
            </w:r>
            <w:proofErr w:type="spellEnd"/>
            <w:r w:rsidRPr="00163966">
              <w:rPr>
                <w:szCs w:val="22"/>
              </w:rPr>
              <w:t xml:space="preserve">, konfusion, emotionel labilitet, </w:t>
            </w:r>
            <w:proofErr w:type="spellStart"/>
            <w:r w:rsidRPr="00163966">
              <w:rPr>
                <w:szCs w:val="22"/>
              </w:rPr>
              <w:t>somnolens</w:t>
            </w:r>
            <w:proofErr w:type="spellEnd"/>
            <w:r w:rsidRPr="00163966">
              <w:rPr>
                <w:szCs w:val="22"/>
              </w:rPr>
              <w:t xml:space="preserve">, aseptisk meningitis med feber og </w:t>
            </w:r>
            <w:proofErr w:type="spellStart"/>
            <w:r w:rsidRPr="00163966">
              <w:rPr>
                <w:szCs w:val="22"/>
              </w:rPr>
              <w:t>coma</w:t>
            </w:r>
            <w:proofErr w:type="spellEnd"/>
            <w:r w:rsidRPr="00163966">
              <w:rPr>
                <w:szCs w:val="22"/>
              </w:rPr>
              <w:t>.</w:t>
            </w:r>
          </w:p>
          <w:p w:rsidR="00AB5D25" w:rsidRPr="00163966" w:rsidRDefault="00AB5D25">
            <w:r w:rsidRPr="00163966">
              <w:rPr>
                <w:b/>
                <w:szCs w:val="22"/>
              </w:rPr>
              <w:t>Sjælden</w:t>
            </w:r>
            <w:r w:rsidRPr="00163966">
              <w:rPr>
                <w:szCs w:val="22"/>
              </w:rPr>
              <w:t xml:space="preserve">: </w:t>
            </w:r>
            <w:proofErr w:type="spellStart"/>
            <w:r w:rsidRPr="00163966">
              <w:rPr>
                <w:szCs w:val="22"/>
              </w:rPr>
              <w:t>Paræstesi</w:t>
            </w:r>
            <w:proofErr w:type="spellEnd"/>
            <w:r w:rsidRPr="00163966">
              <w:rPr>
                <w:szCs w:val="22"/>
              </w:rPr>
              <w:t>, hallucinationer, unormale drømme.</w:t>
            </w:r>
          </w:p>
          <w:p w:rsidR="00AB5D25" w:rsidRPr="00163966" w:rsidRDefault="00AB5D25">
            <w:r w:rsidRPr="00163966">
              <w:rPr>
                <w:b/>
                <w:szCs w:val="22"/>
              </w:rPr>
              <w:t>Meget sjælden</w:t>
            </w:r>
            <w:r w:rsidRPr="00163966">
              <w:rPr>
                <w:szCs w:val="22"/>
              </w:rPr>
              <w:t xml:space="preserve">: Paradoksal stimulation, optisk </w:t>
            </w:r>
            <w:proofErr w:type="spellStart"/>
            <w:r w:rsidRPr="00163966">
              <w:rPr>
                <w:szCs w:val="22"/>
              </w:rPr>
              <w:t>neuritis</w:t>
            </w:r>
            <w:proofErr w:type="spellEnd"/>
            <w:r w:rsidRPr="00163966">
              <w:rPr>
                <w:szCs w:val="22"/>
              </w:rPr>
              <w:t xml:space="preserve">, </w:t>
            </w:r>
            <w:proofErr w:type="spellStart"/>
            <w:r w:rsidRPr="00163966">
              <w:rPr>
                <w:szCs w:val="22"/>
              </w:rPr>
              <w:t>psykomotorisk</w:t>
            </w:r>
            <w:proofErr w:type="spellEnd"/>
            <w:r w:rsidRPr="00163966">
              <w:rPr>
                <w:szCs w:val="22"/>
              </w:rPr>
              <w:t xml:space="preserve"> svækkelse, ekstrapyramidale virkninger, </w:t>
            </w:r>
            <w:proofErr w:type="spellStart"/>
            <w:r w:rsidRPr="00163966">
              <w:rPr>
                <w:szCs w:val="22"/>
              </w:rPr>
              <w:t>tremor</w:t>
            </w:r>
            <w:proofErr w:type="spellEnd"/>
            <w:r w:rsidRPr="00163966">
              <w:rPr>
                <w:szCs w:val="22"/>
              </w:rPr>
              <w:t xml:space="preserve"> og krampeanfald.</w:t>
            </w:r>
          </w:p>
        </w:tc>
      </w:tr>
      <w:tr w:rsidR="00AB5D25" w:rsidRPr="00163966" w:rsidTr="00AB5D25">
        <w:tc>
          <w:tcPr>
            <w:tcW w:w="2478" w:type="dxa"/>
            <w:tcBorders>
              <w:top w:val="single" w:sz="4" w:space="0" w:color="auto"/>
              <w:left w:val="single" w:sz="4" w:space="0" w:color="auto"/>
              <w:bottom w:val="single" w:sz="4" w:space="0" w:color="auto"/>
              <w:right w:val="single" w:sz="4" w:space="0" w:color="auto"/>
            </w:tcBorders>
            <w:hideMark/>
          </w:tcPr>
          <w:p w:rsidR="00AB5D25" w:rsidRPr="00163966" w:rsidRDefault="00AB5D25">
            <w:pPr>
              <w:rPr>
                <w:b/>
              </w:rPr>
            </w:pPr>
            <w:r w:rsidRPr="00163966">
              <w:rPr>
                <w:b/>
                <w:szCs w:val="22"/>
              </w:rPr>
              <w:t>Øjne</w:t>
            </w:r>
          </w:p>
        </w:tc>
        <w:tc>
          <w:tcPr>
            <w:tcW w:w="6594"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Ikke almindelig</w:t>
            </w:r>
            <w:r w:rsidRPr="00163966">
              <w:rPr>
                <w:szCs w:val="22"/>
              </w:rPr>
              <w:t xml:space="preserve">: </w:t>
            </w:r>
            <w:proofErr w:type="spellStart"/>
            <w:r w:rsidRPr="00163966">
              <w:rPr>
                <w:szCs w:val="22"/>
              </w:rPr>
              <w:t>Amblyopi</w:t>
            </w:r>
            <w:proofErr w:type="spellEnd"/>
            <w:r w:rsidRPr="00163966">
              <w:rPr>
                <w:szCs w:val="22"/>
              </w:rPr>
              <w:t xml:space="preserve"> (sløret og/eller nedsat syn, </w:t>
            </w:r>
            <w:proofErr w:type="spellStart"/>
            <w:r w:rsidRPr="00163966">
              <w:rPr>
                <w:szCs w:val="22"/>
              </w:rPr>
              <w:t>skotom</w:t>
            </w:r>
            <w:proofErr w:type="spellEnd"/>
            <w:r w:rsidRPr="00163966">
              <w:rPr>
                <w:szCs w:val="22"/>
              </w:rPr>
              <w:t xml:space="preserve"> og/eller ændret farvesyn) er forekommet, men har normalt været reversibel efter afbrydelse af behandlingen. Patienter med øjengener bør få foretaget en øjenundersøgelse, der omfatter de centrale områder af synsfelterne.</w:t>
            </w:r>
          </w:p>
        </w:tc>
      </w:tr>
      <w:tr w:rsidR="00AB5D25" w:rsidRPr="00163966" w:rsidTr="00AB5D25">
        <w:tc>
          <w:tcPr>
            <w:tcW w:w="2478" w:type="dxa"/>
            <w:tcBorders>
              <w:top w:val="single" w:sz="4" w:space="0" w:color="auto"/>
              <w:left w:val="single" w:sz="4" w:space="0" w:color="auto"/>
              <w:bottom w:val="single" w:sz="4" w:space="0" w:color="auto"/>
              <w:right w:val="single" w:sz="4" w:space="0" w:color="auto"/>
            </w:tcBorders>
            <w:hideMark/>
          </w:tcPr>
          <w:p w:rsidR="00AB5D25" w:rsidRPr="00163966" w:rsidRDefault="00AB5D25">
            <w:pPr>
              <w:rPr>
                <w:b/>
              </w:rPr>
            </w:pPr>
            <w:r w:rsidRPr="00163966">
              <w:rPr>
                <w:b/>
                <w:szCs w:val="22"/>
              </w:rPr>
              <w:t>Øre og labyrint</w:t>
            </w:r>
          </w:p>
        </w:tc>
        <w:tc>
          <w:tcPr>
            <w:tcW w:w="6594"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Meget sjælden</w:t>
            </w:r>
            <w:r w:rsidRPr="00163966">
              <w:rPr>
                <w:szCs w:val="22"/>
              </w:rPr>
              <w:t xml:space="preserve">: </w:t>
            </w:r>
            <w:proofErr w:type="spellStart"/>
            <w:r w:rsidRPr="00163966">
              <w:rPr>
                <w:szCs w:val="22"/>
              </w:rPr>
              <w:t>Vertigo</w:t>
            </w:r>
            <w:proofErr w:type="spellEnd"/>
            <w:r w:rsidRPr="00163966">
              <w:rPr>
                <w:szCs w:val="22"/>
              </w:rPr>
              <w:t>.</w:t>
            </w:r>
          </w:p>
          <w:p w:rsidR="00AB5D25" w:rsidRPr="00163966" w:rsidRDefault="00AB5D25">
            <w:r w:rsidRPr="00163966">
              <w:rPr>
                <w:b/>
                <w:szCs w:val="22"/>
              </w:rPr>
              <w:t>Almindelig</w:t>
            </w:r>
            <w:r w:rsidRPr="00163966">
              <w:rPr>
                <w:szCs w:val="22"/>
              </w:rPr>
              <w:t>: Tinnitus (for lægemidler, der indeholder ibuprofen).</w:t>
            </w:r>
          </w:p>
        </w:tc>
      </w:tr>
      <w:tr w:rsidR="00AB5D25" w:rsidRPr="00163966" w:rsidTr="00AB5D25">
        <w:tc>
          <w:tcPr>
            <w:tcW w:w="2478" w:type="dxa"/>
            <w:tcBorders>
              <w:top w:val="single" w:sz="4" w:space="0" w:color="auto"/>
              <w:left w:val="single" w:sz="4" w:space="0" w:color="auto"/>
              <w:bottom w:val="single" w:sz="4" w:space="0" w:color="auto"/>
              <w:right w:val="single" w:sz="4" w:space="0" w:color="auto"/>
            </w:tcBorders>
            <w:hideMark/>
          </w:tcPr>
          <w:p w:rsidR="00AB5D25" w:rsidRPr="00163966" w:rsidRDefault="00AB5D25">
            <w:pPr>
              <w:rPr>
                <w:b/>
              </w:rPr>
            </w:pPr>
            <w:r w:rsidRPr="00163966">
              <w:rPr>
                <w:b/>
                <w:szCs w:val="22"/>
              </w:rPr>
              <w:lastRenderedPageBreak/>
              <w:t>Hjerte</w:t>
            </w:r>
          </w:p>
        </w:tc>
        <w:tc>
          <w:tcPr>
            <w:tcW w:w="6594"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Almindelig</w:t>
            </w:r>
            <w:r w:rsidRPr="00163966">
              <w:rPr>
                <w:szCs w:val="22"/>
              </w:rPr>
              <w:t xml:space="preserve">: Ødem, væskeretention; generelt reagerer væskeretention straks på </w:t>
            </w:r>
            <w:proofErr w:type="spellStart"/>
            <w:r w:rsidRPr="00163966">
              <w:rPr>
                <w:szCs w:val="22"/>
              </w:rPr>
              <w:t>seponering</w:t>
            </w:r>
            <w:proofErr w:type="spellEnd"/>
            <w:r w:rsidRPr="00163966">
              <w:rPr>
                <w:szCs w:val="22"/>
              </w:rPr>
              <w:t xml:space="preserve"> af lægemidlet. </w:t>
            </w:r>
          </w:p>
          <w:p w:rsidR="00AB5D25" w:rsidRPr="00163966" w:rsidRDefault="00AB5D25">
            <w:r w:rsidRPr="00163966">
              <w:rPr>
                <w:b/>
                <w:szCs w:val="22"/>
              </w:rPr>
              <w:t>Meget sjælden</w:t>
            </w:r>
            <w:r w:rsidRPr="00163966">
              <w:rPr>
                <w:szCs w:val="22"/>
              </w:rPr>
              <w:t xml:space="preserve">: Der er indberettet </w:t>
            </w:r>
            <w:proofErr w:type="spellStart"/>
            <w:r w:rsidRPr="00163966">
              <w:rPr>
                <w:szCs w:val="22"/>
              </w:rPr>
              <w:t>palpitationer</w:t>
            </w:r>
            <w:proofErr w:type="spellEnd"/>
            <w:r w:rsidRPr="00163966">
              <w:rPr>
                <w:szCs w:val="22"/>
              </w:rPr>
              <w:t xml:space="preserve">, </w:t>
            </w:r>
            <w:proofErr w:type="spellStart"/>
            <w:r w:rsidRPr="00163966">
              <w:rPr>
                <w:szCs w:val="22"/>
              </w:rPr>
              <w:t>takykardi</w:t>
            </w:r>
            <w:proofErr w:type="spellEnd"/>
            <w:r w:rsidRPr="00163966">
              <w:rPr>
                <w:szCs w:val="22"/>
              </w:rPr>
              <w:t xml:space="preserve">, </w:t>
            </w:r>
            <w:proofErr w:type="spellStart"/>
            <w:r w:rsidRPr="00163966">
              <w:rPr>
                <w:szCs w:val="22"/>
              </w:rPr>
              <w:t>arytmi</w:t>
            </w:r>
            <w:proofErr w:type="spellEnd"/>
            <w:r w:rsidRPr="00163966">
              <w:rPr>
                <w:szCs w:val="22"/>
              </w:rPr>
              <w:t xml:space="preserve"> og andre hjerterytmeforstyrrelser. Der er indberettet hypertension og hjerteinsufficiens i forbindelse med behandling med NSAID.</w:t>
            </w:r>
          </w:p>
        </w:tc>
      </w:tr>
      <w:tr w:rsidR="00AB5D25" w:rsidRPr="00163966" w:rsidTr="00AB5D25">
        <w:tc>
          <w:tcPr>
            <w:tcW w:w="2478" w:type="dxa"/>
            <w:tcBorders>
              <w:top w:val="single" w:sz="4" w:space="0" w:color="auto"/>
              <w:left w:val="single" w:sz="4" w:space="0" w:color="auto"/>
              <w:bottom w:val="single" w:sz="4" w:space="0" w:color="auto"/>
              <w:right w:val="single" w:sz="4" w:space="0" w:color="auto"/>
            </w:tcBorders>
            <w:hideMark/>
          </w:tcPr>
          <w:p w:rsidR="00AB5D25" w:rsidRPr="00163966" w:rsidRDefault="00AB5D25">
            <w:pPr>
              <w:rPr>
                <w:b/>
              </w:rPr>
            </w:pPr>
            <w:r w:rsidRPr="00163966">
              <w:rPr>
                <w:b/>
                <w:szCs w:val="22"/>
              </w:rPr>
              <w:t xml:space="preserve">Luftveje, thorax og </w:t>
            </w:r>
            <w:proofErr w:type="spellStart"/>
            <w:r w:rsidRPr="00163966">
              <w:rPr>
                <w:b/>
                <w:szCs w:val="22"/>
              </w:rPr>
              <w:t>mediastinum</w:t>
            </w:r>
            <w:proofErr w:type="spellEnd"/>
          </w:p>
        </w:tc>
        <w:tc>
          <w:tcPr>
            <w:tcW w:w="6594"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Ikke almindelig</w:t>
            </w:r>
            <w:r w:rsidRPr="00163966">
              <w:rPr>
                <w:szCs w:val="22"/>
              </w:rPr>
              <w:t xml:space="preserve">: Fortykkede luftvejssekretioner. Der er indberettet stridor hos børn, der fik foretaget </w:t>
            </w:r>
            <w:proofErr w:type="spellStart"/>
            <w:r w:rsidRPr="00163966">
              <w:rPr>
                <w:szCs w:val="22"/>
              </w:rPr>
              <w:t>tonsillektomi</w:t>
            </w:r>
            <w:proofErr w:type="spellEnd"/>
            <w:r w:rsidRPr="00163966">
              <w:rPr>
                <w:szCs w:val="22"/>
              </w:rPr>
              <w:t xml:space="preserve">. Der er indberettet </w:t>
            </w:r>
            <w:proofErr w:type="spellStart"/>
            <w:r w:rsidRPr="00163966">
              <w:rPr>
                <w:szCs w:val="22"/>
              </w:rPr>
              <w:t>hypoxæmi</w:t>
            </w:r>
            <w:proofErr w:type="spellEnd"/>
            <w:r w:rsidRPr="00163966">
              <w:rPr>
                <w:szCs w:val="22"/>
              </w:rPr>
              <w:t>.</w:t>
            </w:r>
          </w:p>
          <w:p w:rsidR="00AB5D25" w:rsidRPr="00163966" w:rsidRDefault="00AB5D25">
            <w:r w:rsidRPr="00163966">
              <w:rPr>
                <w:b/>
                <w:szCs w:val="22"/>
              </w:rPr>
              <w:t>Meget sjælden</w:t>
            </w:r>
            <w:r w:rsidRPr="00163966">
              <w:rPr>
                <w:szCs w:val="22"/>
              </w:rPr>
              <w:t xml:space="preserve">: Respiratoriske reaktioner, inklusive astma, forværring af astma, </w:t>
            </w:r>
            <w:proofErr w:type="spellStart"/>
            <w:r w:rsidRPr="00163966">
              <w:rPr>
                <w:szCs w:val="22"/>
              </w:rPr>
              <w:t>bronkospasme</w:t>
            </w:r>
            <w:proofErr w:type="spellEnd"/>
            <w:r w:rsidRPr="00163966">
              <w:rPr>
                <w:szCs w:val="22"/>
              </w:rPr>
              <w:t xml:space="preserve"> og dyspnø.</w:t>
            </w:r>
          </w:p>
        </w:tc>
      </w:tr>
      <w:tr w:rsidR="00AB5D25" w:rsidRPr="00163966" w:rsidTr="00AB5D25">
        <w:tc>
          <w:tcPr>
            <w:tcW w:w="2478" w:type="dxa"/>
            <w:tcBorders>
              <w:top w:val="single" w:sz="4" w:space="0" w:color="auto"/>
              <w:left w:val="single" w:sz="4" w:space="0" w:color="auto"/>
              <w:bottom w:val="single" w:sz="4" w:space="0" w:color="auto"/>
              <w:right w:val="single" w:sz="4" w:space="0" w:color="auto"/>
            </w:tcBorders>
            <w:hideMark/>
          </w:tcPr>
          <w:p w:rsidR="00AB5D25" w:rsidRPr="00163966" w:rsidRDefault="00AB5D25">
            <w:pPr>
              <w:rPr>
                <w:b/>
              </w:rPr>
            </w:pPr>
            <w:r w:rsidRPr="00163966">
              <w:rPr>
                <w:b/>
                <w:szCs w:val="22"/>
              </w:rPr>
              <w:t>Mave-tarm-kanalen</w:t>
            </w:r>
          </w:p>
        </w:tc>
        <w:tc>
          <w:tcPr>
            <w:tcW w:w="6594"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Almindelig</w:t>
            </w:r>
            <w:r w:rsidRPr="00163966">
              <w:rPr>
                <w:szCs w:val="22"/>
              </w:rPr>
              <w:t xml:space="preserve">: </w:t>
            </w:r>
            <w:proofErr w:type="spellStart"/>
            <w:r w:rsidRPr="00163966">
              <w:rPr>
                <w:szCs w:val="22"/>
              </w:rPr>
              <w:t>Abdominalsmerter</w:t>
            </w:r>
            <w:proofErr w:type="spellEnd"/>
            <w:r w:rsidRPr="00163966">
              <w:rPr>
                <w:szCs w:val="22"/>
              </w:rPr>
              <w:t xml:space="preserve">, diarré, dyspepsi, </w:t>
            </w:r>
            <w:proofErr w:type="spellStart"/>
            <w:r w:rsidRPr="00163966">
              <w:rPr>
                <w:szCs w:val="22"/>
              </w:rPr>
              <w:t>nausea</w:t>
            </w:r>
            <w:proofErr w:type="spellEnd"/>
            <w:r w:rsidRPr="00163966">
              <w:rPr>
                <w:szCs w:val="22"/>
              </w:rPr>
              <w:t xml:space="preserve">, ubehag i maven og opkastning, </w:t>
            </w:r>
            <w:proofErr w:type="spellStart"/>
            <w:r w:rsidRPr="00163966">
              <w:rPr>
                <w:szCs w:val="22"/>
              </w:rPr>
              <w:t>flatulens</w:t>
            </w:r>
            <w:proofErr w:type="spellEnd"/>
            <w:r w:rsidRPr="00163966">
              <w:rPr>
                <w:szCs w:val="22"/>
              </w:rPr>
              <w:t xml:space="preserve">, obstipation, let </w:t>
            </w:r>
            <w:proofErr w:type="spellStart"/>
            <w:r w:rsidRPr="00163966">
              <w:rPr>
                <w:szCs w:val="22"/>
              </w:rPr>
              <w:t>gastrointestinalt</w:t>
            </w:r>
            <w:proofErr w:type="spellEnd"/>
            <w:r w:rsidRPr="00163966">
              <w:rPr>
                <w:szCs w:val="22"/>
              </w:rPr>
              <w:t xml:space="preserve"> blodtab, som i usædvanlige tilfælde kan forårsage anæmi.</w:t>
            </w:r>
          </w:p>
          <w:p w:rsidR="00AB5D25" w:rsidRPr="00163966" w:rsidRDefault="00AB5D25">
            <w:r w:rsidRPr="00163966">
              <w:rPr>
                <w:b/>
                <w:szCs w:val="22"/>
              </w:rPr>
              <w:t>Ikke almindelig</w:t>
            </w:r>
            <w:r w:rsidRPr="00163966">
              <w:rPr>
                <w:szCs w:val="22"/>
              </w:rPr>
              <w:t xml:space="preserve">: </w:t>
            </w:r>
            <w:proofErr w:type="spellStart"/>
            <w:r w:rsidRPr="00163966">
              <w:rPr>
                <w:szCs w:val="22"/>
              </w:rPr>
              <w:t>Peptisk</w:t>
            </w:r>
            <w:proofErr w:type="spellEnd"/>
            <w:r w:rsidRPr="00163966">
              <w:rPr>
                <w:szCs w:val="22"/>
              </w:rPr>
              <w:t>/</w:t>
            </w:r>
            <w:proofErr w:type="spellStart"/>
            <w:r w:rsidRPr="00163966">
              <w:rPr>
                <w:szCs w:val="22"/>
              </w:rPr>
              <w:t>gastrointestinal</w:t>
            </w:r>
            <w:proofErr w:type="spellEnd"/>
            <w:r w:rsidRPr="00163966">
              <w:rPr>
                <w:szCs w:val="22"/>
              </w:rPr>
              <w:t xml:space="preserve"> </w:t>
            </w:r>
            <w:proofErr w:type="spellStart"/>
            <w:r w:rsidRPr="00163966">
              <w:rPr>
                <w:szCs w:val="22"/>
              </w:rPr>
              <w:t>ulceration</w:t>
            </w:r>
            <w:proofErr w:type="spellEnd"/>
            <w:r w:rsidRPr="00163966">
              <w:rPr>
                <w:szCs w:val="22"/>
              </w:rPr>
              <w:t xml:space="preserve">, perforation eller </w:t>
            </w:r>
            <w:proofErr w:type="spellStart"/>
            <w:r w:rsidRPr="00163966">
              <w:rPr>
                <w:szCs w:val="22"/>
              </w:rPr>
              <w:t>gastrointestinal</w:t>
            </w:r>
            <w:proofErr w:type="spellEnd"/>
            <w:r w:rsidRPr="00163966">
              <w:rPr>
                <w:szCs w:val="22"/>
              </w:rPr>
              <w:t xml:space="preserve"> blødning med symptomer på </w:t>
            </w:r>
            <w:proofErr w:type="spellStart"/>
            <w:r w:rsidRPr="00163966">
              <w:rPr>
                <w:szCs w:val="22"/>
              </w:rPr>
              <w:t>melæna</w:t>
            </w:r>
            <w:proofErr w:type="spellEnd"/>
            <w:r w:rsidRPr="00163966">
              <w:rPr>
                <w:szCs w:val="22"/>
              </w:rPr>
              <w:t xml:space="preserve">, </w:t>
            </w:r>
            <w:proofErr w:type="spellStart"/>
            <w:r w:rsidRPr="00163966">
              <w:rPr>
                <w:szCs w:val="22"/>
              </w:rPr>
              <w:t>hæmatemese</w:t>
            </w:r>
            <w:proofErr w:type="spellEnd"/>
            <w:r w:rsidRPr="00163966">
              <w:rPr>
                <w:szCs w:val="22"/>
              </w:rPr>
              <w:t xml:space="preserve"> – sommetider fatalt, især hos ældre. Der er indberettet </w:t>
            </w:r>
            <w:proofErr w:type="spellStart"/>
            <w:r w:rsidRPr="00163966">
              <w:rPr>
                <w:szCs w:val="22"/>
              </w:rPr>
              <w:t>ulcerativ</w:t>
            </w:r>
            <w:proofErr w:type="spellEnd"/>
            <w:r w:rsidRPr="00163966">
              <w:rPr>
                <w:szCs w:val="22"/>
              </w:rPr>
              <w:t xml:space="preserve"> </w:t>
            </w:r>
            <w:proofErr w:type="spellStart"/>
            <w:r w:rsidRPr="00163966">
              <w:rPr>
                <w:szCs w:val="22"/>
              </w:rPr>
              <w:t>stomatitis</w:t>
            </w:r>
            <w:proofErr w:type="spellEnd"/>
            <w:r w:rsidRPr="00163966">
              <w:rPr>
                <w:szCs w:val="22"/>
              </w:rPr>
              <w:t xml:space="preserve"> samt forværring af colitis og </w:t>
            </w:r>
            <w:proofErr w:type="spellStart"/>
            <w:r w:rsidRPr="00163966">
              <w:rPr>
                <w:szCs w:val="22"/>
              </w:rPr>
              <w:t>Crohns</w:t>
            </w:r>
            <w:proofErr w:type="spellEnd"/>
            <w:r w:rsidRPr="00163966">
              <w:rPr>
                <w:szCs w:val="22"/>
              </w:rPr>
              <w:t xml:space="preserve"> sygdom efter administration. Der er mindre hyppigt observeret gastritis, og indberettet </w:t>
            </w:r>
            <w:proofErr w:type="spellStart"/>
            <w:r w:rsidRPr="00163966">
              <w:rPr>
                <w:szCs w:val="22"/>
              </w:rPr>
              <w:t>pancreatitis</w:t>
            </w:r>
            <w:proofErr w:type="spellEnd"/>
            <w:r w:rsidRPr="00163966">
              <w:rPr>
                <w:szCs w:val="22"/>
              </w:rPr>
              <w:t xml:space="preserve">. Der er indberettet </w:t>
            </w:r>
            <w:proofErr w:type="spellStart"/>
            <w:r w:rsidRPr="00163966">
              <w:rPr>
                <w:szCs w:val="22"/>
              </w:rPr>
              <w:t>peptisk</w:t>
            </w:r>
            <w:proofErr w:type="spellEnd"/>
            <w:r w:rsidRPr="00163966">
              <w:rPr>
                <w:szCs w:val="22"/>
              </w:rPr>
              <w:t xml:space="preserve"> sygdom.</w:t>
            </w:r>
          </w:p>
          <w:p w:rsidR="00AB5D25" w:rsidRPr="00163966" w:rsidRDefault="00AB5D25">
            <w:r w:rsidRPr="00163966">
              <w:rPr>
                <w:b/>
                <w:szCs w:val="22"/>
              </w:rPr>
              <w:t>Meget sjælden</w:t>
            </w:r>
            <w:r w:rsidRPr="00163966">
              <w:rPr>
                <w:szCs w:val="22"/>
              </w:rPr>
              <w:t xml:space="preserve">: </w:t>
            </w:r>
            <w:proofErr w:type="spellStart"/>
            <w:r w:rsidRPr="00163966">
              <w:rPr>
                <w:szCs w:val="22"/>
              </w:rPr>
              <w:t>Øsofagit</w:t>
            </w:r>
            <w:proofErr w:type="spellEnd"/>
            <w:r w:rsidRPr="00163966">
              <w:rPr>
                <w:szCs w:val="22"/>
              </w:rPr>
              <w:t xml:space="preserve">, dannelse af </w:t>
            </w:r>
            <w:proofErr w:type="spellStart"/>
            <w:r w:rsidRPr="00163966">
              <w:rPr>
                <w:szCs w:val="22"/>
              </w:rPr>
              <w:t>intestinale</w:t>
            </w:r>
            <w:proofErr w:type="spellEnd"/>
            <w:r w:rsidRPr="00163966">
              <w:rPr>
                <w:szCs w:val="22"/>
              </w:rPr>
              <w:t xml:space="preserve"> membranlignende strikturer.</w:t>
            </w:r>
          </w:p>
        </w:tc>
      </w:tr>
      <w:tr w:rsidR="00AB5D25" w:rsidRPr="00163966" w:rsidTr="00AB5D25">
        <w:tc>
          <w:tcPr>
            <w:tcW w:w="2478" w:type="dxa"/>
            <w:tcBorders>
              <w:top w:val="single" w:sz="4" w:space="0" w:color="auto"/>
              <w:left w:val="single" w:sz="4" w:space="0" w:color="auto"/>
              <w:bottom w:val="single" w:sz="4" w:space="0" w:color="auto"/>
              <w:right w:val="single" w:sz="4" w:space="0" w:color="auto"/>
            </w:tcBorders>
            <w:hideMark/>
          </w:tcPr>
          <w:p w:rsidR="00AB5D25" w:rsidRPr="00163966" w:rsidRDefault="00AB5D25">
            <w:pPr>
              <w:rPr>
                <w:b/>
              </w:rPr>
            </w:pPr>
            <w:r w:rsidRPr="00163966">
              <w:rPr>
                <w:b/>
                <w:szCs w:val="22"/>
              </w:rPr>
              <w:t>Lever og galdeveje</w:t>
            </w:r>
          </w:p>
        </w:tc>
        <w:tc>
          <w:tcPr>
            <w:tcW w:w="6594"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Meget sjælden</w:t>
            </w:r>
            <w:r w:rsidRPr="00163966">
              <w:rPr>
                <w:szCs w:val="22"/>
              </w:rPr>
              <w:t>: Leverskade, især ved langtidsbehandling, leverinsufficiens. Unormal leverfunktion, hepatitis og gulsot. Overdosering af paracetamol kan forårsage akut leverinsufficiens, leverinsufficiens, levernekrose samt leverskade.</w:t>
            </w:r>
          </w:p>
        </w:tc>
      </w:tr>
      <w:tr w:rsidR="00AB5D25" w:rsidRPr="00163966" w:rsidTr="00AB5D25">
        <w:tc>
          <w:tcPr>
            <w:tcW w:w="2478" w:type="dxa"/>
            <w:tcBorders>
              <w:top w:val="single" w:sz="4" w:space="0" w:color="auto"/>
              <w:left w:val="single" w:sz="4" w:space="0" w:color="auto"/>
              <w:bottom w:val="single" w:sz="4" w:space="0" w:color="auto"/>
              <w:right w:val="single" w:sz="4" w:space="0" w:color="auto"/>
            </w:tcBorders>
            <w:hideMark/>
          </w:tcPr>
          <w:p w:rsidR="00AB5D25" w:rsidRPr="00163966" w:rsidRDefault="00AB5D25">
            <w:pPr>
              <w:rPr>
                <w:b/>
              </w:rPr>
            </w:pPr>
            <w:r w:rsidRPr="00163966">
              <w:rPr>
                <w:b/>
                <w:szCs w:val="22"/>
              </w:rPr>
              <w:t>Hud og subkutane væv</w:t>
            </w:r>
          </w:p>
        </w:tc>
        <w:tc>
          <w:tcPr>
            <w:tcW w:w="6594"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Almindelig</w:t>
            </w:r>
            <w:r w:rsidRPr="00163966">
              <w:rPr>
                <w:szCs w:val="22"/>
              </w:rPr>
              <w:t xml:space="preserve">: Udslæt (inklusive </w:t>
            </w:r>
            <w:proofErr w:type="spellStart"/>
            <w:r w:rsidRPr="00163966">
              <w:rPr>
                <w:szCs w:val="22"/>
              </w:rPr>
              <w:t>makulopapuløst</w:t>
            </w:r>
            <w:proofErr w:type="spellEnd"/>
            <w:r w:rsidRPr="00163966">
              <w:rPr>
                <w:szCs w:val="22"/>
              </w:rPr>
              <w:t xml:space="preserve"> udslæt), </w:t>
            </w:r>
            <w:proofErr w:type="spellStart"/>
            <w:r w:rsidRPr="00163966">
              <w:rPr>
                <w:szCs w:val="22"/>
              </w:rPr>
              <w:t>pruritus</w:t>
            </w:r>
            <w:proofErr w:type="spellEnd"/>
            <w:r w:rsidRPr="00163966">
              <w:rPr>
                <w:szCs w:val="22"/>
              </w:rPr>
              <w:t>.</w:t>
            </w:r>
          </w:p>
          <w:p w:rsidR="004926C0" w:rsidRPr="00D26EF0" w:rsidRDefault="004926C0" w:rsidP="004926C0">
            <w:r w:rsidRPr="00D26EF0">
              <w:rPr>
                <w:b/>
                <w:szCs w:val="22"/>
              </w:rPr>
              <w:t>Meget sjælden</w:t>
            </w:r>
            <w:r w:rsidRPr="00D26EF0">
              <w:rPr>
                <w:szCs w:val="22"/>
              </w:rPr>
              <w:t xml:space="preserve">: </w:t>
            </w:r>
            <w:proofErr w:type="spellStart"/>
            <w:r w:rsidRPr="00D26EF0">
              <w:rPr>
                <w:szCs w:val="22"/>
              </w:rPr>
              <w:t>Alopeci</w:t>
            </w:r>
            <w:proofErr w:type="spellEnd"/>
            <w:r w:rsidRPr="00D26EF0">
              <w:rPr>
                <w:szCs w:val="22"/>
              </w:rPr>
              <w:t xml:space="preserve">. </w:t>
            </w:r>
            <w:proofErr w:type="spellStart"/>
            <w:r w:rsidRPr="00D26EF0">
              <w:rPr>
                <w:szCs w:val="22"/>
              </w:rPr>
              <w:t>Hyperhidrose</w:t>
            </w:r>
            <w:proofErr w:type="spellEnd"/>
            <w:r w:rsidRPr="00D26EF0">
              <w:rPr>
                <w:szCs w:val="22"/>
              </w:rPr>
              <w:t xml:space="preserve">, </w:t>
            </w:r>
            <w:proofErr w:type="spellStart"/>
            <w:r w:rsidRPr="00D26EF0">
              <w:rPr>
                <w:szCs w:val="22"/>
              </w:rPr>
              <w:t>purpura</w:t>
            </w:r>
            <w:proofErr w:type="spellEnd"/>
            <w:r w:rsidRPr="00D26EF0">
              <w:rPr>
                <w:szCs w:val="22"/>
              </w:rPr>
              <w:t xml:space="preserve"> og lysfølsomhed. </w:t>
            </w:r>
            <w:proofErr w:type="spellStart"/>
            <w:r w:rsidRPr="00D26EF0">
              <w:rPr>
                <w:szCs w:val="22"/>
              </w:rPr>
              <w:t>Eksfoliative</w:t>
            </w:r>
            <w:proofErr w:type="spellEnd"/>
            <w:r w:rsidRPr="00D26EF0">
              <w:rPr>
                <w:szCs w:val="22"/>
              </w:rPr>
              <w:t xml:space="preserve"> </w:t>
            </w:r>
            <w:proofErr w:type="spellStart"/>
            <w:r w:rsidRPr="00D26EF0">
              <w:rPr>
                <w:szCs w:val="22"/>
              </w:rPr>
              <w:t>dermatoser</w:t>
            </w:r>
            <w:proofErr w:type="spellEnd"/>
            <w:r w:rsidRPr="00D26EF0">
              <w:rPr>
                <w:szCs w:val="22"/>
              </w:rPr>
              <w:t xml:space="preserve">. </w:t>
            </w:r>
            <w:proofErr w:type="spellStart"/>
            <w:r w:rsidRPr="00D26EF0">
              <w:rPr>
                <w:szCs w:val="22"/>
              </w:rPr>
              <w:t>Bulløse</w:t>
            </w:r>
            <w:proofErr w:type="spellEnd"/>
            <w:r w:rsidRPr="00D26EF0">
              <w:rPr>
                <w:szCs w:val="22"/>
              </w:rPr>
              <w:t xml:space="preserve"> reaktioner, herunder </w:t>
            </w:r>
            <w:proofErr w:type="spellStart"/>
            <w:r w:rsidRPr="00D26EF0">
              <w:rPr>
                <w:szCs w:val="22"/>
              </w:rPr>
              <w:t>erythema</w:t>
            </w:r>
            <w:proofErr w:type="spellEnd"/>
            <w:r w:rsidRPr="00D26EF0">
              <w:rPr>
                <w:szCs w:val="22"/>
              </w:rPr>
              <w:t xml:space="preserve"> multiforme, Stevens-Johnsons syndrom samt toksisk </w:t>
            </w:r>
            <w:proofErr w:type="spellStart"/>
            <w:r w:rsidRPr="00D26EF0">
              <w:rPr>
                <w:szCs w:val="22"/>
              </w:rPr>
              <w:t>epidermal</w:t>
            </w:r>
            <w:proofErr w:type="spellEnd"/>
            <w:r w:rsidRPr="00D26EF0">
              <w:rPr>
                <w:szCs w:val="22"/>
              </w:rPr>
              <w:t xml:space="preserve"> </w:t>
            </w:r>
            <w:proofErr w:type="spellStart"/>
            <w:r w:rsidRPr="00D26EF0">
              <w:rPr>
                <w:szCs w:val="22"/>
              </w:rPr>
              <w:t>nekrolyse</w:t>
            </w:r>
            <w:proofErr w:type="spellEnd"/>
            <w:r w:rsidRPr="00D26EF0">
              <w:rPr>
                <w:szCs w:val="22"/>
              </w:rPr>
              <w:t xml:space="preserve">. Der er indberettet meget sjældne tilfælde af alvorlige hudreaktioner. I usædvanlige tilfælde kan der opstå alvorlige hudinfektioner og blødvævskomplikationer i forbindelse med </w:t>
            </w:r>
            <w:proofErr w:type="spellStart"/>
            <w:r w:rsidRPr="00D26EF0">
              <w:rPr>
                <w:szCs w:val="22"/>
              </w:rPr>
              <w:t>varicella</w:t>
            </w:r>
            <w:proofErr w:type="spellEnd"/>
            <w:r w:rsidRPr="00D26EF0">
              <w:rPr>
                <w:szCs w:val="22"/>
              </w:rPr>
              <w:t>-infektion.</w:t>
            </w:r>
          </w:p>
          <w:p w:rsidR="00AB5D25" w:rsidRPr="00163966" w:rsidRDefault="00AB5D25">
            <w:r w:rsidRPr="00163966">
              <w:rPr>
                <w:b/>
                <w:szCs w:val="22"/>
              </w:rPr>
              <w:t>Ikke kendt</w:t>
            </w:r>
            <w:r w:rsidRPr="00163966">
              <w:rPr>
                <w:szCs w:val="22"/>
              </w:rPr>
              <w:t xml:space="preserve">: Lægemiddelreaktion med </w:t>
            </w:r>
            <w:proofErr w:type="spellStart"/>
            <w:r w:rsidRPr="00163966">
              <w:rPr>
                <w:szCs w:val="22"/>
              </w:rPr>
              <w:t>eosinofili</w:t>
            </w:r>
            <w:proofErr w:type="spellEnd"/>
            <w:r w:rsidRPr="00163966">
              <w:rPr>
                <w:szCs w:val="22"/>
              </w:rPr>
              <w:t xml:space="preserve"> og systemiske symptomer (DRESS-syndrom), akut generaliseret </w:t>
            </w:r>
            <w:proofErr w:type="spellStart"/>
            <w:r w:rsidRPr="00163966">
              <w:rPr>
                <w:szCs w:val="22"/>
              </w:rPr>
              <w:t>eksantematøs</w:t>
            </w:r>
            <w:proofErr w:type="spellEnd"/>
            <w:r w:rsidRPr="00163966">
              <w:rPr>
                <w:szCs w:val="22"/>
              </w:rPr>
              <w:t xml:space="preserve"> </w:t>
            </w:r>
            <w:proofErr w:type="spellStart"/>
            <w:r w:rsidRPr="00163966">
              <w:rPr>
                <w:szCs w:val="22"/>
              </w:rPr>
              <w:t>pustulose</w:t>
            </w:r>
            <w:proofErr w:type="spellEnd"/>
            <w:r w:rsidRPr="00163966">
              <w:rPr>
                <w:szCs w:val="22"/>
              </w:rPr>
              <w:t xml:space="preserve"> (AGEP).</w:t>
            </w:r>
          </w:p>
        </w:tc>
      </w:tr>
      <w:tr w:rsidR="00AB5D25" w:rsidRPr="00163966" w:rsidTr="00AB5D25">
        <w:tc>
          <w:tcPr>
            <w:tcW w:w="2478" w:type="dxa"/>
            <w:tcBorders>
              <w:top w:val="single" w:sz="4" w:space="0" w:color="auto"/>
              <w:left w:val="single" w:sz="4" w:space="0" w:color="auto"/>
              <w:bottom w:val="single" w:sz="4" w:space="0" w:color="auto"/>
              <w:right w:val="single" w:sz="4" w:space="0" w:color="auto"/>
            </w:tcBorders>
            <w:hideMark/>
          </w:tcPr>
          <w:p w:rsidR="00AB5D25" w:rsidRPr="00163966" w:rsidRDefault="00AB5D25">
            <w:pPr>
              <w:rPr>
                <w:b/>
              </w:rPr>
            </w:pPr>
            <w:r w:rsidRPr="00163966">
              <w:rPr>
                <w:b/>
                <w:szCs w:val="22"/>
              </w:rPr>
              <w:t>Nyrer og urinveje</w:t>
            </w:r>
          </w:p>
        </w:tc>
        <w:tc>
          <w:tcPr>
            <w:tcW w:w="6594"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Ikke almindelig</w:t>
            </w:r>
            <w:r w:rsidRPr="00163966">
              <w:rPr>
                <w:szCs w:val="22"/>
              </w:rPr>
              <w:t>: Urinretention</w:t>
            </w:r>
          </w:p>
          <w:p w:rsidR="00AB5D25" w:rsidRPr="00163966" w:rsidRDefault="00AB5D25">
            <w:r w:rsidRPr="00163966">
              <w:rPr>
                <w:b/>
                <w:szCs w:val="22"/>
              </w:rPr>
              <w:t>Sjælden</w:t>
            </w:r>
            <w:r w:rsidRPr="00163966">
              <w:rPr>
                <w:szCs w:val="22"/>
              </w:rPr>
              <w:t>: Skader på nyrevæv (papillær nekrose), især ved langtidsbehandling.</w:t>
            </w:r>
          </w:p>
          <w:p w:rsidR="00AB5D25" w:rsidRPr="00163966" w:rsidRDefault="00AB5D25">
            <w:r w:rsidRPr="00163966">
              <w:rPr>
                <w:b/>
                <w:szCs w:val="22"/>
              </w:rPr>
              <w:t>Meget sjælden</w:t>
            </w:r>
            <w:r w:rsidRPr="00163966">
              <w:rPr>
                <w:szCs w:val="22"/>
              </w:rPr>
              <w:t xml:space="preserve">: </w:t>
            </w:r>
            <w:proofErr w:type="spellStart"/>
            <w:r w:rsidRPr="00163966">
              <w:rPr>
                <w:szCs w:val="22"/>
              </w:rPr>
              <w:t>Nefrotoksicitet</w:t>
            </w:r>
            <w:proofErr w:type="spellEnd"/>
            <w:r w:rsidRPr="00163966">
              <w:rPr>
                <w:szCs w:val="22"/>
              </w:rPr>
              <w:t xml:space="preserve"> i forskellige former, herunder </w:t>
            </w:r>
            <w:proofErr w:type="spellStart"/>
            <w:r w:rsidRPr="00163966">
              <w:rPr>
                <w:szCs w:val="22"/>
              </w:rPr>
              <w:t>interstitiel</w:t>
            </w:r>
            <w:proofErr w:type="spellEnd"/>
            <w:r w:rsidRPr="00163966">
              <w:rPr>
                <w:szCs w:val="22"/>
              </w:rPr>
              <w:t xml:space="preserve"> </w:t>
            </w:r>
            <w:proofErr w:type="spellStart"/>
            <w:r w:rsidRPr="00163966">
              <w:rPr>
                <w:szCs w:val="22"/>
              </w:rPr>
              <w:t>nefritis</w:t>
            </w:r>
            <w:proofErr w:type="spellEnd"/>
            <w:r w:rsidRPr="00163966">
              <w:rPr>
                <w:szCs w:val="22"/>
              </w:rPr>
              <w:t xml:space="preserve">, </w:t>
            </w:r>
            <w:proofErr w:type="spellStart"/>
            <w:r w:rsidRPr="00163966">
              <w:rPr>
                <w:szCs w:val="22"/>
              </w:rPr>
              <w:t>nefrotisk</w:t>
            </w:r>
            <w:proofErr w:type="spellEnd"/>
            <w:r w:rsidRPr="00163966">
              <w:rPr>
                <w:szCs w:val="22"/>
              </w:rPr>
              <w:t xml:space="preserve"> syndrom og akut og kronisk nyreinsufficiens.</w:t>
            </w:r>
          </w:p>
          <w:p w:rsidR="00AB5D25" w:rsidRPr="00163966" w:rsidRDefault="00AB5D25">
            <w:r w:rsidRPr="00163966">
              <w:rPr>
                <w:szCs w:val="22"/>
              </w:rPr>
              <w:t xml:space="preserve">Bivirkninger på nyrer ses oftest efter overdosering, efter kronisk misbrug (ofte med flere </w:t>
            </w:r>
            <w:proofErr w:type="spellStart"/>
            <w:r w:rsidRPr="00163966">
              <w:rPr>
                <w:szCs w:val="22"/>
              </w:rPr>
              <w:t>analgetika</w:t>
            </w:r>
            <w:proofErr w:type="spellEnd"/>
            <w:r w:rsidRPr="00163966">
              <w:rPr>
                <w:szCs w:val="22"/>
              </w:rPr>
              <w:t xml:space="preserve">) eller i forbindelse med paracetamol-relateret </w:t>
            </w:r>
            <w:proofErr w:type="spellStart"/>
            <w:r w:rsidRPr="00163966">
              <w:rPr>
                <w:szCs w:val="22"/>
              </w:rPr>
              <w:t>hepatotoksicitet</w:t>
            </w:r>
            <w:proofErr w:type="spellEnd"/>
            <w:r w:rsidRPr="00163966">
              <w:rPr>
                <w:szCs w:val="22"/>
              </w:rPr>
              <w:t>.</w:t>
            </w:r>
          </w:p>
          <w:p w:rsidR="00AB5D25" w:rsidRPr="00163966" w:rsidRDefault="00AB5D25">
            <w:r w:rsidRPr="00163966">
              <w:rPr>
                <w:szCs w:val="22"/>
              </w:rPr>
              <w:t xml:space="preserve">Akut </w:t>
            </w:r>
            <w:proofErr w:type="spellStart"/>
            <w:r w:rsidRPr="00163966">
              <w:rPr>
                <w:szCs w:val="22"/>
              </w:rPr>
              <w:t>tubulær</w:t>
            </w:r>
            <w:proofErr w:type="spellEnd"/>
            <w:r w:rsidRPr="00163966">
              <w:rPr>
                <w:szCs w:val="22"/>
              </w:rPr>
              <w:t xml:space="preserve"> nekrose opstår normalt i forbindelse med leverinsufficiens, men er i sjældne tilfælde observeret som et isoleret fund. Desuden har en mulig stigning i risikoen for </w:t>
            </w:r>
            <w:r w:rsidRPr="00163966">
              <w:rPr>
                <w:szCs w:val="22"/>
              </w:rPr>
              <w:lastRenderedPageBreak/>
              <w:t>nyrecellekarcinom været forbundet med kronisk anvendelse af paracetamol.</w:t>
            </w:r>
          </w:p>
          <w:p w:rsidR="00AB5D25" w:rsidRPr="00163966" w:rsidRDefault="00AB5D25">
            <w:r w:rsidRPr="00163966">
              <w:rPr>
                <w:szCs w:val="22"/>
              </w:rPr>
              <w:t xml:space="preserve">Et </w:t>
            </w:r>
            <w:proofErr w:type="spellStart"/>
            <w:r w:rsidRPr="00163966">
              <w:rPr>
                <w:szCs w:val="22"/>
              </w:rPr>
              <w:t>casekontrolstudie</w:t>
            </w:r>
            <w:proofErr w:type="spellEnd"/>
            <w:r w:rsidRPr="00163966">
              <w:rPr>
                <w:szCs w:val="22"/>
              </w:rPr>
              <w:t xml:space="preserve"> med patienter med nyresygdom i terminalfasen viste, at langvarigt forbrug af paracetamol kan forhøje risikoen for nyresygdom i terminalfasen markant, især hos patienter, der tager mere end 1.000 mg om dagen.</w:t>
            </w:r>
          </w:p>
        </w:tc>
      </w:tr>
      <w:tr w:rsidR="00AB5D25" w:rsidRPr="00163966" w:rsidTr="00AB5D25">
        <w:tc>
          <w:tcPr>
            <w:tcW w:w="2478" w:type="dxa"/>
            <w:tcBorders>
              <w:top w:val="single" w:sz="4" w:space="0" w:color="auto"/>
              <w:left w:val="single" w:sz="4" w:space="0" w:color="auto"/>
              <w:bottom w:val="single" w:sz="4" w:space="0" w:color="auto"/>
              <w:right w:val="single" w:sz="4" w:space="0" w:color="auto"/>
            </w:tcBorders>
            <w:hideMark/>
          </w:tcPr>
          <w:p w:rsidR="00AB5D25" w:rsidRPr="00163966" w:rsidRDefault="00AB5D25">
            <w:pPr>
              <w:rPr>
                <w:b/>
              </w:rPr>
            </w:pPr>
            <w:r w:rsidRPr="00163966">
              <w:rPr>
                <w:b/>
                <w:szCs w:val="22"/>
              </w:rPr>
              <w:lastRenderedPageBreak/>
              <w:t>Almene symptomer og reaktioner på administrationsstedet</w:t>
            </w:r>
          </w:p>
        </w:tc>
        <w:tc>
          <w:tcPr>
            <w:tcW w:w="6594"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Ikke almindelig</w:t>
            </w:r>
            <w:r w:rsidRPr="00163966">
              <w:rPr>
                <w:szCs w:val="22"/>
              </w:rPr>
              <w:t xml:space="preserve">: </w:t>
            </w:r>
            <w:proofErr w:type="spellStart"/>
            <w:r w:rsidRPr="00163966">
              <w:rPr>
                <w:szCs w:val="22"/>
              </w:rPr>
              <w:t>Pyreksi</w:t>
            </w:r>
            <w:proofErr w:type="spellEnd"/>
          </w:p>
          <w:p w:rsidR="00AB5D25" w:rsidRPr="00163966" w:rsidRDefault="00AB5D25">
            <w:r w:rsidRPr="00163966">
              <w:rPr>
                <w:b/>
                <w:szCs w:val="22"/>
              </w:rPr>
              <w:t>Meget sjælden</w:t>
            </w:r>
            <w:r w:rsidRPr="00163966">
              <w:rPr>
                <w:szCs w:val="22"/>
              </w:rPr>
              <w:t xml:space="preserve">: </w:t>
            </w:r>
            <w:proofErr w:type="spellStart"/>
            <w:r w:rsidRPr="00163966">
              <w:rPr>
                <w:szCs w:val="22"/>
              </w:rPr>
              <w:t>Fatigue</w:t>
            </w:r>
            <w:proofErr w:type="spellEnd"/>
            <w:r w:rsidRPr="00163966">
              <w:rPr>
                <w:szCs w:val="22"/>
              </w:rPr>
              <w:t xml:space="preserve"> og utilpashed.</w:t>
            </w:r>
          </w:p>
        </w:tc>
      </w:tr>
      <w:tr w:rsidR="00AB5D25" w:rsidRPr="00163966" w:rsidTr="00AB5D25">
        <w:tc>
          <w:tcPr>
            <w:tcW w:w="2478" w:type="dxa"/>
            <w:tcBorders>
              <w:top w:val="single" w:sz="4" w:space="0" w:color="auto"/>
              <w:left w:val="single" w:sz="4" w:space="0" w:color="auto"/>
              <w:bottom w:val="single" w:sz="4" w:space="0" w:color="auto"/>
              <w:right w:val="single" w:sz="4" w:space="0" w:color="auto"/>
            </w:tcBorders>
            <w:hideMark/>
          </w:tcPr>
          <w:p w:rsidR="00AB5D25" w:rsidRPr="00163966" w:rsidRDefault="00AB5D25">
            <w:pPr>
              <w:rPr>
                <w:b/>
              </w:rPr>
            </w:pPr>
            <w:r w:rsidRPr="00163966">
              <w:rPr>
                <w:b/>
                <w:szCs w:val="22"/>
              </w:rPr>
              <w:t>Traumer, forgiftninger og behandlingskomplikationer</w:t>
            </w:r>
          </w:p>
        </w:tc>
        <w:tc>
          <w:tcPr>
            <w:tcW w:w="6594"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Ikke almindelig</w:t>
            </w:r>
            <w:r w:rsidRPr="00163966">
              <w:rPr>
                <w:szCs w:val="22"/>
              </w:rPr>
              <w:t xml:space="preserve">: Der er indberettet postoperativ blødning efter </w:t>
            </w:r>
            <w:proofErr w:type="spellStart"/>
            <w:r w:rsidRPr="00163966">
              <w:rPr>
                <w:szCs w:val="22"/>
              </w:rPr>
              <w:t>tonsillektomi</w:t>
            </w:r>
            <w:proofErr w:type="spellEnd"/>
            <w:r w:rsidRPr="00163966">
              <w:rPr>
                <w:szCs w:val="22"/>
              </w:rPr>
              <w:t>.</w:t>
            </w:r>
          </w:p>
        </w:tc>
      </w:tr>
      <w:tr w:rsidR="00AB5D25" w:rsidRPr="00163966" w:rsidTr="00AB5D25">
        <w:tc>
          <w:tcPr>
            <w:tcW w:w="2478" w:type="dxa"/>
            <w:tcBorders>
              <w:top w:val="single" w:sz="4" w:space="0" w:color="auto"/>
              <w:left w:val="single" w:sz="4" w:space="0" w:color="auto"/>
              <w:bottom w:val="single" w:sz="4" w:space="0" w:color="auto"/>
              <w:right w:val="single" w:sz="4" w:space="0" w:color="auto"/>
            </w:tcBorders>
            <w:hideMark/>
          </w:tcPr>
          <w:p w:rsidR="00AB5D25" w:rsidRPr="00163966" w:rsidRDefault="00AB5D25">
            <w:pPr>
              <w:rPr>
                <w:b/>
              </w:rPr>
            </w:pPr>
            <w:r w:rsidRPr="00163966">
              <w:rPr>
                <w:b/>
                <w:szCs w:val="22"/>
              </w:rPr>
              <w:t>Undersøgelser</w:t>
            </w:r>
          </w:p>
        </w:tc>
        <w:tc>
          <w:tcPr>
            <w:tcW w:w="6594" w:type="dxa"/>
            <w:tcBorders>
              <w:top w:val="single" w:sz="4" w:space="0" w:color="auto"/>
              <w:left w:val="single" w:sz="4" w:space="0" w:color="auto"/>
              <w:bottom w:val="single" w:sz="4" w:space="0" w:color="auto"/>
              <w:right w:val="single" w:sz="4" w:space="0" w:color="auto"/>
            </w:tcBorders>
            <w:hideMark/>
          </w:tcPr>
          <w:p w:rsidR="00AB5D25" w:rsidRPr="00163966" w:rsidRDefault="00AB5D25">
            <w:r w:rsidRPr="00163966">
              <w:rPr>
                <w:b/>
                <w:szCs w:val="22"/>
              </w:rPr>
              <w:t>Almindelig</w:t>
            </w:r>
            <w:r w:rsidRPr="00163966">
              <w:rPr>
                <w:szCs w:val="22"/>
              </w:rPr>
              <w:t xml:space="preserve">: Forhøjet </w:t>
            </w:r>
            <w:proofErr w:type="spellStart"/>
            <w:r w:rsidRPr="00163966">
              <w:rPr>
                <w:szCs w:val="22"/>
              </w:rPr>
              <w:t>alaninaminotransferase</w:t>
            </w:r>
            <w:proofErr w:type="spellEnd"/>
            <w:r w:rsidRPr="00163966">
              <w:rPr>
                <w:szCs w:val="22"/>
              </w:rPr>
              <w:t xml:space="preserve">, forhøjet </w:t>
            </w:r>
            <w:proofErr w:type="spellStart"/>
            <w:r w:rsidRPr="00163966">
              <w:rPr>
                <w:szCs w:val="22"/>
              </w:rPr>
              <w:t>gammaglutamyltransferase</w:t>
            </w:r>
            <w:proofErr w:type="spellEnd"/>
            <w:r w:rsidRPr="00163966">
              <w:rPr>
                <w:szCs w:val="22"/>
              </w:rPr>
              <w:t xml:space="preserve"> samt unormale leverfunktionstest efter indtagelse af paracetamol.</w:t>
            </w:r>
          </w:p>
          <w:p w:rsidR="00AB5D25" w:rsidRPr="00163966" w:rsidRDefault="00AB5D25">
            <w:r w:rsidRPr="00163966">
              <w:rPr>
                <w:szCs w:val="22"/>
              </w:rPr>
              <w:t xml:space="preserve">Forhøjet </w:t>
            </w:r>
            <w:proofErr w:type="spellStart"/>
            <w:r w:rsidRPr="00163966">
              <w:rPr>
                <w:szCs w:val="22"/>
              </w:rPr>
              <w:t>blodkreatinin</w:t>
            </w:r>
            <w:proofErr w:type="spellEnd"/>
            <w:r w:rsidRPr="00163966">
              <w:rPr>
                <w:szCs w:val="22"/>
              </w:rPr>
              <w:t xml:space="preserve"> samt forhøjet </w:t>
            </w:r>
            <w:proofErr w:type="spellStart"/>
            <w:r w:rsidRPr="00163966">
              <w:rPr>
                <w:szCs w:val="22"/>
              </w:rPr>
              <w:t>blodurea</w:t>
            </w:r>
            <w:proofErr w:type="spellEnd"/>
            <w:r w:rsidRPr="00163966">
              <w:rPr>
                <w:szCs w:val="22"/>
              </w:rPr>
              <w:t>.</w:t>
            </w:r>
          </w:p>
          <w:p w:rsidR="00AB5D25" w:rsidRPr="00163966" w:rsidRDefault="00AB5D25">
            <w:r w:rsidRPr="00163966">
              <w:rPr>
                <w:b/>
                <w:szCs w:val="22"/>
              </w:rPr>
              <w:t>Ikke almindelig</w:t>
            </w:r>
            <w:r w:rsidRPr="00163966">
              <w:rPr>
                <w:szCs w:val="22"/>
              </w:rPr>
              <w:t xml:space="preserve">: Forhøjet </w:t>
            </w:r>
            <w:proofErr w:type="spellStart"/>
            <w:r w:rsidRPr="00163966">
              <w:rPr>
                <w:szCs w:val="22"/>
              </w:rPr>
              <w:t>aspartataminotransferase</w:t>
            </w:r>
            <w:proofErr w:type="spellEnd"/>
            <w:r w:rsidRPr="00163966">
              <w:rPr>
                <w:szCs w:val="22"/>
              </w:rPr>
              <w:t xml:space="preserve">, forhøjet alkalisk fosfatase i blodet, forhøjet </w:t>
            </w:r>
            <w:proofErr w:type="spellStart"/>
            <w:r w:rsidRPr="00163966">
              <w:rPr>
                <w:szCs w:val="22"/>
              </w:rPr>
              <w:t>kreatinfosfokinase</w:t>
            </w:r>
            <w:proofErr w:type="spellEnd"/>
            <w:r w:rsidRPr="00163966">
              <w:rPr>
                <w:szCs w:val="22"/>
              </w:rPr>
              <w:t xml:space="preserve"> i blodet, reduceret hæmoglobin og forhøjet </w:t>
            </w:r>
            <w:proofErr w:type="spellStart"/>
            <w:r w:rsidRPr="00163966">
              <w:rPr>
                <w:szCs w:val="22"/>
              </w:rPr>
              <w:t>trombocyttal</w:t>
            </w:r>
            <w:proofErr w:type="spellEnd"/>
            <w:r w:rsidRPr="00163966">
              <w:rPr>
                <w:szCs w:val="22"/>
              </w:rPr>
              <w:t>.</w:t>
            </w:r>
          </w:p>
          <w:p w:rsidR="00AB5D25" w:rsidRPr="00163966" w:rsidRDefault="00AB5D25">
            <w:r w:rsidRPr="00163966">
              <w:rPr>
                <w:b/>
                <w:szCs w:val="22"/>
              </w:rPr>
              <w:t>Sjælden</w:t>
            </w:r>
            <w:r w:rsidRPr="00163966">
              <w:rPr>
                <w:szCs w:val="22"/>
              </w:rPr>
              <w:t>: Forhøjet urinsyrekoncentrationer i blodet.</w:t>
            </w:r>
          </w:p>
        </w:tc>
      </w:tr>
    </w:tbl>
    <w:p w:rsidR="00AB5D25" w:rsidRPr="00163966" w:rsidRDefault="00AB5D25" w:rsidP="00CB4BA4">
      <w:pPr>
        <w:ind w:left="851"/>
        <w:rPr>
          <w:sz w:val="24"/>
          <w:szCs w:val="24"/>
        </w:rPr>
      </w:pPr>
    </w:p>
    <w:p w:rsidR="00AB5D25" w:rsidRPr="00163966" w:rsidRDefault="00AB5D25" w:rsidP="00CB4BA4">
      <w:pPr>
        <w:ind w:left="851"/>
        <w:rPr>
          <w:sz w:val="24"/>
          <w:szCs w:val="24"/>
        </w:rPr>
      </w:pPr>
      <w:r w:rsidRPr="00163966">
        <w:rPr>
          <w:sz w:val="24"/>
          <w:szCs w:val="24"/>
          <w:lang w:eastAsia="da-DK"/>
        </w:rPr>
        <w:t xml:space="preserve">Kliniske studier antyder, at anvendelse af ibuprofen, især i en høj dosis (2.400 mg/dag), kan være forbundet med en let forhøjet risiko for arterielle </w:t>
      </w:r>
      <w:proofErr w:type="spellStart"/>
      <w:r w:rsidRPr="00163966">
        <w:rPr>
          <w:sz w:val="24"/>
          <w:szCs w:val="24"/>
          <w:lang w:eastAsia="da-DK"/>
        </w:rPr>
        <w:t>trombotiske</w:t>
      </w:r>
      <w:proofErr w:type="spellEnd"/>
      <w:r w:rsidRPr="00163966">
        <w:rPr>
          <w:sz w:val="24"/>
          <w:szCs w:val="24"/>
          <w:lang w:eastAsia="da-DK"/>
        </w:rPr>
        <w:t xml:space="preserve"> hændelser (for eksempel myokardieinfarkt eller stroke) (se pkt. 4.4).</w:t>
      </w:r>
    </w:p>
    <w:p w:rsidR="00AB5D25" w:rsidRPr="00163966" w:rsidRDefault="00AB5D25" w:rsidP="00CB4BA4">
      <w:pPr>
        <w:ind w:left="851"/>
        <w:rPr>
          <w:i/>
          <w:noProof/>
          <w:sz w:val="24"/>
          <w:szCs w:val="24"/>
        </w:rPr>
      </w:pPr>
    </w:p>
    <w:p w:rsidR="00AB5D25" w:rsidRPr="00163966" w:rsidRDefault="00AB5D25" w:rsidP="00CB4BA4">
      <w:pPr>
        <w:autoSpaceDE w:val="0"/>
        <w:autoSpaceDN w:val="0"/>
        <w:adjustRightInd w:val="0"/>
        <w:ind w:left="851"/>
        <w:rPr>
          <w:sz w:val="24"/>
          <w:szCs w:val="24"/>
          <w:u w:val="single"/>
        </w:rPr>
      </w:pPr>
      <w:r w:rsidRPr="00163966">
        <w:rPr>
          <w:noProof/>
          <w:sz w:val="24"/>
          <w:szCs w:val="24"/>
          <w:u w:val="single"/>
        </w:rPr>
        <w:t>Indberetning af formodede bivirkninger</w:t>
      </w:r>
    </w:p>
    <w:p w:rsidR="00AB5D25" w:rsidRPr="00163966" w:rsidRDefault="00AB5D25" w:rsidP="00CB4BA4">
      <w:pPr>
        <w:autoSpaceDE w:val="0"/>
        <w:autoSpaceDN w:val="0"/>
        <w:adjustRightInd w:val="0"/>
        <w:ind w:left="851"/>
        <w:rPr>
          <w:noProof/>
          <w:sz w:val="24"/>
          <w:szCs w:val="24"/>
        </w:rPr>
      </w:pPr>
      <w:r w:rsidRPr="00163966">
        <w:rPr>
          <w:noProof/>
          <w:sz w:val="24"/>
          <w:szCs w:val="24"/>
        </w:rPr>
        <w:t>Når lægemidlet er godkendt, er indberetning af formodede bivirkninger vigtig.</w:t>
      </w:r>
      <w:r w:rsidRPr="00163966">
        <w:rPr>
          <w:sz w:val="24"/>
          <w:szCs w:val="24"/>
        </w:rPr>
        <w:t xml:space="preserve"> </w:t>
      </w:r>
      <w:r w:rsidRPr="00163966">
        <w:rPr>
          <w:noProof/>
          <w:sz w:val="24"/>
          <w:szCs w:val="24"/>
        </w:rPr>
        <w:t>Det muliggør løbende overvågning af benefit/risk-forholdet for lægemidlet.</w:t>
      </w:r>
      <w:r w:rsidRPr="00163966">
        <w:rPr>
          <w:sz w:val="24"/>
          <w:szCs w:val="24"/>
        </w:rPr>
        <w:t xml:space="preserve"> </w:t>
      </w:r>
      <w:r w:rsidRPr="00163966">
        <w:rPr>
          <w:noProof/>
          <w:sz w:val="24"/>
          <w:szCs w:val="24"/>
        </w:rPr>
        <w:t>Sundhedspersoner anmodes om at indberette alle formodede bivirkninger via:</w:t>
      </w:r>
    </w:p>
    <w:p w:rsidR="00AB5D25" w:rsidRPr="00163966" w:rsidRDefault="00AB5D25" w:rsidP="00CB4BA4">
      <w:pPr>
        <w:autoSpaceDE w:val="0"/>
        <w:autoSpaceDN w:val="0"/>
        <w:adjustRightInd w:val="0"/>
        <w:ind w:left="851"/>
        <w:rPr>
          <w:noProof/>
          <w:sz w:val="24"/>
          <w:szCs w:val="24"/>
        </w:rPr>
      </w:pPr>
    </w:p>
    <w:p w:rsidR="00AB5D25" w:rsidRPr="00163966" w:rsidRDefault="00AB5D25" w:rsidP="00CB4BA4">
      <w:pPr>
        <w:autoSpaceDE w:val="0"/>
        <w:autoSpaceDN w:val="0"/>
        <w:adjustRightInd w:val="0"/>
        <w:ind w:left="851"/>
        <w:rPr>
          <w:noProof/>
          <w:sz w:val="24"/>
          <w:szCs w:val="24"/>
        </w:rPr>
      </w:pPr>
      <w:r w:rsidRPr="00163966">
        <w:rPr>
          <w:noProof/>
          <w:sz w:val="24"/>
          <w:szCs w:val="24"/>
        </w:rPr>
        <w:t>Lægemiddelstyrelsen</w:t>
      </w:r>
    </w:p>
    <w:p w:rsidR="00AB5D25" w:rsidRPr="00163966" w:rsidRDefault="00AB5D25" w:rsidP="00CB4BA4">
      <w:pPr>
        <w:autoSpaceDE w:val="0"/>
        <w:autoSpaceDN w:val="0"/>
        <w:adjustRightInd w:val="0"/>
        <w:ind w:left="851"/>
        <w:rPr>
          <w:noProof/>
          <w:sz w:val="24"/>
          <w:szCs w:val="24"/>
        </w:rPr>
      </w:pPr>
      <w:r w:rsidRPr="00163966">
        <w:rPr>
          <w:noProof/>
          <w:sz w:val="24"/>
          <w:szCs w:val="24"/>
        </w:rPr>
        <w:t>Axel Heides Gade 1</w:t>
      </w:r>
    </w:p>
    <w:p w:rsidR="00AB5D25" w:rsidRPr="00163966" w:rsidRDefault="00AB5D25" w:rsidP="00CB4BA4">
      <w:pPr>
        <w:autoSpaceDE w:val="0"/>
        <w:autoSpaceDN w:val="0"/>
        <w:adjustRightInd w:val="0"/>
        <w:ind w:left="851"/>
        <w:rPr>
          <w:noProof/>
          <w:sz w:val="24"/>
          <w:szCs w:val="24"/>
        </w:rPr>
      </w:pPr>
      <w:r w:rsidRPr="00163966">
        <w:rPr>
          <w:noProof/>
          <w:sz w:val="24"/>
          <w:szCs w:val="24"/>
        </w:rPr>
        <w:t>DK-2300 København S</w:t>
      </w:r>
    </w:p>
    <w:p w:rsidR="00AB5D25" w:rsidRDefault="00AB5D25" w:rsidP="00CB4BA4">
      <w:pPr>
        <w:autoSpaceDE w:val="0"/>
        <w:autoSpaceDN w:val="0"/>
        <w:adjustRightInd w:val="0"/>
        <w:ind w:left="851"/>
        <w:rPr>
          <w:noProof/>
          <w:sz w:val="24"/>
          <w:szCs w:val="24"/>
        </w:rPr>
      </w:pPr>
      <w:r w:rsidRPr="00163966">
        <w:rPr>
          <w:noProof/>
          <w:sz w:val="24"/>
          <w:szCs w:val="24"/>
        </w:rPr>
        <w:t xml:space="preserve">Websted: </w:t>
      </w:r>
      <w:hyperlink r:id="rId8" w:history="1">
        <w:r w:rsidR="004926C0" w:rsidRPr="00A255F1">
          <w:rPr>
            <w:rStyle w:val="Hyperlink"/>
            <w:noProof/>
            <w:sz w:val="24"/>
            <w:szCs w:val="24"/>
          </w:rPr>
          <w:t>www.meldenbivirkning.dk</w:t>
        </w:r>
      </w:hyperlink>
    </w:p>
    <w:p w:rsidR="009260DE" w:rsidRPr="00163966" w:rsidRDefault="009260DE" w:rsidP="00CB4BA4">
      <w:pPr>
        <w:pStyle w:val="Sidehoved"/>
        <w:tabs>
          <w:tab w:val="left" w:pos="851"/>
        </w:tabs>
        <w:ind w:left="851"/>
        <w:rPr>
          <w:szCs w:val="24"/>
        </w:rPr>
      </w:pPr>
    </w:p>
    <w:p w:rsidR="009260DE" w:rsidRPr="00163966" w:rsidRDefault="009260DE" w:rsidP="009260DE">
      <w:pPr>
        <w:tabs>
          <w:tab w:val="left" w:pos="851"/>
        </w:tabs>
        <w:ind w:left="851" w:hanging="851"/>
        <w:rPr>
          <w:b/>
          <w:sz w:val="24"/>
          <w:szCs w:val="24"/>
        </w:rPr>
      </w:pPr>
      <w:r w:rsidRPr="00163966">
        <w:rPr>
          <w:b/>
          <w:sz w:val="24"/>
          <w:szCs w:val="24"/>
        </w:rPr>
        <w:t>4.9</w:t>
      </w:r>
      <w:r w:rsidRPr="00163966">
        <w:rPr>
          <w:b/>
          <w:sz w:val="24"/>
          <w:szCs w:val="24"/>
        </w:rPr>
        <w:tab/>
        <w:t>Overdosering</w:t>
      </w:r>
    </w:p>
    <w:p w:rsidR="00024275" w:rsidRPr="00163966" w:rsidRDefault="00024275" w:rsidP="00024275">
      <w:pPr>
        <w:tabs>
          <w:tab w:val="left" w:pos="851"/>
        </w:tabs>
        <w:ind w:left="851"/>
        <w:rPr>
          <w:sz w:val="24"/>
          <w:szCs w:val="24"/>
        </w:rPr>
      </w:pPr>
    </w:p>
    <w:p w:rsidR="00024275" w:rsidRPr="00163966" w:rsidRDefault="00024275" w:rsidP="00024275">
      <w:pPr>
        <w:tabs>
          <w:tab w:val="left" w:pos="851"/>
        </w:tabs>
        <w:ind w:left="851"/>
        <w:rPr>
          <w:sz w:val="24"/>
          <w:szCs w:val="24"/>
          <w:u w:val="single"/>
        </w:rPr>
      </w:pPr>
      <w:r w:rsidRPr="00163966">
        <w:rPr>
          <w:sz w:val="24"/>
          <w:szCs w:val="24"/>
          <w:u w:val="single"/>
        </w:rPr>
        <w:t>Symptomer</w:t>
      </w:r>
    </w:p>
    <w:p w:rsidR="008D2574" w:rsidRPr="00163966" w:rsidRDefault="008D2574" w:rsidP="00024275">
      <w:pPr>
        <w:tabs>
          <w:tab w:val="left" w:pos="851"/>
        </w:tabs>
        <w:ind w:left="851"/>
        <w:rPr>
          <w:b/>
          <w:i/>
          <w:sz w:val="24"/>
          <w:szCs w:val="24"/>
        </w:rPr>
      </w:pPr>
    </w:p>
    <w:p w:rsidR="00024275" w:rsidRPr="00163966" w:rsidRDefault="00024275" w:rsidP="00024275">
      <w:pPr>
        <w:tabs>
          <w:tab w:val="left" w:pos="851"/>
        </w:tabs>
        <w:ind w:left="851"/>
        <w:rPr>
          <w:i/>
          <w:sz w:val="24"/>
          <w:szCs w:val="24"/>
        </w:rPr>
      </w:pPr>
      <w:r w:rsidRPr="00163966">
        <w:rPr>
          <w:i/>
          <w:sz w:val="24"/>
          <w:szCs w:val="24"/>
        </w:rPr>
        <w:t>Paracetamol</w:t>
      </w:r>
    </w:p>
    <w:p w:rsidR="00024275" w:rsidRPr="00163966" w:rsidRDefault="00024275" w:rsidP="00024275">
      <w:pPr>
        <w:tabs>
          <w:tab w:val="left" w:pos="851"/>
        </w:tabs>
        <w:ind w:left="851"/>
        <w:rPr>
          <w:sz w:val="24"/>
          <w:szCs w:val="24"/>
        </w:rPr>
      </w:pPr>
      <w:r w:rsidRPr="00163966">
        <w:rPr>
          <w:sz w:val="24"/>
          <w:szCs w:val="24"/>
        </w:rPr>
        <w:t xml:space="preserve">Der kan opstå leverskade og endda leverinsufficiens efter overdosering af paracetamol. Symptomerne på overdosering af paracetamol er i de første 24 timer bleghed, </w:t>
      </w:r>
      <w:proofErr w:type="spellStart"/>
      <w:r w:rsidRPr="00163966">
        <w:rPr>
          <w:sz w:val="24"/>
          <w:szCs w:val="24"/>
        </w:rPr>
        <w:t>nausea</w:t>
      </w:r>
      <w:proofErr w:type="spellEnd"/>
      <w:r w:rsidRPr="00163966">
        <w:rPr>
          <w:sz w:val="24"/>
          <w:szCs w:val="24"/>
        </w:rPr>
        <w:t xml:space="preserve">, opkastning, anoreksi og </w:t>
      </w:r>
      <w:proofErr w:type="spellStart"/>
      <w:r w:rsidRPr="00163966">
        <w:rPr>
          <w:sz w:val="24"/>
          <w:szCs w:val="24"/>
        </w:rPr>
        <w:t>abdominalsmerter</w:t>
      </w:r>
      <w:proofErr w:type="spellEnd"/>
      <w:r w:rsidRPr="00163966">
        <w:rPr>
          <w:sz w:val="24"/>
          <w:szCs w:val="24"/>
        </w:rPr>
        <w:t xml:space="preserve">. Leverskaden kan ses 12-48 timer efter indtagelse. Der kan forekomme uregelmæssigheder i glukosemetabolismen samt metabolisk </w:t>
      </w:r>
      <w:proofErr w:type="spellStart"/>
      <w:r w:rsidRPr="00163966">
        <w:rPr>
          <w:sz w:val="24"/>
          <w:szCs w:val="24"/>
        </w:rPr>
        <w:t>acidose</w:t>
      </w:r>
      <w:proofErr w:type="spellEnd"/>
      <w:r w:rsidRPr="00163966">
        <w:rPr>
          <w:sz w:val="24"/>
          <w:szCs w:val="24"/>
        </w:rPr>
        <w:t xml:space="preserve">. Ved svær forgiftning kan leverinsufficiens føre til encefalopati, </w:t>
      </w:r>
      <w:proofErr w:type="spellStart"/>
      <w:r w:rsidRPr="00163966">
        <w:rPr>
          <w:sz w:val="24"/>
          <w:szCs w:val="24"/>
        </w:rPr>
        <w:t>coma</w:t>
      </w:r>
      <w:proofErr w:type="spellEnd"/>
      <w:r w:rsidRPr="00163966">
        <w:rPr>
          <w:sz w:val="24"/>
          <w:szCs w:val="24"/>
        </w:rPr>
        <w:t xml:space="preserve"> og død. Der kan opstå akut nyreinsufficiens med akut </w:t>
      </w:r>
      <w:proofErr w:type="spellStart"/>
      <w:r w:rsidRPr="00163966">
        <w:rPr>
          <w:sz w:val="24"/>
          <w:szCs w:val="24"/>
        </w:rPr>
        <w:t>tubulær</w:t>
      </w:r>
      <w:proofErr w:type="spellEnd"/>
      <w:r w:rsidRPr="00163966">
        <w:rPr>
          <w:sz w:val="24"/>
          <w:szCs w:val="24"/>
        </w:rPr>
        <w:t xml:space="preserve"> nekrose uden svær leverskade. Der er rapporteret om </w:t>
      </w:r>
      <w:proofErr w:type="spellStart"/>
      <w:r w:rsidRPr="00163966">
        <w:rPr>
          <w:sz w:val="24"/>
          <w:szCs w:val="24"/>
        </w:rPr>
        <w:t>hjertearytmier</w:t>
      </w:r>
      <w:proofErr w:type="spellEnd"/>
      <w:r w:rsidRPr="00163966">
        <w:rPr>
          <w:sz w:val="24"/>
          <w:szCs w:val="24"/>
        </w:rPr>
        <w:t>. Der kan opstå leverskade hos voksne, der har taget mindst 10 g paracetamol, på grund af de for store mængder af en toksisk metabolit.</w:t>
      </w:r>
    </w:p>
    <w:p w:rsidR="00024275" w:rsidRPr="00163966" w:rsidRDefault="00024275" w:rsidP="00024275">
      <w:pPr>
        <w:tabs>
          <w:tab w:val="left" w:pos="851"/>
        </w:tabs>
        <w:ind w:left="851"/>
        <w:rPr>
          <w:sz w:val="24"/>
          <w:szCs w:val="24"/>
        </w:rPr>
      </w:pPr>
    </w:p>
    <w:p w:rsidR="00024275" w:rsidRPr="00163966" w:rsidRDefault="00024275" w:rsidP="00BA47F0">
      <w:pPr>
        <w:keepNext/>
        <w:tabs>
          <w:tab w:val="left" w:pos="851"/>
        </w:tabs>
        <w:ind w:left="851"/>
        <w:rPr>
          <w:i/>
          <w:sz w:val="24"/>
          <w:szCs w:val="24"/>
        </w:rPr>
      </w:pPr>
      <w:r w:rsidRPr="00163966">
        <w:rPr>
          <w:i/>
          <w:sz w:val="24"/>
          <w:szCs w:val="24"/>
        </w:rPr>
        <w:lastRenderedPageBreak/>
        <w:t>Ibuprofen</w:t>
      </w:r>
    </w:p>
    <w:p w:rsidR="00024275" w:rsidRPr="00163966" w:rsidRDefault="00024275" w:rsidP="00024275">
      <w:pPr>
        <w:tabs>
          <w:tab w:val="left" w:pos="851"/>
        </w:tabs>
        <w:ind w:left="851"/>
        <w:rPr>
          <w:sz w:val="24"/>
          <w:szCs w:val="24"/>
        </w:rPr>
      </w:pPr>
      <w:r w:rsidRPr="00163966">
        <w:rPr>
          <w:sz w:val="24"/>
          <w:szCs w:val="24"/>
        </w:rPr>
        <w:t xml:space="preserve">Symptomerne omfatter </w:t>
      </w:r>
      <w:proofErr w:type="spellStart"/>
      <w:r w:rsidRPr="00163966">
        <w:rPr>
          <w:sz w:val="24"/>
          <w:szCs w:val="24"/>
        </w:rPr>
        <w:t>nausea</w:t>
      </w:r>
      <w:proofErr w:type="spellEnd"/>
      <w:r w:rsidRPr="00163966">
        <w:rPr>
          <w:sz w:val="24"/>
          <w:szCs w:val="24"/>
        </w:rPr>
        <w:t xml:space="preserve">, </w:t>
      </w:r>
      <w:proofErr w:type="spellStart"/>
      <w:r w:rsidRPr="00163966">
        <w:rPr>
          <w:sz w:val="24"/>
          <w:szCs w:val="24"/>
        </w:rPr>
        <w:t>abdominalsmerter</w:t>
      </w:r>
      <w:proofErr w:type="spellEnd"/>
      <w:r w:rsidRPr="00163966">
        <w:rPr>
          <w:sz w:val="24"/>
          <w:szCs w:val="24"/>
        </w:rPr>
        <w:t xml:space="preserve"> og opkastning, svimmelhed, krampeanfald og i sjældne tilfælde bevidstløshed. De kliniske karakteristika ved overdosering af ibuprofen er undertrykkelse af centralnervesystem og luftveje.</w:t>
      </w:r>
    </w:p>
    <w:p w:rsidR="00024275" w:rsidRPr="00163966" w:rsidRDefault="00024275" w:rsidP="00024275">
      <w:pPr>
        <w:tabs>
          <w:tab w:val="left" w:pos="851"/>
        </w:tabs>
        <w:ind w:left="851"/>
        <w:rPr>
          <w:sz w:val="24"/>
          <w:szCs w:val="24"/>
        </w:rPr>
      </w:pPr>
    </w:p>
    <w:p w:rsidR="00024275" w:rsidRDefault="00024275" w:rsidP="00024275">
      <w:pPr>
        <w:tabs>
          <w:tab w:val="left" w:pos="851"/>
        </w:tabs>
        <w:ind w:left="851"/>
        <w:rPr>
          <w:sz w:val="24"/>
          <w:szCs w:val="24"/>
        </w:rPr>
      </w:pPr>
      <w:r w:rsidRPr="00163966">
        <w:rPr>
          <w:sz w:val="24"/>
          <w:szCs w:val="24"/>
        </w:rPr>
        <w:t xml:space="preserve">Der kan opstå metabolisk </w:t>
      </w:r>
      <w:proofErr w:type="spellStart"/>
      <w:r w:rsidRPr="00163966">
        <w:rPr>
          <w:sz w:val="24"/>
          <w:szCs w:val="24"/>
        </w:rPr>
        <w:t>acidose</w:t>
      </w:r>
      <w:proofErr w:type="spellEnd"/>
      <w:r w:rsidRPr="00163966">
        <w:rPr>
          <w:sz w:val="24"/>
          <w:szCs w:val="24"/>
        </w:rPr>
        <w:t xml:space="preserve"> ved alvorlig forgiftning.</w:t>
      </w:r>
    </w:p>
    <w:p w:rsidR="00AA504E" w:rsidRDefault="00AA504E" w:rsidP="00024275">
      <w:pPr>
        <w:tabs>
          <w:tab w:val="left" w:pos="851"/>
        </w:tabs>
        <w:ind w:left="851"/>
        <w:rPr>
          <w:sz w:val="24"/>
          <w:szCs w:val="24"/>
        </w:rPr>
      </w:pPr>
    </w:p>
    <w:p w:rsidR="00AA504E" w:rsidRPr="00163966" w:rsidRDefault="00AA504E" w:rsidP="00AA504E">
      <w:pPr>
        <w:tabs>
          <w:tab w:val="left" w:pos="851"/>
        </w:tabs>
        <w:ind w:left="851"/>
        <w:rPr>
          <w:sz w:val="24"/>
          <w:szCs w:val="24"/>
        </w:rPr>
      </w:pPr>
      <w:r>
        <w:rPr>
          <w:sz w:val="24"/>
          <w:szCs w:val="24"/>
        </w:rPr>
        <w:t xml:space="preserve">Langvarig brug af højere doser end anbefalet eller overdosering kan resultere i </w:t>
      </w:r>
      <w:proofErr w:type="spellStart"/>
      <w:r>
        <w:rPr>
          <w:sz w:val="24"/>
          <w:szCs w:val="24"/>
        </w:rPr>
        <w:t>renal</w:t>
      </w:r>
      <w:proofErr w:type="spellEnd"/>
      <w:r>
        <w:rPr>
          <w:sz w:val="24"/>
          <w:szCs w:val="24"/>
        </w:rPr>
        <w:t xml:space="preserve"> </w:t>
      </w:r>
      <w:proofErr w:type="spellStart"/>
      <w:r>
        <w:rPr>
          <w:sz w:val="24"/>
          <w:szCs w:val="24"/>
        </w:rPr>
        <w:t>tubulær</w:t>
      </w:r>
      <w:proofErr w:type="spellEnd"/>
      <w:r>
        <w:rPr>
          <w:sz w:val="24"/>
          <w:szCs w:val="24"/>
        </w:rPr>
        <w:t xml:space="preserve"> </w:t>
      </w:r>
      <w:proofErr w:type="spellStart"/>
      <w:r>
        <w:rPr>
          <w:sz w:val="24"/>
          <w:szCs w:val="24"/>
        </w:rPr>
        <w:t>acidose</w:t>
      </w:r>
      <w:proofErr w:type="spellEnd"/>
      <w:r>
        <w:rPr>
          <w:sz w:val="24"/>
          <w:szCs w:val="24"/>
        </w:rPr>
        <w:t xml:space="preserve"> og </w:t>
      </w:r>
      <w:proofErr w:type="spellStart"/>
      <w:r>
        <w:rPr>
          <w:sz w:val="24"/>
          <w:szCs w:val="24"/>
        </w:rPr>
        <w:t>hypokaliæmi</w:t>
      </w:r>
      <w:proofErr w:type="spellEnd"/>
      <w:r>
        <w:rPr>
          <w:sz w:val="24"/>
          <w:szCs w:val="24"/>
        </w:rPr>
        <w:t>.</w:t>
      </w:r>
    </w:p>
    <w:p w:rsidR="004926C0" w:rsidRDefault="004926C0" w:rsidP="004926C0">
      <w:pPr>
        <w:keepNext/>
        <w:tabs>
          <w:tab w:val="left" w:pos="851"/>
        </w:tabs>
        <w:ind w:left="851"/>
        <w:rPr>
          <w:sz w:val="24"/>
          <w:szCs w:val="24"/>
          <w:u w:val="single"/>
        </w:rPr>
      </w:pPr>
    </w:p>
    <w:p w:rsidR="00024275" w:rsidRPr="00163966" w:rsidRDefault="00024275" w:rsidP="004926C0">
      <w:pPr>
        <w:keepNext/>
        <w:tabs>
          <w:tab w:val="left" w:pos="851"/>
        </w:tabs>
        <w:ind w:left="851"/>
        <w:rPr>
          <w:sz w:val="24"/>
          <w:szCs w:val="24"/>
          <w:u w:val="single"/>
        </w:rPr>
      </w:pPr>
      <w:r w:rsidRPr="00163966">
        <w:rPr>
          <w:sz w:val="24"/>
          <w:szCs w:val="24"/>
          <w:u w:val="single"/>
        </w:rPr>
        <w:t>Behandling</w:t>
      </w:r>
    </w:p>
    <w:p w:rsidR="008D2574" w:rsidRPr="00163966" w:rsidRDefault="008D2574" w:rsidP="00024275">
      <w:pPr>
        <w:tabs>
          <w:tab w:val="left" w:pos="851"/>
        </w:tabs>
        <w:ind w:left="851"/>
        <w:rPr>
          <w:i/>
          <w:sz w:val="24"/>
          <w:szCs w:val="24"/>
        </w:rPr>
      </w:pPr>
    </w:p>
    <w:p w:rsidR="00024275" w:rsidRPr="00163966" w:rsidRDefault="00024275" w:rsidP="00024275">
      <w:pPr>
        <w:tabs>
          <w:tab w:val="left" w:pos="851"/>
        </w:tabs>
        <w:ind w:left="851"/>
        <w:rPr>
          <w:i/>
          <w:sz w:val="24"/>
          <w:szCs w:val="24"/>
        </w:rPr>
      </w:pPr>
      <w:r w:rsidRPr="00163966">
        <w:rPr>
          <w:i/>
          <w:sz w:val="24"/>
          <w:szCs w:val="24"/>
        </w:rPr>
        <w:t>Paracetamol</w:t>
      </w:r>
    </w:p>
    <w:p w:rsidR="00024275" w:rsidRPr="00163966" w:rsidRDefault="00024275" w:rsidP="00024275">
      <w:pPr>
        <w:tabs>
          <w:tab w:val="left" w:pos="851"/>
        </w:tabs>
        <w:ind w:left="851"/>
        <w:rPr>
          <w:sz w:val="24"/>
          <w:szCs w:val="24"/>
        </w:rPr>
      </w:pPr>
      <w:r w:rsidRPr="00163966">
        <w:rPr>
          <w:sz w:val="24"/>
          <w:szCs w:val="24"/>
        </w:rPr>
        <w:t xml:space="preserve">På grund af risikoen for leverskade, der først viser sig efter nogle timer eller endda dage, er øjeblikkelig behandling afgørende i håndteringen af en overdosering af paracetamol, også selvom der ikke er nogen oplagte symptomer. Øjeblikkelig medicinsk behandling tilrådes hos patienter, der har indtaget 7,5 g paracetamol eller mere i de forudgående 4 timer. Specifik behandling med henblik på reversering af leverskaden med en </w:t>
      </w:r>
      <w:proofErr w:type="spellStart"/>
      <w:r w:rsidRPr="00163966">
        <w:rPr>
          <w:sz w:val="24"/>
          <w:szCs w:val="24"/>
        </w:rPr>
        <w:t>antidot</w:t>
      </w:r>
      <w:proofErr w:type="spellEnd"/>
      <w:r w:rsidRPr="00163966">
        <w:rPr>
          <w:sz w:val="24"/>
          <w:szCs w:val="24"/>
        </w:rPr>
        <w:t xml:space="preserve"> såsom </w:t>
      </w:r>
      <w:proofErr w:type="spellStart"/>
      <w:r w:rsidRPr="00163966">
        <w:rPr>
          <w:sz w:val="24"/>
          <w:szCs w:val="24"/>
        </w:rPr>
        <w:t>acetylcystein</w:t>
      </w:r>
      <w:proofErr w:type="spellEnd"/>
      <w:r w:rsidRPr="00163966">
        <w:rPr>
          <w:sz w:val="24"/>
          <w:szCs w:val="24"/>
        </w:rPr>
        <w:t xml:space="preserve"> (intravenøst), </w:t>
      </w:r>
      <w:proofErr w:type="spellStart"/>
      <w:r w:rsidRPr="00163966">
        <w:rPr>
          <w:sz w:val="24"/>
          <w:szCs w:val="24"/>
        </w:rPr>
        <w:t>methionin</w:t>
      </w:r>
      <w:proofErr w:type="spellEnd"/>
      <w:r w:rsidRPr="00163966">
        <w:rPr>
          <w:sz w:val="24"/>
          <w:szCs w:val="24"/>
        </w:rPr>
        <w:t xml:space="preserve"> (oralt) eller aktivt kul bør iværksættes hurtigst muligt.</w:t>
      </w:r>
    </w:p>
    <w:p w:rsidR="00024275" w:rsidRPr="00163966" w:rsidRDefault="00024275" w:rsidP="00024275">
      <w:pPr>
        <w:tabs>
          <w:tab w:val="left" w:pos="851"/>
        </w:tabs>
        <w:ind w:left="851"/>
        <w:rPr>
          <w:sz w:val="24"/>
          <w:szCs w:val="24"/>
        </w:rPr>
      </w:pPr>
    </w:p>
    <w:p w:rsidR="00024275" w:rsidRPr="00163966" w:rsidRDefault="00024275" w:rsidP="00024275">
      <w:pPr>
        <w:tabs>
          <w:tab w:val="left" w:pos="851"/>
        </w:tabs>
        <w:ind w:left="851"/>
        <w:rPr>
          <w:sz w:val="24"/>
          <w:szCs w:val="24"/>
        </w:rPr>
      </w:pPr>
      <w:r w:rsidRPr="00163966">
        <w:rPr>
          <w:sz w:val="24"/>
          <w:szCs w:val="24"/>
        </w:rPr>
        <w:t>Behandlingen af en overdosis af paracetamol skal foregå i overensstemmelse med nationale retningslinjer.</w:t>
      </w:r>
    </w:p>
    <w:p w:rsidR="00024275" w:rsidRPr="00163966" w:rsidRDefault="00024275" w:rsidP="00024275">
      <w:pPr>
        <w:tabs>
          <w:tab w:val="left" w:pos="851"/>
        </w:tabs>
        <w:ind w:left="851"/>
        <w:rPr>
          <w:sz w:val="24"/>
          <w:szCs w:val="24"/>
        </w:rPr>
      </w:pPr>
    </w:p>
    <w:p w:rsidR="00024275" w:rsidRPr="00163966" w:rsidRDefault="00024275" w:rsidP="00024275">
      <w:pPr>
        <w:tabs>
          <w:tab w:val="left" w:pos="851"/>
        </w:tabs>
        <w:ind w:left="851"/>
        <w:rPr>
          <w:sz w:val="24"/>
          <w:szCs w:val="24"/>
        </w:rPr>
      </w:pPr>
      <w:r w:rsidRPr="00163966">
        <w:rPr>
          <w:sz w:val="24"/>
          <w:szCs w:val="24"/>
        </w:rPr>
        <w:t>Alvorlige symptomer ses muligvis ikke før 4 eller 5 dage efter en overdosering, og patienterne skal observeres nøje i et længere tidsrum.</w:t>
      </w:r>
    </w:p>
    <w:p w:rsidR="00024275" w:rsidRPr="00163966" w:rsidRDefault="00024275" w:rsidP="00024275">
      <w:pPr>
        <w:tabs>
          <w:tab w:val="left" w:pos="851"/>
        </w:tabs>
        <w:ind w:left="851"/>
        <w:rPr>
          <w:sz w:val="24"/>
          <w:szCs w:val="24"/>
        </w:rPr>
      </w:pPr>
    </w:p>
    <w:p w:rsidR="00024275" w:rsidRPr="00163966" w:rsidRDefault="00024275" w:rsidP="00024275">
      <w:pPr>
        <w:tabs>
          <w:tab w:val="left" w:pos="851"/>
        </w:tabs>
        <w:ind w:left="851"/>
        <w:rPr>
          <w:i/>
          <w:sz w:val="24"/>
          <w:szCs w:val="24"/>
        </w:rPr>
      </w:pPr>
      <w:r w:rsidRPr="00163966">
        <w:rPr>
          <w:i/>
          <w:sz w:val="24"/>
          <w:szCs w:val="24"/>
        </w:rPr>
        <w:t>Ibuprofen</w:t>
      </w:r>
    </w:p>
    <w:p w:rsidR="00024275" w:rsidRPr="00163966" w:rsidRDefault="00024275" w:rsidP="00024275">
      <w:pPr>
        <w:tabs>
          <w:tab w:val="left" w:pos="851"/>
        </w:tabs>
        <w:ind w:left="851"/>
        <w:rPr>
          <w:sz w:val="24"/>
          <w:szCs w:val="24"/>
        </w:rPr>
      </w:pPr>
      <w:r w:rsidRPr="00163966">
        <w:rPr>
          <w:sz w:val="24"/>
          <w:szCs w:val="24"/>
        </w:rPr>
        <w:t xml:space="preserve">Behandlingen bør være symptomatisk og </w:t>
      </w:r>
      <w:proofErr w:type="spellStart"/>
      <w:r w:rsidRPr="00163966">
        <w:rPr>
          <w:sz w:val="24"/>
          <w:szCs w:val="24"/>
        </w:rPr>
        <w:t>supportiv</w:t>
      </w:r>
      <w:proofErr w:type="spellEnd"/>
      <w:r w:rsidRPr="00163966">
        <w:rPr>
          <w:sz w:val="24"/>
          <w:szCs w:val="24"/>
        </w:rPr>
        <w:t xml:space="preserve"> og omfatte opretholdelse af frie luftveje og monitorering af hjerte og vitale tegn, indtil patienten er stabil. Da lægemidlet er syreholdigt og udskilles i urinen, er det i teorien en fordel at administrere alkalier og inducere diurese. Udover de </w:t>
      </w:r>
      <w:proofErr w:type="spellStart"/>
      <w:r w:rsidRPr="00163966">
        <w:rPr>
          <w:sz w:val="24"/>
          <w:szCs w:val="24"/>
        </w:rPr>
        <w:t>supportive</w:t>
      </w:r>
      <w:proofErr w:type="spellEnd"/>
      <w:r w:rsidRPr="00163966">
        <w:rPr>
          <w:sz w:val="24"/>
          <w:szCs w:val="24"/>
        </w:rPr>
        <w:t xml:space="preserve"> foranstaltninger kan anvendelse af aktivt kul oralt bidrage til at mindske absorptionen og resorptionen af ibuprofen-tabletterne.</w:t>
      </w: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4.10</w:t>
      </w:r>
      <w:r w:rsidRPr="00163966">
        <w:rPr>
          <w:b/>
          <w:sz w:val="24"/>
          <w:szCs w:val="24"/>
        </w:rPr>
        <w:tab/>
        <w:t>Udlevering</w:t>
      </w:r>
    </w:p>
    <w:p w:rsidR="009260DE" w:rsidRPr="00163966" w:rsidRDefault="00024275" w:rsidP="009260DE">
      <w:pPr>
        <w:tabs>
          <w:tab w:val="left" w:pos="851"/>
        </w:tabs>
        <w:ind w:left="851"/>
        <w:rPr>
          <w:sz w:val="24"/>
          <w:szCs w:val="24"/>
        </w:rPr>
      </w:pPr>
      <w:r w:rsidRPr="00163966">
        <w:rPr>
          <w:sz w:val="24"/>
          <w:szCs w:val="24"/>
        </w:rPr>
        <w:t>B</w:t>
      </w: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rPr>
          <w:sz w:val="24"/>
          <w:szCs w:val="24"/>
        </w:rPr>
      </w:pPr>
    </w:p>
    <w:p w:rsidR="00274FA3" w:rsidRPr="00163966" w:rsidRDefault="00274FA3" w:rsidP="00274FA3">
      <w:pPr>
        <w:tabs>
          <w:tab w:val="left" w:pos="851"/>
        </w:tabs>
        <w:ind w:left="851" w:hanging="851"/>
        <w:rPr>
          <w:b/>
          <w:sz w:val="24"/>
          <w:szCs w:val="24"/>
        </w:rPr>
      </w:pPr>
      <w:r w:rsidRPr="00163966">
        <w:rPr>
          <w:b/>
          <w:sz w:val="24"/>
          <w:szCs w:val="24"/>
        </w:rPr>
        <w:t>5.</w:t>
      </w:r>
      <w:r w:rsidRPr="00163966">
        <w:rPr>
          <w:b/>
          <w:sz w:val="24"/>
          <w:szCs w:val="24"/>
        </w:rPr>
        <w:tab/>
        <w:t>FARMAKOLOGISKE EGENSKABER</w:t>
      </w:r>
    </w:p>
    <w:p w:rsidR="00274FA3" w:rsidRPr="00163966" w:rsidRDefault="00274FA3" w:rsidP="00274FA3">
      <w:pPr>
        <w:tabs>
          <w:tab w:val="left" w:pos="851"/>
        </w:tabs>
        <w:ind w:left="851"/>
        <w:rPr>
          <w:sz w:val="24"/>
          <w:szCs w:val="24"/>
        </w:rPr>
      </w:pPr>
    </w:p>
    <w:p w:rsidR="00274FA3" w:rsidRPr="00163966" w:rsidRDefault="00274FA3" w:rsidP="00274FA3">
      <w:pPr>
        <w:tabs>
          <w:tab w:val="num" w:pos="851"/>
        </w:tabs>
        <w:ind w:left="851" w:hanging="851"/>
        <w:rPr>
          <w:b/>
          <w:sz w:val="24"/>
          <w:szCs w:val="24"/>
        </w:rPr>
      </w:pPr>
      <w:r w:rsidRPr="00163966">
        <w:rPr>
          <w:b/>
          <w:sz w:val="24"/>
          <w:szCs w:val="24"/>
        </w:rPr>
        <w:t>5.1</w:t>
      </w:r>
      <w:r w:rsidRPr="00163966">
        <w:rPr>
          <w:b/>
          <w:sz w:val="24"/>
          <w:szCs w:val="24"/>
        </w:rPr>
        <w:tab/>
      </w:r>
      <w:proofErr w:type="spellStart"/>
      <w:r w:rsidRPr="00163966">
        <w:rPr>
          <w:b/>
          <w:sz w:val="24"/>
          <w:szCs w:val="24"/>
        </w:rPr>
        <w:t>Farmakodynamiske</w:t>
      </w:r>
      <w:proofErr w:type="spellEnd"/>
      <w:r w:rsidRPr="00163966">
        <w:rPr>
          <w:b/>
          <w:sz w:val="24"/>
          <w:szCs w:val="24"/>
        </w:rPr>
        <w:t xml:space="preserve"> egenskaber</w:t>
      </w:r>
    </w:p>
    <w:p w:rsidR="00274FA3" w:rsidRPr="00163966" w:rsidRDefault="00274FA3" w:rsidP="00274FA3">
      <w:pPr>
        <w:tabs>
          <w:tab w:val="left" w:pos="851"/>
        </w:tabs>
        <w:ind w:left="851"/>
        <w:rPr>
          <w:sz w:val="24"/>
          <w:szCs w:val="24"/>
        </w:rPr>
      </w:pPr>
      <w:proofErr w:type="spellStart"/>
      <w:r w:rsidRPr="00163966">
        <w:rPr>
          <w:sz w:val="24"/>
          <w:szCs w:val="24"/>
        </w:rPr>
        <w:t>Farmakoterapeutisk</w:t>
      </w:r>
      <w:proofErr w:type="spellEnd"/>
      <w:r w:rsidRPr="00163966">
        <w:rPr>
          <w:sz w:val="24"/>
          <w:szCs w:val="24"/>
        </w:rPr>
        <w:t xml:space="preserve"> klassifikation: Andre </w:t>
      </w:r>
      <w:proofErr w:type="spellStart"/>
      <w:r w:rsidRPr="00163966">
        <w:rPr>
          <w:sz w:val="24"/>
          <w:szCs w:val="24"/>
        </w:rPr>
        <w:t>analgetika</w:t>
      </w:r>
      <w:proofErr w:type="spellEnd"/>
      <w:r w:rsidRPr="00163966">
        <w:rPr>
          <w:sz w:val="24"/>
          <w:szCs w:val="24"/>
        </w:rPr>
        <w:t xml:space="preserve"> og </w:t>
      </w:r>
      <w:proofErr w:type="spellStart"/>
      <w:r w:rsidRPr="00163966">
        <w:rPr>
          <w:sz w:val="24"/>
          <w:szCs w:val="24"/>
        </w:rPr>
        <w:t>antipyretika</w:t>
      </w:r>
      <w:proofErr w:type="spellEnd"/>
      <w:r w:rsidRPr="00163966">
        <w:rPr>
          <w:sz w:val="24"/>
          <w:szCs w:val="24"/>
        </w:rPr>
        <w:t xml:space="preserve">, anilider, </w:t>
      </w:r>
    </w:p>
    <w:p w:rsidR="00274FA3" w:rsidRPr="00163966" w:rsidRDefault="00274FA3" w:rsidP="00274FA3">
      <w:pPr>
        <w:tabs>
          <w:tab w:val="left" w:pos="851"/>
        </w:tabs>
        <w:ind w:left="851"/>
        <w:rPr>
          <w:sz w:val="24"/>
          <w:szCs w:val="24"/>
        </w:rPr>
      </w:pPr>
      <w:r w:rsidRPr="00163966">
        <w:rPr>
          <w:sz w:val="24"/>
          <w:szCs w:val="24"/>
        </w:rPr>
        <w:t>ATC-kode: N02BE51.</w:t>
      </w:r>
    </w:p>
    <w:p w:rsidR="007744D4" w:rsidRPr="00163966" w:rsidRDefault="007744D4" w:rsidP="001E160E">
      <w:pPr>
        <w:suppressAutoHyphens/>
        <w:ind w:left="851"/>
        <w:rPr>
          <w:sz w:val="24"/>
          <w:szCs w:val="24"/>
        </w:rPr>
      </w:pPr>
    </w:p>
    <w:p w:rsidR="007744D4" w:rsidRPr="00163966" w:rsidRDefault="007744D4" w:rsidP="001E160E">
      <w:pPr>
        <w:ind w:left="851"/>
        <w:rPr>
          <w:sz w:val="24"/>
          <w:szCs w:val="24"/>
          <w:u w:val="single"/>
        </w:rPr>
      </w:pPr>
      <w:r w:rsidRPr="00163966">
        <w:rPr>
          <w:sz w:val="24"/>
          <w:szCs w:val="24"/>
          <w:u w:val="single"/>
          <w:lang w:eastAsia="da-DK"/>
        </w:rPr>
        <w:t>Virkningsmekanisme</w:t>
      </w:r>
    </w:p>
    <w:p w:rsidR="007744D4" w:rsidRPr="00163966" w:rsidRDefault="007744D4" w:rsidP="001E160E">
      <w:pPr>
        <w:ind w:left="851"/>
        <w:rPr>
          <w:sz w:val="24"/>
          <w:szCs w:val="24"/>
        </w:rPr>
      </w:pPr>
      <w:r w:rsidRPr="00163966">
        <w:rPr>
          <w:sz w:val="24"/>
          <w:szCs w:val="24"/>
          <w:lang w:eastAsia="da-DK"/>
        </w:rPr>
        <w:t>Selvom det nøjagtige sted og mekanismen bag paracetamols analgetiske virkning ikke er tydeligt defineret, ser det ud til, at det inducerer analgesi ved at forhøje smertetærsklen. Den potentielle mekanisme kan indebære hæmning af nitrogenoxidbanen, der formidles af flere forskellige neurotransmitterreceptorer, herunder N-</w:t>
      </w:r>
      <w:proofErr w:type="spellStart"/>
      <w:r w:rsidRPr="00163966">
        <w:rPr>
          <w:sz w:val="24"/>
          <w:szCs w:val="24"/>
          <w:lang w:eastAsia="da-DK"/>
        </w:rPr>
        <w:t>methyl</w:t>
      </w:r>
      <w:proofErr w:type="spellEnd"/>
      <w:r w:rsidRPr="00163966">
        <w:rPr>
          <w:sz w:val="24"/>
          <w:szCs w:val="24"/>
          <w:lang w:eastAsia="da-DK"/>
        </w:rPr>
        <w:t>-D-</w:t>
      </w:r>
      <w:proofErr w:type="spellStart"/>
      <w:r w:rsidRPr="00163966">
        <w:rPr>
          <w:sz w:val="24"/>
          <w:szCs w:val="24"/>
          <w:lang w:eastAsia="da-DK"/>
        </w:rPr>
        <w:t>aspartat</w:t>
      </w:r>
      <w:proofErr w:type="spellEnd"/>
      <w:r w:rsidRPr="00163966">
        <w:rPr>
          <w:sz w:val="24"/>
          <w:szCs w:val="24"/>
          <w:lang w:eastAsia="da-DK"/>
        </w:rPr>
        <w:t xml:space="preserve"> samt substans P.</w:t>
      </w:r>
    </w:p>
    <w:p w:rsidR="007744D4" w:rsidRPr="00163966" w:rsidRDefault="007744D4" w:rsidP="001E160E">
      <w:pPr>
        <w:ind w:left="851"/>
        <w:rPr>
          <w:sz w:val="24"/>
          <w:szCs w:val="24"/>
        </w:rPr>
      </w:pPr>
    </w:p>
    <w:p w:rsidR="007744D4" w:rsidRPr="00163966" w:rsidRDefault="007744D4" w:rsidP="001E160E">
      <w:pPr>
        <w:ind w:left="851"/>
        <w:rPr>
          <w:sz w:val="24"/>
          <w:szCs w:val="24"/>
        </w:rPr>
      </w:pPr>
      <w:r w:rsidRPr="00163966">
        <w:rPr>
          <w:sz w:val="24"/>
          <w:szCs w:val="24"/>
          <w:lang w:eastAsia="da-DK"/>
        </w:rPr>
        <w:lastRenderedPageBreak/>
        <w:t xml:space="preserve">Ibuprofen er et </w:t>
      </w:r>
      <w:proofErr w:type="spellStart"/>
      <w:r w:rsidRPr="00163966">
        <w:rPr>
          <w:sz w:val="24"/>
          <w:szCs w:val="24"/>
          <w:lang w:eastAsia="da-DK"/>
        </w:rPr>
        <w:t>propionsyrederivat</w:t>
      </w:r>
      <w:proofErr w:type="spellEnd"/>
      <w:r w:rsidRPr="00163966">
        <w:rPr>
          <w:sz w:val="24"/>
          <w:szCs w:val="24"/>
          <w:lang w:eastAsia="da-DK"/>
        </w:rPr>
        <w:t xml:space="preserve"> med analgetisk, antiinflammatorisk og </w:t>
      </w:r>
      <w:proofErr w:type="spellStart"/>
      <w:r w:rsidRPr="00163966">
        <w:rPr>
          <w:sz w:val="24"/>
          <w:szCs w:val="24"/>
          <w:lang w:eastAsia="da-DK"/>
        </w:rPr>
        <w:t>antipyretisk</w:t>
      </w:r>
      <w:proofErr w:type="spellEnd"/>
      <w:r w:rsidRPr="00163966">
        <w:rPr>
          <w:sz w:val="24"/>
          <w:szCs w:val="24"/>
          <w:lang w:eastAsia="da-DK"/>
        </w:rPr>
        <w:t xml:space="preserve"> aktivitet. Lægemidlets terapeutiske virkning som et NSAID er resultatet af dets hæmmende virkning på enzymet </w:t>
      </w:r>
      <w:proofErr w:type="spellStart"/>
      <w:r w:rsidRPr="00163966">
        <w:rPr>
          <w:sz w:val="24"/>
          <w:szCs w:val="24"/>
          <w:lang w:eastAsia="da-DK"/>
        </w:rPr>
        <w:t>cyclooxygenase</w:t>
      </w:r>
      <w:proofErr w:type="spellEnd"/>
      <w:r w:rsidRPr="00163966">
        <w:rPr>
          <w:sz w:val="24"/>
          <w:szCs w:val="24"/>
          <w:lang w:eastAsia="da-DK"/>
        </w:rPr>
        <w:t xml:space="preserve">, hvilket fører til nedsat </w:t>
      </w:r>
      <w:proofErr w:type="spellStart"/>
      <w:r w:rsidRPr="00163966">
        <w:rPr>
          <w:sz w:val="24"/>
          <w:szCs w:val="24"/>
          <w:lang w:eastAsia="da-DK"/>
        </w:rPr>
        <w:t>prostaglandinsyntese</w:t>
      </w:r>
      <w:proofErr w:type="spellEnd"/>
      <w:r w:rsidRPr="00163966">
        <w:rPr>
          <w:sz w:val="24"/>
          <w:szCs w:val="24"/>
          <w:lang w:eastAsia="da-DK"/>
        </w:rPr>
        <w:t>.</w:t>
      </w:r>
    </w:p>
    <w:p w:rsidR="007744D4" w:rsidRPr="00163966" w:rsidRDefault="007744D4" w:rsidP="001E160E">
      <w:pPr>
        <w:ind w:left="851"/>
        <w:rPr>
          <w:sz w:val="24"/>
          <w:szCs w:val="24"/>
        </w:rPr>
      </w:pPr>
    </w:p>
    <w:p w:rsidR="007744D4" w:rsidRPr="00163966" w:rsidRDefault="007744D4" w:rsidP="001E160E">
      <w:pPr>
        <w:ind w:left="851"/>
        <w:rPr>
          <w:sz w:val="24"/>
          <w:szCs w:val="24"/>
        </w:rPr>
      </w:pPr>
      <w:r w:rsidRPr="00163966">
        <w:rPr>
          <w:sz w:val="24"/>
          <w:szCs w:val="24"/>
          <w:lang w:eastAsia="da-DK"/>
        </w:rPr>
        <w:t xml:space="preserve">Forsøgsdata indikerer, at ibuprofen kan udløse en </w:t>
      </w:r>
      <w:proofErr w:type="spellStart"/>
      <w:r w:rsidRPr="00163966">
        <w:rPr>
          <w:sz w:val="24"/>
          <w:szCs w:val="24"/>
          <w:lang w:eastAsia="da-DK"/>
        </w:rPr>
        <w:t>kompetitiv</w:t>
      </w:r>
      <w:proofErr w:type="spellEnd"/>
      <w:r w:rsidRPr="00163966">
        <w:rPr>
          <w:sz w:val="24"/>
          <w:szCs w:val="24"/>
          <w:lang w:eastAsia="da-DK"/>
        </w:rPr>
        <w:t xml:space="preserve"> hæmning af lavdosis-acetylsalicylsyrens virkning på </w:t>
      </w:r>
      <w:proofErr w:type="spellStart"/>
      <w:r w:rsidRPr="00163966">
        <w:rPr>
          <w:sz w:val="24"/>
          <w:szCs w:val="24"/>
          <w:lang w:eastAsia="da-DK"/>
        </w:rPr>
        <w:t>trombocyaggregationen</w:t>
      </w:r>
      <w:proofErr w:type="spellEnd"/>
      <w:r w:rsidRPr="00163966">
        <w:rPr>
          <w:sz w:val="24"/>
          <w:szCs w:val="24"/>
          <w:lang w:eastAsia="da-DK"/>
        </w:rPr>
        <w:t xml:space="preserve">, når de gives samtidig. Nogle </w:t>
      </w:r>
      <w:proofErr w:type="spellStart"/>
      <w:r w:rsidRPr="00163966">
        <w:rPr>
          <w:sz w:val="24"/>
          <w:szCs w:val="24"/>
          <w:lang w:eastAsia="da-DK"/>
        </w:rPr>
        <w:t>farmakokinetiske</w:t>
      </w:r>
      <w:proofErr w:type="spellEnd"/>
      <w:r w:rsidRPr="00163966">
        <w:rPr>
          <w:sz w:val="24"/>
          <w:szCs w:val="24"/>
          <w:lang w:eastAsia="da-DK"/>
        </w:rPr>
        <w:t xml:space="preserve"> studier viser, at når enkelte doser ibuprofen 400 mg blev taget inden for 8 timer inden eller inden for 30 minutter efter indtagelse af hurtigtvirkende acetylsalicylsyre (81 mg), forekom der reduceret effekt af acetylsalicylsyren på dannelsen af </w:t>
      </w:r>
      <w:proofErr w:type="spellStart"/>
      <w:r w:rsidRPr="00163966">
        <w:rPr>
          <w:sz w:val="24"/>
          <w:szCs w:val="24"/>
          <w:lang w:eastAsia="da-DK"/>
        </w:rPr>
        <w:t>tromboxan</w:t>
      </w:r>
      <w:proofErr w:type="spellEnd"/>
      <w:r w:rsidRPr="00163966">
        <w:rPr>
          <w:sz w:val="24"/>
          <w:szCs w:val="24"/>
          <w:lang w:eastAsia="da-DK"/>
        </w:rPr>
        <w:t xml:space="preserve"> eller </w:t>
      </w:r>
      <w:proofErr w:type="spellStart"/>
      <w:r w:rsidRPr="00163966">
        <w:rPr>
          <w:sz w:val="24"/>
          <w:szCs w:val="24"/>
          <w:lang w:eastAsia="da-DK"/>
        </w:rPr>
        <w:t>trombocytaggregationen</w:t>
      </w:r>
      <w:proofErr w:type="spellEnd"/>
      <w:r w:rsidRPr="00163966">
        <w:rPr>
          <w:sz w:val="24"/>
          <w:szCs w:val="24"/>
          <w:lang w:eastAsia="da-DK"/>
        </w:rPr>
        <w:t xml:space="preserve">. Selvom der er uvished om ekstrapolering af disse data til den kliniske situation, kan man ikke udelukke muligheden for, at regelmæssig længerevarende anvendelse af ibuprofen kan mindske den </w:t>
      </w:r>
      <w:proofErr w:type="spellStart"/>
      <w:r w:rsidRPr="00163966">
        <w:rPr>
          <w:sz w:val="24"/>
          <w:szCs w:val="24"/>
          <w:lang w:eastAsia="da-DK"/>
        </w:rPr>
        <w:t>kardiobeskyttende</w:t>
      </w:r>
      <w:proofErr w:type="spellEnd"/>
      <w:r w:rsidRPr="00163966">
        <w:rPr>
          <w:sz w:val="24"/>
          <w:szCs w:val="24"/>
          <w:lang w:eastAsia="da-DK"/>
        </w:rPr>
        <w:t xml:space="preserve"> virkning af lavdosis-acetylsalicylsyre. Ingen klinisk relevant virkning anses for at være sandsynlig ved lejlighedsvis anvendelse af ibuprofen (se pkt. 4.5).</w:t>
      </w:r>
    </w:p>
    <w:p w:rsidR="007744D4" w:rsidRPr="00163966" w:rsidRDefault="007744D4" w:rsidP="001E160E">
      <w:pPr>
        <w:ind w:left="851"/>
        <w:rPr>
          <w:sz w:val="24"/>
          <w:szCs w:val="24"/>
        </w:rPr>
      </w:pPr>
    </w:p>
    <w:p w:rsidR="004926C0" w:rsidRPr="00D26EF0" w:rsidRDefault="004926C0" w:rsidP="004926C0">
      <w:pPr>
        <w:keepNext/>
        <w:ind w:left="851"/>
        <w:rPr>
          <w:sz w:val="24"/>
          <w:szCs w:val="24"/>
          <w:u w:val="single"/>
        </w:rPr>
      </w:pPr>
      <w:r w:rsidRPr="00D26EF0">
        <w:rPr>
          <w:sz w:val="24"/>
          <w:szCs w:val="24"/>
          <w:u w:val="single"/>
          <w:lang w:eastAsia="da-DK"/>
        </w:rPr>
        <w:t>Kliniske studier</w:t>
      </w:r>
    </w:p>
    <w:p w:rsidR="004926C0" w:rsidRPr="00D26EF0" w:rsidRDefault="004926C0" w:rsidP="004926C0">
      <w:pPr>
        <w:keepNext/>
        <w:ind w:left="851"/>
        <w:rPr>
          <w:sz w:val="24"/>
          <w:szCs w:val="24"/>
        </w:rPr>
      </w:pPr>
      <w:r w:rsidRPr="00D26EF0">
        <w:rPr>
          <w:sz w:val="24"/>
          <w:szCs w:val="24"/>
          <w:lang w:eastAsia="da-DK"/>
        </w:rPr>
        <w:t>I kliniske studier</w:t>
      </w:r>
      <w:r>
        <w:rPr>
          <w:sz w:val="24"/>
          <w:szCs w:val="24"/>
          <w:lang w:eastAsia="da-DK"/>
        </w:rPr>
        <w:t xml:space="preserve"> udført med denne faste dosiskombination af paracetamol/ibuprofen</w:t>
      </w:r>
      <w:r w:rsidRPr="00D26EF0">
        <w:rPr>
          <w:sz w:val="24"/>
          <w:szCs w:val="24"/>
          <w:lang w:eastAsia="da-DK"/>
        </w:rPr>
        <w:t xml:space="preserve"> deltog der ikke personer på 65 år og derover for at finde ud af, om de reagerer anderledes end yngre personer.</w:t>
      </w:r>
    </w:p>
    <w:p w:rsidR="004926C0" w:rsidRPr="00D26EF0" w:rsidRDefault="004926C0" w:rsidP="004926C0">
      <w:pPr>
        <w:ind w:left="851"/>
        <w:rPr>
          <w:sz w:val="24"/>
          <w:szCs w:val="24"/>
        </w:rPr>
      </w:pPr>
    </w:p>
    <w:p w:rsidR="004926C0" w:rsidRPr="00D26EF0" w:rsidRDefault="004926C0" w:rsidP="004926C0">
      <w:pPr>
        <w:ind w:left="851"/>
        <w:rPr>
          <w:sz w:val="24"/>
          <w:szCs w:val="24"/>
        </w:rPr>
      </w:pPr>
      <w:r w:rsidRPr="00D26EF0">
        <w:rPr>
          <w:sz w:val="24"/>
          <w:szCs w:val="24"/>
          <w:lang w:eastAsia="da-DK"/>
        </w:rPr>
        <w:t xml:space="preserve">I et virkningsstudie i fase III med 276 patienter med moderate </w:t>
      </w:r>
      <w:r>
        <w:rPr>
          <w:sz w:val="24"/>
          <w:szCs w:val="24"/>
          <w:lang w:eastAsia="da-DK"/>
        </w:rPr>
        <w:t xml:space="preserve">til svære </w:t>
      </w:r>
      <w:r w:rsidRPr="00D26EF0">
        <w:rPr>
          <w:sz w:val="24"/>
          <w:szCs w:val="24"/>
          <w:lang w:eastAsia="da-DK"/>
        </w:rPr>
        <w:t xml:space="preserve">smerter efter knystoperation gav </w:t>
      </w:r>
      <w:proofErr w:type="spellStart"/>
      <w:r w:rsidRPr="00D26EF0">
        <w:rPr>
          <w:sz w:val="24"/>
          <w:szCs w:val="24"/>
          <w:lang w:eastAsia="da-DK"/>
        </w:rPr>
        <w:t>Comboval</w:t>
      </w:r>
      <w:proofErr w:type="spellEnd"/>
      <w:r w:rsidRPr="00D26EF0">
        <w:rPr>
          <w:sz w:val="24"/>
          <w:szCs w:val="24"/>
          <w:lang w:eastAsia="da-DK"/>
        </w:rPr>
        <w:t xml:space="preserve"> bedre smertelindring end placebo eller sammenlignelige doser paracetamol eller ibuprofen alene.</w:t>
      </w:r>
    </w:p>
    <w:p w:rsidR="004926C0" w:rsidRPr="00D26EF0" w:rsidRDefault="004926C0" w:rsidP="004926C0">
      <w:pPr>
        <w:ind w:left="851"/>
        <w:rPr>
          <w:sz w:val="24"/>
          <w:szCs w:val="24"/>
        </w:rPr>
      </w:pPr>
    </w:p>
    <w:p w:rsidR="004926C0" w:rsidRPr="00D26EF0" w:rsidRDefault="004926C0" w:rsidP="004926C0">
      <w:pPr>
        <w:ind w:left="851"/>
        <w:rPr>
          <w:sz w:val="24"/>
          <w:szCs w:val="24"/>
        </w:rPr>
      </w:pPr>
      <w:r w:rsidRPr="00D26EF0">
        <w:rPr>
          <w:sz w:val="24"/>
          <w:szCs w:val="24"/>
          <w:lang w:eastAsia="da-DK"/>
        </w:rPr>
        <w:t xml:space="preserve">Analysen af den tidsjusterede difference i </w:t>
      </w:r>
      <w:proofErr w:type="spellStart"/>
      <w:r w:rsidRPr="00D26EF0">
        <w:rPr>
          <w:sz w:val="24"/>
          <w:szCs w:val="24"/>
          <w:lang w:eastAsia="da-DK"/>
        </w:rPr>
        <w:t>Summed</w:t>
      </w:r>
      <w:proofErr w:type="spellEnd"/>
      <w:r w:rsidRPr="00D26EF0">
        <w:rPr>
          <w:sz w:val="24"/>
          <w:szCs w:val="24"/>
          <w:lang w:eastAsia="da-DK"/>
        </w:rPr>
        <w:t xml:space="preserve"> Pain </w:t>
      </w:r>
      <w:proofErr w:type="spellStart"/>
      <w:r w:rsidRPr="00D26EF0">
        <w:rPr>
          <w:sz w:val="24"/>
          <w:szCs w:val="24"/>
          <w:lang w:eastAsia="da-DK"/>
        </w:rPr>
        <w:t>Intensity</w:t>
      </w:r>
      <w:proofErr w:type="spellEnd"/>
      <w:r w:rsidRPr="00D26EF0">
        <w:rPr>
          <w:sz w:val="24"/>
          <w:szCs w:val="24"/>
          <w:lang w:eastAsia="da-DK"/>
        </w:rPr>
        <w:t xml:space="preserve"> Difference (SPID) 0-48 timer viste, at </w:t>
      </w:r>
      <w:r>
        <w:rPr>
          <w:sz w:val="24"/>
          <w:szCs w:val="24"/>
          <w:lang w:eastAsia="da-DK"/>
        </w:rPr>
        <w:t>dette lægemiddel</w:t>
      </w:r>
      <w:r w:rsidRPr="00D26EF0">
        <w:rPr>
          <w:sz w:val="24"/>
          <w:szCs w:val="24"/>
          <w:lang w:eastAsia="da-DK"/>
        </w:rPr>
        <w:t xml:space="preserve"> (gennemsnit = 23,41; SE = 2,50) gav mere effektiv smertelindring end placebo (gennemsnit = -1.30; SE = 3,07), paracetamol (gennemsnit = 10,42; SE = 2,50) eller ibuprofen (gennemsnit = 9,51; SE = 2,49) (p&lt;0,001).</w:t>
      </w:r>
    </w:p>
    <w:p w:rsidR="007744D4" w:rsidRPr="00163966" w:rsidRDefault="007744D4" w:rsidP="004926C0">
      <w:pPr>
        <w:suppressAutoHyphens/>
        <w:rPr>
          <w:b/>
          <w:sz w:val="24"/>
          <w:szCs w:val="24"/>
        </w:rPr>
      </w:pPr>
    </w:p>
    <w:p w:rsidR="009260DE" w:rsidRPr="00163966" w:rsidRDefault="009260DE" w:rsidP="009260DE">
      <w:pPr>
        <w:tabs>
          <w:tab w:val="left" w:pos="851"/>
        </w:tabs>
        <w:ind w:left="851" w:hanging="851"/>
        <w:rPr>
          <w:b/>
          <w:sz w:val="24"/>
          <w:szCs w:val="24"/>
        </w:rPr>
      </w:pPr>
      <w:r w:rsidRPr="00163966">
        <w:rPr>
          <w:b/>
          <w:sz w:val="24"/>
          <w:szCs w:val="24"/>
        </w:rPr>
        <w:t>5.2</w:t>
      </w:r>
      <w:r w:rsidRPr="00163966">
        <w:rPr>
          <w:b/>
          <w:sz w:val="24"/>
          <w:szCs w:val="24"/>
        </w:rPr>
        <w:tab/>
      </w:r>
      <w:proofErr w:type="spellStart"/>
      <w:r w:rsidRPr="00163966">
        <w:rPr>
          <w:b/>
          <w:sz w:val="24"/>
          <w:szCs w:val="24"/>
        </w:rPr>
        <w:t>Farmakokinetiske</w:t>
      </w:r>
      <w:proofErr w:type="spellEnd"/>
      <w:r w:rsidRPr="00163966">
        <w:rPr>
          <w:b/>
          <w:sz w:val="24"/>
          <w:szCs w:val="24"/>
        </w:rPr>
        <w:t xml:space="preserve"> egenskaber</w:t>
      </w:r>
    </w:p>
    <w:p w:rsidR="001E160E" w:rsidRPr="00163966" w:rsidRDefault="001E160E" w:rsidP="001E160E">
      <w:pPr>
        <w:suppressAutoHyphens/>
        <w:ind w:left="851"/>
        <w:rPr>
          <w:sz w:val="24"/>
          <w:szCs w:val="24"/>
        </w:rPr>
      </w:pPr>
    </w:p>
    <w:p w:rsidR="004926C0" w:rsidRPr="00D26EF0" w:rsidRDefault="004926C0" w:rsidP="004926C0">
      <w:pPr>
        <w:ind w:left="851"/>
        <w:rPr>
          <w:sz w:val="24"/>
          <w:szCs w:val="24"/>
          <w:u w:val="single"/>
        </w:rPr>
      </w:pPr>
      <w:r w:rsidRPr="00D26EF0">
        <w:rPr>
          <w:sz w:val="24"/>
          <w:szCs w:val="24"/>
          <w:u w:val="single"/>
          <w:lang w:eastAsia="da-DK"/>
        </w:rPr>
        <w:t>Absorption</w:t>
      </w:r>
    </w:p>
    <w:p w:rsidR="004926C0" w:rsidRPr="00D26EF0" w:rsidRDefault="004926C0" w:rsidP="004926C0">
      <w:pPr>
        <w:ind w:left="851"/>
        <w:rPr>
          <w:sz w:val="24"/>
          <w:szCs w:val="24"/>
          <w:u w:val="single"/>
        </w:rPr>
      </w:pPr>
      <w:proofErr w:type="spellStart"/>
      <w:r w:rsidRPr="00D26EF0">
        <w:rPr>
          <w:sz w:val="24"/>
          <w:szCs w:val="24"/>
          <w:lang w:eastAsia="da-DK"/>
        </w:rPr>
        <w:t>Comboval</w:t>
      </w:r>
      <w:proofErr w:type="spellEnd"/>
      <w:r w:rsidRPr="00D26EF0">
        <w:rPr>
          <w:sz w:val="24"/>
          <w:szCs w:val="24"/>
          <w:lang w:eastAsia="da-DK"/>
        </w:rPr>
        <w:t xml:space="preserve"> administreres som en 15 minutters infusion, og de maksimale plasmakoncentrationer af hvert præparat nås i slutningen af infusionen. De to aktive stoffer i </w:t>
      </w:r>
      <w:r>
        <w:rPr>
          <w:sz w:val="24"/>
          <w:szCs w:val="24"/>
          <w:lang w:eastAsia="da-DK"/>
        </w:rPr>
        <w:t>dette lægemiddel</w:t>
      </w:r>
      <w:r w:rsidRPr="00D26EF0">
        <w:rPr>
          <w:sz w:val="24"/>
          <w:szCs w:val="24"/>
          <w:lang w:eastAsia="da-DK"/>
        </w:rPr>
        <w:t xml:space="preserve"> når de maksimale plasmaniveauer inden for samme tidsramme og har ensartede plasmahalveringstider (paracetamol 2,39 ± 0,27 timer, ibuprofen 1,88 ± 0,28 timer).</w:t>
      </w:r>
    </w:p>
    <w:p w:rsidR="004926C0" w:rsidRPr="00D26EF0" w:rsidRDefault="004926C0" w:rsidP="004926C0">
      <w:pPr>
        <w:ind w:left="851"/>
        <w:rPr>
          <w:sz w:val="24"/>
          <w:szCs w:val="24"/>
        </w:rPr>
      </w:pPr>
    </w:p>
    <w:p w:rsidR="004926C0" w:rsidRPr="00D26EF0" w:rsidRDefault="004926C0" w:rsidP="004926C0">
      <w:pPr>
        <w:ind w:left="851"/>
        <w:rPr>
          <w:sz w:val="24"/>
          <w:szCs w:val="24"/>
        </w:rPr>
      </w:pPr>
      <w:proofErr w:type="spellStart"/>
      <w:r w:rsidRPr="00D26EF0">
        <w:rPr>
          <w:sz w:val="24"/>
          <w:szCs w:val="24"/>
          <w:lang w:eastAsia="da-DK"/>
        </w:rPr>
        <w:t>Combovals</w:t>
      </w:r>
      <w:proofErr w:type="spellEnd"/>
      <w:r w:rsidRPr="00D26EF0">
        <w:rPr>
          <w:sz w:val="24"/>
          <w:szCs w:val="24"/>
          <w:lang w:eastAsia="da-DK"/>
        </w:rPr>
        <w:t xml:space="preserve"> </w:t>
      </w:r>
      <w:proofErr w:type="spellStart"/>
      <w:r w:rsidRPr="00D26EF0">
        <w:rPr>
          <w:sz w:val="24"/>
          <w:szCs w:val="24"/>
          <w:lang w:eastAsia="da-DK"/>
        </w:rPr>
        <w:t>farmakokinetiske</w:t>
      </w:r>
      <w:proofErr w:type="spellEnd"/>
      <w:r w:rsidRPr="00D26EF0">
        <w:rPr>
          <w:sz w:val="24"/>
          <w:szCs w:val="24"/>
          <w:lang w:eastAsia="da-DK"/>
        </w:rPr>
        <w:t xml:space="preserve"> parametre, der er fastlagt i et studie med 29 raske frivillige, vises i tabel </w:t>
      </w:r>
      <w:r>
        <w:rPr>
          <w:sz w:val="24"/>
          <w:szCs w:val="24"/>
          <w:lang w:eastAsia="da-DK"/>
        </w:rPr>
        <w:t>1</w:t>
      </w:r>
      <w:r w:rsidRPr="00D26EF0">
        <w:rPr>
          <w:sz w:val="24"/>
          <w:szCs w:val="24"/>
          <w:lang w:eastAsia="da-DK"/>
        </w:rPr>
        <w:t>.</w:t>
      </w:r>
    </w:p>
    <w:p w:rsidR="001E160E" w:rsidRPr="00163966" w:rsidRDefault="001E160E" w:rsidP="001E160E">
      <w:pPr>
        <w:ind w:left="851"/>
        <w:rPr>
          <w:sz w:val="24"/>
          <w:szCs w:val="24"/>
        </w:rPr>
      </w:pPr>
    </w:p>
    <w:p w:rsidR="004926C0" w:rsidRPr="00D26EF0" w:rsidRDefault="004926C0" w:rsidP="004926C0">
      <w:pPr>
        <w:ind w:left="851"/>
        <w:rPr>
          <w:b/>
          <w:sz w:val="24"/>
          <w:szCs w:val="24"/>
        </w:rPr>
      </w:pPr>
      <w:r w:rsidRPr="00D26EF0">
        <w:rPr>
          <w:b/>
          <w:sz w:val="24"/>
          <w:szCs w:val="24"/>
          <w:lang w:eastAsia="da-DK"/>
        </w:rPr>
        <w:t>Tabel </w:t>
      </w:r>
      <w:r>
        <w:rPr>
          <w:b/>
          <w:sz w:val="24"/>
          <w:szCs w:val="24"/>
          <w:lang w:eastAsia="da-DK"/>
        </w:rPr>
        <w:t>1</w:t>
      </w:r>
      <w:r w:rsidRPr="00D26EF0">
        <w:rPr>
          <w:b/>
          <w:sz w:val="24"/>
          <w:szCs w:val="24"/>
          <w:lang w:eastAsia="da-DK"/>
        </w:rPr>
        <w:t xml:space="preserve">: Gennemsnitlige (SD) </w:t>
      </w:r>
      <w:proofErr w:type="spellStart"/>
      <w:r w:rsidRPr="00D26EF0">
        <w:rPr>
          <w:b/>
          <w:sz w:val="24"/>
          <w:szCs w:val="24"/>
          <w:lang w:eastAsia="da-DK"/>
        </w:rPr>
        <w:t>farmakokinetiske</w:t>
      </w:r>
      <w:proofErr w:type="spellEnd"/>
      <w:r w:rsidRPr="00D26EF0">
        <w:rPr>
          <w:b/>
          <w:sz w:val="24"/>
          <w:szCs w:val="24"/>
          <w:lang w:eastAsia="da-DK"/>
        </w:rPr>
        <w:t xml:space="preserve"> parametre for paracetamol og ibuprofen i hver behandlingsgruppe</w:t>
      </w:r>
    </w:p>
    <w:tbl>
      <w:tblPr>
        <w:tblW w:w="9060" w:type="dxa"/>
        <w:tblBorders>
          <w:top w:val="single" w:sz="12" w:space="0" w:color="BFBFBF"/>
          <w:left w:val="dotted" w:sz="4" w:space="0" w:color="auto"/>
          <w:bottom w:val="single" w:sz="12" w:space="0" w:color="BFBFBF"/>
          <w:right w:val="dotted" w:sz="4" w:space="0" w:color="auto"/>
          <w:insideV w:val="dotted" w:sz="4" w:space="0" w:color="auto"/>
        </w:tblBorders>
        <w:tblLayout w:type="fixed"/>
        <w:tblLook w:val="04A0" w:firstRow="1" w:lastRow="0" w:firstColumn="1" w:lastColumn="0" w:noHBand="0" w:noVBand="1"/>
      </w:tblPr>
      <w:tblGrid>
        <w:gridCol w:w="1838"/>
        <w:gridCol w:w="1935"/>
        <w:gridCol w:w="1935"/>
        <w:gridCol w:w="1936"/>
        <w:gridCol w:w="1416"/>
      </w:tblGrid>
      <w:tr w:rsidR="001E160E" w:rsidRPr="00163966" w:rsidTr="001E160E">
        <w:trPr>
          <w:trHeight w:val="358"/>
        </w:trPr>
        <w:tc>
          <w:tcPr>
            <w:tcW w:w="1838" w:type="dxa"/>
            <w:tcBorders>
              <w:top w:val="single" w:sz="12" w:space="0" w:color="BFBFBF"/>
              <w:left w:val="dotted" w:sz="4" w:space="0" w:color="auto"/>
              <w:bottom w:val="single" w:sz="12" w:space="0" w:color="BFBFBF"/>
              <w:right w:val="dotted" w:sz="4" w:space="0" w:color="auto"/>
            </w:tcBorders>
            <w:vAlign w:val="center"/>
          </w:tcPr>
          <w:p w:rsidR="001E160E" w:rsidRPr="00163966" w:rsidRDefault="001E160E">
            <w:pPr>
              <w:rPr>
                <w:sz w:val="20"/>
              </w:rPr>
            </w:pPr>
          </w:p>
        </w:tc>
        <w:tc>
          <w:tcPr>
            <w:tcW w:w="7229" w:type="dxa"/>
            <w:gridSpan w:val="4"/>
            <w:tcBorders>
              <w:top w:val="single" w:sz="12" w:space="0" w:color="BFBFBF"/>
              <w:left w:val="dotted" w:sz="4" w:space="0" w:color="auto"/>
              <w:bottom w:val="single" w:sz="12" w:space="0" w:color="BFBFBF"/>
              <w:right w:val="dotted" w:sz="4" w:space="0" w:color="auto"/>
            </w:tcBorders>
            <w:noWrap/>
            <w:vAlign w:val="center"/>
            <w:hideMark/>
          </w:tcPr>
          <w:p w:rsidR="001E160E" w:rsidRPr="00163966" w:rsidRDefault="001E160E">
            <w:pPr>
              <w:jc w:val="center"/>
              <w:rPr>
                <w:b/>
                <w:sz w:val="20"/>
              </w:rPr>
            </w:pPr>
            <w:r w:rsidRPr="00163966">
              <w:rPr>
                <w:b/>
                <w:sz w:val="20"/>
                <w:szCs w:val="22"/>
              </w:rPr>
              <w:t>Behandling (gennemsnit ± SD)</w:t>
            </w:r>
          </w:p>
        </w:tc>
      </w:tr>
      <w:tr w:rsidR="001E160E" w:rsidRPr="0007245E" w:rsidTr="001E160E">
        <w:trPr>
          <w:trHeight w:val="759"/>
        </w:trPr>
        <w:tc>
          <w:tcPr>
            <w:tcW w:w="1838" w:type="dxa"/>
            <w:tcBorders>
              <w:top w:val="single" w:sz="12" w:space="0" w:color="BFBFBF"/>
              <w:left w:val="dotted" w:sz="4" w:space="0" w:color="auto"/>
              <w:bottom w:val="single" w:sz="12" w:space="0" w:color="BFBFBF"/>
              <w:right w:val="dotted" w:sz="4" w:space="0" w:color="auto"/>
            </w:tcBorders>
            <w:vAlign w:val="center"/>
            <w:hideMark/>
          </w:tcPr>
          <w:p w:rsidR="001E160E" w:rsidRPr="00163966" w:rsidRDefault="001E160E">
            <w:pPr>
              <w:rPr>
                <w:i/>
                <w:sz w:val="20"/>
              </w:rPr>
            </w:pPr>
            <w:r w:rsidRPr="00163966">
              <w:rPr>
                <w:i/>
                <w:sz w:val="20"/>
                <w:szCs w:val="22"/>
              </w:rPr>
              <w:t>Paracetamol</w:t>
            </w:r>
          </w:p>
        </w:tc>
        <w:tc>
          <w:tcPr>
            <w:tcW w:w="1937" w:type="dxa"/>
            <w:tcBorders>
              <w:top w:val="single" w:sz="12" w:space="0" w:color="BFBFBF"/>
              <w:left w:val="dotted" w:sz="4" w:space="0" w:color="auto"/>
              <w:bottom w:val="single" w:sz="12" w:space="0" w:color="BFBFBF"/>
              <w:right w:val="dotted" w:sz="4" w:space="0" w:color="auto"/>
            </w:tcBorders>
            <w:noWrap/>
            <w:vAlign w:val="center"/>
            <w:hideMark/>
          </w:tcPr>
          <w:p w:rsidR="001E160E" w:rsidRPr="00F65081" w:rsidRDefault="001E160E">
            <w:pPr>
              <w:jc w:val="center"/>
              <w:rPr>
                <w:b/>
                <w:sz w:val="20"/>
                <w:szCs w:val="22"/>
                <w:lang w:val="en-US" w:eastAsia="da-DK"/>
              </w:rPr>
            </w:pPr>
            <w:proofErr w:type="spellStart"/>
            <w:r w:rsidRPr="00F65081">
              <w:rPr>
                <w:b/>
                <w:sz w:val="20"/>
                <w:szCs w:val="22"/>
                <w:lang w:val="en-US" w:eastAsia="da-DK"/>
              </w:rPr>
              <w:t>Comboval</w:t>
            </w:r>
            <w:proofErr w:type="spellEnd"/>
          </w:p>
          <w:p w:rsidR="001E160E" w:rsidRPr="00F65081" w:rsidRDefault="001E160E">
            <w:pPr>
              <w:jc w:val="center"/>
              <w:rPr>
                <w:b/>
                <w:sz w:val="20"/>
                <w:lang w:val="en-US"/>
              </w:rPr>
            </w:pPr>
            <w:proofErr w:type="spellStart"/>
            <w:r w:rsidRPr="00F65081">
              <w:rPr>
                <w:b/>
                <w:sz w:val="20"/>
                <w:szCs w:val="22"/>
                <w:lang w:val="en-US"/>
              </w:rPr>
              <w:t>i.v.</w:t>
            </w:r>
            <w:proofErr w:type="spellEnd"/>
            <w:r w:rsidRPr="00F65081">
              <w:rPr>
                <w:b/>
                <w:sz w:val="20"/>
                <w:szCs w:val="22"/>
                <w:lang w:val="en-US"/>
              </w:rPr>
              <w:t xml:space="preserve"> infusion, 15 min</w:t>
            </w:r>
          </w:p>
        </w:tc>
        <w:tc>
          <w:tcPr>
            <w:tcW w:w="1937" w:type="dxa"/>
            <w:tcBorders>
              <w:top w:val="single" w:sz="12" w:space="0" w:color="BFBFBF"/>
              <w:left w:val="dotted" w:sz="4" w:space="0" w:color="auto"/>
              <w:bottom w:val="single" w:sz="12" w:space="0" w:color="BFBFBF"/>
              <w:right w:val="dotted" w:sz="4" w:space="0" w:color="auto"/>
            </w:tcBorders>
            <w:noWrap/>
            <w:vAlign w:val="center"/>
            <w:hideMark/>
          </w:tcPr>
          <w:p w:rsidR="001E160E" w:rsidRPr="00163966" w:rsidRDefault="001E160E">
            <w:pPr>
              <w:jc w:val="center"/>
              <w:rPr>
                <w:b/>
                <w:sz w:val="20"/>
              </w:rPr>
            </w:pPr>
            <w:r w:rsidRPr="00163966">
              <w:rPr>
                <w:b/>
                <w:sz w:val="20"/>
                <w:szCs w:val="22"/>
              </w:rPr>
              <w:t xml:space="preserve">Paracetamol </w:t>
            </w:r>
            <w:proofErr w:type="spellStart"/>
            <w:r w:rsidRPr="00163966">
              <w:rPr>
                <w:b/>
                <w:sz w:val="20"/>
                <w:szCs w:val="22"/>
              </w:rPr>
              <w:t>i.v</w:t>
            </w:r>
            <w:proofErr w:type="spellEnd"/>
            <w:r w:rsidRPr="00163966">
              <w:rPr>
                <w:b/>
                <w:sz w:val="20"/>
                <w:szCs w:val="22"/>
              </w:rPr>
              <w:t>.</w:t>
            </w:r>
          </w:p>
          <w:p w:rsidR="001E160E" w:rsidRPr="00163966" w:rsidRDefault="001E160E">
            <w:pPr>
              <w:jc w:val="center"/>
              <w:rPr>
                <w:b/>
                <w:sz w:val="20"/>
              </w:rPr>
            </w:pPr>
            <w:proofErr w:type="spellStart"/>
            <w:r w:rsidRPr="00163966">
              <w:rPr>
                <w:b/>
                <w:sz w:val="20"/>
                <w:szCs w:val="22"/>
              </w:rPr>
              <w:t>i.v</w:t>
            </w:r>
            <w:proofErr w:type="spellEnd"/>
            <w:r w:rsidRPr="00163966">
              <w:rPr>
                <w:b/>
                <w:sz w:val="20"/>
                <w:szCs w:val="22"/>
              </w:rPr>
              <w:t>. infusion, 15 min</w:t>
            </w:r>
          </w:p>
        </w:tc>
        <w:tc>
          <w:tcPr>
            <w:tcW w:w="1938" w:type="dxa"/>
            <w:tcBorders>
              <w:top w:val="single" w:sz="12" w:space="0" w:color="BFBFBF"/>
              <w:left w:val="dotted" w:sz="4" w:space="0" w:color="auto"/>
              <w:bottom w:val="single" w:sz="12" w:space="0" w:color="BFBFBF"/>
              <w:right w:val="dotted" w:sz="4" w:space="0" w:color="auto"/>
            </w:tcBorders>
            <w:noWrap/>
            <w:vAlign w:val="center"/>
            <w:hideMark/>
          </w:tcPr>
          <w:p w:rsidR="001E160E" w:rsidRPr="0007245E" w:rsidRDefault="001E160E">
            <w:pPr>
              <w:jc w:val="center"/>
              <w:rPr>
                <w:b/>
                <w:sz w:val="20"/>
                <w:lang w:val="sv-SE"/>
              </w:rPr>
            </w:pPr>
            <w:proofErr w:type="spellStart"/>
            <w:r w:rsidRPr="0007245E">
              <w:rPr>
                <w:b/>
                <w:sz w:val="20"/>
                <w:szCs w:val="22"/>
                <w:lang w:val="sv-SE" w:eastAsia="da-DK"/>
              </w:rPr>
              <w:t>Comboval</w:t>
            </w:r>
            <w:proofErr w:type="spellEnd"/>
            <w:r w:rsidRPr="0007245E">
              <w:rPr>
                <w:sz w:val="20"/>
                <w:szCs w:val="22"/>
                <w:lang w:val="sv-SE" w:eastAsia="da-DK"/>
              </w:rPr>
              <w:t xml:space="preserve"> </w:t>
            </w:r>
            <w:r w:rsidRPr="0007245E">
              <w:rPr>
                <w:b/>
                <w:sz w:val="20"/>
                <w:szCs w:val="22"/>
                <w:lang w:val="sv-SE"/>
              </w:rPr>
              <w:t>halv dosis</w:t>
            </w:r>
          </w:p>
          <w:p w:rsidR="001E160E" w:rsidRPr="0007245E" w:rsidRDefault="001E160E">
            <w:pPr>
              <w:jc w:val="center"/>
              <w:rPr>
                <w:b/>
                <w:sz w:val="20"/>
                <w:lang w:val="sv-SE"/>
              </w:rPr>
            </w:pPr>
            <w:proofErr w:type="spellStart"/>
            <w:r w:rsidRPr="0007245E">
              <w:rPr>
                <w:b/>
                <w:sz w:val="20"/>
                <w:szCs w:val="22"/>
                <w:lang w:val="sv-SE"/>
              </w:rPr>
              <w:t>i.v</w:t>
            </w:r>
            <w:proofErr w:type="spellEnd"/>
            <w:r w:rsidRPr="0007245E">
              <w:rPr>
                <w:b/>
                <w:sz w:val="20"/>
                <w:szCs w:val="22"/>
                <w:lang w:val="sv-SE"/>
              </w:rPr>
              <w:t>. infusion, 15 min</w:t>
            </w:r>
          </w:p>
        </w:tc>
        <w:tc>
          <w:tcPr>
            <w:tcW w:w="1417" w:type="dxa"/>
            <w:tcBorders>
              <w:top w:val="single" w:sz="12" w:space="0" w:color="BFBFBF"/>
              <w:left w:val="dotted" w:sz="4" w:space="0" w:color="auto"/>
              <w:bottom w:val="single" w:sz="12" w:space="0" w:color="BFBFBF"/>
              <w:right w:val="dotted" w:sz="4" w:space="0" w:color="auto"/>
            </w:tcBorders>
            <w:noWrap/>
            <w:vAlign w:val="center"/>
            <w:hideMark/>
          </w:tcPr>
          <w:p w:rsidR="001E160E" w:rsidRPr="0007245E" w:rsidRDefault="001E160E">
            <w:pPr>
              <w:jc w:val="center"/>
              <w:rPr>
                <w:b/>
                <w:sz w:val="20"/>
                <w:lang w:val="nb-NO"/>
              </w:rPr>
            </w:pPr>
            <w:r w:rsidRPr="0007245E">
              <w:rPr>
                <w:b/>
                <w:sz w:val="20"/>
                <w:szCs w:val="22"/>
                <w:lang w:val="nb-NO"/>
              </w:rPr>
              <w:t>Paracetamol-/ibuprofen-tabletter,</w:t>
            </w:r>
          </w:p>
          <w:p w:rsidR="001E160E" w:rsidRPr="0007245E" w:rsidRDefault="001E160E">
            <w:pPr>
              <w:jc w:val="center"/>
              <w:rPr>
                <w:b/>
                <w:sz w:val="20"/>
                <w:lang w:val="nb-NO"/>
              </w:rPr>
            </w:pPr>
            <w:r w:rsidRPr="0007245E">
              <w:rPr>
                <w:b/>
                <w:sz w:val="20"/>
                <w:szCs w:val="22"/>
                <w:lang w:val="nb-NO"/>
              </w:rPr>
              <w:t>oral tablet</w:t>
            </w:r>
          </w:p>
        </w:tc>
      </w:tr>
      <w:tr w:rsidR="001E160E" w:rsidRPr="00163966" w:rsidTr="001E160E">
        <w:trPr>
          <w:trHeight w:val="483"/>
        </w:trPr>
        <w:tc>
          <w:tcPr>
            <w:tcW w:w="1838" w:type="dxa"/>
            <w:tcBorders>
              <w:top w:val="single" w:sz="12" w:space="0" w:color="BFBFBF"/>
              <w:left w:val="dotted" w:sz="4" w:space="0" w:color="auto"/>
              <w:bottom w:val="nil"/>
              <w:right w:val="dotted" w:sz="4" w:space="0" w:color="auto"/>
            </w:tcBorders>
            <w:noWrap/>
            <w:vAlign w:val="center"/>
            <w:hideMark/>
          </w:tcPr>
          <w:p w:rsidR="001E160E" w:rsidRPr="00163966" w:rsidRDefault="001E160E">
            <w:pPr>
              <w:rPr>
                <w:sz w:val="20"/>
              </w:rPr>
            </w:pPr>
            <w:proofErr w:type="spellStart"/>
            <w:r w:rsidRPr="00163966">
              <w:rPr>
                <w:sz w:val="20"/>
                <w:szCs w:val="22"/>
              </w:rPr>
              <w:t>C</w:t>
            </w:r>
            <w:r w:rsidRPr="00163966">
              <w:rPr>
                <w:sz w:val="20"/>
                <w:szCs w:val="22"/>
                <w:vertAlign w:val="subscript"/>
              </w:rPr>
              <w:t>max</w:t>
            </w:r>
            <w:proofErr w:type="spellEnd"/>
            <w:r w:rsidRPr="00163966">
              <w:rPr>
                <w:sz w:val="20"/>
                <w:szCs w:val="22"/>
              </w:rPr>
              <w:t xml:space="preserve"> (</w:t>
            </w:r>
            <w:proofErr w:type="spellStart"/>
            <w:r w:rsidRPr="00163966">
              <w:rPr>
                <w:sz w:val="20"/>
                <w:szCs w:val="22"/>
              </w:rPr>
              <w:t>ng</w:t>
            </w:r>
            <w:proofErr w:type="spellEnd"/>
            <w:r w:rsidRPr="00163966">
              <w:rPr>
                <w:sz w:val="20"/>
                <w:szCs w:val="22"/>
              </w:rPr>
              <w:t>/ml)</w:t>
            </w:r>
          </w:p>
        </w:tc>
        <w:tc>
          <w:tcPr>
            <w:tcW w:w="1937" w:type="dxa"/>
            <w:tcBorders>
              <w:top w:val="single" w:sz="12" w:space="0" w:color="BFBFBF"/>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26.709,57</w:t>
            </w:r>
          </w:p>
          <w:p w:rsidR="001E160E" w:rsidRPr="00163966" w:rsidRDefault="001E160E">
            <w:pPr>
              <w:jc w:val="center"/>
              <w:rPr>
                <w:sz w:val="20"/>
              </w:rPr>
            </w:pPr>
            <w:r w:rsidRPr="00163966">
              <w:rPr>
                <w:sz w:val="20"/>
                <w:szCs w:val="22"/>
              </w:rPr>
              <w:t>± 5.814,74</w:t>
            </w:r>
          </w:p>
        </w:tc>
        <w:tc>
          <w:tcPr>
            <w:tcW w:w="1937" w:type="dxa"/>
            <w:tcBorders>
              <w:top w:val="single" w:sz="12" w:space="0" w:color="BFBFBF"/>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26.236,06</w:t>
            </w:r>
          </w:p>
          <w:p w:rsidR="001E160E" w:rsidRPr="00163966" w:rsidRDefault="001E160E">
            <w:pPr>
              <w:jc w:val="center"/>
              <w:rPr>
                <w:sz w:val="20"/>
              </w:rPr>
            </w:pPr>
            <w:r w:rsidRPr="00163966">
              <w:rPr>
                <w:sz w:val="20"/>
                <w:szCs w:val="22"/>
              </w:rPr>
              <w:t>± 5.430,52</w:t>
            </w:r>
          </w:p>
        </w:tc>
        <w:tc>
          <w:tcPr>
            <w:tcW w:w="1938" w:type="dxa"/>
            <w:tcBorders>
              <w:top w:val="single" w:sz="12" w:space="0" w:color="BFBFBF"/>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12.880,39</w:t>
            </w:r>
          </w:p>
          <w:p w:rsidR="001E160E" w:rsidRPr="00163966" w:rsidRDefault="001E160E">
            <w:pPr>
              <w:jc w:val="center"/>
              <w:rPr>
                <w:sz w:val="20"/>
              </w:rPr>
            </w:pPr>
            <w:r w:rsidRPr="00163966">
              <w:rPr>
                <w:sz w:val="20"/>
                <w:szCs w:val="22"/>
              </w:rPr>
              <w:t>± 2.553,15</w:t>
            </w:r>
          </w:p>
        </w:tc>
        <w:tc>
          <w:tcPr>
            <w:tcW w:w="1417" w:type="dxa"/>
            <w:tcBorders>
              <w:top w:val="single" w:sz="12" w:space="0" w:color="BFBFBF"/>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14.907,16</w:t>
            </w:r>
          </w:p>
          <w:p w:rsidR="001E160E" w:rsidRPr="00163966" w:rsidRDefault="001E160E">
            <w:pPr>
              <w:jc w:val="center"/>
              <w:rPr>
                <w:sz w:val="20"/>
              </w:rPr>
            </w:pPr>
            <w:r w:rsidRPr="00163966">
              <w:rPr>
                <w:sz w:val="20"/>
                <w:szCs w:val="22"/>
              </w:rPr>
              <w:t>± 6.255,10</w:t>
            </w:r>
          </w:p>
        </w:tc>
      </w:tr>
      <w:tr w:rsidR="001E160E" w:rsidRPr="00163966" w:rsidTr="001E160E">
        <w:trPr>
          <w:trHeight w:val="542"/>
        </w:trPr>
        <w:tc>
          <w:tcPr>
            <w:tcW w:w="1838" w:type="dxa"/>
            <w:tcBorders>
              <w:top w:val="nil"/>
              <w:left w:val="dotted" w:sz="4" w:space="0" w:color="auto"/>
              <w:bottom w:val="nil"/>
              <w:right w:val="dotted" w:sz="4" w:space="0" w:color="auto"/>
            </w:tcBorders>
            <w:noWrap/>
            <w:vAlign w:val="center"/>
            <w:hideMark/>
          </w:tcPr>
          <w:p w:rsidR="001E160E" w:rsidRPr="00163966" w:rsidRDefault="001E160E">
            <w:pPr>
              <w:rPr>
                <w:sz w:val="20"/>
              </w:rPr>
            </w:pPr>
            <w:r w:rsidRPr="00163966">
              <w:rPr>
                <w:sz w:val="20"/>
                <w:szCs w:val="22"/>
              </w:rPr>
              <w:t>AUC</w:t>
            </w:r>
            <w:r w:rsidRPr="00163966">
              <w:rPr>
                <w:sz w:val="20"/>
                <w:szCs w:val="22"/>
                <w:vertAlign w:val="subscript"/>
              </w:rPr>
              <w:t>0-t</w:t>
            </w:r>
            <w:r w:rsidRPr="00163966">
              <w:rPr>
                <w:sz w:val="20"/>
                <w:szCs w:val="22"/>
              </w:rPr>
              <w:t xml:space="preserve"> (ng.t/ml)</w:t>
            </w:r>
          </w:p>
        </w:tc>
        <w:tc>
          <w:tcPr>
            <w:tcW w:w="193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37.553,97</w:t>
            </w:r>
          </w:p>
          <w:p w:rsidR="001E160E" w:rsidRPr="00163966" w:rsidRDefault="001E160E">
            <w:pPr>
              <w:jc w:val="center"/>
              <w:rPr>
                <w:sz w:val="20"/>
              </w:rPr>
            </w:pPr>
            <w:r w:rsidRPr="00163966">
              <w:rPr>
                <w:sz w:val="20"/>
                <w:szCs w:val="22"/>
              </w:rPr>
              <w:t>± 9.816,96</w:t>
            </w:r>
          </w:p>
        </w:tc>
        <w:tc>
          <w:tcPr>
            <w:tcW w:w="193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35.846,20</w:t>
            </w:r>
          </w:p>
          <w:p w:rsidR="001E160E" w:rsidRPr="00163966" w:rsidRDefault="001E160E">
            <w:pPr>
              <w:jc w:val="center"/>
              <w:rPr>
                <w:sz w:val="20"/>
              </w:rPr>
            </w:pPr>
            <w:r w:rsidRPr="00163966">
              <w:rPr>
                <w:sz w:val="20"/>
                <w:szCs w:val="22"/>
              </w:rPr>
              <w:t>± 8.734,15</w:t>
            </w:r>
          </w:p>
        </w:tc>
        <w:tc>
          <w:tcPr>
            <w:tcW w:w="1938"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18.327,40</w:t>
            </w:r>
          </w:p>
          <w:p w:rsidR="001E160E" w:rsidRPr="00163966" w:rsidRDefault="001E160E">
            <w:pPr>
              <w:jc w:val="center"/>
              <w:rPr>
                <w:sz w:val="20"/>
              </w:rPr>
            </w:pPr>
            <w:r w:rsidRPr="00163966">
              <w:rPr>
                <w:sz w:val="20"/>
                <w:szCs w:val="22"/>
              </w:rPr>
              <w:t>± 4.758,34</w:t>
            </w:r>
          </w:p>
        </w:tc>
        <w:tc>
          <w:tcPr>
            <w:tcW w:w="141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34.980,80</w:t>
            </w:r>
          </w:p>
          <w:p w:rsidR="001E160E" w:rsidRPr="00163966" w:rsidRDefault="001E160E">
            <w:pPr>
              <w:jc w:val="center"/>
              <w:rPr>
                <w:sz w:val="20"/>
              </w:rPr>
            </w:pPr>
            <w:r w:rsidRPr="00163966">
              <w:rPr>
                <w:sz w:val="20"/>
                <w:szCs w:val="22"/>
              </w:rPr>
              <w:t>± 9.430,21</w:t>
            </w:r>
          </w:p>
        </w:tc>
      </w:tr>
      <w:tr w:rsidR="001E160E" w:rsidRPr="00163966" w:rsidTr="001E160E">
        <w:trPr>
          <w:trHeight w:val="564"/>
        </w:trPr>
        <w:tc>
          <w:tcPr>
            <w:tcW w:w="1838" w:type="dxa"/>
            <w:tcBorders>
              <w:top w:val="nil"/>
              <w:left w:val="dotted" w:sz="4" w:space="0" w:color="auto"/>
              <w:bottom w:val="nil"/>
              <w:right w:val="dotted" w:sz="4" w:space="0" w:color="auto"/>
            </w:tcBorders>
            <w:noWrap/>
            <w:vAlign w:val="center"/>
            <w:hideMark/>
          </w:tcPr>
          <w:p w:rsidR="001E160E" w:rsidRPr="00163966" w:rsidRDefault="001E160E">
            <w:pPr>
              <w:rPr>
                <w:sz w:val="20"/>
              </w:rPr>
            </w:pPr>
            <w:r w:rsidRPr="00163966">
              <w:rPr>
                <w:sz w:val="20"/>
                <w:szCs w:val="22"/>
              </w:rPr>
              <w:lastRenderedPageBreak/>
              <w:t>AUC</w:t>
            </w:r>
            <w:r w:rsidRPr="00163966">
              <w:rPr>
                <w:sz w:val="20"/>
                <w:szCs w:val="22"/>
                <w:vertAlign w:val="subscript"/>
              </w:rPr>
              <w:t>0-∞</w:t>
            </w:r>
            <w:r w:rsidRPr="00163966">
              <w:rPr>
                <w:sz w:val="20"/>
                <w:szCs w:val="22"/>
              </w:rPr>
              <w:t xml:space="preserve"> (ng.t/ml)</w:t>
            </w:r>
          </w:p>
        </w:tc>
        <w:tc>
          <w:tcPr>
            <w:tcW w:w="193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39.419,95</w:t>
            </w:r>
          </w:p>
          <w:p w:rsidR="001E160E" w:rsidRPr="00163966" w:rsidRDefault="001E160E">
            <w:pPr>
              <w:jc w:val="center"/>
              <w:rPr>
                <w:sz w:val="20"/>
              </w:rPr>
            </w:pPr>
            <w:r w:rsidRPr="00163966">
              <w:rPr>
                <w:sz w:val="20"/>
                <w:szCs w:val="22"/>
              </w:rPr>
              <w:t>± 10.630,63</w:t>
            </w:r>
          </w:p>
        </w:tc>
        <w:tc>
          <w:tcPr>
            <w:tcW w:w="193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37.651,43</w:t>
            </w:r>
          </w:p>
          <w:p w:rsidR="001E160E" w:rsidRPr="00163966" w:rsidRDefault="001E160E">
            <w:pPr>
              <w:jc w:val="center"/>
              <w:rPr>
                <w:sz w:val="20"/>
              </w:rPr>
            </w:pPr>
            <w:r w:rsidRPr="00163966">
              <w:rPr>
                <w:sz w:val="20"/>
                <w:szCs w:val="22"/>
              </w:rPr>
              <w:t>± 9.454,60</w:t>
            </w:r>
          </w:p>
        </w:tc>
        <w:tc>
          <w:tcPr>
            <w:tcW w:w="1938"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19.337,01</w:t>
            </w:r>
          </w:p>
          <w:p w:rsidR="001E160E" w:rsidRPr="00163966" w:rsidRDefault="001E160E">
            <w:pPr>
              <w:jc w:val="center"/>
              <w:rPr>
                <w:sz w:val="20"/>
              </w:rPr>
            </w:pPr>
            <w:r w:rsidRPr="00163966">
              <w:rPr>
                <w:sz w:val="20"/>
                <w:szCs w:val="22"/>
              </w:rPr>
              <w:t>± 5.146,46</w:t>
            </w:r>
          </w:p>
        </w:tc>
        <w:tc>
          <w:tcPr>
            <w:tcW w:w="141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37.023,82</w:t>
            </w:r>
          </w:p>
          <w:p w:rsidR="001E160E" w:rsidRPr="00163966" w:rsidRDefault="001E160E">
            <w:pPr>
              <w:jc w:val="center"/>
              <w:rPr>
                <w:sz w:val="20"/>
              </w:rPr>
            </w:pPr>
            <w:r w:rsidRPr="00163966">
              <w:rPr>
                <w:sz w:val="20"/>
                <w:szCs w:val="22"/>
              </w:rPr>
              <w:t>± 10.388,31</w:t>
            </w:r>
          </w:p>
        </w:tc>
      </w:tr>
      <w:tr w:rsidR="001E160E" w:rsidRPr="00163966" w:rsidTr="001E160E">
        <w:trPr>
          <w:trHeight w:val="558"/>
        </w:trPr>
        <w:tc>
          <w:tcPr>
            <w:tcW w:w="1838" w:type="dxa"/>
            <w:tcBorders>
              <w:top w:val="nil"/>
              <w:left w:val="dotted" w:sz="4" w:space="0" w:color="auto"/>
              <w:bottom w:val="nil"/>
              <w:right w:val="dotted" w:sz="4" w:space="0" w:color="auto"/>
            </w:tcBorders>
            <w:noWrap/>
            <w:vAlign w:val="center"/>
            <w:hideMark/>
          </w:tcPr>
          <w:p w:rsidR="001E160E" w:rsidRPr="00163966" w:rsidRDefault="001E160E">
            <w:pPr>
              <w:rPr>
                <w:sz w:val="20"/>
              </w:rPr>
            </w:pPr>
            <w:proofErr w:type="spellStart"/>
            <w:r w:rsidRPr="00163966">
              <w:rPr>
                <w:sz w:val="20"/>
                <w:szCs w:val="22"/>
              </w:rPr>
              <w:t>T</w:t>
            </w:r>
            <w:r w:rsidRPr="00163966">
              <w:rPr>
                <w:sz w:val="20"/>
                <w:szCs w:val="22"/>
                <w:vertAlign w:val="subscript"/>
              </w:rPr>
              <w:t>max</w:t>
            </w:r>
            <w:proofErr w:type="spellEnd"/>
            <w:r w:rsidRPr="00163966">
              <w:rPr>
                <w:sz w:val="20"/>
                <w:szCs w:val="22"/>
              </w:rPr>
              <w:t xml:space="preserve"> (t)</w:t>
            </w:r>
          </w:p>
        </w:tc>
        <w:tc>
          <w:tcPr>
            <w:tcW w:w="193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0,25 (infusion afsluttet)</w:t>
            </w:r>
          </w:p>
        </w:tc>
        <w:tc>
          <w:tcPr>
            <w:tcW w:w="193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0,25 (infusion afsluttet)</w:t>
            </w:r>
          </w:p>
        </w:tc>
        <w:tc>
          <w:tcPr>
            <w:tcW w:w="1938"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0,25 (infusion afsluttet)</w:t>
            </w:r>
          </w:p>
        </w:tc>
        <w:tc>
          <w:tcPr>
            <w:tcW w:w="141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0,73 ± 0,42</w:t>
            </w:r>
          </w:p>
        </w:tc>
      </w:tr>
      <w:tr w:rsidR="001E160E" w:rsidRPr="00163966" w:rsidTr="001E160E">
        <w:trPr>
          <w:trHeight w:val="552"/>
        </w:trPr>
        <w:tc>
          <w:tcPr>
            <w:tcW w:w="1838" w:type="dxa"/>
            <w:tcBorders>
              <w:top w:val="nil"/>
              <w:left w:val="dotted" w:sz="4" w:space="0" w:color="auto"/>
              <w:bottom w:val="single" w:sz="12" w:space="0" w:color="BFBFBF"/>
              <w:right w:val="dotted" w:sz="4" w:space="0" w:color="auto"/>
            </w:tcBorders>
            <w:noWrap/>
            <w:vAlign w:val="center"/>
            <w:hideMark/>
          </w:tcPr>
          <w:p w:rsidR="001E160E" w:rsidRPr="00163966" w:rsidRDefault="001E160E">
            <w:pPr>
              <w:rPr>
                <w:sz w:val="20"/>
              </w:rPr>
            </w:pPr>
            <w:r w:rsidRPr="00163966">
              <w:rPr>
                <w:sz w:val="20"/>
                <w:szCs w:val="22"/>
              </w:rPr>
              <w:t>t</w:t>
            </w:r>
            <w:r w:rsidRPr="00163966">
              <w:rPr>
                <w:sz w:val="20"/>
                <w:szCs w:val="22"/>
                <w:vertAlign w:val="subscript"/>
              </w:rPr>
              <w:t>1/2</w:t>
            </w:r>
            <w:r w:rsidRPr="00163966">
              <w:rPr>
                <w:sz w:val="20"/>
                <w:szCs w:val="22"/>
              </w:rPr>
              <w:t xml:space="preserve"> (t)</w:t>
            </w:r>
          </w:p>
        </w:tc>
        <w:tc>
          <w:tcPr>
            <w:tcW w:w="1937" w:type="dxa"/>
            <w:tcBorders>
              <w:top w:val="nil"/>
              <w:left w:val="dotted" w:sz="4" w:space="0" w:color="auto"/>
              <w:bottom w:val="single" w:sz="12" w:space="0" w:color="BFBFBF"/>
              <w:right w:val="dotted" w:sz="4" w:space="0" w:color="auto"/>
            </w:tcBorders>
            <w:noWrap/>
            <w:vAlign w:val="center"/>
            <w:hideMark/>
          </w:tcPr>
          <w:p w:rsidR="001E160E" w:rsidRPr="00163966" w:rsidRDefault="001E160E">
            <w:pPr>
              <w:jc w:val="center"/>
              <w:rPr>
                <w:sz w:val="20"/>
              </w:rPr>
            </w:pPr>
            <w:r w:rsidRPr="00163966">
              <w:rPr>
                <w:sz w:val="20"/>
                <w:szCs w:val="22"/>
              </w:rPr>
              <w:t>2,39 ± 0,27</w:t>
            </w:r>
          </w:p>
        </w:tc>
        <w:tc>
          <w:tcPr>
            <w:tcW w:w="1937" w:type="dxa"/>
            <w:tcBorders>
              <w:top w:val="nil"/>
              <w:left w:val="dotted" w:sz="4" w:space="0" w:color="auto"/>
              <w:bottom w:val="single" w:sz="12" w:space="0" w:color="BFBFBF"/>
              <w:right w:val="dotted" w:sz="4" w:space="0" w:color="auto"/>
            </w:tcBorders>
            <w:noWrap/>
            <w:vAlign w:val="center"/>
            <w:hideMark/>
          </w:tcPr>
          <w:p w:rsidR="001E160E" w:rsidRPr="00163966" w:rsidRDefault="001E160E">
            <w:pPr>
              <w:jc w:val="center"/>
              <w:rPr>
                <w:sz w:val="20"/>
              </w:rPr>
            </w:pPr>
            <w:r w:rsidRPr="00163966">
              <w:rPr>
                <w:sz w:val="20"/>
                <w:szCs w:val="22"/>
              </w:rPr>
              <w:t>2,38 ± 0,25</w:t>
            </w:r>
          </w:p>
        </w:tc>
        <w:tc>
          <w:tcPr>
            <w:tcW w:w="1938" w:type="dxa"/>
            <w:tcBorders>
              <w:top w:val="nil"/>
              <w:left w:val="dotted" w:sz="4" w:space="0" w:color="auto"/>
              <w:bottom w:val="single" w:sz="12" w:space="0" w:color="BFBFBF"/>
              <w:right w:val="dotted" w:sz="4" w:space="0" w:color="auto"/>
            </w:tcBorders>
            <w:noWrap/>
            <w:vAlign w:val="center"/>
            <w:hideMark/>
          </w:tcPr>
          <w:p w:rsidR="001E160E" w:rsidRPr="00163966" w:rsidRDefault="001E160E">
            <w:pPr>
              <w:jc w:val="center"/>
              <w:rPr>
                <w:sz w:val="20"/>
              </w:rPr>
            </w:pPr>
            <w:r w:rsidRPr="00163966">
              <w:rPr>
                <w:sz w:val="20"/>
                <w:szCs w:val="22"/>
              </w:rPr>
              <w:t>2,44 ± 0,25</w:t>
            </w:r>
          </w:p>
        </w:tc>
        <w:tc>
          <w:tcPr>
            <w:tcW w:w="1417" w:type="dxa"/>
            <w:tcBorders>
              <w:top w:val="nil"/>
              <w:left w:val="dotted" w:sz="4" w:space="0" w:color="auto"/>
              <w:bottom w:val="single" w:sz="12" w:space="0" w:color="BFBFBF"/>
              <w:right w:val="dotted" w:sz="4" w:space="0" w:color="auto"/>
            </w:tcBorders>
            <w:noWrap/>
            <w:vAlign w:val="center"/>
            <w:hideMark/>
          </w:tcPr>
          <w:p w:rsidR="001E160E" w:rsidRPr="00163966" w:rsidRDefault="001E160E">
            <w:pPr>
              <w:jc w:val="center"/>
              <w:rPr>
                <w:sz w:val="20"/>
              </w:rPr>
            </w:pPr>
            <w:r w:rsidRPr="00163966">
              <w:rPr>
                <w:sz w:val="20"/>
                <w:szCs w:val="22"/>
              </w:rPr>
              <w:t>2,51 ± 0,33</w:t>
            </w:r>
          </w:p>
        </w:tc>
      </w:tr>
      <w:tr w:rsidR="001E160E" w:rsidRPr="0007245E" w:rsidTr="001E160E">
        <w:trPr>
          <w:trHeight w:val="540"/>
        </w:trPr>
        <w:tc>
          <w:tcPr>
            <w:tcW w:w="1838" w:type="dxa"/>
            <w:tcBorders>
              <w:top w:val="single" w:sz="12" w:space="0" w:color="BFBFBF"/>
              <w:left w:val="dotted" w:sz="4" w:space="0" w:color="auto"/>
              <w:bottom w:val="single" w:sz="12" w:space="0" w:color="BFBFBF"/>
              <w:right w:val="dotted" w:sz="4" w:space="0" w:color="auto"/>
            </w:tcBorders>
            <w:vAlign w:val="center"/>
            <w:hideMark/>
          </w:tcPr>
          <w:p w:rsidR="001E160E" w:rsidRPr="00163966" w:rsidRDefault="001E160E">
            <w:pPr>
              <w:rPr>
                <w:i/>
                <w:sz w:val="20"/>
              </w:rPr>
            </w:pPr>
            <w:r w:rsidRPr="00163966">
              <w:rPr>
                <w:i/>
                <w:sz w:val="20"/>
                <w:szCs w:val="22"/>
              </w:rPr>
              <w:t>Ibuprofen</w:t>
            </w:r>
          </w:p>
        </w:tc>
        <w:tc>
          <w:tcPr>
            <w:tcW w:w="1937" w:type="dxa"/>
            <w:tcBorders>
              <w:top w:val="single" w:sz="12" w:space="0" w:color="BFBFBF"/>
              <w:left w:val="dotted" w:sz="4" w:space="0" w:color="auto"/>
              <w:bottom w:val="single" w:sz="12" w:space="0" w:color="BFBFBF"/>
              <w:right w:val="dotted" w:sz="4" w:space="0" w:color="auto"/>
            </w:tcBorders>
            <w:noWrap/>
            <w:vAlign w:val="center"/>
            <w:hideMark/>
          </w:tcPr>
          <w:p w:rsidR="001E160E" w:rsidRPr="00F65081" w:rsidRDefault="001E160E">
            <w:pPr>
              <w:jc w:val="center"/>
              <w:rPr>
                <w:sz w:val="20"/>
                <w:szCs w:val="22"/>
                <w:lang w:val="en-US" w:eastAsia="da-DK"/>
              </w:rPr>
            </w:pPr>
            <w:proofErr w:type="spellStart"/>
            <w:r w:rsidRPr="00F65081">
              <w:rPr>
                <w:b/>
                <w:sz w:val="20"/>
                <w:szCs w:val="22"/>
                <w:lang w:val="en-US" w:eastAsia="da-DK"/>
              </w:rPr>
              <w:t>Comboval</w:t>
            </w:r>
            <w:proofErr w:type="spellEnd"/>
          </w:p>
          <w:p w:rsidR="001E160E" w:rsidRPr="00F65081" w:rsidRDefault="001E160E">
            <w:pPr>
              <w:jc w:val="center"/>
              <w:rPr>
                <w:b/>
                <w:sz w:val="20"/>
                <w:lang w:val="en-US"/>
              </w:rPr>
            </w:pPr>
            <w:proofErr w:type="spellStart"/>
            <w:r w:rsidRPr="00F65081">
              <w:rPr>
                <w:b/>
                <w:sz w:val="20"/>
                <w:szCs w:val="22"/>
                <w:lang w:val="en-US"/>
              </w:rPr>
              <w:t>i.v.</w:t>
            </w:r>
            <w:proofErr w:type="spellEnd"/>
            <w:r w:rsidRPr="00F65081">
              <w:rPr>
                <w:b/>
                <w:sz w:val="20"/>
                <w:szCs w:val="22"/>
                <w:lang w:val="en-US"/>
              </w:rPr>
              <w:t xml:space="preserve"> infusion, 15 min</w:t>
            </w:r>
          </w:p>
        </w:tc>
        <w:tc>
          <w:tcPr>
            <w:tcW w:w="1937" w:type="dxa"/>
            <w:tcBorders>
              <w:top w:val="single" w:sz="12" w:space="0" w:color="BFBFBF"/>
              <w:left w:val="dotted" w:sz="4" w:space="0" w:color="auto"/>
              <w:bottom w:val="single" w:sz="12" w:space="0" w:color="BFBFBF"/>
              <w:right w:val="dotted" w:sz="4" w:space="0" w:color="auto"/>
            </w:tcBorders>
            <w:noWrap/>
            <w:vAlign w:val="center"/>
            <w:hideMark/>
          </w:tcPr>
          <w:p w:rsidR="001E160E" w:rsidRPr="0007245E" w:rsidRDefault="001E160E">
            <w:pPr>
              <w:jc w:val="center"/>
              <w:rPr>
                <w:b/>
                <w:sz w:val="20"/>
                <w:lang w:val="sv-SE"/>
              </w:rPr>
            </w:pPr>
            <w:r w:rsidRPr="0007245E">
              <w:rPr>
                <w:b/>
                <w:sz w:val="20"/>
                <w:szCs w:val="22"/>
                <w:lang w:val="sv-SE"/>
              </w:rPr>
              <w:t xml:space="preserve">Ibuprofen </w:t>
            </w:r>
            <w:proofErr w:type="spellStart"/>
            <w:r w:rsidRPr="0007245E">
              <w:rPr>
                <w:b/>
                <w:sz w:val="20"/>
                <w:szCs w:val="22"/>
                <w:lang w:val="sv-SE"/>
              </w:rPr>
              <w:t>i.v</w:t>
            </w:r>
            <w:proofErr w:type="spellEnd"/>
            <w:r w:rsidRPr="0007245E">
              <w:rPr>
                <w:b/>
                <w:sz w:val="20"/>
                <w:szCs w:val="22"/>
                <w:lang w:val="sv-SE"/>
              </w:rPr>
              <w:t>.</w:t>
            </w:r>
          </w:p>
          <w:p w:rsidR="001E160E" w:rsidRPr="0007245E" w:rsidRDefault="001E160E">
            <w:pPr>
              <w:jc w:val="center"/>
              <w:rPr>
                <w:b/>
                <w:sz w:val="20"/>
                <w:lang w:val="sv-SE"/>
              </w:rPr>
            </w:pPr>
            <w:proofErr w:type="spellStart"/>
            <w:r w:rsidRPr="0007245E">
              <w:rPr>
                <w:b/>
                <w:sz w:val="20"/>
                <w:szCs w:val="22"/>
                <w:lang w:val="sv-SE"/>
              </w:rPr>
              <w:t>i.v</w:t>
            </w:r>
            <w:proofErr w:type="spellEnd"/>
            <w:r w:rsidRPr="0007245E">
              <w:rPr>
                <w:b/>
                <w:sz w:val="20"/>
                <w:szCs w:val="22"/>
                <w:lang w:val="sv-SE"/>
              </w:rPr>
              <w:t>. infusion, 15 min</w:t>
            </w:r>
          </w:p>
        </w:tc>
        <w:tc>
          <w:tcPr>
            <w:tcW w:w="1938" w:type="dxa"/>
            <w:tcBorders>
              <w:top w:val="single" w:sz="12" w:space="0" w:color="BFBFBF"/>
              <w:left w:val="dotted" w:sz="4" w:space="0" w:color="auto"/>
              <w:bottom w:val="single" w:sz="12" w:space="0" w:color="BFBFBF"/>
              <w:right w:val="dotted" w:sz="4" w:space="0" w:color="auto"/>
            </w:tcBorders>
            <w:noWrap/>
            <w:vAlign w:val="center"/>
            <w:hideMark/>
          </w:tcPr>
          <w:p w:rsidR="001E160E" w:rsidRPr="0007245E" w:rsidRDefault="001E160E">
            <w:pPr>
              <w:jc w:val="center"/>
              <w:rPr>
                <w:b/>
                <w:sz w:val="20"/>
                <w:lang w:val="sv-SE"/>
              </w:rPr>
            </w:pPr>
            <w:proofErr w:type="spellStart"/>
            <w:r w:rsidRPr="0007245E">
              <w:rPr>
                <w:b/>
                <w:sz w:val="20"/>
                <w:szCs w:val="22"/>
                <w:lang w:val="sv-SE" w:eastAsia="da-DK"/>
              </w:rPr>
              <w:t>Comboval</w:t>
            </w:r>
            <w:proofErr w:type="spellEnd"/>
            <w:r w:rsidRPr="0007245E">
              <w:rPr>
                <w:sz w:val="20"/>
                <w:szCs w:val="22"/>
                <w:lang w:val="sv-SE" w:eastAsia="da-DK"/>
              </w:rPr>
              <w:t xml:space="preserve"> </w:t>
            </w:r>
            <w:r w:rsidRPr="0007245E">
              <w:rPr>
                <w:b/>
                <w:sz w:val="20"/>
                <w:szCs w:val="22"/>
                <w:lang w:val="sv-SE"/>
              </w:rPr>
              <w:t>halv dosis</w:t>
            </w:r>
          </w:p>
          <w:p w:rsidR="001E160E" w:rsidRPr="0007245E" w:rsidRDefault="001E160E">
            <w:pPr>
              <w:jc w:val="center"/>
              <w:rPr>
                <w:b/>
                <w:sz w:val="20"/>
                <w:lang w:val="sv-SE"/>
              </w:rPr>
            </w:pPr>
            <w:proofErr w:type="spellStart"/>
            <w:r w:rsidRPr="0007245E">
              <w:rPr>
                <w:b/>
                <w:sz w:val="20"/>
                <w:szCs w:val="22"/>
                <w:lang w:val="sv-SE"/>
              </w:rPr>
              <w:t>i.v</w:t>
            </w:r>
            <w:proofErr w:type="spellEnd"/>
            <w:r w:rsidRPr="0007245E">
              <w:rPr>
                <w:b/>
                <w:sz w:val="20"/>
                <w:szCs w:val="22"/>
                <w:lang w:val="sv-SE"/>
              </w:rPr>
              <w:t>. infusion, 15 min</w:t>
            </w:r>
          </w:p>
        </w:tc>
        <w:tc>
          <w:tcPr>
            <w:tcW w:w="1417" w:type="dxa"/>
            <w:tcBorders>
              <w:top w:val="single" w:sz="12" w:space="0" w:color="BFBFBF"/>
              <w:left w:val="dotted" w:sz="4" w:space="0" w:color="auto"/>
              <w:bottom w:val="single" w:sz="12" w:space="0" w:color="BFBFBF"/>
              <w:right w:val="dotted" w:sz="4" w:space="0" w:color="auto"/>
            </w:tcBorders>
            <w:noWrap/>
            <w:vAlign w:val="center"/>
            <w:hideMark/>
          </w:tcPr>
          <w:p w:rsidR="001E160E" w:rsidRPr="0007245E" w:rsidRDefault="001E160E">
            <w:pPr>
              <w:jc w:val="center"/>
              <w:rPr>
                <w:b/>
                <w:sz w:val="20"/>
                <w:lang w:val="nb-NO"/>
              </w:rPr>
            </w:pPr>
            <w:r w:rsidRPr="0007245E">
              <w:rPr>
                <w:b/>
                <w:sz w:val="20"/>
                <w:szCs w:val="22"/>
                <w:lang w:val="nb-NO"/>
              </w:rPr>
              <w:t>Paracetamol-/ibuprofen-tabletter,</w:t>
            </w:r>
          </w:p>
          <w:p w:rsidR="001E160E" w:rsidRPr="0007245E" w:rsidRDefault="001E160E">
            <w:pPr>
              <w:jc w:val="center"/>
              <w:rPr>
                <w:b/>
                <w:sz w:val="20"/>
                <w:lang w:val="nb-NO"/>
              </w:rPr>
            </w:pPr>
            <w:r w:rsidRPr="0007245E">
              <w:rPr>
                <w:b/>
                <w:sz w:val="20"/>
                <w:szCs w:val="22"/>
                <w:lang w:val="nb-NO"/>
              </w:rPr>
              <w:t>oral tablet</w:t>
            </w:r>
          </w:p>
        </w:tc>
      </w:tr>
      <w:tr w:rsidR="001E160E" w:rsidRPr="00163966" w:rsidTr="001E160E">
        <w:trPr>
          <w:trHeight w:val="558"/>
        </w:trPr>
        <w:tc>
          <w:tcPr>
            <w:tcW w:w="1838" w:type="dxa"/>
            <w:tcBorders>
              <w:top w:val="single" w:sz="12" w:space="0" w:color="BFBFBF"/>
              <w:left w:val="dotted" w:sz="4" w:space="0" w:color="auto"/>
              <w:bottom w:val="nil"/>
              <w:right w:val="dotted" w:sz="4" w:space="0" w:color="auto"/>
            </w:tcBorders>
            <w:noWrap/>
            <w:vAlign w:val="center"/>
            <w:hideMark/>
          </w:tcPr>
          <w:p w:rsidR="001E160E" w:rsidRPr="00163966" w:rsidRDefault="001E160E">
            <w:pPr>
              <w:rPr>
                <w:sz w:val="20"/>
              </w:rPr>
            </w:pPr>
            <w:proofErr w:type="spellStart"/>
            <w:r w:rsidRPr="00163966">
              <w:rPr>
                <w:sz w:val="20"/>
                <w:szCs w:val="22"/>
              </w:rPr>
              <w:t>C</w:t>
            </w:r>
            <w:r w:rsidRPr="00163966">
              <w:rPr>
                <w:sz w:val="20"/>
                <w:szCs w:val="22"/>
                <w:vertAlign w:val="subscript"/>
              </w:rPr>
              <w:t>max</w:t>
            </w:r>
            <w:proofErr w:type="spellEnd"/>
            <w:r w:rsidRPr="00163966">
              <w:rPr>
                <w:sz w:val="20"/>
                <w:szCs w:val="22"/>
              </w:rPr>
              <w:t xml:space="preserve"> (</w:t>
            </w:r>
            <w:proofErr w:type="spellStart"/>
            <w:r w:rsidRPr="00163966">
              <w:rPr>
                <w:sz w:val="20"/>
                <w:szCs w:val="22"/>
              </w:rPr>
              <w:t>ng</w:t>
            </w:r>
            <w:proofErr w:type="spellEnd"/>
            <w:r w:rsidRPr="00163966">
              <w:rPr>
                <w:sz w:val="20"/>
                <w:szCs w:val="22"/>
              </w:rPr>
              <w:t>/ml)</w:t>
            </w:r>
          </w:p>
        </w:tc>
        <w:tc>
          <w:tcPr>
            <w:tcW w:w="1937" w:type="dxa"/>
            <w:tcBorders>
              <w:top w:val="single" w:sz="12" w:space="0" w:color="BFBFBF"/>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39.506,69</w:t>
            </w:r>
          </w:p>
          <w:p w:rsidR="001E160E" w:rsidRPr="00163966" w:rsidRDefault="001E160E">
            <w:pPr>
              <w:jc w:val="center"/>
              <w:rPr>
                <w:sz w:val="20"/>
              </w:rPr>
            </w:pPr>
            <w:r w:rsidRPr="00163966">
              <w:rPr>
                <w:sz w:val="20"/>
                <w:szCs w:val="22"/>
              </w:rPr>
              <w:t>± 6.874,06</w:t>
            </w:r>
          </w:p>
        </w:tc>
        <w:tc>
          <w:tcPr>
            <w:tcW w:w="1937" w:type="dxa"/>
            <w:tcBorders>
              <w:top w:val="single" w:sz="12" w:space="0" w:color="BFBFBF"/>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40,292,97</w:t>
            </w:r>
          </w:p>
          <w:p w:rsidR="001E160E" w:rsidRPr="00163966" w:rsidRDefault="001E160E">
            <w:pPr>
              <w:jc w:val="center"/>
              <w:rPr>
                <w:sz w:val="20"/>
              </w:rPr>
            </w:pPr>
            <w:r w:rsidRPr="00163966">
              <w:rPr>
                <w:sz w:val="20"/>
                <w:szCs w:val="22"/>
              </w:rPr>
              <w:t>± 7.460,04</w:t>
            </w:r>
          </w:p>
        </w:tc>
        <w:tc>
          <w:tcPr>
            <w:tcW w:w="1938" w:type="dxa"/>
            <w:tcBorders>
              <w:top w:val="single" w:sz="12" w:space="0" w:color="BFBFBF"/>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20.352,05</w:t>
            </w:r>
          </w:p>
          <w:p w:rsidR="001E160E" w:rsidRPr="00163966" w:rsidRDefault="001E160E">
            <w:pPr>
              <w:jc w:val="center"/>
              <w:rPr>
                <w:sz w:val="20"/>
              </w:rPr>
            </w:pPr>
            <w:r w:rsidRPr="00163966">
              <w:rPr>
                <w:sz w:val="20"/>
                <w:szCs w:val="22"/>
              </w:rPr>
              <w:t>± 3.090,87</w:t>
            </w:r>
          </w:p>
        </w:tc>
        <w:tc>
          <w:tcPr>
            <w:tcW w:w="1417" w:type="dxa"/>
            <w:tcBorders>
              <w:top w:val="single" w:sz="12" w:space="0" w:color="BFBFBF"/>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19.637,38</w:t>
            </w:r>
          </w:p>
          <w:p w:rsidR="001E160E" w:rsidRPr="00163966" w:rsidRDefault="001E160E">
            <w:pPr>
              <w:jc w:val="center"/>
              <w:rPr>
                <w:sz w:val="20"/>
              </w:rPr>
            </w:pPr>
            <w:r w:rsidRPr="00163966">
              <w:rPr>
                <w:sz w:val="20"/>
                <w:szCs w:val="22"/>
              </w:rPr>
              <w:t>± 5.178,29</w:t>
            </w:r>
          </w:p>
        </w:tc>
      </w:tr>
      <w:tr w:rsidR="001E160E" w:rsidRPr="00163966" w:rsidTr="001E160E">
        <w:trPr>
          <w:trHeight w:val="548"/>
        </w:trPr>
        <w:tc>
          <w:tcPr>
            <w:tcW w:w="1838" w:type="dxa"/>
            <w:tcBorders>
              <w:top w:val="nil"/>
              <w:left w:val="dotted" w:sz="4" w:space="0" w:color="auto"/>
              <w:bottom w:val="nil"/>
              <w:right w:val="dotted" w:sz="4" w:space="0" w:color="auto"/>
            </w:tcBorders>
            <w:noWrap/>
            <w:vAlign w:val="center"/>
            <w:hideMark/>
          </w:tcPr>
          <w:p w:rsidR="001E160E" w:rsidRPr="00163966" w:rsidRDefault="001E160E">
            <w:pPr>
              <w:rPr>
                <w:sz w:val="20"/>
              </w:rPr>
            </w:pPr>
            <w:r w:rsidRPr="00163966">
              <w:rPr>
                <w:sz w:val="20"/>
                <w:szCs w:val="22"/>
              </w:rPr>
              <w:t>AUC</w:t>
            </w:r>
            <w:r w:rsidRPr="00163966">
              <w:rPr>
                <w:sz w:val="20"/>
                <w:szCs w:val="22"/>
                <w:vertAlign w:val="subscript"/>
              </w:rPr>
              <w:t>0-t</w:t>
            </w:r>
            <w:r w:rsidRPr="00163966">
              <w:rPr>
                <w:sz w:val="20"/>
                <w:szCs w:val="22"/>
              </w:rPr>
              <w:t xml:space="preserve"> (ng.t/ml)</w:t>
            </w:r>
          </w:p>
        </w:tc>
        <w:tc>
          <w:tcPr>
            <w:tcW w:w="193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73.492,69</w:t>
            </w:r>
          </w:p>
          <w:p w:rsidR="001E160E" w:rsidRPr="00163966" w:rsidRDefault="001E160E">
            <w:pPr>
              <w:jc w:val="center"/>
              <w:rPr>
                <w:sz w:val="20"/>
              </w:rPr>
            </w:pPr>
            <w:r w:rsidRPr="00163966">
              <w:rPr>
                <w:sz w:val="20"/>
                <w:szCs w:val="22"/>
              </w:rPr>
              <w:t>± 16.509,61</w:t>
            </w:r>
          </w:p>
        </w:tc>
        <w:tc>
          <w:tcPr>
            <w:tcW w:w="193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72.169,59</w:t>
            </w:r>
          </w:p>
          <w:p w:rsidR="001E160E" w:rsidRPr="00163966" w:rsidRDefault="001E160E">
            <w:pPr>
              <w:jc w:val="center"/>
              <w:rPr>
                <w:sz w:val="20"/>
              </w:rPr>
            </w:pPr>
            <w:r w:rsidRPr="00163966">
              <w:rPr>
                <w:sz w:val="20"/>
                <w:szCs w:val="22"/>
              </w:rPr>
              <w:t>± 15.608,70</w:t>
            </w:r>
          </w:p>
        </w:tc>
        <w:tc>
          <w:tcPr>
            <w:tcW w:w="1938"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39.642,48</w:t>
            </w:r>
          </w:p>
          <w:p w:rsidR="001E160E" w:rsidRPr="00163966" w:rsidRDefault="001E160E">
            <w:pPr>
              <w:jc w:val="center"/>
              <w:rPr>
                <w:sz w:val="20"/>
              </w:rPr>
            </w:pPr>
            <w:r w:rsidRPr="00163966">
              <w:rPr>
                <w:sz w:val="20"/>
                <w:szCs w:val="22"/>
              </w:rPr>
              <w:t>± 9.679,16</w:t>
            </w:r>
          </w:p>
        </w:tc>
        <w:tc>
          <w:tcPr>
            <w:tcW w:w="141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70.417,75</w:t>
            </w:r>
          </w:p>
          <w:p w:rsidR="001E160E" w:rsidRPr="00163966" w:rsidRDefault="001E160E">
            <w:pPr>
              <w:jc w:val="center"/>
              <w:rPr>
                <w:sz w:val="20"/>
              </w:rPr>
            </w:pPr>
            <w:r w:rsidRPr="00163966">
              <w:rPr>
                <w:sz w:val="20"/>
                <w:szCs w:val="22"/>
              </w:rPr>
              <w:t>± 16.260,16</w:t>
            </w:r>
          </w:p>
        </w:tc>
      </w:tr>
      <w:tr w:rsidR="001E160E" w:rsidRPr="00163966" w:rsidTr="001E160E">
        <w:trPr>
          <w:trHeight w:val="556"/>
        </w:trPr>
        <w:tc>
          <w:tcPr>
            <w:tcW w:w="1838" w:type="dxa"/>
            <w:tcBorders>
              <w:top w:val="nil"/>
              <w:left w:val="dotted" w:sz="4" w:space="0" w:color="auto"/>
              <w:bottom w:val="nil"/>
              <w:right w:val="dotted" w:sz="4" w:space="0" w:color="auto"/>
            </w:tcBorders>
            <w:noWrap/>
            <w:vAlign w:val="center"/>
            <w:hideMark/>
          </w:tcPr>
          <w:p w:rsidR="001E160E" w:rsidRPr="00163966" w:rsidRDefault="001E160E">
            <w:pPr>
              <w:rPr>
                <w:sz w:val="20"/>
              </w:rPr>
            </w:pPr>
            <w:r w:rsidRPr="00163966">
              <w:rPr>
                <w:sz w:val="20"/>
                <w:szCs w:val="22"/>
              </w:rPr>
              <w:t>AUC</w:t>
            </w:r>
            <w:r w:rsidRPr="00163966">
              <w:rPr>
                <w:sz w:val="20"/>
                <w:szCs w:val="22"/>
                <w:vertAlign w:val="subscript"/>
              </w:rPr>
              <w:t>0-∞</w:t>
            </w:r>
            <w:r w:rsidRPr="00163966">
              <w:rPr>
                <w:sz w:val="20"/>
                <w:szCs w:val="22"/>
              </w:rPr>
              <w:t xml:space="preserve"> (ng.t/ml)</w:t>
            </w:r>
          </w:p>
        </w:tc>
        <w:tc>
          <w:tcPr>
            <w:tcW w:w="193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74.743,31</w:t>
            </w:r>
          </w:p>
          <w:p w:rsidR="001E160E" w:rsidRPr="00163966" w:rsidRDefault="001E160E">
            <w:pPr>
              <w:jc w:val="center"/>
              <w:rPr>
                <w:sz w:val="20"/>
              </w:rPr>
            </w:pPr>
            <w:r w:rsidRPr="00163966">
              <w:rPr>
                <w:sz w:val="20"/>
                <w:szCs w:val="22"/>
              </w:rPr>
              <w:t>± 17.388,69</w:t>
            </w:r>
          </w:p>
        </w:tc>
        <w:tc>
          <w:tcPr>
            <w:tcW w:w="193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73.410,65</w:t>
            </w:r>
          </w:p>
          <w:p w:rsidR="001E160E" w:rsidRPr="00163966" w:rsidRDefault="001E160E">
            <w:pPr>
              <w:jc w:val="center"/>
              <w:rPr>
                <w:sz w:val="20"/>
              </w:rPr>
            </w:pPr>
            <w:r w:rsidRPr="00163966">
              <w:rPr>
                <w:sz w:val="20"/>
                <w:szCs w:val="22"/>
              </w:rPr>
              <w:t>± 16.500,76</w:t>
            </w:r>
          </w:p>
        </w:tc>
        <w:tc>
          <w:tcPr>
            <w:tcW w:w="1938"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40.333,88</w:t>
            </w:r>
          </w:p>
          <w:p w:rsidR="001E160E" w:rsidRPr="00163966" w:rsidRDefault="001E160E">
            <w:pPr>
              <w:jc w:val="center"/>
              <w:rPr>
                <w:sz w:val="20"/>
              </w:rPr>
            </w:pPr>
            <w:r w:rsidRPr="00163966">
              <w:rPr>
                <w:sz w:val="20"/>
                <w:szCs w:val="22"/>
              </w:rPr>
              <w:t>± 10.240,30</w:t>
            </w:r>
          </w:p>
        </w:tc>
        <w:tc>
          <w:tcPr>
            <w:tcW w:w="141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72.202,48</w:t>
            </w:r>
          </w:p>
          <w:p w:rsidR="001E160E" w:rsidRPr="00163966" w:rsidRDefault="001E160E">
            <w:pPr>
              <w:jc w:val="center"/>
              <w:rPr>
                <w:sz w:val="20"/>
              </w:rPr>
            </w:pPr>
            <w:r w:rsidRPr="00163966">
              <w:rPr>
                <w:sz w:val="20"/>
                <w:szCs w:val="22"/>
              </w:rPr>
              <w:t>± 17.445,46</w:t>
            </w:r>
          </w:p>
        </w:tc>
      </w:tr>
      <w:tr w:rsidR="001E160E" w:rsidRPr="00163966" w:rsidTr="001E160E">
        <w:trPr>
          <w:trHeight w:val="550"/>
        </w:trPr>
        <w:tc>
          <w:tcPr>
            <w:tcW w:w="1838" w:type="dxa"/>
            <w:tcBorders>
              <w:top w:val="nil"/>
              <w:left w:val="dotted" w:sz="4" w:space="0" w:color="auto"/>
              <w:bottom w:val="nil"/>
              <w:right w:val="dotted" w:sz="4" w:space="0" w:color="auto"/>
            </w:tcBorders>
            <w:noWrap/>
            <w:vAlign w:val="center"/>
            <w:hideMark/>
          </w:tcPr>
          <w:p w:rsidR="001E160E" w:rsidRPr="00163966" w:rsidRDefault="001E160E">
            <w:pPr>
              <w:rPr>
                <w:sz w:val="20"/>
              </w:rPr>
            </w:pPr>
            <w:proofErr w:type="spellStart"/>
            <w:r w:rsidRPr="00163966">
              <w:rPr>
                <w:sz w:val="20"/>
                <w:szCs w:val="22"/>
              </w:rPr>
              <w:t>T</w:t>
            </w:r>
            <w:r w:rsidRPr="00163966">
              <w:rPr>
                <w:sz w:val="20"/>
                <w:szCs w:val="22"/>
                <w:vertAlign w:val="subscript"/>
              </w:rPr>
              <w:t>max</w:t>
            </w:r>
            <w:proofErr w:type="spellEnd"/>
            <w:r w:rsidRPr="00163966">
              <w:rPr>
                <w:sz w:val="20"/>
                <w:szCs w:val="22"/>
              </w:rPr>
              <w:t xml:space="preserve"> (t)</w:t>
            </w:r>
          </w:p>
        </w:tc>
        <w:tc>
          <w:tcPr>
            <w:tcW w:w="193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0,25 (infusion afsluttet)</w:t>
            </w:r>
          </w:p>
        </w:tc>
        <w:tc>
          <w:tcPr>
            <w:tcW w:w="193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0,25 (infusion afsluttet)</w:t>
            </w:r>
          </w:p>
        </w:tc>
        <w:tc>
          <w:tcPr>
            <w:tcW w:w="1938"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0,25 (infusion afsluttet)</w:t>
            </w:r>
          </w:p>
        </w:tc>
        <w:tc>
          <w:tcPr>
            <w:tcW w:w="1417" w:type="dxa"/>
            <w:tcBorders>
              <w:top w:val="nil"/>
              <w:left w:val="dotted" w:sz="4" w:space="0" w:color="auto"/>
              <w:bottom w:val="nil"/>
              <w:right w:val="dotted" w:sz="4" w:space="0" w:color="auto"/>
            </w:tcBorders>
            <w:noWrap/>
            <w:vAlign w:val="center"/>
            <w:hideMark/>
          </w:tcPr>
          <w:p w:rsidR="001E160E" w:rsidRPr="00163966" w:rsidRDefault="001E160E">
            <w:pPr>
              <w:jc w:val="center"/>
              <w:rPr>
                <w:sz w:val="20"/>
              </w:rPr>
            </w:pPr>
            <w:r w:rsidRPr="00163966">
              <w:rPr>
                <w:sz w:val="20"/>
                <w:szCs w:val="22"/>
              </w:rPr>
              <w:t>1,49 ± 0,89</w:t>
            </w:r>
          </w:p>
        </w:tc>
      </w:tr>
      <w:tr w:rsidR="001E160E" w:rsidRPr="00163966" w:rsidTr="001E160E">
        <w:trPr>
          <w:trHeight w:val="558"/>
        </w:trPr>
        <w:tc>
          <w:tcPr>
            <w:tcW w:w="1838" w:type="dxa"/>
            <w:tcBorders>
              <w:top w:val="nil"/>
              <w:left w:val="dotted" w:sz="4" w:space="0" w:color="auto"/>
              <w:bottom w:val="single" w:sz="12" w:space="0" w:color="BFBFBF"/>
              <w:right w:val="dotted" w:sz="4" w:space="0" w:color="auto"/>
            </w:tcBorders>
            <w:noWrap/>
            <w:vAlign w:val="center"/>
            <w:hideMark/>
          </w:tcPr>
          <w:p w:rsidR="001E160E" w:rsidRPr="00163966" w:rsidRDefault="001E160E">
            <w:pPr>
              <w:rPr>
                <w:sz w:val="20"/>
              </w:rPr>
            </w:pPr>
            <w:r w:rsidRPr="00163966">
              <w:rPr>
                <w:sz w:val="20"/>
                <w:szCs w:val="22"/>
              </w:rPr>
              <w:t>t</w:t>
            </w:r>
            <w:r w:rsidRPr="00163966">
              <w:rPr>
                <w:sz w:val="20"/>
                <w:szCs w:val="22"/>
                <w:vertAlign w:val="subscript"/>
              </w:rPr>
              <w:t>1/2</w:t>
            </w:r>
            <w:r w:rsidRPr="00163966">
              <w:rPr>
                <w:sz w:val="20"/>
                <w:szCs w:val="22"/>
              </w:rPr>
              <w:t xml:space="preserve"> (t)</w:t>
            </w:r>
          </w:p>
        </w:tc>
        <w:tc>
          <w:tcPr>
            <w:tcW w:w="1937" w:type="dxa"/>
            <w:tcBorders>
              <w:top w:val="nil"/>
              <w:left w:val="dotted" w:sz="4" w:space="0" w:color="auto"/>
              <w:bottom w:val="single" w:sz="12" w:space="0" w:color="BFBFBF"/>
              <w:right w:val="dotted" w:sz="4" w:space="0" w:color="auto"/>
            </w:tcBorders>
            <w:noWrap/>
            <w:vAlign w:val="center"/>
            <w:hideMark/>
          </w:tcPr>
          <w:p w:rsidR="001E160E" w:rsidRPr="00163966" w:rsidRDefault="001E160E">
            <w:pPr>
              <w:jc w:val="center"/>
              <w:rPr>
                <w:sz w:val="20"/>
                <w:highlight w:val="yellow"/>
              </w:rPr>
            </w:pPr>
            <w:r w:rsidRPr="00163966">
              <w:rPr>
                <w:sz w:val="20"/>
                <w:szCs w:val="22"/>
              </w:rPr>
              <w:t>1,88 ± 0,28</w:t>
            </w:r>
          </w:p>
        </w:tc>
        <w:tc>
          <w:tcPr>
            <w:tcW w:w="1937" w:type="dxa"/>
            <w:tcBorders>
              <w:top w:val="nil"/>
              <w:left w:val="dotted" w:sz="4" w:space="0" w:color="auto"/>
              <w:bottom w:val="single" w:sz="12" w:space="0" w:color="BFBFBF"/>
              <w:right w:val="dotted" w:sz="4" w:space="0" w:color="auto"/>
            </w:tcBorders>
            <w:noWrap/>
            <w:vAlign w:val="center"/>
            <w:hideMark/>
          </w:tcPr>
          <w:p w:rsidR="001E160E" w:rsidRPr="00163966" w:rsidRDefault="001E160E">
            <w:pPr>
              <w:jc w:val="center"/>
              <w:rPr>
                <w:sz w:val="20"/>
                <w:highlight w:val="yellow"/>
              </w:rPr>
            </w:pPr>
            <w:r w:rsidRPr="00163966">
              <w:rPr>
                <w:sz w:val="20"/>
                <w:szCs w:val="22"/>
              </w:rPr>
              <w:t>1,87 ± 0,27</w:t>
            </w:r>
          </w:p>
        </w:tc>
        <w:tc>
          <w:tcPr>
            <w:tcW w:w="1938" w:type="dxa"/>
            <w:tcBorders>
              <w:top w:val="nil"/>
              <w:left w:val="dotted" w:sz="4" w:space="0" w:color="auto"/>
              <w:bottom w:val="single" w:sz="12" w:space="0" w:color="BFBFBF"/>
              <w:right w:val="dotted" w:sz="4" w:space="0" w:color="auto"/>
            </w:tcBorders>
            <w:noWrap/>
            <w:vAlign w:val="center"/>
            <w:hideMark/>
          </w:tcPr>
          <w:p w:rsidR="001E160E" w:rsidRPr="00163966" w:rsidRDefault="001E160E">
            <w:pPr>
              <w:jc w:val="center"/>
              <w:rPr>
                <w:sz w:val="20"/>
                <w:highlight w:val="yellow"/>
              </w:rPr>
            </w:pPr>
            <w:r w:rsidRPr="00163966">
              <w:rPr>
                <w:sz w:val="20"/>
                <w:szCs w:val="22"/>
              </w:rPr>
              <w:t>1,88 ± 0,30</w:t>
            </w:r>
          </w:p>
        </w:tc>
        <w:tc>
          <w:tcPr>
            <w:tcW w:w="1417" w:type="dxa"/>
            <w:tcBorders>
              <w:top w:val="nil"/>
              <w:left w:val="dotted" w:sz="4" w:space="0" w:color="auto"/>
              <w:bottom w:val="single" w:sz="12" w:space="0" w:color="BFBFBF"/>
              <w:right w:val="dotted" w:sz="4" w:space="0" w:color="auto"/>
            </w:tcBorders>
            <w:noWrap/>
            <w:vAlign w:val="center"/>
            <w:hideMark/>
          </w:tcPr>
          <w:p w:rsidR="001E160E" w:rsidRPr="00163966" w:rsidRDefault="001E160E">
            <w:pPr>
              <w:jc w:val="center"/>
              <w:rPr>
                <w:sz w:val="20"/>
                <w:highlight w:val="yellow"/>
              </w:rPr>
            </w:pPr>
            <w:r w:rsidRPr="00163966">
              <w:rPr>
                <w:sz w:val="20"/>
                <w:szCs w:val="22"/>
              </w:rPr>
              <w:t>1,99 ± 0,36</w:t>
            </w:r>
          </w:p>
        </w:tc>
      </w:tr>
    </w:tbl>
    <w:p w:rsidR="001E160E" w:rsidRPr="00163966" w:rsidRDefault="001E160E" w:rsidP="001E160E">
      <w:pPr>
        <w:rPr>
          <w:sz w:val="18"/>
          <w:szCs w:val="18"/>
        </w:rPr>
      </w:pPr>
      <w:r w:rsidRPr="00163966">
        <w:rPr>
          <w:sz w:val="18"/>
          <w:szCs w:val="18"/>
          <w:lang w:eastAsia="da-DK"/>
        </w:rPr>
        <w:t xml:space="preserve">Bemærk: </w:t>
      </w:r>
      <w:r w:rsidRPr="00163966">
        <w:rPr>
          <w:b/>
          <w:sz w:val="18"/>
          <w:szCs w:val="18"/>
          <w:lang w:eastAsia="da-DK"/>
        </w:rPr>
        <w:t>Paracetamol-/ibuprofen</w:t>
      </w:r>
      <w:r w:rsidRPr="00163966">
        <w:rPr>
          <w:sz w:val="18"/>
          <w:szCs w:val="18"/>
          <w:lang w:eastAsia="da-DK"/>
        </w:rPr>
        <w:t>-tabletter = paracetamol 500 mg/ibuprofen 150 mg filmovertrukne tabletter.</w:t>
      </w:r>
    </w:p>
    <w:p w:rsidR="001E160E" w:rsidRPr="00163966" w:rsidRDefault="001E160E" w:rsidP="001E160E">
      <w:pPr>
        <w:rPr>
          <w:sz w:val="20"/>
        </w:rPr>
      </w:pPr>
    </w:p>
    <w:p w:rsidR="00FB28D3" w:rsidRPr="00163966" w:rsidRDefault="004926C0" w:rsidP="004926C0">
      <w:pPr>
        <w:ind w:left="851"/>
        <w:rPr>
          <w:sz w:val="24"/>
          <w:szCs w:val="24"/>
        </w:rPr>
      </w:pPr>
      <w:r w:rsidRPr="00D26EF0">
        <w:rPr>
          <w:sz w:val="24"/>
          <w:szCs w:val="24"/>
          <w:lang w:eastAsia="da-DK"/>
        </w:rPr>
        <w:t xml:space="preserve">De </w:t>
      </w:r>
      <w:proofErr w:type="spellStart"/>
      <w:r w:rsidRPr="00D26EF0">
        <w:rPr>
          <w:sz w:val="24"/>
          <w:szCs w:val="24"/>
          <w:lang w:eastAsia="da-DK"/>
        </w:rPr>
        <w:t>farmakokinetiske</w:t>
      </w:r>
      <w:proofErr w:type="spellEnd"/>
      <w:r w:rsidRPr="00D26EF0">
        <w:rPr>
          <w:sz w:val="24"/>
          <w:szCs w:val="24"/>
          <w:lang w:eastAsia="da-DK"/>
        </w:rPr>
        <w:t xml:space="preserve"> parametre var ensartede efter en enkelt dosis </w:t>
      </w:r>
      <w:r>
        <w:rPr>
          <w:sz w:val="24"/>
          <w:szCs w:val="24"/>
          <w:lang w:eastAsia="da-DK"/>
        </w:rPr>
        <w:t>af den faste dosiskombination af paracetamol/ibuprofen</w:t>
      </w:r>
      <w:r w:rsidRPr="00D26EF0">
        <w:rPr>
          <w:sz w:val="24"/>
          <w:szCs w:val="24"/>
          <w:lang w:eastAsia="da-DK"/>
        </w:rPr>
        <w:t xml:space="preserve">, der blev administreret enten intravenøst eller oralt. Dog var den intravenøse formulerings </w:t>
      </w:r>
      <w:proofErr w:type="spellStart"/>
      <w:r w:rsidRPr="00D26EF0">
        <w:rPr>
          <w:sz w:val="24"/>
          <w:szCs w:val="24"/>
          <w:lang w:eastAsia="da-DK"/>
        </w:rPr>
        <w:t>C</w:t>
      </w:r>
      <w:r w:rsidRPr="00D26EF0">
        <w:rPr>
          <w:sz w:val="24"/>
          <w:szCs w:val="24"/>
          <w:vertAlign w:val="subscript"/>
          <w:lang w:eastAsia="da-DK"/>
        </w:rPr>
        <w:t>max</w:t>
      </w:r>
      <w:proofErr w:type="spellEnd"/>
      <w:r w:rsidRPr="00D26EF0">
        <w:rPr>
          <w:sz w:val="24"/>
          <w:szCs w:val="24"/>
          <w:lang w:eastAsia="da-DK"/>
        </w:rPr>
        <w:t xml:space="preserve"> dobbelt så stor som den orale formulerings, og som forventet blev </w:t>
      </w:r>
      <w:proofErr w:type="spellStart"/>
      <w:r w:rsidRPr="00D26EF0">
        <w:rPr>
          <w:sz w:val="24"/>
          <w:szCs w:val="24"/>
          <w:lang w:eastAsia="da-DK"/>
        </w:rPr>
        <w:t>T</w:t>
      </w:r>
      <w:r w:rsidRPr="00D26EF0">
        <w:rPr>
          <w:sz w:val="24"/>
          <w:szCs w:val="24"/>
          <w:vertAlign w:val="subscript"/>
          <w:lang w:eastAsia="da-DK"/>
        </w:rPr>
        <w:t>max</w:t>
      </w:r>
      <w:proofErr w:type="spellEnd"/>
      <w:r w:rsidRPr="00D26EF0">
        <w:rPr>
          <w:sz w:val="24"/>
          <w:szCs w:val="24"/>
          <w:lang w:eastAsia="da-DK"/>
        </w:rPr>
        <w:t xml:space="preserve"> efter intravenøs administration nået meget hurtigere (på 15 minutter) end med den orale formulering.</w:t>
      </w:r>
    </w:p>
    <w:p w:rsidR="001E160E" w:rsidRPr="00163966" w:rsidRDefault="001E160E" w:rsidP="001E160E">
      <w:pPr>
        <w:ind w:left="851"/>
        <w:rPr>
          <w:sz w:val="24"/>
          <w:szCs w:val="24"/>
        </w:rPr>
      </w:pPr>
    </w:p>
    <w:p w:rsidR="001E160E" w:rsidRPr="00163966" w:rsidRDefault="001E160E" w:rsidP="001E160E">
      <w:pPr>
        <w:ind w:left="851"/>
        <w:rPr>
          <w:sz w:val="24"/>
          <w:szCs w:val="24"/>
          <w:u w:val="single"/>
        </w:rPr>
      </w:pPr>
      <w:r w:rsidRPr="00163966">
        <w:rPr>
          <w:sz w:val="24"/>
          <w:szCs w:val="24"/>
          <w:u w:val="single"/>
          <w:lang w:eastAsia="da-DK"/>
        </w:rPr>
        <w:t>Fordeling</w:t>
      </w:r>
    </w:p>
    <w:p w:rsidR="001E160E" w:rsidRPr="00163966" w:rsidRDefault="001E160E" w:rsidP="001E160E">
      <w:pPr>
        <w:ind w:left="851"/>
        <w:rPr>
          <w:sz w:val="24"/>
          <w:szCs w:val="24"/>
        </w:rPr>
      </w:pPr>
      <w:r w:rsidRPr="00163966">
        <w:rPr>
          <w:sz w:val="24"/>
          <w:szCs w:val="24"/>
          <w:lang w:eastAsia="da-DK"/>
        </w:rPr>
        <w:t>Paracetamol fordeles ind i de fleste kropsvæv. Ibuprofen er kraftigt bundet (90-99 %) til plasmaproteiner.</w:t>
      </w:r>
    </w:p>
    <w:p w:rsidR="001E160E" w:rsidRPr="00163966" w:rsidRDefault="001E160E" w:rsidP="001E160E">
      <w:pPr>
        <w:ind w:left="851"/>
        <w:rPr>
          <w:sz w:val="24"/>
          <w:szCs w:val="24"/>
        </w:rPr>
      </w:pPr>
    </w:p>
    <w:p w:rsidR="001E160E" w:rsidRPr="00163966" w:rsidRDefault="001E160E" w:rsidP="001E160E">
      <w:pPr>
        <w:keepNext/>
        <w:ind w:left="851"/>
        <w:rPr>
          <w:sz w:val="24"/>
          <w:szCs w:val="24"/>
          <w:u w:val="single"/>
        </w:rPr>
      </w:pPr>
      <w:r w:rsidRPr="00163966">
        <w:rPr>
          <w:sz w:val="24"/>
          <w:szCs w:val="24"/>
          <w:u w:val="single"/>
          <w:lang w:eastAsia="da-DK"/>
        </w:rPr>
        <w:t>Metabolisme</w:t>
      </w:r>
    </w:p>
    <w:p w:rsidR="001E160E" w:rsidRPr="00163966" w:rsidRDefault="001E160E" w:rsidP="001E160E">
      <w:pPr>
        <w:keepNext/>
        <w:ind w:left="851"/>
        <w:rPr>
          <w:sz w:val="24"/>
          <w:szCs w:val="24"/>
        </w:rPr>
      </w:pPr>
      <w:r w:rsidRPr="00163966">
        <w:rPr>
          <w:sz w:val="24"/>
          <w:szCs w:val="24"/>
          <w:lang w:eastAsia="da-DK"/>
        </w:rPr>
        <w:t xml:space="preserve">Paracetamol </w:t>
      </w:r>
      <w:proofErr w:type="spellStart"/>
      <w:r w:rsidRPr="00163966">
        <w:rPr>
          <w:sz w:val="24"/>
          <w:szCs w:val="24"/>
          <w:lang w:eastAsia="da-DK"/>
        </w:rPr>
        <w:t>metaboliseres</w:t>
      </w:r>
      <w:proofErr w:type="spellEnd"/>
      <w:r w:rsidRPr="00163966">
        <w:rPr>
          <w:sz w:val="24"/>
          <w:szCs w:val="24"/>
          <w:lang w:eastAsia="da-DK"/>
        </w:rPr>
        <w:t xml:space="preserve"> i stor udstrækning i leveren og udskilles i urinen, fortrinsvis som inaktive </w:t>
      </w:r>
      <w:proofErr w:type="spellStart"/>
      <w:r w:rsidRPr="00163966">
        <w:rPr>
          <w:sz w:val="24"/>
          <w:szCs w:val="24"/>
          <w:lang w:eastAsia="da-DK"/>
        </w:rPr>
        <w:t>glucuronid</w:t>
      </w:r>
      <w:proofErr w:type="spellEnd"/>
      <w:r w:rsidRPr="00163966">
        <w:rPr>
          <w:sz w:val="24"/>
          <w:szCs w:val="24"/>
          <w:lang w:eastAsia="da-DK"/>
        </w:rPr>
        <w:t xml:space="preserve">- og </w:t>
      </w:r>
      <w:proofErr w:type="spellStart"/>
      <w:r w:rsidRPr="00163966">
        <w:rPr>
          <w:sz w:val="24"/>
          <w:szCs w:val="24"/>
          <w:lang w:eastAsia="da-DK"/>
        </w:rPr>
        <w:t>sulfatkonjugater</w:t>
      </w:r>
      <w:proofErr w:type="spellEnd"/>
      <w:r w:rsidRPr="00163966">
        <w:rPr>
          <w:sz w:val="24"/>
          <w:szCs w:val="24"/>
          <w:lang w:eastAsia="da-DK"/>
        </w:rPr>
        <w:t xml:space="preserve">. Under 5 % udskilles </w:t>
      </w:r>
      <w:proofErr w:type="spellStart"/>
      <w:r w:rsidRPr="00163966">
        <w:rPr>
          <w:sz w:val="24"/>
          <w:szCs w:val="24"/>
          <w:lang w:eastAsia="da-DK"/>
        </w:rPr>
        <w:t>uomdannet</w:t>
      </w:r>
      <w:proofErr w:type="spellEnd"/>
      <w:r w:rsidRPr="00163966">
        <w:rPr>
          <w:sz w:val="24"/>
          <w:szCs w:val="24"/>
          <w:lang w:eastAsia="da-DK"/>
        </w:rPr>
        <w:t xml:space="preserve">. Paracetamols metabolitter omfatter et mindre, </w:t>
      </w:r>
      <w:proofErr w:type="spellStart"/>
      <w:r w:rsidRPr="00163966">
        <w:rPr>
          <w:sz w:val="24"/>
          <w:szCs w:val="24"/>
          <w:lang w:eastAsia="da-DK"/>
        </w:rPr>
        <w:t>hydroxyleret</w:t>
      </w:r>
      <w:proofErr w:type="spellEnd"/>
      <w:r w:rsidRPr="00163966">
        <w:rPr>
          <w:sz w:val="24"/>
          <w:szCs w:val="24"/>
          <w:lang w:eastAsia="da-DK"/>
        </w:rPr>
        <w:t xml:space="preserve"> mellemprodukt, som har </w:t>
      </w:r>
      <w:proofErr w:type="spellStart"/>
      <w:r w:rsidRPr="00163966">
        <w:rPr>
          <w:sz w:val="24"/>
          <w:szCs w:val="24"/>
          <w:lang w:eastAsia="da-DK"/>
        </w:rPr>
        <w:t>hepatotoksisk</w:t>
      </w:r>
      <w:proofErr w:type="spellEnd"/>
      <w:r w:rsidRPr="00163966">
        <w:rPr>
          <w:sz w:val="24"/>
          <w:szCs w:val="24"/>
          <w:lang w:eastAsia="da-DK"/>
        </w:rPr>
        <w:t xml:space="preserve"> aktivitet. Dette aktive mellemprodukt afgiftes ved </w:t>
      </w:r>
      <w:proofErr w:type="spellStart"/>
      <w:r w:rsidRPr="00163966">
        <w:rPr>
          <w:sz w:val="24"/>
          <w:szCs w:val="24"/>
          <w:lang w:eastAsia="da-DK"/>
        </w:rPr>
        <w:t>konjugering</w:t>
      </w:r>
      <w:proofErr w:type="spellEnd"/>
      <w:r w:rsidRPr="00163966">
        <w:rPr>
          <w:sz w:val="24"/>
          <w:szCs w:val="24"/>
          <w:lang w:eastAsia="da-DK"/>
        </w:rPr>
        <w:t xml:space="preserve"> med </w:t>
      </w:r>
      <w:proofErr w:type="spellStart"/>
      <w:r w:rsidRPr="00163966">
        <w:rPr>
          <w:sz w:val="24"/>
          <w:szCs w:val="24"/>
          <w:lang w:eastAsia="da-DK"/>
        </w:rPr>
        <w:t>glutathion</w:t>
      </w:r>
      <w:proofErr w:type="spellEnd"/>
      <w:r w:rsidRPr="00163966">
        <w:rPr>
          <w:sz w:val="24"/>
          <w:szCs w:val="24"/>
          <w:lang w:eastAsia="da-DK"/>
        </w:rPr>
        <w:t>; det kan dog akkumuleres efter overdosering af paracetamol, og hvis dette ikke behandles, kan det medføre alvorlig og endda irreversibel leverskade.</w:t>
      </w:r>
    </w:p>
    <w:p w:rsidR="001E160E" w:rsidRPr="00163966" w:rsidRDefault="001E160E" w:rsidP="001E160E">
      <w:pPr>
        <w:ind w:left="851"/>
        <w:rPr>
          <w:sz w:val="24"/>
          <w:szCs w:val="24"/>
        </w:rPr>
      </w:pPr>
    </w:p>
    <w:p w:rsidR="001E160E" w:rsidRPr="00163966" w:rsidRDefault="001E160E" w:rsidP="001E160E">
      <w:pPr>
        <w:ind w:left="851"/>
        <w:rPr>
          <w:sz w:val="24"/>
          <w:szCs w:val="24"/>
        </w:rPr>
      </w:pPr>
      <w:r w:rsidRPr="00163966">
        <w:rPr>
          <w:sz w:val="24"/>
          <w:szCs w:val="24"/>
          <w:lang w:eastAsia="da-DK"/>
        </w:rPr>
        <w:t xml:space="preserve">Ibuprofen </w:t>
      </w:r>
      <w:proofErr w:type="spellStart"/>
      <w:r w:rsidRPr="00163966">
        <w:rPr>
          <w:sz w:val="24"/>
          <w:szCs w:val="24"/>
          <w:lang w:eastAsia="da-DK"/>
        </w:rPr>
        <w:t>metaboliseres</w:t>
      </w:r>
      <w:proofErr w:type="spellEnd"/>
      <w:r w:rsidRPr="00163966">
        <w:rPr>
          <w:sz w:val="24"/>
          <w:szCs w:val="24"/>
          <w:lang w:eastAsia="da-DK"/>
        </w:rPr>
        <w:t xml:space="preserve"> i stor udstrækning til inaktive forbindelser i leveren, fortrinsvis ved </w:t>
      </w:r>
      <w:proofErr w:type="spellStart"/>
      <w:r w:rsidRPr="00163966">
        <w:rPr>
          <w:sz w:val="24"/>
          <w:szCs w:val="24"/>
          <w:lang w:eastAsia="da-DK"/>
        </w:rPr>
        <w:t>glucuronidering</w:t>
      </w:r>
      <w:proofErr w:type="spellEnd"/>
      <w:r w:rsidRPr="00163966">
        <w:rPr>
          <w:sz w:val="24"/>
          <w:szCs w:val="24"/>
          <w:lang w:eastAsia="da-DK"/>
        </w:rPr>
        <w:t>.</w:t>
      </w:r>
    </w:p>
    <w:p w:rsidR="001E160E" w:rsidRPr="00163966" w:rsidRDefault="001E160E" w:rsidP="001E160E">
      <w:pPr>
        <w:ind w:left="851"/>
        <w:rPr>
          <w:sz w:val="24"/>
          <w:szCs w:val="24"/>
        </w:rPr>
      </w:pPr>
    </w:p>
    <w:p w:rsidR="001E160E" w:rsidRPr="00163966" w:rsidRDefault="001E160E" w:rsidP="001E160E">
      <w:pPr>
        <w:ind w:left="851"/>
        <w:rPr>
          <w:sz w:val="24"/>
          <w:szCs w:val="24"/>
        </w:rPr>
      </w:pPr>
      <w:r w:rsidRPr="00163966">
        <w:rPr>
          <w:sz w:val="24"/>
          <w:szCs w:val="24"/>
          <w:lang w:eastAsia="da-DK"/>
        </w:rPr>
        <w:t xml:space="preserve">I et klinisk studie med enkeltdoser blev ibuprofens virkning på paracetamols </w:t>
      </w:r>
      <w:proofErr w:type="spellStart"/>
      <w:r w:rsidRPr="00163966">
        <w:rPr>
          <w:sz w:val="24"/>
          <w:szCs w:val="24"/>
          <w:lang w:eastAsia="da-DK"/>
        </w:rPr>
        <w:t>oxidative</w:t>
      </w:r>
      <w:proofErr w:type="spellEnd"/>
      <w:r w:rsidRPr="00163966">
        <w:rPr>
          <w:sz w:val="24"/>
          <w:szCs w:val="24"/>
          <w:lang w:eastAsia="da-DK"/>
        </w:rPr>
        <w:t xml:space="preserve"> metabolisme undersøgt på raske frivillige under faste. Studiets resultater viste, at ibuprofen ikke ændrede den mængde paracetamol, der gennemgår </w:t>
      </w:r>
      <w:proofErr w:type="spellStart"/>
      <w:r w:rsidRPr="00163966">
        <w:rPr>
          <w:sz w:val="24"/>
          <w:szCs w:val="24"/>
          <w:lang w:eastAsia="da-DK"/>
        </w:rPr>
        <w:t>oxidativ</w:t>
      </w:r>
      <w:proofErr w:type="spellEnd"/>
      <w:r w:rsidRPr="00163966">
        <w:rPr>
          <w:sz w:val="24"/>
          <w:szCs w:val="24"/>
          <w:lang w:eastAsia="da-DK"/>
        </w:rPr>
        <w:t xml:space="preserve"> metabolisme, da mængden af paracetamol og dets metabolitter (</w:t>
      </w:r>
      <w:proofErr w:type="spellStart"/>
      <w:r w:rsidRPr="00163966">
        <w:rPr>
          <w:sz w:val="24"/>
          <w:szCs w:val="24"/>
          <w:lang w:eastAsia="da-DK"/>
        </w:rPr>
        <w:t>mercapturat</w:t>
      </w:r>
      <w:proofErr w:type="spellEnd"/>
      <w:r w:rsidRPr="00163966">
        <w:rPr>
          <w:sz w:val="24"/>
          <w:szCs w:val="24"/>
          <w:lang w:eastAsia="da-DK"/>
        </w:rPr>
        <w:t xml:space="preserve">-, </w:t>
      </w:r>
      <w:proofErr w:type="spellStart"/>
      <w:r w:rsidRPr="00163966">
        <w:rPr>
          <w:sz w:val="24"/>
          <w:szCs w:val="24"/>
          <w:lang w:eastAsia="da-DK"/>
        </w:rPr>
        <w:t>cystein</w:t>
      </w:r>
      <w:proofErr w:type="spellEnd"/>
      <w:r w:rsidRPr="00163966">
        <w:rPr>
          <w:sz w:val="24"/>
          <w:szCs w:val="24"/>
          <w:lang w:eastAsia="da-DK"/>
        </w:rPr>
        <w:t xml:space="preserve">-, </w:t>
      </w:r>
      <w:proofErr w:type="spellStart"/>
      <w:r w:rsidRPr="00163966">
        <w:rPr>
          <w:sz w:val="24"/>
          <w:szCs w:val="24"/>
          <w:lang w:eastAsia="da-DK"/>
        </w:rPr>
        <w:t>glucuronid</w:t>
      </w:r>
      <w:proofErr w:type="spellEnd"/>
      <w:r w:rsidRPr="00163966">
        <w:rPr>
          <w:sz w:val="24"/>
          <w:szCs w:val="24"/>
          <w:lang w:eastAsia="da-DK"/>
        </w:rPr>
        <w:t>- og sulfat-paracetamol) var identisk, da det blev administreret alene som paracetamol eller med samtidig administration af ibuprofen (som fast kombination).</w:t>
      </w:r>
    </w:p>
    <w:p w:rsidR="001E160E" w:rsidRPr="00163966" w:rsidRDefault="001E160E" w:rsidP="001E160E">
      <w:pPr>
        <w:ind w:left="851"/>
        <w:rPr>
          <w:sz w:val="24"/>
          <w:szCs w:val="24"/>
        </w:rPr>
      </w:pPr>
    </w:p>
    <w:p w:rsidR="001E160E" w:rsidRPr="00163966" w:rsidRDefault="001E160E" w:rsidP="001E160E">
      <w:pPr>
        <w:ind w:left="851"/>
        <w:rPr>
          <w:sz w:val="24"/>
          <w:szCs w:val="24"/>
          <w:u w:val="single"/>
        </w:rPr>
      </w:pPr>
      <w:r w:rsidRPr="00163966">
        <w:rPr>
          <w:sz w:val="24"/>
          <w:szCs w:val="24"/>
          <w:u w:val="single"/>
          <w:lang w:eastAsia="da-DK"/>
        </w:rPr>
        <w:t>Elimination</w:t>
      </w:r>
    </w:p>
    <w:p w:rsidR="001E160E" w:rsidRPr="00163966" w:rsidRDefault="001E160E" w:rsidP="001E160E">
      <w:pPr>
        <w:ind w:left="851"/>
        <w:rPr>
          <w:sz w:val="24"/>
          <w:szCs w:val="24"/>
        </w:rPr>
      </w:pPr>
      <w:r w:rsidRPr="00163966">
        <w:rPr>
          <w:sz w:val="24"/>
          <w:szCs w:val="24"/>
          <w:lang w:eastAsia="da-DK"/>
        </w:rPr>
        <w:t>Paracetamols halveringstid ligger inden for cirka 1 til 3 timer.</w:t>
      </w:r>
    </w:p>
    <w:p w:rsidR="001E160E" w:rsidRPr="00163966" w:rsidRDefault="001E160E" w:rsidP="001E160E">
      <w:pPr>
        <w:ind w:left="851"/>
        <w:rPr>
          <w:sz w:val="24"/>
          <w:szCs w:val="24"/>
        </w:rPr>
      </w:pPr>
    </w:p>
    <w:p w:rsidR="001E160E" w:rsidRPr="00163966" w:rsidRDefault="001E160E" w:rsidP="001E160E">
      <w:pPr>
        <w:ind w:left="851"/>
        <w:rPr>
          <w:sz w:val="24"/>
          <w:szCs w:val="24"/>
        </w:rPr>
      </w:pPr>
      <w:r w:rsidRPr="00163966">
        <w:rPr>
          <w:sz w:val="24"/>
          <w:szCs w:val="24"/>
          <w:lang w:eastAsia="da-DK"/>
        </w:rPr>
        <w:t xml:space="preserve">Både de inaktive metabolitter og en lille mængde </w:t>
      </w:r>
      <w:proofErr w:type="spellStart"/>
      <w:r w:rsidRPr="00163966">
        <w:rPr>
          <w:sz w:val="24"/>
          <w:szCs w:val="24"/>
          <w:lang w:eastAsia="da-DK"/>
        </w:rPr>
        <w:t>uomdannet</w:t>
      </w:r>
      <w:proofErr w:type="spellEnd"/>
      <w:r w:rsidRPr="00163966">
        <w:rPr>
          <w:sz w:val="24"/>
          <w:szCs w:val="24"/>
          <w:lang w:eastAsia="da-DK"/>
        </w:rPr>
        <w:t xml:space="preserve"> ibuprofen udskilles hurtigt og fuldstændigt af nyrerne, og 95 % af den administrerede dosis elimineres inden for 4 timer efter indtagelse. Ibuprofens halveringstid er inden for intervallet 1,9 til 2,2 timer.</w:t>
      </w:r>
    </w:p>
    <w:p w:rsidR="009260DE" w:rsidRPr="00163966" w:rsidRDefault="009260DE" w:rsidP="001E160E">
      <w:pPr>
        <w:tabs>
          <w:tab w:val="left" w:pos="851"/>
        </w:tabs>
        <w:ind w:left="851"/>
        <w:rPr>
          <w:sz w:val="24"/>
          <w:szCs w:val="24"/>
        </w:rPr>
      </w:pPr>
    </w:p>
    <w:p w:rsidR="00274FA3" w:rsidRPr="00163966" w:rsidRDefault="00274FA3" w:rsidP="004926C0">
      <w:pPr>
        <w:keepNext/>
        <w:tabs>
          <w:tab w:val="left" w:pos="851"/>
        </w:tabs>
        <w:ind w:left="851" w:hanging="851"/>
        <w:rPr>
          <w:b/>
          <w:sz w:val="24"/>
          <w:szCs w:val="24"/>
        </w:rPr>
      </w:pPr>
      <w:r w:rsidRPr="00163966">
        <w:rPr>
          <w:b/>
          <w:sz w:val="24"/>
          <w:szCs w:val="24"/>
        </w:rPr>
        <w:t>5.3</w:t>
      </w:r>
      <w:r w:rsidRPr="00163966">
        <w:rPr>
          <w:b/>
          <w:sz w:val="24"/>
          <w:szCs w:val="24"/>
        </w:rPr>
        <w:tab/>
        <w:t>Non-kliniske sikkerhedsdata</w:t>
      </w:r>
    </w:p>
    <w:p w:rsidR="004926C0" w:rsidRPr="00D26EF0" w:rsidRDefault="004926C0" w:rsidP="004926C0">
      <w:pPr>
        <w:tabs>
          <w:tab w:val="left" w:pos="851"/>
        </w:tabs>
        <w:ind w:left="851"/>
        <w:rPr>
          <w:sz w:val="24"/>
          <w:szCs w:val="24"/>
        </w:rPr>
      </w:pPr>
      <w:r w:rsidRPr="00D26EF0">
        <w:rPr>
          <w:sz w:val="24"/>
          <w:szCs w:val="24"/>
        </w:rPr>
        <w:t xml:space="preserve">I toksicitetsstudier med enkelte og gentagne doser, der blev udført på rotter, blev risikoen for </w:t>
      </w:r>
      <w:proofErr w:type="spellStart"/>
      <w:r w:rsidRPr="00D26EF0">
        <w:rPr>
          <w:sz w:val="24"/>
          <w:szCs w:val="24"/>
        </w:rPr>
        <w:t>gastrointestinal</w:t>
      </w:r>
      <w:proofErr w:type="spellEnd"/>
      <w:r w:rsidRPr="00D26EF0">
        <w:rPr>
          <w:sz w:val="24"/>
          <w:szCs w:val="24"/>
        </w:rPr>
        <w:t xml:space="preserve"> eller </w:t>
      </w:r>
      <w:proofErr w:type="spellStart"/>
      <w:r w:rsidRPr="00D26EF0">
        <w:rPr>
          <w:sz w:val="24"/>
          <w:szCs w:val="24"/>
        </w:rPr>
        <w:t>renal</w:t>
      </w:r>
      <w:proofErr w:type="spellEnd"/>
      <w:r w:rsidRPr="00D26EF0">
        <w:rPr>
          <w:sz w:val="24"/>
          <w:szCs w:val="24"/>
        </w:rPr>
        <w:t xml:space="preserve"> toksicitet ikke forhøjet ved samtidig administration af paracetamol og ibuprofen i et forhold svarende til det, der er i </w:t>
      </w:r>
      <w:proofErr w:type="spellStart"/>
      <w:r w:rsidRPr="00D26EF0">
        <w:rPr>
          <w:sz w:val="24"/>
          <w:szCs w:val="24"/>
        </w:rPr>
        <w:t>Comboval</w:t>
      </w:r>
      <w:proofErr w:type="spellEnd"/>
      <w:r w:rsidRPr="00D26EF0">
        <w:rPr>
          <w:sz w:val="24"/>
          <w:szCs w:val="24"/>
        </w:rPr>
        <w:t xml:space="preserve"> (dvs. et paracetamol-til-ibuprofen-forhold på 3,3-til-1), og ved dosisniveauer omtrent svarende til dem, patienterne ville få ved anvendelse af </w:t>
      </w:r>
      <w:r>
        <w:rPr>
          <w:sz w:val="24"/>
          <w:szCs w:val="24"/>
        </w:rPr>
        <w:t>dette lægemiddel</w:t>
      </w:r>
      <w:r w:rsidRPr="00D26EF0">
        <w:rPr>
          <w:sz w:val="24"/>
          <w:szCs w:val="24"/>
        </w:rPr>
        <w:t xml:space="preserve"> i den anbefalede maksimumdosis.</w:t>
      </w:r>
    </w:p>
    <w:p w:rsidR="004926C0" w:rsidRPr="00D26EF0" w:rsidRDefault="004926C0" w:rsidP="004926C0">
      <w:pPr>
        <w:tabs>
          <w:tab w:val="left" w:pos="851"/>
        </w:tabs>
        <w:ind w:left="851"/>
        <w:rPr>
          <w:sz w:val="24"/>
          <w:szCs w:val="24"/>
        </w:rPr>
      </w:pPr>
    </w:p>
    <w:p w:rsidR="004926C0" w:rsidRPr="00D26EF0" w:rsidRDefault="004926C0" w:rsidP="004926C0">
      <w:pPr>
        <w:tabs>
          <w:tab w:val="left" w:pos="851"/>
        </w:tabs>
        <w:ind w:left="851"/>
        <w:rPr>
          <w:sz w:val="24"/>
          <w:szCs w:val="24"/>
        </w:rPr>
      </w:pPr>
      <w:r w:rsidRPr="00D26EF0">
        <w:rPr>
          <w:sz w:val="24"/>
          <w:szCs w:val="24"/>
        </w:rPr>
        <w:t xml:space="preserve">Virkningen af enkelte intravenøse eller perivenøse doser af </w:t>
      </w:r>
      <w:proofErr w:type="spellStart"/>
      <w:r w:rsidRPr="00D26EF0">
        <w:rPr>
          <w:sz w:val="24"/>
          <w:szCs w:val="24"/>
        </w:rPr>
        <w:t>Comboval</w:t>
      </w:r>
      <w:proofErr w:type="spellEnd"/>
      <w:r w:rsidRPr="00D26EF0">
        <w:rPr>
          <w:sz w:val="24"/>
          <w:szCs w:val="24"/>
        </w:rPr>
        <w:t xml:space="preserve"> i et studie af den akutte lokale irritation hos hankaniner viste, at </w:t>
      </w:r>
      <w:r>
        <w:rPr>
          <w:sz w:val="24"/>
          <w:szCs w:val="24"/>
        </w:rPr>
        <w:t>dette lægemiddel</w:t>
      </w:r>
      <w:r w:rsidRPr="00D26EF0">
        <w:rPr>
          <w:sz w:val="24"/>
          <w:szCs w:val="24"/>
        </w:rPr>
        <w:t xml:space="preserve"> kun har ringe potentiale til at fremkalde lokal irritation, når det administreres intravenøst i det anbefalede dosisniveau. Desuden blev der efter en undersøgelse </w:t>
      </w:r>
      <w:r w:rsidRPr="00D26EF0">
        <w:rPr>
          <w:i/>
          <w:sz w:val="24"/>
          <w:szCs w:val="24"/>
        </w:rPr>
        <w:t xml:space="preserve">in </w:t>
      </w:r>
      <w:proofErr w:type="spellStart"/>
      <w:r w:rsidRPr="00D26EF0">
        <w:rPr>
          <w:i/>
          <w:sz w:val="24"/>
          <w:szCs w:val="24"/>
        </w:rPr>
        <w:t>vitro</w:t>
      </w:r>
      <w:proofErr w:type="spellEnd"/>
      <w:r w:rsidRPr="00D26EF0">
        <w:rPr>
          <w:sz w:val="24"/>
          <w:szCs w:val="24"/>
        </w:rPr>
        <w:t xml:space="preserve"> af blodets kompatibilitet ikke observeret mere </w:t>
      </w:r>
      <w:proofErr w:type="spellStart"/>
      <w:r w:rsidRPr="00D26EF0">
        <w:rPr>
          <w:sz w:val="24"/>
          <w:szCs w:val="24"/>
        </w:rPr>
        <w:t>hæmolyse</w:t>
      </w:r>
      <w:proofErr w:type="spellEnd"/>
      <w:r w:rsidRPr="00D26EF0">
        <w:rPr>
          <w:sz w:val="24"/>
          <w:szCs w:val="24"/>
        </w:rPr>
        <w:t xml:space="preserve">, </w:t>
      </w:r>
      <w:proofErr w:type="spellStart"/>
      <w:r w:rsidRPr="00D26EF0">
        <w:rPr>
          <w:sz w:val="24"/>
          <w:szCs w:val="24"/>
        </w:rPr>
        <w:t>flokkulation</w:t>
      </w:r>
      <w:proofErr w:type="spellEnd"/>
      <w:r w:rsidRPr="00D26EF0">
        <w:rPr>
          <w:sz w:val="24"/>
          <w:szCs w:val="24"/>
        </w:rPr>
        <w:t xml:space="preserve">/udfældning af plasmaproteiner eller </w:t>
      </w:r>
      <w:proofErr w:type="spellStart"/>
      <w:r w:rsidRPr="00D26EF0">
        <w:rPr>
          <w:sz w:val="24"/>
          <w:szCs w:val="24"/>
        </w:rPr>
        <w:t>trombocytaggregation</w:t>
      </w:r>
      <w:proofErr w:type="spellEnd"/>
      <w:r w:rsidRPr="00D26EF0">
        <w:rPr>
          <w:sz w:val="24"/>
          <w:szCs w:val="24"/>
        </w:rPr>
        <w:t xml:space="preserve"> med </w:t>
      </w:r>
      <w:proofErr w:type="spellStart"/>
      <w:r w:rsidRPr="00D26EF0">
        <w:rPr>
          <w:sz w:val="24"/>
          <w:szCs w:val="24"/>
        </w:rPr>
        <w:t>Comboval</w:t>
      </w:r>
      <w:proofErr w:type="spellEnd"/>
      <w:r w:rsidRPr="00D26EF0">
        <w:rPr>
          <w:sz w:val="24"/>
          <w:szCs w:val="24"/>
        </w:rPr>
        <w:t xml:space="preserve"> end med </w:t>
      </w:r>
      <w:proofErr w:type="spellStart"/>
      <w:r w:rsidRPr="00D26EF0">
        <w:rPr>
          <w:sz w:val="24"/>
          <w:szCs w:val="24"/>
        </w:rPr>
        <w:t>i.v</w:t>
      </w:r>
      <w:proofErr w:type="spellEnd"/>
      <w:r w:rsidRPr="00D26EF0">
        <w:rPr>
          <w:sz w:val="24"/>
          <w:szCs w:val="24"/>
        </w:rPr>
        <w:t xml:space="preserve">. paracetamol eller </w:t>
      </w:r>
      <w:proofErr w:type="spellStart"/>
      <w:r w:rsidRPr="00D26EF0">
        <w:rPr>
          <w:sz w:val="24"/>
          <w:szCs w:val="24"/>
        </w:rPr>
        <w:t>i.v</w:t>
      </w:r>
      <w:proofErr w:type="spellEnd"/>
      <w:r w:rsidRPr="00D26EF0">
        <w:rPr>
          <w:sz w:val="24"/>
          <w:szCs w:val="24"/>
        </w:rPr>
        <w:t>. ibuprofen alene.</w:t>
      </w:r>
    </w:p>
    <w:p w:rsidR="00FB28D3" w:rsidRPr="00163966" w:rsidRDefault="00FB28D3" w:rsidP="00FB28D3">
      <w:pPr>
        <w:tabs>
          <w:tab w:val="left" w:pos="851"/>
        </w:tabs>
        <w:ind w:left="851"/>
        <w:rPr>
          <w:sz w:val="24"/>
          <w:szCs w:val="24"/>
        </w:rPr>
      </w:pPr>
    </w:p>
    <w:p w:rsidR="00FB28D3" w:rsidRPr="00163966" w:rsidRDefault="00FB28D3" w:rsidP="00FB28D3">
      <w:pPr>
        <w:tabs>
          <w:tab w:val="left" w:pos="851"/>
        </w:tabs>
        <w:ind w:left="851"/>
        <w:rPr>
          <w:sz w:val="24"/>
          <w:szCs w:val="24"/>
          <w:u w:val="single"/>
        </w:rPr>
      </w:pPr>
      <w:r w:rsidRPr="00163966">
        <w:rPr>
          <w:sz w:val="24"/>
          <w:szCs w:val="24"/>
          <w:u w:val="single"/>
        </w:rPr>
        <w:t>Ibuprofen</w:t>
      </w:r>
    </w:p>
    <w:p w:rsidR="00FB28D3" w:rsidRPr="00163966" w:rsidRDefault="00FB28D3" w:rsidP="00FB28D3">
      <w:pPr>
        <w:tabs>
          <w:tab w:val="left" w:pos="851"/>
        </w:tabs>
        <w:ind w:left="851"/>
        <w:rPr>
          <w:sz w:val="24"/>
          <w:szCs w:val="24"/>
        </w:rPr>
      </w:pPr>
      <w:r w:rsidRPr="00163966">
        <w:rPr>
          <w:sz w:val="24"/>
          <w:szCs w:val="24"/>
        </w:rPr>
        <w:t xml:space="preserve">Ibuprofens subkroniske og kroniske toksicitet i dyreforsøg blev observeret fortrinsvis som læsioner og </w:t>
      </w:r>
      <w:proofErr w:type="spellStart"/>
      <w:r w:rsidRPr="00163966">
        <w:rPr>
          <w:sz w:val="24"/>
          <w:szCs w:val="24"/>
        </w:rPr>
        <w:t>ulcerationer</w:t>
      </w:r>
      <w:proofErr w:type="spellEnd"/>
      <w:r w:rsidRPr="00163966">
        <w:rPr>
          <w:sz w:val="24"/>
          <w:szCs w:val="24"/>
        </w:rPr>
        <w:t xml:space="preserve"> i mave-tarm-kanalen. Studier </w:t>
      </w:r>
      <w:r w:rsidRPr="00163966">
        <w:rPr>
          <w:i/>
          <w:sz w:val="24"/>
          <w:szCs w:val="24"/>
        </w:rPr>
        <w:t xml:space="preserve">in </w:t>
      </w:r>
      <w:proofErr w:type="spellStart"/>
      <w:r w:rsidRPr="00163966">
        <w:rPr>
          <w:i/>
          <w:sz w:val="24"/>
          <w:szCs w:val="24"/>
        </w:rPr>
        <w:t>vitro</w:t>
      </w:r>
      <w:proofErr w:type="spellEnd"/>
      <w:r w:rsidRPr="00163966">
        <w:rPr>
          <w:sz w:val="24"/>
          <w:szCs w:val="24"/>
        </w:rPr>
        <w:t xml:space="preserve"> og </w:t>
      </w:r>
      <w:r w:rsidRPr="00163966">
        <w:rPr>
          <w:i/>
          <w:sz w:val="24"/>
          <w:szCs w:val="24"/>
        </w:rPr>
        <w:t xml:space="preserve">in </w:t>
      </w:r>
      <w:proofErr w:type="spellStart"/>
      <w:r w:rsidRPr="00163966">
        <w:rPr>
          <w:i/>
          <w:sz w:val="24"/>
          <w:szCs w:val="24"/>
        </w:rPr>
        <w:t>vivo</w:t>
      </w:r>
      <w:proofErr w:type="spellEnd"/>
      <w:r w:rsidRPr="00163966">
        <w:rPr>
          <w:sz w:val="24"/>
          <w:szCs w:val="24"/>
        </w:rPr>
        <w:t xml:space="preserve"> gav ingen klinisk relevant evidens for, at ibuprofen har mutagent potentiale. I studier på rotter og mus blev der ikke fundet tegn på </w:t>
      </w:r>
      <w:proofErr w:type="spellStart"/>
      <w:r w:rsidRPr="00163966">
        <w:rPr>
          <w:sz w:val="24"/>
          <w:szCs w:val="24"/>
        </w:rPr>
        <w:t>karcinogene</w:t>
      </w:r>
      <w:proofErr w:type="spellEnd"/>
      <w:r w:rsidRPr="00163966">
        <w:rPr>
          <w:sz w:val="24"/>
          <w:szCs w:val="24"/>
        </w:rPr>
        <w:t xml:space="preserve"> virkninger af ibuprofen. Ibuprofen førte til hæmning af ægløsningen hos kaniner samt forstyrrelse af implantationen hos forskellige dyrearter (kaniner, rotter, mus). Eksperimentelle studier har vist, at ibuprofen krydser placenta. Ved </w:t>
      </w:r>
      <w:proofErr w:type="spellStart"/>
      <w:r w:rsidRPr="00163966">
        <w:rPr>
          <w:sz w:val="24"/>
          <w:szCs w:val="24"/>
        </w:rPr>
        <w:t>maternelt</w:t>
      </w:r>
      <w:proofErr w:type="spellEnd"/>
      <w:r w:rsidRPr="00163966">
        <w:rPr>
          <w:sz w:val="24"/>
          <w:szCs w:val="24"/>
        </w:rPr>
        <w:t xml:space="preserve"> toksiske doser blev der observeret øget forekomst af misdannelser (ventrikelseptumdefekter).</w:t>
      </w:r>
    </w:p>
    <w:p w:rsidR="00FB28D3" w:rsidRPr="00163966" w:rsidRDefault="00FB28D3" w:rsidP="00FB28D3">
      <w:pPr>
        <w:tabs>
          <w:tab w:val="left" w:pos="851"/>
        </w:tabs>
        <w:ind w:left="851"/>
        <w:rPr>
          <w:sz w:val="24"/>
          <w:szCs w:val="24"/>
        </w:rPr>
      </w:pPr>
    </w:p>
    <w:p w:rsidR="00FB28D3" w:rsidRPr="00163966" w:rsidRDefault="00FB28D3" w:rsidP="00FB28D3">
      <w:pPr>
        <w:tabs>
          <w:tab w:val="left" w:pos="851"/>
        </w:tabs>
        <w:ind w:left="851"/>
        <w:rPr>
          <w:sz w:val="24"/>
          <w:szCs w:val="24"/>
          <w:u w:val="single"/>
        </w:rPr>
      </w:pPr>
      <w:r w:rsidRPr="00163966">
        <w:rPr>
          <w:sz w:val="24"/>
          <w:szCs w:val="24"/>
          <w:u w:val="single"/>
        </w:rPr>
        <w:t>Paracetamol</w:t>
      </w:r>
    </w:p>
    <w:p w:rsidR="00FB28D3" w:rsidRPr="00163966" w:rsidRDefault="00FB28D3" w:rsidP="00FB28D3">
      <w:pPr>
        <w:tabs>
          <w:tab w:val="left" w:pos="851"/>
        </w:tabs>
        <w:ind w:left="851"/>
        <w:rPr>
          <w:sz w:val="24"/>
          <w:szCs w:val="24"/>
        </w:rPr>
      </w:pPr>
      <w:r w:rsidRPr="00163966">
        <w:rPr>
          <w:sz w:val="24"/>
          <w:szCs w:val="24"/>
        </w:rPr>
        <w:t xml:space="preserve">I </w:t>
      </w:r>
      <w:proofErr w:type="spellStart"/>
      <w:r w:rsidRPr="00163966">
        <w:rPr>
          <w:sz w:val="24"/>
          <w:szCs w:val="24"/>
        </w:rPr>
        <w:t>hepatotoksiske</w:t>
      </w:r>
      <w:proofErr w:type="spellEnd"/>
      <w:r w:rsidRPr="00163966">
        <w:rPr>
          <w:sz w:val="24"/>
          <w:szCs w:val="24"/>
        </w:rPr>
        <w:t xml:space="preserve"> doser udviste paracetamol genotoksisk og </w:t>
      </w:r>
      <w:proofErr w:type="spellStart"/>
      <w:r w:rsidRPr="00163966">
        <w:rPr>
          <w:sz w:val="24"/>
          <w:szCs w:val="24"/>
        </w:rPr>
        <w:t>karcinogent</w:t>
      </w:r>
      <w:proofErr w:type="spellEnd"/>
      <w:r w:rsidRPr="00163966">
        <w:rPr>
          <w:sz w:val="24"/>
          <w:szCs w:val="24"/>
        </w:rPr>
        <w:t xml:space="preserve"> potentiale (lever- og blæretumorer) hos mus og rotter. Det menes dog, at denne genotoksiske og </w:t>
      </w:r>
      <w:proofErr w:type="spellStart"/>
      <w:r w:rsidRPr="00163966">
        <w:rPr>
          <w:sz w:val="24"/>
          <w:szCs w:val="24"/>
        </w:rPr>
        <w:t>karcinogene</w:t>
      </w:r>
      <w:proofErr w:type="spellEnd"/>
      <w:r w:rsidRPr="00163966">
        <w:rPr>
          <w:sz w:val="24"/>
          <w:szCs w:val="24"/>
        </w:rPr>
        <w:t xml:space="preserve"> aktivitet er forbundet med ændringer i paracetamols metabolisme, når det gives i høje doser/koncentrationer, og at det ikke udgør nogen risiko ved klinisk anvendelse.</w:t>
      </w:r>
    </w:p>
    <w:p w:rsidR="00FB28D3" w:rsidRPr="00163966" w:rsidRDefault="00FB28D3" w:rsidP="00FB28D3">
      <w:pPr>
        <w:tabs>
          <w:tab w:val="left" w:pos="851"/>
        </w:tabs>
        <w:ind w:left="851"/>
        <w:rPr>
          <w:sz w:val="24"/>
          <w:szCs w:val="24"/>
        </w:rPr>
      </w:pPr>
    </w:p>
    <w:p w:rsidR="00FB28D3" w:rsidRPr="00163966" w:rsidRDefault="00FB28D3" w:rsidP="00FB28D3">
      <w:pPr>
        <w:tabs>
          <w:tab w:val="left" w:pos="851"/>
        </w:tabs>
        <w:ind w:left="851"/>
        <w:rPr>
          <w:sz w:val="24"/>
          <w:szCs w:val="24"/>
        </w:rPr>
      </w:pPr>
      <w:r w:rsidRPr="00163966">
        <w:rPr>
          <w:sz w:val="24"/>
          <w:szCs w:val="24"/>
        </w:rPr>
        <w:t>Konventionelle studier, hvor der bruges aktuelt accepterede standarder for evaluering af toksiciteten for reproduktion og udvikling, er ikke tilgængelige.</w:t>
      </w: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6.</w:t>
      </w:r>
      <w:r w:rsidRPr="00163966">
        <w:rPr>
          <w:b/>
          <w:sz w:val="24"/>
          <w:szCs w:val="24"/>
        </w:rPr>
        <w:tab/>
        <w:t>FARMACEUTISKE OPLYSNINGER</w:t>
      </w: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6.1</w:t>
      </w:r>
      <w:r w:rsidRPr="00163966">
        <w:rPr>
          <w:b/>
          <w:sz w:val="24"/>
          <w:szCs w:val="24"/>
        </w:rPr>
        <w:tab/>
        <w:t>Hjælpestoffer</w:t>
      </w:r>
    </w:p>
    <w:p w:rsidR="007979A8" w:rsidRPr="00163966" w:rsidRDefault="007979A8" w:rsidP="007979A8">
      <w:pPr>
        <w:tabs>
          <w:tab w:val="left" w:pos="851"/>
        </w:tabs>
        <w:ind w:left="851"/>
        <w:rPr>
          <w:sz w:val="24"/>
          <w:szCs w:val="24"/>
        </w:rPr>
      </w:pPr>
      <w:proofErr w:type="spellStart"/>
      <w:r w:rsidRPr="00163966">
        <w:rPr>
          <w:sz w:val="24"/>
          <w:szCs w:val="24"/>
        </w:rPr>
        <w:t>Cysteinhydrochloridmonohydrat</w:t>
      </w:r>
      <w:proofErr w:type="spellEnd"/>
    </w:p>
    <w:p w:rsidR="007979A8" w:rsidRPr="00163966" w:rsidRDefault="007979A8" w:rsidP="007979A8">
      <w:pPr>
        <w:tabs>
          <w:tab w:val="left" w:pos="851"/>
        </w:tabs>
        <w:ind w:left="851"/>
        <w:rPr>
          <w:sz w:val="24"/>
          <w:szCs w:val="24"/>
        </w:rPr>
      </w:pPr>
      <w:proofErr w:type="spellStart"/>
      <w:r w:rsidRPr="00163966">
        <w:rPr>
          <w:sz w:val="24"/>
          <w:szCs w:val="24"/>
        </w:rPr>
        <w:t>Dinatriumphosphatdihydrat</w:t>
      </w:r>
      <w:proofErr w:type="spellEnd"/>
    </w:p>
    <w:p w:rsidR="007979A8" w:rsidRPr="00163966" w:rsidRDefault="007979A8" w:rsidP="007979A8">
      <w:pPr>
        <w:tabs>
          <w:tab w:val="left" w:pos="851"/>
        </w:tabs>
        <w:ind w:left="851"/>
        <w:rPr>
          <w:sz w:val="24"/>
          <w:szCs w:val="24"/>
        </w:rPr>
      </w:pPr>
      <w:proofErr w:type="spellStart"/>
      <w:r w:rsidRPr="00163966">
        <w:rPr>
          <w:sz w:val="24"/>
          <w:szCs w:val="24"/>
        </w:rPr>
        <w:t>Mannitol</w:t>
      </w:r>
      <w:proofErr w:type="spellEnd"/>
    </w:p>
    <w:p w:rsidR="007979A8" w:rsidRPr="00163966" w:rsidRDefault="007979A8" w:rsidP="007979A8">
      <w:pPr>
        <w:tabs>
          <w:tab w:val="left" w:pos="851"/>
        </w:tabs>
        <w:ind w:left="851"/>
        <w:rPr>
          <w:sz w:val="24"/>
          <w:szCs w:val="24"/>
        </w:rPr>
      </w:pPr>
      <w:r w:rsidRPr="00163966">
        <w:rPr>
          <w:sz w:val="24"/>
          <w:szCs w:val="24"/>
        </w:rPr>
        <w:t>Saltsyre (til justering af pH)</w:t>
      </w:r>
    </w:p>
    <w:p w:rsidR="007979A8" w:rsidRPr="00163966" w:rsidRDefault="007979A8" w:rsidP="007979A8">
      <w:pPr>
        <w:tabs>
          <w:tab w:val="left" w:pos="851"/>
        </w:tabs>
        <w:ind w:left="851"/>
        <w:rPr>
          <w:sz w:val="24"/>
          <w:szCs w:val="24"/>
        </w:rPr>
      </w:pPr>
      <w:r w:rsidRPr="00163966">
        <w:rPr>
          <w:sz w:val="24"/>
          <w:szCs w:val="24"/>
        </w:rPr>
        <w:t>Natriumhydroxid (til justering af pH)</w:t>
      </w:r>
    </w:p>
    <w:p w:rsidR="007979A8" w:rsidRPr="00163966" w:rsidRDefault="007979A8" w:rsidP="007979A8">
      <w:pPr>
        <w:tabs>
          <w:tab w:val="left" w:pos="851"/>
        </w:tabs>
        <w:ind w:left="851"/>
        <w:rPr>
          <w:sz w:val="24"/>
          <w:szCs w:val="24"/>
        </w:rPr>
      </w:pPr>
      <w:r w:rsidRPr="00163966">
        <w:rPr>
          <w:sz w:val="24"/>
          <w:szCs w:val="24"/>
        </w:rPr>
        <w:t>Vand til injektionsvæsker</w:t>
      </w:r>
    </w:p>
    <w:p w:rsidR="009260DE" w:rsidRPr="00163966" w:rsidRDefault="009260DE" w:rsidP="009260DE">
      <w:pPr>
        <w:tabs>
          <w:tab w:val="left" w:pos="851"/>
        </w:tabs>
        <w:ind w:left="851"/>
        <w:rPr>
          <w:sz w:val="24"/>
          <w:szCs w:val="24"/>
        </w:rPr>
      </w:pPr>
    </w:p>
    <w:p w:rsidR="009260DE" w:rsidRPr="00163966" w:rsidRDefault="009260DE" w:rsidP="00BA47F0">
      <w:pPr>
        <w:keepNext/>
        <w:tabs>
          <w:tab w:val="left" w:pos="851"/>
        </w:tabs>
        <w:ind w:left="851" w:hanging="851"/>
        <w:rPr>
          <w:b/>
          <w:sz w:val="24"/>
          <w:szCs w:val="24"/>
        </w:rPr>
      </w:pPr>
      <w:r w:rsidRPr="00163966">
        <w:rPr>
          <w:b/>
          <w:sz w:val="24"/>
          <w:szCs w:val="24"/>
        </w:rPr>
        <w:lastRenderedPageBreak/>
        <w:t>6.2</w:t>
      </w:r>
      <w:r w:rsidRPr="00163966">
        <w:rPr>
          <w:b/>
          <w:sz w:val="24"/>
          <w:szCs w:val="24"/>
        </w:rPr>
        <w:tab/>
        <w:t>Uforligeligheder</w:t>
      </w:r>
    </w:p>
    <w:p w:rsidR="007979A8" w:rsidRPr="00163966" w:rsidRDefault="007979A8" w:rsidP="007979A8">
      <w:pPr>
        <w:tabs>
          <w:tab w:val="left" w:pos="851"/>
        </w:tabs>
        <w:ind w:left="851"/>
        <w:rPr>
          <w:sz w:val="24"/>
          <w:szCs w:val="24"/>
        </w:rPr>
      </w:pPr>
      <w:r w:rsidRPr="00163966">
        <w:rPr>
          <w:sz w:val="24"/>
          <w:szCs w:val="24"/>
        </w:rPr>
        <w:t>Da der ikke foreligger studier af eventuelle uforligeligheder, må dette lægemiddel ikke blandes med andre lægemidler.</w:t>
      </w: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6.3</w:t>
      </w:r>
      <w:r w:rsidRPr="00163966">
        <w:rPr>
          <w:b/>
          <w:sz w:val="24"/>
          <w:szCs w:val="24"/>
        </w:rPr>
        <w:tab/>
        <w:t>Opbevaringstid</w:t>
      </w:r>
    </w:p>
    <w:p w:rsidR="007979A8" w:rsidRPr="00163966" w:rsidRDefault="007979A8" w:rsidP="007979A8">
      <w:pPr>
        <w:tabs>
          <w:tab w:val="left" w:pos="851"/>
        </w:tabs>
        <w:ind w:left="851"/>
        <w:rPr>
          <w:sz w:val="24"/>
          <w:szCs w:val="24"/>
        </w:rPr>
      </w:pPr>
      <w:r w:rsidRPr="00163966">
        <w:rPr>
          <w:sz w:val="24"/>
          <w:szCs w:val="24"/>
        </w:rPr>
        <w:t>2 år.</w:t>
      </w: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6.4</w:t>
      </w:r>
      <w:r w:rsidRPr="00163966">
        <w:rPr>
          <w:b/>
          <w:sz w:val="24"/>
          <w:szCs w:val="24"/>
        </w:rPr>
        <w:tab/>
        <w:t>Særlige opbevaringsforhold</w:t>
      </w:r>
    </w:p>
    <w:p w:rsidR="00B71543" w:rsidRPr="00163966" w:rsidRDefault="007979A8" w:rsidP="007979A8">
      <w:pPr>
        <w:tabs>
          <w:tab w:val="left" w:pos="851"/>
        </w:tabs>
        <w:ind w:left="851"/>
        <w:rPr>
          <w:sz w:val="24"/>
          <w:szCs w:val="24"/>
        </w:rPr>
      </w:pPr>
      <w:r w:rsidRPr="00163966">
        <w:rPr>
          <w:sz w:val="24"/>
          <w:szCs w:val="24"/>
        </w:rPr>
        <w:t>Opbevares ved temperaturer under 25 °C.</w:t>
      </w:r>
    </w:p>
    <w:p w:rsidR="00B71543" w:rsidRPr="00163966" w:rsidRDefault="007979A8" w:rsidP="007979A8">
      <w:pPr>
        <w:tabs>
          <w:tab w:val="left" w:pos="851"/>
        </w:tabs>
        <w:ind w:left="851"/>
        <w:rPr>
          <w:sz w:val="24"/>
          <w:szCs w:val="24"/>
        </w:rPr>
      </w:pPr>
      <w:r w:rsidRPr="00163966">
        <w:rPr>
          <w:sz w:val="24"/>
          <w:szCs w:val="24"/>
        </w:rPr>
        <w:t>Må ikke opbevares i køleskab eller nedfryses.</w:t>
      </w:r>
    </w:p>
    <w:p w:rsidR="00B71543" w:rsidRPr="00163966" w:rsidRDefault="00B71543" w:rsidP="007979A8">
      <w:pPr>
        <w:tabs>
          <w:tab w:val="left" w:pos="851"/>
        </w:tabs>
        <w:ind w:left="851"/>
        <w:rPr>
          <w:sz w:val="24"/>
          <w:szCs w:val="24"/>
        </w:rPr>
      </w:pPr>
    </w:p>
    <w:p w:rsidR="007979A8" w:rsidRPr="00163966" w:rsidRDefault="007979A8" w:rsidP="007979A8">
      <w:pPr>
        <w:tabs>
          <w:tab w:val="left" w:pos="851"/>
        </w:tabs>
        <w:ind w:left="851"/>
        <w:rPr>
          <w:sz w:val="24"/>
          <w:szCs w:val="24"/>
        </w:rPr>
      </w:pPr>
      <w:r w:rsidRPr="00163966">
        <w:rPr>
          <w:sz w:val="24"/>
          <w:szCs w:val="24"/>
        </w:rPr>
        <w:t>Opbevares i den originale karton for at beskytte mod lys.</w:t>
      </w: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6.5</w:t>
      </w:r>
      <w:r w:rsidRPr="00163966">
        <w:rPr>
          <w:b/>
          <w:sz w:val="24"/>
          <w:szCs w:val="24"/>
        </w:rPr>
        <w:tab/>
        <w:t>Emballagetype og pakningsstørrelser</w:t>
      </w:r>
    </w:p>
    <w:p w:rsidR="00820264" w:rsidRPr="00163966" w:rsidRDefault="00E77C59" w:rsidP="00E77C59">
      <w:pPr>
        <w:tabs>
          <w:tab w:val="left" w:pos="851"/>
        </w:tabs>
        <w:ind w:left="851"/>
        <w:rPr>
          <w:sz w:val="24"/>
          <w:szCs w:val="24"/>
        </w:rPr>
      </w:pPr>
      <w:r w:rsidRPr="00163966">
        <w:rPr>
          <w:sz w:val="24"/>
          <w:szCs w:val="24"/>
        </w:rPr>
        <w:t>100 ml gennemsigtig</w:t>
      </w:r>
      <w:r w:rsidR="00820264" w:rsidRPr="00163966">
        <w:rPr>
          <w:sz w:val="24"/>
          <w:szCs w:val="24"/>
        </w:rPr>
        <w:t>t</w:t>
      </w:r>
      <w:r w:rsidRPr="00163966">
        <w:rPr>
          <w:sz w:val="24"/>
          <w:szCs w:val="24"/>
        </w:rPr>
        <w:t xml:space="preserve"> hætteglas af type II-glas, der er lukke</w:t>
      </w:r>
      <w:r w:rsidR="00820264" w:rsidRPr="00163966">
        <w:rPr>
          <w:sz w:val="24"/>
          <w:szCs w:val="24"/>
        </w:rPr>
        <w:t>t</w:t>
      </w:r>
      <w:r w:rsidRPr="00163966">
        <w:rPr>
          <w:sz w:val="24"/>
          <w:szCs w:val="24"/>
        </w:rPr>
        <w:t xml:space="preserve"> med en grå gummiprop af </w:t>
      </w:r>
      <w:proofErr w:type="spellStart"/>
      <w:r w:rsidRPr="00163966">
        <w:rPr>
          <w:sz w:val="24"/>
          <w:szCs w:val="24"/>
        </w:rPr>
        <w:t>bromobutyl</w:t>
      </w:r>
      <w:proofErr w:type="spellEnd"/>
      <w:r w:rsidRPr="00163966">
        <w:rPr>
          <w:sz w:val="24"/>
          <w:szCs w:val="24"/>
        </w:rPr>
        <w:t xml:space="preserve"> og et vippelåg af aluminium</w:t>
      </w:r>
      <w:r w:rsidR="00820264" w:rsidRPr="00163966">
        <w:rPr>
          <w:sz w:val="24"/>
          <w:szCs w:val="24"/>
        </w:rPr>
        <w:t>.</w:t>
      </w:r>
    </w:p>
    <w:p w:rsidR="009260DE" w:rsidRPr="00163966" w:rsidRDefault="009260DE" w:rsidP="009260DE">
      <w:pPr>
        <w:tabs>
          <w:tab w:val="left" w:pos="851"/>
        </w:tabs>
        <w:ind w:left="851"/>
        <w:rPr>
          <w:sz w:val="24"/>
          <w:szCs w:val="24"/>
        </w:rPr>
      </w:pPr>
    </w:p>
    <w:p w:rsidR="00E77C59" w:rsidRPr="00163966" w:rsidRDefault="00E77C59" w:rsidP="009260DE">
      <w:pPr>
        <w:tabs>
          <w:tab w:val="left" w:pos="851"/>
        </w:tabs>
        <w:ind w:left="851"/>
        <w:rPr>
          <w:sz w:val="24"/>
          <w:szCs w:val="24"/>
        </w:rPr>
      </w:pPr>
      <w:r w:rsidRPr="00163966">
        <w:rPr>
          <w:sz w:val="24"/>
          <w:szCs w:val="24"/>
        </w:rPr>
        <w:t>Pakningsstørrelser: 10 hætteglas.</w:t>
      </w:r>
    </w:p>
    <w:p w:rsidR="00E77C59" w:rsidRPr="00163966" w:rsidRDefault="00E77C59" w:rsidP="009260DE">
      <w:pPr>
        <w:tabs>
          <w:tab w:val="left" w:pos="851"/>
        </w:tabs>
        <w:ind w:left="851"/>
        <w:rPr>
          <w:sz w:val="24"/>
          <w:szCs w:val="24"/>
        </w:rPr>
      </w:pPr>
      <w:r w:rsidRPr="00163966">
        <w:rPr>
          <w:sz w:val="24"/>
          <w:szCs w:val="24"/>
        </w:rPr>
        <w:t>Ikke alle pakningsstørrelse er nødvendigvis markedsført.</w:t>
      </w:r>
    </w:p>
    <w:p w:rsidR="00E77C59" w:rsidRPr="00163966" w:rsidRDefault="00E77C59" w:rsidP="009260DE">
      <w:pPr>
        <w:tabs>
          <w:tab w:val="left" w:pos="851"/>
        </w:tabs>
        <w:ind w:left="851"/>
        <w:rPr>
          <w:sz w:val="24"/>
          <w:szCs w:val="24"/>
        </w:rPr>
      </w:pPr>
    </w:p>
    <w:p w:rsidR="00274FA3" w:rsidRPr="00163966" w:rsidRDefault="00274FA3" w:rsidP="00274FA3">
      <w:pPr>
        <w:tabs>
          <w:tab w:val="left" w:pos="851"/>
        </w:tabs>
        <w:ind w:left="851" w:hanging="851"/>
        <w:rPr>
          <w:b/>
          <w:sz w:val="24"/>
          <w:szCs w:val="24"/>
        </w:rPr>
      </w:pPr>
      <w:r w:rsidRPr="00163966">
        <w:rPr>
          <w:b/>
          <w:sz w:val="24"/>
          <w:szCs w:val="24"/>
        </w:rPr>
        <w:t>6.6</w:t>
      </w:r>
      <w:r w:rsidRPr="00163966">
        <w:rPr>
          <w:b/>
          <w:sz w:val="24"/>
          <w:szCs w:val="24"/>
        </w:rPr>
        <w:tab/>
        <w:t>Regler for bortskaffelse og anden håndtering</w:t>
      </w:r>
    </w:p>
    <w:p w:rsidR="00820264" w:rsidRPr="00163966" w:rsidRDefault="00820264" w:rsidP="00820264">
      <w:pPr>
        <w:tabs>
          <w:tab w:val="left" w:pos="851"/>
        </w:tabs>
        <w:ind w:left="851"/>
        <w:rPr>
          <w:sz w:val="24"/>
          <w:szCs w:val="24"/>
        </w:rPr>
      </w:pPr>
      <w:r w:rsidRPr="00163966">
        <w:rPr>
          <w:sz w:val="24"/>
          <w:szCs w:val="24"/>
        </w:rPr>
        <w:t>For at få opløsningen ud bruges en 0,8 mm kanyle (21 gauge kanyle), og proppen perforeres vertikalt på det viste sted.</w:t>
      </w:r>
    </w:p>
    <w:p w:rsidR="00820264" w:rsidRPr="00163966" w:rsidRDefault="00820264" w:rsidP="00820264">
      <w:pPr>
        <w:tabs>
          <w:tab w:val="left" w:pos="851"/>
        </w:tabs>
        <w:ind w:left="851"/>
        <w:rPr>
          <w:sz w:val="24"/>
          <w:szCs w:val="24"/>
        </w:rPr>
      </w:pPr>
    </w:p>
    <w:p w:rsidR="004926C0" w:rsidRPr="00D26EF0" w:rsidRDefault="004926C0" w:rsidP="004926C0">
      <w:pPr>
        <w:tabs>
          <w:tab w:val="left" w:pos="851"/>
        </w:tabs>
        <w:ind w:left="851"/>
        <w:rPr>
          <w:sz w:val="24"/>
          <w:szCs w:val="24"/>
        </w:rPr>
      </w:pPr>
      <w:r w:rsidRPr="00D26EF0">
        <w:rPr>
          <w:sz w:val="24"/>
          <w:szCs w:val="24"/>
        </w:rPr>
        <w:t xml:space="preserve">Hos patienter, der vejer mindre end 50 kg, hvor et helt hætteglas (100 ml) ikke er nødvendigt, skal den korrekte mængde </w:t>
      </w:r>
      <w:proofErr w:type="spellStart"/>
      <w:r w:rsidRPr="00D26EF0">
        <w:rPr>
          <w:sz w:val="24"/>
          <w:szCs w:val="24"/>
        </w:rPr>
        <w:t>infunderes</w:t>
      </w:r>
      <w:proofErr w:type="spellEnd"/>
      <w:r w:rsidRPr="00D26EF0">
        <w:rPr>
          <w:sz w:val="24"/>
          <w:szCs w:val="24"/>
        </w:rPr>
        <w:t xml:space="preserve"> og den resterende </w:t>
      </w:r>
      <w:r w:rsidRPr="00CF3F7D">
        <w:rPr>
          <w:sz w:val="24"/>
          <w:szCs w:val="24"/>
        </w:rPr>
        <w:t>opløsning</w:t>
      </w:r>
      <w:r w:rsidRPr="00D26EF0">
        <w:rPr>
          <w:sz w:val="24"/>
          <w:szCs w:val="24"/>
        </w:rPr>
        <w:t xml:space="preserve"> kasseres.</w:t>
      </w:r>
    </w:p>
    <w:p w:rsidR="00820264" w:rsidRPr="00163966" w:rsidRDefault="00820264" w:rsidP="00820264">
      <w:pPr>
        <w:tabs>
          <w:tab w:val="left" w:pos="851"/>
        </w:tabs>
        <w:ind w:left="851"/>
        <w:rPr>
          <w:sz w:val="24"/>
          <w:szCs w:val="24"/>
        </w:rPr>
      </w:pPr>
    </w:p>
    <w:p w:rsidR="004926C0" w:rsidRPr="00D26EF0" w:rsidRDefault="004926C0" w:rsidP="004926C0">
      <w:pPr>
        <w:tabs>
          <w:tab w:val="left" w:pos="851"/>
        </w:tabs>
        <w:ind w:left="851"/>
        <w:rPr>
          <w:sz w:val="24"/>
          <w:szCs w:val="24"/>
        </w:rPr>
      </w:pPr>
      <w:r>
        <w:rPr>
          <w:sz w:val="24"/>
          <w:szCs w:val="24"/>
        </w:rPr>
        <w:t>Opløsningen</w:t>
      </w:r>
      <w:r w:rsidRPr="00D26EF0">
        <w:rPr>
          <w:sz w:val="24"/>
          <w:szCs w:val="24"/>
        </w:rPr>
        <w:t xml:space="preserve"> skal kontrolleres visuelt for partikler og misfarvning inden administration, når opløsningen og beholderen tillader det. Opløsningen må ikke anvendes, hvis synligt uklare partikler, misfarvning eller andre partikler kan ses.</w:t>
      </w:r>
    </w:p>
    <w:p w:rsidR="004926C0" w:rsidRPr="00D26EF0" w:rsidRDefault="004926C0" w:rsidP="004926C0">
      <w:pPr>
        <w:tabs>
          <w:tab w:val="left" w:pos="851"/>
        </w:tabs>
        <w:ind w:left="851"/>
        <w:rPr>
          <w:sz w:val="24"/>
          <w:szCs w:val="24"/>
        </w:rPr>
      </w:pPr>
    </w:p>
    <w:p w:rsidR="004926C0" w:rsidRPr="00D26EF0" w:rsidRDefault="004926C0" w:rsidP="004926C0">
      <w:pPr>
        <w:tabs>
          <w:tab w:val="left" w:pos="851"/>
        </w:tabs>
        <w:ind w:left="851"/>
        <w:rPr>
          <w:sz w:val="24"/>
          <w:szCs w:val="24"/>
        </w:rPr>
      </w:pPr>
      <w:r w:rsidRPr="00D26EF0">
        <w:rPr>
          <w:sz w:val="24"/>
          <w:szCs w:val="24"/>
        </w:rPr>
        <w:t xml:space="preserve">Da der ikke foreligger studier af eventuelle uforligeligheder, må dette lægemiddel ikke blandes med fortyndingsmidler. Hvis der skal bruges mindre end et helt hætteglas til en enkelt dosis, skal den korrekte mængde </w:t>
      </w:r>
      <w:proofErr w:type="spellStart"/>
      <w:r w:rsidRPr="00D26EF0">
        <w:rPr>
          <w:sz w:val="24"/>
          <w:szCs w:val="24"/>
        </w:rPr>
        <w:t>infunderes</w:t>
      </w:r>
      <w:proofErr w:type="spellEnd"/>
      <w:r w:rsidRPr="00D26EF0">
        <w:rPr>
          <w:sz w:val="24"/>
          <w:szCs w:val="24"/>
        </w:rPr>
        <w:t xml:space="preserve"> og resterende opløsning kasseres (se også pkt. 4.2).</w:t>
      </w:r>
    </w:p>
    <w:p w:rsidR="004926C0" w:rsidRPr="00D26EF0" w:rsidRDefault="004926C0" w:rsidP="004926C0">
      <w:pPr>
        <w:tabs>
          <w:tab w:val="left" w:pos="851"/>
        </w:tabs>
        <w:ind w:left="851"/>
        <w:rPr>
          <w:sz w:val="24"/>
          <w:szCs w:val="24"/>
        </w:rPr>
      </w:pPr>
    </w:p>
    <w:p w:rsidR="004926C0" w:rsidRPr="00D26EF0" w:rsidRDefault="004926C0" w:rsidP="004926C0">
      <w:pPr>
        <w:tabs>
          <w:tab w:val="left" w:pos="851"/>
        </w:tabs>
        <w:ind w:left="851"/>
        <w:rPr>
          <w:sz w:val="24"/>
          <w:szCs w:val="24"/>
        </w:rPr>
      </w:pPr>
      <w:r>
        <w:rPr>
          <w:sz w:val="24"/>
          <w:szCs w:val="24"/>
        </w:rPr>
        <w:t>Dette lægemiddel</w:t>
      </w:r>
      <w:r w:rsidRPr="00D26EF0">
        <w:rPr>
          <w:sz w:val="24"/>
          <w:szCs w:val="24"/>
        </w:rPr>
        <w:t xml:space="preserve"> må kun bruges til én patient ved én behandling. Det indeholder ingen antimikrobielle konserveringsmidler. Ubrugt opløsning skal kasseres.</w:t>
      </w:r>
    </w:p>
    <w:p w:rsidR="009260DE" w:rsidRPr="00163966" w:rsidRDefault="009260DE" w:rsidP="00820264">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7.</w:t>
      </w:r>
      <w:r w:rsidRPr="00163966">
        <w:rPr>
          <w:b/>
          <w:sz w:val="24"/>
          <w:szCs w:val="24"/>
        </w:rPr>
        <w:tab/>
        <w:t>INDEHAVER AF MARKEDSFØRINGSTILLADELSEN</w:t>
      </w:r>
    </w:p>
    <w:p w:rsidR="00687F6E" w:rsidRPr="00F65081" w:rsidRDefault="00687F6E" w:rsidP="00687F6E">
      <w:pPr>
        <w:tabs>
          <w:tab w:val="left" w:pos="851"/>
        </w:tabs>
        <w:ind w:left="851"/>
        <w:rPr>
          <w:sz w:val="24"/>
          <w:szCs w:val="24"/>
          <w:lang w:val="en-US"/>
        </w:rPr>
      </w:pPr>
      <w:proofErr w:type="spellStart"/>
      <w:r w:rsidRPr="00F65081">
        <w:rPr>
          <w:sz w:val="24"/>
          <w:szCs w:val="24"/>
          <w:lang w:val="en-US"/>
        </w:rPr>
        <w:t>Laboratoire</w:t>
      </w:r>
      <w:proofErr w:type="spellEnd"/>
      <w:r w:rsidRPr="00F65081">
        <w:rPr>
          <w:sz w:val="24"/>
          <w:szCs w:val="24"/>
          <w:lang w:val="en-US"/>
        </w:rPr>
        <w:t xml:space="preserve"> </w:t>
      </w:r>
      <w:proofErr w:type="spellStart"/>
      <w:r w:rsidRPr="00F65081">
        <w:rPr>
          <w:sz w:val="24"/>
          <w:szCs w:val="24"/>
          <w:lang w:val="en-US"/>
        </w:rPr>
        <w:t>Aguettant</w:t>
      </w:r>
      <w:proofErr w:type="spellEnd"/>
    </w:p>
    <w:p w:rsidR="00687F6E" w:rsidRPr="00F65081" w:rsidRDefault="00687F6E" w:rsidP="00687F6E">
      <w:pPr>
        <w:tabs>
          <w:tab w:val="left" w:pos="851"/>
        </w:tabs>
        <w:ind w:left="851"/>
        <w:rPr>
          <w:sz w:val="24"/>
          <w:szCs w:val="24"/>
          <w:lang w:val="en-US"/>
        </w:rPr>
      </w:pPr>
      <w:r w:rsidRPr="00F65081">
        <w:rPr>
          <w:sz w:val="24"/>
          <w:szCs w:val="24"/>
          <w:lang w:val="en-US"/>
        </w:rPr>
        <w:t>1, rue Alexander Fleming</w:t>
      </w:r>
    </w:p>
    <w:p w:rsidR="00687F6E" w:rsidRPr="00F65081" w:rsidRDefault="00687F6E" w:rsidP="00687F6E">
      <w:pPr>
        <w:tabs>
          <w:tab w:val="left" w:pos="851"/>
        </w:tabs>
        <w:ind w:left="851"/>
        <w:rPr>
          <w:sz w:val="24"/>
          <w:szCs w:val="24"/>
          <w:lang w:val="en-US"/>
        </w:rPr>
      </w:pPr>
      <w:r w:rsidRPr="00F65081">
        <w:rPr>
          <w:sz w:val="24"/>
          <w:szCs w:val="24"/>
          <w:lang w:val="en-US"/>
        </w:rPr>
        <w:t>69007 Lyon</w:t>
      </w:r>
    </w:p>
    <w:p w:rsidR="00687F6E" w:rsidRPr="00163966" w:rsidRDefault="00687F6E" w:rsidP="00687F6E">
      <w:pPr>
        <w:tabs>
          <w:tab w:val="left" w:pos="851"/>
        </w:tabs>
        <w:ind w:left="851"/>
        <w:rPr>
          <w:sz w:val="24"/>
          <w:szCs w:val="24"/>
        </w:rPr>
      </w:pPr>
      <w:r w:rsidRPr="00163966">
        <w:rPr>
          <w:sz w:val="24"/>
          <w:szCs w:val="24"/>
        </w:rPr>
        <w:t>Frankrig</w:t>
      </w: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8.</w:t>
      </w:r>
      <w:r w:rsidRPr="00163966">
        <w:rPr>
          <w:b/>
          <w:sz w:val="24"/>
          <w:szCs w:val="24"/>
        </w:rPr>
        <w:tab/>
        <w:t>MARKEDSFØRINGSTILLADELSESNUMMER (</w:t>
      </w:r>
      <w:r w:rsidR="00274FA3" w:rsidRPr="00163966">
        <w:rPr>
          <w:b/>
          <w:sz w:val="24"/>
          <w:szCs w:val="24"/>
        </w:rPr>
        <w:t>-</w:t>
      </w:r>
      <w:r w:rsidRPr="00163966">
        <w:rPr>
          <w:b/>
          <w:sz w:val="24"/>
          <w:szCs w:val="24"/>
        </w:rPr>
        <w:t>NUMRE)</w:t>
      </w:r>
    </w:p>
    <w:p w:rsidR="009260DE" w:rsidRPr="00163966" w:rsidRDefault="006C541C" w:rsidP="009260DE">
      <w:pPr>
        <w:tabs>
          <w:tab w:val="left" w:pos="851"/>
        </w:tabs>
        <w:ind w:left="851"/>
        <w:rPr>
          <w:sz w:val="24"/>
          <w:szCs w:val="24"/>
        </w:rPr>
      </w:pPr>
      <w:r w:rsidRPr="00163966">
        <w:rPr>
          <w:sz w:val="24"/>
          <w:szCs w:val="24"/>
        </w:rPr>
        <w:t>64909</w:t>
      </w:r>
    </w:p>
    <w:p w:rsidR="009260DE" w:rsidRPr="00163966" w:rsidRDefault="009260DE" w:rsidP="009260DE">
      <w:pPr>
        <w:tabs>
          <w:tab w:val="left" w:pos="851"/>
        </w:tabs>
        <w:ind w:left="851"/>
        <w:jc w:val="both"/>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t>9.</w:t>
      </w:r>
      <w:r w:rsidRPr="00163966">
        <w:rPr>
          <w:b/>
          <w:sz w:val="24"/>
          <w:szCs w:val="24"/>
        </w:rPr>
        <w:tab/>
        <w:t>DATO FOR FØRSTE MARKEDSFØRINGSTILLADELSE</w:t>
      </w:r>
    </w:p>
    <w:p w:rsidR="009260DE" w:rsidRPr="00163966" w:rsidRDefault="0094092E" w:rsidP="009260DE">
      <w:pPr>
        <w:tabs>
          <w:tab w:val="left" w:pos="851"/>
        </w:tabs>
        <w:ind w:left="851"/>
        <w:rPr>
          <w:sz w:val="24"/>
          <w:szCs w:val="24"/>
        </w:rPr>
      </w:pPr>
      <w:r w:rsidRPr="00163966">
        <w:rPr>
          <w:sz w:val="24"/>
          <w:szCs w:val="24"/>
        </w:rPr>
        <w:t>5. juli 2021</w:t>
      </w:r>
    </w:p>
    <w:p w:rsidR="009260DE" w:rsidRPr="00163966" w:rsidRDefault="009260DE" w:rsidP="009260DE">
      <w:pPr>
        <w:tabs>
          <w:tab w:val="left" w:pos="851"/>
        </w:tabs>
        <w:ind w:left="851"/>
        <w:rPr>
          <w:sz w:val="24"/>
          <w:szCs w:val="24"/>
        </w:rPr>
      </w:pPr>
    </w:p>
    <w:p w:rsidR="009260DE" w:rsidRPr="00163966" w:rsidRDefault="009260DE" w:rsidP="009260DE">
      <w:pPr>
        <w:tabs>
          <w:tab w:val="left" w:pos="851"/>
        </w:tabs>
        <w:ind w:left="851" w:hanging="851"/>
        <w:rPr>
          <w:b/>
          <w:sz w:val="24"/>
          <w:szCs w:val="24"/>
        </w:rPr>
      </w:pPr>
      <w:r w:rsidRPr="00163966">
        <w:rPr>
          <w:b/>
          <w:sz w:val="24"/>
          <w:szCs w:val="24"/>
        </w:rPr>
        <w:lastRenderedPageBreak/>
        <w:t>10.</w:t>
      </w:r>
      <w:r w:rsidRPr="00163966">
        <w:rPr>
          <w:b/>
          <w:sz w:val="24"/>
          <w:szCs w:val="24"/>
        </w:rPr>
        <w:tab/>
        <w:t>DATO FOR ÆNDRING AF TEKSTEN</w:t>
      </w:r>
    </w:p>
    <w:p w:rsidR="009260DE" w:rsidRPr="00163966" w:rsidRDefault="00F65081" w:rsidP="009260DE">
      <w:pPr>
        <w:tabs>
          <w:tab w:val="left" w:pos="851"/>
        </w:tabs>
        <w:ind w:left="851"/>
        <w:rPr>
          <w:sz w:val="24"/>
          <w:szCs w:val="24"/>
        </w:rPr>
      </w:pPr>
      <w:r>
        <w:rPr>
          <w:sz w:val="24"/>
          <w:szCs w:val="24"/>
        </w:rPr>
        <w:t>9</w:t>
      </w:r>
      <w:r w:rsidR="004859AA">
        <w:rPr>
          <w:sz w:val="24"/>
          <w:szCs w:val="24"/>
        </w:rPr>
        <w:t xml:space="preserve">. </w:t>
      </w:r>
      <w:r w:rsidR="00AA504E">
        <w:rPr>
          <w:sz w:val="24"/>
          <w:szCs w:val="24"/>
        </w:rPr>
        <w:t>januar</w:t>
      </w:r>
      <w:r w:rsidR="004859AA">
        <w:rPr>
          <w:sz w:val="24"/>
          <w:szCs w:val="24"/>
        </w:rPr>
        <w:t xml:space="preserve"> 202</w:t>
      </w:r>
      <w:r w:rsidR="00AA504E">
        <w:rPr>
          <w:sz w:val="24"/>
          <w:szCs w:val="24"/>
        </w:rPr>
        <w:t>5</w:t>
      </w:r>
      <w:bookmarkStart w:id="1" w:name="_GoBack"/>
      <w:bookmarkEnd w:id="1"/>
    </w:p>
    <w:sectPr w:rsidR="009260DE" w:rsidRPr="0016396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D20" w:rsidRDefault="00FF1D20">
      <w:r>
        <w:separator/>
      </w:r>
    </w:p>
  </w:endnote>
  <w:endnote w:type="continuationSeparator" w:id="0">
    <w:p w:rsidR="00FF1D20" w:rsidRDefault="00FF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D20" w:rsidRDefault="00FF1D20">
    <w:pPr>
      <w:pStyle w:val="Sidefod"/>
      <w:pBdr>
        <w:bottom w:val="single" w:sz="6" w:space="1" w:color="auto"/>
      </w:pBdr>
    </w:pPr>
  </w:p>
  <w:p w:rsidR="00FF1D20" w:rsidRDefault="00FF1D20" w:rsidP="00C42586">
    <w:pPr>
      <w:pStyle w:val="Sidefod"/>
      <w:tabs>
        <w:tab w:val="clear" w:pos="4819"/>
        <w:tab w:val="left" w:pos="8505"/>
      </w:tabs>
      <w:rPr>
        <w:i/>
        <w:sz w:val="18"/>
        <w:szCs w:val="18"/>
      </w:rPr>
    </w:pPr>
  </w:p>
  <w:p w:rsidR="00FF1D20" w:rsidRPr="00B373D7" w:rsidRDefault="00FF1D2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Comboval, infusionsvæske, opløsning 10+3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D20" w:rsidRDefault="00FF1D20">
      <w:r>
        <w:separator/>
      </w:r>
    </w:p>
  </w:footnote>
  <w:footnote w:type="continuationSeparator" w:id="0">
    <w:p w:rsidR="00FF1D20" w:rsidRDefault="00FF1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39B0"/>
    <w:multiLevelType w:val="hybridMultilevel"/>
    <w:tmpl w:val="8834A76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AFE6D78"/>
    <w:multiLevelType w:val="hybridMultilevel"/>
    <w:tmpl w:val="AA68F4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18A7BA3"/>
    <w:multiLevelType w:val="hybridMultilevel"/>
    <w:tmpl w:val="E16C986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5F168E1"/>
    <w:multiLevelType w:val="hybridMultilevel"/>
    <w:tmpl w:val="AB487D06"/>
    <w:lvl w:ilvl="0" w:tplc="FFFFFFFF">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189004F7"/>
    <w:multiLevelType w:val="hybridMultilevel"/>
    <w:tmpl w:val="38E632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19C85476"/>
    <w:multiLevelType w:val="hybridMultilevel"/>
    <w:tmpl w:val="0CBA9DC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C9A7A98"/>
    <w:multiLevelType w:val="hybridMultilevel"/>
    <w:tmpl w:val="CC22E2C2"/>
    <w:lvl w:ilvl="0" w:tplc="FFFFFFFF">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2"/>
  </w:num>
  <w:num w:numId="9">
    <w:abstractNumId w:val="6"/>
  </w:num>
  <w:num w:numId="10">
    <w:abstractNumId w:val="1"/>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6E"/>
    <w:rsid w:val="00006032"/>
    <w:rsid w:val="000154F4"/>
    <w:rsid w:val="00024275"/>
    <w:rsid w:val="000259B9"/>
    <w:rsid w:val="00041491"/>
    <w:rsid w:val="00050D16"/>
    <w:rsid w:val="00065C2F"/>
    <w:rsid w:val="0007245E"/>
    <w:rsid w:val="00074F2A"/>
    <w:rsid w:val="000A1CA8"/>
    <w:rsid w:val="000A466B"/>
    <w:rsid w:val="000B058C"/>
    <w:rsid w:val="000E4EE6"/>
    <w:rsid w:val="000F360A"/>
    <w:rsid w:val="001454E2"/>
    <w:rsid w:val="00163966"/>
    <w:rsid w:val="001A2FEA"/>
    <w:rsid w:val="001E160E"/>
    <w:rsid w:val="00206CE8"/>
    <w:rsid w:val="0021526C"/>
    <w:rsid w:val="00257426"/>
    <w:rsid w:val="00274FA3"/>
    <w:rsid w:val="00283A2B"/>
    <w:rsid w:val="002B30AD"/>
    <w:rsid w:val="002C2C01"/>
    <w:rsid w:val="0035233E"/>
    <w:rsid w:val="0036323D"/>
    <w:rsid w:val="00364963"/>
    <w:rsid w:val="003A29AE"/>
    <w:rsid w:val="003A32D7"/>
    <w:rsid w:val="003B4074"/>
    <w:rsid w:val="003C769A"/>
    <w:rsid w:val="003D1B0E"/>
    <w:rsid w:val="003F1838"/>
    <w:rsid w:val="0045746C"/>
    <w:rsid w:val="004859AA"/>
    <w:rsid w:val="0049104B"/>
    <w:rsid w:val="004926C0"/>
    <w:rsid w:val="004B725F"/>
    <w:rsid w:val="004E3B12"/>
    <w:rsid w:val="00504FDD"/>
    <w:rsid w:val="00532310"/>
    <w:rsid w:val="00565F0F"/>
    <w:rsid w:val="00594A86"/>
    <w:rsid w:val="00596D86"/>
    <w:rsid w:val="00636E9E"/>
    <w:rsid w:val="00637F5A"/>
    <w:rsid w:val="006560B1"/>
    <w:rsid w:val="006756DD"/>
    <w:rsid w:val="00687F6E"/>
    <w:rsid w:val="006C541C"/>
    <w:rsid w:val="00737275"/>
    <w:rsid w:val="00740EEC"/>
    <w:rsid w:val="00772909"/>
    <w:rsid w:val="007744D4"/>
    <w:rsid w:val="0078011A"/>
    <w:rsid w:val="00782AF4"/>
    <w:rsid w:val="00790EE7"/>
    <w:rsid w:val="007979A8"/>
    <w:rsid w:val="007B6649"/>
    <w:rsid w:val="0081361B"/>
    <w:rsid w:val="00820264"/>
    <w:rsid w:val="0082576E"/>
    <w:rsid w:val="00894608"/>
    <w:rsid w:val="008B64EC"/>
    <w:rsid w:val="008D2574"/>
    <w:rsid w:val="00907F75"/>
    <w:rsid w:val="009260DE"/>
    <w:rsid w:val="0093258A"/>
    <w:rsid w:val="0094092E"/>
    <w:rsid w:val="0098343C"/>
    <w:rsid w:val="009B3AA9"/>
    <w:rsid w:val="009C7BA3"/>
    <w:rsid w:val="009D1F5A"/>
    <w:rsid w:val="009D2186"/>
    <w:rsid w:val="00AA3894"/>
    <w:rsid w:val="00AA504E"/>
    <w:rsid w:val="00AB5D25"/>
    <w:rsid w:val="00B003BF"/>
    <w:rsid w:val="00B10E6E"/>
    <w:rsid w:val="00B373D7"/>
    <w:rsid w:val="00B71543"/>
    <w:rsid w:val="00BA47F0"/>
    <w:rsid w:val="00C36276"/>
    <w:rsid w:val="00C42586"/>
    <w:rsid w:val="00C60CCD"/>
    <w:rsid w:val="00C84483"/>
    <w:rsid w:val="00C95551"/>
    <w:rsid w:val="00CB20D7"/>
    <w:rsid w:val="00CB4BA4"/>
    <w:rsid w:val="00CD587A"/>
    <w:rsid w:val="00D020B0"/>
    <w:rsid w:val="00D11748"/>
    <w:rsid w:val="00D24024"/>
    <w:rsid w:val="00D366CF"/>
    <w:rsid w:val="00DB57C8"/>
    <w:rsid w:val="00E108AA"/>
    <w:rsid w:val="00E2677C"/>
    <w:rsid w:val="00E36952"/>
    <w:rsid w:val="00E3749A"/>
    <w:rsid w:val="00E7437F"/>
    <w:rsid w:val="00E77C59"/>
    <w:rsid w:val="00E865B8"/>
    <w:rsid w:val="00EC0B9B"/>
    <w:rsid w:val="00ED5E9F"/>
    <w:rsid w:val="00F103E2"/>
    <w:rsid w:val="00F368E1"/>
    <w:rsid w:val="00F65081"/>
    <w:rsid w:val="00F66D4F"/>
    <w:rsid w:val="00F77522"/>
    <w:rsid w:val="00F87D8A"/>
    <w:rsid w:val="00FB28D3"/>
    <w:rsid w:val="00FB6D01"/>
    <w:rsid w:val="00FC6982"/>
    <w:rsid w:val="00FF1D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DF71C"/>
  <w15:chartTrackingRefBased/>
  <w15:docId w15:val="{D9A76E13-2210-4F98-A60D-13F4A2CB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D2186"/>
    <w:pPr>
      <w:ind w:left="720"/>
      <w:contextualSpacing/>
    </w:pPr>
  </w:style>
  <w:style w:type="character" w:styleId="Hyperlink">
    <w:name w:val="Hyperlink"/>
    <w:uiPriority w:val="99"/>
    <w:unhideWhenUsed/>
    <w:rsid w:val="00AB5D25"/>
    <w:rPr>
      <w:color w:val="0000FF"/>
      <w:u w:val="single"/>
    </w:rPr>
  </w:style>
  <w:style w:type="character" w:styleId="Ulstomtale">
    <w:name w:val="Unresolved Mention"/>
    <w:basedOn w:val="Standardskrifttypeiafsnit"/>
    <w:uiPriority w:val="99"/>
    <w:semiHidden/>
    <w:unhideWhenUsed/>
    <w:rsid w:val="00492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06627">
      <w:bodyDiv w:val="1"/>
      <w:marLeft w:val="0"/>
      <w:marRight w:val="0"/>
      <w:marTop w:val="0"/>
      <w:marBottom w:val="0"/>
      <w:divBdr>
        <w:top w:val="none" w:sz="0" w:space="0" w:color="auto"/>
        <w:left w:val="none" w:sz="0" w:space="0" w:color="auto"/>
        <w:bottom w:val="none" w:sz="0" w:space="0" w:color="auto"/>
        <w:right w:val="none" w:sz="0" w:space="0" w:color="auto"/>
      </w:divBdr>
    </w:div>
    <w:div w:id="70126892">
      <w:bodyDiv w:val="1"/>
      <w:marLeft w:val="0"/>
      <w:marRight w:val="0"/>
      <w:marTop w:val="0"/>
      <w:marBottom w:val="0"/>
      <w:divBdr>
        <w:top w:val="none" w:sz="0" w:space="0" w:color="auto"/>
        <w:left w:val="none" w:sz="0" w:space="0" w:color="auto"/>
        <w:bottom w:val="none" w:sz="0" w:space="0" w:color="auto"/>
        <w:right w:val="none" w:sz="0" w:space="0" w:color="auto"/>
      </w:divBdr>
    </w:div>
    <w:div w:id="928671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1282537">
      <w:bodyDiv w:val="1"/>
      <w:marLeft w:val="0"/>
      <w:marRight w:val="0"/>
      <w:marTop w:val="0"/>
      <w:marBottom w:val="0"/>
      <w:divBdr>
        <w:top w:val="none" w:sz="0" w:space="0" w:color="auto"/>
        <w:left w:val="none" w:sz="0" w:space="0" w:color="auto"/>
        <w:bottom w:val="none" w:sz="0" w:space="0" w:color="auto"/>
        <w:right w:val="none" w:sz="0" w:space="0" w:color="auto"/>
      </w:divBdr>
    </w:div>
    <w:div w:id="267781394">
      <w:bodyDiv w:val="1"/>
      <w:marLeft w:val="0"/>
      <w:marRight w:val="0"/>
      <w:marTop w:val="0"/>
      <w:marBottom w:val="0"/>
      <w:divBdr>
        <w:top w:val="none" w:sz="0" w:space="0" w:color="auto"/>
        <w:left w:val="none" w:sz="0" w:space="0" w:color="auto"/>
        <w:bottom w:val="none" w:sz="0" w:space="0" w:color="auto"/>
        <w:right w:val="none" w:sz="0" w:space="0" w:color="auto"/>
      </w:divBdr>
    </w:div>
    <w:div w:id="314917347">
      <w:bodyDiv w:val="1"/>
      <w:marLeft w:val="0"/>
      <w:marRight w:val="0"/>
      <w:marTop w:val="0"/>
      <w:marBottom w:val="0"/>
      <w:divBdr>
        <w:top w:val="none" w:sz="0" w:space="0" w:color="auto"/>
        <w:left w:val="none" w:sz="0" w:space="0" w:color="auto"/>
        <w:bottom w:val="none" w:sz="0" w:space="0" w:color="auto"/>
        <w:right w:val="none" w:sz="0" w:space="0" w:color="auto"/>
      </w:divBdr>
    </w:div>
    <w:div w:id="394203059">
      <w:bodyDiv w:val="1"/>
      <w:marLeft w:val="0"/>
      <w:marRight w:val="0"/>
      <w:marTop w:val="0"/>
      <w:marBottom w:val="0"/>
      <w:divBdr>
        <w:top w:val="none" w:sz="0" w:space="0" w:color="auto"/>
        <w:left w:val="none" w:sz="0" w:space="0" w:color="auto"/>
        <w:bottom w:val="none" w:sz="0" w:space="0" w:color="auto"/>
        <w:right w:val="none" w:sz="0" w:space="0" w:color="auto"/>
      </w:divBdr>
    </w:div>
    <w:div w:id="440495360">
      <w:bodyDiv w:val="1"/>
      <w:marLeft w:val="0"/>
      <w:marRight w:val="0"/>
      <w:marTop w:val="0"/>
      <w:marBottom w:val="0"/>
      <w:divBdr>
        <w:top w:val="none" w:sz="0" w:space="0" w:color="auto"/>
        <w:left w:val="none" w:sz="0" w:space="0" w:color="auto"/>
        <w:bottom w:val="none" w:sz="0" w:space="0" w:color="auto"/>
        <w:right w:val="none" w:sz="0" w:space="0" w:color="auto"/>
      </w:divBdr>
    </w:div>
    <w:div w:id="512767270">
      <w:bodyDiv w:val="1"/>
      <w:marLeft w:val="0"/>
      <w:marRight w:val="0"/>
      <w:marTop w:val="0"/>
      <w:marBottom w:val="0"/>
      <w:divBdr>
        <w:top w:val="none" w:sz="0" w:space="0" w:color="auto"/>
        <w:left w:val="none" w:sz="0" w:space="0" w:color="auto"/>
        <w:bottom w:val="none" w:sz="0" w:space="0" w:color="auto"/>
        <w:right w:val="none" w:sz="0" w:space="0" w:color="auto"/>
      </w:divBdr>
    </w:div>
    <w:div w:id="593444632">
      <w:bodyDiv w:val="1"/>
      <w:marLeft w:val="0"/>
      <w:marRight w:val="0"/>
      <w:marTop w:val="0"/>
      <w:marBottom w:val="0"/>
      <w:divBdr>
        <w:top w:val="none" w:sz="0" w:space="0" w:color="auto"/>
        <w:left w:val="none" w:sz="0" w:space="0" w:color="auto"/>
        <w:bottom w:val="none" w:sz="0" w:space="0" w:color="auto"/>
        <w:right w:val="none" w:sz="0" w:space="0" w:color="auto"/>
      </w:divBdr>
    </w:div>
    <w:div w:id="600532092">
      <w:bodyDiv w:val="1"/>
      <w:marLeft w:val="0"/>
      <w:marRight w:val="0"/>
      <w:marTop w:val="0"/>
      <w:marBottom w:val="0"/>
      <w:divBdr>
        <w:top w:val="none" w:sz="0" w:space="0" w:color="auto"/>
        <w:left w:val="none" w:sz="0" w:space="0" w:color="auto"/>
        <w:bottom w:val="none" w:sz="0" w:space="0" w:color="auto"/>
        <w:right w:val="none" w:sz="0" w:space="0" w:color="auto"/>
      </w:divBdr>
    </w:div>
    <w:div w:id="622924398">
      <w:bodyDiv w:val="1"/>
      <w:marLeft w:val="0"/>
      <w:marRight w:val="0"/>
      <w:marTop w:val="0"/>
      <w:marBottom w:val="0"/>
      <w:divBdr>
        <w:top w:val="none" w:sz="0" w:space="0" w:color="auto"/>
        <w:left w:val="none" w:sz="0" w:space="0" w:color="auto"/>
        <w:bottom w:val="none" w:sz="0" w:space="0" w:color="auto"/>
        <w:right w:val="none" w:sz="0" w:space="0" w:color="auto"/>
      </w:divBdr>
    </w:div>
    <w:div w:id="647586945">
      <w:bodyDiv w:val="1"/>
      <w:marLeft w:val="0"/>
      <w:marRight w:val="0"/>
      <w:marTop w:val="0"/>
      <w:marBottom w:val="0"/>
      <w:divBdr>
        <w:top w:val="none" w:sz="0" w:space="0" w:color="auto"/>
        <w:left w:val="none" w:sz="0" w:space="0" w:color="auto"/>
        <w:bottom w:val="none" w:sz="0" w:space="0" w:color="auto"/>
        <w:right w:val="none" w:sz="0" w:space="0" w:color="auto"/>
      </w:divBdr>
    </w:div>
    <w:div w:id="659189257">
      <w:bodyDiv w:val="1"/>
      <w:marLeft w:val="0"/>
      <w:marRight w:val="0"/>
      <w:marTop w:val="0"/>
      <w:marBottom w:val="0"/>
      <w:divBdr>
        <w:top w:val="none" w:sz="0" w:space="0" w:color="auto"/>
        <w:left w:val="none" w:sz="0" w:space="0" w:color="auto"/>
        <w:bottom w:val="none" w:sz="0" w:space="0" w:color="auto"/>
        <w:right w:val="none" w:sz="0" w:space="0" w:color="auto"/>
      </w:divBdr>
    </w:div>
    <w:div w:id="683825248">
      <w:bodyDiv w:val="1"/>
      <w:marLeft w:val="0"/>
      <w:marRight w:val="0"/>
      <w:marTop w:val="0"/>
      <w:marBottom w:val="0"/>
      <w:divBdr>
        <w:top w:val="none" w:sz="0" w:space="0" w:color="auto"/>
        <w:left w:val="none" w:sz="0" w:space="0" w:color="auto"/>
        <w:bottom w:val="none" w:sz="0" w:space="0" w:color="auto"/>
        <w:right w:val="none" w:sz="0" w:space="0" w:color="auto"/>
      </w:divBdr>
    </w:div>
    <w:div w:id="684136360">
      <w:bodyDiv w:val="1"/>
      <w:marLeft w:val="0"/>
      <w:marRight w:val="0"/>
      <w:marTop w:val="0"/>
      <w:marBottom w:val="0"/>
      <w:divBdr>
        <w:top w:val="none" w:sz="0" w:space="0" w:color="auto"/>
        <w:left w:val="none" w:sz="0" w:space="0" w:color="auto"/>
        <w:bottom w:val="none" w:sz="0" w:space="0" w:color="auto"/>
        <w:right w:val="none" w:sz="0" w:space="0" w:color="auto"/>
      </w:divBdr>
    </w:div>
    <w:div w:id="726684257">
      <w:bodyDiv w:val="1"/>
      <w:marLeft w:val="0"/>
      <w:marRight w:val="0"/>
      <w:marTop w:val="0"/>
      <w:marBottom w:val="0"/>
      <w:divBdr>
        <w:top w:val="none" w:sz="0" w:space="0" w:color="auto"/>
        <w:left w:val="none" w:sz="0" w:space="0" w:color="auto"/>
        <w:bottom w:val="none" w:sz="0" w:space="0" w:color="auto"/>
        <w:right w:val="none" w:sz="0" w:space="0" w:color="auto"/>
      </w:divBdr>
    </w:div>
    <w:div w:id="730545385">
      <w:bodyDiv w:val="1"/>
      <w:marLeft w:val="0"/>
      <w:marRight w:val="0"/>
      <w:marTop w:val="0"/>
      <w:marBottom w:val="0"/>
      <w:divBdr>
        <w:top w:val="none" w:sz="0" w:space="0" w:color="auto"/>
        <w:left w:val="none" w:sz="0" w:space="0" w:color="auto"/>
        <w:bottom w:val="none" w:sz="0" w:space="0" w:color="auto"/>
        <w:right w:val="none" w:sz="0" w:space="0" w:color="auto"/>
      </w:divBdr>
    </w:div>
    <w:div w:id="764809564">
      <w:bodyDiv w:val="1"/>
      <w:marLeft w:val="0"/>
      <w:marRight w:val="0"/>
      <w:marTop w:val="0"/>
      <w:marBottom w:val="0"/>
      <w:divBdr>
        <w:top w:val="none" w:sz="0" w:space="0" w:color="auto"/>
        <w:left w:val="none" w:sz="0" w:space="0" w:color="auto"/>
        <w:bottom w:val="none" w:sz="0" w:space="0" w:color="auto"/>
        <w:right w:val="none" w:sz="0" w:space="0" w:color="auto"/>
      </w:divBdr>
    </w:div>
    <w:div w:id="791442194">
      <w:bodyDiv w:val="1"/>
      <w:marLeft w:val="0"/>
      <w:marRight w:val="0"/>
      <w:marTop w:val="0"/>
      <w:marBottom w:val="0"/>
      <w:divBdr>
        <w:top w:val="none" w:sz="0" w:space="0" w:color="auto"/>
        <w:left w:val="none" w:sz="0" w:space="0" w:color="auto"/>
        <w:bottom w:val="none" w:sz="0" w:space="0" w:color="auto"/>
        <w:right w:val="none" w:sz="0" w:space="0" w:color="auto"/>
      </w:divBdr>
    </w:div>
    <w:div w:id="846866811">
      <w:bodyDiv w:val="1"/>
      <w:marLeft w:val="0"/>
      <w:marRight w:val="0"/>
      <w:marTop w:val="0"/>
      <w:marBottom w:val="0"/>
      <w:divBdr>
        <w:top w:val="none" w:sz="0" w:space="0" w:color="auto"/>
        <w:left w:val="none" w:sz="0" w:space="0" w:color="auto"/>
        <w:bottom w:val="none" w:sz="0" w:space="0" w:color="auto"/>
        <w:right w:val="none" w:sz="0" w:space="0" w:color="auto"/>
      </w:divBdr>
    </w:div>
    <w:div w:id="990016816">
      <w:bodyDiv w:val="1"/>
      <w:marLeft w:val="0"/>
      <w:marRight w:val="0"/>
      <w:marTop w:val="0"/>
      <w:marBottom w:val="0"/>
      <w:divBdr>
        <w:top w:val="none" w:sz="0" w:space="0" w:color="auto"/>
        <w:left w:val="none" w:sz="0" w:space="0" w:color="auto"/>
        <w:bottom w:val="none" w:sz="0" w:space="0" w:color="auto"/>
        <w:right w:val="none" w:sz="0" w:space="0" w:color="auto"/>
      </w:divBdr>
    </w:div>
    <w:div w:id="1100027450">
      <w:bodyDiv w:val="1"/>
      <w:marLeft w:val="0"/>
      <w:marRight w:val="0"/>
      <w:marTop w:val="0"/>
      <w:marBottom w:val="0"/>
      <w:divBdr>
        <w:top w:val="none" w:sz="0" w:space="0" w:color="auto"/>
        <w:left w:val="none" w:sz="0" w:space="0" w:color="auto"/>
        <w:bottom w:val="none" w:sz="0" w:space="0" w:color="auto"/>
        <w:right w:val="none" w:sz="0" w:space="0" w:color="auto"/>
      </w:divBdr>
    </w:div>
    <w:div w:id="1117677345">
      <w:bodyDiv w:val="1"/>
      <w:marLeft w:val="0"/>
      <w:marRight w:val="0"/>
      <w:marTop w:val="0"/>
      <w:marBottom w:val="0"/>
      <w:divBdr>
        <w:top w:val="none" w:sz="0" w:space="0" w:color="auto"/>
        <w:left w:val="none" w:sz="0" w:space="0" w:color="auto"/>
        <w:bottom w:val="none" w:sz="0" w:space="0" w:color="auto"/>
        <w:right w:val="none" w:sz="0" w:space="0" w:color="auto"/>
      </w:divBdr>
    </w:div>
    <w:div w:id="1224945979">
      <w:bodyDiv w:val="1"/>
      <w:marLeft w:val="0"/>
      <w:marRight w:val="0"/>
      <w:marTop w:val="0"/>
      <w:marBottom w:val="0"/>
      <w:divBdr>
        <w:top w:val="none" w:sz="0" w:space="0" w:color="auto"/>
        <w:left w:val="none" w:sz="0" w:space="0" w:color="auto"/>
        <w:bottom w:val="none" w:sz="0" w:space="0" w:color="auto"/>
        <w:right w:val="none" w:sz="0" w:space="0" w:color="auto"/>
      </w:divBdr>
    </w:div>
    <w:div w:id="1333145902">
      <w:bodyDiv w:val="1"/>
      <w:marLeft w:val="0"/>
      <w:marRight w:val="0"/>
      <w:marTop w:val="0"/>
      <w:marBottom w:val="0"/>
      <w:divBdr>
        <w:top w:val="none" w:sz="0" w:space="0" w:color="auto"/>
        <w:left w:val="none" w:sz="0" w:space="0" w:color="auto"/>
        <w:bottom w:val="none" w:sz="0" w:space="0" w:color="auto"/>
        <w:right w:val="none" w:sz="0" w:space="0" w:color="auto"/>
      </w:divBdr>
    </w:div>
    <w:div w:id="1354503443">
      <w:bodyDiv w:val="1"/>
      <w:marLeft w:val="0"/>
      <w:marRight w:val="0"/>
      <w:marTop w:val="0"/>
      <w:marBottom w:val="0"/>
      <w:divBdr>
        <w:top w:val="none" w:sz="0" w:space="0" w:color="auto"/>
        <w:left w:val="none" w:sz="0" w:space="0" w:color="auto"/>
        <w:bottom w:val="none" w:sz="0" w:space="0" w:color="auto"/>
        <w:right w:val="none" w:sz="0" w:space="0" w:color="auto"/>
      </w:divBdr>
    </w:div>
    <w:div w:id="1402488893">
      <w:bodyDiv w:val="1"/>
      <w:marLeft w:val="0"/>
      <w:marRight w:val="0"/>
      <w:marTop w:val="0"/>
      <w:marBottom w:val="0"/>
      <w:divBdr>
        <w:top w:val="none" w:sz="0" w:space="0" w:color="auto"/>
        <w:left w:val="none" w:sz="0" w:space="0" w:color="auto"/>
        <w:bottom w:val="none" w:sz="0" w:space="0" w:color="auto"/>
        <w:right w:val="none" w:sz="0" w:space="0" w:color="auto"/>
      </w:divBdr>
    </w:div>
    <w:div w:id="1418599841">
      <w:bodyDiv w:val="1"/>
      <w:marLeft w:val="0"/>
      <w:marRight w:val="0"/>
      <w:marTop w:val="0"/>
      <w:marBottom w:val="0"/>
      <w:divBdr>
        <w:top w:val="none" w:sz="0" w:space="0" w:color="auto"/>
        <w:left w:val="none" w:sz="0" w:space="0" w:color="auto"/>
        <w:bottom w:val="none" w:sz="0" w:space="0" w:color="auto"/>
        <w:right w:val="none" w:sz="0" w:space="0" w:color="auto"/>
      </w:divBdr>
    </w:div>
    <w:div w:id="1453204614">
      <w:bodyDiv w:val="1"/>
      <w:marLeft w:val="0"/>
      <w:marRight w:val="0"/>
      <w:marTop w:val="0"/>
      <w:marBottom w:val="0"/>
      <w:divBdr>
        <w:top w:val="none" w:sz="0" w:space="0" w:color="auto"/>
        <w:left w:val="none" w:sz="0" w:space="0" w:color="auto"/>
        <w:bottom w:val="none" w:sz="0" w:space="0" w:color="auto"/>
        <w:right w:val="none" w:sz="0" w:space="0" w:color="auto"/>
      </w:divBdr>
    </w:div>
    <w:div w:id="1469931631">
      <w:bodyDiv w:val="1"/>
      <w:marLeft w:val="0"/>
      <w:marRight w:val="0"/>
      <w:marTop w:val="0"/>
      <w:marBottom w:val="0"/>
      <w:divBdr>
        <w:top w:val="none" w:sz="0" w:space="0" w:color="auto"/>
        <w:left w:val="none" w:sz="0" w:space="0" w:color="auto"/>
        <w:bottom w:val="none" w:sz="0" w:space="0" w:color="auto"/>
        <w:right w:val="none" w:sz="0" w:space="0" w:color="auto"/>
      </w:divBdr>
    </w:div>
    <w:div w:id="1558782134">
      <w:bodyDiv w:val="1"/>
      <w:marLeft w:val="0"/>
      <w:marRight w:val="0"/>
      <w:marTop w:val="0"/>
      <w:marBottom w:val="0"/>
      <w:divBdr>
        <w:top w:val="none" w:sz="0" w:space="0" w:color="auto"/>
        <w:left w:val="none" w:sz="0" w:space="0" w:color="auto"/>
        <w:bottom w:val="none" w:sz="0" w:space="0" w:color="auto"/>
        <w:right w:val="none" w:sz="0" w:space="0" w:color="auto"/>
      </w:divBdr>
    </w:div>
    <w:div w:id="1562254695">
      <w:bodyDiv w:val="1"/>
      <w:marLeft w:val="0"/>
      <w:marRight w:val="0"/>
      <w:marTop w:val="0"/>
      <w:marBottom w:val="0"/>
      <w:divBdr>
        <w:top w:val="none" w:sz="0" w:space="0" w:color="auto"/>
        <w:left w:val="none" w:sz="0" w:space="0" w:color="auto"/>
        <w:bottom w:val="none" w:sz="0" w:space="0" w:color="auto"/>
        <w:right w:val="none" w:sz="0" w:space="0" w:color="auto"/>
      </w:divBdr>
    </w:div>
    <w:div w:id="1583486499">
      <w:bodyDiv w:val="1"/>
      <w:marLeft w:val="0"/>
      <w:marRight w:val="0"/>
      <w:marTop w:val="0"/>
      <w:marBottom w:val="0"/>
      <w:divBdr>
        <w:top w:val="none" w:sz="0" w:space="0" w:color="auto"/>
        <w:left w:val="none" w:sz="0" w:space="0" w:color="auto"/>
        <w:bottom w:val="none" w:sz="0" w:space="0" w:color="auto"/>
        <w:right w:val="none" w:sz="0" w:space="0" w:color="auto"/>
      </w:divBdr>
    </w:div>
    <w:div w:id="1622421639">
      <w:bodyDiv w:val="1"/>
      <w:marLeft w:val="0"/>
      <w:marRight w:val="0"/>
      <w:marTop w:val="0"/>
      <w:marBottom w:val="0"/>
      <w:divBdr>
        <w:top w:val="none" w:sz="0" w:space="0" w:color="auto"/>
        <w:left w:val="none" w:sz="0" w:space="0" w:color="auto"/>
        <w:bottom w:val="none" w:sz="0" w:space="0" w:color="auto"/>
        <w:right w:val="none" w:sz="0" w:space="0" w:color="auto"/>
      </w:divBdr>
    </w:div>
    <w:div w:id="1652907105">
      <w:bodyDiv w:val="1"/>
      <w:marLeft w:val="0"/>
      <w:marRight w:val="0"/>
      <w:marTop w:val="0"/>
      <w:marBottom w:val="0"/>
      <w:divBdr>
        <w:top w:val="none" w:sz="0" w:space="0" w:color="auto"/>
        <w:left w:val="none" w:sz="0" w:space="0" w:color="auto"/>
        <w:bottom w:val="none" w:sz="0" w:space="0" w:color="auto"/>
        <w:right w:val="none" w:sz="0" w:space="0" w:color="auto"/>
      </w:divBdr>
    </w:div>
    <w:div w:id="1658605962">
      <w:bodyDiv w:val="1"/>
      <w:marLeft w:val="0"/>
      <w:marRight w:val="0"/>
      <w:marTop w:val="0"/>
      <w:marBottom w:val="0"/>
      <w:divBdr>
        <w:top w:val="none" w:sz="0" w:space="0" w:color="auto"/>
        <w:left w:val="none" w:sz="0" w:space="0" w:color="auto"/>
        <w:bottom w:val="none" w:sz="0" w:space="0" w:color="auto"/>
        <w:right w:val="none" w:sz="0" w:space="0" w:color="auto"/>
      </w:divBdr>
    </w:div>
    <w:div w:id="1727412283">
      <w:bodyDiv w:val="1"/>
      <w:marLeft w:val="0"/>
      <w:marRight w:val="0"/>
      <w:marTop w:val="0"/>
      <w:marBottom w:val="0"/>
      <w:divBdr>
        <w:top w:val="none" w:sz="0" w:space="0" w:color="auto"/>
        <w:left w:val="none" w:sz="0" w:space="0" w:color="auto"/>
        <w:bottom w:val="none" w:sz="0" w:space="0" w:color="auto"/>
        <w:right w:val="none" w:sz="0" w:space="0" w:color="auto"/>
      </w:divBdr>
    </w:div>
    <w:div w:id="1774208726">
      <w:bodyDiv w:val="1"/>
      <w:marLeft w:val="0"/>
      <w:marRight w:val="0"/>
      <w:marTop w:val="0"/>
      <w:marBottom w:val="0"/>
      <w:divBdr>
        <w:top w:val="none" w:sz="0" w:space="0" w:color="auto"/>
        <w:left w:val="none" w:sz="0" w:space="0" w:color="auto"/>
        <w:bottom w:val="none" w:sz="0" w:space="0" w:color="auto"/>
        <w:right w:val="none" w:sz="0" w:space="0" w:color="auto"/>
      </w:divBdr>
    </w:div>
    <w:div w:id="1797794542">
      <w:bodyDiv w:val="1"/>
      <w:marLeft w:val="0"/>
      <w:marRight w:val="0"/>
      <w:marTop w:val="0"/>
      <w:marBottom w:val="0"/>
      <w:divBdr>
        <w:top w:val="none" w:sz="0" w:space="0" w:color="auto"/>
        <w:left w:val="none" w:sz="0" w:space="0" w:color="auto"/>
        <w:bottom w:val="none" w:sz="0" w:space="0" w:color="auto"/>
        <w:right w:val="none" w:sz="0" w:space="0" w:color="auto"/>
      </w:divBdr>
    </w:div>
    <w:div w:id="1903370945">
      <w:bodyDiv w:val="1"/>
      <w:marLeft w:val="0"/>
      <w:marRight w:val="0"/>
      <w:marTop w:val="0"/>
      <w:marBottom w:val="0"/>
      <w:divBdr>
        <w:top w:val="none" w:sz="0" w:space="0" w:color="auto"/>
        <w:left w:val="none" w:sz="0" w:space="0" w:color="auto"/>
        <w:bottom w:val="none" w:sz="0" w:space="0" w:color="auto"/>
        <w:right w:val="none" w:sz="0" w:space="0" w:color="auto"/>
      </w:divBdr>
    </w:div>
    <w:div w:id="1972246057">
      <w:bodyDiv w:val="1"/>
      <w:marLeft w:val="0"/>
      <w:marRight w:val="0"/>
      <w:marTop w:val="0"/>
      <w:marBottom w:val="0"/>
      <w:divBdr>
        <w:top w:val="none" w:sz="0" w:space="0" w:color="auto"/>
        <w:left w:val="none" w:sz="0" w:space="0" w:color="auto"/>
        <w:bottom w:val="none" w:sz="0" w:space="0" w:color="auto"/>
        <w:right w:val="none" w:sz="0" w:space="0" w:color="auto"/>
      </w:divBdr>
    </w:div>
    <w:div w:id="21361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6895</Words>
  <Characters>46209</Characters>
  <Application>Microsoft Office Word</Application>
  <DocSecurity>0</DocSecurity>
  <Lines>385</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2024083901_x000d_
pkt. 4.9</dc:description>
  <cp:lastModifiedBy>Victoria Alexsandra Ringgaard</cp:lastModifiedBy>
  <cp:revision>3</cp:revision>
  <cp:lastPrinted>2012-08-22T08:53:00Z</cp:lastPrinted>
  <dcterms:created xsi:type="dcterms:W3CDTF">2024-12-19T14:04:00Z</dcterms:created>
  <dcterms:modified xsi:type="dcterms:W3CDTF">2024-12-19T14:07:00Z</dcterms:modified>
</cp:coreProperties>
</file>