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2A" w:rsidRPr="00C84483" w:rsidRDefault="0040242A" w:rsidP="0040242A">
      <w:pPr>
        <w:rPr>
          <w:b/>
          <w:szCs w:val="24"/>
        </w:rPr>
      </w:pPr>
      <w:r w:rsidRPr="009260DE">
        <w:rPr>
          <w:noProof/>
          <w:sz w:val="24"/>
          <w:szCs w:val="24"/>
          <w:lang w:eastAsia="da-DK"/>
        </w:rPr>
        <w:drawing>
          <wp:anchor distT="0" distB="0" distL="114300" distR="114300" simplePos="0" relativeHeight="251659264" behindDoc="0" locked="0" layoutInCell="1" allowOverlap="1" wp14:anchorId="64D7DE43" wp14:editId="48768E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0242A" w:rsidRPr="00C84483" w:rsidRDefault="0040242A" w:rsidP="0040242A">
      <w:pPr>
        <w:pStyle w:val="Titel"/>
        <w:tabs>
          <w:tab w:val="right" w:pos="9356"/>
        </w:tabs>
        <w:jc w:val="left"/>
        <w:rPr>
          <w:b w:val="0"/>
          <w:szCs w:val="24"/>
          <w:lang w:eastAsia="en-US"/>
        </w:rPr>
      </w:pPr>
      <w:r w:rsidRPr="00C84483">
        <w:rPr>
          <w:b w:val="0"/>
          <w:szCs w:val="24"/>
          <w:lang w:eastAsia="en-US"/>
        </w:rPr>
        <w:tab/>
      </w:r>
      <w:r w:rsidR="00D97EE2">
        <w:rPr>
          <w:szCs w:val="24"/>
        </w:rPr>
        <w:t>4</w:t>
      </w:r>
      <w:r>
        <w:rPr>
          <w:szCs w:val="24"/>
        </w:rPr>
        <w:t xml:space="preserve">. </w:t>
      </w:r>
      <w:r w:rsidR="00D97EE2">
        <w:rPr>
          <w:szCs w:val="24"/>
        </w:rPr>
        <w:t>februar</w:t>
      </w:r>
      <w:r>
        <w:rPr>
          <w:szCs w:val="24"/>
        </w:rPr>
        <w:t xml:space="preserve"> 20</w:t>
      </w:r>
      <w:r w:rsidR="00D97EE2">
        <w:rPr>
          <w:szCs w:val="24"/>
        </w:rPr>
        <w:t>21</w:t>
      </w:r>
    </w:p>
    <w:p w:rsidR="0040242A" w:rsidRPr="00C84483" w:rsidRDefault="0040242A" w:rsidP="0040242A">
      <w:pPr>
        <w:pStyle w:val="Titel"/>
        <w:tabs>
          <w:tab w:val="left" w:pos="8222"/>
        </w:tabs>
        <w:jc w:val="left"/>
        <w:rPr>
          <w:b w:val="0"/>
          <w:szCs w:val="24"/>
        </w:rPr>
      </w:pPr>
    </w:p>
    <w:p w:rsidR="0040242A" w:rsidRPr="00C84483" w:rsidRDefault="0040242A" w:rsidP="0040242A">
      <w:pPr>
        <w:pStyle w:val="Titel"/>
        <w:jc w:val="left"/>
        <w:rPr>
          <w:b w:val="0"/>
          <w:szCs w:val="24"/>
        </w:rPr>
      </w:pPr>
    </w:p>
    <w:p w:rsidR="0040242A" w:rsidRPr="00C84483" w:rsidRDefault="0040242A" w:rsidP="0040242A">
      <w:pPr>
        <w:pStyle w:val="Titel"/>
        <w:jc w:val="left"/>
        <w:rPr>
          <w:b w:val="0"/>
          <w:szCs w:val="24"/>
        </w:rPr>
      </w:pPr>
    </w:p>
    <w:p w:rsidR="0040242A" w:rsidRPr="00C84483" w:rsidRDefault="0040242A" w:rsidP="0040242A">
      <w:pPr>
        <w:jc w:val="center"/>
        <w:rPr>
          <w:b/>
          <w:sz w:val="24"/>
          <w:szCs w:val="24"/>
        </w:rPr>
      </w:pPr>
      <w:r w:rsidRPr="00C84483">
        <w:rPr>
          <w:b/>
          <w:sz w:val="24"/>
          <w:szCs w:val="24"/>
        </w:rPr>
        <w:t>PRODUKTRESUMÉ</w:t>
      </w:r>
    </w:p>
    <w:p w:rsidR="0040242A" w:rsidRPr="00C84483" w:rsidRDefault="0040242A" w:rsidP="0040242A">
      <w:pPr>
        <w:jc w:val="center"/>
        <w:rPr>
          <w:b/>
          <w:sz w:val="24"/>
          <w:szCs w:val="24"/>
        </w:rPr>
      </w:pPr>
    </w:p>
    <w:p w:rsidR="0040242A" w:rsidRDefault="0040242A" w:rsidP="0040242A">
      <w:pPr>
        <w:jc w:val="center"/>
        <w:rPr>
          <w:b/>
          <w:sz w:val="24"/>
          <w:szCs w:val="24"/>
        </w:rPr>
      </w:pPr>
      <w:r w:rsidRPr="00C84483">
        <w:rPr>
          <w:b/>
          <w:sz w:val="24"/>
          <w:szCs w:val="24"/>
        </w:rPr>
        <w:t>for</w:t>
      </w:r>
    </w:p>
    <w:p w:rsidR="0040242A" w:rsidRPr="00C84483" w:rsidRDefault="0040242A" w:rsidP="0040242A">
      <w:pPr>
        <w:jc w:val="center"/>
        <w:rPr>
          <w:b/>
          <w:sz w:val="24"/>
          <w:szCs w:val="24"/>
        </w:rPr>
      </w:pPr>
    </w:p>
    <w:p w:rsidR="0040242A" w:rsidRPr="00C84483" w:rsidRDefault="0040242A" w:rsidP="0040242A">
      <w:pPr>
        <w:jc w:val="center"/>
        <w:rPr>
          <w:b/>
          <w:sz w:val="24"/>
          <w:szCs w:val="24"/>
        </w:rPr>
      </w:pPr>
      <w:proofErr w:type="spellStart"/>
      <w:r>
        <w:rPr>
          <w:b/>
          <w:sz w:val="24"/>
          <w:szCs w:val="24"/>
        </w:rPr>
        <w:t>Confidex</w:t>
      </w:r>
      <w:proofErr w:type="spellEnd"/>
      <w:r>
        <w:rPr>
          <w:b/>
          <w:sz w:val="24"/>
          <w:szCs w:val="24"/>
        </w:rPr>
        <w:t>, pulver og solvens til injektionsvæske, opløsning</w:t>
      </w:r>
    </w:p>
    <w:p w:rsidR="0040242A" w:rsidRPr="00C84483" w:rsidRDefault="0040242A" w:rsidP="0040242A">
      <w:pPr>
        <w:jc w:val="both"/>
        <w:rPr>
          <w:sz w:val="24"/>
          <w:szCs w:val="24"/>
        </w:rPr>
      </w:pPr>
    </w:p>
    <w:p w:rsidR="0040242A" w:rsidRPr="00C84483" w:rsidRDefault="0040242A" w:rsidP="0040242A">
      <w:pPr>
        <w:jc w:val="both"/>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0.</w:t>
      </w:r>
      <w:r w:rsidRPr="00C84483">
        <w:rPr>
          <w:b/>
          <w:sz w:val="24"/>
          <w:szCs w:val="24"/>
        </w:rPr>
        <w:tab/>
        <w:t>D.SP.NR.</w:t>
      </w:r>
    </w:p>
    <w:p w:rsidR="0040242A" w:rsidRPr="00C84483" w:rsidRDefault="0040242A" w:rsidP="0040242A">
      <w:pPr>
        <w:tabs>
          <w:tab w:val="left" w:pos="851"/>
        </w:tabs>
        <w:ind w:left="851"/>
        <w:rPr>
          <w:sz w:val="24"/>
          <w:szCs w:val="24"/>
        </w:rPr>
      </w:pPr>
      <w:r>
        <w:rPr>
          <w:sz w:val="24"/>
          <w:szCs w:val="24"/>
        </w:rPr>
        <w:t>29895</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1.</w:t>
      </w:r>
      <w:r w:rsidRPr="00C84483">
        <w:rPr>
          <w:b/>
          <w:sz w:val="24"/>
          <w:szCs w:val="24"/>
        </w:rPr>
        <w:tab/>
        <w:t>LÆGEMIDLETS NAVN</w:t>
      </w:r>
    </w:p>
    <w:p w:rsidR="0040242A" w:rsidRPr="00C84483" w:rsidRDefault="0040242A" w:rsidP="0040242A">
      <w:pPr>
        <w:tabs>
          <w:tab w:val="left" w:pos="851"/>
        </w:tabs>
        <w:ind w:left="851"/>
        <w:rPr>
          <w:sz w:val="24"/>
          <w:szCs w:val="24"/>
        </w:rPr>
      </w:pPr>
      <w:proofErr w:type="spellStart"/>
      <w:r>
        <w:rPr>
          <w:sz w:val="24"/>
          <w:szCs w:val="24"/>
        </w:rPr>
        <w:t>Confidex</w:t>
      </w:r>
      <w:proofErr w:type="spellEnd"/>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0242A" w:rsidRPr="009E189B" w:rsidRDefault="0040242A" w:rsidP="0040242A">
      <w:pPr>
        <w:pStyle w:val="LAFISPCNormal"/>
        <w:tabs>
          <w:tab w:val="left" w:pos="0"/>
        </w:tabs>
        <w:ind w:left="851"/>
        <w:rPr>
          <w:szCs w:val="24"/>
          <w:lang w:val="da-DK"/>
        </w:rPr>
      </w:pPr>
      <w:proofErr w:type="spellStart"/>
      <w:r w:rsidRPr="009E189B">
        <w:rPr>
          <w:szCs w:val="24"/>
          <w:lang w:val="da-DK"/>
        </w:rPr>
        <w:t>Confidex</w:t>
      </w:r>
      <w:proofErr w:type="spellEnd"/>
      <w:r>
        <w:rPr>
          <w:szCs w:val="24"/>
          <w:lang w:val="da-DK"/>
        </w:rPr>
        <w:t>,</w:t>
      </w:r>
      <w:r w:rsidRPr="009E189B">
        <w:rPr>
          <w:szCs w:val="24"/>
          <w:lang w:val="da-DK"/>
        </w:rPr>
        <w:t xml:space="preserve"> pulver og solvens </w:t>
      </w:r>
      <w:r>
        <w:rPr>
          <w:szCs w:val="24"/>
          <w:lang w:val="da-DK"/>
        </w:rPr>
        <w:t xml:space="preserve">til injektionsvæske, opløsning </w:t>
      </w:r>
      <w:r w:rsidRPr="009E189B">
        <w:rPr>
          <w:szCs w:val="24"/>
          <w:lang w:val="da-DK"/>
        </w:rPr>
        <w:t xml:space="preserve">indeholder humant </w:t>
      </w:r>
      <w:proofErr w:type="spellStart"/>
      <w:r w:rsidRPr="009E189B">
        <w:rPr>
          <w:szCs w:val="24"/>
          <w:lang w:val="da-DK"/>
        </w:rPr>
        <w:t>protrombinkomplex</w:t>
      </w:r>
      <w:proofErr w:type="spellEnd"/>
      <w:r w:rsidRPr="009E189B">
        <w:rPr>
          <w:szCs w:val="24"/>
          <w:lang w:val="da-DK"/>
        </w:rPr>
        <w:t>. Produktets nominelle indhold af følgende IE af humane koagulationsfaktorer er angivet i tabellen herunder:</w:t>
      </w:r>
    </w:p>
    <w:p w:rsidR="0040242A" w:rsidRPr="009E189B" w:rsidRDefault="0040242A" w:rsidP="0040242A">
      <w:pPr>
        <w:ind w:left="851"/>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979"/>
        <w:gridCol w:w="1984"/>
        <w:gridCol w:w="2127"/>
      </w:tblGrid>
      <w:tr w:rsidR="0040242A" w:rsidRPr="00031AB1" w:rsidTr="003B4BCE">
        <w:trPr>
          <w:trHeight w:val="769"/>
        </w:trPr>
        <w:tc>
          <w:tcPr>
            <w:tcW w:w="1843" w:type="dxa"/>
          </w:tcPr>
          <w:p w:rsidR="0040242A" w:rsidRPr="00632655" w:rsidRDefault="0040242A" w:rsidP="003B4BCE">
            <w:pPr>
              <w:pStyle w:val="LAFISPCNormal"/>
              <w:tabs>
                <w:tab w:val="left" w:pos="-567"/>
              </w:tabs>
              <w:ind w:left="0"/>
              <w:rPr>
                <w:b/>
                <w:bCs/>
                <w:sz w:val="22"/>
                <w:szCs w:val="22"/>
                <w:lang w:val="da-DK"/>
              </w:rPr>
            </w:pPr>
            <w:r w:rsidRPr="00632655">
              <w:rPr>
                <w:b/>
                <w:sz w:val="22"/>
                <w:szCs w:val="22"/>
                <w:lang w:val="da-DK"/>
              </w:rPr>
              <w:t>Navn på indholdsstoffer</w:t>
            </w:r>
          </w:p>
        </w:tc>
        <w:tc>
          <w:tcPr>
            <w:tcW w:w="1843" w:type="dxa"/>
          </w:tcPr>
          <w:p w:rsidR="0040242A" w:rsidRPr="00632655" w:rsidRDefault="0040242A" w:rsidP="003B4BCE">
            <w:pPr>
              <w:pStyle w:val="LAFISPCNormal"/>
              <w:tabs>
                <w:tab w:val="left" w:pos="596"/>
              </w:tabs>
              <w:ind w:left="0"/>
              <w:rPr>
                <w:sz w:val="22"/>
                <w:szCs w:val="22"/>
                <w:lang w:val="da-DK"/>
              </w:rPr>
            </w:pPr>
            <w:r w:rsidRPr="00632655">
              <w:rPr>
                <w:b/>
                <w:sz w:val="22"/>
                <w:szCs w:val="22"/>
                <w:lang w:val="da-DK"/>
              </w:rPr>
              <w:t xml:space="preserve">Indhold efter </w:t>
            </w:r>
            <w:proofErr w:type="spellStart"/>
            <w:r w:rsidRPr="00632655">
              <w:rPr>
                <w:b/>
                <w:sz w:val="22"/>
                <w:szCs w:val="22"/>
                <w:lang w:val="da-DK"/>
              </w:rPr>
              <w:t>rekonstituering</w:t>
            </w:r>
            <w:proofErr w:type="spellEnd"/>
            <w:r w:rsidRPr="00632655">
              <w:rPr>
                <w:b/>
                <w:sz w:val="22"/>
                <w:szCs w:val="22"/>
                <w:lang w:val="da-DK"/>
              </w:rPr>
              <w:t xml:space="preserve"> (IE/ml)</w:t>
            </w:r>
          </w:p>
        </w:tc>
        <w:tc>
          <w:tcPr>
            <w:tcW w:w="1979" w:type="dxa"/>
          </w:tcPr>
          <w:p w:rsidR="0040242A" w:rsidRPr="00632655" w:rsidRDefault="0040242A" w:rsidP="003B4BCE">
            <w:pPr>
              <w:pStyle w:val="LAFISPCNormal"/>
              <w:tabs>
                <w:tab w:val="left" w:pos="0"/>
              </w:tabs>
              <w:ind w:left="0" w:right="175"/>
              <w:rPr>
                <w:sz w:val="22"/>
                <w:szCs w:val="22"/>
              </w:rPr>
            </w:pPr>
            <w:proofErr w:type="spellStart"/>
            <w:r w:rsidRPr="00632655">
              <w:rPr>
                <w:b/>
                <w:sz w:val="22"/>
                <w:szCs w:val="22"/>
                <w:lang w:val="en-US"/>
              </w:rPr>
              <w:t>Confidex</w:t>
            </w:r>
            <w:proofErr w:type="spellEnd"/>
            <w:r w:rsidRPr="00632655">
              <w:rPr>
                <w:b/>
                <w:sz w:val="22"/>
                <w:szCs w:val="22"/>
                <w:lang w:val="en-US"/>
              </w:rPr>
              <w:t xml:space="preserve"> 250 IE </w:t>
            </w:r>
            <w:proofErr w:type="spellStart"/>
            <w:r w:rsidRPr="00632655">
              <w:rPr>
                <w:b/>
                <w:sz w:val="22"/>
                <w:szCs w:val="22"/>
                <w:lang w:val="en-US"/>
              </w:rPr>
              <w:t>indhold</w:t>
            </w:r>
            <w:proofErr w:type="spellEnd"/>
            <w:r w:rsidRPr="00632655">
              <w:rPr>
                <w:b/>
                <w:sz w:val="22"/>
                <w:szCs w:val="22"/>
                <w:lang w:val="en-US"/>
              </w:rPr>
              <w:t xml:space="preserve"> per </w:t>
            </w:r>
            <w:proofErr w:type="spellStart"/>
            <w:r w:rsidRPr="00632655">
              <w:rPr>
                <w:b/>
                <w:sz w:val="22"/>
                <w:szCs w:val="22"/>
                <w:lang w:val="en-US"/>
              </w:rPr>
              <w:t>hætteglas</w:t>
            </w:r>
            <w:proofErr w:type="spellEnd"/>
            <w:r w:rsidRPr="00632655">
              <w:rPr>
                <w:b/>
                <w:sz w:val="22"/>
                <w:szCs w:val="22"/>
                <w:lang w:val="en-US"/>
              </w:rPr>
              <w:t xml:space="preserve"> (IE)</w:t>
            </w:r>
          </w:p>
        </w:tc>
        <w:tc>
          <w:tcPr>
            <w:tcW w:w="1984" w:type="dxa"/>
          </w:tcPr>
          <w:p w:rsidR="0040242A" w:rsidRPr="00632655" w:rsidRDefault="0040242A" w:rsidP="003B4BCE">
            <w:pPr>
              <w:pStyle w:val="LAFISPCNormal"/>
              <w:tabs>
                <w:tab w:val="left" w:pos="0"/>
              </w:tabs>
              <w:ind w:left="0"/>
              <w:rPr>
                <w:sz w:val="22"/>
                <w:szCs w:val="22"/>
              </w:rPr>
            </w:pPr>
            <w:proofErr w:type="spellStart"/>
            <w:r w:rsidRPr="00632655">
              <w:rPr>
                <w:b/>
                <w:sz w:val="22"/>
                <w:szCs w:val="22"/>
                <w:lang w:val="en-US"/>
              </w:rPr>
              <w:t>Confidex</w:t>
            </w:r>
            <w:proofErr w:type="spellEnd"/>
            <w:r w:rsidRPr="00632655">
              <w:rPr>
                <w:b/>
                <w:sz w:val="22"/>
                <w:szCs w:val="22"/>
                <w:lang w:val="en-US"/>
              </w:rPr>
              <w:t xml:space="preserve"> 500 IE </w:t>
            </w:r>
            <w:proofErr w:type="spellStart"/>
            <w:r w:rsidRPr="00632655">
              <w:rPr>
                <w:b/>
                <w:sz w:val="22"/>
                <w:szCs w:val="22"/>
                <w:lang w:val="en-US"/>
              </w:rPr>
              <w:t>indhold</w:t>
            </w:r>
            <w:proofErr w:type="spellEnd"/>
            <w:r w:rsidRPr="00632655">
              <w:rPr>
                <w:b/>
                <w:sz w:val="22"/>
                <w:szCs w:val="22"/>
                <w:lang w:val="en-US"/>
              </w:rPr>
              <w:t xml:space="preserve"> per </w:t>
            </w:r>
            <w:proofErr w:type="spellStart"/>
            <w:r w:rsidRPr="00632655">
              <w:rPr>
                <w:b/>
                <w:sz w:val="22"/>
                <w:szCs w:val="22"/>
                <w:lang w:val="en-US"/>
              </w:rPr>
              <w:t>hætteglas</w:t>
            </w:r>
            <w:proofErr w:type="spellEnd"/>
            <w:r w:rsidRPr="00632655">
              <w:rPr>
                <w:b/>
                <w:sz w:val="22"/>
                <w:szCs w:val="22"/>
                <w:lang w:val="en-US"/>
              </w:rPr>
              <w:t xml:space="preserve"> (IE)</w:t>
            </w:r>
          </w:p>
        </w:tc>
        <w:tc>
          <w:tcPr>
            <w:tcW w:w="2127" w:type="dxa"/>
          </w:tcPr>
          <w:p w:rsidR="0040242A" w:rsidRPr="00632655" w:rsidRDefault="0040242A" w:rsidP="003B4BCE">
            <w:pPr>
              <w:pStyle w:val="LAFISPCNormal"/>
              <w:tabs>
                <w:tab w:val="left" w:pos="0"/>
              </w:tabs>
              <w:ind w:left="0"/>
              <w:rPr>
                <w:sz w:val="22"/>
                <w:szCs w:val="22"/>
                <w:lang w:val="en-US"/>
              </w:rPr>
            </w:pPr>
            <w:proofErr w:type="spellStart"/>
            <w:r w:rsidRPr="00632655">
              <w:rPr>
                <w:b/>
                <w:sz w:val="22"/>
                <w:szCs w:val="22"/>
                <w:lang w:val="en-US"/>
              </w:rPr>
              <w:t>Confidex</w:t>
            </w:r>
            <w:proofErr w:type="spellEnd"/>
            <w:r w:rsidRPr="00632655">
              <w:rPr>
                <w:b/>
                <w:sz w:val="22"/>
                <w:szCs w:val="22"/>
                <w:lang w:val="en-US"/>
              </w:rPr>
              <w:t xml:space="preserve"> 1000 IE </w:t>
            </w:r>
            <w:proofErr w:type="spellStart"/>
            <w:r w:rsidRPr="00632655">
              <w:rPr>
                <w:b/>
                <w:sz w:val="22"/>
                <w:szCs w:val="22"/>
                <w:lang w:val="en-US"/>
              </w:rPr>
              <w:t>indhold</w:t>
            </w:r>
            <w:proofErr w:type="spellEnd"/>
            <w:r w:rsidRPr="00632655">
              <w:rPr>
                <w:b/>
                <w:sz w:val="22"/>
                <w:szCs w:val="22"/>
                <w:lang w:val="en-US"/>
              </w:rPr>
              <w:t xml:space="preserve"> per </w:t>
            </w:r>
            <w:proofErr w:type="spellStart"/>
            <w:r w:rsidRPr="00632655">
              <w:rPr>
                <w:b/>
                <w:sz w:val="22"/>
                <w:szCs w:val="22"/>
                <w:lang w:val="en-US"/>
              </w:rPr>
              <w:t>hætteglas</w:t>
            </w:r>
            <w:proofErr w:type="spellEnd"/>
            <w:r w:rsidRPr="00632655">
              <w:rPr>
                <w:b/>
                <w:sz w:val="22"/>
                <w:szCs w:val="22"/>
                <w:lang w:val="en-US"/>
              </w:rPr>
              <w:t xml:space="preserve"> (IE)</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b/>
                <w:sz w:val="22"/>
                <w:szCs w:val="22"/>
                <w:lang w:val="da-DK"/>
              </w:rPr>
              <w:t>Aktive stoffer</w:t>
            </w:r>
          </w:p>
        </w:tc>
        <w:tc>
          <w:tcPr>
            <w:tcW w:w="1843" w:type="dxa"/>
          </w:tcPr>
          <w:p w:rsidR="0040242A" w:rsidRPr="00632655" w:rsidRDefault="0040242A" w:rsidP="003B4BCE">
            <w:pPr>
              <w:pStyle w:val="LAFISPCNormal"/>
              <w:tabs>
                <w:tab w:val="left" w:pos="0"/>
              </w:tabs>
              <w:ind w:left="-79" w:right="222"/>
              <w:jc w:val="right"/>
              <w:rPr>
                <w:b/>
                <w:bCs/>
                <w:sz w:val="22"/>
                <w:szCs w:val="22"/>
              </w:rPr>
            </w:pPr>
          </w:p>
        </w:tc>
        <w:tc>
          <w:tcPr>
            <w:tcW w:w="1979" w:type="dxa"/>
          </w:tcPr>
          <w:p w:rsidR="0040242A" w:rsidRPr="00632655" w:rsidRDefault="0040242A" w:rsidP="003B4BCE">
            <w:pPr>
              <w:pStyle w:val="LAFISPCNormal"/>
              <w:tabs>
                <w:tab w:val="left" w:pos="66"/>
              </w:tabs>
              <w:ind w:left="0" w:right="336"/>
              <w:jc w:val="right"/>
              <w:rPr>
                <w:b/>
                <w:bCs/>
                <w:sz w:val="22"/>
                <w:szCs w:val="22"/>
              </w:rPr>
            </w:pPr>
          </w:p>
        </w:tc>
        <w:tc>
          <w:tcPr>
            <w:tcW w:w="1984" w:type="dxa"/>
          </w:tcPr>
          <w:p w:rsidR="0040242A" w:rsidRPr="00632655" w:rsidRDefault="0040242A" w:rsidP="003B4BCE">
            <w:pPr>
              <w:pStyle w:val="LAFISPCNormal"/>
              <w:tabs>
                <w:tab w:val="left" w:pos="0"/>
              </w:tabs>
              <w:ind w:left="851" w:right="254"/>
              <w:rPr>
                <w:b/>
                <w:bCs/>
                <w:sz w:val="22"/>
                <w:szCs w:val="22"/>
              </w:rPr>
            </w:pPr>
          </w:p>
        </w:tc>
        <w:tc>
          <w:tcPr>
            <w:tcW w:w="2127" w:type="dxa"/>
          </w:tcPr>
          <w:p w:rsidR="0040242A" w:rsidRPr="00632655" w:rsidRDefault="0040242A" w:rsidP="003B4BCE">
            <w:pPr>
              <w:pStyle w:val="LAFISPCNormal"/>
              <w:tabs>
                <w:tab w:val="left" w:pos="0"/>
              </w:tabs>
              <w:ind w:left="0" w:right="254"/>
              <w:rPr>
                <w:b/>
                <w:bCs/>
                <w:sz w:val="22"/>
                <w:szCs w:val="22"/>
              </w:rPr>
            </w:pP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en-US"/>
              </w:rPr>
              <w:t xml:space="preserve">Human </w:t>
            </w:r>
            <w:proofErr w:type="spellStart"/>
            <w:r w:rsidRPr="00632655">
              <w:rPr>
                <w:sz w:val="22"/>
                <w:szCs w:val="22"/>
                <w:lang w:val="en-US"/>
              </w:rPr>
              <w:t>koagulations-faktor</w:t>
            </w:r>
            <w:proofErr w:type="spellEnd"/>
            <w:r w:rsidRPr="00632655">
              <w:rPr>
                <w:sz w:val="22"/>
                <w:szCs w:val="22"/>
                <w:lang w:val="en-US"/>
              </w:rPr>
              <w:t xml:space="preserve"> II</w:t>
            </w:r>
          </w:p>
        </w:tc>
        <w:tc>
          <w:tcPr>
            <w:tcW w:w="1843" w:type="dxa"/>
          </w:tcPr>
          <w:p w:rsidR="0040242A" w:rsidRPr="00632655" w:rsidRDefault="0040242A" w:rsidP="003B4BCE">
            <w:pPr>
              <w:pStyle w:val="LAFISPCNormal"/>
              <w:tabs>
                <w:tab w:val="left" w:pos="0"/>
              </w:tabs>
              <w:ind w:left="-79" w:right="505"/>
              <w:jc w:val="right"/>
              <w:rPr>
                <w:sz w:val="22"/>
                <w:szCs w:val="22"/>
              </w:rPr>
            </w:pPr>
            <w:r w:rsidRPr="00632655">
              <w:rPr>
                <w:sz w:val="22"/>
                <w:szCs w:val="22"/>
              </w:rPr>
              <w:t xml:space="preserve">20 – 48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rPr>
              <w:t xml:space="preserve">200 – 480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rPr>
              <w:t xml:space="preserve">400 – 960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rPr>
              <w:t>800 – 1920</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en-US"/>
              </w:rPr>
              <w:t xml:space="preserve">Human </w:t>
            </w:r>
            <w:proofErr w:type="spellStart"/>
            <w:r w:rsidRPr="00632655">
              <w:rPr>
                <w:sz w:val="22"/>
                <w:szCs w:val="22"/>
                <w:lang w:val="en-US"/>
              </w:rPr>
              <w:t>koagulations-faktor</w:t>
            </w:r>
            <w:proofErr w:type="spellEnd"/>
            <w:r w:rsidRPr="00632655">
              <w:rPr>
                <w:sz w:val="22"/>
                <w:szCs w:val="22"/>
                <w:lang w:val="en-US"/>
              </w:rPr>
              <w:t xml:space="preserve"> VII</w:t>
            </w:r>
          </w:p>
        </w:tc>
        <w:tc>
          <w:tcPr>
            <w:tcW w:w="1843" w:type="dxa"/>
          </w:tcPr>
          <w:p w:rsidR="0040242A" w:rsidRPr="00632655" w:rsidRDefault="0040242A" w:rsidP="003B4BCE">
            <w:pPr>
              <w:pStyle w:val="LAFISPCNormal"/>
              <w:tabs>
                <w:tab w:val="left" w:pos="0"/>
              </w:tabs>
              <w:ind w:left="-79" w:right="505"/>
              <w:jc w:val="right"/>
              <w:rPr>
                <w:sz w:val="22"/>
                <w:szCs w:val="22"/>
              </w:rPr>
            </w:pPr>
            <w:r w:rsidRPr="00632655">
              <w:rPr>
                <w:sz w:val="22"/>
                <w:szCs w:val="22"/>
              </w:rPr>
              <w:t xml:space="preserve">10 – 25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rPr>
              <w:t xml:space="preserve">100 – 250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rPr>
              <w:t xml:space="preserve">200 – 500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rPr>
              <w:t>400 – 1000</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en-US"/>
              </w:rPr>
              <w:t xml:space="preserve">Human </w:t>
            </w:r>
            <w:proofErr w:type="spellStart"/>
            <w:r w:rsidRPr="00632655">
              <w:rPr>
                <w:sz w:val="22"/>
                <w:szCs w:val="22"/>
                <w:lang w:val="en-US"/>
              </w:rPr>
              <w:t>koagulations-faktor</w:t>
            </w:r>
            <w:proofErr w:type="spellEnd"/>
            <w:r w:rsidRPr="00632655">
              <w:rPr>
                <w:sz w:val="22"/>
                <w:szCs w:val="22"/>
                <w:lang w:val="en-US"/>
              </w:rPr>
              <w:t xml:space="preserve"> IX</w:t>
            </w:r>
          </w:p>
        </w:tc>
        <w:tc>
          <w:tcPr>
            <w:tcW w:w="1843" w:type="dxa"/>
          </w:tcPr>
          <w:p w:rsidR="0040242A" w:rsidRPr="00632655" w:rsidRDefault="0040242A" w:rsidP="003B4BCE">
            <w:pPr>
              <w:pStyle w:val="LAFISPCNormal"/>
              <w:tabs>
                <w:tab w:val="left" w:pos="0"/>
              </w:tabs>
              <w:ind w:left="-79" w:right="505"/>
              <w:jc w:val="right"/>
              <w:rPr>
                <w:sz w:val="22"/>
                <w:szCs w:val="22"/>
              </w:rPr>
            </w:pPr>
            <w:r w:rsidRPr="00632655">
              <w:rPr>
                <w:sz w:val="22"/>
                <w:szCs w:val="22"/>
                <w:lang w:val="it-IT"/>
              </w:rPr>
              <w:t xml:space="preserve">20 – 31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rPr>
              <w:t xml:space="preserve">200 – 310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rPr>
              <w:t xml:space="preserve">400 – 620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rPr>
              <w:t>800 – 1240</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en-US"/>
              </w:rPr>
              <w:t xml:space="preserve">Human </w:t>
            </w:r>
            <w:proofErr w:type="spellStart"/>
            <w:r w:rsidRPr="00632655">
              <w:rPr>
                <w:sz w:val="22"/>
                <w:szCs w:val="22"/>
                <w:lang w:val="en-US"/>
              </w:rPr>
              <w:t>koagulations-faktor</w:t>
            </w:r>
            <w:proofErr w:type="spellEnd"/>
            <w:r w:rsidRPr="00632655">
              <w:rPr>
                <w:sz w:val="22"/>
                <w:szCs w:val="22"/>
                <w:lang w:val="en-US"/>
              </w:rPr>
              <w:t xml:space="preserve"> X</w:t>
            </w:r>
          </w:p>
        </w:tc>
        <w:tc>
          <w:tcPr>
            <w:tcW w:w="1843" w:type="dxa"/>
          </w:tcPr>
          <w:p w:rsidR="0040242A" w:rsidRPr="00632655" w:rsidRDefault="0040242A" w:rsidP="003B4BCE">
            <w:pPr>
              <w:pStyle w:val="LAFISPCNormal"/>
              <w:tabs>
                <w:tab w:val="left" w:pos="0"/>
              </w:tabs>
              <w:ind w:left="-79" w:right="505"/>
              <w:jc w:val="right"/>
              <w:rPr>
                <w:sz w:val="22"/>
                <w:szCs w:val="22"/>
              </w:rPr>
            </w:pPr>
            <w:r w:rsidRPr="00632655">
              <w:rPr>
                <w:sz w:val="22"/>
                <w:szCs w:val="22"/>
              </w:rPr>
              <w:t xml:space="preserve">22 – 60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rPr>
              <w:t xml:space="preserve">220 – 600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rPr>
              <w:t xml:space="preserve">440 – 1200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rPr>
              <w:t>880 – 2400</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lang w:val="da-DK"/>
              </w:rPr>
            </w:pPr>
            <w:r w:rsidRPr="00632655">
              <w:rPr>
                <w:b/>
                <w:sz w:val="22"/>
                <w:szCs w:val="22"/>
                <w:lang w:val="da-DK"/>
              </w:rPr>
              <w:t>Øvrige aktive indholdsstoffer</w:t>
            </w:r>
          </w:p>
        </w:tc>
        <w:tc>
          <w:tcPr>
            <w:tcW w:w="1843" w:type="dxa"/>
          </w:tcPr>
          <w:p w:rsidR="0040242A" w:rsidRPr="00632655" w:rsidRDefault="0040242A" w:rsidP="003B4BCE">
            <w:pPr>
              <w:pStyle w:val="LAFISPCNormal"/>
              <w:tabs>
                <w:tab w:val="left" w:pos="0"/>
              </w:tabs>
              <w:ind w:left="-79" w:right="505"/>
              <w:jc w:val="right"/>
              <w:rPr>
                <w:b/>
                <w:bCs/>
                <w:sz w:val="22"/>
                <w:szCs w:val="22"/>
                <w:lang w:val="da-DK"/>
              </w:rPr>
            </w:pPr>
          </w:p>
        </w:tc>
        <w:tc>
          <w:tcPr>
            <w:tcW w:w="1979" w:type="dxa"/>
          </w:tcPr>
          <w:p w:rsidR="0040242A" w:rsidRPr="00632655" w:rsidRDefault="0040242A" w:rsidP="003B4BCE">
            <w:pPr>
              <w:pStyle w:val="LAFISPCNormal"/>
              <w:tabs>
                <w:tab w:val="left" w:pos="66"/>
              </w:tabs>
              <w:ind w:left="0" w:right="478"/>
              <w:jc w:val="right"/>
              <w:rPr>
                <w:b/>
                <w:bCs/>
                <w:sz w:val="22"/>
                <w:szCs w:val="22"/>
                <w:lang w:val="da-DK"/>
              </w:rPr>
            </w:pPr>
          </w:p>
        </w:tc>
        <w:tc>
          <w:tcPr>
            <w:tcW w:w="1984" w:type="dxa"/>
          </w:tcPr>
          <w:p w:rsidR="0040242A" w:rsidRPr="00632655" w:rsidRDefault="0040242A" w:rsidP="003B4BCE">
            <w:pPr>
              <w:pStyle w:val="LAFISPCNormal"/>
              <w:tabs>
                <w:tab w:val="left" w:pos="0"/>
              </w:tabs>
              <w:ind w:left="318" w:right="396"/>
              <w:rPr>
                <w:b/>
                <w:bCs/>
                <w:sz w:val="22"/>
                <w:szCs w:val="22"/>
                <w:lang w:val="da-DK"/>
              </w:rPr>
            </w:pPr>
          </w:p>
        </w:tc>
        <w:tc>
          <w:tcPr>
            <w:tcW w:w="2127" w:type="dxa"/>
          </w:tcPr>
          <w:p w:rsidR="0040242A" w:rsidRPr="00632655" w:rsidRDefault="0040242A" w:rsidP="003B4BCE">
            <w:pPr>
              <w:pStyle w:val="LAFISPCNormal"/>
              <w:tabs>
                <w:tab w:val="left" w:pos="176"/>
              </w:tabs>
              <w:ind w:left="318" w:right="396"/>
              <w:rPr>
                <w:b/>
                <w:bCs/>
                <w:sz w:val="22"/>
                <w:szCs w:val="22"/>
                <w:lang w:val="da-DK"/>
              </w:rPr>
            </w:pP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da-DK"/>
              </w:rPr>
              <w:t>Protein C</w:t>
            </w:r>
          </w:p>
        </w:tc>
        <w:tc>
          <w:tcPr>
            <w:tcW w:w="1843" w:type="dxa"/>
          </w:tcPr>
          <w:p w:rsidR="0040242A" w:rsidRPr="00632655" w:rsidRDefault="0040242A" w:rsidP="003B4BCE">
            <w:pPr>
              <w:pStyle w:val="LAFISPCNormal"/>
              <w:tabs>
                <w:tab w:val="left" w:pos="0"/>
              </w:tabs>
              <w:ind w:left="-79" w:right="505"/>
              <w:jc w:val="right"/>
              <w:rPr>
                <w:sz w:val="22"/>
                <w:szCs w:val="22"/>
              </w:rPr>
            </w:pPr>
            <w:r w:rsidRPr="00632655">
              <w:rPr>
                <w:sz w:val="22"/>
                <w:szCs w:val="22"/>
                <w:lang w:val="it-IT"/>
              </w:rPr>
              <w:t xml:space="preserve">15 – 45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lang w:val="it-IT"/>
              </w:rPr>
              <w:t xml:space="preserve">150 – 450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lang w:val="it-IT"/>
              </w:rPr>
              <w:t xml:space="preserve">300 – 900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lang w:val="it-IT"/>
              </w:rPr>
              <w:t>600 – 1800</w:t>
            </w:r>
          </w:p>
        </w:tc>
      </w:tr>
      <w:tr w:rsidR="0040242A" w:rsidRPr="00632655" w:rsidTr="003B4BCE">
        <w:tc>
          <w:tcPr>
            <w:tcW w:w="1843" w:type="dxa"/>
          </w:tcPr>
          <w:p w:rsidR="0040242A" w:rsidRPr="00632655" w:rsidRDefault="0040242A" w:rsidP="003B4BCE">
            <w:pPr>
              <w:pStyle w:val="LAFISPCNormal"/>
              <w:tabs>
                <w:tab w:val="left" w:pos="0"/>
              </w:tabs>
              <w:ind w:left="0"/>
              <w:rPr>
                <w:sz w:val="22"/>
                <w:szCs w:val="22"/>
              </w:rPr>
            </w:pPr>
            <w:r w:rsidRPr="00632655">
              <w:rPr>
                <w:sz w:val="22"/>
                <w:szCs w:val="22"/>
                <w:lang w:val="da-DK"/>
              </w:rPr>
              <w:t>Protein S</w:t>
            </w:r>
          </w:p>
        </w:tc>
        <w:tc>
          <w:tcPr>
            <w:tcW w:w="1843" w:type="dxa"/>
          </w:tcPr>
          <w:p w:rsidR="0040242A" w:rsidRPr="00632655" w:rsidRDefault="0040242A" w:rsidP="003B4BCE">
            <w:pPr>
              <w:pStyle w:val="LAFISPCNormal"/>
              <w:tabs>
                <w:tab w:val="left" w:pos="0"/>
              </w:tabs>
              <w:ind w:left="-79" w:right="505"/>
              <w:jc w:val="right"/>
              <w:rPr>
                <w:sz w:val="22"/>
                <w:szCs w:val="22"/>
                <w:lang w:val="it-IT"/>
              </w:rPr>
            </w:pPr>
            <w:r w:rsidRPr="00632655">
              <w:rPr>
                <w:sz w:val="22"/>
                <w:szCs w:val="22"/>
                <w:lang w:val="it-IT"/>
              </w:rPr>
              <w:t xml:space="preserve">12 - 38 </w:t>
            </w:r>
          </w:p>
        </w:tc>
        <w:tc>
          <w:tcPr>
            <w:tcW w:w="1979" w:type="dxa"/>
          </w:tcPr>
          <w:p w:rsidR="0040242A" w:rsidRPr="00632655" w:rsidRDefault="0040242A" w:rsidP="003B4BCE">
            <w:pPr>
              <w:pStyle w:val="LAFISPCNormal"/>
              <w:tabs>
                <w:tab w:val="left" w:pos="66"/>
              </w:tabs>
              <w:ind w:left="0" w:right="478"/>
              <w:jc w:val="right"/>
              <w:rPr>
                <w:sz w:val="22"/>
                <w:szCs w:val="22"/>
              </w:rPr>
            </w:pPr>
            <w:r w:rsidRPr="00632655">
              <w:rPr>
                <w:sz w:val="22"/>
                <w:szCs w:val="22"/>
              </w:rPr>
              <w:t xml:space="preserve">120 - 380 </w:t>
            </w:r>
          </w:p>
        </w:tc>
        <w:tc>
          <w:tcPr>
            <w:tcW w:w="1984" w:type="dxa"/>
          </w:tcPr>
          <w:p w:rsidR="0040242A" w:rsidRPr="00632655" w:rsidRDefault="0040242A" w:rsidP="003B4BCE">
            <w:pPr>
              <w:pStyle w:val="LAFISPCNormal"/>
              <w:tabs>
                <w:tab w:val="left" w:pos="0"/>
              </w:tabs>
              <w:ind w:left="318" w:right="396"/>
              <w:rPr>
                <w:sz w:val="22"/>
                <w:szCs w:val="22"/>
              </w:rPr>
            </w:pPr>
            <w:r w:rsidRPr="00632655">
              <w:rPr>
                <w:sz w:val="22"/>
                <w:szCs w:val="22"/>
              </w:rPr>
              <w:t xml:space="preserve">240 - 760 </w:t>
            </w:r>
          </w:p>
        </w:tc>
        <w:tc>
          <w:tcPr>
            <w:tcW w:w="2127" w:type="dxa"/>
          </w:tcPr>
          <w:p w:rsidR="0040242A" w:rsidRPr="00632655" w:rsidRDefault="0040242A" w:rsidP="003B4BCE">
            <w:pPr>
              <w:pStyle w:val="LAFISPCNormal"/>
              <w:tabs>
                <w:tab w:val="left" w:pos="176"/>
              </w:tabs>
              <w:ind w:left="318" w:right="396"/>
              <w:rPr>
                <w:sz w:val="22"/>
                <w:szCs w:val="22"/>
              </w:rPr>
            </w:pPr>
            <w:r w:rsidRPr="00632655">
              <w:rPr>
                <w:sz w:val="22"/>
                <w:szCs w:val="22"/>
              </w:rPr>
              <w:t>480 - 1520</w:t>
            </w:r>
          </w:p>
        </w:tc>
      </w:tr>
    </w:tbl>
    <w:p w:rsidR="0040242A" w:rsidRPr="009E189B" w:rsidRDefault="0040242A" w:rsidP="0040242A">
      <w:pPr>
        <w:pStyle w:val="LAFISPCNormal"/>
        <w:ind w:left="851"/>
        <w:rPr>
          <w:szCs w:val="24"/>
        </w:rPr>
      </w:pPr>
    </w:p>
    <w:p w:rsidR="0040242A" w:rsidRPr="009E189B" w:rsidRDefault="0040242A" w:rsidP="0040242A">
      <w:pPr>
        <w:pStyle w:val="LAFISPCNormal"/>
        <w:ind w:left="851"/>
        <w:rPr>
          <w:szCs w:val="24"/>
          <w:lang w:val="da-DK"/>
        </w:rPr>
      </w:pPr>
      <w:r w:rsidRPr="009E189B">
        <w:rPr>
          <w:szCs w:val="24"/>
          <w:lang w:val="da-DK"/>
        </w:rPr>
        <w:t xml:space="preserve">Indhold af totalprotein er 6-14 mg/ml </w:t>
      </w:r>
      <w:proofErr w:type="spellStart"/>
      <w:r w:rsidRPr="009E189B">
        <w:rPr>
          <w:szCs w:val="24"/>
          <w:lang w:val="da-DK"/>
        </w:rPr>
        <w:t>rekonstitueret</w:t>
      </w:r>
      <w:proofErr w:type="spellEnd"/>
      <w:r w:rsidRPr="009E189B">
        <w:rPr>
          <w:szCs w:val="24"/>
          <w:lang w:val="da-DK"/>
        </w:rPr>
        <w:t xml:space="preserve"> opløsning.</w:t>
      </w:r>
    </w:p>
    <w:p w:rsidR="0040242A" w:rsidRPr="009E189B" w:rsidRDefault="0040242A" w:rsidP="0040242A">
      <w:pPr>
        <w:pStyle w:val="LAFISPCNormal"/>
        <w:ind w:left="851"/>
        <w:rPr>
          <w:szCs w:val="24"/>
          <w:lang w:val="da-DK"/>
        </w:rPr>
      </w:pPr>
    </w:p>
    <w:p w:rsidR="0040242A" w:rsidRPr="009E189B" w:rsidRDefault="0040242A" w:rsidP="0040242A">
      <w:pPr>
        <w:pStyle w:val="LAFISPCNormal"/>
        <w:ind w:left="851"/>
        <w:rPr>
          <w:szCs w:val="24"/>
          <w:lang w:val="da-DK"/>
        </w:rPr>
      </w:pPr>
      <w:r w:rsidRPr="009E189B">
        <w:rPr>
          <w:szCs w:val="24"/>
          <w:lang w:val="da-DK"/>
        </w:rPr>
        <w:t>Den specifikke aktivitet af faktor IX er 2,5 IE/mg totalprotein.</w:t>
      </w:r>
    </w:p>
    <w:p w:rsidR="0040242A" w:rsidRPr="009E189B" w:rsidRDefault="0040242A" w:rsidP="0040242A">
      <w:pPr>
        <w:pStyle w:val="LAFISPCNormal"/>
        <w:ind w:left="851"/>
        <w:rPr>
          <w:szCs w:val="24"/>
          <w:lang w:val="da-DK"/>
        </w:rPr>
      </w:pPr>
    </w:p>
    <w:p w:rsidR="0040242A" w:rsidRPr="009E189B" w:rsidRDefault="0040242A" w:rsidP="0040242A">
      <w:pPr>
        <w:pStyle w:val="LAFISPCNormal"/>
        <w:ind w:left="851"/>
        <w:rPr>
          <w:szCs w:val="24"/>
          <w:lang w:val="da-DK"/>
        </w:rPr>
      </w:pPr>
      <w:r w:rsidRPr="009E189B">
        <w:rPr>
          <w:szCs w:val="24"/>
          <w:lang w:val="da-DK"/>
        </w:rPr>
        <w:lastRenderedPageBreak/>
        <w:t>Aktiviteten af alle koagulationsfaktorer samt Protein C og S (antigen) er blevet testet i henhold til de aktuelle, gældende, internationale WHO-standarder.</w:t>
      </w:r>
    </w:p>
    <w:p w:rsidR="0040242A" w:rsidRPr="009E189B" w:rsidRDefault="0040242A" w:rsidP="0040242A">
      <w:pPr>
        <w:pStyle w:val="LAFISPCNormal"/>
        <w:ind w:left="851"/>
        <w:rPr>
          <w:szCs w:val="24"/>
          <w:lang w:val="da-DK"/>
        </w:rPr>
      </w:pPr>
    </w:p>
    <w:p w:rsidR="0040242A" w:rsidRPr="009E189B" w:rsidRDefault="0040242A" w:rsidP="0040242A">
      <w:pPr>
        <w:pStyle w:val="LAFISPCNormal"/>
        <w:ind w:left="851"/>
        <w:rPr>
          <w:szCs w:val="24"/>
          <w:lang w:val="da-DK"/>
        </w:rPr>
      </w:pPr>
      <w:r w:rsidRPr="009E189B">
        <w:rPr>
          <w:szCs w:val="24"/>
          <w:lang w:val="da-DK"/>
        </w:rPr>
        <w:t>Hjælpestoffer, som behandleren skal være opmærksom på:</w:t>
      </w:r>
    </w:p>
    <w:p w:rsidR="0040242A" w:rsidRPr="009E189B" w:rsidRDefault="0040242A" w:rsidP="0040242A">
      <w:pPr>
        <w:pStyle w:val="LAFISPCNormal"/>
        <w:ind w:left="851"/>
        <w:rPr>
          <w:szCs w:val="24"/>
          <w:lang w:val="da-DK"/>
        </w:rPr>
      </w:pPr>
      <w:r w:rsidRPr="009E189B">
        <w:rPr>
          <w:szCs w:val="24"/>
          <w:lang w:val="da-DK"/>
        </w:rPr>
        <w:t>Natrium op til 343 mg (ca. 15 mmol) per 100 ml opløsning.</w:t>
      </w:r>
    </w:p>
    <w:p w:rsidR="0040242A" w:rsidRPr="009E189B" w:rsidRDefault="0040242A" w:rsidP="0040242A">
      <w:pPr>
        <w:pStyle w:val="LAFISPCNormal"/>
        <w:ind w:left="851"/>
        <w:rPr>
          <w:szCs w:val="24"/>
          <w:lang w:val="da-DK"/>
        </w:rPr>
      </w:pPr>
    </w:p>
    <w:p w:rsidR="0040242A" w:rsidRPr="004031A5" w:rsidRDefault="0040242A" w:rsidP="0040242A">
      <w:pPr>
        <w:pStyle w:val="LAFISPCNormal"/>
        <w:ind w:left="851"/>
        <w:rPr>
          <w:szCs w:val="24"/>
          <w:lang w:val="da-DK"/>
        </w:rPr>
      </w:pPr>
      <w:r w:rsidRPr="009E189B">
        <w:rPr>
          <w:szCs w:val="24"/>
          <w:lang w:val="da-DK"/>
        </w:rPr>
        <w:t>Alle hjælpestoffer er anført under pkt. 6.1.</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3.</w:t>
      </w:r>
      <w:r w:rsidRPr="00C84483">
        <w:rPr>
          <w:b/>
          <w:sz w:val="24"/>
          <w:szCs w:val="24"/>
        </w:rPr>
        <w:tab/>
        <w:t>LÆGEMIDDELFORM</w:t>
      </w:r>
    </w:p>
    <w:p w:rsidR="0040242A" w:rsidRDefault="0040242A" w:rsidP="0040242A">
      <w:pPr>
        <w:pStyle w:val="LAFISPCNormal"/>
        <w:tabs>
          <w:tab w:val="left" w:pos="0"/>
        </w:tabs>
        <w:ind w:left="851"/>
        <w:rPr>
          <w:szCs w:val="24"/>
          <w:lang w:val="da-DK"/>
        </w:rPr>
      </w:pPr>
      <w:r w:rsidRPr="002717C2">
        <w:rPr>
          <w:szCs w:val="24"/>
          <w:lang w:val="da-DK"/>
        </w:rPr>
        <w:t>Pulver og solvens</w:t>
      </w:r>
      <w:r>
        <w:rPr>
          <w:szCs w:val="24"/>
          <w:lang w:val="da-DK"/>
        </w:rPr>
        <w:t xml:space="preserve"> til injektionsvæske, opløsning</w:t>
      </w:r>
    </w:p>
    <w:p w:rsidR="0040242A" w:rsidRPr="002717C2" w:rsidRDefault="0040242A" w:rsidP="0040242A">
      <w:pPr>
        <w:pStyle w:val="LAFISPCNormal"/>
        <w:tabs>
          <w:tab w:val="left" w:pos="0"/>
        </w:tabs>
        <w:ind w:left="851"/>
        <w:rPr>
          <w:szCs w:val="24"/>
          <w:lang w:val="da-DK"/>
        </w:rPr>
      </w:pPr>
    </w:p>
    <w:p w:rsidR="0040242A" w:rsidRPr="004031A5" w:rsidRDefault="0040242A" w:rsidP="0040242A">
      <w:pPr>
        <w:pStyle w:val="LAFISPCNormal"/>
        <w:tabs>
          <w:tab w:val="left" w:pos="0"/>
        </w:tabs>
        <w:ind w:left="851"/>
        <w:rPr>
          <w:szCs w:val="24"/>
          <w:lang w:val="da-DK"/>
        </w:rPr>
      </w:pPr>
      <w:r w:rsidRPr="002717C2">
        <w:rPr>
          <w:szCs w:val="24"/>
          <w:lang w:val="da-DK"/>
        </w:rPr>
        <w:t>Hvidt eller let farvet pulver eller sprød</w:t>
      </w:r>
      <w:r>
        <w:rPr>
          <w:szCs w:val="24"/>
          <w:lang w:val="da-DK"/>
        </w:rPr>
        <w:t>t,</w:t>
      </w:r>
      <w:r w:rsidRPr="002717C2">
        <w:rPr>
          <w:szCs w:val="24"/>
          <w:lang w:val="da-DK"/>
        </w:rPr>
        <w:t xml:space="preserve"> fast </w:t>
      </w:r>
      <w:r>
        <w:rPr>
          <w:szCs w:val="24"/>
          <w:lang w:val="da-DK"/>
        </w:rPr>
        <w:t>stof</w:t>
      </w:r>
      <w:r w:rsidRPr="002717C2">
        <w:rPr>
          <w:szCs w:val="24"/>
          <w:lang w:val="da-DK"/>
        </w:rPr>
        <w: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w:t>
      </w:r>
      <w:r w:rsidRPr="00C84483">
        <w:rPr>
          <w:b/>
          <w:sz w:val="24"/>
          <w:szCs w:val="24"/>
        </w:rPr>
        <w:tab/>
        <w:t>KLINISKE OPLYSNINGER</w:t>
      </w:r>
    </w:p>
    <w:p w:rsidR="0040242A" w:rsidRPr="00C84483" w:rsidRDefault="0040242A" w:rsidP="0040242A">
      <w:pPr>
        <w:tabs>
          <w:tab w:val="left" w:pos="851"/>
        </w:tabs>
        <w:ind w:left="851"/>
        <w:rPr>
          <w:b/>
          <w:sz w:val="24"/>
          <w:szCs w:val="24"/>
        </w:rPr>
      </w:pPr>
    </w:p>
    <w:p w:rsidR="0040242A" w:rsidRPr="00C84483" w:rsidRDefault="0040242A" w:rsidP="0040242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0242A" w:rsidRPr="009C3D4C" w:rsidRDefault="0040242A" w:rsidP="0040242A">
      <w:pPr>
        <w:pStyle w:val="LAFISPCNormal"/>
        <w:tabs>
          <w:tab w:val="clear" w:pos="567"/>
          <w:tab w:val="left" w:pos="1134"/>
        </w:tabs>
        <w:ind w:left="1134" w:hanging="283"/>
        <w:rPr>
          <w:szCs w:val="24"/>
          <w:lang w:val="da-DK"/>
        </w:rPr>
      </w:pPr>
      <w:r w:rsidRPr="009C3D4C">
        <w:rPr>
          <w:szCs w:val="24"/>
          <w:lang w:val="da-DK"/>
        </w:rPr>
        <w:t>-</w:t>
      </w:r>
      <w:r w:rsidRPr="009C3D4C">
        <w:rPr>
          <w:szCs w:val="24"/>
          <w:lang w:val="da-DK"/>
        </w:rPr>
        <w:tab/>
        <w:t xml:space="preserve">Behandling og perioperativ blødningsprofylakse ved erhvervet mangel på koagulationsfaktorer i </w:t>
      </w:r>
      <w:proofErr w:type="spellStart"/>
      <w:r w:rsidRPr="009C3D4C">
        <w:rPr>
          <w:szCs w:val="24"/>
          <w:lang w:val="da-DK"/>
        </w:rPr>
        <w:t>protrombinkomplekset</w:t>
      </w:r>
      <w:proofErr w:type="spellEnd"/>
      <w:r w:rsidRPr="009C3D4C">
        <w:rPr>
          <w:szCs w:val="24"/>
          <w:lang w:val="da-DK"/>
        </w:rPr>
        <w:t xml:space="preserve"> såsom mangel på grund af behandling med vitamin K-antagonister eller ved overdosering af vitamin K-antagonister, når der er behov for hurtig korrektion af manglen.</w:t>
      </w:r>
    </w:p>
    <w:p w:rsidR="0040242A" w:rsidRPr="005A46A2" w:rsidRDefault="0040242A" w:rsidP="0040242A">
      <w:pPr>
        <w:pStyle w:val="LAFISPCNormal"/>
        <w:tabs>
          <w:tab w:val="clear" w:pos="567"/>
          <w:tab w:val="left" w:pos="1134"/>
        </w:tabs>
        <w:ind w:left="1134" w:hanging="283"/>
        <w:rPr>
          <w:szCs w:val="24"/>
          <w:lang w:val="da-DK"/>
        </w:rPr>
      </w:pPr>
      <w:r w:rsidRPr="009C3D4C">
        <w:rPr>
          <w:szCs w:val="24"/>
          <w:lang w:val="da-DK"/>
        </w:rPr>
        <w:t>-</w:t>
      </w:r>
      <w:r w:rsidRPr="009C3D4C">
        <w:rPr>
          <w:szCs w:val="24"/>
          <w:lang w:val="da-DK"/>
        </w:rPr>
        <w:tab/>
        <w:t>Behandling og perioperativ blødningsprofylakse ved medfødt mangel på en af de vitamin K-afhængige koagulationsfaktorer, når specifikke rensede koagulationsfaktorprodukter ikke er til rådighed.</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0242A" w:rsidRPr="005A46A2" w:rsidRDefault="0040242A" w:rsidP="0040242A">
      <w:pPr>
        <w:ind w:left="851"/>
        <w:rPr>
          <w:b/>
          <w:noProof/>
          <w:sz w:val="24"/>
          <w:szCs w:val="24"/>
        </w:rPr>
      </w:pPr>
      <w:r w:rsidRPr="005A46A2">
        <w:rPr>
          <w:b/>
          <w:noProof/>
          <w:sz w:val="24"/>
          <w:szCs w:val="24"/>
        </w:rPr>
        <w:t>Dosering</w:t>
      </w:r>
    </w:p>
    <w:p w:rsidR="0040242A" w:rsidRPr="00004A66" w:rsidRDefault="0040242A" w:rsidP="0040242A">
      <w:pPr>
        <w:pStyle w:val="LAFISPCNormal"/>
        <w:ind w:left="851"/>
        <w:rPr>
          <w:szCs w:val="24"/>
          <w:lang w:val="da-DK"/>
        </w:rPr>
      </w:pPr>
      <w:r w:rsidRPr="00004A66">
        <w:rPr>
          <w:szCs w:val="24"/>
          <w:lang w:val="da-DK"/>
        </w:rPr>
        <w:t xml:space="preserve">Nedenfor er kun anført de generelle retningslinjer for dosering. Igangsætning af behandlingen skal overvåges af en læge med erfaring i behandling af koagulationsforstyrrelser. Doseringen og substitutionsbehandlingens varighed afhænger af behandlingsindikationen, lidelsens sværhedsgrad, lokaliseringen og blødningens omfang og af patientens kliniske tilstand.  </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Den administrerede mængde og hyppigheden af administrationen skal beregnes for den enkelte patient. Doseringsintervallerne skal tilpasses de forskellige cirkulerende halveringstider for de respektive koagulationsfaktorer i </w:t>
      </w:r>
      <w:proofErr w:type="spellStart"/>
      <w:r w:rsidRPr="00004A66">
        <w:rPr>
          <w:szCs w:val="24"/>
          <w:lang w:val="da-DK"/>
        </w:rPr>
        <w:t>protrombinkomplekset</w:t>
      </w:r>
      <w:proofErr w:type="spellEnd"/>
      <w:r w:rsidRPr="00004A66">
        <w:rPr>
          <w:szCs w:val="24"/>
          <w:lang w:val="da-DK"/>
        </w:rPr>
        <w:t xml:space="preserve"> (se pkt. 5.2). Den individuelle dosering kan kun bestemmes på grundlag af regelmæssige målinger af de individuelle plasmaniveauer af de relevante koagulationsfaktorer eller af globale test af </w:t>
      </w:r>
      <w:proofErr w:type="spellStart"/>
      <w:r w:rsidRPr="00004A66">
        <w:rPr>
          <w:szCs w:val="24"/>
          <w:lang w:val="da-DK"/>
        </w:rPr>
        <w:t>protrombinkompleksniveauer</w:t>
      </w:r>
      <w:proofErr w:type="spellEnd"/>
      <w:r w:rsidRPr="00004A66">
        <w:rPr>
          <w:szCs w:val="24"/>
          <w:lang w:val="da-DK"/>
        </w:rPr>
        <w:t xml:space="preserve"> (INR, </w:t>
      </w:r>
      <w:proofErr w:type="spellStart"/>
      <w:r w:rsidRPr="00004A66">
        <w:rPr>
          <w:szCs w:val="24"/>
          <w:lang w:val="da-DK"/>
        </w:rPr>
        <w:t>Quick's</w:t>
      </w:r>
      <w:proofErr w:type="spellEnd"/>
      <w:r w:rsidRPr="00004A66">
        <w:rPr>
          <w:szCs w:val="24"/>
          <w:lang w:val="da-DK"/>
        </w:rPr>
        <w:t xml:space="preserve"> test) og en kontinuerlig overvågning af patientens kliniske tilstand.</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Ved større kirurgiske indgreb er en præcis overvågning af substitutionsterapien ved hjælp af koagulationsanalyse helt nødvendig (specifik koagulationsfaktoranalyse og/eller globale test for </w:t>
      </w:r>
      <w:proofErr w:type="spellStart"/>
      <w:r w:rsidRPr="00004A66">
        <w:rPr>
          <w:szCs w:val="24"/>
          <w:lang w:val="da-DK"/>
        </w:rPr>
        <w:t>protrombinkompleksniveauer</w:t>
      </w:r>
      <w:proofErr w:type="spellEnd"/>
      <w:r w:rsidRPr="00004A66">
        <w:rPr>
          <w:szCs w:val="24"/>
          <w:lang w:val="da-DK"/>
        </w:rPr>
        <w:t>).</w:t>
      </w:r>
    </w:p>
    <w:p w:rsidR="0040242A" w:rsidRPr="00004A66" w:rsidRDefault="0040242A" w:rsidP="0040242A">
      <w:pPr>
        <w:pStyle w:val="LAFISPCNormal"/>
        <w:ind w:left="851"/>
        <w:rPr>
          <w:szCs w:val="24"/>
          <w:lang w:val="da-DK"/>
        </w:rPr>
      </w:pPr>
    </w:p>
    <w:p w:rsidR="0040242A" w:rsidRPr="004934D0" w:rsidRDefault="0040242A" w:rsidP="0040242A">
      <w:pPr>
        <w:pStyle w:val="LAFISPCNormal"/>
        <w:tabs>
          <w:tab w:val="left" w:pos="851"/>
        </w:tabs>
        <w:ind w:left="851"/>
        <w:rPr>
          <w:szCs w:val="24"/>
          <w:u w:val="single"/>
          <w:lang w:val="da-DK"/>
        </w:rPr>
      </w:pPr>
      <w:r w:rsidRPr="004934D0">
        <w:rPr>
          <w:szCs w:val="24"/>
          <w:u w:val="single"/>
          <w:lang w:val="da-DK"/>
        </w:rPr>
        <w:t>Blødning og perioperativ profylakse af blødning under behan</w:t>
      </w:r>
      <w:r>
        <w:rPr>
          <w:szCs w:val="24"/>
          <w:u w:val="single"/>
          <w:lang w:val="da-DK"/>
        </w:rPr>
        <w:t>dling med vitamin K- antagonist</w:t>
      </w:r>
    </w:p>
    <w:p w:rsidR="0040242A" w:rsidRPr="00004A66" w:rsidRDefault="0040242A" w:rsidP="0040242A">
      <w:pPr>
        <w:pStyle w:val="LAFISPCNormal"/>
        <w:ind w:left="851"/>
        <w:rPr>
          <w:szCs w:val="24"/>
          <w:lang w:val="da-DK"/>
        </w:rPr>
      </w:pPr>
      <w:r w:rsidRPr="00004A66">
        <w:rPr>
          <w:szCs w:val="24"/>
          <w:lang w:val="da-DK"/>
        </w:rPr>
        <w:t xml:space="preserve">Dosen afhænger af INR før behandling og målværdien for INR. INR før behandling skal måles så tæt på tidspunktet for dosering som muligt for at kunne beregne den passende dosis af </w:t>
      </w:r>
      <w:proofErr w:type="spellStart"/>
      <w:r w:rsidRPr="00004A66">
        <w:rPr>
          <w:szCs w:val="24"/>
          <w:lang w:val="da-DK"/>
        </w:rPr>
        <w:t>Confidex</w:t>
      </w:r>
      <w:proofErr w:type="spellEnd"/>
      <w:r w:rsidRPr="00004A66">
        <w:rPr>
          <w:szCs w:val="24"/>
          <w:lang w:val="da-DK"/>
        </w:rPr>
        <w:t xml:space="preserve">. I den følgende tabel angives de omtrentlige doser (ml/kg legemsvægt af </w:t>
      </w:r>
      <w:r w:rsidRPr="00004A66">
        <w:rPr>
          <w:szCs w:val="24"/>
          <w:lang w:val="da-DK"/>
        </w:rPr>
        <w:lastRenderedPageBreak/>
        <w:t xml:space="preserve">det </w:t>
      </w:r>
      <w:proofErr w:type="spellStart"/>
      <w:r w:rsidRPr="00004A66">
        <w:rPr>
          <w:szCs w:val="24"/>
          <w:lang w:val="da-DK"/>
        </w:rPr>
        <w:t>rekonstituerede</w:t>
      </w:r>
      <w:proofErr w:type="spellEnd"/>
      <w:r w:rsidRPr="00004A66">
        <w:rPr>
          <w:szCs w:val="24"/>
          <w:lang w:val="da-DK"/>
        </w:rPr>
        <w:t xml:space="preserve"> produkt og </w:t>
      </w:r>
      <w:proofErr w:type="gramStart"/>
      <w:r w:rsidRPr="00004A66">
        <w:rPr>
          <w:szCs w:val="24"/>
          <w:lang w:val="da-DK"/>
        </w:rPr>
        <w:t>IE faktor</w:t>
      </w:r>
      <w:proofErr w:type="gramEnd"/>
      <w:r w:rsidRPr="00004A66">
        <w:rPr>
          <w:szCs w:val="24"/>
          <w:lang w:val="da-DK"/>
        </w:rPr>
        <w:t xml:space="preserve"> IX/kg legemsvægt), der er nødvendige til normalisering af INR (f.eks. </w:t>
      </w:r>
      <w:r w:rsidRPr="00004A66">
        <w:rPr>
          <w:szCs w:val="24"/>
          <w:u w:val="single"/>
          <w:lang w:val="da-DK"/>
        </w:rPr>
        <w:t>&lt;</w:t>
      </w:r>
      <w:r w:rsidRPr="00004A66">
        <w:rPr>
          <w:szCs w:val="24"/>
          <w:lang w:val="da-DK"/>
        </w:rPr>
        <w:t xml:space="preserve"> 1,3) ved forskellige initiale INR-niveauer.</w:t>
      </w:r>
    </w:p>
    <w:p w:rsidR="0040242A" w:rsidRPr="00004A66" w:rsidRDefault="0040242A" w:rsidP="0040242A">
      <w:pPr>
        <w:pStyle w:val="LAFISPCNormal"/>
        <w:ind w:left="851"/>
        <w:rPr>
          <w:szCs w:val="24"/>
          <w:lang w:val="da-DK"/>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1418"/>
        <w:gridCol w:w="1418"/>
        <w:gridCol w:w="1418"/>
      </w:tblGrid>
      <w:tr w:rsidR="0040242A" w:rsidRPr="003277F4" w:rsidTr="003B4BCE">
        <w:trPr>
          <w:trHeight w:val="217"/>
        </w:trPr>
        <w:tc>
          <w:tcPr>
            <w:tcW w:w="4565" w:type="dxa"/>
          </w:tcPr>
          <w:p w:rsidR="0040242A" w:rsidRPr="003277F4" w:rsidRDefault="0040242A" w:rsidP="003B4BCE">
            <w:pPr>
              <w:pStyle w:val="LAFISPCNormal"/>
              <w:tabs>
                <w:tab w:val="left" w:pos="0"/>
              </w:tabs>
              <w:ind w:left="63"/>
              <w:rPr>
                <w:sz w:val="22"/>
                <w:szCs w:val="22"/>
                <w:lang w:val="da-DK"/>
              </w:rPr>
            </w:pPr>
            <w:r w:rsidRPr="003277F4">
              <w:rPr>
                <w:sz w:val="22"/>
                <w:szCs w:val="22"/>
                <w:lang w:val="da-DK"/>
              </w:rPr>
              <w:t>INR-værdi før behandling</w:t>
            </w:r>
          </w:p>
        </w:tc>
        <w:tc>
          <w:tcPr>
            <w:tcW w:w="1418" w:type="dxa"/>
          </w:tcPr>
          <w:p w:rsidR="0040242A" w:rsidRPr="003277F4" w:rsidRDefault="0040242A" w:rsidP="003B4BCE">
            <w:pPr>
              <w:pStyle w:val="LAFISPCNormal"/>
              <w:tabs>
                <w:tab w:val="left" w:pos="0"/>
              </w:tabs>
              <w:ind w:left="0"/>
              <w:jc w:val="center"/>
              <w:rPr>
                <w:sz w:val="22"/>
                <w:szCs w:val="22"/>
              </w:rPr>
            </w:pPr>
            <w:r w:rsidRPr="003277F4">
              <w:rPr>
                <w:sz w:val="22"/>
                <w:szCs w:val="22"/>
              </w:rPr>
              <w:t>2,0 – 3,9</w:t>
            </w:r>
          </w:p>
        </w:tc>
        <w:tc>
          <w:tcPr>
            <w:tcW w:w="1418" w:type="dxa"/>
          </w:tcPr>
          <w:p w:rsidR="0040242A" w:rsidRPr="003277F4" w:rsidRDefault="0040242A" w:rsidP="003B4BCE">
            <w:pPr>
              <w:pStyle w:val="LAFISPCNormal"/>
              <w:tabs>
                <w:tab w:val="left" w:pos="0"/>
              </w:tabs>
              <w:ind w:left="28"/>
              <w:jc w:val="center"/>
              <w:rPr>
                <w:sz w:val="22"/>
                <w:szCs w:val="22"/>
              </w:rPr>
            </w:pPr>
            <w:r w:rsidRPr="003277F4">
              <w:rPr>
                <w:sz w:val="22"/>
                <w:szCs w:val="22"/>
              </w:rPr>
              <w:t>4,0 – 6,0</w:t>
            </w:r>
          </w:p>
        </w:tc>
        <w:tc>
          <w:tcPr>
            <w:tcW w:w="1418" w:type="dxa"/>
          </w:tcPr>
          <w:p w:rsidR="0040242A" w:rsidRPr="003277F4" w:rsidRDefault="0040242A" w:rsidP="003B4BCE">
            <w:pPr>
              <w:pStyle w:val="LAFISPCNormal"/>
              <w:tabs>
                <w:tab w:val="left" w:pos="-1"/>
              </w:tabs>
              <w:ind w:left="-114"/>
              <w:jc w:val="center"/>
              <w:rPr>
                <w:sz w:val="22"/>
                <w:szCs w:val="22"/>
              </w:rPr>
            </w:pPr>
            <w:r w:rsidRPr="003277F4">
              <w:rPr>
                <w:sz w:val="22"/>
                <w:szCs w:val="22"/>
              </w:rPr>
              <w:t>&gt; 6,0</w:t>
            </w:r>
          </w:p>
        </w:tc>
      </w:tr>
      <w:tr w:rsidR="0040242A" w:rsidRPr="003277F4" w:rsidTr="003B4BCE">
        <w:tc>
          <w:tcPr>
            <w:tcW w:w="4565" w:type="dxa"/>
          </w:tcPr>
          <w:p w:rsidR="0040242A" w:rsidRPr="003277F4" w:rsidRDefault="0040242A" w:rsidP="003B4BCE">
            <w:pPr>
              <w:pStyle w:val="LAFISPCNormal"/>
              <w:tabs>
                <w:tab w:val="left" w:pos="0"/>
              </w:tabs>
              <w:ind w:left="63"/>
              <w:rPr>
                <w:sz w:val="22"/>
                <w:szCs w:val="22"/>
                <w:lang w:val="da-DK"/>
              </w:rPr>
            </w:pPr>
            <w:r w:rsidRPr="003277F4">
              <w:rPr>
                <w:sz w:val="22"/>
                <w:szCs w:val="22"/>
                <w:lang w:val="da-DK"/>
              </w:rPr>
              <w:t>Omtrentlig dosis ml/kg legemsvægt</w:t>
            </w:r>
          </w:p>
        </w:tc>
        <w:tc>
          <w:tcPr>
            <w:tcW w:w="1418" w:type="dxa"/>
          </w:tcPr>
          <w:p w:rsidR="0040242A" w:rsidRPr="003277F4" w:rsidRDefault="0040242A" w:rsidP="003B4BCE">
            <w:pPr>
              <w:pStyle w:val="LAFISPCNormal"/>
              <w:tabs>
                <w:tab w:val="left" w:pos="0"/>
              </w:tabs>
              <w:ind w:left="0"/>
              <w:jc w:val="center"/>
              <w:rPr>
                <w:sz w:val="22"/>
                <w:szCs w:val="22"/>
              </w:rPr>
            </w:pPr>
            <w:r w:rsidRPr="003277F4">
              <w:rPr>
                <w:sz w:val="22"/>
                <w:szCs w:val="22"/>
              </w:rPr>
              <w:t>1</w:t>
            </w:r>
          </w:p>
        </w:tc>
        <w:tc>
          <w:tcPr>
            <w:tcW w:w="1418" w:type="dxa"/>
          </w:tcPr>
          <w:p w:rsidR="0040242A" w:rsidRPr="003277F4" w:rsidRDefault="0040242A" w:rsidP="003B4BCE">
            <w:pPr>
              <w:pStyle w:val="LAFISPCNormal"/>
              <w:tabs>
                <w:tab w:val="left" w:pos="0"/>
              </w:tabs>
              <w:ind w:left="28"/>
              <w:jc w:val="center"/>
              <w:rPr>
                <w:sz w:val="22"/>
                <w:szCs w:val="22"/>
              </w:rPr>
            </w:pPr>
            <w:r w:rsidRPr="003277F4">
              <w:rPr>
                <w:sz w:val="22"/>
                <w:szCs w:val="22"/>
              </w:rPr>
              <w:t>1,4</w:t>
            </w:r>
          </w:p>
        </w:tc>
        <w:tc>
          <w:tcPr>
            <w:tcW w:w="1418" w:type="dxa"/>
          </w:tcPr>
          <w:p w:rsidR="0040242A" w:rsidRPr="003277F4" w:rsidRDefault="0040242A" w:rsidP="003B4BCE">
            <w:pPr>
              <w:pStyle w:val="LAFISPCNormal"/>
              <w:tabs>
                <w:tab w:val="left" w:pos="-1"/>
              </w:tabs>
              <w:ind w:left="-114"/>
              <w:jc w:val="center"/>
              <w:rPr>
                <w:sz w:val="22"/>
                <w:szCs w:val="22"/>
              </w:rPr>
            </w:pPr>
            <w:r w:rsidRPr="003277F4">
              <w:rPr>
                <w:sz w:val="22"/>
                <w:szCs w:val="22"/>
              </w:rPr>
              <w:t>2</w:t>
            </w:r>
          </w:p>
        </w:tc>
      </w:tr>
      <w:tr w:rsidR="0040242A" w:rsidRPr="003277F4" w:rsidTr="003B4BCE">
        <w:tc>
          <w:tcPr>
            <w:tcW w:w="4565" w:type="dxa"/>
          </w:tcPr>
          <w:p w:rsidR="0040242A" w:rsidRPr="003277F4" w:rsidRDefault="0040242A" w:rsidP="003B4BCE">
            <w:pPr>
              <w:pStyle w:val="LAFISPCNormal"/>
              <w:tabs>
                <w:tab w:val="left" w:pos="0"/>
              </w:tabs>
              <w:ind w:left="63"/>
              <w:rPr>
                <w:sz w:val="22"/>
                <w:szCs w:val="22"/>
                <w:lang w:val="da-DK"/>
              </w:rPr>
            </w:pPr>
            <w:r w:rsidRPr="003277F4">
              <w:rPr>
                <w:sz w:val="22"/>
                <w:szCs w:val="22"/>
                <w:lang w:val="da-DK"/>
              </w:rPr>
              <w:t xml:space="preserve">Omtrentlig dosis IE (faktor </w:t>
            </w:r>
            <w:proofErr w:type="gramStart"/>
            <w:r w:rsidRPr="003277F4">
              <w:rPr>
                <w:sz w:val="22"/>
                <w:szCs w:val="22"/>
                <w:lang w:val="da-DK"/>
              </w:rPr>
              <w:t>IX)/</w:t>
            </w:r>
            <w:proofErr w:type="gramEnd"/>
            <w:r w:rsidRPr="003277F4">
              <w:rPr>
                <w:sz w:val="22"/>
                <w:szCs w:val="22"/>
                <w:lang w:val="da-DK"/>
              </w:rPr>
              <w:t>kg legemsvægt</w:t>
            </w:r>
          </w:p>
        </w:tc>
        <w:tc>
          <w:tcPr>
            <w:tcW w:w="1418" w:type="dxa"/>
          </w:tcPr>
          <w:p w:rsidR="0040242A" w:rsidRPr="003277F4" w:rsidRDefault="0040242A" w:rsidP="003B4BCE">
            <w:pPr>
              <w:pStyle w:val="LAFISPCNormal"/>
              <w:tabs>
                <w:tab w:val="left" w:pos="0"/>
              </w:tabs>
              <w:ind w:left="0"/>
              <w:jc w:val="center"/>
              <w:rPr>
                <w:sz w:val="22"/>
                <w:szCs w:val="22"/>
              </w:rPr>
            </w:pPr>
            <w:r w:rsidRPr="003277F4">
              <w:rPr>
                <w:sz w:val="22"/>
                <w:szCs w:val="22"/>
              </w:rPr>
              <w:t>25</w:t>
            </w:r>
          </w:p>
        </w:tc>
        <w:tc>
          <w:tcPr>
            <w:tcW w:w="1418" w:type="dxa"/>
          </w:tcPr>
          <w:p w:rsidR="0040242A" w:rsidRPr="003277F4" w:rsidRDefault="0040242A" w:rsidP="003B4BCE">
            <w:pPr>
              <w:pStyle w:val="LAFISPCNormal"/>
              <w:tabs>
                <w:tab w:val="left" w:pos="0"/>
              </w:tabs>
              <w:ind w:left="28"/>
              <w:jc w:val="center"/>
              <w:rPr>
                <w:sz w:val="22"/>
                <w:szCs w:val="22"/>
              </w:rPr>
            </w:pPr>
            <w:r w:rsidRPr="003277F4">
              <w:rPr>
                <w:sz w:val="22"/>
                <w:szCs w:val="22"/>
              </w:rPr>
              <w:t>35</w:t>
            </w:r>
          </w:p>
        </w:tc>
        <w:tc>
          <w:tcPr>
            <w:tcW w:w="1418" w:type="dxa"/>
          </w:tcPr>
          <w:p w:rsidR="0040242A" w:rsidRPr="003277F4" w:rsidRDefault="0040242A" w:rsidP="003B4BCE">
            <w:pPr>
              <w:pStyle w:val="LAFISPCNormal"/>
              <w:tabs>
                <w:tab w:val="left" w:pos="-1"/>
              </w:tabs>
              <w:ind w:left="-114"/>
              <w:jc w:val="center"/>
              <w:rPr>
                <w:sz w:val="22"/>
                <w:szCs w:val="22"/>
              </w:rPr>
            </w:pPr>
            <w:r w:rsidRPr="003277F4">
              <w:rPr>
                <w:sz w:val="22"/>
                <w:szCs w:val="22"/>
              </w:rPr>
              <w:t>50</w:t>
            </w:r>
          </w:p>
        </w:tc>
      </w:tr>
    </w:tbl>
    <w:p w:rsidR="0040242A" w:rsidRPr="00004A66" w:rsidRDefault="0040242A" w:rsidP="0040242A">
      <w:pPr>
        <w:pStyle w:val="LAFISPCNormal"/>
        <w:ind w:left="851"/>
        <w:rPr>
          <w:szCs w:val="24"/>
        </w:rPr>
      </w:pPr>
    </w:p>
    <w:p w:rsidR="0040242A" w:rsidRPr="00004A66" w:rsidRDefault="0040242A" w:rsidP="0040242A">
      <w:pPr>
        <w:pStyle w:val="LAFISPCNormal"/>
        <w:ind w:left="851"/>
        <w:rPr>
          <w:szCs w:val="24"/>
          <w:lang w:val="da-DK"/>
        </w:rPr>
      </w:pPr>
      <w:r w:rsidRPr="00004A66">
        <w:rPr>
          <w:szCs w:val="24"/>
          <w:lang w:val="da-DK"/>
        </w:rPr>
        <w:t>Dosis er baseret på en legemsvægt op til, men ikke over 100 kg. For patienter, der vejer mere end 100 kg, bør den maksimale enkeltdosis (IE af Faktor IX) derfor ikke overstige 2500 IE for en INR på 2,0 - 3,9, 3500 IE for en INR på 4,0 - 6,0 og 5000 IE for en INR på &gt; 6,0.</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Korrektionen af nedsat </w:t>
      </w:r>
      <w:proofErr w:type="spellStart"/>
      <w:r w:rsidRPr="00004A66">
        <w:rPr>
          <w:szCs w:val="24"/>
          <w:lang w:val="da-DK"/>
        </w:rPr>
        <w:t>hæmostase</w:t>
      </w:r>
      <w:proofErr w:type="spellEnd"/>
      <w:r w:rsidRPr="00004A66">
        <w:rPr>
          <w:szCs w:val="24"/>
          <w:lang w:val="da-DK"/>
        </w:rPr>
        <w:t xml:space="preserve">, som er induceret af vitamin K-antagonist, opnås normalt ca. 30 minutter efter injektionen. Samtidig administration af vitamin K skal overvejes for patienter, som får </w:t>
      </w:r>
      <w:proofErr w:type="spellStart"/>
      <w:r w:rsidRPr="00004A66">
        <w:rPr>
          <w:szCs w:val="24"/>
          <w:lang w:val="da-DK"/>
        </w:rPr>
        <w:t>Confidex</w:t>
      </w:r>
      <w:proofErr w:type="spellEnd"/>
      <w:r w:rsidRPr="00004A66">
        <w:rPr>
          <w:szCs w:val="24"/>
          <w:lang w:val="da-DK"/>
        </w:rPr>
        <w:t xml:space="preserve"> for akut reversering af vitamin K-antagonister, idet vitamin K normalt virker inden for</w:t>
      </w:r>
      <w:r w:rsidRPr="00004A66">
        <w:rPr>
          <w:rStyle w:val="Kommentarhenvisning"/>
          <w:szCs w:val="24"/>
          <w:lang w:val="sv-SE"/>
        </w:rPr>
        <w:t> </w:t>
      </w:r>
      <w:r w:rsidRPr="00004A66">
        <w:rPr>
          <w:szCs w:val="24"/>
          <w:lang w:val="da-DK"/>
        </w:rPr>
        <w:t xml:space="preserve">4 – 6 timer. Gentagne doser med </w:t>
      </w:r>
      <w:proofErr w:type="spellStart"/>
      <w:r w:rsidRPr="00004A66">
        <w:rPr>
          <w:szCs w:val="24"/>
          <w:lang w:val="da-DK"/>
        </w:rPr>
        <w:t>Confidex</w:t>
      </w:r>
      <w:proofErr w:type="spellEnd"/>
      <w:r w:rsidRPr="00004A66">
        <w:rPr>
          <w:szCs w:val="24"/>
          <w:lang w:val="da-DK"/>
        </w:rPr>
        <w:t xml:space="preserve"> til patienter, der har behov for akut reversering af vitamin K-antagonistbehandling, støttes ikke af kliniske data og anbefales derfor ikke.</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Disse anbefalinger er baseret på data fra kliniske studier med et begrænset </w:t>
      </w:r>
      <w:r>
        <w:rPr>
          <w:szCs w:val="24"/>
          <w:lang w:val="da-DK"/>
        </w:rPr>
        <w:t>antal forsøgspersoner. Bedringen</w:t>
      </w:r>
      <w:r w:rsidRPr="00004A66">
        <w:rPr>
          <w:szCs w:val="24"/>
          <w:lang w:val="da-DK"/>
        </w:rPr>
        <w:t xml:space="preserve"> og varigheden af effekten kan variere, og derfor er overvågning af INR under behandlingen obligatorisk.</w:t>
      </w:r>
    </w:p>
    <w:p w:rsidR="0040242A" w:rsidRPr="00004A66" w:rsidRDefault="0040242A" w:rsidP="0040242A">
      <w:pPr>
        <w:pStyle w:val="LAFISPCNormal"/>
        <w:ind w:left="851"/>
        <w:rPr>
          <w:szCs w:val="24"/>
          <w:lang w:val="da-DK"/>
        </w:rPr>
      </w:pPr>
    </w:p>
    <w:p w:rsidR="0040242A" w:rsidRPr="003277F4" w:rsidRDefault="0040242A" w:rsidP="0040242A">
      <w:pPr>
        <w:pStyle w:val="LAFISPCNormal"/>
        <w:ind w:left="851"/>
        <w:rPr>
          <w:szCs w:val="24"/>
          <w:u w:val="single"/>
          <w:lang w:val="da-DK"/>
        </w:rPr>
      </w:pPr>
      <w:r w:rsidRPr="003277F4">
        <w:rPr>
          <w:szCs w:val="24"/>
          <w:u w:val="single"/>
          <w:lang w:val="da-DK"/>
        </w:rPr>
        <w:t>Blødninger og perioperativ profylakse ved medfødt mangel på en af de vitamin K-afhængige koagulationsfaktorer, når specifikke koagulationsfakto</w:t>
      </w:r>
      <w:r>
        <w:rPr>
          <w:szCs w:val="24"/>
          <w:u w:val="single"/>
          <w:lang w:val="da-DK"/>
        </w:rPr>
        <w:t>rprodukter ikke er til rådighed</w:t>
      </w:r>
    </w:p>
    <w:p w:rsidR="0040242A" w:rsidRPr="00004A66" w:rsidRDefault="0040242A" w:rsidP="0040242A">
      <w:pPr>
        <w:pStyle w:val="LAFISPCNormal"/>
        <w:ind w:left="851"/>
        <w:rPr>
          <w:szCs w:val="24"/>
          <w:lang w:val="da-DK"/>
        </w:rPr>
      </w:pPr>
      <w:r w:rsidRPr="00004A66">
        <w:rPr>
          <w:szCs w:val="24"/>
          <w:lang w:val="da-DK"/>
        </w:rPr>
        <w:t xml:space="preserve">Beregningen af den nødvendige dosis </w:t>
      </w:r>
      <w:proofErr w:type="spellStart"/>
      <w:r w:rsidRPr="00004A66">
        <w:rPr>
          <w:szCs w:val="24"/>
          <w:lang w:val="da-DK"/>
        </w:rPr>
        <w:t>protrombinkomplekskoncentrat</w:t>
      </w:r>
      <w:proofErr w:type="spellEnd"/>
      <w:r w:rsidRPr="00004A66">
        <w:rPr>
          <w:szCs w:val="24"/>
          <w:lang w:val="da-DK"/>
        </w:rPr>
        <w:t xml:space="preserve"> er baseret på data fra kliniske studier:</w:t>
      </w:r>
    </w:p>
    <w:p w:rsidR="0040242A" w:rsidRPr="00004A66" w:rsidRDefault="0040242A" w:rsidP="0040242A">
      <w:pPr>
        <w:pStyle w:val="LAFISPCNormal"/>
        <w:numPr>
          <w:ilvl w:val="1"/>
          <w:numId w:val="6"/>
        </w:numPr>
        <w:tabs>
          <w:tab w:val="clear" w:pos="567"/>
          <w:tab w:val="clear" w:pos="2291"/>
        </w:tabs>
        <w:ind w:left="1134" w:hanging="283"/>
        <w:rPr>
          <w:szCs w:val="24"/>
          <w:lang w:val="da-DK"/>
        </w:rPr>
      </w:pPr>
      <w:r w:rsidRPr="00004A66">
        <w:rPr>
          <w:szCs w:val="24"/>
          <w:lang w:val="da-DK"/>
        </w:rPr>
        <w:t>1 IE af faktor IX per kg legemsvægt kan forventes at hæve plasmaaktiviteten af faktor IX med 1,3 % (0,013 IE/ml) i forhold til den normale</w:t>
      </w:r>
    </w:p>
    <w:p w:rsidR="0040242A" w:rsidRPr="00004A66" w:rsidRDefault="0040242A" w:rsidP="0040242A">
      <w:pPr>
        <w:pStyle w:val="LAFISPCNormal"/>
        <w:numPr>
          <w:ilvl w:val="1"/>
          <w:numId w:val="6"/>
        </w:numPr>
        <w:tabs>
          <w:tab w:val="clear" w:pos="567"/>
          <w:tab w:val="clear" w:pos="2291"/>
        </w:tabs>
        <w:ind w:left="1134" w:hanging="283"/>
        <w:rPr>
          <w:szCs w:val="24"/>
          <w:lang w:val="da-DK"/>
        </w:rPr>
      </w:pPr>
      <w:r w:rsidRPr="00004A66">
        <w:rPr>
          <w:szCs w:val="24"/>
          <w:lang w:val="da-DK"/>
        </w:rPr>
        <w:t>1 IE af faktor VII per kg legemsvægt hæver plasmaaktiviteten af faktor VII med 1,7 % (0,017 IE/ml) i forhold til den normale</w:t>
      </w:r>
    </w:p>
    <w:p w:rsidR="0040242A" w:rsidRPr="00004A66" w:rsidRDefault="0040242A" w:rsidP="0040242A">
      <w:pPr>
        <w:pStyle w:val="LAFISPCNormal"/>
        <w:numPr>
          <w:ilvl w:val="1"/>
          <w:numId w:val="6"/>
        </w:numPr>
        <w:tabs>
          <w:tab w:val="clear" w:pos="567"/>
          <w:tab w:val="clear" w:pos="2291"/>
        </w:tabs>
        <w:ind w:left="1134" w:hanging="283"/>
        <w:rPr>
          <w:szCs w:val="24"/>
          <w:lang w:val="da-DK"/>
        </w:rPr>
      </w:pPr>
      <w:r w:rsidRPr="00004A66">
        <w:rPr>
          <w:szCs w:val="24"/>
          <w:lang w:val="da-DK"/>
        </w:rPr>
        <w:t xml:space="preserve">1 IE af faktor II per kg legemsvægt hæver plasmaaktiviteten af faktor II med 1,9 % (0,019 IE/ml) i forhold til den normale </w:t>
      </w:r>
    </w:p>
    <w:p w:rsidR="0040242A" w:rsidRPr="00004A66" w:rsidRDefault="0040242A" w:rsidP="0040242A">
      <w:pPr>
        <w:pStyle w:val="LAFISPCNormal"/>
        <w:numPr>
          <w:ilvl w:val="1"/>
          <w:numId w:val="6"/>
        </w:numPr>
        <w:tabs>
          <w:tab w:val="clear" w:pos="567"/>
          <w:tab w:val="clear" w:pos="2291"/>
        </w:tabs>
        <w:ind w:left="1134" w:hanging="283"/>
        <w:rPr>
          <w:szCs w:val="24"/>
          <w:lang w:val="da-DK"/>
        </w:rPr>
      </w:pPr>
      <w:r w:rsidRPr="00004A66">
        <w:rPr>
          <w:szCs w:val="24"/>
          <w:lang w:val="da-DK"/>
        </w:rPr>
        <w:t>1 IE af faktor X per kg legemsvægt hæver plasmaaktiviteten af faktor X med 1,9 % (0,019 IE/ml) i forhold til den normale</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Dosen af en specifik, administreret faktor udtrykkes i Internationale Enheder (IE), som er relateret til den aktuelle WHO-standard for hver faktor. Plasmaaktiviteterne for en specifik koagulationsfaktor udtrykkes enten som en procentdel (relativt til </w:t>
      </w:r>
      <w:proofErr w:type="gramStart"/>
      <w:r w:rsidRPr="00004A66">
        <w:rPr>
          <w:szCs w:val="24"/>
          <w:lang w:val="da-DK"/>
        </w:rPr>
        <w:t>normal plasma</w:t>
      </w:r>
      <w:proofErr w:type="gramEnd"/>
      <w:r w:rsidRPr="00004A66">
        <w:rPr>
          <w:szCs w:val="24"/>
          <w:lang w:val="da-DK"/>
        </w:rPr>
        <w:t>) eller i Internationale Enheder (relativt til den internationale standard for den specifikke koagulationsfaktor).</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Én International Enhed (IE) af en koagulationsfaktors aktivitet svarer til mængden i én ml </w:t>
      </w:r>
      <w:proofErr w:type="gramStart"/>
      <w:r w:rsidRPr="00004A66">
        <w:rPr>
          <w:szCs w:val="24"/>
          <w:lang w:val="da-DK"/>
        </w:rPr>
        <w:t>normal human plasma</w:t>
      </w:r>
      <w:proofErr w:type="gramEnd"/>
      <w:r w:rsidRPr="00004A66">
        <w:rPr>
          <w:szCs w:val="24"/>
          <w:lang w:val="da-DK"/>
        </w:rPr>
        <w:t>.</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 xml:space="preserve">F.eks. baseres beregningen af den nødvendige dosis af faktor X på det resultat, at 1 International Enhed (IE) af faktor X per kg legemsvægt hæver plasmaaktiviteten for faktor X med 0,019 IE/ml. </w:t>
      </w:r>
    </w:p>
    <w:p w:rsidR="0040242A" w:rsidRPr="00004A66" w:rsidRDefault="0040242A" w:rsidP="0040242A">
      <w:pPr>
        <w:pStyle w:val="LAFISPCNormal"/>
        <w:ind w:left="851"/>
        <w:rPr>
          <w:szCs w:val="24"/>
          <w:lang w:val="da-DK"/>
        </w:rPr>
      </w:pPr>
    </w:p>
    <w:p w:rsidR="0040242A" w:rsidRPr="00004A66" w:rsidRDefault="0040242A" w:rsidP="0040242A">
      <w:pPr>
        <w:pStyle w:val="LAFISPCNormal"/>
        <w:ind w:left="851"/>
        <w:rPr>
          <w:szCs w:val="24"/>
          <w:lang w:val="da-DK"/>
        </w:rPr>
      </w:pPr>
      <w:r w:rsidRPr="00004A66">
        <w:rPr>
          <w:szCs w:val="24"/>
          <w:lang w:val="da-DK"/>
        </w:rPr>
        <w:t>Den nødvendige dosering bestemmes ved hjælp af følgende formel:</w:t>
      </w:r>
    </w:p>
    <w:p w:rsidR="0040242A" w:rsidRPr="00004A66" w:rsidRDefault="0040242A" w:rsidP="0040242A">
      <w:pPr>
        <w:pStyle w:val="LAFISPCNormal"/>
        <w:ind w:left="851"/>
        <w:rPr>
          <w:szCs w:val="24"/>
          <w:lang w:val="da-DK"/>
        </w:rPr>
      </w:pPr>
      <w:r w:rsidRPr="00004A66">
        <w:rPr>
          <w:szCs w:val="24"/>
          <w:lang w:val="da-DK"/>
        </w:rPr>
        <w:lastRenderedPageBreak/>
        <w:t xml:space="preserve">Nødvendige enheder = legemsvægt [kg] x ønsket stigning i faktor X [IE/ml] x 53, </w:t>
      </w:r>
    </w:p>
    <w:p w:rsidR="0040242A" w:rsidRPr="00004A66" w:rsidRDefault="0040242A" w:rsidP="0040242A">
      <w:pPr>
        <w:pStyle w:val="LAFISPCNormal"/>
        <w:ind w:left="851"/>
        <w:rPr>
          <w:szCs w:val="24"/>
          <w:lang w:val="da-DK"/>
        </w:rPr>
      </w:pPr>
      <w:r w:rsidRPr="00004A66">
        <w:rPr>
          <w:szCs w:val="24"/>
          <w:lang w:val="da-DK"/>
        </w:rPr>
        <w:t>hvor 53 (ml/kg) er den reciprokke værdi af den estimerede bedring.</w:t>
      </w:r>
    </w:p>
    <w:p w:rsidR="0040242A" w:rsidRPr="00004A66" w:rsidRDefault="0040242A" w:rsidP="0040242A">
      <w:pPr>
        <w:pStyle w:val="LAFISPCNormal"/>
        <w:ind w:left="851"/>
        <w:rPr>
          <w:szCs w:val="24"/>
          <w:lang w:val="da-DK"/>
        </w:rPr>
      </w:pPr>
    </w:p>
    <w:p w:rsidR="0040242A" w:rsidRPr="00004A66" w:rsidRDefault="0040242A" w:rsidP="0040242A">
      <w:pPr>
        <w:pStyle w:val="LAFISPCNormal"/>
        <w:tabs>
          <w:tab w:val="left" w:pos="720"/>
        </w:tabs>
        <w:ind w:left="851"/>
        <w:rPr>
          <w:szCs w:val="24"/>
          <w:lang w:val="da-DK"/>
        </w:rPr>
      </w:pPr>
      <w:r w:rsidRPr="00004A66">
        <w:rPr>
          <w:szCs w:val="24"/>
          <w:lang w:val="da-DK"/>
        </w:rPr>
        <w:t>Bemærk, at beregningen er baseret på data fra patienter, der får vitamin K-antagonister. En beregning, baseret på data fra raske forsøgspersoner, ville give en lavere vurdering af den nødvendige dosis.</w:t>
      </w:r>
    </w:p>
    <w:p w:rsidR="0040242A" w:rsidRPr="00004A66" w:rsidRDefault="0040242A" w:rsidP="0040242A">
      <w:pPr>
        <w:pStyle w:val="LAFISPCNormal"/>
        <w:tabs>
          <w:tab w:val="left" w:pos="720"/>
        </w:tabs>
        <w:ind w:left="851"/>
        <w:rPr>
          <w:szCs w:val="24"/>
          <w:lang w:val="da-DK"/>
        </w:rPr>
      </w:pPr>
    </w:p>
    <w:p w:rsidR="0040242A" w:rsidRPr="00004A66" w:rsidRDefault="0040242A" w:rsidP="0040242A">
      <w:pPr>
        <w:pStyle w:val="LAFISPCNormal"/>
        <w:tabs>
          <w:tab w:val="left" w:pos="851"/>
        </w:tabs>
        <w:ind w:left="851"/>
        <w:rPr>
          <w:szCs w:val="24"/>
          <w:lang w:val="da-DK"/>
        </w:rPr>
      </w:pPr>
      <w:r w:rsidRPr="00004A66">
        <w:rPr>
          <w:szCs w:val="24"/>
          <w:lang w:val="da-DK"/>
        </w:rPr>
        <w:t xml:space="preserve">Hvis den individuelle bedring kendes, skal denne værdi bruges til beregning. </w:t>
      </w:r>
    </w:p>
    <w:p w:rsidR="0040242A" w:rsidRPr="00004A66" w:rsidRDefault="0040242A" w:rsidP="0040242A">
      <w:pPr>
        <w:pStyle w:val="LAFISPCNormal"/>
        <w:tabs>
          <w:tab w:val="left" w:pos="851"/>
        </w:tabs>
        <w:ind w:left="851"/>
        <w:rPr>
          <w:szCs w:val="24"/>
          <w:lang w:val="da-DK"/>
        </w:rPr>
      </w:pPr>
    </w:p>
    <w:p w:rsidR="0040242A" w:rsidRPr="00004A66" w:rsidRDefault="0040242A" w:rsidP="0040242A">
      <w:pPr>
        <w:pStyle w:val="LAFISPCNormal"/>
        <w:tabs>
          <w:tab w:val="left" w:pos="851"/>
        </w:tabs>
        <w:ind w:left="851"/>
        <w:rPr>
          <w:szCs w:val="24"/>
          <w:lang w:val="da-DK"/>
        </w:rPr>
      </w:pPr>
      <w:r w:rsidRPr="00004A66">
        <w:rPr>
          <w:szCs w:val="24"/>
          <w:lang w:val="da-DK"/>
        </w:rPr>
        <w:t>Produktspecifik information er til stede fra kliniske studier af raske frivillige (N = 15) med hensyn til reversering af vitamin K-antagonistbehandling for akut alvorlig blødning eller perioperativ blødningsprofylakse (N = 98, N = 43) (se pkt. 5.2).</w:t>
      </w:r>
    </w:p>
    <w:p w:rsidR="0040242A" w:rsidRPr="00004A66" w:rsidRDefault="0040242A" w:rsidP="0040242A">
      <w:pPr>
        <w:pStyle w:val="LAFISPCNormal"/>
        <w:tabs>
          <w:tab w:val="left" w:pos="851"/>
        </w:tabs>
        <w:ind w:left="851"/>
        <w:rPr>
          <w:szCs w:val="24"/>
          <w:lang w:val="da-DK"/>
        </w:rPr>
      </w:pPr>
    </w:p>
    <w:p w:rsidR="0040242A" w:rsidRPr="003277F4" w:rsidRDefault="0040242A" w:rsidP="0040242A">
      <w:pPr>
        <w:tabs>
          <w:tab w:val="left" w:pos="851"/>
        </w:tabs>
        <w:ind w:left="851"/>
        <w:rPr>
          <w:noProof/>
          <w:sz w:val="24"/>
          <w:szCs w:val="24"/>
          <w:u w:val="single"/>
        </w:rPr>
      </w:pPr>
      <w:r w:rsidRPr="003277F4">
        <w:rPr>
          <w:noProof/>
          <w:sz w:val="24"/>
          <w:szCs w:val="24"/>
          <w:u w:val="single"/>
        </w:rPr>
        <w:t>Pædiatrisk population</w:t>
      </w:r>
    </w:p>
    <w:p w:rsidR="0040242A" w:rsidRPr="00004A66" w:rsidRDefault="0040242A" w:rsidP="0040242A">
      <w:pPr>
        <w:pStyle w:val="LAFISPCNormal"/>
        <w:tabs>
          <w:tab w:val="left" w:pos="851"/>
        </w:tabs>
        <w:ind w:left="851"/>
        <w:rPr>
          <w:szCs w:val="24"/>
          <w:lang w:val="da-DK"/>
        </w:rPr>
      </w:pPr>
      <w:r w:rsidRPr="00004A66">
        <w:rPr>
          <w:szCs w:val="24"/>
          <w:lang w:val="da-DK"/>
        </w:rPr>
        <w:t xml:space="preserve">Sikkerhed og virkning af </w:t>
      </w:r>
      <w:proofErr w:type="spellStart"/>
      <w:r w:rsidRPr="00004A66">
        <w:rPr>
          <w:szCs w:val="24"/>
          <w:lang w:val="da-DK"/>
        </w:rPr>
        <w:t>Confidex</w:t>
      </w:r>
      <w:proofErr w:type="spellEnd"/>
      <w:r w:rsidRPr="00004A66">
        <w:rPr>
          <w:szCs w:val="24"/>
          <w:lang w:val="da-DK"/>
        </w:rPr>
        <w:t xml:space="preserve"> hos børn og unge er endnu ikke klarlagt i kontrollerede kliniske forsøg (se pkt. 4.4).</w:t>
      </w:r>
    </w:p>
    <w:p w:rsidR="0040242A" w:rsidRPr="00004A66" w:rsidRDefault="0040242A" w:rsidP="0040242A">
      <w:pPr>
        <w:pStyle w:val="LAFISPCNormal"/>
        <w:tabs>
          <w:tab w:val="left" w:pos="851"/>
        </w:tabs>
        <w:ind w:left="851"/>
        <w:rPr>
          <w:szCs w:val="24"/>
          <w:lang w:val="da-DK"/>
        </w:rPr>
      </w:pPr>
    </w:p>
    <w:p w:rsidR="0040242A" w:rsidRPr="003277F4" w:rsidRDefault="0040242A" w:rsidP="0040242A">
      <w:pPr>
        <w:pStyle w:val="LAFISPCNormal"/>
        <w:tabs>
          <w:tab w:val="left" w:pos="851"/>
        </w:tabs>
        <w:ind w:left="851"/>
        <w:rPr>
          <w:szCs w:val="24"/>
          <w:u w:val="single"/>
          <w:lang w:val="da-DK"/>
        </w:rPr>
      </w:pPr>
      <w:r w:rsidRPr="003277F4">
        <w:rPr>
          <w:szCs w:val="24"/>
          <w:u w:val="single"/>
          <w:lang w:val="da-DK"/>
        </w:rPr>
        <w:t>Ældre</w:t>
      </w:r>
    </w:p>
    <w:p w:rsidR="0040242A" w:rsidRPr="00004A66" w:rsidRDefault="0040242A" w:rsidP="0040242A">
      <w:pPr>
        <w:pStyle w:val="LAFISPCNormal"/>
        <w:tabs>
          <w:tab w:val="left" w:pos="851"/>
        </w:tabs>
        <w:ind w:left="851"/>
        <w:rPr>
          <w:szCs w:val="24"/>
          <w:lang w:val="da-DK"/>
        </w:rPr>
      </w:pPr>
      <w:r w:rsidRPr="00004A66">
        <w:rPr>
          <w:szCs w:val="24"/>
          <w:lang w:val="da-DK"/>
        </w:rPr>
        <w:t>Dosering og administration hos ældre (&gt; 65 år) er den samme som de almindelige anbefalinger.</w:t>
      </w:r>
    </w:p>
    <w:p w:rsidR="0040242A" w:rsidRPr="00004A66" w:rsidRDefault="0040242A" w:rsidP="0040242A">
      <w:pPr>
        <w:pStyle w:val="LAFISPCNormal"/>
        <w:tabs>
          <w:tab w:val="left" w:pos="851"/>
        </w:tabs>
        <w:ind w:left="851"/>
        <w:rPr>
          <w:szCs w:val="24"/>
          <w:lang w:val="da-DK"/>
        </w:rPr>
      </w:pPr>
    </w:p>
    <w:p w:rsidR="0040242A" w:rsidRPr="003277F4" w:rsidRDefault="0040242A" w:rsidP="0040242A">
      <w:pPr>
        <w:ind w:left="851"/>
        <w:rPr>
          <w:b/>
          <w:sz w:val="24"/>
          <w:szCs w:val="24"/>
        </w:rPr>
      </w:pPr>
      <w:r w:rsidRPr="003277F4">
        <w:rPr>
          <w:b/>
          <w:sz w:val="24"/>
          <w:szCs w:val="24"/>
        </w:rPr>
        <w:t>Administration</w:t>
      </w:r>
    </w:p>
    <w:p w:rsidR="0040242A" w:rsidRPr="00004A66" w:rsidRDefault="0040242A" w:rsidP="0040242A">
      <w:pPr>
        <w:pStyle w:val="LAFISPCNormal"/>
        <w:ind w:left="851"/>
        <w:rPr>
          <w:szCs w:val="24"/>
          <w:lang w:val="da-DK"/>
        </w:rPr>
      </w:pPr>
      <w:r w:rsidRPr="00004A66">
        <w:rPr>
          <w:szCs w:val="24"/>
          <w:lang w:val="da-DK"/>
        </w:rPr>
        <w:t xml:space="preserve">For instruktioner om </w:t>
      </w:r>
      <w:proofErr w:type="spellStart"/>
      <w:r w:rsidRPr="00004A66">
        <w:rPr>
          <w:szCs w:val="24"/>
          <w:lang w:val="da-DK"/>
        </w:rPr>
        <w:t>rekonstitution</w:t>
      </w:r>
      <w:proofErr w:type="spellEnd"/>
      <w:r w:rsidRPr="00004A66">
        <w:rPr>
          <w:szCs w:val="24"/>
          <w:lang w:val="da-DK"/>
        </w:rPr>
        <w:t xml:space="preserve"> af lægemidlet før administration, se pkt. 6.6. Den </w:t>
      </w:r>
      <w:proofErr w:type="spellStart"/>
      <w:r w:rsidRPr="00004A66">
        <w:rPr>
          <w:szCs w:val="24"/>
          <w:lang w:val="da-DK"/>
        </w:rPr>
        <w:t>rekonstituerede</w:t>
      </w:r>
      <w:proofErr w:type="spellEnd"/>
      <w:r w:rsidRPr="00004A66">
        <w:rPr>
          <w:szCs w:val="24"/>
          <w:lang w:val="da-DK"/>
        </w:rPr>
        <w:t xml:space="preserve"> opløsning skal administreres intravenøst (højst 8 ml/min*).</w:t>
      </w:r>
    </w:p>
    <w:p w:rsidR="0040242A" w:rsidRPr="00004A66" w:rsidRDefault="0040242A" w:rsidP="0040242A">
      <w:pPr>
        <w:pStyle w:val="LAFISPCNormal"/>
        <w:ind w:left="851"/>
        <w:rPr>
          <w:szCs w:val="24"/>
          <w:lang w:val="da-DK"/>
        </w:rPr>
      </w:pPr>
    </w:p>
    <w:p w:rsidR="0040242A" w:rsidRPr="00004A66" w:rsidRDefault="0040242A" w:rsidP="0040242A">
      <w:pPr>
        <w:tabs>
          <w:tab w:val="left" w:pos="0"/>
        </w:tabs>
        <w:ind w:left="851"/>
        <w:rPr>
          <w:sz w:val="24"/>
          <w:szCs w:val="24"/>
        </w:rPr>
      </w:pPr>
      <w:r w:rsidRPr="00004A66">
        <w:rPr>
          <w:sz w:val="24"/>
          <w:szCs w:val="24"/>
        </w:rPr>
        <w:t>__________________________________________________</w:t>
      </w:r>
    </w:p>
    <w:p w:rsidR="0040242A" w:rsidRPr="00802545" w:rsidRDefault="0040242A" w:rsidP="0040242A">
      <w:pPr>
        <w:pStyle w:val="LAFISPCNormal"/>
        <w:tabs>
          <w:tab w:val="left" w:pos="0"/>
        </w:tabs>
        <w:ind w:left="851"/>
        <w:rPr>
          <w:szCs w:val="24"/>
          <w:lang w:val="da-DK"/>
        </w:rPr>
      </w:pPr>
      <w:r w:rsidRPr="00004A66">
        <w:rPr>
          <w:szCs w:val="24"/>
          <w:lang w:val="da-DK"/>
        </w:rPr>
        <w:t xml:space="preserve">* i kliniske studier med </w:t>
      </w:r>
      <w:proofErr w:type="spellStart"/>
      <w:r w:rsidRPr="00004A66">
        <w:rPr>
          <w:szCs w:val="24"/>
          <w:lang w:val="da-DK"/>
        </w:rPr>
        <w:t>Confidex</w:t>
      </w:r>
      <w:proofErr w:type="spellEnd"/>
      <w:r w:rsidRPr="00004A66">
        <w:rPr>
          <w:szCs w:val="24"/>
          <w:lang w:val="da-DK"/>
        </w:rPr>
        <w:t xml:space="preserve"> blev patienter, der vejede &lt; 70 kg, </w:t>
      </w:r>
      <w:r>
        <w:rPr>
          <w:szCs w:val="24"/>
          <w:lang w:val="da-DK"/>
        </w:rPr>
        <w:t>doseret</w:t>
      </w:r>
      <w:r w:rsidRPr="00004A66">
        <w:rPr>
          <w:szCs w:val="24"/>
          <w:lang w:val="da-DK"/>
        </w:rPr>
        <w:t xml:space="preserve"> med maksimal infusionshastighed på 0,12 ml/kg/min (mindre end 8 ml/min)</w:t>
      </w:r>
    </w:p>
    <w:p w:rsidR="0040242A" w:rsidRDefault="0040242A" w:rsidP="0040242A">
      <w:pPr>
        <w:tabs>
          <w:tab w:val="left" w:pos="851"/>
        </w:tabs>
        <w:ind w:left="851"/>
        <w:rPr>
          <w:sz w:val="24"/>
          <w:szCs w:val="24"/>
        </w:rPr>
      </w:pPr>
      <w:r w:rsidRPr="00444CFE">
        <w:rPr>
          <w:sz w:val="24"/>
          <w:szCs w:val="24"/>
        </w:rPr>
        <w:t>Opløsningen skal være klar eller let opaliserende</w:t>
      </w:r>
      <w:r>
        <w:rPr>
          <w:sz w:val="24"/>
          <w:szCs w:val="24"/>
        </w:rPr>
        <w: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4.3</w:t>
      </w:r>
      <w:r w:rsidRPr="00C84483">
        <w:rPr>
          <w:b/>
          <w:sz w:val="24"/>
          <w:szCs w:val="24"/>
        </w:rPr>
        <w:tab/>
        <w:t>Kontraindikationer</w:t>
      </w:r>
    </w:p>
    <w:p w:rsidR="0040242A" w:rsidRPr="002116E3" w:rsidRDefault="0040242A" w:rsidP="0040242A">
      <w:pPr>
        <w:pStyle w:val="LAFISPCNormal"/>
        <w:tabs>
          <w:tab w:val="left" w:pos="0"/>
        </w:tabs>
        <w:ind w:left="851"/>
        <w:rPr>
          <w:szCs w:val="24"/>
          <w:lang w:val="da-DK"/>
        </w:rPr>
      </w:pPr>
      <w:r w:rsidRPr="002116E3">
        <w:rPr>
          <w:szCs w:val="24"/>
          <w:lang w:val="da-DK"/>
        </w:rPr>
        <w:t>Overfølsomhed over for det aktive stof eller over for et eller flere af hjælpestofferne anført i pkt. 6.1.</w:t>
      </w:r>
    </w:p>
    <w:p w:rsidR="0040242A" w:rsidRPr="002116E3" w:rsidRDefault="0040242A" w:rsidP="0040242A">
      <w:pPr>
        <w:pStyle w:val="LAFISPCNormal"/>
        <w:tabs>
          <w:tab w:val="left" w:pos="0"/>
        </w:tabs>
        <w:ind w:left="851"/>
        <w:rPr>
          <w:szCs w:val="24"/>
          <w:lang w:val="da-DK"/>
        </w:rPr>
      </w:pPr>
    </w:p>
    <w:p w:rsidR="0040242A" w:rsidRPr="002116E3" w:rsidRDefault="0040242A" w:rsidP="0040242A">
      <w:pPr>
        <w:pStyle w:val="LAFISPCNormal"/>
        <w:tabs>
          <w:tab w:val="left" w:pos="0"/>
        </w:tabs>
        <w:ind w:left="851"/>
        <w:rPr>
          <w:szCs w:val="24"/>
          <w:lang w:val="da-DK"/>
        </w:rPr>
      </w:pPr>
      <w:r w:rsidRPr="002116E3">
        <w:rPr>
          <w:szCs w:val="24"/>
          <w:lang w:val="da-DK"/>
        </w:rPr>
        <w:t xml:space="preserve">Ved dissemineret </w:t>
      </w:r>
      <w:proofErr w:type="spellStart"/>
      <w:r w:rsidRPr="002116E3">
        <w:rPr>
          <w:szCs w:val="24"/>
          <w:lang w:val="da-DK"/>
        </w:rPr>
        <w:t>intravaskular</w:t>
      </w:r>
      <w:proofErr w:type="spellEnd"/>
      <w:r w:rsidRPr="002116E3">
        <w:rPr>
          <w:szCs w:val="24"/>
          <w:lang w:val="da-DK"/>
        </w:rPr>
        <w:t xml:space="preserve"> koagulation må behandling med </w:t>
      </w:r>
      <w:proofErr w:type="spellStart"/>
      <w:r w:rsidRPr="002116E3">
        <w:rPr>
          <w:szCs w:val="24"/>
          <w:lang w:val="da-DK"/>
        </w:rPr>
        <w:t>protrombinkomplekspræparater</w:t>
      </w:r>
      <w:proofErr w:type="spellEnd"/>
      <w:r w:rsidRPr="002116E3">
        <w:rPr>
          <w:szCs w:val="24"/>
          <w:lang w:val="da-DK"/>
        </w:rPr>
        <w:t xml:space="preserve"> først ske efter afslutning af det </w:t>
      </w:r>
      <w:proofErr w:type="spellStart"/>
      <w:r w:rsidRPr="002116E3">
        <w:rPr>
          <w:szCs w:val="24"/>
          <w:lang w:val="da-DK"/>
        </w:rPr>
        <w:t>konsumptive</w:t>
      </w:r>
      <w:proofErr w:type="spellEnd"/>
      <w:r w:rsidRPr="002116E3">
        <w:rPr>
          <w:szCs w:val="24"/>
          <w:lang w:val="da-DK"/>
        </w:rPr>
        <w:t xml:space="preserve"> stadie.</w:t>
      </w:r>
    </w:p>
    <w:p w:rsidR="0040242A" w:rsidRPr="002116E3" w:rsidRDefault="0040242A" w:rsidP="0040242A">
      <w:pPr>
        <w:pStyle w:val="LAFISPCNormal"/>
        <w:tabs>
          <w:tab w:val="left" w:pos="0"/>
        </w:tabs>
        <w:ind w:left="851"/>
        <w:rPr>
          <w:szCs w:val="24"/>
          <w:lang w:val="da-DK"/>
        </w:rPr>
      </w:pPr>
    </w:p>
    <w:p w:rsidR="0040242A" w:rsidRPr="009B3E73" w:rsidRDefault="0040242A" w:rsidP="0040242A">
      <w:pPr>
        <w:pStyle w:val="LAFISPCNormal"/>
        <w:tabs>
          <w:tab w:val="left" w:pos="0"/>
        </w:tabs>
        <w:ind w:left="851"/>
        <w:rPr>
          <w:szCs w:val="24"/>
          <w:lang w:val="da-DK"/>
        </w:rPr>
      </w:pPr>
      <w:proofErr w:type="spellStart"/>
      <w:r w:rsidRPr="002116E3">
        <w:rPr>
          <w:szCs w:val="24"/>
          <w:lang w:val="da-DK"/>
        </w:rPr>
        <w:t>Heparin</w:t>
      </w:r>
      <w:proofErr w:type="spellEnd"/>
      <w:r w:rsidRPr="002116E3">
        <w:rPr>
          <w:szCs w:val="24"/>
          <w:lang w:val="da-DK"/>
        </w:rPr>
        <w:t xml:space="preserve">-induceret </w:t>
      </w:r>
      <w:proofErr w:type="spellStart"/>
      <w:r w:rsidRPr="002116E3">
        <w:rPr>
          <w:szCs w:val="24"/>
          <w:lang w:val="da-DK"/>
        </w:rPr>
        <w:t>trompocytopeni</w:t>
      </w:r>
      <w:proofErr w:type="spellEnd"/>
      <w:r w:rsidRPr="002116E3">
        <w:rPr>
          <w:szCs w:val="24"/>
          <w:lang w:val="da-DK"/>
        </w:rPr>
        <w:t xml:space="preserve"> i anamnesen.</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0242A" w:rsidRPr="00862D00" w:rsidRDefault="0040242A" w:rsidP="0040242A">
      <w:pPr>
        <w:pStyle w:val="LAFISPCNormal"/>
        <w:tabs>
          <w:tab w:val="left" w:pos="0"/>
        </w:tabs>
        <w:ind w:left="851"/>
        <w:rPr>
          <w:szCs w:val="24"/>
          <w:lang w:val="da-DK"/>
        </w:rPr>
      </w:pPr>
      <w:r w:rsidRPr="00862D00">
        <w:rPr>
          <w:szCs w:val="24"/>
          <w:lang w:val="da-DK"/>
        </w:rPr>
        <w:t>En specialist med erfaring i behandling af koagulationsforstyrrelser bør konsulteres.</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Hos patienter med erhvervet mangel på vitamin K-afhængige koagulationsfaktorer (f.eks. induceret på grund af behandling med vitamin K-antagonister) bør </w:t>
      </w:r>
      <w:proofErr w:type="spellStart"/>
      <w:r w:rsidRPr="00862D00">
        <w:rPr>
          <w:szCs w:val="24"/>
          <w:lang w:val="da-DK"/>
        </w:rPr>
        <w:t>Confidex</w:t>
      </w:r>
      <w:proofErr w:type="spellEnd"/>
      <w:r w:rsidRPr="00862D00">
        <w:rPr>
          <w:szCs w:val="24"/>
          <w:lang w:val="da-DK"/>
        </w:rPr>
        <w:t xml:space="preserve"> kun anvendes, når der er behov for hurtig korrektion af </w:t>
      </w:r>
      <w:proofErr w:type="spellStart"/>
      <w:r w:rsidRPr="00862D00">
        <w:rPr>
          <w:szCs w:val="24"/>
          <w:lang w:val="da-DK"/>
        </w:rPr>
        <w:t>protrombinkompleksniveauerne</w:t>
      </w:r>
      <w:proofErr w:type="spellEnd"/>
      <w:r w:rsidRPr="00862D00">
        <w:rPr>
          <w:szCs w:val="24"/>
          <w:lang w:val="da-DK"/>
        </w:rPr>
        <w:t xml:space="preserve"> f.eks. ved større blødninger eller akutte operationer. I andre tilfælde plejer en reduktion af dosis af vitamin K-agonisten og/eller administration af vitamin K at være tilstrækkeligt.</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Patienter, der får en vitamin K-agonist, kan have en bagvedliggende tilstand af </w:t>
      </w:r>
      <w:proofErr w:type="spellStart"/>
      <w:r w:rsidRPr="00862D00">
        <w:rPr>
          <w:szCs w:val="24"/>
          <w:lang w:val="da-DK"/>
        </w:rPr>
        <w:t>hyperkoagulabilitet</w:t>
      </w:r>
      <w:proofErr w:type="spellEnd"/>
      <w:r w:rsidRPr="00862D00">
        <w:rPr>
          <w:szCs w:val="24"/>
          <w:lang w:val="da-DK"/>
        </w:rPr>
        <w:t xml:space="preserve">, og en infusion af humant </w:t>
      </w:r>
      <w:proofErr w:type="spellStart"/>
      <w:r w:rsidRPr="00862D00">
        <w:rPr>
          <w:szCs w:val="24"/>
          <w:lang w:val="da-DK"/>
        </w:rPr>
        <w:t>protrombinkompleks</w:t>
      </w:r>
      <w:proofErr w:type="spellEnd"/>
      <w:r w:rsidRPr="00862D00">
        <w:rPr>
          <w:szCs w:val="24"/>
          <w:lang w:val="da-DK"/>
        </w:rPr>
        <w:t xml:space="preserve"> kan forværre dette.</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lastRenderedPageBreak/>
        <w:t>Ved medfødt mangel på en af de vitamin K-afhængige faktorer skal specifikke koagulationsfaktorprodukter anvendes, når de forefindes.</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Hvis der forekommer allergiske reaktioner eller reaktioner af </w:t>
      </w:r>
      <w:proofErr w:type="spellStart"/>
      <w:r w:rsidRPr="00862D00">
        <w:rPr>
          <w:szCs w:val="24"/>
          <w:lang w:val="da-DK"/>
        </w:rPr>
        <w:t>anafylaktisk</w:t>
      </w:r>
      <w:proofErr w:type="spellEnd"/>
      <w:r w:rsidRPr="00862D00">
        <w:rPr>
          <w:szCs w:val="24"/>
          <w:lang w:val="da-DK"/>
        </w:rPr>
        <w:t xml:space="preserve"> type, skal administrationen af </w:t>
      </w:r>
      <w:proofErr w:type="spellStart"/>
      <w:r w:rsidRPr="00862D00">
        <w:rPr>
          <w:szCs w:val="24"/>
          <w:lang w:val="da-DK"/>
        </w:rPr>
        <w:t>Confidex</w:t>
      </w:r>
      <w:proofErr w:type="spellEnd"/>
      <w:r w:rsidRPr="00862D00">
        <w:rPr>
          <w:szCs w:val="24"/>
          <w:lang w:val="da-DK"/>
        </w:rPr>
        <w:t xml:space="preserve"> stoppes omgående (dvs. afbryd injektionen), og en relevant behandling skal igangsættes. De terapeutiske foranstaltninger afhænger af arten og sværhedsgraden af bivirkningen. De gældende medicinske standarder for behandling af </w:t>
      </w:r>
      <w:proofErr w:type="spellStart"/>
      <w:r w:rsidRPr="00862D00">
        <w:rPr>
          <w:szCs w:val="24"/>
          <w:lang w:val="da-DK"/>
        </w:rPr>
        <w:t>shock</w:t>
      </w:r>
      <w:proofErr w:type="spellEnd"/>
      <w:r w:rsidRPr="00862D00">
        <w:rPr>
          <w:szCs w:val="24"/>
          <w:lang w:val="da-DK"/>
        </w:rPr>
        <w:t xml:space="preserve"> skal overholdes.</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bookmarkStart w:id="0" w:name="OLE_LINK2"/>
      <w:r w:rsidRPr="00862D00">
        <w:rPr>
          <w:szCs w:val="24"/>
          <w:lang w:val="da-DK"/>
        </w:rPr>
        <w:t xml:space="preserve">Der er en risiko for trombose eller dissemineret </w:t>
      </w:r>
      <w:proofErr w:type="spellStart"/>
      <w:r w:rsidRPr="00862D00">
        <w:rPr>
          <w:szCs w:val="24"/>
          <w:lang w:val="da-DK"/>
        </w:rPr>
        <w:t>intravaskulær</w:t>
      </w:r>
      <w:proofErr w:type="spellEnd"/>
      <w:r w:rsidRPr="00862D00">
        <w:rPr>
          <w:szCs w:val="24"/>
          <w:lang w:val="da-DK"/>
        </w:rPr>
        <w:t xml:space="preserve"> koagulation, når patienter med enten medfødt eller erhvervet mangel behandles med humant </w:t>
      </w:r>
      <w:proofErr w:type="spellStart"/>
      <w:r w:rsidRPr="00862D00">
        <w:rPr>
          <w:szCs w:val="24"/>
          <w:lang w:val="da-DK"/>
        </w:rPr>
        <w:t>protrombinkompleks</w:t>
      </w:r>
      <w:proofErr w:type="spellEnd"/>
      <w:r w:rsidRPr="00862D00">
        <w:rPr>
          <w:szCs w:val="24"/>
          <w:lang w:val="da-DK"/>
        </w:rPr>
        <w:t xml:space="preserve">, især med gentagen dosering. Risikoen kan være højere ved behandling af isoleret faktor VII-mangel, idet de andre vitamin K-afhængige koagulationsfaktorer med længere halveringstider kan akkumuleres til niveauer, der er betydeligt højere end normalt. Patienter, der får humant </w:t>
      </w:r>
      <w:proofErr w:type="spellStart"/>
      <w:r w:rsidRPr="00862D00">
        <w:rPr>
          <w:szCs w:val="24"/>
          <w:lang w:val="da-DK"/>
        </w:rPr>
        <w:t>protrombinkompleks</w:t>
      </w:r>
      <w:proofErr w:type="spellEnd"/>
      <w:r w:rsidRPr="00862D00">
        <w:rPr>
          <w:szCs w:val="24"/>
          <w:lang w:val="da-DK"/>
        </w:rPr>
        <w:t xml:space="preserve"> skal observeres omhyggeligt for tegn eller symptomer på dissemineret </w:t>
      </w:r>
      <w:proofErr w:type="spellStart"/>
      <w:r w:rsidRPr="00862D00">
        <w:rPr>
          <w:szCs w:val="24"/>
          <w:lang w:val="da-DK"/>
        </w:rPr>
        <w:t>intravaskulær</w:t>
      </w:r>
      <w:proofErr w:type="spellEnd"/>
      <w:r w:rsidRPr="00862D00">
        <w:rPr>
          <w:szCs w:val="24"/>
          <w:lang w:val="da-DK"/>
        </w:rPr>
        <w:t xml:space="preserve"> koagulation eller trombose.</w:t>
      </w:r>
    </w:p>
    <w:bookmarkEnd w:id="0"/>
    <w:p w:rsidR="0040242A" w:rsidRPr="00862D00" w:rsidRDefault="0040242A" w:rsidP="0040242A">
      <w:pPr>
        <w:tabs>
          <w:tab w:val="left" w:pos="0"/>
        </w:tabs>
        <w:ind w:left="851"/>
        <w:rPr>
          <w:sz w:val="24"/>
          <w:szCs w:val="24"/>
        </w:rPr>
      </w:pPr>
    </w:p>
    <w:p w:rsidR="0040242A" w:rsidRDefault="0040242A" w:rsidP="0040242A">
      <w:pPr>
        <w:tabs>
          <w:tab w:val="left" w:pos="0"/>
        </w:tabs>
        <w:ind w:left="851"/>
        <w:rPr>
          <w:sz w:val="24"/>
          <w:szCs w:val="24"/>
        </w:rPr>
      </w:pPr>
      <w:r w:rsidRPr="00862D00">
        <w:rPr>
          <w:sz w:val="24"/>
          <w:szCs w:val="24"/>
        </w:rPr>
        <w:t xml:space="preserve">På grund af risikoen for </w:t>
      </w:r>
      <w:proofErr w:type="spellStart"/>
      <w:r w:rsidRPr="00862D00">
        <w:rPr>
          <w:sz w:val="24"/>
          <w:szCs w:val="24"/>
        </w:rPr>
        <w:t>tromboemboliske</w:t>
      </w:r>
      <w:proofErr w:type="spellEnd"/>
      <w:r w:rsidRPr="00862D00">
        <w:rPr>
          <w:sz w:val="24"/>
          <w:szCs w:val="24"/>
        </w:rPr>
        <w:t xml:space="preserve"> komplikationer, skal der foretages en nøje overvågning ved administration af </w:t>
      </w:r>
      <w:proofErr w:type="spellStart"/>
      <w:r w:rsidRPr="00862D00">
        <w:rPr>
          <w:sz w:val="24"/>
          <w:szCs w:val="24"/>
        </w:rPr>
        <w:t>Confidex</w:t>
      </w:r>
      <w:proofErr w:type="spellEnd"/>
      <w:r w:rsidRPr="00862D00">
        <w:rPr>
          <w:sz w:val="24"/>
          <w:szCs w:val="24"/>
        </w:rPr>
        <w:t xml:space="preserve"> til patienter, der tidligere har haft </w:t>
      </w:r>
      <w:proofErr w:type="spellStart"/>
      <w:r w:rsidRPr="00862D00">
        <w:rPr>
          <w:sz w:val="24"/>
          <w:szCs w:val="24"/>
        </w:rPr>
        <w:t>koronar</w:t>
      </w:r>
      <w:proofErr w:type="spellEnd"/>
      <w:r w:rsidRPr="00862D00">
        <w:rPr>
          <w:sz w:val="24"/>
          <w:szCs w:val="24"/>
        </w:rPr>
        <w:t xml:space="preserve"> hjertesygdom eller myokardieinfarkt, til patienter med leversygdom, til peri- eller postoperative patienter, til nyfødte og til patienter, hvor der er risiko for </w:t>
      </w:r>
      <w:proofErr w:type="spellStart"/>
      <w:r w:rsidRPr="00862D00">
        <w:rPr>
          <w:sz w:val="24"/>
          <w:szCs w:val="24"/>
        </w:rPr>
        <w:t>tromboemboliske</w:t>
      </w:r>
      <w:proofErr w:type="spellEnd"/>
      <w:r w:rsidRPr="00862D00">
        <w:rPr>
          <w:sz w:val="24"/>
          <w:szCs w:val="24"/>
        </w:rPr>
        <w:t xml:space="preserve"> fænomener eller dissemineret </w:t>
      </w:r>
      <w:proofErr w:type="spellStart"/>
      <w:r w:rsidRPr="00862D00">
        <w:rPr>
          <w:sz w:val="24"/>
          <w:szCs w:val="24"/>
        </w:rPr>
        <w:t>intravaskulær</w:t>
      </w:r>
      <w:proofErr w:type="spellEnd"/>
      <w:r w:rsidRPr="00862D00">
        <w:rPr>
          <w:sz w:val="24"/>
          <w:szCs w:val="24"/>
        </w:rPr>
        <w:t xml:space="preserve"> koagulation eller samtidig mangel på hæmmer. I hver af disse situationer bør de mulige fordele ved behandling med </w:t>
      </w:r>
      <w:proofErr w:type="spellStart"/>
      <w:r w:rsidRPr="00862D00">
        <w:rPr>
          <w:sz w:val="24"/>
          <w:szCs w:val="24"/>
        </w:rPr>
        <w:t>Confidex</w:t>
      </w:r>
      <w:proofErr w:type="spellEnd"/>
      <w:r w:rsidRPr="00862D00">
        <w:rPr>
          <w:sz w:val="24"/>
          <w:szCs w:val="24"/>
        </w:rPr>
        <w:t xml:space="preserve"> vejes op mod den potentielle risiko for sådanne komplikationer.</w:t>
      </w:r>
    </w:p>
    <w:p w:rsidR="0040242A" w:rsidRDefault="0040242A" w:rsidP="0040242A">
      <w:pPr>
        <w:tabs>
          <w:tab w:val="left" w:pos="0"/>
        </w:tabs>
        <w:ind w:left="851"/>
        <w:rPr>
          <w:sz w:val="24"/>
          <w:szCs w:val="24"/>
        </w:rPr>
      </w:pPr>
    </w:p>
    <w:p w:rsidR="0040242A" w:rsidRPr="00862D00" w:rsidRDefault="0040242A" w:rsidP="0040242A">
      <w:pPr>
        <w:tabs>
          <w:tab w:val="left" w:pos="0"/>
        </w:tabs>
        <w:ind w:left="851"/>
        <w:rPr>
          <w:sz w:val="24"/>
          <w:szCs w:val="24"/>
        </w:rPr>
      </w:pPr>
      <w:r w:rsidRPr="00862D00">
        <w:rPr>
          <w:sz w:val="24"/>
          <w:szCs w:val="24"/>
        </w:rPr>
        <w:t xml:space="preserve">Hos patienter med dissemineret </w:t>
      </w:r>
      <w:proofErr w:type="spellStart"/>
      <w:r w:rsidRPr="00862D00">
        <w:rPr>
          <w:sz w:val="24"/>
          <w:szCs w:val="24"/>
        </w:rPr>
        <w:t>intravaskulær</w:t>
      </w:r>
      <w:proofErr w:type="spellEnd"/>
      <w:r w:rsidRPr="00862D00">
        <w:rPr>
          <w:sz w:val="24"/>
          <w:szCs w:val="24"/>
        </w:rPr>
        <w:t xml:space="preserve"> koagulation kan det i visse tilfælde være nødvendigt at substituere </w:t>
      </w:r>
      <w:proofErr w:type="spellStart"/>
      <w:r w:rsidRPr="00862D00">
        <w:rPr>
          <w:sz w:val="24"/>
          <w:szCs w:val="24"/>
        </w:rPr>
        <w:t>protrombinkompleksets</w:t>
      </w:r>
      <w:proofErr w:type="spellEnd"/>
      <w:r w:rsidRPr="00862D00">
        <w:rPr>
          <w:sz w:val="24"/>
          <w:szCs w:val="24"/>
        </w:rPr>
        <w:t xml:space="preserve"> koagulationsfaktorer. Denne substitution må dog kun udføres efter afslutningen af det </w:t>
      </w:r>
      <w:proofErr w:type="spellStart"/>
      <w:r w:rsidRPr="00862D00">
        <w:rPr>
          <w:sz w:val="24"/>
          <w:szCs w:val="24"/>
        </w:rPr>
        <w:t>konsumptive</w:t>
      </w:r>
      <w:proofErr w:type="spellEnd"/>
      <w:r w:rsidRPr="00862D00">
        <w:rPr>
          <w:sz w:val="24"/>
          <w:szCs w:val="24"/>
        </w:rPr>
        <w:t xml:space="preserve"> stadie (f.eks. ved behandling af den bagvedliggende årsag, varig normalisering af </w:t>
      </w:r>
      <w:proofErr w:type="spellStart"/>
      <w:r w:rsidRPr="00862D00">
        <w:rPr>
          <w:sz w:val="24"/>
          <w:szCs w:val="24"/>
        </w:rPr>
        <w:t>antitrombin</w:t>
      </w:r>
      <w:proofErr w:type="spellEnd"/>
      <w:r w:rsidRPr="00862D00">
        <w:rPr>
          <w:sz w:val="24"/>
          <w:szCs w:val="24"/>
        </w:rPr>
        <w:t xml:space="preserve"> III-niveau). </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Reversering af vitamin K-antagonister udsætter patienterne for den </w:t>
      </w:r>
      <w:proofErr w:type="spellStart"/>
      <w:r w:rsidRPr="00862D00">
        <w:rPr>
          <w:szCs w:val="24"/>
          <w:lang w:val="da-DK"/>
        </w:rPr>
        <w:t>tromboemboliske</w:t>
      </w:r>
      <w:proofErr w:type="spellEnd"/>
      <w:r w:rsidRPr="00862D00">
        <w:rPr>
          <w:szCs w:val="24"/>
          <w:lang w:val="da-DK"/>
        </w:rPr>
        <w:t xml:space="preserve"> risiko for den bagvedliggende sygdom. En genoptagelse af antikoagulation skal overvejes nøje så hurtigt som muligt.</w:t>
      </w:r>
    </w:p>
    <w:p w:rsidR="0040242A" w:rsidRPr="00862D00" w:rsidRDefault="0040242A" w:rsidP="0040242A">
      <w:pPr>
        <w:tabs>
          <w:tab w:val="left" w:pos="0"/>
        </w:tabs>
        <w:ind w:left="851"/>
        <w:rPr>
          <w:sz w:val="24"/>
          <w:szCs w:val="24"/>
        </w:rPr>
      </w:pPr>
    </w:p>
    <w:p w:rsidR="0040242A" w:rsidRPr="00862D00" w:rsidRDefault="0040242A" w:rsidP="0040242A">
      <w:pPr>
        <w:tabs>
          <w:tab w:val="left" w:pos="0"/>
        </w:tabs>
        <w:ind w:left="851"/>
        <w:rPr>
          <w:sz w:val="24"/>
          <w:szCs w:val="24"/>
        </w:rPr>
      </w:pPr>
      <w:r w:rsidRPr="00862D00">
        <w:rPr>
          <w:sz w:val="24"/>
          <w:szCs w:val="24"/>
        </w:rPr>
        <w:t xml:space="preserve">Uønskede reaktioner kan omfatte udvikling af </w:t>
      </w:r>
      <w:proofErr w:type="spellStart"/>
      <w:r w:rsidRPr="00862D00">
        <w:rPr>
          <w:sz w:val="24"/>
          <w:szCs w:val="24"/>
        </w:rPr>
        <w:t>heparin</w:t>
      </w:r>
      <w:proofErr w:type="spellEnd"/>
      <w:r w:rsidRPr="00862D00">
        <w:rPr>
          <w:sz w:val="24"/>
          <w:szCs w:val="24"/>
        </w:rPr>
        <w:t xml:space="preserve">-induceret </w:t>
      </w:r>
      <w:proofErr w:type="spellStart"/>
      <w:r w:rsidRPr="00862D00">
        <w:rPr>
          <w:sz w:val="24"/>
          <w:szCs w:val="24"/>
        </w:rPr>
        <w:t>trombocytopeni</w:t>
      </w:r>
      <w:proofErr w:type="spellEnd"/>
      <w:r w:rsidRPr="00862D00">
        <w:rPr>
          <w:sz w:val="24"/>
          <w:szCs w:val="24"/>
        </w:rPr>
        <w:t xml:space="preserve">, type II (HIT, type II). Karakteristiske tegn på HIT er et fald i antallet af </w:t>
      </w:r>
      <w:proofErr w:type="spellStart"/>
      <w:r w:rsidRPr="00862D00">
        <w:rPr>
          <w:sz w:val="24"/>
          <w:szCs w:val="24"/>
        </w:rPr>
        <w:t>trombocytter</w:t>
      </w:r>
      <w:proofErr w:type="spellEnd"/>
      <w:r w:rsidRPr="00862D00">
        <w:rPr>
          <w:sz w:val="24"/>
          <w:szCs w:val="24"/>
        </w:rPr>
        <w:t xml:space="preserve"> på &gt; 50 procent og/eller forekomst af nye eller uforklarlige </w:t>
      </w:r>
      <w:proofErr w:type="spellStart"/>
      <w:r w:rsidRPr="00862D00">
        <w:rPr>
          <w:sz w:val="24"/>
          <w:szCs w:val="24"/>
        </w:rPr>
        <w:t>tromboemboliske</w:t>
      </w:r>
      <w:proofErr w:type="spellEnd"/>
      <w:r w:rsidRPr="00862D00">
        <w:rPr>
          <w:sz w:val="24"/>
          <w:szCs w:val="24"/>
        </w:rPr>
        <w:t xml:space="preserve"> komplikationer i forbindelse med </w:t>
      </w:r>
      <w:proofErr w:type="spellStart"/>
      <w:r w:rsidRPr="00862D00">
        <w:rPr>
          <w:sz w:val="24"/>
          <w:szCs w:val="24"/>
        </w:rPr>
        <w:t>heparinbehandlingen</w:t>
      </w:r>
      <w:proofErr w:type="spellEnd"/>
      <w:r w:rsidRPr="00862D00">
        <w:rPr>
          <w:sz w:val="24"/>
          <w:szCs w:val="24"/>
        </w:rPr>
        <w:t xml:space="preserve">. Disse indtræffer typisk fra 4-14 dage efter initiering af </w:t>
      </w:r>
      <w:proofErr w:type="spellStart"/>
      <w:r w:rsidRPr="00862D00">
        <w:rPr>
          <w:sz w:val="24"/>
          <w:szCs w:val="24"/>
        </w:rPr>
        <w:t>heparinbehandlingen</w:t>
      </w:r>
      <w:proofErr w:type="spellEnd"/>
      <w:r w:rsidRPr="00862D00">
        <w:rPr>
          <w:sz w:val="24"/>
          <w:szCs w:val="24"/>
        </w:rPr>
        <w:t xml:space="preserve">, men kan forekomme inden for 10 timer hos patienter, der for nylig har været eksponeret for </w:t>
      </w:r>
      <w:proofErr w:type="spellStart"/>
      <w:r w:rsidRPr="00862D00">
        <w:rPr>
          <w:sz w:val="24"/>
          <w:szCs w:val="24"/>
        </w:rPr>
        <w:t>heparin</w:t>
      </w:r>
      <w:proofErr w:type="spellEnd"/>
      <w:r w:rsidRPr="00862D00">
        <w:rPr>
          <w:sz w:val="24"/>
          <w:szCs w:val="24"/>
        </w:rPr>
        <w:t xml:space="preserve"> (inden for de sidste 100 dage). </w:t>
      </w:r>
    </w:p>
    <w:p w:rsidR="0040242A" w:rsidRPr="00862D00" w:rsidRDefault="0040242A" w:rsidP="0040242A">
      <w:pPr>
        <w:tabs>
          <w:tab w:val="left" w:pos="0"/>
        </w:tabs>
        <w:ind w:left="851"/>
        <w:rPr>
          <w:sz w:val="24"/>
          <w:szCs w:val="24"/>
        </w:rPr>
      </w:pPr>
    </w:p>
    <w:p w:rsidR="0040242A" w:rsidRPr="00862D00" w:rsidRDefault="0040242A" w:rsidP="0040242A">
      <w:pPr>
        <w:tabs>
          <w:tab w:val="left" w:pos="0"/>
        </w:tabs>
        <w:ind w:left="851"/>
        <w:rPr>
          <w:b/>
          <w:sz w:val="24"/>
          <w:szCs w:val="24"/>
        </w:rPr>
      </w:pPr>
      <w:r w:rsidRPr="00862D00">
        <w:rPr>
          <w:sz w:val="24"/>
          <w:szCs w:val="24"/>
        </w:rPr>
        <w:t xml:space="preserve">Der er rapporteret om </w:t>
      </w:r>
      <w:proofErr w:type="spellStart"/>
      <w:r w:rsidRPr="00862D00">
        <w:rPr>
          <w:sz w:val="24"/>
          <w:szCs w:val="24"/>
        </w:rPr>
        <w:t>nefrotisk</w:t>
      </w:r>
      <w:proofErr w:type="spellEnd"/>
      <w:r w:rsidRPr="00862D00">
        <w:rPr>
          <w:sz w:val="24"/>
          <w:szCs w:val="24"/>
        </w:rPr>
        <w:t xml:space="preserve"> syndrom i enkelte tilfælde efter forsøg med immuntoleranceinduktion hos hæmofili B-patienter med faktor IX-</w:t>
      </w:r>
      <w:proofErr w:type="spellStart"/>
      <w:r w:rsidRPr="00862D00">
        <w:rPr>
          <w:sz w:val="24"/>
          <w:szCs w:val="24"/>
        </w:rPr>
        <w:t>hæmmere</w:t>
      </w:r>
      <w:proofErr w:type="spellEnd"/>
      <w:r w:rsidRPr="00862D00">
        <w:rPr>
          <w:sz w:val="24"/>
          <w:szCs w:val="24"/>
        </w:rPr>
        <w:t xml:space="preserve"> og allergisk reaktion i anamnesen.  </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Der findes ingen tilgængelige data om brug af </w:t>
      </w:r>
      <w:proofErr w:type="spellStart"/>
      <w:r w:rsidRPr="00862D00">
        <w:rPr>
          <w:szCs w:val="24"/>
          <w:lang w:val="da-DK"/>
        </w:rPr>
        <w:t>Confidex</w:t>
      </w:r>
      <w:proofErr w:type="spellEnd"/>
      <w:r w:rsidRPr="00862D00">
        <w:rPr>
          <w:szCs w:val="24"/>
          <w:lang w:val="da-DK"/>
        </w:rPr>
        <w:t xml:space="preserve"> ved </w:t>
      </w:r>
      <w:proofErr w:type="spellStart"/>
      <w:r w:rsidRPr="00862D00">
        <w:rPr>
          <w:szCs w:val="24"/>
          <w:lang w:val="da-DK"/>
        </w:rPr>
        <w:t>perinatal</w:t>
      </w:r>
      <w:proofErr w:type="spellEnd"/>
      <w:r w:rsidRPr="00862D00">
        <w:rPr>
          <w:szCs w:val="24"/>
          <w:lang w:val="da-DK"/>
        </w:rPr>
        <w:t xml:space="preserve"> blødning på grund af vitamin K-mangel hos nyfødte.</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proofErr w:type="spellStart"/>
      <w:r w:rsidRPr="00862D00">
        <w:rPr>
          <w:szCs w:val="24"/>
          <w:lang w:val="da-DK"/>
        </w:rPr>
        <w:t>Confidex</w:t>
      </w:r>
      <w:proofErr w:type="spellEnd"/>
      <w:r w:rsidRPr="00862D00">
        <w:rPr>
          <w:szCs w:val="24"/>
          <w:lang w:val="da-DK"/>
        </w:rPr>
        <w:t xml:space="preserve"> indeholder op til 343 mg natrium (ca. 15 mmol) per 100 ml. Der skal tages højde for dette hos patienter på en saltfattig diæt.</w:t>
      </w:r>
    </w:p>
    <w:p w:rsidR="0040242A" w:rsidRPr="00862D00" w:rsidRDefault="0040242A" w:rsidP="0040242A">
      <w:pPr>
        <w:pStyle w:val="LAFISPCNormal"/>
        <w:tabs>
          <w:tab w:val="left" w:pos="0"/>
        </w:tabs>
        <w:ind w:left="851"/>
        <w:rPr>
          <w:szCs w:val="24"/>
          <w:lang w:val="da-DK"/>
        </w:rPr>
      </w:pPr>
    </w:p>
    <w:p w:rsidR="0040242A" w:rsidRPr="009B3E73" w:rsidRDefault="0040242A" w:rsidP="0040242A">
      <w:pPr>
        <w:pStyle w:val="LAFISPCNormal"/>
        <w:tabs>
          <w:tab w:val="left" w:pos="0"/>
        </w:tabs>
        <w:ind w:left="851"/>
        <w:rPr>
          <w:szCs w:val="24"/>
          <w:u w:val="single"/>
          <w:lang w:val="da-DK"/>
        </w:rPr>
      </w:pPr>
      <w:r w:rsidRPr="009B3E73">
        <w:rPr>
          <w:szCs w:val="24"/>
          <w:u w:val="single"/>
          <w:lang w:val="da-DK"/>
        </w:rPr>
        <w:lastRenderedPageBreak/>
        <w:t>Virussikkerhed</w:t>
      </w:r>
    </w:p>
    <w:p w:rsidR="0040242A" w:rsidRPr="00862D00" w:rsidRDefault="0040242A" w:rsidP="0040242A">
      <w:pPr>
        <w:pStyle w:val="LAFISPCNormal"/>
        <w:tabs>
          <w:tab w:val="left" w:pos="0"/>
        </w:tabs>
        <w:ind w:left="851"/>
        <w:rPr>
          <w:szCs w:val="24"/>
          <w:lang w:val="da-DK"/>
        </w:rPr>
      </w:pPr>
      <w:r w:rsidRPr="00862D00">
        <w:rPr>
          <w:szCs w:val="24"/>
          <w:lang w:val="da-DK"/>
        </w:rPr>
        <w:t xml:space="preserve">Standardforholdsregler til forebyggelse af infektioner forårsaget af brugen af lægemidler fremstillet af humant blod eller plasma omfatter udvælgelse af donorer, screening af de enkelte donationer og plasmareserver for specifikke tegn på infektion samt inkludering af effektive fremstillingstrin til inaktivering/fjernelse af vira. På trods af dette kan risikoen for overførsel af smitstoffer ikke helt udelukkes ved administration af lægemidler, der er fremstillet af humant blod eller plasma. Dette gælder også for ukendte eller nye vira og andre </w:t>
      </w:r>
      <w:proofErr w:type="spellStart"/>
      <w:r w:rsidRPr="00862D00">
        <w:rPr>
          <w:szCs w:val="24"/>
          <w:lang w:val="da-DK"/>
        </w:rPr>
        <w:t>patogener</w:t>
      </w:r>
      <w:proofErr w:type="spellEnd"/>
      <w:r w:rsidRPr="00862D00">
        <w:rPr>
          <w:szCs w:val="24"/>
          <w:lang w:val="da-DK"/>
        </w:rPr>
        <w:t>.</w:t>
      </w:r>
    </w:p>
    <w:p w:rsidR="0040242A" w:rsidRPr="00862D00" w:rsidRDefault="0040242A" w:rsidP="0040242A">
      <w:pPr>
        <w:pStyle w:val="LAFISPCNormal"/>
        <w:tabs>
          <w:tab w:val="left" w:pos="0"/>
        </w:tabs>
        <w:ind w:left="851"/>
        <w:rPr>
          <w:szCs w:val="24"/>
          <w:lang w:val="da-DK"/>
        </w:rPr>
      </w:pPr>
      <w:r w:rsidRPr="00862D00">
        <w:rPr>
          <w:szCs w:val="24"/>
          <w:lang w:val="da-DK"/>
        </w:rPr>
        <w:t xml:space="preserve">De forholdsregler, der er truffet, anses for effektive mod kappeklædte vira såsom humant immundefekt virus (HIV), hepatitis B-virus (HBV) og hepatitis C-virus (HCV) og for de ikke-kappeklædte vira, hepatitis A og </w:t>
      </w:r>
      <w:proofErr w:type="spellStart"/>
      <w:r w:rsidRPr="00862D00">
        <w:rPr>
          <w:szCs w:val="24"/>
          <w:lang w:val="da-DK"/>
        </w:rPr>
        <w:t>parvovirus</w:t>
      </w:r>
      <w:proofErr w:type="spellEnd"/>
      <w:r w:rsidRPr="00862D00">
        <w:rPr>
          <w:szCs w:val="24"/>
          <w:lang w:val="da-DK"/>
        </w:rPr>
        <w:t xml:space="preserve"> B19.</w:t>
      </w:r>
    </w:p>
    <w:p w:rsidR="0040242A" w:rsidRPr="00862D00" w:rsidRDefault="0040242A" w:rsidP="0040242A">
      <w:pPr>
        <w:pStyle w:val="LAFISPCNormal"/>
        <w:tabs>
          <w:tab w:val="left" w:pos="0"/>
        </w:tabs>
        <w:ind w:left="851"/>
        <w:rPr>
          <w:szCs w:val="24"/>
          <w:lang w:val="da-DK"/>
        </w:rPr>
      </w:pPr>
    </w:p>
    <w:p w:rsidR="0040242A" w:rsidRPr="00862D00" w:rsidRDefault="0040242A" w:rsidP="0040242A">
      <w:pPr>
        <w:pStyle w:val="LAFISPCNormal"/>
        <w:tabs>
          <w:tab w:val="left" w:pos="0"/>
        </w:tabs>
        <w:ind w:left="851"/>
        <w:rPr>
          <w:szCs w:val="24"/>
          <w:lang w:val="da-DK"/>
        </w:rPr>
      </w:pPr>
      <w:r w:rsidRPr="00862D00">
        <w:rPr>
          <w:szCs w:val="24"/>
          <w:lang w:val="da-DK"/>
        </w:rPr>
        <w:t xml:space="preserve">Passende vaccination (hepatitis A og B) skal overvejes for patienter, som regelmæssigt/gentagne gange behandles med præparater med humant plasma-deriveret </w:t>
      </w:r>
      <w:proofErr w:type="spellStart"/>
      <w:r w:rsidRPr="00862D00">
        <w:rPr>
          <w:szCs w:val="24"/>
          <w:lang w:val="da-DK"/>
        </w:rPr>
        <w:t>protrombinkompleks</w:t>
      </w:r>
      <w:proofErr w:type="spellEnd"/>
      <w:r w:rsidRPr="00862D00">
        <w:rPr>
          <w:szCs w:val="24"/>
          <w:lang w:val="da-DK"/>
        </w:rPr>
        <w:t>.</w:t>
      </w:r>
    </w:p>
    <w:p w:rsidR="0040242A" w:rsidRPr="00862D00" w:rsidRDefault="0040242A" w:rsidP="0040242A">
      <w:pPr>
        <w:pStyle w:val="LAFISPCNormal"/>
        <w:tabs>
          <w:tab w:val="left" w:pos="0"/>
        </w:tabs>
        <w:ind w:left="851"/>
        <w:rPr>
          <w:szCs w:val="24"/>
          <w:lang w:val="da-DK"/>
        </w:rPr>
      </w:pPr>
    </w:p>
    <w:p w:rsidR="0040242A" w:rsidRPr="00D06F10" w:rsidRDefault="0040242A" w:rsidP="0040242A">
      <w:pPr>
        <w:pStyle w:val="LAFISPCNormal"/>
        <w:tabs>
          <w:tab w:val="left" w:pos="0"/>
        </w:tabs>
        <w:ind w:left="851"/>
        <w:rPr>
          <w:szCs w:val="24"/>
          <w:lang w:val="da-DK"/>
        </w:rPr>
      </w:pPr>
      <w:r w:rsidRPr="00862D00">
        <w:rPr>
          <w:szCs w:val="24"/>
          <w:lang w:val="da-DK"/>
        </w:rPr>
        <w:t xml:space="preserve">Det anbefales på det kraftigste at registrere navn og batchnummer for produktet, hver gang </w:t>
      </w:r>
      <w:proofErr w:type="spellStart"/>
      <w:r w:rsidRPr="00862D00">
        <w:rPr>
          <w:szCs w:val="24"/>
          <w:lang w:val="da-DK"/>
        </w:rPr>
        <w:t>Confidex</w:t>
      </w:r>
      <w:proofErr w:type="spellEnd"/>
      <w:r w:rsidRPr="00862D00">
        <w:rPr>
          <w:szCs w:val="24"/>
          <w:lang w:val="da-DK"/>
        </w:rPr>
        <w:t xml:space="preserve"> anvendes til en patient, for at kunne fastholde forbindelsen mellem patienten og den anvendte batch af produktet.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0242A" w:rsidRPr="003A5B96" w:rsidRDefault="0040242A" w:rsidP="0040242A">
      <w:pPr>
        <w:pStyle w:val="LAFISPCNormal"/>
        <w:tabs>
          <w:tab w:val="left" w:pos="0"/>
        </w:tabs>
        <w:ind w:left="851"/>
        <w:rPr>
          <w:szCs w:val="24"/>
          <w:lang w:val="da-DK"/>
        </w:rPr>
      </w:pPr>
      <w:r w:rsidRPr="003A5B96">
        <w:rPr>
          <w:szCs w:val="24"/>
          <w:lang w:val="da-DK"/>
        </w:rPr>
        <w:t xml:space="preserve">Præparater med humant </w:t>
      </w:r>
      <w:proofErr w:type="spellStart"/>
      <w:r w:rsidRPr="003A5B96">
        <w:rPr>
          <w:szCs w:val="24"/>
          <w:lang w:val="da-DK"/>
        </w:rPr>
        <w:t>protrombinkompleks</w:t>
      </w:r>
      <w:proofErr w:type="spellEnd"/>
      <w:r w:rsidRPr="003A5B96">
        <w:rPr>
          <w:szCs w:val="24"/>
          <w:lang w:val="da-DK"/>
        </w:rPr>
        <w:t xml:space="preserve"> neutraliserer effekten af vitamin K-agonist-behandling, men der er ingen kendte interaktioner med andre medicinske produkter.</w:t>
      </w:r>
    </w:p>
    <w:p w:rsidR="0040242A" w:rsidRPr="003A5B96" w:rsidRDefault="0040242A" w:rsidP="0040242A">
      <w:pPr>
        <w:pStyle w:val="LAFISPCNormal"/>
        <w:tabs>
          <w:tab w:val="left" w:pos="0"/>
        </w:tabs>
        <w:ind w:left="851"/>
        <w:rPr>
          <w:szCs w:val="24"/>
          <w:lang w:val="da-DK"/>
        </w:rPr>
      </w:pPr>
    </w:p>
    <w:p w:rsidR="0040242A" w:rsidRPr="00417E46" w:rsidRDefault="0040242A" w:rsidP="0040242A">
      <w:pPr>
        <w:pStyle w:val="LAFISPCNormal"/>
        <w:tabs>
          <w:tab w:val="left" w:pos="0"/>
        </w:tabs>
        <w:ind w:left="851"/>
        <w:rPr>
          <w:szCs w:val="24"/>
          <w:lang w:val="da-DK"/>
        </w:rPr>
      </w:pPr>
      <w:r w:rsidRPr="003A5B96">
        <w:rPr>
          <w:szCs w:val="24"/>
          <w:lang w:val="da-DK"/>
        </w:rPr>
        <w:t xml:space="preserve">Ved udførelse af størkningstest, der er </w:t>
      </w:r>
      <w:proofErr w:type="spellStart"/>
      <w:r w:rsidRPr="003A5B96">
        <w:rPr>
          <w:szCs w:val="24"/>
          <w:lang w:val="da-DK"/>
        </w:rPr>
        <w:t>følsommme</w:t>
      </w:r>
      <w:proofErr w:type="spellEnd"/>
      <w:r w:rsidRPr="003A5B96">
        <w:rPr>
          <w:szCs w:val="24"/>
          <w:lang w:val="da-DK"/>
        </w:rPr>
        <w:t xml:space="preserve"> over for </w:t>
      </w:r>
      <w:proofErr w:type="spellStart"/>
      <w:r w:rsidRPr="003A5B96">
        <w:rPr>
          <w:szCs w:val="24"/>
          <w:lang w:val="da-DK"/>
        </w:rPr>
        <w:t>heparin</w:t>
      </w:r>
      <w:proofErr w:type="spellEnd"/>
      <w:r w:rsidRPr="003A5B96">
        <w:rPr>
          <w:szCs w:val="24"/>
          <w:lang w:val="da-DK"/>
        </w:rPr>
        <w:t xml:space="preserve">, hos patienter, der får høje doser af humant </w:t>
      </w:r>
      <w:proofErr w:type="spellStart"/>
      <w:r w:rsidRPr="003A5B96">
        <w:rPr>
          <w:szCs w:val="24"/>
          <w:lang w:val="da-DK"/>
        </w:rPr>
        <w:t>protrombinkompleks</w:t>
      </w:r>
      <w:proofErr w:type="spellEnd"/>
      <w:r w:rsidRPr="003A5B96">
        <w:rPr>
          <w:szCs w:val="24"/>
          <w:lang w:val="da-DK"/>
        </w:rPr>
        <w:t xml:space="preserve">, skal der tages hensyn til, at </w:t>
      </w:r>
      <w:proofErr w:type="spellStart"/>
      <w:r w:rsidRPr="003A5B96">
        <w:rPr>
          <w:szCs w:val="24"/>
          <w:lang w:val="da-DK"/>
        </w:rPr>
        <w:t>heparin</w:t>
      </w:r>
      <w:proofErr w:type="spellEnd"/>
      <w:r w:rsidRPr="003A5B96">
        <w:rPr>
          <w:szCs w:val="24"/>
          <w:lang w:val="da-DK"/>
        </w:rPr>
        <w:t xml:space="preserve"> indgår som en bestanddel af det administrerede produkt.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40242A" w:rsidRPr="003570DD" w:rsidRDefault="0040242A" w:rsidP="0040242A">
      <w:pPr>
        <w:pStyle w:val="LAFISPCNormal"/>
        <w:tabs>
          <w:tab w:val="left" w:pos="0"/>
        </w:tabs>
        <w:ind w:left="851"/>
        <w:rPr>
          <w:szCs w:val="24"/>
          <w:u w:val="single"/>
          <w:lang w:val="da-DK"/>
        </w:rPr>
      </w:pPr>
      <w:r w:rsidRPr="003570DD">
        <w:rPr>
          <w:szCs w:val="24"/>
          <w:u w:val="single"/>
          <w:lang w:val="da-DK"/>
        </w:rPr>
        <w:t>Fertilitet</w:t>
      </w:r>
    </w:p>
    <w:p w:rsidR="0040242A" w:rsidRPr="00004AAD" w:rsidRDefault="0040242A" w:rsidP="0040242A">
      <w:pPr>
        <w:pStyle w:val="LAFISPCNormal"/>
        <w:tabs>
          <w:tab w:val="left" w:pos="0"/>
        </w:tabs>
        <w:ind w:left="851"/>
        <w:rPr>
          <w:szCs w:val="24"/>
          <w:lang w:val="da-DK"/>
        </w:rPr>
      </w:pPr>
      <w:r w:rsidRPr="00004AAD">
        <w:rPr>
          <w:szCs w:val="24"/>
          <w:lang w:val="da-DK"/>
        </w:rPr>
        <w:t>Der foreligger ingen data for fertilitet.</w:t>
      </w:r>
    </w:p>
    <w:p w:rsidR="0040242A" w:rsidRDefault="0040242A" w:rsidP="0040242A">
      <w:pPr>
        <w:pStyle w:val="LAFISPCNormal"/>
        <w:tabs>
          <w:tab w:val="left" w:pos="0"/>
        </w:tabs>
        <w:ind w:left="851"/>
        <w:rPr>
          <w:b/>
          <w:i/>
          <w:szCs w:val="24"/>
          <w:lang w:val="da-DK"/>
        </w:rPr>
      </w:pPr>
    </w:p>
    <w:p w:rsidR="0040242A" w:rsidRPr="003570DD" w:rsidRDefault="0040242A" w:rsidP="0040242A">
      <w:pPr>
        <w:pStyle w:val="LAFISPCNormal"/>
        <w:tabs>
          <w:tab w:val="left" w:pos="0"/>
        </w:tabs>
        <w:ind w:left="851"/>
        <w:rPr>
          <w:szCs w:val="24"/>
          <w:u w:val="single"/>
          <w:lang w:val="da-DK"/>
        </w:rPr>
      </w:pPr>
      <w:r w:rsidRPr="003570DD">
        <w:rPr>
          <w:szCs w:val="24"/>
          <w:u w:val="single"/>
          <w:lang w:val="da-DK"/>
        </w:rPr>
        <w:t>Graviditet og amning</w:t>
      </w:r>
    </w:p>
    <w:p w:rsidR="0040242A" w:rsidRPr="00004AAD" w:rsidRDefault="0040242A" w:rsidP="0040242A">
      <w:pPr>
        <w:pStyle w:val="LAFISPCNormal"/>
        <w:tabs>
          <w:tab w:val="left" w:pos="0"/>
        </w:tabs>
        <w:ind w:left="851"/>
        <w:rPr>
          <w:szCs w:val="24"/>
          <w:lang w:val="da-DK"/>
        </w:rPr>
      </w:pPr>
      <w:r w:rsidRPr="00004AAD">
        <w:rPr>
          <w:szCs w:val="24"/>
          <w:lang w:val="da-DK"/>
        </w:rPr>
        <w:t xml:space="preserve">Sikkerheden ved at anvende humant </w:t>
      </w:r>
      <w:proofErr w:type="spellStart"/>
      <w:r w:rsidRPr="00004AAD">
        <w:rPr>
          <w:szCs w:val="24"/>
          <w:lang w:val="da-DK"/>
        </w:rPr>
        <w:t>protrombinkompleks</w:t>
      </w:r>
      <w:proofErr w:type="spellEnd"/>
      <w:r w:rsidRPr="00004AAD">
        <w:rPr>
          <w:szCs w:val="24"/>
          <w:lang w:val="da-DK"/>
        </w:rPr>
        <w:t xml:space="preserve"> til gravide kvinder og i forbindelse med amning kendes ikke. </w:t>
      </w:r>
    </w:p>
    <w:p w:rsidR="0040242A" w:rsidRPr="00004AAD" w:rsidRDefault="0040242A" w:rsidP="0040242A">
      <w:pPr>
        <w:pStyle w:val="LAFISPCNormal"/>
        <w:tabs>
          <w:tab w:val="left" w:pos="0"/>
        </w:tabs>
        <w:ind w:left="851"/>
        <w:rPr>
          <w:szCs w:val="24"/>
          <w:lang w:val="da-DK"/>
        </w:rPr>
      </w:pPr>
      <w:r w:rsidRPr="00004AAD">
        <w:rPr>
          <w:szCs w:val="24"/>
          <w:lang w:val="da-DK"/>
        </w:rPr>
        <w:t xml:space="preserve">Dyreforsøg er ikke egnede til at vurdere sikkerheden, hvad angår graviditet, embryoets/fosterets udvikling, fødslen eller den </w:t>
      </w:r>
      <w:proofErr w:type="spellStart"/>
      <w:r w:rsidRPr="00004AAD">
        <w:rPr>
          <w:szCs w:val="24"/>
          <w:lang w:val="da-DK"/>
        </w:rPr>
        <w:t>postnatale</w:t>
      </w:r>
      <w:proofErr w:type="spellEnd"/>
      <w:r w:rsidRPr="00004AAD">
        <w:rPr>
          <w:szCs w:val="24"/>
          <w:lang w:val="da-DK"/>
        </w:rPr>
        <w:t xml:space="preserve"> udvikling.</w:t>
      </w:r>
    </w:p>
    <w:p w:rsidR="0040242A" w:rsidRPr="00004AAD" w:rsidRDefault="0040242A" w:rsidP="0040242A">
      <w:pPr>
        <w:pStyle w:val="LAFISPCNormal"/>
        <w:tabs>
          <w:tab w:val="left" w:pos="0"/>
        </w:tabs>
        <w:ind w:left="851"/>
        <w:rPr>
          <w:szCs w:val="24"/>
          <w:lang w:val="da-DK"/>
        </w:rPr>
      </w:pPr>
    </w:p>
    <w:p w:rsidR="0040242A" w:rsidRPr="003570DD" w:rsidRDefault="0040242A" w:rsidP="0040242A">
      <w:pPr>
        <w:pStyle w:val="LAFISPCNormal"/>
        <w:tabs>
          <w:tab w:val="left" w:pos="0"/>
        </w:tabs>
        <w:ind w:left="851"/>
        <w:rPr>
          <w:szCs w:val="24"/>
          <w:lang w:val="da-DK"/>
        </w:rPr>
      </w:pPr>
      <w:r w:rsidRPr="00004AAD">
        <w:rPr>
          <w:szCs w:val="24"/>
          <w:lang w:val="da-DK"/>
        </w:rPr>
        <w:t xml:space="preserve">Humant </w:t>
      </w:r>
      <w:proofErr w:type="spellStart"/>
      <w:r w:rsidRPr="00004AAD">
        <w:rPr>
          <w:szCs w:val="24"/>
          <w:lang w:val="da-DK"/>
        </w:rPr>
        <w:t>protrombinkompleks</w:t>
      </w:r>
      <w:proofErr w:type="spellEnd"/>
      <w:r w:rsidRPr="00004AAD">
        <w:rPr>
          <w:szCs w:val="24"/>
          <w:lang w:val="da-DK"/>
        </w:rPr>
        <w:t xml:space="preserve"> bør derfor kun anvendes under graviditet og amning, hvis der foreligger en klar indikation.</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0242A" w:rsidRDefault="0040242A" w:rsidP="0040242A">
      <w:pPr>
        <w:pStyle w:val="LAFISPCNormal"/>
        <w:tabs>
          <w:tab w:val="left" w:pos="0"/>
        </w:tabs>
        <w:ind w:left="851"/>
        <w:rPr>
          <w:szCs w:val="24"/>
          <w:lang w:val="da-DK"/>
        </w:rPr>
      </w:pPr>
      <w:r>
        <w:rPr>
          <w:szCs w:val="24"/>
          <w:lang w:val="da-DK"/>
        </w:rPr>
        <w:t>Ikke mærkning.</w:t>
      </w:r>
    </w:p>
    <w:p w:rsidR="0040242A" w:rsidRPr="00F901CC" w:rsidRDefault="0040242A" w:rsidP="0040242A">
      <w:pPr>
        <w:pStyle w:val="LAFISPCNormal"/>
        <w:tabs>
          <w:tab w:val="left" w:pos="0"/>
        </w:tabs>
        <w:ind w:left="851"/>
        <w:rPr>
          <w:szCs w:val="24"/>
          <w:lang w:val="da-DK"/>
        </w:rPr>
      </w:pPr>
      <w:r w:rsidRPr="002F022D">
        <w:rPr>
          <w:szCs w:val="24"/>
          <w:lang w:val="da-DK"/>
        </w:rPr>
        <w:t>Der er ikke udført studier af virkningen på evnen til at føre motorkøretøj og betjene maskiner.</w:t>
      </w:r>
    </w:p>
    <w:p w:rsidR="0040242A" w:rsidRDefault="0040242A" w:rsidP="0040242A">
      <w:pPr>
        <w:rPr>
          <w:sz w:val="24"/>
          <w:szCs w:val="24"/>
        </w:rPr>
      </w:pPr>
      <w:r>
        <w:rPr>
          <w:sz w:val="24"/>
          <w:szCs w:val="24"/>
        </w:rPr>
        <w:br w:type="page"/>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4.8</w:t>
      </w:r>
      <w:r w:rsidRPr="00C84483">
        <w:rPr>
          <w:b/>
          <w:sz w:val="24"/>
          <w:szCs w:val="24"/>
        </w:rPr>
        <w:tab/>
        <w:t>Bivirkninger</w:t>
      </w:r>
    </w:p>
    <w:p w:rsidR="0040242A" w:rsidRPr="00852F18" w:rsidRDefault="0040242A" w:rsidP="0040242A">
      <w:pPr>
        <w:pStyle w:val="LAFISPCNormal"/>
        <w:tabs>
          <w:tab w:val="left" w:pos="0"/>
        </w:tabs>
        <w:ind w:left="851"/>
        <w:rPr>
          <w:szCs w:val="24"/>
          <w:u w:val="single"/>
          <w:lang w:val="da-DK"/>
        </w:rPr>
      </w:pPr>
      <w:r w:rsidRPr="00852F18">
        <w:rPr>
          <w:szCs w:val="24"/>
          <w:u w:val="single"/>
          <w:lang w:val="da-DK"/>
        </w:rPr>
        <w:t>Sammendrag af sikkerhedsprofilen</w:t>
      </w:r>
    </w:p>
    <w:p w:rsidR="0040242A" w:rsidRPr="00852F18" w:rsidRDefault="0040242A" w:rsidP="0040242A">
      <w:pPr>
        <w:pStyle w:val="LAFISPCNormal"/>
        <w:tabs>
          <w:tab w:val="left" w:pos="0"/>
        </w:tabs>
        <w:ind w:left="851"/>
        <w:rPr>
          <w:szCs w:val="24"/>
          <w:lang w:val="da-DK"/>
        </w:rPr>
      </w:pPr>
      <w:r w:rsidRPr="00852F18">
        <w:rPr>
          <w:szCs w:val="24"/>
          <w:lang w:val="da-DK"/>
        </w:rPr>
        <w:t xml:space="preserve">Reaktioner af allergisk eller </w:t>
      </w:r>
      <w:proofErr w:type="spellStart"/>
      <w:r w:rsidRPr="00852F18">
        <w:rPr>
          <w:szCs w:val="24"/>
          <w:lang w:val="da-DK"/>
        </w:rPr>
        <w:t>anafylaktisk</w:t>
      </w:r>
      <w:proofErr w:type="spellEnd"/>
      <w:r w:rsidRPr="00852F18">
        <w:rPr>
          <w:szCs w:val="24"/>
          <w:lang w:val="da-DK"/>
        </w:rPr>
        <w:t xml:space="preserve"> type er observeret i mindre almindelige tilfælde, herunder alvorlige </w:t>
      </w:r>
      <w:proofErr w:type="spellStart"/>
      <w:r w:rsidRPr="00852F18">
        <w:rPr>
          <w:szCs w:val="24"/>
          <w:lang w:val="da-DK"/>
        </w:rPr>
        <w:t>anafylaktiske</w:t>
      </w:r>
      <w:proofErr w:type="spellEnd"/>
      <w:r w:rsidRPr="00852F18">
        <w:rPr>
          <w:szCs w:val="24"/>
          <w:lang w:val="da-DK"/>
        </w:rPr>
        <w:t xml:space="preserve"> reaktioner (se pkt. 4.4).</w:t>
      </w:r>
    </w:p>
    <w:p w:rsidR="0040242A" w:rsidRPr="00852F18" w:rsidRDefault="0040242A" w:rsidP="0040242A">
      <w:pPr>
        <w:pStyle w:val="LAFISPCNormal"/>
        <w:tabs>
          <w:tab w:val="left" w:pos="0"/>
        </w:tabs>
        <w:ind w:left="851"/>
        <w:rPr>
          <w:szCs w:val="24"/>
          <w:lang w:val="da-DK"/>
        </w:rPr>
      </w:pPr>
    </w:p>
    <w:p w:rsidR="0040242A" w:rsidRPr="00852F18" w:rsidRDefault="0040242A" w:rsidP="0040242A">
      <w:pPr>
        <w:pStyle w:val="LAFISPCNormal"/>
        <w:tabs>
          <w:tab w:val="left" w:pos="0"/>
        </w:tabs>
        <w:ind w:left="851"/>
        <w:rPr>
          <w:szCs w:val="24"/>
          <w:lang w:val="da-DK"/>
        </w:rPr>
      </w:pPr>
      <w:r w:rsidRPr="00852F18">
        <w:rPr>
          <w:szCs w:val="24"/>
          <w:lang w:val="da-DK"/>
        </w:rPr>
        <w:t xml:space="preserve">Substitutionsbehandling kan medføre, at der dannes cirkulerende antistoffer, der hæmmer en eller flere af de humane </w:t>
      </w:r>
      <w:proofErr w:type="spellStart"/>
      <w:r w:rsidRPr="00852F18">
        <w:rPr>
          <w:szCs w:val="24"/>
          <w:lang w:val="da-DK"/>
        </w:rPr>
        <w:t>protrombinkompleksfaktorer</w:t>
      </w:r>
      <w:proofErr w:type="spellEnd"/>
      <w:r w:rsidRPr="00852F18">
        <w:rPr>
          <w:szCs w:val="24"/>
          <w:lang w:val="da-DK"/>
        </w:rPr>
        <w:t xml:space="preserve">. Hvis der opstår sådanne </w:t>
      </w:r>
      <w:proofErr w:type="spellStart"/>
      <w:r w:rsidRPr="00852F18">
        <w:rPr>
          <w:szCs w:val="24"/>
          <w:lang w:val="da-DK"/>
        </w:rPr>
        <w:t>hæmmere</w:t>
      </w:r>
      <w:proofErr w:type="spellEnd"/>
      <w:r w:rsidRPr="00852F18">
        <w:rPr>
          <w:szCs w:val="24"/>
          <w:lang w:val="da-DK"/>
        </w:rPr>
        <w:t xml:space="preserve">, vil tilstanden give sig udslag i en dårlig klinisk respons. Det anbefales, at man i disse tilfælde kontakter et specialiseret hæmofilicenter for vejledning. Der er observeret </w:t>
      </w:r>
      <w:proofErr w:type="spellStart"/>
      <w:r w:rsidRPr="00852F18">
        <w:rPr>
          <w:szCs w:val="24"/>
          <w:lang w:val="da-DK"/>
        </w:rPr>
        <w:t>anafylaktiske</w:t>
      </w:r>
      <w:proofErr w:type="spellEnd"/>
      <w:r w:rsidRPr="00852F18">
        <w:rPr>
          <w:szCs w:val="24"/>
          <w:lang w:val="da-DK"/>
        </w:rPr>
        <w:t xml:space="preserve"> reaktioner hos patienter med antistoffer mod faktorer, der er indeholdt i </w:t>
      </w:r>
      <w:proofErr w:type="spellStart"/>
      <w:r w:rsidRPr="00852F18">
        <w:rPr>
          <w:szCs w:val="24"/>
          <w:lang w:val="da-DK"/>
        </w:rPr>
        <w:t>Confidex</w:t>
      </w:r>
      <w:proofErr w:type="spellEnd"/>
      <w:r w:rsidRPr="00852F18">
        <w:rPr>
          <w:szCs w:val="24"/>
          <w:lang w:val="da-DK"/>
        </w:rPr>
        <w:t>.</w:t>
      </w:r>
    </w:p>
    <w:p w:rsidR="0040242A" w:rsidRPr="00852F18" w:rsidRDefault="0040242A" w:rsidP="0040242A">
      <w:pPr>
        <w:pStyle w:val="LAFISPCNormal"/>
        <w:tabs>
          <w:tab w:val="left" w:pos="0"/>
        </w:tabs>
        <w:ind w:left="851"/>
        <w:rPr>
          <w:szCs w:val="24"/>
          <w:lang w:val="da-DK"/>
        </w:rPr>
      </w:pPr>
      <w:r w:rsidRPr="00852F18">
        <w:rPr>
          <w:szCs w:val="24"/>
          <w:lang w:val="da-DK"/>
        </w:rPr>
        <w:t>Stigning i legemstemperatur er observeret almindeligt.</w:t>
      </w:r>
    </w:p>
    <w:p w:rsidR="0040242A" w:rsidRPr="00852F18" w:rsidRDefault="0040242A" w:rsidP="0040242A">
      <w:pPr>
        <w:pStyle w:val="LAFISPCNormal"/>
        <w:tabs>
          <w:tab w:val="left" w:pos="0"/>
        </w:tabs>
        <w:ind w:left="851"/>
        <w:rPr>
          <w:szCs w:val="24"/>
          <w:lang w:val="da-DK"/>
        </w:rPr>
      </w:pPr>
    </w:p>
    <w:p w:rsidR="0040242A" w:rsidRPr="00852F18" w:rsidRDefault="0040242A" w:rsidP="0040242A">
      <w:pPr>
        <w:pStyle w:val="LAFISPCNormal"/>
        <w:tabs>
          <w:tab w:val="left" w:pos="0"/>
        </w:tabs>
        <w:ind w:left="851"/>
        <w:rPr>
          <w:szCs w:val="24"/>
          <w:lang w:val="da-DK"/>
        </w:rPr>
      </w:pPr>
      <w:r w:rsidRPr="00852F18">
        <w:rPr>
          <w:szCs w:val="24"/>
          <w:lang w:val="da-DK"/>
        </w:rPr>
        <w:t xml:space="preserve">Der er risiko for </w:t>
      </w:r>
      <w:proofErr w:type="spellStart"/>
      <w:r w:rsidRPr="00852F18">
        <w:rPr>
          <w:szCs w:val="24"/>
          <w:lang w:val="da-DK"/>
        </w:rPr>
        <w:t>tromboemboliske</w:t>
      </w:r>
      <w:proofErr w:type="spellEnd"/>
      <w:r w:rsidRPr="00852F18">
        <w:rPr>
          <w:szCs w:val="24"/>
          <w:lang w:val="da-DK"/>
        </w:rPr>
        <w:t xml:space="preserve"> episoder efter administration af humant </w:t>
      </w:r>
      <w:proofErr w:type="spellStart"/>
      <w:r w:rsidRPr="00852F18">
        <w:rPr>
          <w:szCs w:val="24"/>
          <w:lang w:val="da-DK"/>
        </w:rPr>
        <w:t>protrombinkompleks</w:t>
      </w:r>
      <w:proofErr w:type="spellEnd"/>
      <w:r w:rsidRPr="00852F18">
        <w:rPr>
          <w:szCs w:val="24"/>
          <w:lang w:val="da-DK"/>
        </w:rPr>
        <w:t xml:space="preserve"> (se pkt. 4.4).</w:t>
      </w:r>
    </w:p>
    <w:p w:rsidR="0040242A" w:rsidRPr="00852F18" w:rsidRDefault="0040242A" w:rsidP="0040242A">
      <w:pPr>
        <w:pStyle w:val="LAFISPCNormal"/>
        <w:tabs>
          <w:tab w:val="left" w:pos="0"/>
        </w:tabs>
        <w:ind w:left="851"/>
        <w:rPr>
          <w:szCs w:val="24"/>
          <w:lang w:val="da-DK"/>
        </w:rPr>
      </w:pPr>
    </w:p>
    <w:p w:rsidR="0040242A" w:rsidRPr="00852F18" w:rsidRDefault="0040242A" w:rsidP="0040242A">
      <w:pPr>
        <w:pStyle w:val="LAFISPCNormal"/>
        <w:tabs>
          <w:tab w:val="left" w:pos="0"/>
        </w:tabs>
        <w:ind w:left="851"/>
        <w:rPr>
          <w:szCs w:val="24"/>
          <w:u w:val="single"/>
          <w:lang w:val="da-DK"/>
        </w:rPr>
      </w:pPr>
      <w:r w:rsidRPr="00852F18">
        <w:rPr>
          <w:szCs w:val="24"/>
          <w:u w:val="single"/>
          <w:lang w:val="da-DK"/>
        </w:rPr>
        <w:t xml:space="preserve">Liste over bivirkninger ved </w:t>
      </w:r>
      <w:proofErr w:type="spellStart"/>
      <w:r w:rsidRPr="00852F18">
        <w:rPr>
          <w:szCs w:val="24"/>
          <w:u w:val="single"/>
          <w:lang w:val="da-DK"/>
        </w:rPr>
        <w:t>Confidex</w:t>
      </w:r>
      <w:proofErr w:type="spellEnd"/>
      <w:r>
        <w:rPr>
          <w:szCs w:val="24"/>
          <w:u w:val="single"/>
          <w:lang w:val="da-DK"/>
        </w:rPr>
        <w:t>,</w:t>
      </w:r>
      <w:r w:rsidRPr="00852F18">
        <w:rPr>
          <w:szCs w:val="24"/>
          <w:u w:val="single"/>
          <w:lang w:val="da-DK"/>
        </w:rPr>
        <w:t xml:space="preserve"> i tabelform</w:t>
      </w:r>
    </w:p>
    <w:p w:rsidR="0040242A" w:rsidRPr="00852F18" w:rsidRDefault="0040242A" w:rsidP="0040242A">
      <w:pPr>
        <w:pStyle w:val="LAFISPCNormal"/>
        <w:tabs>
          <w:tab w:val="left" w:pos="0"/>
        </w:tabs>
        <w:ind w:left="851"/>
        <w:rPr>
          <w:szCs w:val="24"/>
          <w:lang w:val="da-DK"/>
        </w:rPr>
      </w:pPr>
      <w:r w:rsidRPr="00852F18">
        <w:rPr>
          <w:szCs w:val="24"/>
          <w:lang w:val="da-DK"/>
        </w:rPr>
        <w:t>Følgende bivirkninger er baseret på kliniske forsøgsdata, erfaringer efter markedsføring og på videnskabelig litteratur.</w:t>
      </w:r>
    </w:p>
    <w:p w:rsidR="0040242A" w:rsidRPr="00852F18" w:rsidRDefault="0040242A" w:rsidP="0040242A">
      <w:pPr>
        <w:pStyle w:val="LAFISPCNormal"/>
        <w:tabs>
          <w:tab w:val="left" w:pos="0"/>
        </w:tabs>
        <w:ind w:left="851"/>
        <w:rPr>
          <w:szCs w:val="24"/>
          <w:lang w:val="da-DK"/>
        </w:rPr>
      </w:pPr>
    </w:p>
    <w:p w:rsidR="0040242A" w:rsidRPr="00852F18" w:rsidRDefault="0040242A" w:rsidP="0040242A">
      <w:pPr>
        <w:pStyle w:val="LAFISPCNormal"/>
        <w:tabs>
          <w:tab w:val="left" w:pos="0"/>
        </w:tabs>
        <w:ind w:left="851"/>
        <w:rPr>
          <w:szCs w:val="24"/>
          <w:lang w:val="da-DK"/>
        </w:rPr>
      </w:pPr>
      <w:r w:rsidRPr="00852F18">
        <w:rPr>
          <w:szCs w:val="24"/>
          <w:lang w:val="da-DK"/>
        </w:rPr>
        <w:t xml:space="preserve">Tabellen nedenfor angiver bivirkninger i henhold til </w:t>
      </w:r>
      <w:proofErr w:type="spellStart"/>
      <w:r w:rsidRPr="00852F18">
        <w:rPr>
          <w:szCs w:val="24"/>
          <w:lang w:val="da-DK"/>
        </w:rPr>
        <w:t>MedDRA's</w:t>
      </w:r>
      <w:proofErr w:type="spellEnd"/>
      <w:r w:rsidRPr="00852F18">
        <w:rPr>
          <w:szCs w:val="24"/>
          <w:lang w:val="da-DK"/>
        </w:rPr>
        <w:t xml:space="preserve"> systemorganklasser (SOC og </w:t>
      </w:r>
      <w:proofErr w:type="spellStart"/>
      <w:r w:rsidRPr="00852F18">
        <w:rPr>
          <w:szCs w:val="24"/>
          <w:lang w:val="da-DK"/>
        </w:rPr>
        <w:t>Preferred</w:t>
      </w:r>
      <w:proofErr w:type="spellEnd"/>
      <w:r w:rsidRPr="00852F18">
        <w:rPr>
          <w:szCs w:val="24"/>
          <w:lang w:val="da-DK"/>
        </w:rPr>
        <w:t xml:space="preserve"> Term Level). Hyppighed er baseret på kliniske forsøgsdata i henhold til følgende konvention: </w:t>
      </w:r>
      <w:r>
        <w:rPr>
          <w:szCs w:val="24"/>
          <w:lang w:val="da-DK"/>
        </w:rPr>
        <w:t>M</w:t>
      </w:r>
      <w:r w:rsidRPr="00852F18">
        <w:rPr>
          <w:szCs w:val="24"/>
          <w:lang w:val="da-DK"/>
        </w:rPr>
        <w:t>eget almindelig (≥1/10); almindelig (≥1/100 til &lt;1/10); ikke almindelig (≥1/1.000 til &lt;1/100); sjælden (≥1/10.000 til &lt;1/1,000); meget sjælden (&lt;1/10.000); ikke kendt (kan ikke estimeres ud fra forhåndenværende data).</w:t>
      </w:r>
    </w:p>
    <w:p w:rsidR="0040242A" w:rsidRPr="00852F18" w:rsidRDefault="0040242A" w:rsidP="0040242A">
      <w:pPr>
        <w:pStyle w:val="LAFISPCNormal"/>
        <w:tabs>
          <w:tab w:val="left" w:pos="0"/>
        </w:tabs>
        <w:ind w:left="851"/>
        <w:rPr>
          <w:szCs w:val="24"/>
          <w:lang w:val="da-DK"/>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421"/>
        <w:gridCol w:w="2410"/>
      </w:tblGrid>
      <w:tr w:rsidR="0040242A" w:rsidRPr="00852F18" w:rsidTr="003B4BCE">
        <w:tc>
          <w:tcPr>
            <w:tcW w:w="3100" w:type="dxa"/>
          </w:tcPr>
          <w:p w:rsidR="0040242A" w:rsidRPr="00852F18" w:rsidRDefault="0040242A" w:rsidP="003B4BCE">
            <w:pPr>
              <w:suppressLineNumbers/>
              <w:tabs>
                <w:tab w:val="left" w:pos="0"/>
              </w:tabs>
              <w:spacing w:before="120" w:after="120" w:line="260" w:lineRule="exact"/>
              <w:ind w:left="63"/>
              <w:rPr>
                <w:sz w:val="24"/>
                <w:szCs w:val="24"/>
              </w:rPr>
            </w:pPr>
            <w:r w:rsidRPr="00852F18">
              <w:rPr>
                <w:b/>
                <w:sz w:val="24"/>
                <w:szCs w:val="24"/>
              </w:rPr>
              <w:t xml:space="preserve">Systemorganklasse i henhold til </w:t>
            </w:r>
            <w:proofErr w:type="spellStart"/>
            <w:r w:rsidRPr="00852F18">
              <w:rPr>
                <w:b/>
                <w:sz w:val="24"/>
                <w:szCs w:val="24"/>
              </w:rPr>
              <w:t>MedDRA</w:t>
            </w:r>
            <w:proofErr w:type="spellEnd"/>
            <w:r w:rsidRPr="00852F18">
              <w:rPr>
                <w:b/>
                <w:sz w:val="24"/>
                <w:szCs w:val="24"/>
              </w:rPr>
              <w:t xml:space="preserve"> </w:t>
            </w: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b/>
                <w:sz w:val="24"/>
                <w:szCs w:val="24"/>
              </w:rPr>
              <w:t xml:space="preserve">Bivirkning </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b/>
                <w:sz w:val="24"/>
                <w:szCs w:val="24"/>
              </w:rPr>
              <w:t>Hyppighed</w:t>
            </w:r>
          </w:p>
        </w:tc>
      </w:tr>
      <w:tr w:rsidR="0040242A" w:rsidRPr="00852F18" w:rsidTr="003B4BCE">
        <w:tc>
          <w:tcPr>
            <w:tcW w:w="3100" w:type="dxa"/>
          </w:tcPr>
          <w:p w:rsidR="0040242A" w:rsidRPr="00852F18" w:rsidRDefault="0040242A" w:rsidP="003B4BCE">
            <w:pPr>
              <w:suppressLineNumbers/>
              <w:tabs>
                <w:tab w:val="left" w:pos="0"/>
              </w:tabs>
              <w:spacing w:before="120" w:after="120" w:line="260" w:lineRule="exact"/>
              <w:ind w:left="63"/>
              <w:rPr>
                <w:sz w:val="24"/>
                <w:szCs w:val="24"/>
              </w:rPr>
            </w:pPr>
            <w:proofErr w:type="spellStart"/>
            <w:r w:rsidRPr="00852F18">
              <w:rPr>
                <w:sz w:val="24"/>
                <w:szCs w:val="24"/>
              </w:rPr>
              <w:t>Vaskulære</w:t>
            </w:r>
            <w:proofErr w:type="spellEnd"/>
            <w:r w:rsidRPr="00852F18">
              <w:rPr>
                <w:sz w:val="24"/>
                <w:szCs w:val="24"/>
              </w:rPr>
              <w:t xml:space="preserve"> sygdomme og andre </w:t>
            </w:r>
            <w:proofErr w:type="spellStart"/>
            <w:r w:rsidRPr="00852F18">
              <w:rPr>
                <w:sz w:val="24"/>
                <w:szCs w:val="24"/>
              </w:rPr>
              <w:t>SOC'er</w:t>
            </w:r>
            <w:proofErr w:type="spellEnd"/>
          </w:p>
        </w:tc>
        <w:tc>
          <w:tcPr>
            <w:tcW w:w="3421" w:type="dxa"/>
          </w:tcPr>
          <w:p w:rsidR="0040242A" w:rsidRPr="00852F18" w:rsidRDefault="0040242A" w:rsidP="003B4BCE">
            <w:pPr>
              <w:suppressLineNumbers/>
              <w:tabs>
                <w:tab w:val="left" w:pos="0"/>
              </w:tabs>
              <w:spacing w:before="120" w:after="120" w:line="260" w:lineRule="exact"/>
              <w:rPr>
                <w:sz w:val="24"/>
                <w:szCs w:val="24"/>
              </w:rPr>
            </w:pPr>
            <w:proofErr w:type="spellStart"/>
            <w:r w:rsidRPr="00852F18">
              <w:rPr>
                <w:sz w:val="24"/>
                <w:szCs w:val="24"/>
              </w:rPr>
              <w:t>Tromboemboliske</w:t>
            </w:r>
            <w:proofErr w:type="spellEnd"/>
            <w:r w:rsidRPr="00852F18">
              <w:rPr>
                <w:sz w:val="24"/>
                <w:szCs w:val="24"/>
              </w:rPr>
              <w:t xml:space="preserve"> hændelser*</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Almindelig</w:t>
            </w:r>
          </w:p>
        </w:tc>
      </w:tr>
      <w:tr w:rsidR="0040242A" w:rsidRPr="00852F18" w:rsidTr="003B4BCE">
        <w:tc>
          <w:tcPr>
            <w:tcW w:w="3100" w:type="dxa"/>
          </w:tcPr>
          <w:p w:rsidR="0040242A" w:rsidRPr="00852F18" w:rsidRDefault="0040242A" w:rsidP="003B4BCE">
            <w:pPr>
              <w:suppressLineNumbers/>
              <w:tabs>
                <w:tab w:val="left" w:pos="0"/>
              </w:tabs>
              <w:spacing w:before="120" w:after="120" w:line="260" w:lineRule="exact"/>
              <w:ind w:left="63"/>
              <w:rPr>
                <w:sz w:val="24"/>
                <w:szCs w:val="24"/>
              </w:rPr>
            </w:pPr>
            <w:r w:rsidRPr="00852F18">
              <w:rPr>
                <w:sz w:val="24"/>
                <w:szCs w:val="24"/>
              </w:rPr>
              <w:t>Blod og lymfesystem</w:t>
            </w: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sz w:val="24"/>
                <w:szCs w:val="24"/>
              </w:rPr>
              <w:t xml:space="preserve">Dissemineret </w:t>
            </w:r>
            <w:proofErr w:type="spellStart"/>
            <w:r w:rsidRPr="00852F18">
              <w:rPr>
                <w:sz w:val="24"/>
                <w:szCs w:val="24"/>
              </w:rPr>
              <w:t>intravaskulær</w:t>
            </w:r>
            <w:proofErr w:type="spellEnd"/>
            <w:r w:rsidRPr="00852F18" w:rsidDel="009B0F90">
              <w:rPr>
                <w:sz w:val="24"/>
                <w:szCs w:val="24"/>
                <w:highlight w:val="yellow"/>
              </w:rPr>
              <w:t xml:space="preserve"> </w:t>
            </w:r>
            <w:r w:rsidRPr="00852F18">
              <w:rPr>
                <w:sz w:val="24"/>
                <w:szCs w:val="24"/>
              </w:rPr>
              <w:t>koagulation</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Ikke kendt</w:t>
            </w:r>
          </w:p>
        </w:tc>
      </w:tr>
      <w:tr w:rsidR="0040242A" w:rsidRPr="00852F18" w:rsidTr="003B4BCE">
        <w:trPr>
          <w:trHeight w:val="717"/>
        </w:trPr>
        <w:tc>
          <w:tcPr>
            <w:tcW w:w="3100" w:type="dxa"/>
            <w:vMerge w:val="restart"/>
          </w:tcPr>
          <w:p w:rsidR="0040242A" w:rsidRPr="00852F18" w:rsidRDefault="0040242A" w:rsidP="003B4BCE">
            <w:pPr>
              <w:suppressLineNumbers/>
              <w:tabs>
                <w:tab w:val="left" w:pos="0"/>
              </w:tabs>
              <w:spacing w:before="120" w:after="120" w:line="260" w:lineRule="exact"/>
              <w:ind w:left="63"/>
              <w:rPr>
                <w:sz w:val="24"/>
                <w:szCs w:val="24"/>
              </w:rPr>
            </w:pPr>
            <w:r w:rsidRPr="00852F18">
              <w:rPr>
                <w:sz w:val="24"/>
                <w:szCs w:val="24"/>
              </w:rPr>
              <w:t>Immunsystemet</w:t>
            </w: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sz w:val="24"/>
                <w:szCs w:val="24"/>
              </w:rPr>
              <w:t>Overfølsomhed eller allergiske reaktioner</w:t>
            </w:r>
          </w:p>
        </w:tc>
        <w:tc>
          <w:tcPr>
            <w:tcW w:w="2410" w:type="dxa"/>
          </w:tcPr>
          <w:p w:rsidR="0040242A" w:rsidRPr="00852F18" w:rsidRDefault="0040242A" w:rsidP="003B4BCE">
            <w:pPr>
              <w:suppressLineNumbers/>
              <w:tabs>
                <w:tab w:val="left" w:pos="0"/>
              </w:tabs>
              <w:spacing w:before="120" w:after="120" w:line="260" w:lineRule="exact"/>
              <w:ind w:left="62"/>
              <w:rPr>
                <w:sz w:val="24"/>
                <w:szCs w:val="24"/>
                <w:lang w:val="en-GB"/>
              </w:rPr>
            </w:pPr>
            <w:r w:rsidRPr="00852F18">
              <w:rPr>
                <w:sz w:val="24"/>
                <w:szCs w:val="24"/>
              </w:rPr>
              <w:t>Ikke almindelige</w:t>
            </w:r>
          </w:p>
          <w:p w:rsidR="0040242A" w:rsidRPr="00852F18" w:rsidRDefault="0040242A" w:rsidP="003B4BCE">
            <w:pPr>
              <w:suppressLineNumbers/>
              <w:tabs>
                <w:tab w:val="left" w:pos="0"/>
              </w:tabs>
              <w:spacing w:before="120" w:after="120" w:line="260" w:lineRule="exact"/>
              <w:ind w:left="62"/>
              <w:rPr>
                <w:sz w:val="24"/>
                <w:szCs w:val="24"/>
                <w:lang w:val="en-GB"/>
              </w:rPr>
            </w:pPr>
          </w:p>
        </w:tc>
      </w:tr>
      <w:tr w:rsidR="0040242A" w:rsidRPr="00852F18" w:rsidTr="003B4BCE">
        <w:tc>
          <w:tcPr>
            <w:tcW w:w="3100" w:type="dxa"/>
            <w:vMerge/>
          </w:tcPr>
          <w:p w:rsidR="0040242A" w:rsidRPr="00852F18" w:rsidRDefault="0040242A" w:rsidP="003B4BCE">
            <w:pPr>
              <w:suppressLineNumbers/>
              <w:tabs>
                <w:tab w:val="left" w:pos="0"/>
              </w:tabs>
              <w:spacing w:before="120" w:after="120" w:line="260" w:lineRule="exact"/>
              <w:ind w:left="63"/>
              <w:rPr>
                <w:sz w:val="24"/>
                <w:szCs w:val="24"/>
                <w:lang w:val="en-GB"/>
              </w:rPr>
            </w:pPr>
          </w:p>
        </w:tc>
        <w:tc>
          <w:tcPr>
            <w:tcW w:w="3421" w:type="dxa"/>
          </w:tcPr>
          <w:p w:rsidR="0040242A" w:rsidRPr="00852F18" w:rsidRDefault="0040242A" w:rsidP="003B4BCE">
            <w:pPr>
              <w:suppressLineNumbers/>
              <w:tabs>
                <w:tab w:val="left" w:pos="0"/>
              </w:tabs>
              <w:spacing w:before="120" w:after="120" w:line="260" w:lineRule="exact"/>
              <w:rPr>
                <w:sz w:val="24"/>
                <w:szCs w:val="24"/>
              </w:rPr>
            </w:pPr>
            <w:proofErr w:type="spellStart"/>
            <w:r w:rsidRPr="00852F18">
              <w:rPr>
                <w:sz w:val="24"/>
                <w:szCs w:val="24"/>
              </w:rPr>
              <w:t>Anafylaktiske</w:t>
            </w:r>
            <w:proofErr w:type="spellEnd"/>
            <w:r w:rsidRPr="00852F18">
              <w:rPr>
                <w:sz w:val="24"/>
                <w:szCs w:val="24"/>
              </w:rPr>
              <w:t xml:space="preserve"> reaktioner, herunder </w:t>
            </w:r>
            <w:proofErr w:type="spellStart"/>
            <w:r w:rsidRPr="00852F18">
              <w:rPr>
                <w:sz w:val="24"/>
                <w:szCs w:val="24"/>
              </w:rPr>
              <w:t>anafylaktisk</w:t>
            </w:r>
            <w:proofErr w:type="spellEnd"/>
            <w:r w:rsidRPr="00852F18">
              <w:rPr>
                <w:sz w:val="24"/>
                <w:szCs w:val="24"/>
              </w:rPr>
              <w:t xml:space="preserve"> </w:t>
            </w:r>
            <w:proofErr w:type="spellStart"/>
            <w:r w:rsidRPr="00852F18">
              <w:rPr>
                <w:sz w:val="24"/>
                <w:szCs w:val="24"/>
              </w:rPr>
              <w:t>shock</w:t>
            </w:r>
            <w:proofErr w:type="spellEnd"/>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Ikke kendt</w:t>
            </w:r>
          </w:p>
        </w:tc>
      </w:tr>
      <w:tr w:rsidR="0040242A" w:rsidRPr="00852F18" w:rsidTr="003B4BCE">
        <w:tc>
          <w:tcPr>
            <w:tcW w:w="3100" w:type="dxa"/>
            <w:vMerge/>
          </w:tcPr>
          <w:p w:rsidR="0040242A" w:rsidRPr="00852F18" w:rsidRDefault="0040242A" w:rsidP="003B4BCE">
            <w:pPr>
              <w:suppressLineNumbers/>
              <w:tabs>
                <w:tab w:val="left" w:pos="0"/>
              </w:tabs>
              <w:spacing w:before="120" w:after="120" w:line="260" w:lineRule="exact"/>
              <w:ind w:left="63"/>
              <w:rPr>
                <w:sz w:val="24"/>
                <w:szCs w:val="24"/>
                <w:lang w:val="en-GB"/>
              </w:rPr>
            </w:pP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sz w:val="24"/>
                <w:szCs w:val="24"/>
              </w:rPr>
              <w:t>Udvikling af antistoffer</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Ikke kendt</w:t>
            </w:r>
          </w:p>
        </w:tc>
      </w:tr>
      <w:tr w:rsidR="0040242A" w:rsidRPr="00852F18" w:rsidTr="003B4BCE">
        <w:tc>
          <w:tcPr>
            <w:tcW w:w="3100" w:type="dxa"/>
          </w:tcPr>
          <w:p w:rsidR="0040242A" w:rsidRPr="00852F18" w:rsidRDefault="0040242A" w:rsidP="003B4BCE">
            <w:pPr>
              <w:suppressLineNumbers/>
              <w:tabs>
                <w:tab w:val="left" w:pos="0"/>
              </w:tabs>
              <w:spacing w:before="120" w:after="120" w:line="260" w:lineRule="exact"/>
              <w:ind w:left="63"/>
              <w:rPr>
                <w:sz w:val="24"/>
                <w:szCs w:val="24"/>
              </w:rPr>
            </w:pPr>
            <w:r w:rsidRPr="00852F18">
              <w:rPr>
                <w:sz w:val="24"/>
                <w:szCs w:val="24"/>
              </w:rPr>
              <w:t>Nervesystemet</w:t>
            </w: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sz w:val="24"/>
                <w:szCs w:val="24"/>
              </w:rPr>
              <w:t>Hovedpine</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Almindelig</w:t>
            </w:r>
          </w:p>
        </w:tc>
      </w:tr>
      <w:tr w:rsidR="0040242A" w:rsidRPr="00852F18" w:rsidTr="003B4BCE">
        <w:tc>
          <w:tcPr>
            <w:tcW w:w="3100" w:type="dxa"/>
          </w:tcPr>
          <w:p w:rsidR="0040242A" w:rsidRPr="00852F18" w:rsidRDefault="0040242A" w:rsidP="003B4BCE">
            <w:pPr>
              <w:suppressLineNumbers/>
              <w:tabs>
                <w:tab w:val="left" w:pos="0"/>
              </w:tabs>
              <w:spacing w:before="120" w:after="120" w:line="260" w:lineRule="exact"/>
              <w:ind w:left="63"/>
              <w:rPr>
                <w:sz w:val="24"/>
                <w:szCs w:val="24"/>
              </w:rPr>
            </w:pPr>
            <w:r w:rsidRPr="00852F18">
              <w:rPr>
                <w:sz w:val="24"/>
                <w:szCs w:val="24"/>
              </w:rPr>
              <w:t>Almene symptomer og reaktioner på administrationsstedet</w:t>
            </w:r>
          </w:p>
        </w:tc>
        <w:tc>
          <w:tcPr>
            <w:tcW w:w="3421" w:type="dxa"/>
          </w:tcPr>
          <w:p w:rsidR="0040242A" w:rsidRPr="00852F18" w:rsidRDefault="0040242A" w:rsidP="003B4BCE">
            <w:pPr>
              <w:suppressLineNumbers/>
              <w:tabs>
                <w:tab w:val="left" w:pos="0"/>
              </w:tabs>
              <w:spacing w:before="120" w:after="120" w:line="260" w:lineRule="exact"/>
              <w:rPr>
                <w:sz w:val="24"/>
                <w:szCs w:val="24"/>
              </w:rPr>
            </w:pPr>
            <w:r w:rsidRPr="00852F18">
              <w:rPr>
                <w:sz w:val="24"/>
                <w:szCs w:val="24"/>
              </w:rPr>
              <w:t>Forhøjet legemstemperatur</w:t>
            </w:r>
          </w:p>
        </w:tc>
        <w:tc>
          <w:tcPr>
            <w:tcW w:w="2410" w:type="dxa"/>
          </w:tcPr>
          <w:p w:rsidR="0040242A" w:rsidRPr="00852F18" w:rsidRDefault="0040242A" w:rsidP="003B4BCE">
            <w:pPr>
              <w:suppressLineNumbers/>
              <w:tabs>
                <w:tab w:val="left" w:pos="0"/>
              </w:tabs>
              <w:spacing w:before="120" w:after="120" w:line="260" w:lineRule="exact"/>
              <w:ind w:left="62"/>
              <w:rPr>
                <w:sz w:val="24"/>
                <w:szCs w:val="24"/>
              </w:rPr>
            </w:pPr>
            <w:r w:rsidRPr="00852F18">
              <w:rPr>
                <w:sz w:val="24"/>
                <w:szCs w:val="24"/>
              </w:rPr>
              <w:t>Almindelig</w:t>
            </w:r>
          </w:p>
        </w:tc>
      </w:tr>
    </w:tbl>
    <w:p w:rsidR="0040242A" w:rsidRPr="00B62BD5" w:rsidRDefault="0040242A" w:rsidP="0040242A">
      <w:pPr>
        <w:tabs>
          <w:tab w:val="left" w:pos="0"/>
        </w:tabs>
        <w:ind w:left="851"/>
        <w:rPr>
          <w:sz w:val="24"/>
          <w:szCs w:val="24"/>
        </w:rPr>
      </w:pPr>
      <w:r w:rsidRPr="00852F18">
        <w:rPr>
          <w:sz w:val="24"/>
          <w:szCs w:val="24"/>
        </w:rPr>
        <w:t>*</w:t>
      </w:r>
      <w:r>
        <w:rPr>
          <w:sz w:val="24"/>
          <w:szCs w:val="24"/>
        </w:rPr>
        <w:t xml:space="preserve"> </w:t>
      </w:r>
      <w:r w:rsidRPr="00852F18">
        <w:rPr>
          <w:sz w:val="24"/>
          <w:szCs w:val="24"/>
        </w:rPr>
        <w:t>herunder tilfælde med dødeligt udfald</w:t>
      </w:r>
    </w:p>
    <w:p w:rsidR="0040242A" w:rsidRPr="00B62BD5" w:rsidRDefault="0040242A" w:rsidP="0040242A">
      <w:pPr>
        <w:pStyle w:val="LAFISPCNormal"/>
        <w:tabs>
          <w:tab w:val="left" w:pos="0"/>
        </w:tabs>
        <w:ind w:left="851"/>
        <w:rPr>
          <w:szCs w:val="24"/>
          <w:lang w:val="da-DK"/>
        </w:rPr>
      </w:pPr>
    </w:p>
    <w:p w:rsidR="0040242A" w:rsidRPr="00852F18" w:rsidRDefault="0040242A" w:rsidP="0040242A">
      <w:pPr>
        <w:pStyle w:val="LAFISPCNormal"/>
        <w:tabs>
          <w:tab w:val="left" w:pos="0"/>
        </w:tabs>
        <w:ind w:left="851"/>
        <w:rPr>
          <w:szCs w:val="24"/>
          <w:lang w:val="da-DK"/>
        </w:rPr>
      </w:pPr>
      <w:r w:rsidRPr="00852F18">
        <w:rPr>
          <w:szCs w:val="24"/>
          <w:lang w:val="da-DK"/>
        </w:rPr>
        <w:lastRenderedPageBreak/>
        <w:t xml:space="preserve">Vedrørende sikkerheden med hensyn til smitstoffer, se pkt. 4.4. </w:t>
      </w:r>
    </w:p>
    <w:p w:rsidR="0040242A" w:rsidRPr="00852F18" w:rsidRDefault="0040242A" w:rsidP="0040242A">
      <w:pPr>
        <w:pStyle w:val="LAFISPCNormal"/>
        <w:tabs>
          <w:tab w:val="left" w:pos="0"/>
        </w:tabs>
        <w:ind w:left="851"/>
        <w:rPr>
          <w:szCs w:val="24"/>
          <w:lang w:val="da-DK"/>
        </w:rPr>
      </w:pPr>
    </w:p>
    <w:p w:rsidR="0040242A" w:rsidRPr="00686A2F" w:rsidRDefault="0040242A" w:rsidP="0040242A">
      <w:pPr>
        <w:tabs>
          <w:tab w:val="left" w:pos="0"/>
        </w:tabs>
        <w:ind w:left="851"/>
        <w:rPr>
          <w:noProof/>
          <w:sz w:val="24"/>
          <w:szCs w:val="24"/>
          <w:u w:val="single"/>
        </w:rPr>
      </w:pPr>
      <w:r w:rsidRPr="00686A2F">
        <w:rPr>
          <w:noProof/>
          <w:sz w:val="24"/>
          <w:szCs w:val="24"/>
          <w:u w:val="single"/>
        </w:rPr>
        <w:t>Pædiatrisk population</w:t>
      </w:r>
    </w:p>
    <w:p w:rsidR="0040242A" w:rsidRPr="00852F18" w:rsidRDefault="0040242A" w:rsidP="0040242A">
      <w:pPr>
        <w:tabs>
          <w:tab w:val="left" w:pos="0"/>
        </w:tabs>
        <w:ind w:left="851"/>
        <w:rPr>
          <w:sz w:val="24"/>
          <w:szCs w:val="24"/>
        </w:rPr>
      </w:pPr>
      <w:r w:rsidRPr="00852F18">
        <w:rPr>
          <w:sz w:val="24"/>
          <w:szCs w:val="24"/>
        </w:rPr>
        <w:t xml:space="preserve">Der findes ingen tilgængelig data vedrørende brugen af </w:t>
      </w:r>
      <w:proofErr w:type="spellStart"/>
      <w:r w:rsidRPr="00852F18">
        <w:rPr>
          <w:sz w:val="24"/>
          <w:szCs w:val="24"/>
        </w:rPr>
        <w:t>Confidex</w:t>
      </w:r>
      <w:proofErr w:type="spellEnd"/>
      <w:r w:rsidRPr="00852F18">
        <w:rPr>
          <w:sz w:val="24"/>
          <w:szCs w:val="24"/>
        </w:rPr>
        <w:t xml:space="preserve"> i en pædiatrisk population. </w:t>
      </w:r>
    </w:p>
    <w:p w:rsidR="0040242A" w:rsidRPr="00852F18" w:rsidRDefault="0040242A" w:rsidP="0040242A">
      <w:pPr>
        <w:tabs>
          <w:tab w:val="left" w:pos="0"/>
        </w:tabs>
        <w:ind w:left="851"/>
        <w:rPr>
          <w:i/>
          <w:noProof/>
          <w:sz w:val="24"/>
          <w:szCs w:val="24"/>
        </w:rPr>
      </w:pPr>
    </w:p>
    <w:p w:rsidR="00D97EE2" w:rsidRDefault="00D97EE2" w:rsidP="00D97EE2">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D97EE2" w:rsidRDefault="00D97EE2" w:rsidP="00D97EE2">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D97EE2" w:rsidRDefault="00D97EE2" w:rsidP="00D97EE2">
      <w:pPr>
        <w:pStyle w:val="Sidehoved"/>
        <w:tabs>
          <w:tab w:val="left" w:pos="851"/>
        </w:tabs>
        <w:ind w:left="851"/>
        <w:rPr>
          <w:szCs w:val="24"/>
        </w:rPr>
      </w:pPr>
    </w:p>
    <w:p w:rsidR="00D97EE2" w:rsidRDefault="00D97EE2" w:rsidP="00D97EE2">
      <w:pPr>
        <w:pStyle w:val="Sidehoved"/>
        <w:tabs>
          <w:tab w:val="left" w:pos="851"/>
        </w:tabs>
        <w:ind w:left="851"/>
        <w:rPr>
          <w:szCs w:val="24"/>
        </w:rPr>
      </w:pPr>
      <w:r>
        <w:rPr>
          <w:szCs w:val="24"/>
        </w:rPr>
        <w:t>Lægemiddelstyrelsen</w:t>
      </w:r>
    </w:p>
    <w:p w:rsidR="00D97EE2" w:rsidRDefault="00D97EE2" w:rsidP="00D97EE2">
      <w:pPr>
        <w:pStyle w:val="Sidehoved"/>
        <w:tabs>
          <w:tab w:val="left" w:pos="851"/>
        </w:tabs>
        <w:ind w:left="851"/>
        <w:rPr>
          <w:szCs w:val="24"/>
        </w:rPr>
      </w:pPr>
      <w:r>
        <w:rPr>
          <w:szCs w:val="24"/>
        </w:rPr>
        <w:t>Axel Heides Gade 1</w:t>
      </w:r>
    </w:p>
    <w:p w:rsidR="00D97EE2" w:rsidRDefault="00D97EE2" w:rsidP="00D97EE2">
      <w:pPr>
        <w:pStyle w:val="Sidehoved"/>
        <w:tabs>
          <w:tab w:val="left" w:pos="851"/>
        </w:tabs>
        <w:ind w:left="851"/>
        <w:rPr>
          <w:szCs w:val="24"/>
        </w:rPr>
      </w:pPr>
      <w:r>
        <w:rPr>
          <w:szCs w:val="24"/>
        </w:rPr>
        <w:t>DK-2300 København S</w:t>
      </w:r>
    </w:p>
    <w:p w:rsidR="00D97EE2" w:rsidRPr="002E71AE" w:rsidRDefault="00D97EE2" w:rsidP="00D97EE2">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40242A" w:rsidRPr="00D97EE2" w:rsidRDefault="0040242A" w:rsidP="0040242A">
      <w:pPr>
        <w:pStyle w:val="Sidehoved"/>
        <w:tabs>
          <w:tab w:val="left" w:pos="851"/>
        </w:tabs>
        <w:ind w:left="851"/>
        <w:rPr>
          <w:szCs w:val="24"/>
        </w:rPr>
      </w:pPr>
    </w:p>
    <w:p w:rsidR="0040242A" w:rsidRPr="00C84483" w:rsidRDefault="0040242A" w:rsidP="0040242A">
      <w:pPr>
        <w:tabs>
          <w:tab w:val="left" w:pos="851"/>
        </w:tabs>
        <w:ind w:left="851" w:hanging="851"/>
        <w:rPr>
          <w:b/>
          <w:sz w:val="24"/>
          <w:szCs w:val="24"/>
        </w:rPr>
      </w:pPr>
      <w:r w:rsidRPr="00C84483">
        <w:rPr>
          <w:b/>
          <w:sz w:val="24"/>
          <w:szCs w:val="24"/>
        </w:rPr>
        <w:t>4.9</w:t>
      </w:r>
      <w:r w:rsidRPr="00C84483">
        <w:rPr>
          <w:b/>
          <w:sz w:val="24"/>
          <w:szCs w:val="24"/>
        </w:rPr>
        <w:tab/>
        <w:t>Overdosering</w:t>
      </w:r>
    </w:p>
    <w:p w:rsidR="0040242A" w:rsidRPr="002037B1" w:rsidRDefault="0040242A" w:rsidP="0040242A">
      <w:pPr>
        <w:pStyle w:val="LAFISPCNormal"/>
        <w:tabs>
          <w:tab w:val="left" w:pos="0"/>
        </w:tabs>
        <w:ind w:left="851"/>
        <w:rPr>
          <w:szCs w:val="24"/>
          <w:lang w:val="da-DK"/>
        </w:rPr>
      </w:pPr>
      <w:r w:rsidRPr="00557E36">
        <w:rPr>
          <w:szCs w:val="24"/>
          <w:lang w:val="da-DK"/>
        </w:rPr>
        <w:t xml:space="preserve">For at undgå overdosering er regelmæssig overvågning af koagulationsstatus indiceret under behandlingen, da anvendelsen af høje doser </w:t>
      </w:r>
      <w:proofErr w:type="spellStart"/>
      <w:r w:rsidRPr="00557E36">
        <w:rPr>
          <w:szCs w:val="24"/>
          <w:lang w:val="da-DK"/>
        </w:rPr>
        <w:t>protrombinkomplekskoncentrat</w:t>
      </w:r>
      <w:proofErr w:type="spellEnd"/>
      <w:r w:rsidRPr="00557E36">
        <w:rPr>
          <w:szCs w:val="24"/>
          <w:lang w:val="da-DK"/>
        </w:rPr>
        <w:t xml:space="preserve"> (overdosering) er blevet forbundet med tilfælde af myokardieinfarkt, dissemineret </w:t>
      </w:r>
      <w:proofErr w:type="spellStart"/>
      <w:r w:rsidRPr="00557E36">
        <w:rPr>
          <w:szCs w:val="24"/>
          <w:lang w:val="da-DK"/>
        </w:rPr>
        <w:t>intravaskulær</w:t>
      </w:r>
      <w:proofErr w:type="spellEnd"/>
      <w:r w:rsidRPr="00557E36">
        <w:rPr>
          <w:szCs w:val="24"/>
          <w:lang w:val="da-DK"/>
        </w:rPr>
        <w:t xml:space="preserve"> koagulation, venetrombose og </w:t>
      </w:r>
      <w:proofErr w:type="spellStart"/>
      <w:r w:rsidRPr="00557E36">
        <w:rPr>
          <w:szCs w:val="24"/>
          <w:lang w:val="da-DK"/>
        </w:rPr>
        <w:t>pulmonær</w:t>
      </w:r>
      <w:proofErr w:type="spellEnd"/>
      <w:r w:rsidRPr="00557E36">
        <w:rPr>
          <w:szCs w:val="24"/>
          <w:lang w:val="da-DK"/>
        </w:rPr>
        <w:t xml:space="preserve"> </w:t>
      </w:r>
      <w:proofErr w:type="spellStart"/>
      <w:r w:rsidRPr="00557E36">
        <w:rPr>
          <w:szCs w:val="24"/>
          <w:lang w:val="da-DK"/>
        </w:rPr>
        <w:t>emboli</w:t>
      </w:r>
      <w:proofErr w:type="spellEnd"/>
      <w:r w:rsidRPr="00557E36">
        <w:rPr>
          <w:szCs w:val="24"/>
          <w:lang w:val="da-DK"/>
        </w:rPr>
        <w:t xml:space="preserve">. Ved overdosering er risikoen for </w:t>
      </w:r>
      <w:proofErr w:type="spellStart"/>
      <w:r w:rsidRPr="00557E36">
        <w:rPr>
          <w:szCs w:val="24"/>
          <w:lang w:val="da-DK"/>
        </w:rPr>
        <w:t>tromboemboliske</w:t>
      </w:r>
      <w:proofErr w:type="spellEnd"/>
      <w:r w:rsidRPr="00557E36">
        <w:rPr>
          <w:szCs w:val="24"/>
          <w:lang w:val="da-DK"/>
        </w:rPr>
        <w:t xml:space="preserve"> komplikationer eller dissemineret </w:t>
      </w:r>
      <w:proofErr w:type="spellStart"/>
      <w:r w:rsidRPr="00557E36">
        <w:rPr>
          <w:szCs w:val="24"/>
          <w:lang w:val="da-DK"/>
        </w:rPr>
        <w:t>intravaskulær</w:t>
      </w:r>
      <w:proofErr w:type="spellEnd"/>
      <w:r w:rsidRPr="00557E36">
        <w:rPr>
          <w:szCs w:val="24"/>
          <w:lang w:val="da-DK"/>
        </w:rPr>
        <w:t xml:space="preserve"> koagulation forhøjet hos patienter med en risiko for disse komplikationer.</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4.10</w:t>
      </w:r>
      <w:r w:rsidRPr="00C84483">
        <w:rPr>
          <w:b/>
          <w:sz w:val="24"/>
          <w:szCs w:val="24"/>
        </w:rPr>
        <w:tab/>
        <w:t>Udlevering</w:t>
      </w:r>
    </w:p>
    <w:p w:rsidR="0040242A" w:rsidRPr="00C84483" w:rsidRDefault="0040242A" w:rsidP="0040242A">
      <w:pPr>
        <w:tabs>
          <w:tab w:val="left" w:pos="851"/>
        </w:tabs>
        <w:ind w:left="851"/>
        <w:rPr>
          <w:sz w:val="24"/>
          <w:szCs w:val="24"/>
        </w:rPr>
      </w:pPr>
      <w:r>
        <w:rPr>
          <w:sz w:val="24"/>
          <w:szCs w:val="24"/>
        </w:rPr>
        <w:t>BEGR - kun til sygehuse</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0242A" w:rsidRPr="000041F8" w:rsidRDefault="0040242A" w:rsidP="0040242A">
      <w:pPr>
        <w:pStyle w:val="LAFISPCNormal"/>
        <w:tabs>
          <w:tab w:val="left" w:pos="0"/>
        </w:tabs>
        <w:ind w:left="851"/>
        <w:rPr>
          <w:szCs w:val="24"/>
          <w:lang w:val="da-DK"/>
        </w:rPr>
      </w:pPr>
      <w:r w:rsidRPr="000041F8">
        <w:rPr>
          <w:szCs w:val="24"/>
          <w:lang w:val="da-DK"/>
        </w:rPr>
        <w:t xml:space="preserve">ATC-kode: B 02 BD 01. </w:t>
      </w:r>
      <w:r>
        <w:rPr>
          <w:szCs w:val="24"/>
          <w:lang w:val="da-DK"/>
        </w:rPr>
        <w:t>Ko</w:t>
      </w:r>
      <w:r w:rsidRPr="000041F8">
        <w:rPr>
          <w:szCs w:val="24"/>
          <w:lang w:val="da-DK"/>
        </w:rPr>
        <w:t xml:space="preserve">agulationsfaktor </w:t>
      </w:r>
      <w:r>
        <w:rPr>
          <w:szCs w:val="24"/>
          <w:lang w:val="da-DK"/>
        </w:rPr>
        <w:t>IX, II, VII</w:t>
      </w:r>
      <w:r w:rsidRPr="000041F8">
        <w:rPr>
          <w:szCs w:val="24"/>
          <w:lang w:val="da-DK"/>
        </w:rPr>
        <w:t xml:space="preserve"> og X i kombination.</w:t>
      </w:r>
    </w:p>
    <w:p w:rsidR="0040242A" w:rsidRPr="00C84483" w:rsidRDefault="0040242A" w:rsidP="0040242A">
      <w:pPr>
        <w:tabs>
          <w:tab w:val="left" w:pos="851"/>
        </w:tabs>
        <w:ind w:left="851"/>
        <w:rPr>
          <w:sz w:val="24"/>
          <w:szCs w:val="24"/>
        </w:rPr>
      </w:pPr>
    </w:p>
    <w:p w:rsidR="0040242A" w:rsidRPr="00C84483" w:rsidRDefault="0040242A" w:rsidP="0040242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0242A" w:rsidRPr="00D46609" w:rsidRDefault="0040242A" w:rsidP="0040242A">
      <w:pPr>
        <w:pStyle w:val="LAFISPCNormal"/>
        <w:tabs>
          <w:tab w:val="left" w:pos="0"/>
        </w:tabs>
        <w:ind w:left="851"/>
        <w:rPr>
          <w:szCs w:val="24"/>
          <w:lang w:val="da-DK"/>
        </w:rPr>
      </w:pPr>
      <w:r w:rsidRPr="00D46609">
        <w:rPr>
          <w:szCs w:val="24"/>
          <w:lang w:val="da-DK"/>
        </w:rPr>
        <w:t xml:space="preserve">Koagulationsfaktorerne II, VII, IX og X, som syntetiseres i leveren ved hjælp af vitamin </w:t>
      </w:r>
      <w:proofErr w:type="gramStart"/>
      <w:r w:rsidRPr="00D46609">
        <w:rPr>
          <w:szCs w:val="24"/>
          <w:lang w:val="da-DK"/>
        </w:rPr>
        <w:t>K,  kaldes</w:t>
      </w:r>
      <w:proofErr w:type="gramEnd"/>
      <w:r w:rsidRPr="00D46609">
        <w:rPr>
          <w:szCs w:val="24"/>
          <w:lang w:val="da-DK"/>
        </w:rPr>
        <w:t xml:space="preserve"> normalt </w:t>
      </w:r>
      <w:proofErr w:type="spellStart"/>
      <w:r w:rsidRPr="00D46609">
        <w:rPr>
          <w:szCs w:val="24"/>
          <w:lang w:val="da-DK"/>
        </w:rPr>
        <w:t>protrombinkomplekset</w:t>
      </w:r>
      <w:proofErr w:type="spellEnd"/>
      <w:r w:rsidRPr="00D46609">
        <w:rPr>
          <w:szCs w:val="24"/>
          <w:lang w:val="da-DK"/>
        </w:rPr>
        <w:t xml:space="preserve">. Ud over koagulationsfaktorerne indeholder </w:t>
      </w:r>
      <w:proofErr w:type="spellStart"/>
      <w:r w:rsidRPr="00D46609">
        <w:rPr>
          <w:szCs w:val="24"/>
          <w:lang w:val="da-DK"/>
        </w:rPr>
        <w:t>Confidex</w:t>
      </w:r>
      <w:proofErr w:type="spellEnd"/>
      <w:r w:rsidRPr="00D46609">
        <w:rPr>
          <w:szCs w:val="24"/>
          <w:lang w:val="da-DK"/>
        </w:rPr>
        <w:t xml:space="preserve"> de vitamin K-afhængige </w:t>
      </w:r>
      <w:proofErr w:type="spellStart"/>
      <w:r w:rsidRPr="00D46609">
        <w:rPr>
          <w:szCs w:val="24"/>
          <w:lang w:val="da-DK"/>
        </w:rPr>
        <w:t>koagulationshæmmere</w:t>
      </w:r>
      <w:proofErr w:type="spellEnd"/>
      <w:r w:rsidRPr="00D46609">
        <w:rPr>
          <w:szCs w:val="24"/>
          <w:lang w:val="da-DK"/>
        </w:rPr>
        <w:t xml:space="preserve"> Protein C og Protein S.</w:t>
      </w:r>
    </w:p>
    <w:p w:rsidR="0040242A" w:rsidRPr="00D46609" w:rsidRDefault="0040242A" w:rsidP="0040242A">
      <w:pPr>
        <w:pStyle w:val="LAFISPCNormal"/>
        <w:tabs>
          <w:tab w:val="left" w:pos="0"/>
        </w:tabs>
        <w:ind w:left="851"/>
        <w:rPr>
          <w:szCs w:val="24"/>
          <w:lang w:val="da-DK"/>
        </w:rPr>
      </w:pPr>
    </w:p>
    <w:p w:rsidR="0040242A" w:rsidRPr="00D46609" w:rsidRDefault="0040242A" w:rsidP="0040242A">
      <w:pPr>
        <w:pStyle w:val="LAFISPCNormal"/>
        <w:tabs>
          <w:tab w:val="left" w:pos="0"/>
        </w:tabs>
        <w:ind w:left="851"/>
        <w:rPr>
          <w:szCs w:val="24"/>
          <w:lang w:val="da-DK"/>
        </w:rPr>
      </w:pPr>
      <w:r w:rsidRPr="00D46609">
        <w:rPr>
          <w:szCs w:val="24"/>
          <w:lang w:val="da-DK"/>
        </w:rPr>
        <w:t xml:space="preserve">Faktor VII er zymogenet til den aktive </w:t>
      </w:r>
      <w:proofErr w:type="spellStart"/>
      <w:r w:rsidRPr="00D46609">
        <w:rPr>
          <w:szCs w:val="24"/>
          <w:lang w:val="da-DK"/>
        </w:rPr>
        <w:t>serinproteasefaktor</w:t>
      </w:r>
      <w:proofErr w:type="spellEnd"/>
      <w:r w:rsidRPr="00D46609">
        <w:rPr>
          <w:szCs w:val="24"/>
          <w:lang w:val="da-DK"/>
        </w:rPr>
        <w:t xml:space="preserve"> </w:t>
      </w:r>
      <w:proofErr w:type="spellStart"/>
      <w:r w:rsidRPr="00D46609">
        <w:rPr>
          <w:szCs w:val="24"/>
          <w:lang w:val="da-DK"/>
        </w:rPr>
        <w:t>VIIa</w:t>
      </w:r>
      <w:proofErr w:type="spellEnd"/>
      <w:r w:rsidRPr="00D46609">
        <w:rPr>
          <w:szCs w:val="24"/>
          <w:lang w:val="da-DK"/>
        </w:rPr>
        <w:t>, som initierer blodkoagulationen</w:t>
      </w:r>
      <w:r>
        <w:rPr>
          <w:szCs w:val="24"/>
          <w:lang w:val="da-DK"/>
        </w:rPr>
        <w:t xml:space="preserve">s </w:t>
      </w:r>
      <w:proofErr w:type="spellStart"/>
      <w:r>
        <w:rPr>
          <w:szCs w:val="24"/>
          <w:lang w:val="da-DK"/>
        </w:rPr>
        <w:t>extrinsicsti</w:t>
      </w:r>
      <w:proofErr w:type="spellEnd"/>
      <w:r w:rsidRPr="00D46609">
        <w:rPr>
          <w:szCs w:val="24"/>
          <w:lang w:val="da-DK"/>
        </w:rPr>
        <w:t xml:space="preserve">. </w:t>
      </w:r>
      <w:proofErr w:type="spellStart"/>
      <w:r w:rsidRPr="00D46609">
        <w:rPr>
          <w:szCs w:val="24"/>
          <w:lang w:val="da-DK"/>
        </w:rPr>
        <w:t>Vævstromboplastin</w:t>
      </w:r>
      <w:proofErr w:type="spellEnd"/>
      <w:r w:rsidRPr="00D46609">
        <w:rPr>
          <w:szCs w:val="24"/>
          <w:lang w:val="da-DK"/>
        </w:rPr>
        <w:t xml:space="preserve"> faktor-faktor </w:t>
      </w:r>
      <w:proofErr w:type="spellStart"/>
      <w:r w:rsidRPr="00D46609">
        <w:rPr>
          <w:szCs w:val="24"/>
          <w:lang w:val="da-DK"/>
        </w:rPr>
        <w:t>VIIa</w:t>
      </w:r>
      <w:proofErr w:type="spellEnd"/>
      <w:r w:rsidRPr="00D46609">
        <w:rPr>
          <w:szCs w:val="24"/>
          <w:lang w:val="da-DK"/>
        </w:rPr>
        <w:t xml:space="preserve">-komplekset aktiverer koagulationsfaktorerne IX og X, hvorved faktor </w:t>
      </w:r>
      <w:proofErr w:type="spellStart"/>
      <w:r w:rsidRPr="00D46609">
        <w:rPr>
          <w:szCs w:val="24"/>
          <w:lang w:val="da-DK"/>
        </w:rPr>
        <w:t>IXa</w:t>
      </w:r>
      <w:proofErr w:type="spellEnd"/>
      <w:r w:rsidRPr="00D46609">
        <w:rPr>
          <w:szCs w:val="24"/>
          <w:lang w:val="da-DK"/>
        </w:rPr>
        <w:t xml:space="preserve"> og </w:t>
      </w:r>
      <w:proofErr w:type="spellStart"/>
      <w:r w:rsidRPr="00D46609">
        <w:rPr>
          <w:szCs w:val="24"/>
          <w:lang w:val="da-DK"/>
        </w:rPr>
        <w:t>Xa</w:t>
      </w:r>
      <w:proofErr w:type="spellEnd"/>
      <w:r w:rsidRPr="00D46609">
        <w:rPr>
          <w:szCs w:val="24"/>
          <w:lang w:val="da-DK"/>
        </w:rPr>
        <w:t xml:space="preserve"> dannes. Med yderligere aktivering af koagulationskaskaden bliver </w:t>
      </w:r>
      <w:proofErr w:type="spellStart"/>
      <w:r w:rsidRPr="00D46609">
        <w:rPr>
          <w:szCs w:val="24"/>
          <w:lang w:val="da-DK"/>
        </w:rPr>
        <w:t>protrombin</w:t>
      </w:r>
      <w:proofErr w:type="spellEnd"/>
      <w:r w:rsidRPr="00D46609">
        <w:rPr>
          <w:szCs w:val="24"/>
          <w:lang w:val="da-DK"/>
        </w:rPr>
        <w:t xml:space="preserve"> (faktor II) aktiveret og omdannet til </w:t>
      </w:r>
      <w:proofErr w:type="spellStart"/>
      <w:r w:rsidRPr="00D46609">
        <w:rPr>
          <w:szCs w:val="24"/>
          <w:lang w:val="da-DK"/>
        </w:rPr>
        <w:t>trombin</w:t>
      </w:r>
      <w:proofErr w:type="spellEnd"/>
      <w:r w:rsidRPr="00D46609">
        <w:rPr>
          <w:szCs w:val="24"/>
          <w:lang w:val="da-DK"/>
        </w:rPr>
        <w:t xml:space="preserve">. Gennem virkningen af </w:t>
      </w:r>
      <w:proofErr w:type="spellStart"/>
      <w:r w:rsidRPr="00D46609">
        <w:rPr>
          <w:szCs w:val="24"/>
          <w:lang w:val="da-DK"/>
        </w:rPr>
        <w:t>trombin</w:t>
      </w:r>
      <w:proofErr w:type="spellEnd"/>
      <w:r w:rsidRPr="00D46609">
        <w:rPr>
          <w:szCs w:val="24"/>
          <w:lang w:val="da-DK"/>
        </w:rPr>
        <w:t xml:space="preserve"> konverteres </w:t>
      </w:r>
      <w:proofErr w:type="spellStart"/>
      <w:r w:rsidRPr="00D46609">
        <w:rPr>
          <w:szCs w:val="24"/>
          <w:lang w:val="da-DK"/>
        </w:rPr>
        <w:t>fibrinogen</w:t>
      </w:r>
      <w:proofErr w:type="spellEnd"/>
      <w:r w:rsidRPr="00D46609">
        <w:rPr>
          <w:szCs w:val="24"/>
          <w:lang w:val="da-DK"/>
        </w:rPr>
        <w:t xml:space="preserve"> til </w:t>
      </w:r>
      <w:proofErr w:type="spellStart"/>
      <w:r w:rsidRPr="00D46609">
        <w:rPr>
          <w:szCs w:val="24"/>
          <w:lang w:val="da-DK"/>
        </w:rPr>
        <w:t>fibrin</w:t>
      </w:r>
      <w:proofErr w:type="spellEnd"/>
      <w:r w:rsidRPr="00D46609">
        <w:rPr>
          <w:szCs w:val="24"/>
          <w:lang w:val="da-DK"/>
        </w:rPr>
        <w:t xml:space="preserve">, og der begynder at dannes et </w:t>
      </w:r>
      <w:proofErr w:type="spellStart"/>
      <w:r w:rsidRPr="00D46609">
        <w:rPr>
          <w:szCs w:val="24"/>
          <w:lang w:val="da-DK"/>
        </w:rPr>
        <w:t>koagel</w:t>
      </w:r>
      <w:proofErr w:type="spellEnd"/>
      <w:r w:rsidRPr="00D46609">
        <w:rPr>
          <w:szCs w:val="24"/>
          <w:lang w:val="da-DK"/>
        </w:rPr>
        <w:t xml:space="preserve">. Den normale </w:t>
      </w:r>
      <w:proofErr w:type="spellStart"/>
      <w:r w:rsidRPr="00D46609">
        <w:rPr>
          <w:szCs w:val="24"/>
          <w:lang w:val="da-DK"/>
        </w:rPr>
        <w:t>trombindannelse</w:t>
      </w:r>
      <w:proofErr w:type="spellEnd"/>
      <w:r w:rsidRPr="00D46609">
        <w:rPr>
          <w:szCs w:val="24"/>
          <w:lang w:val="da-DK"/>
        </w:rPr>
        <w:t xml:space="preserve"> er også af vital betydning for </w:t>
      </w:r>
      <w:proofErr w:type="spellStart"/>
      <w:r w:rsidRPr="00D46609">
        <w:rPr>
          <w:szCs w:val="24"/>
          <w:lang w:val="da-DK"/>
        </w:rPr>
        <w:t>trombocytfunktionen</w:t>
      </w:r>
      <w:proofErr w:type="spellEnd"/>
      <w:r w:rsidRPr="00D46609">
        <w:rPr>
          <w:szCs w:val="24"/>
          <w:lang w:val="da-DK"/>
        </w:rPr>
        <w:t xml:space="preserve"> som en del af den primære </w:t>
      </w:r>
      <w:proofErr w:type="spellStart"/>
      <w:r w:rsidRPr="00D46609">
        <w:rPr>
          <w:szCs w:val="24"/>
          <w:lang w:val="da-DK"/>
        </w:rPr>
        <w:t>hæmostase</w:t>
      </w:r>
      <w:proofErr w:type="spellEnd"/>
      <w:r w:rsidRPr="00D46609">
        <w:rPr>
          <w:szCs w:val="24"/>
          <w:lang w:val="da-DK"/>
        </w:rPr>
        <w:t>.</w:t>
      </w:r>
    </w:p>
    <w:p w:rsidR="0040242A" w:rsidRPr="00D46609" w:rsidRDefault="0040242A" w:rsidP="0040242A">
      <w:pPr>
        <w:pStyle w:val="LAFISPCNormal"/>
        <w:tabs>
          <w:tab w:val="left" w:pos="0"/>
        </w:tabs>
        <w:ind w:left="851"/>
        <w:rPr>
          <w:szCs w:val="24"/>
          <w:lang w:val="da-DK"/>
        </w:rPr>
      </w:pPr>
    </w:p>
    <w:p w:rsidR="0040242A" w:rsidRPr="00D46609" w:rsidRDefault="0040242A" w:rsidP="0040242A">
      <w:pPr>
        <w:pStyle w:val="LAFISPCNormal"/>
        <w:tabs>
          <w:tab w:val="left" w:pos="0"/>
        </w:tabs>
        <w:ind w:left="851"/>
        <w:rPr>
          <w:szCs w:val="24"/>
          <w:lang w:val="da-DK"/>
        </w:rPr>
      </w:pPr>
      <w:r w:rsidRPr="00D46609">
        <w:rPr>
          <w:szCs w:val="24"/>
          <w:lang w:val="da-DK"/>
        </w:rPr>
        <w:t xml:space="preserve">Isoleret svær mangel på faktor VII medfører reduceret </w:t>
      </w:r>
      <w:proofErr w:type="spellStart"/>
      <w:r w:rsidRPr="00D46609">
        <w:rPr>
          <w:szCs w:val="24"/>
          <w:lang w:val="da-DK"/>
        </w:rPr>
        <w:t>trombindannelse</w:t>
      </w:r>
      <w:proofErr w:type="spellEnd"/>
      <w:r w:rsidRPr="00D46609">
        <w:rPr>
          <w:szCs w:val="24"/>
          <w:lang w:val="da-DK"/>
        </w:rPr>
        <w:t xml:space="preserve"> og en tendens til blødning på grund af forringet </w:t>
      </w:r>
      <w:proofErr w:type="spellStart"/>
      <w:r w:rsidRPr="00D46609">
        <w:rPr>
          <w:szCs w:val="24"/>
          <w:lang w:val="da-DK"/>
        </w:rPr>
        <w:t>fibrindannelse</w:t>
      </w:r>
      <w:proofErr w:type="spellEnd"/>
      <w:r w:rsidRPr="00D46609">
        <w:rPr>
          <w:szCs w:val="24"/>
          <w:lang w:val="da-DK"/>
        </w:rPr>
        <w:t xml:space="preserve"> og forringet primær </w:t>
      </w:r>
      <w:proofErr w:type="spellStart"/>
      <w:r w:rsidRPr="00D46609">
        <w:rPr>
          <w:szCs w:val="24"/>
          <w:lang w:val="da-DK"/>
        </w:rPr>
        <w:t>hæmostase</w:t>
      </w:r>
      <w:proofErr w:type="spellEnd"/>
      <w:r w:rsidRPr="00D46609">
        <w:rPr>
          <w:szCs w:val="24"/>
          <w:lang w:val="da-DK"/>
        </w:rPr>
        <w:t xml:space="preserve">. Isoleret mangel på faktor IX er en af de klassiske </w:t>
      </w:r>
      <w:proofErr w:type="spellStart"/>
      <w:r w:rsidRPr="00D46609">
        <w:rPr>
          <w:szCs w:val="24"/>
          <w:lang w:val="da-DK"/>
        </w:rPr>
        <w:t>hæmofilier</w:t>
      </w:r>
      <w:proofErr w:type="spellEnd"/>
      <w:r w:rsidRPr="00D46609">
        <w:rPr>
          <w:szCs w:val="24"/>
          <w:lang w:val="da-DK"/>
        </w:rPr>
        <w:t xml:space="preserve"> (hæmofili B). Isoleret mangel på faktor II eller faktor X er meget sjældent, men i svær form forårsager det en blødningstendens, der er lig med den, der ses ved klassisk hæmofili.</w:t>
      </w:r>
    </w:p>
    <w:p w:rsidR="0040242A" w:rsidRPr="00D46609" w:rsidRDefault="0040242A" w:rsidP="0040242A">
      <w:pPr>
        <w:pStyle w:val="LAFISPCNormal"/>
        <w:tabs>
          <w:tab w:val="left" w:pos="0"/>
        </w:tabs>
        <w:ind w:left="851"/>
        <w:rPr>
          <w:szCs w:val="24"/>
          <w:lang w:val="da-DK"/>
        </w:rPr>
      </w:pPr>
    </w:p>
    <w:p w:rsidR="0040242A" w:rsidRPr="00D46609" w:rsidRDefault="0040242A" w:rsidP="0040242A">
      <w:pPr>
        <w:pStyle w:val="LAFISPCNormal"/>
        <w:tabs>
          <w:tab w:val="left" w:pos="0"/>
        </w:tabs>
        <w:ind w:left="851"/>
        <w:rPr>
          <w:szCs w:val="24"/>
          <w:lang w:val="da-DK"/>
        </w:rPr>
      </w:pPr>
      <w:r w:rsidRPr="00D46609">
        <w:rPr>
          <w:szCs w:val="24"/>
          <w:lang w:val="da-DK"/>
        </w:rPr>
        <w:t xml:space="preserve">De øvrige indholdsstoffer, koagulationshæmmerne Protein C og Protein S, syntetiseres ligeledes i leveren. Den biologiske aktivitet i Protein C drives af </w:t>
      </w:r>
      <w:proofErr w:type="spellStart"/>
      <w:r w:rsidRPr="00D46609">
        <w:rPr>
          <w:szCs w:val="24"/>
          <w:lang w:val="da-DK"/>
        </w:rPr>
        <w:t>kofaktoren</w:t>
      </w:r>
      <w:proofErr w:type="spellEnd"/>
      <w:r w:rsidRPr="00D46609">
        <w:rPr>
          <w:szCs w:val="24"/>
          <w:lang w:val="da-DK"/>
        </w:rPr>
        <w:t>, Protein S.</w:t>
      </w:r>
    </w:p>
    <w:p w:rsidR="0040242A" w:rsidRPr="00D46609" w:rsidRDefault="0040242A" w:rsidP="0040242A">
      <w:pPr>
        <w:pStyle w:val="LAFISPCNormal"/>
        <w:tabs>
          <w:tab w:val="left" w:pos="0"/>
        </w:tabs>
        <w:ind w:left="851"/>
        <w:rPr>
          <w:szCs w:val="24"/>
          <w:lang w:val="da-DK"/>
        </w:rPr>
      </w:pPr>
      <w:r w:rsidRPr="00D46609">
        <w:rPr>
          <w:szCs w:val="24"/>
          <w:lang w:val="da-DK"/>
        </w:rPr>
        <w:t xml:space="preserve">Aktiveret Protein C hæmmer koagulationen gennem inaktivering af koagulationsfaktor </w:t>
      </w:r>
      <w:proofErr w:type="spellStart"/>
      <w:r w:rsidRPr="00D46609">
        <w:rPr>
          <w:szCs w:val="24"/>
          <w:lang w:val="da-DK"/>
        </w:rPr>
        <w:t>Va</w:t>
      </w:r>
      <w:proofErr w:type="spellEnd"/>
      <w:r w:rsidRPr="00D46609">
        <w:rPr>
          <w:szCs w:val="24"/>
          <w:lang w:val="da-DK"/>
        </w:rPr>
        <w:t xml:space="preserve"> og </w:t>
      </w:r>
      <w:proofErr w:type="spellStart"/>
      <w:r w:rsidRPr="00D46609">
        <w:rPr>
          <w:szCs w:val="24"/>
          <w:lang w:val="da-DK"/>
        </w:rPr>
        <w:t>VIIIa</w:t>
      </w:r>
      <w:proofErr w:type="spellEnd"/>
      <w:r w:rsidRPr="00D46609">
        <w:rPr>
          <w:szCs w:val="24"/>
          <w:lang w:val="da-DK"/>
        </w:rPr>
        <w:t xml:space="preserve">. Protein S støtter som </w:t>
      </w:r>
      <w:proofErr w:type="spellStart"/>
      <w:r w:rsidRPr="00D46609">
        <w:rPr>
          <w:szCs w:val="24"/>
          <w:lang w:val="da-DK"/>
        </w:rPr>
        <w:t>kofaktor</w:t>
      </w:r>
      <w:proofErr w:type="spellEnd"/>
      <w:r w:rsidRPr="00D46609">
        <w:rPr>
          <w:szCs w:val="24"/>
          <w:lang w:val="da-DK"/>
        </w:rPr>
        <w:t xml:space="preserve"> for Protein C inaktiveringen af koagulationen. Mangel på Protein C er forbundet med en øget risiko for trombose. </w:t>
      </w:r>
    </w:p>
    <w:p w:rsidR="0040242A" w:rsidRPr="00D46609" w:rsidRDefault="0040242A" w:rsidP="0040242A">
      <w:pPr>
        <w:pStyle w:val="LAFISPCNormal"/>
        <w:tabs>
          <w:tab w:val="left" w:pos="0"/>
        </w:tabs>
        <w:ind w:left="851"/>
        <w:rPr>
          <w:szCs w:val="24"/>
          <w:lang w:val="da-DK"/>
        </w:rPr>
      </w:pPr>
    </w:p>
    <w:p w:rsidR="0040242A" w:rsidRPr="00D46609" w:rsidRDefault="0040242A" w:rsidP="0040242A">
      <w:pPr>
        <w:pStyle w:val="LAFISPCNormal"/>
        <w:tabs>
          <w:tab w:val="left" w:pos="0"/>
        </w:tabs>
        <w:ind w:left="851"/>
        <w:rPr>
          <w:szCs w:val="24"/>
          <w:lang w:val="da-DK"/>
        </w:rPr>
      </w:pPr>
      <w:r w:rsidRPr="00D46609">
        <w:rPr>
          <w:szCs w:val="24"/>
          <w:lang w:val="da-DK"/>
        </w:rPr>
        <w:t xml:space="preserve">Erhvervet mangel på de vitamin K-afhængige koagulationsfaktorer kan indtræffe under behandling med vitamin K-antagonister. Hvis manglen bliver alvorlig, er resultatet en alvorlig blødningstendens, der er viser sig som </w:t>
      </w:r>
      <w:proofErr w:type="spellStart"/>
      <w:r w:rsidRPr="00D46609">
        <w:rPr>
          <w:szCs w:val="24"/>
          <w:lang w:val="da-DK"/>
        </w:rPr>
        <w:t>retroperitoneale</w:t>
      </w:r>
      <w:proofErr w:type="spellEnd"/>
      <w:r w:rsidRPr="00D46609">
        <w:rPr>
          <w:szCs w:val="24"/>
          <w:lang w:val="da-DK"/>
        </w:rPr>
        <w:t xml:space="preserve"> eller cerebrale blødninger snarere end som blødninger i muskler og led. </w:t>
      </w:r>
      <w:proofErr w:type="gramStart"/>
      <w:r w:rsidRPr="00D46609">
        <w:rPr>
          <w:szCs w:val="24"/>
          <w:lang w:val="da-DK"/>
        </w:rPr>
        <w:t>Svær leversvigt</w:t>
      </w:r>
      <w:proofErr w:type="gramEnd"/>
      <w:r w:rsidRPr="00D46609">
        <w:rPr>
          <w:szCs w:val="24"/>
          <w:lang w:val="da-DK"/>
        </w:rPr>
        <w:t xml:space="preserve"> resulterer også i markant reducerede niveauer af de vitamin K-afhængige koagulationsfaktorer og en klinisk relevant blødningstendens. Denne er dog ofte kompleks på grund af en samtidigt igangværende dårlig </w:t>
      </w:r>
      <w:proofErr w:type="spellStart"/>
      <w:r w:rsidRPr="00D46609">
        <w:rPr>
          <w:szCs w:val="24"/>
          <w:lang w:val="da-DK"/>
        </w:rPr>
        <w:t>intravaskulær</w:t>
      </w:r>
      <w:proofErr w:type="spellEnd"/>
      <w:r w:rsidRPr="00D46609">
        <w:rPr>
          <w:szCs w:val="24"/>
          <w:lang w:val="da-DK"/>
        </w:rPr>
        <w:t xml:space="preserve"> koagulation, et lavt </w:t>
      </w:r>
      <w:proofErr w:type="spellStart"/>
      <w:r w:rsidRPr="00D46609">
        <w:rPr>
          <w:szCs w:val="24"/>
          <w:lang w:val="da-DK"/>
        </w:rPr>
        <w:t>trombocytniveau</w:t>
      </w:r>
      <w:proofErr w:type="spellEnd"/>
      <w:r w:rsidRPr="00D46609">
        <w:rPr>
          <w:szCs w:val="24"/>
          <w:lang w:val="da-DK"/>
        </w:rPr>
        <w:t xml:space="preserve">, mangel på </w:t>
      </w:r>
      <w:proofErr w:type="spellStart"/>
      <w:r w:rsidRPr="00D46609">
        <w:rPr>
          <w:szCs w:val="24"/>
          <w:lang w:val="da-DK"/>
        </w:rPr>
        <w:t>koagulationshæmmere</w:t>
      </w:r>
      <w:proofErr w:type="spellEnd"/>
      <w:r w:rsidRPr="00D46609">
        <w:rPr>
          <w:szCs w:val="24"/>
          <w:lang w:val="da-DK"/>
        </w:rPr>
        <w:t xml:space="preserve"> og forstyrret </w:t>
      </w:r>
      <w:proofErr w:type="spellStart"/>
      <w:r w:rsidRPr="00D46609">
        <w:rPr>
          <w:szCs w:val="24"/>
          <w:lang w:val="da-DK"/>
        </w:rPr>
        <w:t>fibrinolyse</w:t>
      </w:r>
      <w:proofErr w:type="spellEnd"/>
      <w:r w:rsidRPr="00D46609">
        <w:rPr>
          <w:szCs w:val="24"/>
          <w:lang w:val="da-DK"/>
        </w:rPr>
        <w:t xml:space="preserve">. </w:t>
      </w:r>
    </w:p>
    <w:p w:rsidR="0040242A" w:rsidRPr="00D46609" w:rsidRDefault="0040242A" w:rsidP="0040242A">
      <w:pPr>
        <w:pStyle w:val="LAFISPCNormal"/>
        <w:tabs>
          <w:tab w:val="left" w:pos="0"/>
        </w:tabs>
        <w:ind w:left="851"/>
        <w:rPr>
          <w:szCs w:val="24"/>
          <w:lang w:val="da-DK"/>
        </w:rPr>
      </w:pPr>
    </w:p>
    <w:p w:rsidR="0040242A" w:rsidRPr="007B35E3" w:rsidRDefault="0040242A" w:rsidP="0040242A">
      <w:pPr>
        <w:pStyle w:val="LAFISPCNormal"/>
        <w:tabs>
          <w:tab w:val="left" w:pos="0"/>
        </w:tabs>
        <w:ind w:left="851"/>
        <w:rPr>
          <w:szCs w:val="24"/>
          <w:lang w:val="da-DK"/>
        </w:rPr>
      </w:pPr>
      <w:r w:rsidRPr="00D46609">
        <w:rPr>
          <w:szCs w:val="24"/>
          <w:lang w:val="da-DK"/>
        </w:rPr>
        <w:t xml:space="preserve">Administrationen af humant </w:t>
      </w:r>
      <w:proofErr w:type="spellStart"/>
      <w:r w:rsidRPr="00D46609">
        <w:rPr>
          <w:szCs w:val="24"/>
          <w:lang w:val="da-DK"/>
        </w:rPr>
        <w:t>protrombinkompleks</w:t>
      </w:r>
      <w:proofErr w:type="spellEnd"/>
      <w:r w:rsidRPr="00D46609">
        <w:rPr>
          <w:szCs w:val="24"/>
          <w:lang w:val="da-DK"/>
        </w:rPr>
        <w:t xml:space="preserve"> giver en stigning i plasmaniveauer i de vitamin K-afhængige koagulationsfaktorer og kan midlertidigt korrigere koagulationsdefekten hos patienter med mangel på en eller flere af disse faktorer</w:t>
      </w:r>
      <w:r>
        <w:rPr>
          <w:szCs w:val="24"/>
          <w:lang w:val="da-DK"/>
        </w:rPr>
        <w: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0242A" w:rsidRPr="00CC6ECF" w:rsidRDefault="0040242A" w:rsidP="0040242A">
      <w:pPr>
        <w:pStyle w:val="LAFISPCNormal"/>
        <w:tabs>
          <w:tab w:val="left" w:pos="0"/>
        </w:tabs>
        <w:ind w:left="851"/>
        <w:rPr>
          <w:szCs w:val="24"/>
          <w:lang w:val="da-DK"/>
        </w:rPr>
      </w:pPr>
      <w:proofErr w:type="spellStart"/>
      <w:r w:rsidRPr="00CC6ECF">
        <w:rPr>
          <w:szCs w:val="24"/>
          <w:lang w:val="da-DK"/>
        </w:rPr>
        <w:t>Farmakokinetiske</w:t>
      </w:r>
      <w:proofErr w:type="spellEnd"/>
      <w:r w:rsidRPr="00CC6ECF">
        <w:rPr>
          <w:szCs w:val="24"/>
          <w:lang w:val="da-DK"/>
        </w:rPr>
        <w:t xml:space="preserve"> og </w:t>
      </w:r>
      <w:r w:rsidRPr="00CC6ECF">
        <w:rPr>
          <w:i/>
          <w:szCs w:val="24"/>
          <w:lang w:val="da-DK"/>
        </w:rPr>
        <w:t xml:space="preserve">in </w:t>
      </w:r>
      <w:proofErr w:type="spellStart"/>
      <w:r w:rsidRPr="00CC6ECF">
        <w:rPr>
          <w:i/>
          <w:szCs w:val="24"/>
          <w:lang w:val="da-DK"/>
        </w:rPr>
        <w:t>vivo</w:t>
      </w:r>
      <w:proofErr w:type="spellEnd"/>
      <w:r w:rsidRPr="00CC6ECF">
        <w:rPr>
          <w:szCs w:val="24"/>
          <w:lang w:val="da-DK"/>
        </w:rPr>
        <w:t xml:space="preserve"> </w:t>
      </w:r>
      <w:proofErr w:type="spellStart"/>
      <w:r w:rsidRPr="00CC6ECF">
        <w:rPr>
          <w:szCs w:val="24"/>
          <w:lang w:val="da-DK"/>
        </w:rPr>
        <w:t>recovery</w:t>
      </w:r>
      <w:proofErr w:type="spellEnd"/>
      <w:r w:rsidRPr="00CC6ECF">
        <w:rPr>
          <w:szCs w:val="24"/>
          <w:lang w:val="da-DK"/>
        </w:rPr>
        <w:t xml:space="preserve"> data blev genereret i et studie af raske frivillige (N = 15) og i to studier af reversering af vitamin K-antagonistbehandling for akut alvorlig blødning eller perioperativ blødningsprofylakse (N = 98, N = 43).</w:t>
      </w:r>
    </w:p>
    <w:p w:rsidR="0040242A" w:rsidRPr="00CC6ECF" w:rsidRDefault="0040242A" w:rsidP="0040242A">
      <w:pPr>
        <w:pStyle w:val="LAFISPCNormal"/>
        <w:tabs>
          <w:tab w:val="left" w:pos="0"/>
        </w:tabs>
        <w:ind w:left="851"/>
        <w:rPr>
          <w:szCs w:val="24"/>
          <w:lang w:val="da-DK"/>
        </w:rPr>
      </w:pPr>
    </w:p>
    <w:p w:rsidR="0040242A" w:rsidRPr="00CC6ECF" w:rsidRDefault="0040242A" w:rsidP="0040242A">
      <w:pPr>
        <w:pStyle w:val="LAFISPCNormal"/>
        <w:tabs>
          <w:tab w:val="left" w:pos="0"/>
          <w:tab w:val="left" w:pos="851"/>
        </w:tabs>
        <w:ind w:left="851"/>
        <w:rPr>
          <w:szCs w:val="24"/>
          <w:u w:val="single"/>
          <w:lang w:val="da-DK"/>
        </w:rPr>
      </w:pPr>
      <w:r>
        <w:rPr>
          <w:szCs w:val="24"/>
          <w:u w:val="single"/>
          <w:lang w:val="da-DK"/>
        </w:rPr>
        <w:t>Studiet af raske frivillige</w:t>
      </w:r>
    </w:p>
    <w:p w:rsidR="0040242A" w:rsidRPr="00CC6ECF" w:rsidRDefault="0040242A" w:rsidP="0040242A">
      <w:pPr>
        <w:pStyle w:val="LAFISPCNormal"/>
        <w:tabs>
          <w:tab w:val="left" w:pos="0"/>
          <w:tab w:val="left" w:pos="851"/>
        </w:tabs>
        <w:ind w:left="851"/>
        <w:rPr>
          <w:szCs w:val="24"/>
          <w:lang w:val="da-DK"/>
        </w:rPr>
      </w:pPr>
      <w:r w:rsidRPr="00CC6ECF">
        <w:rPr>
          <w:szCs w:val="24"/>
          <w:lang w:val="da-DK"/>
        </w:rPr>
        <w:t xml:space="preserve">15 raske frivillige fik administreret 50 IE/kg af </w:t>
      </w:r>
      <w:proofErr w:type="spellStart"/>
      <w:r w:rsidRPr="00CC6ECF">
        <w:rPr>
          <w:szCs w:val="24"/>
          <w:lang w:val="da-DK"/>
        </w:rPr>
        <w:t>Confidex</w:t>
      </w:r>
      <w:proofErr w:type="spellEnd"/>
      <w:r w:rsidRPr="00CC6ECF">
        <w:rPr>
          <w:szCs w:val="24"/>
          <w:lang w:val="da-DK"/>
        </w:rPr>
        <w:t xml:space="preserve">. IVR er stigningen i de målelige faktorniveauer i plasma (IE/ml), som kan forventes efter en infusion af faktorer (IE/kg), </w:t>
      </w:r>
      <w:proofErr w:type="spellStart"/>
      <w:r w:rsidRPr="00CC6ECF">
        <w:rPr>
          <w:szCs w:val="24"/>
          <w:lang w:val="da-DK"/>
        </w:rPr>
        <w:t>administeret</w:t>
      </w:r>
      <w:proofErr w:type="spellEnd"/>
      <w:r w:rsidRPr="00CC6ECF">
        <w:rPr>
          <w:szCs w:val="24"/>
          <w:lang w:val="da-DK"/>
        </w:rPr>
        <w:t xml:space="preserve"> som en dosis af </w:t>
      </w:r>
      <w:proofErr w:type="spellStart"/>
      <w:r w:rsidRPr="00CC6ECF">
        <w:rPr>
          <w:szCs w:val="24"/>
          <w:lang w:val="da-DK"/>
        </w:rPr>
        <w:t>Confidex</w:t>
      </w:r>
      <w:proofErr w:type="spellEnd"/>
      <w:r w:rsidRPr="00CC6ECF">
        <w:rPr>
          <w:szCs w:val="24"/>
          <w:lang w:val="da-DK"/>
        </w:rPr>
        <w:t xml:space="preserve">. Trinvist stigende </w:t>
      </w:r>
      <w:proofErr w:type="spellStart"/>
      <w:r w:rsidRPr="00CC6ECF">
        <w:rPr>
          <w:szCs w:val="24"/>
          <w:lang w:val="da-DK"/>
        </w:rPr>
        <w:t>IVR'er</w:t>
      </w:r>
      <w:proofErr w:type="spellEnd"/>
      <w:r w:rsidRPr="00CC6ECF">
        <w:rPr>
          <w:szCs w:val="24"/>
          <w:lang w:val="da-DK"/>
        </w:rPr>
        <w:t xml:space="preserve"> for faktor II, VII, IX, X og Protein C og S blev vurderet. Alle de maksimale niveauer af komponenterne indtraf inden for 3 timers-intervallet. Middelværdien for de trinvist stigende </w:t>
      </w:r>
      <w:proofErr w:type="spellStart"/>
      <w:r w:rsidRPr="00CC6ECF">
        <w:rPr>
          <w:szCs w:val="24"/>
          <w:lang w:val="da-DK"/>
        </w:rPr>
        <w:t>IVR'er</w:t>
      </w:r>
      <w:proofErr w:type="spellEnd"/>
      <w:r w:rsidRPr="00CC6ECF">
        <w:rPr>
          <w:szCs w:val="24"/>
          <w:lang w:val="da-DK"/>
        </w:rPr>
        <w:t xml:space="preserve"> lå mellem 0,016 IE/ml for Faktor IX og 0,028 for Protein C. Middelværdien for halveringstiden i plasma og trinvist stigende IVR er som følger:</w:t>
      </w:r>
    </w:p>
    <w:p w:rsidR="0040242A" w:rsidRPr="00CC6ECF" w:rsidRDefault="0040242A" w:rsidP="0040242A">
      <w:pPr>
        <w:pStyle w:val="LAFISPCNormal"/>
        <w:tabs>
          <w:tab w:val="left" w:pos="0"/>
        </w:tabs>
        <w:ind w:left="851"/>
        <w:rPr>
          <w:szCs w:val="24"/>
          <w:lang w:val="da-DK"/>
        </w:rPr>
      </w:pPr>
    </w:p>
    <w:tbl>
      <w:tblPr>
        <w:tblW w:w="9073" w:type="dxa"/>
        <w:tblInd w:w="107" w:type="dxa"/>
        <w:tblLayout w:type="fixed"/>
        <w:tblCellMar>
          <w:left w:w="107" w:type="dxa"/>
          <w:right w:w="107" w:type="dxa"/>
        </w:tblCellMar>
        <w:tblLook w:val="04A0" w:firstRow="1" w:lastRow="0" w:firstColumn="1" w:lastColumn="0" w:noHBand="0" w:noVBand="1"/>
      </w:tblPr>
      <w:tblGrid>
        <w:gridCol w:w="2410"/>
        <w:gridCol w:w="35"/>
        <w:gridCol w:w="2942"/>
        <w:gridCol w:w="35"/>
        <w:gridCol w:w="1559"/>
        <w:gridCol w:w="1984"/>
        <w:gridCol w:w="108"/>
      </w:tblGrid>
      <w:tr w:rsidR="0040242A" w:rsidRPr="00CC6ECF" w:rsidTr="003B4BCE">
        <w:tc>
          <w:tcPr>
            <w:tcW w:w="2410" w:type="dxa"/>
            <w:tcBorders>
              <w:top w:val="single" w:sz="4" w:space="0" w:color="auto"/>
              <w:left w:val="nil"/>
              <w:bottom w:val="nil"/>
              <w:right w:val="nil"/>
            </w:tcBorders>
            <w:tcMar>
              <w:top w:w="57" w:type="dxa"/>
              <w:left w:w="107" w:type="dxa"/>
              <w:bottom w:w="57" w:type="dxa"/>
              <w:right w:w="107" w:type="dxa"/>
            </w:tcMar>
            <w:vAlign w:val="center"/>
            <w:hideMark/>
          </w:tcPr>
          <w:p w:rsidR="0040242A" w:rsidRPr="00CC6ECF" w:rsidRDefault="0040242A" w:rsidP="003B4BCE">
            <w:pPr>
              <w:tabs>
                <w:tab w:val="left" w:pos="0"/>
              </w:tabs>
              <w:ind w:left="70"/>
              <w:rPr>
                <w:sz w:val="24"/>
                <w:szCs w:val="24"/>
              </w:rPr>
            </w:pPr>
            <w:r w:rsidRPr="00CC6ECF">
              <w:rPr>
                <w:sz w:val="24"/>
                <w:szCs w:val="24"/>
              </w:rPr>
              <w:t>Parameter</w:t>
            </w:r>
          </w:p>
        </w:tc>
        <w:tc>
          <w:tcPr>
            <w:tcW w:w="2977" w:type="dxa"/>
            <w:gridSpan w:val="2"/>
            <w:tcBorders>
              <w:top w:val="single" w:sz="4" w:space="0" w:color="auto"/>
              <w:left w:val="nil"/>
              <w:bottom w:val="nil"/>
              <w:right w:val="nil"/>
            </w:tcBorders>
          </w:tcPr>
          <w:p w:rsidR="0040242A" w:rsidRPr="00CC6ECF" w:rsidRDefault="0040242A" w:rsidP="003B4BCE">
            <w:pPr>
              <w:tabs>
                <w:tab w:val="left" w:pos="0"/>
              </w:tabs>
              <w:jc w:val="center"/>
              <w:rPr>
                <w:sz w:val="24"/>
                <w:szCs w:val="24"/>
              </w:rPr>
            </w:pPr>
            <w:r w:rsidRPr="00CC6ECF">
              <w:rPr>
                <w:sz w:val="24"/>
                <w:szCs w:val="24"/>
              </w:rPr>
              <w:t>Middelværdi for halveringstid i plasma (område)/timer</w:t>
            </w:r>
          </w:p>
        </w:tc>
        <w:tc>
          <w:tcPr>
            <w:tcW w:w="3686" w:type="dxa"/>
            <w:gridSpan w:val="4"/>
            <w:tcBorders>
              <w:top w:val="single" w:sz="4" w:space="0" w:color="auto"/>
              <w:left w:val="nil"/>
              <w:bottom w:val="nil"/>
              <w:right w:val="nil"/>
            </w:tcBorders>
            <w:hideMark/>
          </w:tcPr>
          <w:p w:rsidR="0040242A" w:rsidRPr="00CC6ECF" w:rsidRDefault="0040242A" w:rsidP="003B4BCE">
            <w:pPr>
              <w:tabs>
                <w:tab w:val="left" w:pos="0"/>
              </w:tabs>
              <w:ind w:left="-73"/>
              <w:jc w:val="center"/>
              <w:rPr>
                <w:sz w:val="24"/>
                <w:szCs w:val="24"/>
              </w:rPr>
            </w:pPr>
            <w:r w:rsidRPr="00CC6ECF">
              <w:rPr>
                <w:sz w:val="24"/>
                <w:szCs w:val="24"/>
              </w:rPr>
              <w:t xml:space="preserve">Trinvist stigende IVR </w:t>
            </w:r>
            <w:r w:rsidRPr="00CC6ECF">
              <w:rPr>
                <w:sz w:val="24"/>
                <w:szCs w:val="24"/>
              </w:rPr>
              <w:br/>
              <w:t>(IE/ml per IE/kg vægt)</w:t>
            </w:r>
          </w:p>
        </w:tc>
      </w:tr>
      <w:tr w:rsidR="0040242A" w:rsidRPr="00CC6ECF" w:rsidTr="003B4BCE">
        <w:trPr>
          <w:trHeight w:val="284"/>
        </w:trPr>
        <w:tc>
          <w:tcPr>
            <w:tcW w:w="2410" w:type="dxa"/>
            <w:tcBorders>
              <w:top w:val="nil"/>
              <w:left w:val="nil"/>
              <w:bottom w:val="single" w:sz="4" w:space="0" w:color="auto"/>
              <w:right w:val="nil"/>
            </w:tcBorders>
            <w:tcMar>
              <w:top w:w="57" w:type="dxa"/>
              <w:left w:w="107" w:type="dxa"/>
              <w:bottom w:w="57" w:type="dxa"/>
              <w:right w:w="107" w:type="dxa"/>
            </w:tcMar>
            <w:vAlign w:val="center"/>
          </w:tcPr>
          <w:p w:rsidR="0040242A" w:rsidRPr="00CC6ECF" w:rsidRDefault="0040242A" w:rsidP="003B4BCE">
            <w:pPr>
              <w:tabs>
                <w:tab w:val="left" w:pos="0"/>
              </w:tabs>
              <w:ind w:left="70"/>
              <w:rPr>
                <w:sz w:val="24"/>
                <w:szCs w:val="24"/>
              </w:rPr>
            </w:pPr>
          </w:p>
        </w:tc>
        <w:tc>
          <w:tcPr>
            <w:tcW w:w="2977" w:type="dxa"/>
            <w:gridSpan w:val="2"/>
            <w:tcBorders>
              <w:top w:val="nil"/>
              <w:left w:val="nil"/>
              <w:bottom w:val="single" w:sz="4" w:space="0" w:color="auto"/>
              <w:right w:val="nil"/>
            </w:tcBorders>
          </w:tcPr>
          <w:p w:rsidR="0040242A" w:rsidRPr="00CC6ECF" w:rsidRDefault="0040242A" w:rsidP="003B4BCE">
            <w:pPr>
              <w:tabs>
                <w:tab w:val="left" w:pos="0"/>
                <w:tab w:val="left" w:pos="851"/>
              </w:tabs>
              <w:rPr>
                <w:sz w:val="24"/>
                <w:szCs w:val="24"/>
              </w:rPr>
            </w:pPr>
          </w:p>
        </w:tc>
        <w:tc>
          <w:tcPr>
            <w:tcW w:w="1594" w:type="dxa"/>
            <w:gridSpan w:val="2"/>
            <w:tcBorders>
              <w:top w:val="nil"/>
              <w:left w:val="nil"/>
              <w:bottom w:val="single" w:sz="4" w:space="0" w:color="auto"/>
              <w:right w:val="nil"/>
            </w:tcBorders>
            <w:vAlign w:val="center"/>
            <w:hideMark/>
          </w:tcPr>
          <w:p w:rsidR="0040242A" w:rsidRPr="00CC6ECF" w:rsidRDefault="0040242A" w:rsidP="003B4BCE">
            <w:pPr>
              <w:tabs>
                <w:tab w:val="left" w:pos="0"/>
              </w:tabs>
              <w:ind w:left="-73"/>
              <w:jc w:val="center"/>
              <w:rPr>
                <w:sz w:val="24"/>
                <w:szCs w:val="24"/>
              </w:rPr>
            </w:pPr>
            <w:r w:rsidRPr="00CC6ECF">
              <w:rPr>
                <w:sz w:val="24"/>
                <w:szCs w:val="24"/>
              </w:rPr>
              <w:t>Geometrisk middelværdi</w:t>
            </w:r>
          </w:p>
        </w:tc>
        <w:tc>
          <w:tcPr>
            <w:tcW w:w="2092" w:type="dxa"/>
            <w:gridSpan w:val="2"/>
            <w:tcBorders>
              <w:top w:val="nil"/>
              <w:left w:val="nil"/>
              <w:bottom w:val="single" w:sz="4" w:space="0" w:color="auto"/>
              <w:right w:val="nil"/>
            </w:tcBorders>
            <w:vAlign w:val="center"/>
            <w:hideMark/>
          </w:tcPr>
          <w:p w:rsidR="0040242A" w:rsidRPr="00CC6ECF" w:rsidRDefault="0040242A" w:rsidP="003B4BCE">
            <w:pPr>
              <w:tabs>
                <w:tab w:val="left" w:pos="176"/>
              </w:tabs>
              <w:ind w:left="318"/>
              <w:rPr>
                <w:sz w:val="24"/>
                <w:szCs w:val="24"/>
              </w:rPr>
            </w:pPr>
            <w:r w:rsidRPr="00CC6ECF">
              <w:rPr>
                <w:sz w:val="24"/>
                <w:szCs w:val="24"/>
              </w:rPr>
              <w:t>90 % CI†</w:t>
            </w:r>
          </w:p>
        </w:tc>
      </w:tr>
      <w:tr w:rsidR="0040242A" w:rsidRPr="00CC6ECF" w:rsidTr="003B4BCE">
        <w:trPr>
          <w:gridAfter w:val="1"/>
          <w:wAfter w:w="108" w:type="dxa"/>
        </w:trPr>
        <w:tc>
          <w:tcPr>
            <w:tcW w:w="2445" w:type="dxa"/>
            <w:gridSpan w:val="2"/>
            <w:tcBorders>
              <w:top w:val="single" w:sz="4" w:space="0" w:color="auto"/>
              <w:left w:val="nil"/>
              <w:bottom w:val="nil"/>
              <w:right w:val="nil"/>
            </w:tcBorders>
            <w:tcMar>
              <w:top w:w="57" w:type="dxa"/>
              <w:left w:w="107" w:type="dxa"/>
              <w:bottom w:w="57" w:type="dxa"/>
              <w:right w:w="107" w:type="dxa"/>
            </w:tcMar>
            <w:hideMark/>
          </w:tcPr>
          <w:p w:rsidR="0040242A" w:rsidRPr="00CC6ECF" w:rsidRDefault="0040242A" w:rsidP="003B4BCE">
            <w:pPr>
              <w:tabs>
                <w:tab w:val="left" w:pos="0"/>
              </w:tabs>
              <w:ind w:left="70"/>
              <w:rPr>
                <w:sz w:val="24"/>
                <w:szCs w:val="24"/>
                <w:lang w:val="en-US"/>
              </w:rPr>
            </w:pPr>
            <w:r w:rsidRPr="00CC6ECF">
              <w:rPr>
                <w:sz w:val="24"/>
                <w:szCs w:val="24"/>
              </w:rPr>
              <w:t>Faktor II</w:t>
            </w:r>
          </w:p>
        </w:tc>
        <w:tc>
          <w:tcPr>
            <w:tcW w:w="2977" w:type="dxa"/>
            <w:gridSpan w:val="2"/>
            <w:tcBorders>
              <w:top w:val="single" w:sz="4" w:space="0" w:color="auto"/>
              <w:left w:val="nil"/>
              <w:bottom w:val="nil"/>
              <w:right w:val="nil"/>
            </w:tcBorders>
          </w:tcPr>
          <w:p w:rsidR="0040242A" w:rsidRPr="00CC6ECF" w:rsidRDefault="0040242A" w:rsidP="003B4BCE">
            <w:pPr>
              <w:tabs>
                <w:tab w:val="left" w:pos="0"/>
                <w:tab w:val="left" w:pos="851"/>
                <w:tab w:val="left" w:pos="1062"/>
              </w:tabs>
              <w:ind w:left="70"/>
              <w:jc w:val="center"/>
              <w:rPr>
                <w:sz w:val="24"/>
                <w:szCs w:val="24"/>
                <w:lang w:val="en-US"/>
              </w:rPr>
            </w:pPr>
            <w:r w:rsidRPr="00CC6ECF">
              <w:rPr>
                <w:sz w:val="24"/>
                <w:szCs w:val="24"/>
                <w:lang w:val="en-GB"/>
              </w:rPr>
              <w:t>60 (25 – 135)</w:t>
            </w:r>
          </w:p>
        </w:tc>
        <w:tc>
          <w:tcPr>
            <w:tcW w:w="1559" w:type="dxa"/>
            <w:tcBorders>
              <w:top w:val="single" w:sz="4" w:space="0" w:color="auto"/>
              <w:left w:val="nil"/>
              <w:bottom w:val="nil"/>
              <w:right w:val="nil"/>
            </w:tcBorders>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0,022</w:t>
            </w:r>
          </w:p>
        </w:tc>
        <w:tc>
          <w:tcPr>
            <w:tcW w:w="1984" w:type="dxa"/>
            <w:tcBorders>
              <w:top w:val="single" w:sz="4" w:space="0" w:color="auto"/>
              <w:left w:val="nil"/>
              <w:bottom w:val="nil"/>
              <w:right w:val="nil"/>
            </w:tcBorders>
            <w:hideMark/>
          </w:tcPr>
          <w:p w:rsidR="0040242A" w:rsidRPr="00CC6ECF" w:rsidRDefault="0040242A" w:rsidP="003B4BCE">
            <w:pPr>
              <w:tabs>
                <w:tab w:val="left" w:pos="460"/>
                <w:tab w:val="left" w:pos="851"/>
              </w:tabs>
              <w:ind w:left="35"/>
              <w:rPr>
                <w:sz w:val="24"/>
                <w:szCs w:val="24"/>
                <w:lang w:val="en-US"/>
              </w:rPr>
            </w:pPr>
            <w:r w:rsidRPr="00CC6ECF">
              <w:rPr>
                <w:sz w:val="24"/>
                <w:szCs w:val="24"/>
                <w:lang w:val="en-GB"/>
              </w:rPr>
              <w:t>(0,020 – 0,023)</w:t>
            </w:r>
          </w:p>
        </w:tc>
      </w:tr>
      <w:tr w:rsidR="0040242A" w:rsidRPr="00CC6ECF" w:rsidTr="003B4BCE">
        <w:trPr>
          <w:gridAfter w:val="1"/>
          <w:wAfter w:w="108" w:type="dxa"/>
        </w:trPr>
        <w:tc>
          <w:tcPr>
            <w:tcW w:w="2445" w:type="dxa"/>
            <w:gridSpan w:val="2"/>
            <w:tcMar>
              <w:top w:w="57" w:type="dxa"/>
              <w:left w:w="107" w:type="dxa"/>
              <w:bottom w:w="57" w:type="dxa"/>
              <w:right w:w="107" w:type="dxa"/>
            </w:tcMar>
            <w:hideMark/>
          </w:tcPr>
          <w:p w:rsidR="0040242A" w:rsidRPr="00CC6ECF" w:rsidRDefault="0040242A" w:rsidP="003B4BCE">
            <w:pPr>
              <w:tabs>
                <w:tab w:val="left" w:pos="0"/>
              </w:tabs>
              <w:ind w:left="70"/>
              <w:rPr>
                <w:sz w:val="24"/>
                <w:szCs w:val="24"/>
                <w:lang w:val="en-US"/>
              </w:rPr>
            </w:pPr>
            <w:r w:rsidRPr="00CC6ECF">
              <w:rPr>
                <w:sz w:val="24"/>
                <w:szCs w:val="24"/>
              </w:rPr>
              <w:t>Faktor VII</w:t>
            </w:r>
          </w:p>
        </w:tc>
        <w:tc>
          <w:tcPr>
            <w:tcW w:w="2977" w:type="dxa"/>
            <w:gridSpan w:val="2"/>
          </w:tcPr>
          <w:p w:rsidR="0040242A" w:rsidRPr="00CC6ECF" w:rsidRDefault="0040242A" w:rsidP="003B4BCE">
            <w:pPr>
              <w:tabs>
                <w:tab w:val="left" w:pos="0"/>
                <w:tab w:val="left" w:pos="851"/>
                <w:tab w:val="left" w:pos="1062"/>
              </w:tabs>
              <w:ind w:left="70"/>
              <w:jc w:val="center"/>
              <w:rPr>
                <w:sz w:val="24"/>
                <w:szCs w:val="24"/>
                <w:lang w:val="en-US"/>
              </w:rPr>
            </w:pPr>
            <w:r w:rsidRPr="00CC6ECF">
              <w:rPr>
                <w:sz w:val="24"/>
                <w:szCs w:val="24"/>
                <w:lang w:val="en-GB"/>
              </w:rPr>
              <w:t>4 (2 – 9)</w:t>
            </w:r>
          </w:p>
        </w:tc>
        <w:tc>
          <w:tcPr>
            <w:tcW w:w="1559" w:type="dxa"/>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0,024</w:t>
            </w:r>
          </w:p>
        </w:tc>
        <w:tc>
          <w:tcPr>
            <w:tcW w:w="1984" w:type="dxa"/>
            <w:hideMark/>
          </w:tcPr>
          <w:p w:rsidR="0040242A" w:rsidRPr="00CC6ECF" w:rsidRDefault="0040242A" w:rsidP="003B4BCE">
            <w:pPr>
              <w:tabs>
                <w:tab w:val="left" w:pos="460"/>
                <w:tab w:val="left" w:pos="851"/>
              </w:tabs>
              <w:ind w:left="35"/>
              <w:rPr>
                <w:sz w:val="24"/>
                <w:szCs w:val="24"/>
                <w:lang w:val="en-US"/>
              </w:rPr>
            </w:pPr>
            <w:r w:rsidRPr="00CC6ECF">
              <w:rPr>
                <w:sz w:val="24"/>
                <w:szCs w:val="24"/>
                <w:lang w:val="en-GB"/>
              </w:rPr>
              <w:t>(0,023 – 0,026)</w:t>
            </w:r>
          </w:p>
        </w:tc>
      </w:tr>
      <w:tr w:rsidR="0040242A" w:rsidRPr="00CC6ECF" w:rsidTr="003B4BCE">
        <w:trPr>
          <w:gridAfter w:val="1"/>
          <w:wAfter w:w="108" w:type="dxa"/>
        </w:trPr>
        <w:tc>
          <w:tcPr>
            <w:tcW w:w="2445" w:type="dxa"/>
            <w:gridSpan w:val="2"/>
            <w:tcMar>
              <w:top w:w="57" w:type="dxa"/>
              <w:left w:w="107" w:type="dxa"/>
              <w:bottom w:w="57" w:type="dxa"/>
              <w:right w:w="107" w:type="dxa"/>
            </w:tcMar>
            <w:hideMark/>
          </w:tcPr>
          <w:p w:rsidR="0040242A" w:rsidRPr="00CC6ECF" w:rsidRDefault="0040242A" w:rsidP="003B4BCE">
            <w:pPr>
              <w:tabs>
                <w:tab w:val="left" w:pos="0"/>
              </w:tabs>
              <w:ind w:left="70"/>
              <w:rPr>
                <w:sz w:val="24"/>
                <w:szCs w:val="24"/>
                <w:lang w:val="en-US"/>
              </w:rPr>
            </w:pPr>
            <w:r w:rsidRPr="00CC6ECF">
              <w:rPr>
                <w:sz w:val="24"/>
                <w:szCs w:val="24"/>
              </w:rPr>
              <w:t>Faktor IX</w:t>
            </w:r>
          </w:p>
        </w:tc>
        <w:tc>
          <w:tcPr>
            <w:tcW w:w="2977" w:type="dxa"/>
            <w:gridSpan w:val="2"/>
          </w:tcPr>
          <w:p w:rsidR="0040242A" w:rsidRPr="00CC6ECF" w:rsidRDefault="0040242A" w:rsidP="003B4BCE">
            <w:pPr>
              <w:tabs>
                <w:tab w:val="left" w:pos="0"/>
                <w:tab w:val="left" w:pos="851"/>
                <w:tab w:val="left" w:pos="1062"/>
              </w:tabs>
              <w:ind w:left="70"/>
              <w:jc w:val="center"/>
              <w:rPr>
                <w:sz w:val="24"/>
                <w:szCs w:val="24"/>
                <w:lang w:val="en-US"/>
              </w:rPr>
            </w:pPr>
            <w:r w:rsidRPr="00CC6ECF">
              <w:rPr>
                <w:sz w:val="24"/>
                <w:szCs w:val="24"/>
                <w:lang w:val="en-GB"/>
              </w:rPr>
              <w:t>17 (10 – 127) *</w:t>
            </w:r>
          </w:p>
        </w:tc>
        <w:tc>
          <w:tcPr>
            <w:tcW w:w="1559" w:type="dxa"/>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0,016</w:t>
            </w:r>
          </w:p>
        </w:tc>
        <w:tc>
          <w:tcPr>
            <w:tcW w:w="1984" w:type="dxa"/>
            <w:hideMark/>
          </w:tcPr>
          <w:p w:rsidR="0040242A" w:rsidRPr="00CC6ECF" w:rsidRDefault="0040242A" w:rsidP="003B4BCE">
            <w:pPr>
              <w:tabs>
                <w:tab w:val="left" w:pos="460"/>
                <w:tab w:val="left" w:pos="851"/>
              </w:tabs>
              <w:ind w:left="35"/>
              <w:rPr>
                <w:sz w:val="24"/>
                <w:szCs w:val="24"/>
                <w:lang w:val="en-US"/>
              </w:rPr>
            </w:pPr>
            <w:r w:rsidRPr="00CC6ECF">
              <w:rPr>
                <w:sz w:val="24"/>
                <w:szCs w:val="24"/>
                <w:lang w:val="en-GB"/>
              </w:rPr>
              <w:t>(0,014 – 0,018)</w:t>
            </w:r>
          </w:p>
        </w:tc>
      </w:tr>
      <w:tr w:rsidR="0040242A" w:rsidRPr="00CC6ECF" w:rsidTr="003B4BCE">
        <w:trPr>
          <w:gridAfter w:val="1"/>
          <w:wAfter w:w="108" w:type="dxa"/>
        </w:trPr>
        <w:tc>
          <w:tcPr>
            <w:tcW w:w="2445" w:type="dxa"/>
            <w:gridSpan w:val="2"/>
            <w:tcMar>
              <w:top w:w="57" w:type="dxa"/>
              <w:left w:w="107" w:type="dxa"/>
              <w:bottom w:w="57" w:type="dxa"/>
              <w:right w:w="107" w:type="dxa"/>
            </w:tcMar>
            <w:vAlign w:val="center"/>
            <w:hideMark/>
          </w:tcPr>
          <w:p w:rsidR="0040242A" w:rsidRPr="00CC6ECF" w:rsidRDefault="0040242A" w:rsidP="003B4BCE">
            <w:pPr>
              <w:tabs>
                <w:tab w:val="left" w:pos="0"/>
              </w:tabs>
              <w:ind w:left="70"/>
              <w:rPr>
                <w:sz w:val="24"/>
                <w:szCs w:val="24"/>
                <w:lang w:val="en-US"/>
              </w:rPr>
            </w:pPr>
            <w:r w:rsidRPr="00CC6ECF">
              <w:rPr>
                <w:sz w:val="24"/>
                <w:szCs w:val="24"/>
              </w:rPr>
              <w:t>Faktor X</w:t>
            </w:r>
          </w:p>
        </w:tc>
        <w:tc>
          <w:tcPr>
            <w:tcW w:w="2977" w:type="dxa"/>
            <w:gridSpan w:val="2"/>
          </w:tcPr>
          <w:p w:rsidR="0040242A" w:rsidRPr="00CC6ECF" w:rsidRDefault="0040242A" w:rsidP="003B4BCE">
            <w:pPr>
              <w:tabs>
                <w:tab w:val="left" w:pos="0"/>
                <w:tab w:val="left" w:pos="851"/>
                <w:tab w:val="left" w:pos="1062"/>
              </w:tabs>
              <w:ind w:left="70"/>
              <w:jc w:val="center"/>
              <w:rPr>
                <w:sz w:val="24"/>
                <w:szCs w:val="24"/>
                <w:lang w:val="en-US"/>
              </w:rPr>
            </w:pPr>
            <w:r w:rsidRPr="00CC6ECF">
              <w:rPr>
                <w:sz w:val="24"/>
                <w:szCs w:val="24"/>
                <w:lang w:val="en-GB"/>
              </w:rPr>
              <w:t>31 (17 – 44)</w:t>
            </w:r>
          </w:p>
        </w:tc>
        <w:tc>
          <w:tcPr>
            <w:tcW w:w="1559" w:type="dxa"/>
            <w:vAlign w:val="center"/>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0,021</w:t>
            </w:r>
          </w:p>
        </w:tc>
        <w:tc>
          <w:tcPr>
            <w:tcW w:w="1984" w:type="dxa"/>
            <w:hideMark/>
          </w:tcPr>
          <w:p w:rsidR="0040242A" w:rsidRPr="00CC6ECF" w:rsidRDefault="0040242A" w:rsidP="003B4BCE">
            <w:pPr>
              <w:tabs>
                <w:tab w:val="left" w:pos="460"/>
                <w:tab w:val="left" w:pos="851"/>
              </w:tabs>
              <w:ind w:left="35"/>
              <w:rPr>
                <w:sz w:val="24"/>
                <w:szCs w:val="24"/>
                <w:lang w:val="en-US"/>
              </w:rPr>
            </w:pPr>
            <w:r w:rsidRPr="00CC6ECF">
              <w:rPr>
                <w:sz w:val="24"/>
                <w:szCs w:val="24"/>
                <w:lang w:val="en-GB"/>
              </w:rPr>
              <w:t>(0,020 – 0,023)</w:t>
            </w:r>
          </w:p>
        </w:tc>
      </w:tr>
      <w:tr w:rsidR="0040242A" w:rsidRPr="00CC6ECF" w:rsidTr="003B4BCE">
        <w:trPr>
          <w:gridAfter w:val="1"/>
          <w:wAfter w:w="108" w:type="dxa"/>
        </w:trPr>
        <w:tc>
          <w:tcPr>
            <w:tcW w:w="2445" w:type="dxa"/>
            <w:gridSpan w:val="2"/>
            <w:tcMar>
              <w:top w:w="57" w:type="dxa"/>
              <w:left w:w="107" w:type="dxa"/>
              <w:bottom w:w="57" w:type="dxa"/>
              <w:right w:w="107" w:type="dxa"/>
            </w:tcMar>
            <w:vAlign w:val="center"/>
            <w:hideMark/>
          </w:tcPr>
          <w:p w:rsidR="0040242A" w:rsidRPr="00CC6ECF" w:rsidRDefault="0040242A" w:rsidP="003B4BCE">
            <w:pPr>
              <w:tabs>
                <w:tab w:val="left" w:pos="0"/>
              </w:tabs>
              <w:ind w:left="70"/>
              <w:rPr>
                <w:sz w:val="24"/>
                <w:szCs w:val="24"/>
                <w:lang w:val="en-US"/>
              </w:rPr>
            </w:pPr>
            <w:r w:rsidRPr="00CC6ECF">
              <w:rPr>
                <w:sz w:val="24"/>
                <w:szCs w:val="24"/>
              </w:rPr>
              <w:t>Protein C</w:t>
            </w:r>
          </w:p>
        </w:tc>
        <w:tc>
          <w:tcPr>
            <w:tcW w:w="2977" w:type="dxa"/>
            <w:gridSpan w:val="2"/>
          </w:tcPr>
          <w:p w:rsidR="0040242A" w:rsidRPr="00CC6ECF" w:rsidRDefault="0040242A" w:rsidP="003B4BCE">
            <w:pPr>
              <w:tabs>
                <w:tab w:val="left" w:pos="0"/>
                <w:tab w:val="left" w:pos="851"/>
                <w:tab w:val="left" w:pos="1062"/>
              </w:tabs>
              <w:ind w:left="70"/>
              <w:jc w:val="center"/>
              <w:rPr>
                <w:sz w:val="24"/>
                <w:szCs w:val="24"/>
                <w:lang w:val="en-US"/>
              </w:rPr>
            </w:pPr>
            <w:r w:rsidRPr="00CC6ECF">
              <w:rPr>
                <w:sz w:val="24"/>
                <w:szCs w:val="24"/>
                <w:lang w:val="en-GB"/>
              </w:rPr>
              <w:t>47 (9 – 122) *</w:t>
            </w:r>
          </w:p>
        </w:tc>
        <w:tc>
          <w:tcPr>
            <w:tcW w:w="1559" w:type="dxa"/>
            <w:vAlign w:val="center"/>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0,028</w:t>
            </w:r>
          </w:p>
        </w:tc>
        <w:tc>
          <w:tcPr>
            <w:tcW w:w="1984" w:type="dxa"/>
            <w:hideMark/>
          </w:tcPr>
          <w:p w:rsidR="0040242A" w:rsidRPr="00CC6ECF" w:rsidRDefault="0040242A" w:rsidP="003B4BCE">
            <w:pPr>
              <w:tabs>
                <w:tab w:val="left" w:pos="460"/>
                <w:tab w:val="left" w:pos="851"/>
              </w:tabs>
              <w:ind w:left="35"/>
              <w:rPr>
                <w:sz w:val="24"/>
                <w:szCs w:val="24"/>
                <w:lang w:val="en-US"/>
              </w:rPr>
            </w:pPr>
            <w:r w:rsidRPr="00CC6ECF">
              <w:rPr>
                <w:sz w:val="24"/>
                <w:szCs w:val="24"/>
                <w:lang w:val="en-GB"/>
              </w:rPr>
              <w:t>(0,027 – 0,030)</w:t>
            </w:r>
          </w:p>
        </w:tc>
      </w:tr>
      <w:tr w:rsidR="0040242A" w:rsidRPr="00CC6ECF" w:rsidTr="003B4BCE">
        <w:trPr>
          <w:gridAfter w:val="1"/>
          <w:wAfter w:w="108" w:type="dxa"/>
        </w:trPr>
        <w:tc>
          <w:tcPr>
            <w:tcW w:w="2445" w:type="dxa"/>
            <w:gridSpan w:val="2"/>
            <w:tcBorders>
              <w:top w:val="nil"/>
              <w:left w:val="nil"/>
              <w:bottom w:val="single" w:sz="4" w:space="0" w:color="auto"/>
              <w:right w:val="nil"/>
            </w:tcBorders>
            <w:tcMar>
              <w:top w:w="57" w:type="dxa"/>
              <w:left w:w="107" w:type="dxa"/>
              <w:bottom w:w="57" w:type="dxa"/>
              <w:right w:w="107" w:type="dxa"/>
            </w:tcMar>
            <w:vAlign w:val="center"/>
            <w:hideMark/>
          </w:tcPr>
          <w:p w:rsidR="0040242A" w:rsidRPr="00CC6ECF" w:rsidRDefault="0040242A" w:rsidP="003B4BCE">
            <w:pPr>
              <w:tabs>
                <w:tab w:val="left" w:pos="0"/>
              </w:tabs>
              <w:ind w:left="70"/>
              <w:rPr>
                <w:sz w:val="24"/>
                <w:szCs w:val="24"/>
              </w:rPr>
            </w:pPr>
            <w:r w:rsidRPr="00CC6ECF">
              <w:rPr>
                <w:sz w:val="24"/>
                <w:szCs w:val="24"/>
              </w:rPr>
              <w:t>Protein S</w:t>
            </w:r>
          </w:p>
          <w:p w:rsidR="0040242A" w:rsidRPr="00CC6ECF" w:rsidRDefault="0040242A" w:rsidP="003B4BCE">
            <w:pPr>
              <w:tabs>
                <w:tab w:val="left" w:pos="0"/>
              </w:tabs>
              <w:ind w:left="70"/>
              <w:rPr>
                <w:sz w:val="24"/>
                <w:szCs w:val="24"/>
                <w:lang w:val="en-GB"/>
              </w:rPr>
            </w:pPr>
          </w:p>
        </w:tc>
        <w:tc>
          <w:tcPr>
            <w:tcW w:w="2977" w:type="dxa"/>
            <w:gridSpan w:val="2"/>
            <w:tcBorders>
              <w:top w:val="nil"/>
              <w:left w:val="nil"/>
              <w:bottom w:val="single" w:sz="4" w:space="0" w:color="auto"/>
              <w:right w:val="nil"/>
            </w:tcBorders>
          </w:tcPr>
          <w:p w:rsidR="0040242A" w:rsidRPr="00CC6ECF" w:rsidRDefault="0040242A" w:rsidP="003B4BCE">
            <w:pPr>
              <w:tabs>
                <w:tab w:val="left" w:pos="0"/>
                <w:tab w:val="left" w:pos="851"/>
                <w:tab w:val="left" w:pos="1062"/>
              </w:tabs>
              <w:ind w:left="70"/>
              <w:jc w:val="center"/>
              <w:rPr>
                <w:sz w:val="24"/>
                <w:szCs w:val="24"/>
                <w:lang w:val="en-GB"/>
              </w:rPr>
            </w:pPr>
            <w:r w:rsidRPr="00CC6ECF">
              <w:rPr>
                <w:sz w:val="24"/>
                <w:szCs w:val="24"/>
                <w:lang w:val="en-GB"/>
              </w:rPr>
              <w:t>49 (33 – 83) *</w:t>
            </w:r>
          </w:p>
        </w:tc>
        <w:tc>
          <w:tcPr>
            <w:tcW w:w="1559" w:type="dxa"/>
            <w:tcBorders>
              <w:top w:val="nil"/>
              <w:left w:val="nil"/>
              <w:bottom w:val="single" w:sz="4" w:space="0" w:color="auto"/>
              <w:right w:val="nil"/>
            </w:tcBorders>
            <w:vAlign w:val="center"/>
            <w:hideMark/>
          </w:tcPr>
          <w:p w:rsidR="0040242A" w:rsidRPr="00CC6ECF" w:rsidRDefault="0040242A" w:rsidP="003B4BCE">
            <w:pPr>
              <w:tabs>
                <w:tab w:val="left" w:pos="0"/>
                <w:tab w:val="left" w:pos="851"/>
              </w:tabs>
              <w:jc w:val="center"/>
              <w:rPr>
                <w:sz w:val="24"/>
                <w:szCs w:val="24"/>
                <w:lang w:val="en-GB"/>
              </w:rPr>
            </w:pPr>
            <w:r w:rsidRPr="00CC6ECF">
              <w:rPr>
                <w:sz w:val="24"/>
                <w:szCs w:val="24"/>
                <w:lang w:val="en-GB"/>
              </w:rPr>
              <w:t>0,020</w:t>
            </w:r>
          </w:p>
        </w:tc>
        <w:tc>
          <w:tcPr>
            <w:tcW w:w="1984" w:type="dxa"/>
            <w:tcBorders>
              <w:top w:val="nil"/>
              <w:left w:val="nil"/>
              <w:bottom w:val="single" w:sz="4" w:space="0" w:color="auto"/>
              <w:right w:val="nil"/>
            </w:tcBorders>
            <w:hideMark/>
          </w:tcPr>
          <w:p w:rsidR="0040242A" w:rsidRPr="00CC6ECF" w:rsidRDefault="0040242A" w:rsidP="003B4BCE">
            <w:pPr>
              <w:tabs>
                <w:tab w:val="left" w:pos="460"/>
                <w:tab w:val="left" w:pos="851"/>
              </w:tabs>
              <w:ind w:left="35"/>
              <w:rPr>
                <w:sz w:val="24"/>
                <w:szCs w:val="24"/>
                <w:lang w:val="en-GB"/>
              </w:rPr>
            </w:pPr>
            <w:r w:rsidRPr="00CC6ECF">
              <w:rPr>
                <w:sz w:val="24"/>
                <w:szCs w:val="24"/>
                <w:lang w:val="en-GB"/>
              </w:rPr>
              <w:t>(0,018 – 0,021)</w:t>
            </w:r>
          </w:p>
        </w:tc>
      </w:tr>
    </w:tbl>
    <w:p w:rsidR="0040242A" w:rsidRPr="00CC6ECF" w:rsidRDefault="0040242A" w:rsidP="0040242A">
      <w:pPr>
        <w:pStyle w:val="LAFISPCNormal"/>
        <w:tabs>
          <w:tab w:val="left" w:pos="0"/>
        </w:tabs>
        <w:ind w:left="851"/>
        <w:rPr>
          <w:szCs w:val="24"/>
          <w:lang w:val="da-DK"/>
        </w:rPr>
      </w:pPr>
      <w:r w:rsidRPr="00CC6ECF">
        <w:rPr>
          <w:szCs w:val="24"/>
          <w:lang w:val="da-DK"/>
        </w:rPr>
        <w:t>† Konfidensinterval</w:t>
      </w:r>
    </w:p>
    <w:p w:rsidR="0040242A" w:rsidRPr="00CC6ECF" w:rsidRDefault="0040242A" w:rsidP="0040242A">
      <w:pPr>
        <w:pStyle w:val="LAFISPCNormal"/>
        <w:tabs>
          <w:tab w:val="left" w:pos="0"/>
        </w:tabs>
        <w:ind w:left="851"/>
        <w:rPr>
          <w:szCs w:val="24"/>
          <w:lang w:val="da-DK"/>
        </w:rPr>
      </w:pPr>
      <w:r w:rsidRPr="00CC6ECF">
        <w:rPr>
          <w:szCs w:val="24"/>
          <w:lang w:val="da-DK"/>
        </w:rPr>
        <w:t>*</w:t>
      </w:r>
      <w:r>
        <w:rPr>
          <w:szCs w:val="24"/>
          <w:lang w:val="da-DK"/>
        </w:rPr>
        <w:t xml:space="preserve"> T</w:t>
      </w:r>
      <w:r w:rsidRPr="00CC6ECF">
        <w:rPr>
          <w:szCs w:val="24"/>
          <w:lang w:val="da-DK"/>
        </w:rPr>
        <w:t xml:space="preserve">erminal halveringstid; model med to </w:t>
      </w:r>
      <w:proofErr w:type="spellStart"/>
      <w:r w:rsidRPr="00CC6ECF">
        <w:rPr>
          <w:szCs w:val="24"/>
          <w:lang w:val="da-DK"/>
        </w:rPr>
        <w:t>kompartmenter</w:t>
      </w:r>
      <w:proofErr w:type="spellEnd"/>
    </w:p>
    <w:p w:rsidR="0040242A" w:rsidRPr="00CC6ECF" w:rsidRDefault="0040242A" w:rsidP="0040242A">
      <w:pPr>
        <w:pStyle w:val="LAFISPCNormal"/>
        <w:tabs>
          <w:tab w:val="left" w:pos="0"/>
        </w:tabs>
        <w:ind w:left="851"/>
        <w:rPr>
          <w:szCs w:val="24"/>
          <w:lang w:val="da-DK"/>
        </w:rPr>
      </w:pPr>
    </w:p>
    <w:p w:rsidR="0040242A" w:rsidRPr="00CC6ECF" w:rsidRDefault="0040242A" w:rsidP="0040242A">
      <w:pPr>
        <w:pStyle w:val="LAFISPCNormal"/>
        <w:tabs>
          <w:tab w:val="left" w:pos="0"/>
        </w:tabs>
        <w:ind w:left="851"/>
        <w:rPr>
          <w:szCs w:val="24"/>
          <w:lang w:val="da-DK"/>
        </w:rPr>
      </w:pPr>
      <w:proofErr w:type="spellStart"/>
      <w:r w:rsidRPr="00CC6ECF">
        <w:rPr>
          <w:szCs w:val="24"/>
          <w:lang w:val="da-DK"/>
        </w:rPr>
        <w:t>Confidex</w:t>
      </w:r>
      <w:proofErr w:type="spellEnd"/>
      <w:r w:rsidRPr="00CC6ECF">
        <w:rPr>
          <w:szCs w:val="24"/>
          <w:lang w:val="da-DK"/>
        </w:rPr>
        <w:t xml:space="preserve"> distribueres og </w:t>
      </w:r>
      <w:proofErr w:type="spellStart"/>
      <w:r w:rsidRPr="00CC6ECF">
        <w:rPr>
          <w:szCs w:val="24"/>
          <w:lang w:val="da-DK"/>
        </w:rPr>
        <w:t>metaboliseres</w:t>
      </w:r>
      <w:proofErr w:type="spellEnd"/>
      <w:r w:rsidRPr="00CC6ECF">
        <w:rPr>
          <w:szCs w:val="24"/>
          <w:lang w:val="da-DK"/>
        </w:rPr>
        <w:t xml:space="preserve"> i organismen på samme måde som de endogene koagulationsfaktorer II, VII, IX og X.</w:t>
      </w:r>
    </w:p>
    <w:p w:rsidR="0040242A" w:rsidRPr="00CC6ECF" w:rsidRDefault="0040242A" w:rsidP="0040242A">
      <w:pPr>
        <w:pStyle w:val="LAFISPCNormal"/>
        <w:tabs>
          <w:tab w:val="left" w:pos="0"/>
        </w:tabs>
        <w:ind w:left="851"/>
        <w:rPr>
          <w:szCs w:val="24"/>
          <w:lang w:val="da-DK"/>
        </w:rPr>
      </w:pPr>
    </w:p>
    <w:p w:rsidR="0040242A" w:rsidRPr="00CC6ECF" w:rsidRDefault="0040242A" w:rsidP="0040242A">
      <w:pPr>
        <w:pStyle w:val="LAFISPCNormal"/>
        <w:tabs>
          <w:tab w:val="left" w:pos="0"/>
        </w:tabs>
        <w:ind w:left="851"/>
        <w:rPr>
          <w:szCs w:val="24"/>
          <w:lang w:val="da-DK"/>
        </w:rPr>
      </w:pPr>
      <w:r w:rsidRPr="00CC6ECF">
        <w:rPr>
          <w:szCs w:val="24"/>
          <w:lang w:val="da-DK"/>
        </w:rPr>
        <w:t>Intravenøs administration betyder, at præparatet er tilgængeligt med det samme; biotilgængeligheden er proportional med de</w:t>
      </w:r>
      <w:r>
        <w:rPr>
          <w:szCs w:val="24"/>
          <w:lang w:val="da-DK"/>
        </w:rPr>
        <w:t>n</w:t>
      </w:r>
      <w:r w:rsidRPr="00CC6ECF">
        <w:rPr>
          <w:szCs w:val="24"/>
          <w:lang w:val="da-DK"/>
        </w:rPr>
        <w:t xml:space="preserve"> administrerede dosis.</w:t>
      </w:r>
    </w:p>
    <w:p w:rsidR="0040242A" w:rsidRPr="00CC6ECF" w:rsidRDefault="0040242A" w:rsidP="0040242A">
      <w:pPr>
        <w:pStyle w:val="LAFISPCNormal"/>
        <w:tabs>
          <w:tab w:val="left" w:pos="0"/>
          <w:tab w:val="left" w:pos="851"/>
        </w:tabs>
        <w:ind w:left="851"/>
        <w:rPr>
          <w:szCs w:val="24"/>
          <w:u w:val="single"/>
          <w:lang w:val="da-DK"/>
        </w:rPr>
      </w:pPr>
    </w:p>
    <w:p w:rsidR="0040242A" w:rsidRPr="00CC6ECF" w:rsidRDefault="0040242A" w:rsidP="0040242A">
      <w:pPr>
        <w:pStyle w:val="LAFISPCNormal"/>
        <w:tabs>
          <w:tab w:val="left" w:pos="0"/>
          <w:tab w:val="left" w:pos="851"/>
        </w:tabs>
        <w:ind w:left="851"/>
        <w:rPr>
          <w:szCs w:val="24"/>
          <w:lang w:val="da-DK"/>
        </w:rPr>
      </w:pPr>
      <w:r w:rsidRPr="00CC6ECF">
        <w:rPr>
          <w:szCs w:val="24"/>
          <w:u w:val="single"/>
          <w:lang w:val="da-DK"/>
        </w:rPr>
        <w:t xml:space="preserve">Studie i reversering af vitamin K-antagonistbehandling for akut alvorlig blødning: </w:t>
      </w:r>
    </w:p>
    <w:p w:rsidR="0040242A" w:rsidRPr="00CC6ECF" w:rsidRDefault="0040242A" w:rsidP="0040242A">
      <w:pPr>
        <w:pStyle w:val="LAFISPCNormal"/>
        <w:tabs>
          <w:tab w:val="left" w:pos="0"/>
        </w:tabs>
        <w:ind w:left="851"/>
        <w:rPr>
          <w:szCs w:val="24"/>
          <w:lang w:val="da-DK"/>
        </w:rPr>
      </w:pPr>
      <w:r w:rsidRPr="00CC6ECF">
        <w:rPr>
          <w:szCs w:val="24"/>
          <w:lang w:val="da-DK"/>
        </w:rPr>
        <w:t xml:space="preserve">Middelværdien af </w:t>
      </w:r>
      <w:r w:rsidRPr="00CC6ECF">
        <w:rPr>
          <w:i/>
          <w:szCs w:val="24"/>
          <w:lang w:val="da-DK"/>
        </w:rPr>
        <w:t xml:space="preserve">in </w:t>
      </w:r>
      <w:proofErr w:type="spellStart"/>
      <w:r w:rsidRPr="00CC6ECF">
        <w:rPr>
          <w:i/>
          <w:szCs w:val="24"/>
          <w:lang w:val="da-DK"/>
        </w:rPr>
        <w:t>vivo</w:t>
      </w:r>
      <w:proofErr w:type="spellEnd"/>
      <w:r w:rsidRPr="00CC6ECF">
        <w:rPr>
          <w:szCs w:val="24"/>
          <w:lang w:val="da-DK"/>
        </w:rPr>
        <w:t xml:space="preserve"> </w:t>
      </w:r>
      <w:proofErr w:type="spellStart"/>
      <w:r w:rsidRPr="00CC6ECF">
        <w:rPr>
          <w:szCs w:val="24"/>
          <w:lang w:val="da-DK"/>
        </w:rPr>
        <w:t>recovery</w:t>
      </w:r>
      <w:proofErr w:type="spellEnd"/>
      <w:r w:rsidRPr="00CC6ECF">
        <w:rPr>
          <w:szCs w:val="24"/>
          <w:lang w:val="da-DK"/>
        </w:rPr>
        <w:t xml:space="preserve"> (IVR) blev beregnet for 98 forsøgspersoner, som fik </w:t>
      </w:r>
      <w:proofErr w:type="spellStart"/>
      <w:r w:rsidRPr="00CC6ECF">
        <w:rPr>
          <w:szCs w:val="24"/>
          <w:lang w:val="da-DK"/>
        </w:rPr>
        <w:t>Confidex</w:t>
      </w:r>
      <w:proofErr w:type="spellEnd"/>
      <w:r w:rsidRPr="00CC6ECF">
        <w:rPr>
          <w:szCs w:val="24"/>
          <w:lang w:val="da-DK"/>
        </w:rPr>
        <w:t xml:space="preserve"> til behandling af blødning under vitamin K-antagonistbehandling.  De trinvise IVR-responser varierede mellem 0,016 IE/ml for faktor VII og 0,019 IE/ml for Protein C.</w:t>
      </w:r>
    </w:p>
    <w:p w:rsidR="0040242A" w:rsidRPr="00CC6ECF" w:rsidRDefault="0040242A" w:rsidP="0040242A">
      <w:pPr>
        <w:pStyle w:val="LAFISPCNormal"/>
        <w:tabs>
          <w:tab w:val="left" w:pos="0"/>
        </w:tabs>
        <w:ind w:left="851"/>
        <w:rPr>
          <w:szCs w:val="24"/>
          <w:lang w:val="da-DK"/>
        </w:rPr>
      </w:pPr>
    </w:p>
    <w:p w:rsidR="0040242A" w:rsidRPr="00CC6ECF" w:rsidRDefault="0040242A" w:rsidP="0040242A">
      <w:pPr>
        <w:pStyle w:val="LAFISPCNormal"/>
        <w:tabs>
          <w:tab w:val="left" w:pos="0"/>
          <w:tab w:val="left" w:pos="851"/>
        </w:tabs>
        <w:ind w:left="851"/>
        <w:rPr>
          <w:szCs w:val="24"/>
          <w:lang w:val="da-DK"/>
        </w:rPr>
      </w:pPr>
      <w:r w:rsidRPr="00CC6ECF">
        <w:rPr>
          <w:szCs w:val="24"/>
          <w:u w:val="single"/>
          <w:lang w:val="da-DK"/>
        </w:rPr>
        <w:t xml:space="preserve">Studie i reversering af vitamin K-antagonistbehandling for akut alvorlig blødning eller perioperativ profylakse af blødning: </w:t>
      </w:r>
    </w:p>
    <w:p w:rsidR="0040242A" w:rsidRPr="008C01EB" w:rsidRDefault="0040242A" w:rsidP="0040242A">
      <w:pPr>
        <w:pStyle w:val="LAFISPCNormal"/>
        <w:tabs>
          <w:tab w:val="left" w:pos="0"/>
        </w:tabs>
        <w:ind w:left="851"/>
        <w:rPr>
          <w:szCs w:val="24"/>
          <w:lang w:val="da-DK"/>
        </w:rPr>
      </w:pPr>
      <w:r w:rsidRPr="00CC6ECF">
        <w:rPr>
          <w:szCs w:val="24"/>
          <w:lang w:val="da-DK"/>
        </w:rPr>
        <w:t xml:space="preserve">Middelværdien af </w:t>
      </w:r>
      <w:r w:rsidRPr="00CC6ECF">
        <w:rPr>
          <w:i/>
          <w:szCs w:val="24"/>
          <w:lang w:val="da-DK"/>
        </w:rPr>
        <w:t xml:space="preserve">in </w:t>
      </w:r>
      <w:proofErr w:type="spellStart"/>
      <w:r w:rsidRPr="00CC6ECF">
        <w:rPr>
          <w:i/>
          <w:szCs w:val="24"/>
          <w:lang w:val="da-DK"/>
        </w:rPr>
        <w:t>vivo</w:t>
      </w:r>
      <w:proofErr w:type="spellEnd"/>
      <w:r w:rsidRPr="00CC6ECF">
        <w:rPr>
          <w:szCs w:val="24"/>
          <w:lang w:val="da-DK"/>
        </w:rPr>
        <w:t xml:space="preserve"> </w:t>
      </w:r>
      <w:proofErr w:type="spellStart"/>
      <w:r w:rsidRPr="00CC6ECF">
        <w:rPr>
          <w:szCs w:val="24"/>
          <w:lang w:val="da-DK"/>
        </w:rPr>
        <w:t>recovery</w:t>
      </w:r>
      <w:proofErr w:type="spellEnd"/>
      <w:r w:rsidRPr="00CC6ECF">
        <w:rPr>
          <w:szCs w:val="24"/>
          <w:lang w:val="da-DK"/>
        </w:rPr>
        <w:t xml:space="preserve"> (IVR) blev beregnet for 43 forsøgspersoner, som fik </w:t>
      </w:r>
      <w:proofErr w:type="spellStart"/>
      <w:r w:rsidRPr="00CC6ECF">
        <w:rPr>
          <w:szCs w:val="24"/>
          <w:lang w:val="da-DK"/>
        </w:rPr>
        <w:t>Confidex</w:t>
      </w:r>
      <w:proofErr w:type="spellEnd"/>
      <w:r w:rsidRPr="00CC6ECF">
        <w:rPr>
          <w:szCs w:val="24"/>
          <w:lang w:val="da-DK"/>
        </w:rPr>
        <w:t xml:space="preserve"> til behandling af blødning eller perioperativ profylakse af blødning under vitamin K-antagonistbehandling.  Den intravenøse administration af 1 IE/kg </w:t>
      </w:r>
      <w:proofErr w:type="spellStart"/>
      <w:r w:rsidRPr="00CC6ECF">
        <w:rPr>
          <w:szCs w:val="24"/>
          <w:lang w:val="da-DK"/>
        </w:rPr>
        <w:t>Confidex</w:t>
      </w:r>
      <w:proofErr w:type="spellEnd"/>
      <w:r w:rsidRPr="00CC6ECF">
        <w:rPr>
          <w:szCs w:val="24"/>
          <w:lang w:val="da-DK"/>
        </w:rPr>
        <w:t xml:space="preserve"> øgede plasmaniveauerne af de vitamin K-afhængige koagulationsfaktorer i intervallet fra 0,013 til 0,023 IE/ml.</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0242A" w:rsidRPr="00D06A10" w:rsidRDefault="0040242A" w:rsidP="0040242A">
      <w:pPr>
        <w:pStyle w:val="LAFISPCNormal"/>
        <w:tabs>
          <w:tab w:val="left" w:pos="0"/>
        </w:tabs>
        <w:ind w:left="851"/>
        <w:rPr>
          <w:szCs w:val="24"/>
          <w:lang w:val="da-DK"/>
        </w:rPr>
      </w:pPr>
      <w:r w:rsidRPr="00D06A10">
        <w:rPr>
          <w:szCs w:val="24"/>
          <w:lang w:val="da-DK"/>
        </w:rPr>
        <w:t xml:space="preserve">De aktive indholdsstoffer i </w:t>
      </w:r>
      <w:proofErr w:type="spellStart"/>
      <w:r w:rsidRPr="00D06A10">
        <w:rPr>
          <w:szCs w:val="24"/>
          <w:lang w:val="da-DK"/>
        </w:rPr>
        <w:t>Confidex</w:t>
      </w:r>
      <w:proofErr w:type="spellEnd"/>
      <w:r w:rsidRPr="00D06A10">
        <w:rPr>
          <w:szCs w:val="24"/>
          <w:lang w:val="da-DK"/>
        </w:rPr>
        <w:t xml:space="preserve"> er faktorer af </w:t>
      </w:r>
      <w:proofErr w:type="spellStart"/>
      <w:r w:rsidRPr="00D06A10">
        <w:rPr>
          <w:szCs w:val="24"/>
          <w:lang w:val="da-DK"/>
        </w:rPr>
        <w:t>protrombinkomplekset</w:t>
      </w:r>
      <w:proofErr w:type="spellEnd"/>
      <w:r w:rsidRPr="00D06A10">
        <w:rPr>
          <w:szCs w:val="24"/>
          <w:lang w:val="da-DK"/>
        </w:rPr>
        <w:t xml:space="preserve"> (faktor II, VII, IX og X). De er deriveret af humant plasma og virker som de endogene bestanddele i plasma. </w:t>
      </w:r>
    </w:p>
    <w:p w:rsidR="0040242A" w:rsidRPr="00D06A10" w:rsidRDefault="0040242A" w:rsidP="0040242A">
      <w:pPr>
        <w:pStyle w:val="LAFISPCNormal"/>
        <w:tabs>
          <w:tab w:val="left" w:pos="0"/>
        </w:tabs>
        <w:ind w:left="851"/>
        <w:rPr>
          <w:szCs w:val="24"/>
          <w:lang w:val="da-DK"/>
        </w:rPr>
      </w:pPr>
    </w:p>
    <w:p w:rsidR="0040242A" w:rsidRPr="00D06A10" w:rsidRDefault="0040242A" w:rsidP="0040242A">
      <w:pPr>
        <w:pStyle w:val="LAFISPCNormal"/>
        <w:tabs>
          <w:tab w:val="left" w:pos="0"/>
        </w:tabs>
        <w:ind w:left="851"/>
        <w:rPr>
          <w:szCs w:val="24"/>
          <w:lang w:val="da-DK"/>
        </w:rPr>
      </w:pPr>
      <w:r w:rsidRPr="00D06A10">
        <w:rPr>
          <w:szCs w:val="24"/>
          <w:lang w:val="da-DK"/>
        </w:rPr>
        <w:t xml:space="preserve">Toksicitetsstudier af enkeltdoser med det tidligere pasteuriserede, men ikke nanofiltrerede produkt viste moderat toksicitet hos mus efter administration af 200 IE/kg, den højeste dosis, der blev testet. En intravenøs enkeltdosis op til 100 IE/kg af det </w:t>
      </w:r>
      <w:proofErr w:type="spellStart"/>
      <w:r w:rsidRPr="00D06A10">
        <w:rPr>
          <w:szCs w:val="24"/>
          <w:lang w:val="da-DK"/>
        </w:rPr>
        <w:t>pasteriserede</w:t>
      </w:r>
      <w:proofErr w:type="spellEnd"/>
      <w:r w:rsidRPr="00D06A10">
        <w:rPr>
          <w:szCs w:val="24"/>
          <w:lang w:val="da-DK"/>
        </w:rPr>
        <w:t xml:space="preserve"> og nanofiltrerede produkt blev tolereret hos rotter. Prækliniske studier med gentagne doser (kronisk toksicitet, </w:t>
      </w:r>
      <w:proofErr w:type="spellStart"/>
      <w:r w:rsidRPr="00D06A10">
        <w:rPr>
          <w:szCs w:val="24"/>
          <w:lang w:val="da-DK"/>
        </w:rPr>
        <w:t>karcinogenicitet</w:t>
      </w:r>
      <w:proofErr w:type="spellEnd"/>
      <w:r w:rsidRPr="00D06A10">
        <w:rPr>
          <w:szCs w:val="24"/>
          <w:lang w:val="da-DK"/>
        </w:rPr>
        <w:t xml:space="preserve"> og reproduktiv toksicitet) kan ikke udføres fornuftigt i konventionelle dyremodeller på grund af udviklingen af antistoffer mod heterologe humane proteiner.</w:t>
      </w:r>
    </w:p>
    <w:p w:rsidR="0040242A" w:rsidRPr="00D06A10" w:rsidRDefault="0040242A" w:rsidP="0040242A">
      <w:pPr>
        <w:pStyle w:val="LAFISPCNormal"/>
        <w:tabs>
          <w:tab w:val="left" w:pos="0"/>
        </w:tabs>
        <w:ind w:left="851"/>
        <w:rPr>
          <w:szCs w:val="24"/>
          <w:lang w:val="da-DK"/>
        </w:rPr>
      </w:pPr>
    </w:p>
    <w:p w:rsidR="0040242A" w:rsidRPr="008C01EB" w:rsidRDefault="0040242A" w:rsidP="0040242A">
      <w:pPr>
        <w:pStyle w:val="LAFISPCNormal"/>
        <w:tabs>
          <w:tab w:val="left" w:pos="0"/>
        </w:tabs>
        <w:ind w:left="851"/>
        <w:rPr>
          <w:szCs w:val="24"/>
          <w:lang w:val="da-DK"/>
        </w:rPr>
      </w:pPr>
      <w:r w:rsidRPr="00D06A10">
        <w:rPr>
          <w:szCs w:val="24"/>
          <w:lang w:val="da-DK"/>
        </w:rPr>
        <w:t xml:space="preserve">Lokal tolerance blev vist i harer efter intravenøs administration af </w:t>
      </w:r>
      <w:proofErr w:type="spellStart"/>
      <w:r w:rsidRPr="00D06A10">
        <w:rPr>
          <w:szCs w:val="24"/>
          <w:lang w:val="da-DK"/>
        </w:rPr>
        <w:t>Confidex</w:t>
      </w:r>
      <w:proofErr w:type="spellEnd"/>
      <w:r w:rsidRPr="00D06A10">
        <w:rPr>
          <w:szCs w:val="24"/>
          <w:lang w:val="da-DK"/>
        </w:rPr>
        <w:t xml:space="preserve">. Et </w:t>
      </w:r>
      <w:proofErr w:type="spellStart"/>
      <w:r w:rsidRPr="00D06A10">
        <w:rPr>
          <w:szCs w:val="24"/>
          <w:lang w:val="da-DK"/>
        </w:rPr>
        <w:t>neoantigenicitetsstudie</w:t>
      </w:r>
      <w:proofErr w:type="spellEnd"/>
      <w:r w:rsidRPr="00D06A10">
        <w:rPr>
          <w:szCs w:val="24"/>
          <w:lang w:val="da-DK"/>
        </w:rPr>
        <w:t xml:space="preserve"> med harer viste ingen tegn på dannelse af en </w:t>
      </w:r>
      <w:proofErr w:type="spellStart"/>
      <w:r w:rsidRPr="00D06A10">
        <w:rPr>
          <w:szCs w:val="24"/>
          <w:lang w:val="da-DK"/>
        </w:rPr>
        <w:t>neoepitop</w:t>
      </w:r>
      <w:proofErr w:type="spellEnd"/>
      <w:r w:rsidRPr="00D06A10">
        <w:rPr>
          <w:szCs w:val="24"/>
          <w:lang w:val="da-DK"/>
        </w:rPr>
        <w:t xml:space="preserve"> som følge af pasteuriseringsprocessen</w:t>
      </w:r>
      <w:r>
        <w:rPr>
          <w:szCs w:val="24"/>
          <w:lang w:val="da-DK"/>
        </w:rPr>
        <w: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0242A" w:rsidRPr="00BA09F1"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6.1</w:t>
      </w:r>
      <w:r w:rsidRPr="00C84483">
        <w:rPr>
          <w:b/>
          <w:sz w:val="24"/>
          <w:szCs w:val="24"/>
        </w:rPr>
        <w:tab/>
        <w:t>Hjælpestoffer</w:t>
      </w:r>
    </w:p>
    <w:p w:rsidR="0040242A" w:rsidRPr="007B2D6F" w:rsidRDefault="0040242A" w:rsidP="0040242A">
      <w:pPr>
        <w:pStyle w:val="LAFISPCNormal"/>
        <w:tabs>
          <w:tab w:val="left" w:pos="0"/>
        </w:tabs>
        <w:ind w:left="851"/>
        <w:rPr>
          <w:szCs w:val="24"/>
          <w:u w:val="single"/>
          <w:lang w:val="da-DK"/>
        </w:rPr>
      </w:pPr>
      <w:r>
        <w:rPr>
          <w:szCs w:val="24"/>
          <w:u w:val="single"/>
          <w:lang w:val="da-DK"/>
        </w:rPr>
        <w:t>Pulver</w:t>
      </w:r>
    </w:p>
    <w:p w:rsidR="0040242A" w:rsidRDefault="0040242A" w:rsidP="0040242A">
      <w:pPr>
        <w:pStyle w:val="LAFISPCNormal"/>
        <w:tabs>
          <w:tab w:val="left" w:pos="0"/>
        </w:tabs>
        <w:ind w:left="851"/>
        <w:rPr>
          <w:szCs w:val="24"/>
          <w:lang w:val="da-DK"/>
        </w:rPr>
      </w:pPr>
      <w:proofErr w:type="spellStart"/>
      <w:r w:rsidRPr="0061468F">
        <w:rPr>
          <w:szCs w:val="24"/>
          <w:lang w:val="da-DK"/>
        </w:rPr>
        <w:t>Heparin</w:t>
      </w:r>
      <w:proofErr w:type="spellEnd"/>
    </w:p>
    <w:p w:rsidR="0040242A" w:rsidRDefault="0040242A" w:rsidP="0040242A">
      <w:pPr>
        <w:pStyle w:val="LAFISPCNormal"/>
        <w:tabs>
          <w:tab w:val="left" w:pos="0"/>
        </w:tabs>
        <w:ind w:left="851"/>
        <w:rPr>
          <w:szCs w:val="24"/>
          <w:lang w:val="da-DK"/>
        </w:rPr>
      </w:pPr>
      <w:r>
        <w:rPr>
          <w:szCs w:val="24"/>
          <w:lang w:val="da-DK"/>
        </w:rPr>
        <w:t>H</w:t>
      </w:r>
      <w:r w:rsidRPr="0061468F">
        <w:rPr>
          <w:szCs w:val="24"/>
          <w:lang w:val="da-DK"/>
        </w:rPr>
        <w:t>umant albumin</w:t>
      </w:r>
    </w:p>
    <w:p w:rsidR="0040242A" w:rsidRDefault="0040242A" w:rsidP="0040242A">
      <w:pPr>
        <w:pStyle w:val="LAFISPCNormal"/>
        <w:tabs>
          <w:tab w:val="left" w:pos="0"/>
        </w:tabs>
        <w:ind w:left="851"/>
        <w:rPr>
          <w:szCs w:val="24"/>
          <w:lang w:val="da-DK"/>
        </w:rPr>
      </w:pPr>
      <w:r>
        <w:rPr>
          <w:szCs w:val="24"/>
          <w:lang w:val="da-DK"/>
        </w:rPr>
        <w:t>H</w:t>
      </w:r>
      <w:r w:rsidRPr="0061468F">
        <w:rPr>
          <w:szCs w:val="24"/>
          <w:lang w:val="da-DK"/>
        </w:rPr>
        <w:t xml:space="preserve">umant </w:t>
      </w:r>
      <w:proofErr w:type="spellStart"/>
      <w:r w:rsidRPr="0061468F">
        <w:rPr>
          <w:szCs w:val="24"/>
          <w:lang w:val="da-DK"/>
        </w:rPr>
        <w:t>antitrombin</w:t>
      </w:r>
      <w:proofErr w:type="spellEnd"/>
      <w:r w:rsidRPr="0061468F">
        <w:rPr>
          <w:szCs w:val="24"/>
          <w:lang w:val="da-DK"/>
        </w:rPr>
        <w:t xml:space="preserve"> III</w:t>
      </w:r>
    </w:p>
    <w:p w:rsidR="0040242A" w:rsidRDefault="0040242A" w:rsidP="0040242A">
      <w:pPr>
        <w:pStyle w:val="LAFISPCNormal"/>
        <w:tabs>
          <w:tab w:val="left" w:pos="0"/>
        </w:tabs>
        <w:ind w:left="851"/>
        <w:rPr>
          <w:szCs w:val="24"/>
          <w:lang w:val="da-DK"/>
        </w:rPr>
      </w:pPr>
      <w:proofErr w:type="spellStart"/>
      <w:r>
        <w:rPr>
          <w:szCs w:val="24"/>
          <w:lang w:val="da-DK"/>
        </w:rPr>
        <w:t>N</w:t>
      </w:r>
      <w:r w:rsidRPr="0061468F">
        <w:rPr>
          <w:szCs w:val="24"/>
          <w:lang w:val="da-DK"/>
        </w:rPr>
        <w:t>atriumchlorid</w:t>
      </w:r>
      <w:proofErr w:type="spellEnd"/>
    </w:p>
    <w:p w:rsidR="0040242A" w:rsidRDefault="0040242A" w:rsidP="0040242A">
      <w:pPr>
        <w:pStyle w:val="LAFISPCNormal"/>
        <w:tabs>
          <w:tab w:val="left" w:pos="0"/>
        </w:tabs>
        <w:ind w:left="851"/>
        <w:rPr>
          <w:szCs w:val="24"/>
          <w:lang w:val="da-DK"/>
        </w:rPr>
      </w:pPr>
      <w:r>
        <w:rPr>
          <w:szCs w:val="24"/>
          <w:lang w:val="da-DK"/>
        </w:rPr>
        <w:t>N</w:t>
      </w:r>
      <w:r w:rsidRPr="0061468F">
        <w:rPr>
          <w:szCs w:val="24"/>
          <w:lang w:val="da-DK"/>
        </w:rPr>
        <w:t>atriumcitrat</w:t>
      </w:r>
    </w:p>
    <w:p w:rsidR="0040242A" w:rsidRPr="0061468F" w:rsidRDefault="0040242A" w:rsidP="0040242A">
      <w:pPr>
        <w:pStyle w:val="LAFISPCNormal"/>
        <w:tabs>
          <w:tab w:val="left" w:pos="0"/>
        </w:tabs>
        <w:ind w:left="851"/>
        <w:rPr>
          <w:szCs w:val="24"/>
          <w:lang w:val="da-DK"/>
        </w:rPr>
      </w:pPr>
      <w:r>
        <w:rPr>
          <w:szCs w:val="24"/>
          <w:lang w:val="da-DK"/>
        </w:rPr>
        <w:t>S</w:t>
      </w:r>
      <w:r w:rsidRPr="0061468F">
        <w:rPr>
          <w:szCs w:val="24"/>
          <w:lang w:val="da-DK"/>
        </w:rPr>
        <w:t>altsyre eller natriumhydroxid (i små mængder til pH-justering)</w:t>
      </w:r>
    </w:p>
    <w:p w:rsidR="0040242A" w:rsidRPr="0061468F" w:rsidRDefault="0040242A" w:rsidP="0040242A">
      <w:pPr>
        <w:pStyle w:val="LAFISPCNormal"/>
        <w:tabs>
          <w:tab w:val="left" w:pos="0"/>
        </w:tabs>
        <w:ind w:left="851"/>
        <w:rPr>
          <w:szCs w:val="24"/>
          <w:lang w:val="da-DK"/>
        </w:rPr>
      </w:pPr>
    </w:p>
    <w:p w:rsidR="0040242A" w:rsidRPr="007B2D6F" w:rsidRDefault="0040242A" w:rsidP="0040242A">
      <w:pPr>
        <w:pStyle w:val="LAFISPCNormal"/>
        <w:tabs>
          <w:tab w:val="left" w:pos="0"/>
        </w:tabs>
        <w:ind w:left="851"/>
        <w:rPr>
          <w:szCs w:val="24"/>
          <w:u w:val="single"/>
          <w:lang w:val="da-DK"/>
        </w:rPr>
      </w:pPr>
      <w:r>
        <w:rPr>
          <w:szCs w:val="24"/>
          <w:u w:val="single"/>
          <w:lang w:val="da-DK"/>
        </w:rPr>
        <w:t>Solvens</w:t>
      </w:r>
    </w:p>
    <w:p w:rsidR="0040242A" w:rsidRPr="007B2D6F" w:rsidRDefault="0040242A" w:rsidP="0040242A">
      <w:pPr>
        <w:pStyle w:val="LAFISPCNormal"/>
        <w:tabs>
          <w:tab w:val="left" w:pos="0"/>
        </w:tabs>
        <w:ind w:left="851"/>
        <w:rPr>
          <w:szCs w:val="24"/>
          <w:lang w:val="da-DK"/>
        </w:rPr>
      </w:pPr>
      <w:r w:rsidRPr="0061468F">
        <w:rPr>
          <w:szCs w:val="24"/>
          <w:lang w:val="da-DK"/>
        </w:rPr>
        <w:t>Vand til injektionsvæsker</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6.2</w:t>
      </w:r>
      <w:r w:rsidRPr="00C84483">
        <w:rPr>
          <w:b/>
          <w:sz w:val="24"/>
          <w:szCs w:val="24"/>
        </w:rPr>
        <w:tab/>
        <w:t>Uforligeligheder</w:t>
      </w:r>
    </w:p>
    <w:p w:rsidR="0040242A" w:rsidRPr="007B2D6F" w:rsidRDefault="0040242A" w:rsidP="0040242A">
      <w:pPr>
        <w:pStyle w:val="LAFISPCNormal"/>
        <w:tabs>
          <w:tab w:val="left" w:pos="0"/>
        </w:tabs>
        <w:ind w:left="851"/>
        <w:rPr>
          <w:szCs w:val="24"/>
          <w:lang w:val="da-DK"/>
        </w:rPr>
      </w:pPr>
      <w:r w:rsidRPr="00057B02">
        <w:rPr>
          <w:szCs w:val="24"/>
          <w:lang w:val="da-DK"/>
        </w:rPr>
        <w:t>Dette lægemiddel må ikke blandes med andre lægemidler end dem, der er anført under pkt. 6.6.</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6.3</w:t>
      </w:r>
      <w:r w:rsidRPr="00C84483">
        <w:rPr>
          <w:b/>
          <w:sz w:val="24"/>
          <w:szCs w:val="24"/>
        </w:rPr>
        <w:tab/>
        <w:t>Opbevaringstid</w:t>
      </w:r>
    </w:p>
    <w:p w:rsidR="0040242A" w:rsidRPr="00500BDE" w:rsidRDefault="0040242A" w:rsidP="0040242A">
      <w:pPr>
        <w:pStyle w:val="LAFISPCNormal"/>
        <w:tabs>
          <w:tab w:val="left" w:pos="0"/>
        </w:tabs>
        <w:ind w:left="851"/>
        <w:rPr>
          <w:szCs w:val="24"/>
          <w:lang w:val="da-DK"/>
        </w:rPr>
      </w:pPr>
      <w:r w:rsidRPr="00500BDE">
        <w:rPr>
          <w:szCs w:val="24"/>
          <w:lang w:val="da-DK"/>
        </w:rPr>
        <w:t>3 år</w:t>
      </w:r>
      <w:r>
        <w:rPr>
          <w:szCs w:val="24"/>
          <w:lang w:val="da-DK"/>
        </w:rPr>
        <w:t>.</w:t>
      </w:r>
    </w:p>
    <w:p w:rsidR="0040242A" w:rsidRPr="00500BDE" w:rsidRDefault="0040242A" w:rsidP="0040242A">
      <w:pPr>
        <w:pStyle w:val="LAFISPCNormal"/>
        <w:tabs>
          <w:tab w:val="left" w:pos="0"/>
        </w:tabs>
        <w:ind w:left="851"/>
        <w:rPr>
          <w:szCs w:val="24"/>
          <w:lang w:val="da-DK"/>
        </w:rPr>
      </w:pPr>
    </w:p>
    <w:p w:rsidR="0040242A" w:rsidRPr="005C67FC" w:rsidRDefault="0040242A" w:rsidP="0040242A">
      <w:pPr>
        <w:pStyle w:val="LAFISPCNormal"/>
        <w:tabs>
          <w:tab w:val="left" w:pos="0"/>
        </w:tabs>
        <w:ind w:left="851"/>
        <w:rPr>
          <w:szCs w:val="24"/>
          <w:lang w:val="da-DK"/>
        </w:rPr>
      </w:pPr>
      <w:r w:rsidRPr="00500BDE">
        <w:rPr>
          <w:szCs w:val="24"/>
          <w:lang w:val="da-DK"/>
        </w:rPr>
        <w:t>Der er påvist kemisk og fysisk stabilitet efter ibrugtag</w:t>
      </w:r>
      <w:r>
        <w:rPr>
          <w:szCs w:val="24"/>
          <w:lang w:val="da-DK"/>
        </w:rPr>
        <w:t>ning i 24 timer ved almindelig stue</w:t>
      </w:r>
      <w:r w:rsidRPr="00500BDE">
        <w:rPr>
          <w:szCs w:val="24"/>
          <w:lang w:val="da-DK"/>
        </w:rPr>
        <w:t>temperatur (maks. 25 °C). Ud fra et mikrobiologisk synspunkt skal produktet dog anvendes øjeblikkeligt.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0242A" w:rsidRDefault="0040242A" w:rsidP="0040242A">
      <w:pPr>
        <w:pStyle w:val="LAFISPCNormal"/>
        <w:tabs>
          <w:tab w:val="left" w:pos="0"/>
        </w:tabs>
        <w:ind w:left="851"/>
        <w:rPr>
          <w:szCs w:val="24"/>
          <w:lang w:val="da-DK"/>
        </w:rPr>
      </w:pPr>
      <w:r w:rsidRPr="008A64E1">
        <w:rPr>
          <w:szCs w:val="24"/>
          <w:lang w:val="da-DK"/>
        </w:rPr>
        <w:t>Må ikke opbevares ved temperaturer over 25</w:t>
      </w:r>
      <w:r>
        <w:rPr>
          <w:szCs w:val="24"/>
          <w:lang w:val="da-DK"/>
        </w:rPr>
        <w:t xml:space="preserve"> </w:t>
      </w:r>
      <w:r w:rsidRPr="008A64E1">
        <w:rPr>
          <w:szCs w:val="24"/>
          <w:lang w:val="da-DK"/>
        </w:rPr>
        <w:t>°C.</w:t>
      </w:r>
    </w:p>
    <w:p w:rsidR="0040242A" w:rsidRPr="008A64E1" w:rsidRDefault="0040242A" w:rsidP="0040242A">
      <w:pPr>
        <w:pStyle w:val="LAFISPCNormal"/>
        <w:tabs>
          <w:tab w:val="left" w:pos="0"/>
        </w:tabs>
        <w:ind w:left="851"/>
        <w:rPr>
          <w:szCs w:val="24"/>
          <w:lang w:val="da-DK"/>
        </w:rPr>
      </w:pPr>
      <w:r w:rsidRPr="008A64E1">
        <w:rPr>
          <w:szCs w:val="24"/>
          <w:lang w:val="da-DK"/>
        </w:rPr>
        <w:t>Må ikke nedfryses.</w:t>
      </w:r>
    </w:p>
    <w:p w:rsidR="0040242A" w:rsidRPr="008A64E1" w:rsidRDefault="0040242A" w:rsidP="0040242A">
      <w:pPr>
        <w:pStyle w:val="LAFISPCNormal"/>
        <w:tabs>
          <w:tab w:val="left" w:pos="0"/>
        </w:tabs>
        <w:ind w:left="851"/>
        <w:rPr>
          <w:szCs w:val="24"/>
          <w:lang w:val="da-DK"/>
        </w:rPr>
      </w:pPr>
      <w:r>
        <w:rPr>
          <w:szCs w:val="24"/>
          <w:lang w:val="da-DK"/>
        </w:rPr>
        <w:t>Opbevar hætteglasse</w:t>
      </w:r>
      <w:r w:rsidRPr="008A64E1">
        <w:rPr>
          <w:szCs w:val="24"/>
          <w:lang w:val="da-DK"/>
        </w:rPr>
        <w:t>t i den ydre karton for at beskytte mod lys.</w:t>
      </w:r>
    </w:p>
    <w:p w:rsidR="0040242A" w:rsidRDefault="0040242A" w:rsidP="0040242A">
      <w:pPr>
        <w:pStyle w:val="LAFISPCNormal"/>
        <w:tabs>
          <w:tab w:val="left" w:pos="0"/>
        </w:tabs>
        <w:ind w:left="851"/>
        <w:rPr>
          <w:szCs w:val="24"/>
          <w:lang w:val="da-DK"/>
        </w:rPr>
      </w:pPr>
    </w:p>
    <w:p w:rsidR="0040242A" w:rsidRPr="008A64E1" w:rsidRDefault="0040242A" w:rsidP="0040242A">
      <w:pPr>
        <w:pStyle w:val="LAFISPCNormal"/>
        <w:tabs>
          <w:tab w:val="left" w:pos="0"/>
        </w:tabs>
        <w:ind w:left="851"/>
        <w:rPr>
          <w:szCs w:val="24"/>
          <w:lang w:val="da-DK"/>
        </w:rPr>
      </w:pPr>
      <w:r w:rsidRPr="008A64E1">
        <w:rPr>
          <w:szCs w:val="24"/>
          <w:lang w:val="da-DK"/>
        </w:rPr>
        <w:t xml:space="preserve">Opbevaringsforhold for det </w:t>
      </w:r>
      <w:proofErr w:type="spellStart"/>
      <w:r w:rsidRPr="008A64E1">
        <w:rPr>
          <w:szCs w:val="24"/>
          <w:lang w:val="da-DK"/>
        </w:rPr>
        <w:t>rekonstituerede</w:t>
      </w:r>
      <w:proofErr w:type="spellEnd"/>
      <w:r w:rsidRPr="008A64E1">
        <w:rPr>
          <w:szCs w:val="24"/>
          <w:lang w:val="da-DK"/>
        </w:rPr>
        <w:t xml:space="preserve"> lægemiddel, se pkt. 6.3.</w:t>
      </w:r>
    </w:p>
    <w:p w:rsidR="0040242A" w:rsidRPr="00C84483" w:rsidRDefault="0040242A" w:rsidP="0040242A">
      <w:pPr>
        <w:tabs>
          <w:tab w:val="left" w:pos="851"/>
        </w:tabs>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40242A" w:rsidRPr="00CF14AA" w:rsidRDefault="0040242A" w:rsidP="0040242A">
      <w:pPr>
        <w:pStyle w:val="LAFISPCNormal"/>
        <w:tabs>
          <w:tab w:val="left" w:pos="0"/>
        </w:tabs>
        <w:ind w:left="851"/>
        <w:rPr>
          <w:szCs w:val="24"/>
          <w:u w:val="single"/>
          <w:lang w:val="da-DK"/>
        </w:rPr>
      </w:pPr>
      <w:r w:rsidRPr="00CF14AA">
        <w:rPr>
          <w:szCs w:val="24"/>
          <w:u w:val="single"/>
          <w:lang w:val="da-DK"/>
        </w:rPr>
        <w:t>250 IE</w:t>
      </w:r>
    </w:p>
    <w:p w:rsidR="0040242A" w:rsidRPr="00CF14AA" w:rsidRDefault="0040242A" w:rsidP="0040242A">
      <w:pPr>
        <w:pStyle w:val="LAFISPCNormal"/>
        <w:tabs>
          <w:tab w:val="left" w:pos="0"/>
        </w:tabs>
        <w:ind w:left="851"/>
        <w:rPr>
          <w:szCs w:val="24"/>
          <w:lang w:val="da-DK"/>
        </w:rPr>
      </w:pPr>
    </w:p>
    <w:p w:rsidR="0040242A" w:rsidRPr="00CF14AA" w:rsidRDefault="0040242A" w:rsidP="0040242A">
      <w:pPr>
        <w:pStyle w:val="LAFISPCNormal"/>
        <w:tabs>
          <w:tab w:val="left" w:pos="0"/>
        </w:tabs>
        <w:ind w:left="851"/>
        <w:rPr>
          <w:i/>
          <w:szCs w:val="24"/>
          <w:lang w:val="da-DK"/>
        </w:rPr>
      </w:pPr>
      <w:r w:rsidRPr="00CF14AA">
        <w:rPr>
          <w:i/>
          <w:szCs w:val="24"/>
          <w:lang w:val="da-DK"/>
        </w:rPr>
        <w:t>Pulver</w:t>
      </w:r>
    </w:p>
    <w:p w:rsidR="0040242A" w:rsidRPr="00CF14AA" w:rsidRDefault="0040242A" w:rsidP="0040242A">
      <w:pPr>
        <w:pStyle w:val="LAFISPCNormal"/>
        <w:tabs>
          <w:tab w:val="left" w:pos="0"/>
        </w:tabs>
        <w:ind w:left="851"/>
        <w:rPr>
          <w:szCs w:val="24"/>
          <w:lang w:val="da-DK"/>
        </w:rPr>
      </w:pPr>
      <w:r w:rsidRPr="00CF14AA">
        <w:rPr>
          <w:szCs w:val="24"/>
          <w:lang w:val="da-DK"/>
        </w:rPr>
        <w:t>Hætteglas af farveløst glas (type II), forseglet med en latexfri infusionsprop (</w:t>
      </w:r>
      <w:proofErr w:type="spellStart"/>
      <w:r w:rsidRPr="00CF14AA">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Pr="00CF14AA" w:rsidRDefault="0040242A" w:rsidP="0040242A">
      <w:pPr>
        <w:pStyle w:val="LAFISPCNormal"/>
        <w:tabs>
          <w:tab w:val="left" w:pos="0"/>
        </w:tabs>
        <w:ind w:left="851"/>
        <w:rPr>
          <w:szCs w:val="24"/>
          <w:lang w:val="da-DK"/>
        </w:rPr>
      </w:pPr>
    </w:p>
    <w:p w:rsidR="0040242A" w:rsidRPr="00CF14AA" w:rsidRDefault="0040242A" w:rsidP="0040242A">
      <w:pPr>
        <w:pStyle w:val="LAFISPCNormal"/>
        <w:tabs>
          <w:tab w:val="left" w:pos="0"/>
        </w:tabs>
        <w:ind w:left="851"/>
        <w:rPr>
          <w:i/>
          <w:szCs w:val="24"/>
          <w:lang w:val="da-DK"/>
        </w:rPr>
      </w:pPr>
      <w:r w:rsidRPr="00CF14AA">
        <w:rPr>
          <w:i/>
          <w:szCs w:val="24"/>
          <w:lang w:val="da-DK"/>
        </w:rPr>
        <w:t>Solvens</w:t>
      </w:r>
    </w:p>
    <w:p w:rsidR="0040242A" w:rsidRPr="00CF14AA" w:rsidRDefault="0040242A" w:rsidP="0040242A">
      <w:pPr>
        <w:pStyle w:val="LAFISPCNormal"/>
        <w:tabs>
          <w:tab w:val="left" w:pos="0"/>
        </w:tabs>
        <w:ind w:left="851"/>
        <w:rPr>
          <w:szCs w:val="24"/>
          <w:lang w:val="da-DK"/>
        </w:rPr>
      </w:pPr>
      <w:r w:rsidRPr="00CF14AA">
        <w:rPr>
          <w:szCs w:val="24"/>
          <w:lang w:val="da-DK"/>
        </w:rPr>
        <w:t>10 ml vand til injektionsvæske</w:t>
      </w:r>
      <w:r>
        <w:rPr>
          <w:szCs w:val="24"/>
          <w:lang w:val="da-DK"/>
        </w:rPr>
        <w:t>r</w:t>
      </w:r>
      <w:r w:rsidRPr="00CF14AA">
        <w:rPr>
          <w:szCs w:val="24"/>
          <w:lang w:val="da-DK"/>
        </w:rPr>
        <w:t xml:space="preserve"> i et hætteglas af farveløst glas (type I), forseglet med en latexfri infusionsprop (</w:t>
      </w:r>
      <w:proofErr w:type="spellStart"/>
      <w:r w:rsidRPr="00CF14AA">
        <w:rPr>
          <w:szCs w:val="24"/>
          <w:lang w:val="da-DK"/>
        </w:rPr>
        <w:t>chlorbutylgummi</w:t>
      </w:r>
      <w:proofErr w:type="spellEnd"/>
      <w:r w:rsidR="00D97EE2">
        <w:rPr>
          <w:szCs w:val="24"/>
          <w:lang w:val="da-DK"/>
        </w:rPr>
        <w:t xml:space="preserve"> </w:t>
      </w:r>
      <w:r w:rsidR="00D97EE2" w:rsidRPr="00D97EE2">
        <w:rPr>
          <w:szCs w:val="24"/>
          <w:lang w:val="da-DK"/>
        </w:rPr>
        <w:t xml:space="preserve">eller </w:t>
      </w:r>
      <w:proofErr w:type="spellStart"/>
      <w:r w:rsidR="00D97EE2" w:rsidRPr="00D97EE2">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Pr="00D97EE2" w:rsidRDefault="0040242A" w:rsidP="0040242A">
      <w:pPr>
        <w:pStyle w:val="LAFISPCNormal"/>
        <w:tabs>
          <w:tab w:val="left" w:pos="0"/>
        </w:tabs>
        <w:ind w:left="851"/>
        <w:rPr>
          <w:szCs w:val="24"/>
          <w:lang w:val="da-DK"/>
        </w:rPr>
      </w:pPr>
      <w:r w:rsidRPr="00CF14AA">
        <w:rPr>
          <w:szCs w:val="24"/>
          <w:lang w:val="da-DK"/>
        </w:rPr>
        <w:t xml:space="preserve">Injektionsanordning: </w:t>
      </w:r>
      <w:r w:rsidRPr="00D97EE2">
        <w:rPr>
          <w:szCs w:val="24"/>
          <w:lang w:val="da-DK"/>
        </w:rPr>
        <w:t xml:space="preserve">1 </w:t>
      </w:r>
      <w:r w:rsidRPr="00D97EE2">
        <w:rPr>
          <w:rStyle w:val="MarkeringsbobletekstTegn"/>
          <w:rFonts w:ascii="Times New Roman" w:hAnsi="Times New Roman" w:cs="Times New Roman"/>
          <w:sz w:val="24"/>
          <w:szCs w:val="24"/>
          <w:lang w:val="da-DK"/>
        </w:rPr>
        <w:t>overførselssæt med filter 20/20.</w:t>
      </w:r>
    </w:p>
    <w:p w:rsidR="0040242A" w:rsidRPr="00CF14AA" w:rsidRDefault="0040242A" w:rsidP="0040242A">
      <w:pPr>
        <w:pStyle w:val="LAFISPCNormal"/>
        <w:tabs>
          <w:tab w:val="left" w:pos="0"/>
        </w:tabs>
        <w:ind w:left="851"/>
        <w:rPr>
          <w:szCs w:val="24"/>
          <w:lang w:val="da-DK"/>
        </w:rPr>
      </w:pPr>
    </w:p>
    <w:p w:rsidR="0040242A" w:rsidRPr="00CF14AA" w:rsidRDefault="0040242A" w:rsidP="0040242A">
      <w:pPr>
        <w:pStyle w:val="LAFISPCNormal"/>
        <w:tabs>
          <w:tab w:val="left" w:pos="0"/>
        </w:tabs>
        <w:ind w:left="851"/>
        <w:rPr>
          <w:szCs w:val="24"/>
          <w:u w:val="single"/>
          <w:lang w:val="da-DK"/>
        </w:rPr>
      </w:pPr>
      <w:r w:rsidRPr="00CF14AA">
        <w:rPr>
          <w:szCs w:val="24"/>
          <w:u w:val="single"/>
          <w:lang w:val="da-DK"/>
        </w:rPr>
        <w:t>500 IE</w:t>
      </w:r>
    </w:p>
    <w:p w:rsidR="0040242A" w:rsidRDefault="0040242A" w:rsidP="0040242A">
      <w:pPr>
        <w:pStyle w:val="LAFISPCNormal"/>
        <w:tabs>
          <w:tab w:val="left" w:pos="0"/>
        </w:tabs>
        <w:ind w:left="851"/>
        <w:rPr>
          <w:i/>
          <w:szCs w:val="24"/>
          <w:lang w:val="da-DK"/>
        </w:rPr>
      </w:pPr>
    </w:p>
    <w:p w:rsidR="0040242A" w:rsidRDefault="0040242A" w:rsidP="0040242A">
      <w:pPr>
        <w:pStyle w:val="LAFISPCNormal"/>
        <w:tabs>
          <w:tab w:val="left" w:pos="0"/>
        </w:tabs>
        <w:ind w:left="851"/>
        <w:rPr>
          <w:szCs w:val="24"/>
          <w:lang w:val="da-DK"/>
        </w:rPr>
      </w:pPr>
      <w:r w:rsidRPr="00CF14AA">
        <w:rPr>
          <w:i/>
          <w:szCs w:val="24"/>
          <w:lang w:val="da-DK"/>
        </w:rPr>
        <w:t>Pulver</w:t>
      </w:r>
    </w:p>
    <w:p w:rsidR="0040242A" w:rsidRPr="00CF14AA" w:rsidRDefault="0040242A" w:rsidP="0040242A">
      <w:pPr>
        <w:pStyle w:val="LAFISPCNormal"/>
        <w:tabs>
          <w:tab w:val="left" w:pos="0"/>
        </w:tabs>
        <w:ind w:left="851"/>
        <w:rPr>
          <w:szCs w:val="24"/>
          <w:lang w:val="da-DK"/>
        </w:rPr>
      </w:pPr>
      <w:r w:rsidRPr="00CF14AA">
        <w:rPr>
          <w:szCs w:val="24"/>
          <w:lang w:val="da-DK"/>
        </w:rPr>
        <w:t>Hætteglas af farveløst glas (type II), forseglet med en latexfri infusionsprop (</w:t>
      </w:r>
      <w:proofErr w:type="spellStart"/>
      <w:r w:rsidRPr="00CF14AA">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Default="0040242A" w:rsidP="0040242A">
      <w:pPr>
        <w:pStyle w:val="LAFISPCNormal"/>
        <w:tabs>
          <w:tab w:val="left" w:pos="0"/>
        </w:tabs>
        <w:ind w:left="851"/>
        <w:rPr>
          <w:i/>
          <w:szCs w:val="24"/>
          <w:lang w:val="da-DK"/>
        </w:rPr>
      </w:pPr>
    </w:p>
    <w:p w:rsidR="0040242A" w:rsidRDefault="0040242A" w:rsidP="0040242A">
      <w:pPr>
        <w:pStyle w:val="LAFISPCNormal"/>
        <w:tabs>
          <w:tab w:val="left" w:pos="0"/>
        </w:tabs>
        <w:ind w:left="851"/>
        <w:rPr>
          <w:i/>
          <w:szCs w:val="24"/>
          <w:lang w:val="da-DK"/>
        </w:rPr>
      </w:pPr>
      <w:r w:rsidRPr="00CF14AA">
        <w:rPr>
          <w:i/>
          <w:szCs w:val="24"/>
          <w:lang w:val="da-DK"/>
        </w:rPr>
        <w:t>Solvens</w:t>
      </w:r>
    </w:p>
    <w:p w:rsidR="0040242A" w:rsidRPr="00CF14AA" w:rsidRDefault="0040242A" w:rsidP="0040242A">
      <w:pPr>
        <w:pStyle w:val="LAFISPCNormal"/>
        <w:tabs>
          <w:tab w:val="left" w:pos="0"/>
        </w:tabs>
        <w:ind w:left="851"/>
        <w:rPr>
          <w:szCs w:val="24"/>
          <w:lang w:val="da-DK"/>
        </w:rPr>
      </w:pPr>
      <w:r w:rsidRPr="00CF14AA">
        <w:rPr>
          <w:szCs w:val="24"/>
          <w:lang w:val="da-DK"/>
        </w:rPr>
        <w:t>20 ml vand til injektionsvæske</w:t>
      </w:r>
      <w:r>
        <w:rPr>
          <w:szCs w:val="24"/>
          <w:lang w:val="da-DK"/>
        </w:rPr>
        <w:t>r</w:t>
      </w:r>
      <w:r w:rsidRPr="00CF14AA">
        <w:rPr>
          <w:szCs w:val="24"/>
          <w:lang w:val="da-DK"/>
        </w:rPr>
        <w:t xml:space="preserve"> i et hætteglas af farveløst glas (type I), forseglet med en latexfri infusionsprop (</w:t>
      </w:r>
      <w:proofErr w:type="spellStart"/>
      <w:r w:rsidRPr="00CF14AA">
        <w:rPr>
          <w:szCs w:val="24"/>
          <w:lang w:val="da-DK"/>
        </w:rPr>
        <w:t>chlorbutylgummi</w:t>
      </w:r>
      <w:proofErr w:type="spellEnd"/>
      <w:r w:rsidR="00D97EE2">
        <w:rPr>
          <w:szCs w:val="24"/>
          <w:lang w:val="da-DK"/>
        </w:rPr>
        <w:t xml:space="preserve"> </w:t>
      </w:r>
      <w:r w:rsidR="00D97EE2" w:rsidRPr="00D97EE2">
        <w:rPr>
          <w:szCs w:val="24"/>
          <w:lang w:val="da-DK"/>
        </w:rPr>
        <w:t xml:space="preserve">eller </w:t>
      </w:r>
      <w:proofErr w:type="spellStart"/>
      <w:r w:rsidR="00D97EE2" w:rsidRPr="00D97EE2">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Pr="00CF14AA" w:rsidRDefault="0040242A" w:rsidP="0040242A">
      <w:pPr>
        <w:pStyle w:val="LAFISPCNormal"/>
        <w:tabs>
          <w:tab w:val="left" w:pos="0"/>
        </w:tabs>
        <w:ind w:left="851"/>
        <w:rPr>
          <w:szCs w:val="24"/>
          <w:lang w:val="da-DK"/>
        </w:rPr>
      </w:pPr>
      <w:r w:rsidRPr="00CF14AA">
        <w:rPr>
          <w:szCs w:val="24"/>
          <w:lang w:val="da-DK"/>
        </w:rPr>
        <w:t xml:space="preserve">Injektionsanordning: </w:t>
      </w:r>
      <w:r w:rsidRPr="00D97EE2">
        <w:rPr>
          <w:szCs w:val="24"/>
          <w:lang w:val="da-DK"/>
        </w:rPr>
        <w:t xml:space="preserve">1 </w:t>
      </w:r>
      <w:r w:rsidRPr="00D97EE2">
        <w:rPr>
          <w:rStyle w:val="MarkeringsbobletekstTegn"/>
          <w:rFonts w:ascii="Times New Roman" w:hAnsi="Times New Roman" w:cs="Times New Roman"/>
          <w:sz w:val="24"/>
          <w:szCs w:val="24"/>
          <w:lang w:val="da-DK"/>
        </w:rPr>
        <w:t>overførselssæt med filter 20/20.</w:t>
      </w:r>
    </w:p>
    <w:p w:rsidR="0040242A" w:rsidRDefault="0040242A" w:rsidP="0040242A">
      <w:pPr>
        <w:rPr>
          <w:i/>
          <w:iCs/>
          <w:sz w:val="24"/>
          <w:szCs w:val="24"/>
        </w:rPr>
      </w:pPr>
      <w:r>
        <w:rPr>
          <w:i/>
          <w:iCs/>
          <w:szCs w:val="24"/>
        </w:rPr>
        <w:br w:type="page"/>
      </w:r>
    </w:p>
    <w:p w:rsidR="0040242A" w:rsidRPr="00CF14AA" w:rsidRDefault="0040242A" w:rsidP="0040242A">
      <w:pPr>
        <w:pStyle w:val="LAFISPCNormal"/>
        <w:tabs>
          <w:tab w:val="left" w:pos="0"/>
        </w:tabs>
        <w:ind w:left="851"/>
        <w:rPr>
          <w:i/>
          <w:iCs/>
          <w:szCs w:val="24"/>
          <w:lang w:val="da-DK"/>
        </w:rPr>
      </w:pPr>
    </w:p>
    <w:p w:rsidR="0040242A" w:rsidRPr="00CF14AA" w:rsidRDefault="0040242A" w:rsidP="0040242A">
      <w:pPr>
        <w:pStyle w:val="LAFISPCNormal"/>
        <w:tabs>
          <w:tab w:val="left" w:pos="0"/>
        </w:tabs>
        <w:ind w:left="851"/>
        <w:rPr>
          <w:szCs w:val="24"/>
          <w:u w:val="single"/>
          <w:lang w:val="da-DK"/>
        </w:rPr>
      </w:pPr>
      <w:r w:rsidRPr="00CF14AA">
        <w:rPr>
          <w:szCs w:val="24"/>
          <w:u w:val="single"/>
          <w:lang w:val="da-DK"/>
        </w:rPr>
        <w:t>1000 IE</w:t>
      </w:r>
    </w:p>
    <w:p w:rsidR="0040242A" w:rsidRDefault="0040242A" w:rsidP="0040242A">
      <w:pPr>
        <w:pStyle w:val="LAFISPCNormal"/>
        <w:tabs>
          <w:tab w:val="left" w:pos="0"/>
        </w:tabs>
        <w:ind w:left="851"/>
        <w:rPr>
          <w:i/>
          <w:szCs w:val="24"/>
          <w:lang w:val="da-DK"/>
        </w:rPr>
      </w:pPr>
    </w:p>
    <w:p w:rsidR="0040242A" w:rsidRDefault="0040242A" w:rsidP="0040242A">
      <w:pPr>
        <w:pStyle w:val="LAFISPCNormal"/>
        <w:tabs>
          <w:tab w:val="left" w:pos="0"/>
        </w:tabs>
        <w:ind w:left="851"/>
        <w:rPr>
          <w:i/>
          <w:szCs w:val="24"/>
          <w:lang w:val="da-DK"/>
        </w:rPr>
      </w:pPr>
      <w:r w:rsidRPr="00CF14AA">
        <w:rPr>
          <w:i/>
          <w:szCs w:val="24"/>
          <w:lang w:val="da-DK"/>
        </w:rPr>
        <w:t>Pulver</w:t>
      </w:r>
    </w:p>
    <w:p w:rsidR="0040242A" w:rsidRPr="00CF14AA" w:rsidRDefault="0040242A" w:rsidP="0040242A">
      <w:pPr>
        <w:pStyle w:val="LAFISPCNormal"/>
        <w:tabs>
          <w:tab w:val="left" w:pos="0"/>
        </w:tabs>
        <w:ind w:left="851"/>
        <w:rPr>
          <w:szCs w:val="24"/>
          <w:lang w:val="da-DK"/>
        </w:rPr>
      </w:pPr>
      <w:r w:rsidRPr="00CF14AA">
        <w:rPr>
          <w:szCs w:val="24"/>
          <w:lang w:val="da-DK"/>
        </w:rPr>
        <w:t xml:space="preserve">Hætteglas af farveløst glas (type II), forseglet med en latexfri </w:t>
      </w:r>
      <w:proofErr w:type="gramStart"/>
      <w:r w:rsidRPr="00CF14AA">
        <w:rPr>
          <w:szCs w:val="24"/>
          <w:lang w:val="da-DK"/>
        </w:rPr>
        <w:t>infusionsprop  (</w:t>
      </w:r>
      <w:proofErr w:type="spellStart"/>
      <w:proofErr w:type="gramEnd"/>
      <w:r w:rsidRPr="00CF14AA">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Default="0040242A" w:rsidP="0040242A">
      <w:pPr>
        <w:pStyle w:val="LAFISPCNormal"/>
        <w:tabs>
          <w:tab w:val="left" w:pos="0"/>
        </w:tabs>
        <w:ind w:left="851"/>
        <w:rPr>
          <w:i/>
          <w:szCs w:val="24"/>
          <w:lang w:val="da-DK"/>
        </w:rPr>
      </w:pPr>
    </w:p>
    <w:p w:rsidR="0040242A" w:rsidRDefault="0040242A" w:rsidP="0040242A">
      <w:pPr>
        <w:pStyle w:val="LAFISPCNormal"/>
        <w:tabs>
          <w:tab w:val="left" w:pos="0"/>
        </w:tabs>
        <w:ind w:left="851"/>
        <w:rPr>
          <w:i/>
          <w:szCs w:val="24"/>
          <w:lang w:val="da-DK"/>
        </w:rPr>
      </w:pPr>
      <w:r w:rsidRPr="00CF14AA">
        <w:rPr>
          <w:i/>
          <w:szCs w:val="24"/>
          <w:lang w:val="da-DK"/>
        </w:rPr>
        <w:t>Solvens</w:t>
      </w:r>
    </w:p>
    <w:p w:rsidR="0040242A" w:rsidRPr="00CF14AA" w:rsidRDefault="0040242A" w:rsidP="0040242A">
      <w:pPr>
        <w:pStyle w:val="LAFISPCNormal"/>
        <w:tabs>
          <w:tab w:val="left" w:pos="0"/>
        </w:tabs>
        <w:ind w:left="851"/>
        <w:rPr>
          <w:szCs w:val="24"/>
          <w:lang w:val="da-DK"/>
        </w:rPr>
      </w:pPr>
      <w:r w:rsidRPr="00CF14AA">
        <w:rPr>
          <w:szCs w:val="24"/>
          <w:lang w:val="da-DK"/>
        </w:rPr>
        <w:t>40 ml vand til injektionsvæske</w:t>
      </w:r>
      <w:r>
        <w:rPr>
          <w:szCs w:val="24"/>
          <w:lang w:val="da-DK"/>
        </w:rPr>
        <w:t>r</w:t>
      </w:r>
      <w:r w:rsidRPr="00CF14AA">
        <w:rPr>
          <w:szCs w:val="24"/>
          <w:lang w:val="da-DK"/>
        </w:rPr>
        <w:t xml:space="preserve"> i et hætteglas af farveløst glas (type I), forseglet med en latexfri infusionsprop </w:t>
      </w:r>
      <w:bookmarkStart w:id="1" w:name="_GoBack"/>
      <w:bookmarkEnd w:id="1"/>
      <w:r w:rsidRPr="00CF14AA">
        <w:rPr>
          <w:szCs w:val="24"/>
          <w:lang w:val="da-DK"/>
        </w:rPr>
        <w:t>(</w:t>
      </w:r>
      <w:proofErr w:type="spellStart"/>
      <w:r w:rsidRPr="00CF14AA">
        <w:rPr>
          <w:szCs w:val="24"/>
          <w:lang w:val="da-DK"/>
        </w:rPr>
        <w:t>chlorbutylgummi</w:t>
      </w:r>
      <w:proofErr w:type="spellEnd"/>
      <w:r w:rsidR="00D97EE2">
        <w:rPr>
          <w:szCs w:val="24"/>
          <w:lang w:val="da-DK"/>
        </w:rPr>
        <w:t xml:space="preserve"> </w:t>
      </w:r>
      <w:r w:rsidR="00D97EE2" w:rsidRPr="00D97EE2">
        <w:rPr>
          <w:szCs w:val="24"/>
          <w:lang w:val="da-DK"/>
        </w:rPr>
        <w:t xml:space="preserve">eller </w:t>
      </w:r>
      <w:proofErr w:type="spellStart"/>
      <w:r w:rsidR="00D97EE2" w:rsidRPr="00D97EE2">
        <w:rPr>
          <w:szCs w:val="24"/>
          <w:lang w:val="da-DK"/>
        </w:rPr>
        <w:t>brombutylgummi</w:t>
      </w:r>
      <w:proofErr w:type="spellEnd"/>
      <w:r w:rsidRPr="00CF14AA">
        <w:rPr>
          <w:szCs w:val="24"/>
          <w:lang w:val="da-DK"/>
        </w:rPr>
        <w:t xml:space="preserve">), </w:t>
      </w:r>
      <w:proofErr w:type="spellStart"/>
      <w:r w:rsidRPr="00CF14AA">
        <w:rPr>
          <w:szCs w:val="24"/>
          <w:lang w:val="da-DK"/>
        </w:rPr>
        <w:t>alumininiumsforsegling</w:t>
      </w:r>
      <w:proofErr w:type="spellEnd"/>
      <w:r w:rsidRPr="00CF14AA">
        <w:rPr>
          <w:szCs w:val="24"/>
          <w:lang w:val="da-DK"/>
        </w:rPr>
        <w:t xml:space="preserve"> og vippelåg af plastik.</w:t>
      </w:r>
    </w:p>
    <w:p w:rsidR="0040242A" w:rsidRPr="00D97EE2" w:rsidRDefault="0040242A" w:rsidP="0040242A">
      <w:pPr>
        <w:pStyle w:val="LAFISPCNormal"/>
        <w:tabs>
          <w:tab w:val="left" w:pos="0"/>
        </w:tabs>
        <w:ind w:left="851"/>
        <w:rPr>
          <w:szCs w:val="24"/>
          <w:lang w:val="da-DK"/>
        </w:rPr>
      </w:pPr>
      <w:r w:rsidRPr="00CF14AA">
        <w:rPr>
          <w:szCs w:val="24"/>
          <w:lang w:val="da-DK"/>
        </w:rPr>
        <w:t xml:space="preserve">Injektionsanordning: </w:t>
      </w:r>
      <w:r w:rsidRPr="00D97EE2">
        <w:rPr>
          <w:szCs w:val="24"/>
          <w:lang w:val="da-DK"/>
        </w:rPr>
        <w:t xml:space="preserve">1 </w:t>
      </w:r>
      <w:r w:rsidRPr="00D97EE2">
        <w:rPr>
          <w:rStyle w:val="MarkeringsbobletekstTegn"/>
          <w:rFonts w:ascii="Times New Roman" w:hAnsi="Times New Roman" w:cs="Times New Roman"/>
          <w:sz w:val="24"/>
          <w:szCs w:val="24"/>
          <w:lang w:val="da-DK"/>
        </w:rPr>
        <w:t>overførselssæt med filter 20/20.</w:t>
      </w:r>
    </w:p>
    <w:p w:rsidR="0040242A" w:rsidRPr="009124E3" w:rsidRDefault="0040242A" w:rsidP="0040242A">
      <w:pPr>
        <w:pStyle w:val="LAFISPCNormal"/>
        <w:tabs>
          <w:tab w:val="left" w:pos="0"/>
        </w:tabs>
        <w:ind w:left="851"/>
        <w:rPr>
          <w:szCs w:val="24"/>
          <w:lang w:val="da-DK"/>
        </w:rPr>
      </w:pPr>
    </w:p>
    <w:p w:rsidR="0040242A" w:rsidRPr="00BF58B6" w:rsidRDefault="0040242A" w:rsidP="0040242A">
      <w:pPr>
        <w:pStyle w:val="LAFISPCNormal"/>
        <w:tabs>
          <w:tab w:val="left" w:pos="0"/>
        </w:tabs>
        <w:ind w:left="851"/>
        <w:rPr>
          <w:szCs w:val="24"/>
          <w:lang w:val="da-DK"/>
        </w:rPr>
      </w:pPr>
      <w:r w:rsidRPr="009124E3">
        <w:rPr>
          <w:szCs w:val="24"/>
          <w:lang w:val="da-DK"/>
        </w:rPr>
        <w:t>Ikke alle pakningsstørrelser er nødvendigvis markedsført.</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0242A" w:rsidRPr="003C3246" w:rsidRDefault="0040242A" w:rsidP="0040242A">
      <w:pPr>
        <w:pStyle w:val="LAFISPCNormal"/>
        <w:tabs>
          <w:tab w:val="left" w:pos="0"/>
        </w:tabs>
        <w:ind w:left="851"/>
        <w:rPr>
          <w:szCs w:val="24"/>
          <w:u w:val="single"/>
          <w:lang w:val="da-DK"/>
        </w:rPr>
      </w:pPr>
      <w:r w:rsidRPr="003C3246">
        <w:rPr>
          <w:szCs w:val="24"/>
          <w:u w:val="single"/>
          <w:lang w:val="da-DK"/>
        </w:rPr>
        <w:t>Administration</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i/>
          <w:szCs w:val="24"/>
          <w:lang w:val="da-DK"/>
        </w:rPr>
      </w:pPr>
      <w:r w:rsidRPr="003C3246">
        <w:rPr>
          <w:i/>
          <w:szCs w:val="24"/>
          <w:lang w:val="da-DK"/>
        </w:rPr>
        <w:t>Generelle instruktioner</w:t>
      </w:r>
    </w:p>
    <w:p w:rsidR="0040242A" w:rsidRPr="003C3246" w:rsidRDefault="0040242A" w:rsidP="0040242A">
      <w:pPr>
        <w:pStyle w:val="LAFISPCNormal"/>
        <w:tabs>
          <w:tab w:val="clear" w:pos="567"/>
          <w:tab w:val="left" w:pos="1134"/>
        </w:tabs>
        <w:ind w:left="1134" w:hanging="283"/>
        <w:rPr>
          <w:szCs w:val="24"/>
          <w:lang w:val="da-DK"/>
        </w:rPr>
      </w:pPr>
      <w:r w:rsidRPr="003C3246">
        <w:rPr>
          <w:szCs w:val="24"/>
          <w:lang w:val="da-DK"/>
        </w:rPr>
        <w:t>-</w:t>
      </w:r>
      <w:r w:rsidRPr="003C3246">
        <w:rPr>
          <w:szCs w:val="24"/>
          <w:lang w:val="da-DK"/>
        </w:rPr>
        <w:tab/>
        <w:t xml:space="preserve">Opløsningen skal være klar eller let opaliserende. Efter filtrering/fyldning (se nedenfor) skal den </w:t>
      </w:r>
      <w:proofErr w:type="spellStart"/>
      <w:r w:rsidRPr="003C3246">
        <w:rPr>
          <w:szCs w:val="24"/>
          <w:lang w:val="da-DK"/>
        </w:rPr>
        <w:t>rekonstituerede</w:t>
      </w:r>
      <w:proofErr w:type="spellEnd"/>
      <w:r w:rsidRPr="003C3246">
        <w:rPr>
          <w:szCs w:val="24"/>
          <w:lang w:val="da-DK"/>
        </w:rPr>
        <w:t xml:space="preserve"> opløsning kontrolleres visuelt for partikler og misfarvning før administration. </w:t>
      </w:r>
    </w:p>
    <w:p w:rsidR="0040242A" w:rsidRPr="003C3246" w:rsidRDefault="0040242A" w:rsidP="0040242A">
      <w:pPr>
        <w:pStyle w:val="LAFISPCNormal"/>
        <w:tabs>
          <w:tab w:val="clear" w:pos="567"/>
          <w:tab w:val="left" w:pos="1134"/>
        </w:tabs>
        <w:ind w:left="1134" w:hanging="283"/>
        <w:rPr>
          <w:szCs w:val="24"/>
          <w:lang w:val="da-DK"/>
        </w:rPr>
      </w:pPr>
      <w:r w:rsidRPr="003C3246">
        <w:rPr>
          <w:szCs w:val="24"/>
          <w:lang w:val="da-DK"/>
        </w:rPr>
        <w:t>-</w:t>
      </w:r>
      <w:r w:rsidRPr="003C3246">
        <w:rPr>
          <w:szCs w:val="24"/>
          <w:lang w:val="da-DK"/>
        </w:rPr>
        <w:tab/>
        <w:t xml:space="preserve">Brug ikke opløsninger, der er uklare eller har bundfald. </w:t>
      </w:r>
    </w:p>
    <w:p w:rsidR="0040242A" w:rsidRPr="003C3246" w:rsidRDefault="0040242A" w:rsidP="0040242A">
      <w:pPr>
        <w:pStyle w:val="LAFISPCNormal"/>
        <w:tabs>
          <w:tab w:val="clear" w:pos="567"/>
          <w:tab w:val="left" w:pos="1134"/>
        </w:tabs>
        <w:ind w:left="1134" w:hanging="283"/>
        <w:rPr>
          <w:szCs w:val="24"/>
          <w:lang w:val="da-DK"/>
        </w:rPr>
      </w:pPr>
      <w:r w:rsidRPr="003C3246">
        <w:rPr>
          <w:szCs w:val="24"/>
          <w:lang w:val="da-DK"/>
        </w:rPr>
        <w:t>-</w:t>
      </w:r>
      <w:r w:rsidRPr="003C3246">
        <w:rPr>
          <w:szCs w:val="24"/>
          <w:lang w:val="da-DK"/>
        </w:rPr>
        <w:tab/>
      </w:r>
      <w:proofErr w:type="spellStart"/>
      <w:r w:rsidRPr="003C3246">
        <w:rPr>
          <w:szCs w:val="24"/>
          <w:lang w:val="da-DK"/>
        </w:rPr>
        <w:t>Rekonstituering</w:t>
      </w:r>
      <w:proofErr w:type="spellEnd"/>
      <w:r w:rsidRPr="003C3246">
        <w:rPr>
          <w:szCs w:val="24"/>
          <w:lang w:val="da-DK"/>
        </w:rPr>
        <w:t xml:space="preserve"> og fyldning af sprøjten skal ske under aseptiske forhold.</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proofErr w:type="spellStart"/>
      <w:r w:rsidRPr="003C3246">
        <w:rPr>
          <w:i/>
          <w:szCs w:val="24"/>
          <w:lang w:val="da-DK"/>
        </w:rPr>
        <w:t>Rekonstituering</w:t>
      </w:r>
      <w:proofErr w:type="spellEnd"/>
      <w:r w:rsidRPr="003C3246">
        <w:rPr>
          <w:i/>
          <w:szCs w:val="24"/>
          <w:lang w:val="da-DK"/>
        </w:rPr>
        <w:t xml:space="preserve"> </w:t>
      </w:r>
    </w:p>
    <w:p w:rsidR="0040242A" w:rsidRPr="003C3246" w:rsidRDefault="0040242A" w:rsidP="0040242A">
      <w:pPr>
        <w:pStyle w:val="LAFISPCNormal"/>
        <w:tabs>
          <w:tab w:val="left" w:pos="0"/>
        </w:tabs>
        <w:ind w:left="851"/>
        <w:rPr>
          <w:szCs w:val="24"/>
          <w:lang w:val="da-DK"/>
        </w:rPr>
      </w:pPr>
      <w:r w:rsidRPr="003C3246">
        <w:rPr>
          <w:szCs w:val="24"/>
          <w:lang w:val="da-DK"/>
        </w:rPr>
        <w:t xml:space="preserve">Væsken skal have stuetemperatur. Vippelågene skal fjernes fra hætteglassene med pulver og solvens, og propperne skal behandles med en antiseptisk opløsning og have lov til at tørre, før Mix2Vial-pakken åbnes. </w:t>
      </w:r>
    </w:p>
    <w:p w:rsidR="0040242A" w:rsidRPr="003C3246" w:rsidRDefault="0040242A" w:rsidP="0040242A">
      <w:pPr>
        <w:pStyle w:val="LAFISPCNormal"/>
        <w:tabs>
          <w:tab w:val="left" w:pos="0"/>
        </w:tabs>
        <w:ind w:left="851"/>
        <w:rPr>
          <w:szCs w:val="24"/>
          <w:lang w:val="da-DK"/>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2"/>
        <w:gridCol w:w="4678"/>
      </w:tblGrid>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tabs>
                <w:tab w:val="left" w:pos="0"/>
              </w:tabs>
              <w:ind w:left="4"/>
              <w:jc w:val="center"/>
              <w:rPr>
                <w:szCs w:val="24"/>
              </w:rPr>
            </w:pPr>
            <w:r w:rsidRPr="003C3246">
              <w:rPr>
                <w:noProof/>
                <w:szCs w:val="24"/>
                <w:lang w:val="da-DK" w:eastAsia="da-DK"/>
              </w:rPr>
              <w:drawing>
                <wp:inline distT="0" distB="0" distL="0" distR="0" wp14:anchorId="0754F03D" wp14:editId="6091101A">
                  <wp:extent cx="695325" cy="704850"/>
                  <wp:effectExtent l="0" t="0" r="9525"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04850"/>
                          </a:xfrm>
                          <a:prstGeom prst="rect">
                            <a:avLst/>
                          </a:prstGeom>
                          <a:noFill/>
                          <a:ln>
                            <a:noFill/>
                          </a:ln>
                        </pic:spPr>
                      </pic:pic>
                    </a:graphicData>
                  </a:graphic>
                </wp:inline>
              </w:drawing>
            </w:r>
            <w:r w:rsidRPr="003C3246">
              <w:rPr>
                <w:szCs w:val="24"/>
              </w:rPr>
              <w:t>1</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 xml:space="preserve">1. Mix2Vial-pakken åbnes ved at trække låget af. Tag </w:t>
            </w:r>
            <w:r w:rsidRPr="003C3246">
              <w:rPr>
                <w:b/>
                <w:szCs w:val="24"/>
                <w:u w:val="single"/>
                <w:lang w:val="da-DK"/>
              </w:rPr>
              <w:t>ikke</w:t>
            </w:r>
            <w:r w:rsidRPr="003C3246">
              <w:rPr>
                <w:szCs w:val="24"/>
                <w:lang w:val="da-DK"/>
              </w:rPr>
              <w:t xml:space="preserve"> Mix2Vial ud af blisterpakningen på dette tidspunkt!</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drawing>
                <wp:inline distT="0" distB="0" distL="0" distR="0" wp14:anchorId="38239B46" wp14:editId="4908A080">
                  <wp:extent cx="533400" cy="10858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inline>
              </w:drawing>
            </w:r>
            <w:r w:rsidRPr="003C3246">
              <w:rPr>
                <w:szCs w:val="24"/>
              </w:rPr>
              <w:t>2</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 xml:space="preserve">2. Anbring </w:t>
            </w:r>
            <w:r w:rsidRPr="003C3246">
              <w:rPr>
                <w:b/>
                <w:szCs w:val="24"/>
                <w:lang w:val="da-DK"/>
              </w:rPr>
              <w:t>hætteglasset med solvens</w:t>
            </w:r>
            <w:r w:rsidRPr="003C3246">
              <w:rPr>
                <w:szCs w:val="24"/>
                <w:lang w:val="da-DK"/>
              </w:rPr>
              <w:t xml:space="preserve"> på en plan og ren flade, og hold fast på hætteglasset. Tag pakken med Mix2Vial og blisterpakken og tryk spidsen på den </w:t>
            </w:r>
            <w:r w:rsidRPr="003C3246">
              <w:rPr>
                <w:b/>
                <w:szCs w:val="24"/>
                <w:lang w:val="da-DK"/>
              </w:rPr>
              <w:t>blå</w:t>
            </w:r>
            <w:r w:rsidRPr="003C3246">
              <w:rPr>
                <w:szCs w:val="24"/>
                <w:lang w:val="da-DK"/>
              </w:rPr>
              <w:t xml:space="preserve"> adapterdel </w:t>
            </w:r>
            <w:r w:rsidRPr="003C3246">
              <w:rPr>
                <w:b/>
                <w:szCs w:val="24"/>
                <w:lang w:val="da-DK"/>
              </w:rPr>
              <w:t>lige ned</w:t>
            </w:r>
            <w:r w:rsidRPr="003C3246">
              <w:rPr>
                <w:szCs w:val="24"/>
                <w:lang w:val="da-DK"/>
              </w:rPr>
              <w:t xml:space="preserve"> gennem proppen på hætteglasset med solvens.</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drawing>
                <wp:inline distT="0" distB="0" distL="0" distR="0" wp14:anchorId="6B0220B2" wp14:editId="4BAD3078">
                  <wp:extent cx="438150" cy="116205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1162050"/>
                          </a:xfrm>
                          <a:prstGeom prst="rect">
                            <a:avLst/>
                          </a:prstGeom>
                          <a:noFill/>
                          <a:ln>
                            <a:noFill/>
                          </a:ln>
                        </pic:spPr>
                      </pic:pic>
                    </a:graphicData>
                  </a:graphic>
                </wp:inline>
              </w:drawing>
            </w:r>
            <w:r w:rsidRPr="003C3246">
              <w:rPr>
                <w:szCs w:val="24"/>
              </w:rPr>
              <w:t>3</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 xml:space="preserve">3. Fjern forsigtigt blisterpakken fra Mix2Vial-sættet ved at holde på kanten og trække </w:t>
            </w:r>
            <w:r w:rsidRPr="003C3246">
              <w:rPr>
                <w:b/>
                <w:szCs w:val="24"/>
                <w:lang w:val="da-DK"/>
              </w:rPr>
              <w:t>vertikalt</w:t>
            </w:r>
            <w:r w:rsidRPr="003C3246">
              <w:rPr>
                <w:szCs w:val="24"/>
                <w:lang w:val="da-DK"/>
              </w:rPr>
              <w:t xml:space="preserve"> opad. Pas på, at du kun trækker blisterpakken af og ikke Mix2Vial-sættet.</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lastRenderedPageBreak/>
              <w:drawing>
                <wp:inline distT="0" distB="0" distL="0" distR="0" wp14:anchorId="4E294356" wp14:editId="2009089F">
                  <wp:extent cx="304800" cy="1171575"/>
                  <wp:effectExtent l="0" t="0" r="0"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1171575"/>
                          </a:xfrm>
                          <a:prstGeom prst="rect">
                            <a:avLst/>
                          </a:prstGeom>
                          <a:noFill/>
                          <a:ln>
                            <a:noFill/>
                          </a:ln>
                        </pic:spPr>
                      </pic:pic>
                    </a:graphicData>
                  </a:graphic>
                </wp:inline>
              </w:drawing>
            </w:r>
            <w:r w:rsidRPr="003C3246">
              <w:rPr>
                <w:szCs w:val="24"/>
              </w:rPr>
              <w:t>4</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 xml:space="preserve">4. Anbring </w:t>
            </w:r>
            <w:r w:rsidRPr="003C3246">
              <w:rPr>
                <w:b/>
                <w:szCs w:val="24"/>
                <w:lang w:val="da-DK"/>
              </w:rPr>
              <w:t>hætteglasset med pulver</w:t>
            </w:r>
            <w:r w:rsidRPr="003C3246">
              <w:rPr>
                <w:szCs w:val="24"/>
                <w:lang w:val="da-DK"/>
              </w:rPr>
              <w:t xml:space="preserve"> på et plant og hårdt underlag. Vend hætteglasset med solvens og med Mix2Vial-sættet påsat, og tryk spidsen på den </w:t>
            </w:r>
            <w:r w:rsidRPr="003C3246">
              <w:rPr>
                <w:b/>
                <w:szCs w:val="24"/>
                <w:lang w:val="da-DK"/>
              </w:rPr>
              <w:t>gennemsigtige</w:t>
            </w:r>
            <w:r w:rsidRPr="003C3246">
              <w:rPr>
                <w:szCs w:val="24"/>
                <w:lang w:val="da-DK"/>
              </w:rPr>
              <w:t xml:space="preserve"> adapterdel </w:t>
            </w:r>
            <w:r w:rsidRPr="003C3246">
              <w:rPr>
                <w:b/>
                <w:szCs w:val="24"/>
                <w:lang w:val="da-DK"/>
              </w:rPr>
              <w:t>lige ned</w:t>
            </w:r>
            <w:r w:rsidRPr="003C3246">
              <w:rPr>
                <w:szCs w:val="24"/>
                <w:lang w:val="da-DK"/>
              </w:rPr>
              <w:t xml:space="preserve"> gennem proppen på hætteglasset med pulver. Solvensen vil automatisk flyde ind i hætteglasset med pulver.</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drawing>
                <wp:inline distT="0" distB="0" distL="0" distR="0" wp14:anchorId="159C6F17" wp14:editId="2D5E8918">
                  <wp:extent cx="390525" cy="1238250"/>
                  <wp:effectExtent l="0" t="0" r="952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1238250"/>
                          </a:xfrm>
                          <a:prstGeom prst="rect">
                            <a:avLst/>
                          </a:prstGeom>
                          <a:noFill/>
                          <a:ln>
                            <a:noFill/>
                          </a:ln>
                        </pic:spPr>
                      </pic:pic>
                    </a:graphicData>
                  </a:graphic>
                </wp:inline>
              </w:drawing>
            </w:r>
            <w:r w:rsidRPr="003C3246">
              <w:rPr>
                <w:szCs w:val="24"/>
              </w:rPr>
              <w:t>5</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 xml:space="preserve">5. Tag med den ene hånd fat i den side af Mix2Vial-sættet, hvor pulveret er, og tag med den anden hånd fat i siden med solvensen, og skru forsigtigt og mod uret sættet i to dele. </w:t>
            </w:r>
          </w:p>
          <w:p w:rsidR="0040242A" w:rsidRPr="003C3246" w:rsidRDefault="0040242A" w:rsidP="003B4BCE">
            <w:pPr>
              <w:pStyle w:val="LAFISPCNormal"/>
              <w:ind w:left="63"/>
              <w:rPr>
                <w:szCs w:val="24"/>
                <w:lang w:val="da-DK"/>
              </w:rPr>
            </w:pPr>
            <w:r w:rsidRPr="003C3246">
              <w:rPr>
                <w:szCs w:val="24"/>
                <w:lang w:val="da-DK"/>
              </w:rPr>
              <w:t>Kasser solvenshætteglasset med den blå Mix2Vial-adapter påsat.</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drawing>
                <wp:inline distT="0" distB="0" distL="0" distR="0" wp14:anchorId="1EBE18FD" wp14:editId="7DD16F62">
                  <wp:extent cx="904875" cy="90487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3C3246">
              <w:rPr>
                <w:szCs w:val="24"/>
                <w:lang w:val="de-DE"/>
              </w:rPr>
              <w:t>6</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da-DK"/>
              </w:rPr>
            </w:pPr>
            <w:r w:rsidRPr="003C3246">
              <w:rPr>
                <w:szCs w:val="24"/>
                <w:lang w:val="da-DK"/>
              </w:rPr>
              <w:t>6. Roter nænsomt pulverhætteglasset med den transparente adapter påsat, indtil stoffet er fuldstændig opløst. Glasset må ikke rystes.</w:t>
            </w:r>
          </w:p>
        </w:tc>
      </w:tr>
      <w:tr w:rsidR="0040242A" w:rsidRPr="003C3246" w:rsidTr="003B4BCE">
        <w:tc>
          <w:tcPr>
            <w:tcW w:w="320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4"/>
              <w:jc w:val="center"/>
              <w:rPr>
                <w:szCs w:val="24"/>
              </w:rPr>
            </w:pPr>
            <w:r w:rsidRPr="003C3246">
              <w:rPr>
                <w:noProof/>
                <w:szCs w:val="24"/>
                <w:lang w:val="da-DK" w:eastAsia="da-DK"/>
              </w:rPr>
              <w:drawing>
                <wp:inline distT="0" distB="0" distL="0" distR="0" wp14:anchorId="66AAFBC2" wp14:editId="488936BD">
                  <wp:extent cx="1066800" cy="15049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1504950"/>
                          </a:xfrm>
                          <a:prstGeom prst="rect">
                            <a:avLst/>
                          </a:prstGeom>
                          <a:noFill/>
                          <a:ln>
                            <a:noFill/>
                          </a:ln>
                        </pic:spPr>
                      </pic:pic>
                    </a:graphicData>
                  </a:graphic>
                </wp:inline>
              </w:drawing>
            </w:r>
            <w:r w:rsidRPr="003C3246">
              <w:rPr>
                <w:szCs w:val="24"/>
                <w:lang w:val="de-DE"/>
              </w:rPr>
              <w:t>7</w:t>
            </w:r>
          </w:p>
        </w:tc>
        <w:tc>
          <w:tcPr>
            <w:tcW w:w="4678"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63"/>
              <w:rPr>
                <w:szCs w:val="24"/>
                <w:lang w:val="sv-SE"/>
              </w:rPr>
            </w:pPr>
            <w:r w:rsidRPr="003C3246">
              <w:rPr>
                <w:szCs w:val="24"/>
                <w:lang w:val="da-DK"/>
              </w:rPr>
              <w:t>7. Træk luft ind i en tom og steril sprøjte. Stil hætteglasset med produktet ret op, og kobl sprøjten sammen Mix2Vial's Luer Lock-beslag ved at skrue den med uret. Sprøjt luft ind i hætteglasset.</w:t>
            </w:r>
          </w:p>
        </w:tc>
      </w:tr>
    </w:tbl>
    <w:p w:rsidR="0040242A" w:rsidRPr="003C3246" w:rsidRDefault="0040242A" w:rsidP="0040242A">
      <w:pPr>
        <w:pStyle w:val="LAFISPCNormal"/>
        <w:ind w:left="851"/>
        <w:rPr>
          <w:szCs w:val="24"/>
          <w:lang w:val="sv-SE"/>
        </w:rPr>
      </w:pPr>
    </w:p>
    <w:p w:rsidR="0040242A" w:rsidRPr="003C3246" w:rsidRDefault="0040242A" w:rsidP="0040242A">
      <w:pPr>
        <w:pStyle w:val="LAFISPCNormal"/>
        <w:tabs>
          <w:tab w:val="left" w:pos="0"/>
        </w:tabs>
        <w:ind w:left="851"/>
        <w:rPr>
          <w:i/>
          <w:szCs w:val="24"/>
        </w:rPr>
      </w:pPr>
      <w:r w:rsidRPr="003C3246">
        <w:rPr>
          <w:i/>
          <w:szCs w:val="24"/>
          <w:lang w:val="da-DK"/>
        </w:rPr>
        <w:t>Fyldning og anvendelse</w:t>
      </w:r>
    </w:p>
    <w:p w:rsidR="0040242A" w:rsidRPr="003C3246" w:rsidRDefault="0040242A" w:rsidP="0040242A">
      <w:pPr>
        <w:pStyle w:val="LAFISPCNormal"/>
        <w:tabs>
          <w:tab w:val="left" w:pos="0"/>
        </w:tabs>
        <w:ind w:left="851"/>
        <w:rPr>
          <w:szCs w:val="24"/>
        </w:rPr>
      </w:pP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1"/>
        <w:gridCol w:w="4532"/>
      </w:tblGrid>
      <w:tr w:rsidR="0040242A" w:rsidRPr="003C3246" w:rsidTr="003B4BCE">
        <w:tc>
          <w:tcPr>
            <w:tcW w:w="3231"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146"/>
              <w:jc w:val="center"/>
              <w:rPr>
                <w:szCs w:val="24"/>
              </w:rPr>
            </w:pPr>
            <w:r w:rsidRPr="003C3246">
              <w:rPr>
                <w:noProof/>
                <w:szCs w:val="24"/>
                <w:lang w:val="da-DK" w:eastAsia="da-DK"/>
              </w:rPr>
              <w:drawing>
                <wp:inline distT="0" distB="0" distL="0" distR="0" wp14:anchorId="5305D4C3" wp14:editId="21C03075">
                  <wp:extent cx="285750" cy="14478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1447800"/>
                          </a:xfrm>
                          <a:prstGeom prst="rect">
                            <a:avLst/>
                          </a:prstGeom>
                          <a:noFill/>
                          <a:ln>
                            <a:noFill/>
                          </a:ln>
                        </pic:spPr>
                      </pic:pic>
                    </a:graphicData>
                  </a:graphic>
                </wp:inline>
              </w:drawing>
            </w:r>
            <w:r w:rsidRPr="003C3246">
              <w:rPr>
                <w:szCs w:val="24"/>
              </w:rPr>
              <w:t>8</w:t>
            </w:r>
          </w:p>
        </w:tc>
        <w:tc>
          <w:tcPr>
            <w:tcW w:w="453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38"/>
              <w:rPr>
                <w:szCs w:val="24"/>
                <w:lang w:val="da-DK"/>
              </w:rPr>
            </w:pPr>
            <w:r w:rsidRPr="003C3246">
              <w:rPr>
                <w:szCs w:val="24"/>
                <w:lang w:val="da-DK"/>
              </w:rPr>
              <w:t>8. Med sprøjtestemplet trykket ind, vendes systemet med bunden i vejret, og opløsningen trækkes ind i sprøjten ved at trække stemplet langsomt tilbage.</w:t>
            </w:r>
          </w:p>
        </w:tc>
      </w:tr>
      <w:tr w:rsidR="0040242A" w:rsidRPr="003C3246" w:rsidTr="003B4BCE">
        <w:tc>
          <w:tcPr>
            <w:tcW w:w="3231"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146"/>
              <w:jc w:val="center"/>
              <w:rPr>
                <w:szCs w:val="24"/>
              </w:rPr>
            </w:pPr>
            <w:r w:rsidRPr="003C3246">
              <w:rPr>
                <w:noProof/>
                <w:szCs w:val="24"/>
                <w:lang w:val="da-DK" w:eastAsia="da-DK"/>
              </w:rPr>
              <w:drawing>
                <wp:inline distT="0" distB="0" distL="0" distR="0" wp14:anchorId="650FB665" wp14:editId="26D51BE2">
                  <wp:extent cx="276225" cy="1514475"/>
                  <wp:effectExtent l="0" t="0" r="9525" b="9525"/>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514475"/>
                          </a:xfrm>
                          <a:prstGeom prst="rect">
                            <a:avLst/>
                          </a:prstGeom>
                          <a:noFill/>
                          <a:ln>
                            <a:noFill/>
                          </a:ln>
                        </pic:spPr>
                      </pic:pic>
                    </a:graphicData>
                  </a:graphic>
                </wp:inline>
              </w:drawing>
            </w:r>
            <w:r w:rsidRPr="003C3246">
              <w:rPr>
                <w:szCs w:val="24"/>
              </w:rPr>
              <w:t>9</w:t>
            </w:r>
          </w:p>
        </w:tc>
        <w:tc>
          <w:tcPr>
            <w:tcW w:w="4532" w:type="dxa"/>
            <w:tcBorders>
              <w:top w:val="single" w:sz="4" w:space="0" w:color="auto"/>
              <w:left w:val="single" w:sz="4" w:space="0" w:color="auto"/>
              <w:bottom w:val="single" w:sz="4" w:space="0" w:color="auto"/>
              <w:right w:val="single" w:sz="4" w:space="0" w:color="auto"/>
            </w:tcBorders>
          </w:tcPr>
          <w:p w:rsidR="0040242A" w:rsidRPr="003C3246" w:rsidRDefault="0040242A" w:rsidP="003B4BCE">
            <w:pPr>
              <w:pStyle w:val="LAFISPCNormal"/>
              <w:ind w:left="38"/>
              <w:rPr>
                <w:szCs w:val="24"/>
                <w:lang w:val="da-DK"/>
              </w:rPr>
            </w:pPr>
            <w:r w:rsidRPr="003C3246">
              <w:rPr>
                <w:szCs w:val="24"/>
                <w:lang w:val="da-DK"/>
              </w:rPr>
              <w:t xml:space="preserve">9. Når al opløsningen er overført til sprøjten, tages et fast tag om sprøjtecylinderen (hold sprøjten med stemplet nedad), og den transparente Mix2Vial-del kobles af sprøjten ved at dreje den mod uret.  </w:t>
            </w:r>
          </w:p>
          <w:p w:rsidR="0040242A" w:rsidRPr="003C3246" w:rsidRDefault="0040242A" w:rsidP="003B4BCE">
            <w:pPr>
              <w:pStyle w:val="LAFISPCNormal"/>
              <w:ind w:left="38"/>
              <w:rPr>
                <w:szCs w:val="24"/>
                <w:lang w:val="da-DK"/>
              </w:rPr>
            </w:pPr>
          </w:p>
        </w:tc>
      </w:tr>
    </w:tbl>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r w:rsidRPr="003C3246">
        <w:rPr>
          <w:szCs w:val="24"/>
          <w:lang w:val="da-DK"/>
        </w:rPr>
        <w:lastRenderedPageBreak/>
        <w:t xml:space="preserve">Vær omhyggelig med, at der ikke kommer blod ind i sprøjten med produktet, da der er en risiko for, at </w:t>
      </w:r>
      <w:r>
        <w:rPr>
          <w:szCs w:val="24"/>
          <w:lang w:val="da-DK"/>
        </w:rPr>
        <w:t>blodet kan koagulere i sprøjten,</w:t>
      </w:r>
      <w:r w:rsidRPr="003C3246">
        <w:rPr>
          <w:szCs w:val="24"/>
          <w:lang w:val="da-DK"/>
        </w:rPr>
        <w:t xml:space="preserve"> og </w:t>
      </w:r>
      <w:proofErr w:type="spellStart"/>
      <w:r w:rsidRPr="003C3246">
        <w:rPr>
          <w:szCs w:val="24"/>
          <w:lang w:val="da-DK"/>
        </w:rPr>
        <w:t>fabrinkoagel</w:t>
      </w:r>
      <w:proofErr w:type="spellEnd"/>
      <w:r w:rsidRPr="003C3246">
        <w:rPr>
          <w:szCs w:val="24"/>
          <w:lang w:val="da-DK"/>
        </w:rPr>
        <w:t xml:space="preserve"> derved komme</w:t>
      </w:r>
      <w:r>
        <w:rPr>
          <w:szCs w:val="24"/>
          <w:lang w:val="da-DK"/>
        </w:rPr>
        <w:t>r</w:t>
      </w:r>
      <w:r w:rsidRPr="003C3246">
        <w:rPr>
          <w:szCs w:val="24"/>
          <w:lang w:val="da-DK"/>
        </w:rPr>
        <w:t xml:space="preserve"> ind i patienten. </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r w:rsidRPr="003C3246">
        <w:rPr>
          <w:szCs w:val="24"/>
          <w:lang w:val="da-DK"/>
        </w:rPr>
        <w:t xml:space="preserve">Hvis der er behov for mere end et hætteglas med </w:t>
      </w:r>
      <w:proofErr w:type="spellStart"/>
      <w:r w:rsidRPr="003C3246">
        <w:rPr>
          <w:szCs w:val="24"/>
          <w:lang w:val="da-DK"/>
        </w:rPr>
        <w:t>Confidex</w:t>
      </w:r>
      <w:proofErr w:type="spellEnd"/>
      <w:r w:rsidRPr="003C3246">
        <w:rPr>
          <w:szCs w:val="24"/>
          <w:lang w:val="da-DK"/>
        </w:rPr>
        <w:t xml:space="preserve">, er det muligt at slå flere hætteglas med </w:t>
      </w:r>
      <w:proofErr w:type="spellStart"/>
      <w:r w:rsidRPr="003C3246">
        <w:rPr>
          <w:szCs w:val="24"/>
          <w:lang w:val="da-DK"/>
        </w:rPr>
        <w:t>Confidex</w:t>
      </w:r>
      <w:proofErr w:type="spellEnd"/>
      <w:r w:rsidRPr="003C3246">
        <w:rPr>
          <w:szCs w:val="24"/>
          <w:lang w:val="da-DK"/>
        </w:rPr>
        <w:t xml:space="preserve"> sammen til </w:t>
      </w:r>
      <w:proofErr w:type="gramStart"/>
      <w:r w:rsidRPr="003C3246">
        <w:rPr>
          <w:szCs w:val="24"/>
          <w:lang w:val="da-DK"/>
        </w:rPr>
        <w:t>et enkelt infusion</w:t>
      </w:r>
      <w:proofErr w:type="gramEnd"/>
      <w:r w:rsidRPr="003C3246">
        <w:rPr>
          <w:szCs w:val="24"/>
          <w:lang w:val="da-DK"/>
        </w:rPr>
        <w:t xml:space="preserve"> ved hjælp af en kommercielt tilgængelig infusionsanordning. </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r w:rsidRPr="003C3246">
        <w:rPr>
          <w:szCs w:val="24"/>
          <w:lang w:val="da-DK"/>
        </w:rPr>
        <w:t xml:space="preserve">Opløsningen med </w:t>
      </w:r>
      <w:proofErr w:type="spellStart"/>
      <w:r w:rsidRPr="003C3246">
        <w:rPr>
          <w:szCs w:val="24"/>
          <w:lang w:val="da-DK"/>
        </w:rPr>
        <w:t>Confidex</w:t>
      </w:r>
      <w:proofErr w:type="spellEnd"/>
      <w:r w:rsidRPr="003C3246">
        <w:rPr>
          <w:szCs w:val="24"/>
          <w:lang w:val="da-DK"/>
        </w:rPr>
        <w:t xml:space="preserve"> må ikke fortyndes.</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r w:rsidRPr="003C3246">
        <w:rPr>
          <w:szCs w:val="24"/>
          <w:lang w:val="da-DK"/>
        </w:rPr>
        <w:t xml:space="preserve">Den </w:t>
      </w:r>
      <w:proofErr w:type="spellStart"/>
      <w:r w:rsidRPr="003C3246">
        <w:rPr>
          <w:szCs w:val="24"/>
          <w:lang w:val="da-DK"/>
        </w:rPr>
        <w:t>rekonstituerede</w:t>
      </w:r>
      <w:proofErr w:type="spellEnd"/>
      <w:r w:rsidRPr="003C3246">
        <w:rPr>
          <w:szCs w:val="24"/>
          <w:lang w:val="da-DK"/>
        </w:rPr>
        <w:t xml:space="preserve"> opløsning skal administreres intravenøst (højst 8 ml/min*).</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pStyle w:val="LAFISPCNormal"/>
        <w:tabs>
          <w:tab w:val="left" w:pos="0"/>
        </w:tabs>
        <w:ind w:left="851"/>
        <w:rPr>
          <w:szCs w:val="24"/>
          <w:lang w:val="da-DK"/>
        </w:rPr>
      </w:pPr>
      <w:r w:rsidRPr="003C3246">
        <w:rPr>
          <w:szCs w:val="24"/>
          <w:lang w:val="da-DK"/>
        </w:rPr>
        <w:t>Ikke anvendt lægemiddel samt affald heraf skal bortskaffes i henhold til lokale retningslinjer.</w:t>
      </w:r>
    </w:p>
    <w:p w:rsidR="0040242A" w:rsidRPr="003C3246" w:rsidRDefault="0040242A" w:rsidP="0040242A">
      <w:pPr>
        <w:pStyle w:val="LAFISPCNormal"/>
        <w:tabs>
          <w:tab w:val="left" w:pos="0"/>
        </w:tabs>
        <w:ind w:left="851"/>
        <w:rPr>
          <w:szCs w:val="24"/>
          <w:lang w:val="da-DK"/>
        </w:rPr>
      </w:pPr>
    </w:p>
    <w:p w:rsidR="0040242A" w:rsidRPr="003C3246" w:rsidRDefault="0040242A" w:rsidP="0040242A">
      <w:pPr>
        <w:ind w:left="851"/>
        <w:rPr>
          <w:sz w:val="24"/>
          <w:szCs w:val="24"/>
        </w:rPr>
      </w:pPr>
      <w:r w:rsidRPr="003C3246">
        <w:rPr>
          <w:sz w:val="24"/>
          <w:szCs w:val="24"/>
        </w:rPr>
        <w:t>__________________________________________________</w:t>
      </w:r>
    </w:p>
    <w:p w:rsidR="0040242A" w:rsidRDefault="0040242A" w:rsidP="0040242A">
      <w:pPr>
        <w:pStyle w:val="LAFISPCNormal"/>
        <w:ind w:left="851"/>
        <w:rPr>
          <w:szCs w:val="24"/>
          <w:lang w:val="da-DK"/>
        </w:rPr>
      </w:pPr>
      <w:r w:rsidRPr="003C3246">
        <w:rPr>
          <w:szCs w:val="24"/>
          <w:lang w:val="da-DK"/>
        </w:rPr>
        <w:t xml:space="preserve">* i kliniske studier med </w:t>
      </w:r>
      <w:proofErr w:type="spellStart"/>
      <w:r w:rsidRPr="003C3246">
        <w:rPr>
          <w:szCs w:val="24"/>
          <w:lang w:val="da-DK"/>
        </w:rPr>
        <w:t>Confidex</w:t>
      </w:r>
      <w:proofErr w:type="spellEnd"/>
      <w:r w:rsidRPr="003C3246">
        <w:rPr>
          <w:szCs w:val="24"/>
          <w:lang w:val="da-DK"/>
        </w:rPr>
        <w:t xml:space="preserve"> blev patienter, der vejede &lt; 70 kg, </w:t>
      </w:r>
      <w:r>
        <w:rPr>
          <w:szCs w:val="24"/>
          <w:lang w:val="da-DK"/>
        </w:rPr>
        <w:t>doseret</w:t>
      </w:r>
      <w:r w:rsidRPr="003C3246">
        <w:rPr>
          <w:szCs w:val="24"/>
          <w:lang w:val="da-DK"/>
        </w:rPr>
        <w:t xml:space="preserve"> med maksimal infusionshastighed på 0,12 ml/kg/min (mindre end 8 ml/min)</w:t>
      </w:r>
    </w:p>
    <w:p w:rsidR="0040242A" w:rsidRPr="00C84483" w:rsidRDefault="0040242A" w:rsidP="0040242A">
      <w:pPr>
        <w:tabs>
          <w:tab w:val="left" w:pos="851"/>
        </w:tabs>
        <w:ind w:left="851"/>
        <w:jc w:val="both"/>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0242A" w:rsidRPr="00220707" w:rsidRDefault="0040242A" w:rsidP="0040242A">
      <w:pPr>
        <w:pStyle w:val="LAFISPCNormal"/>
        <w:tabs>
          <w:tab w:val="left" w:pos="0"/>
        </w:tabs>
        <w:ind w:left="851"/>
        <w:rPr>
          <w:szCs w:val="24"/>
          <w:lang w:val="da-DK"/>
        </w:rPr>
      </w:pPr>
      <w:r w:rsidRPr="00220707">
        <w:rPr>
          <w:szCs w:val="24"/>
          <w:lang w:val="da-DK"/>
        </w:rPr>
        <w:t xml:space="preserve">CSL </w:t>
      </w:r>
      <w:proofErr w:type="spellStart"/>
      <w:r w:rsidRPr="00220707">
        <w:rPr>
          <w:szCs w:val="24"/>
          <w:lang w:val="da-DK"/>
        </w:rPr>
        <w:t>Behring</w:t>
      </w:r>
      <w:proofErr w:type="spellEnd"/>
      <w:r w:rsidRPr="00220707">
        <w:rPr>
          <w:szCs w:val="24"/>
          <w:lang w:val="da-DK"/>
        </w:rPr>
        <w:t xml:space="preserve"> GmbH</w:t>
      </w:r>
    </w:p>
    <w:p w:rsidR="0040242A" w:rsidRPr="00220707" w:rsidRDefault="0040242A" w:rsidP="0040242A">
      <w:pPr>
        <w:pStyle w:val="LAFISPCNormal"/>
        <w:tabs>
          <w:tab w:val="left" w:pos="0"/>
        </w:tabs>
        <w:ind w:left="851"/>
        <w:rPr>
          <w:szCs w:val="24"/>
          <w:lang w:val="sv-SE"/>
        </w:rPr>
      </w:pPr>
      <w:r w:rsidRPr="00220707">
        <w:rPr>
          <w:szCs w:val="24"/>
          <w:lang w:val="da-DK"/>
        </w:rPr>
        <w:t>Emil-von-</w:t>
      </w:r>
      <w:proofErr w:type="spellStart"/>
      <w:r w:rsidRPr="00220707">
        <w:rPr>
          <w:szCs w:val="24"/>
          <w:lang w:val="da-DK"/>
        </w:rPr>
        <w:t>Behring</w:t>
      </w:r>
      <w:proofErr w:type="spellEnd"/>
      <w:r w:rsidRPr="00220707">
        <w:rPr>
          <w:szCs w:val="24"/>
          <w:lang w:val="da-DK"/>
        </w:rPr>
        <w:t>-</w:t>
      </w:r>
      <w:proofErr w:type="spellStart"/>
      <w:r w:rsidRPr="00220707">
        <w:rPr>
          <w:szCs w:val="24"/>
          <w:lang w:val="da-DK"/>
        </w:rPr>
        <w:t>Strasse</w:t>
      </w:r>
      <w:proofErr w:type="spellEnd"/>
      <w:r w:rsidRPr="00220707">
        <w:rPr>
          <w:szCs w:val="24"/>
          <w:lang w:val="da-DK"/>
        </w:rPr>
        <w:t xml:space="preserve"> 76</w:t>
      </w:r>
    </w:p>
    <w:p w:rsidR="0040242A" w:rsidRPr="00220707" w:rsidRDefault="0040242A" w:rsidP="0040242A">
      <w:pPr>
        <w:pStyle w:val="LAFISPCNormal"/>
        <w:tabs>
          <w:tab w:val="left" w:pos="0"/>
        </w:tabs>
        <w:ind w:left="851"/>
        <w:rPr>
          <w:szCs w:val="24"/>
          <w:lang w:val="sv-SE"/>
        </w:rPr>
      </w:pPr>
      <w:r w:rsidRPr="00220707">
        <w:rPr>
          <w:szCs w:val="24"/>
          <w:lang w:val="da-DK"/>
        </w:rPr>
        <w:t xml:space="preserve">35041 </w:t>
      </w:r>
      <w:proofErr w:type="spellStart"/>
      <w:r w:rsidRPr="00220707">
        <w:rPr>
          <w:szCs w:val="24"/>
          <w:lang w:val="da-DK"/>
        </w:rPr>
        <w:t>Marburg</w:t>
      </w:r>
      <w:proofErr w:type="spellEnd"/>
    </w:p>
    <w:p w:rsidR="0040242A" w:rsidRPr="00220707" w:rsidRDefault="0040242A" w:rsidP="0040242A">
      <w:pPr>
        <w:pStyle w:val="LAFISPCNormal"/>
        <w:tabs>
          <w:tab w:val="left" w:pos="0"/>
        </w:tabs>
        <w:ind w:left="851"/>
        <w:rPr>
          <w:szCs w:val="24"/>
          <w:lang w:val="sv-SE"/>
        </w:rPr>
      </w:pPr>
      <w:r w:rsidRPr="00220707">
        <w:rPr>
          <w:szCs w:val="24"/>
          <w:lang w:val="da-DK"/>
        </w:rPr>
        <w:t>Tyskland</w:t>
      </w:r>
    </w:p>
    <w:p w:rsidR="0040242A" w:rsidRPr="00220707" w:rsidRDefault="0040242A" w:rsidP="0040242A">
      <w:pPr>
        <w:pStyle w:val="LAFISPCNormal"/>
        <w:tabs>
          <w:tab w:val="left" w:pos="0"/>
        </w:tabs>
        <w:ind w:left="851"/>
        <w:rPr>
          <w:szCs w:val="24"/>
          <w:lang w:val="da-DK"/>
        </w:rPr>
      </w:pPr>
    </w:p>
    <w:p w:rsidR="0040242A" w:rsidRPr="00220707" w:rsidRDefault="0040242A" w:rsidP="0040242A">
      <w:pPr>
        <w:pStyle w:val="LAFISPCNormal"/>
        <w:tabs>
          <w:tab w:val="left" w:pos="0"/>
        </w:tabs>
        <w:ind w:left="851"/>
        <w:rPr>
          <w:b/>
          <w:szCs w:val="24"/>
          <w:lang w:val="en-US"/>
        </w:rPr>
      </w:pPr>
      <w:proofErr w:type="spellStart"/>
      <w:r w:rsidRPr="00220707">
        <w:rPr>
          <w:b/>
          <w:szCs w:val="24"/>
          <w:lang w:val="en-US"/>
        </w:rPr>
        <w:t>Repræsentant</w:t>
      </w:r>
      <w:proofErr w:type="spellEnd"/>
    </w:p>
    <w:p w:rsidR="0040242A" w:rsidRPr="00220707" w:rsidRDefault="0040242A" w:rsidP="0040242A">
      <w:pPr>
        <w:pStyle w:val="LAFISPCNormal"/>
        <w:tabs>
          <w:tab w:val="left" w:pos="0"/>
        </w:tabs>
        <w:ind w:left="851"/>
        <w:rPr>
          <w:szCs w:val="24"/>
          <w:lang w:val="en-US"/>
        </w:rPr>
      </w:pPr>
      <w:r w:rsidRPr="00220707">
        <w:rPr>
          <w:szCs w:val="24"/>
          <w:lang w:val="en-US"/>
        </w:rPr>
        <w:t>CSL Behring AB</w:t>
      </w:r>
    </w:p>
    <w:p w:rsidR="0040242A" w:rsidRPr="00220707" w:rsidRDefault="0040242A" w:rsidP="0040242A">
      <w:pPr>
        <w:pStyle w:val="LAFISPCNormal"/>
        <w:tabs>
          <w:tab w:val="left" w:pos="0"/>
        </w:tabs>
        <w:ind w:left="851"/>
        <w:rPr>
          <w:szCs w:val="24"/>
          <w:lang w:val="en-US"/>
        </w:rPr>
      </w:pPr>
      <w:proofErr w:type="spellStart"/>
      <w:r w:rsidRPr="00220707">
        <w:rPr>
          <w:szCs w:val="24"/>
          <w:lang w:val="en-US"/>
        </w:rPr>
        <w:t>Berga</w:t>
      </w:r>
      <w:proofErr w:type="spellEnd"/>
      <w:r w:rsidRPr="00220707">
        <w:rPr>
          <w:szCs w:val="24"/>
          <w:lang w:val="en-US"/>
        </w:rPr>
        <w:t xml:space="preserve"> </w:t>
      </w:r>
      <w:proofErr w:type="spellStart"/>
      <w:r w:rsidRPr="00220707">
        <w:rPr>
          <w:szCs w:val="24"/>
          <w:lang w:val="en-US"/>
        </w:rPr>
        <w:t>Backe</w:t>
      </w:r>
      <w:proofErr w:type="spellEnd"/>
      <w:r w:rsidRPr="00220707">
        <w:rPr>
          <w:szCs w:val="24"/>
          <w:lang w:val="en-US"/>
        </w:rPr>
        <w:t xml:space="preserve"> 2</w:t>
      </w:r>
    </w:p>
    <w:p w:rsidR="0040242A" w:rsidRPr="00220707" w:rsidRDefault="0040242A" w:rsidP="0040242A">
      <w:pPr>
        <w:pStyle w:val="LAFISPCNormal"/>
        <w:tabs>
          <w:tab w:val="left" w:pos="0"/>
        </w:tabs>
        <w:ind w:left="851"/>
        <w:rPr>
          <w:szCs w:val="24"/>
          <w:lang w:val="da-DK"/>
        </w:rPr>
      </w:pPr>
      <w:r w:rsidRPr="00220707">
        <w:rPr>
          <w:szCs w:val="24"/>
          <w:lang w:val="da-DK"/>
        </w:rPr>
        <w:t xml:space="preserve">182 17 </w:t>
      </w:r>
      <w:proofErr w:type="spellStart"/>
      <w:r w:rsidRPr="00220707">
        <w:rPr>
          <w:szCs w:val="24"/>
          <w:lang w:val="da-DK"/>
        </w:rPr>
        <w:t>Danderyd</w:t>
      </w:r>
      <w:proofErr w:type="spellEnd"/>
    </w:p>
    <w:p w:rsidR="0040242A" w:rsidRPr="006445DA" w:rsidRDefault="0040242A" w:rsidP="0040242A">
      <w:pPr>
        <w:pStyle w:val="LAFISPCNormal"/>
        <w:tabs>
          <w:tab w:val="left" w:pos="0"/>
        </w:tabs>
        <w:ind w:left="851"/>
        <w:rPr>
          <w:szCs w:val="24"/>
          <w:lang w:val="da-DK"/>
        </w:rPr>
      </w:pPr>
      <w:r w:rsidRPr="00220707">
        <w:rPr>
          <w:szCs w:val="24"/>
          <w:lang w:val="da-DK"/>
        </w:rPr>
        <w:t>Sverige</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40242A" w:rsidRPr="00C12164" w:rsidRDefault="0040242A" w:rsidP="0040242A">
      <w:pPr>
        <w:pStyle w:val="LAFISPCNormal"/>
        <w:tabs>
          <w:tab w:val="left" w:pos="0"/>
          <w:tab w:val="left" w:pos="2694"/>
        </w:tabs>
        <w:ind w:left="851"/>
        <w:rPr>
          <w:szCs w:val="24"/>
          <w:lang w:val="da-DK"/>
        </w:rPr>
      </w:pPr>
      <w:proofErr w:type="spellStart"/>
      <w:r w:rsidRPr="00C12164">
        <w:rPr>
          <w:szCs w:val="24"/>
          <w:lang w:val="da-DK"/>
        </w:rPr>
        <w:t>Confidex</w:t>
      </w:r>
      <w:proofErr w:type="spellEnd"/>
      <w:r w:rsidRPr="00C12164">
        <w:rPr>
          <w:szCs w:val="24"/>
          <w:lang w:val="da-DK"/>
        </w:rPr>
        <w:t xml:space="preserve"> 250 IE:</w:t>
      </w:r>
      <w:r w:rsidRPr="00C12164">
        <w:rPr>
          <w:szCs w:val="24"/>
          <w:lang w:val="da-DK"/>
        </w:rPr>
        <w:tab/>
        <w:t>56386</w:t>
      </w:r>
    </w:p>
    <w:p w:rsidR="0040242A" w:rsidRPr="00C12164" w:rsidRDefault="0040242A" w:rsidP="0040242A">
      <w:pPr>
        <w:pStyle w:val="LAFISPCNormal"/>
        <w:tabs>
          <w:tab w:val="left" w:pos="0"/>
          <w:tab w:val="left" w:pos="2694"/>
        </w:tabs>
        <w:ind w:left="851"/>
        <w:rPr>
          <w:szCs w:val="24"/>
          <w:lang w:val="da-DK"/>
        </w:rPr>
      </w:pPr>
      <w:proofErr w:type="spellStart"/>
      <w:r w:rsidRPr="00C12164">
        <w:rPr>
          <w:szCs w:val="24"/>
          <w:lang w:val="da-DK"/>
        </w:rPr>
        <w:t>Confidex</w:t>
      </w:r>
      <w:proofErr w:type="spellEnd"/>
      <w:r w:rsidRPr="00C12164">
        <w:rPr>
          <w:szCs w:val="24"/>
          <w:lang w:val="da-DK"/>
        </w:rPr>
        <w:t xml:space="preserve"> 500 IE:</w:t>
      </w:r>
      <w:r w:rsidRPr="00C12164">
        <w:rPr>
          <w:szCs w:val="24"/>
          <w:lang w:val="da-DK"/>
        </w:rPr>
        <w:tab/>
        <w:t>56387</w:t>
      </w:r>
    </w:p>
    <w:p w:rsidR="0040242A" w:rsidRPr="00C12164" w:rsidRDefault="0040242A" w:rsidP="0040242A">
      <w:pPr>
        <w:pStyle w:val="LAFISPCNormal"/>
        <w:tabs>
          <w:tab w:val="left" w:pos="0"/>
          <w:tab w:val="left" w:pos="2694"/>
        </w:tabs>
        <w:ind w:left="851"/>
        <w:rPr>
          <w:szCs w:val="24"/>
          <w:lang w:val="da-DK"/>
        </w:rPr>
      </w:pPr>
      <w:proofErr w:type="spellStart"/>
      <w:r w:rsidRPr="00C12164">
        <w:rPr>
          <w:szCs w:val="24"/>
          <w:lang w:val="da-DK"/>
        </w:rPr>
        <w:t>Confidex</w:t>
      </w:r>
      <w:proofErr w:type="spellEnd"/>
      <w:r w:rsidRPr="00C12164">
        <w:rPr>
          <w:szCs w:val="24"/>
          <w:lang w:val="da-DK"/>
        </w:rPr>
        <w:t xml:space="preserve"> 1000 IE:</w:t>
      </w:r>
      <w:r w:rsidRPr="00C12164">
        <w:rPr>
          <w:szCs w:val="24"/>
          <w:lang w:val="da-DK"/>
        </w:rPr>
        <w:tab/>
        <w:t>56388</w:t>
      </w:r>
    </w:p>
    <w:p w:rsidR="0040242A" w:rsidRPr="00C12164" w:rsidRDefault="0040242A" w:rsidP="0040242A">
      <w:pPr>
        <w:tabs>
          <w:tab w:val="left" w:pos="851"/>
        </w:tabs>
        <w:ind w:left="851"/>
        <w:jc w:val="both"/>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0242A" w:rsidRPr="00C84483" w:rsidRDefault="0040242A" w:rsidP="0040242A">
      <w:pPr>
        <w:tabs>
          <w:tab w:val="left" w:pos="851"/>
        </w:tabs>
        <w:ind w:left="851"/>
        <w:rPr>
          <w:sz w:val="24"/>
          <w:szCs w:val="24"/>
        </w:rPr>
      </w:pPr>
      <w:r>
        <w:rPr>
          <w:sz w:val="24"/>
          <w:szCs w:val="24"/>
        </w:rPr>
        <w:t>13. januar 2016</w:t>
      </w:r>
    </w:p>
    <w:p w:rsidR="0040242A" w:rsidRPr="00C84483" w:rsidRDefault="0040242A" w:rsidP="0040242A">
      <w:pPr>
        <w:tabs>
          <w:tab w:val="left" w:pos="851"/>
        </w:tabs>
        <w:ind w:left="851"/>
        <w:rPr>
          <w:sz w:val="24"/>
          <w:szCs w:val="24"/>
        </w:rPr>
      </w:pPr>
    </w:p>
    <w:p w:rsidR="0040242A" w:rsidRPr="00C84483" w:rsidRDefault="0040242A" w:rsidP="0040242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0242A" w:rsidRPr="00C84483" w:rsidRDefault="00D97EE2" w:rsidP="0040242A">
      <w:pPr>
        <w:tabs>
          <w:tab w:val="left" w:pos="851"/>
        </w:tabs>
        <w:ind w:left="851"/>
        <w:rPr>
          <w:sz w:val="24"/>
          <w:szCs w:val="24"/>
        </w:rPr>
      </w:pPr>
      <w:r>
        <w:rPr>
          <w:sz w:val="24"/>
          <w:szCs w:val="24"/>
        </w:rPr>
        <w:t>4</w:t>
      </w:r>
      <w:r w:rsidR="0040242A">
        <w:rPr>
          <w:sz w:val="24"/>
          <w:szCs w:val="24"/>
        </w:rPr>
        <w:t xml:space="preserve">. </w:t>
      </w:r>
      <w:r>
        <w:rPr>
          <w:sz w:val="24"/>
          <w:szCs w:val="24"/>
        </w:rPr>
        <w:t>februar</w:t>
      </w:r>
      <w:r w:rsidR="0040242A">
        <w:rPr>
          <w:sz w:val="24"/>
          <w:szCs w:val="24"/>
        </w:rPr>
        <w:t xml:space="preserve"> 20</w:t>
      </w:r>
      <w:r>
        <w:rPr>
          <w:sz w:val="24"/>
          <w:szCs w:val="24"/>
        </w:rPr>
        <w:t>21</w:t>
      </w:r>
    </w:p>
    <w:p w:rsidR="0040242A" w:rsidRPr="0002449D" w:rsidRDefault="0040242A" w:rsidP="0040242A"/>
    <w:p w:rsidR="0040242A" w:rsidRPr="00A650C8" w:rsidRDefault="0040242A" w:rsidP="0040242A"/>
    <w:p w:rsidR="009260DE" w:rsidRPr="0040242A" w:rsidRDefault="009260DE" w:rsidP="0040242A"/>
    <w:sectPr w:rsidR="009260DE" w:rsidRPr="0040242A"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42A" w:rsidRDefault="0040242A">
      <w:r>
        <w:separator/>
      </w:r>
    </w:p>
  </w:endnote>
  <w:endnote w:type="continuationSeparator" w:id="0">
    <w:p w:rsidR="0040242A" w:rsidRDefault="0040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242A">
      <w:rPr>
        <w:i/>
        <w:noProof/>
        <w:sz w:val="18"/>
        <w:szCs w:val="18"/>
      </w:rPr>
      <w:t>Dokument1152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42A" w:rsidRDefault="0040242A">
      <w:r>
        <w:separator/>
      </w:r>
    </w:p>
  </w:footnote>
  <w:footnote w:type="continuationSeparator" w:id="0">
    <w:p w:rsidR="0040242A" w:rsidRDefault="0040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B218D8"/>
    <w:multiLevelType w:val="hybridMultilevel"/>
    <w:tmpl w:val="15CCA0CE"/>
    <w:lvl w:ilvl="0" w:tplc="3A1A4A04">
      <w:start w:val="1"/>
      <w:numFmt w:val="bullet"/>
      <w:lvlText w:val="-"/>
      <w:lvlJc w:val="left"/>
      <w:pPr>
        <w:tabs>
          <w:tab w:val="num" w:pos="2291"/>
        </w:tabs>
        <w:ind w:left="2291" w:hanging="360"/>
      </w:pPr>
      <w:rPr>
        <w:rFonts w:ascii="Times New Roman" w:hAnsi="Times New Roman" w:cs="Times New Roman" w:hint="default"/>
      </w:rPr>
    </w:lvl>
    <w:lvl w:ilvl="1" w:tplc="04090001">
      <w:start w:val="1"/>
      <w:numFmt w:val="bullet"/>
      <w:lvlText w:val=""/>
      <w:lvlJc w:val="left"/>
      <w:pPr>
        <w:tabs>
          <w:tab w:val="num" w:pos="2291"/>
        </w:tabs>
        <w:ind w:left="2291" w:hanging="360"/>
      </w:pPr>
      <w:rPr>
        <w:rFonts w:ascii="Symbol" w:hAnsi="Symbol"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2A"/>
    <w:rsid w:val="000259B9"/>
    <w:rsid w:val="00031AB1"/>
    <w:rsid w:val="00041491"/>
    <w:rsid w:val="00050D16"/>
    <w:rsid w:val="00074F2A"/>
    <w:rsid w:val="000A1CA8"/>
    <w:rsid w:val="000A466B"/>
    <w:rsid w:val="000B058C"/>
    <w:rsid w:val="000E4EE6"/>
    <w:rsid w:val="001454E2"/>
    <w:rsid w:val="00206CE8"/>
    <w:rsid w:val="0021526C"/>
    <w:rsid w:val="00283A2B"/>
    <w:rsid w:val="002B30AD"/>
    <w:rsid w:val="002C2C01"/>
    <w:rsid w:val="00355BAB"/>
    <w:rsid w:val="003A29AE"/>
    <w:rsid w:val="003A32D7"/>
    <w:rsid w:val="003B4074"/>
    <w:rsid w:val="003C769A"/>
    <w:rsid w:val="003F1838"/>
    <w:rsid w:val="0040242A"/>
    <w:rsid w:val="0045746C"/>
    <w:rsid w:val="0049104B"/>
    <w:rsid w:val="004B20BF"/>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97EE2"/>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01DA8"/>
  <w15:chartTrackingRefBased/>
  <w15:docId w15:val="{DF049272-41CF-4D5D-8DF0-64FDF510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AFISPCNormal">
    <w:name w:val="LA_FI_SPC_Normal"/>
    <w:basedOn w:val="Normal"/>
    <w:rsid w:val="0040242A"/>
    <w:pPr>
      <w:tabs>
        <w:tab w:val="left" w:pos="567"/>
      </w:tabs>
      <w:ind w:left="567"/>
    </w:pPr>
    <w:rPr>
      <w:sz w:val="24"/>
      <w:lang w:val="en-GB"/>
    </w:rPr>
  </w:style>
  <w:style w:type="character" w:customStyle="1" w:styleId="MarkeringsbobletekstTegn">
    <w:name w:val="Markeringsbobletekst Tegn"/>
    <w:basedOn w:val="Standardskrifttypeiafsnit"/>
    <w:link w:val="Markeringsbobletekst"/>
    <w:uiPriority w:val="99"/>
    <w:semiHidden/>
    <w:rsid w:val="0040242A"/>
    <w:rPr>
      <w:rFonts w:ascii="Tahoma" w:hAnsi="Tahoma" w:cs="Tahoma"/>
      <w:sz w:val="16"/>
      <w:szCs w:val="16"/>
      <w:lang w:eastAsia="en-US"/>
    </w:rPr>
  </w:style>
  <w:style w:type="character" w:styleId="Hyperlink">
    <w:name w:val="Hyperlink"/>
    <w:uiPriority w:val="99"/>
    <w:unhideWhenUsed/>
    <w:rsid w:val="00D97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14</Pages>
  <Words>4035</Words>
  <Characters>25453</Characters>
  <Application>Microsoft Office Word</Application>
  <DocSecurity>0</DocSecurity>
  <Lines>212</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2020121859 pkt. 4.8 og 6.5</dc:description>
  <cp:lastModifiedBy>Helle Søndersted</cp:lastModifiedBy>
  <cp:revision>2</cp:revision>
  <cp:lastPrinted>2012-08-22T08:53:00Z</cp:lastPrinted>
  <dcterms:created xsi:type="dcterms:W3CDTF">2021-02-05T11:52:00Z</dcterms:created>
  <dcterms:modified xsi:type="dcterms:W3CDTF">2021-02-05T11:52:00Z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