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2D7" w:rsidRPr="00C84483" w:rsidRDefault="000372D7" w:rsidP="000372D7">
      <w:pPr>
        <w:rPr>
          <w:sz w:val="24"/>
          <w:szCs w:val="24"/>
        </w:rPr>
      </w:pPr>
      <w:r>
        <w:rPr>
          <w:b/>
          <w:noProof/>
          <w:lang w:eastAsia="da-DK"/>
        </w:rPr>
        <w:drawing>
          <wp:inline distT="0" distB="0" distL="0" distR="0" wp14:anchorId="248EE8F2" wp14:editId="198B41CA">
            <wp:extent cx="2466975" cy="685800"/>
            <wp:effectExtent l="0" t="0" r="9525" b="0"/>
            <wp:docPr id="1" name="Bille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1E" w:rsidRPr="002952BF" w:rsidRDefault="000372D7" w:rsidP="002952BF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2952BF" w:rsidRPr="002952BF">
        <w:rPr>
          <w:szCs w:val="24"/>
          <w:lang w:eastAsia="en-US"/>
        </w:rPr>
        <w:t>18. marts 2025</w:t>
      </w:r>
    </w:p>
    <w:p w:rsidR="002952BF" w:rsidRDefault="002952BF" w:rsidP="002952BF">
      <w:pPr>
        <w:pStyle w:val="Titel"/>
        <w:tabs>
          <w:tab w:val="right" w:pos="9356"/>
        </w:tabs>
        <w:jc w:val="left"/>
        <w:rPr>
          <w:b w:val="0"/>
          <w:szCs w:val="24"/>
        </w:rPr>
      </w:pPr>
    </w:p>
    <w:p w:rsidR="000372D7" w:rsidRDefault="000372D7" w:rsidP="00103F69">
      <w:pPr>
        <w:pStyle w:val="Titel"/>
        <w:ind w:left="284"/>
        <w:jc w:val="left"/>
        <w:rPr>
          <w:b w:val="0"/>
          <w:szCs w:val="24"/>
        </w:rPr>
      </w:pPr>
    </w:p>
    <w:p w:rsidR="002952BF" w:rsidRPr="00C84483" w:rsidRDefault="002952BF" w:rsidP="00103F69">
      <w:pPr>
        <w:pStyle w:val="Titel"/>
        <w:ind w:left="284"/>
        <w:jc w:val="left"/>
        <w:rPr>
          <w:b w:val="0"/>
          <w:szCs w:val="24"/>
        </w:rPr>
      </w:pPr>
    </w:p>
    <w:p w:rsidR="000372D7" w:rsidRPr="00C84483" w:rsidRDefault="000372D7" w:rsidP="000372D7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0372D7" w:rsidRPr="00C84483" w:rsidRDefault="000372D7" w:rsidP="00D64ED7">
      <w:pPr>
        <w:rPr>
          <w:b/>
          <w:sz w:val="24"/>
          <w:szCs w:val="24"/>
        </w:rPr>
      </w:pPr>
    </w:p>
    <w:p w:rsidR="000372D7" w:rsidRPr="00C84483" w:rsidRDefault="000372D7" w:rsidP="000372D7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0372D7" w:rsidRPr="00C84483" w:rsidRDefault="000372D7" w:rsidP="000372D7">
      <w:pPr>
        <w:jc w:val="center"/>
        <w:rPr>
          <w:b/>
          <w:sz w:val="24"/>
          <w:szCs w:val="24"/>
        </w:rPr>
      </w:pPr>
    </w:p>
    <w:p w:rsidR="000372D7" w:rsidRPr="00C84483" w:rsidRDefault="000372D7" w:rsidP="000372D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Copaxone</w:t>
      </w:r>
      <w:proofErr w:type="spellEnd"/>
      <w:r>
        <w:rPr>
          <w:b/>
          <w:sz w:val="24"/>
          <w:szCs w:val="24"/>
        </w:rPr>
        <w:t>, injektionsvæske, opløsning i fyldt injektionssprøjte 40 mg/ml</w:t>
      </w:r>
    </w:p>
    <w:p w:rsidR="000372D7" w:rsidRPr="00C84483" w:rsidRDefault="000372D7" w:rsidP="000372D7">
      <w:pPr>
        <w:jc w:val="both"/>
        <w:rPr>
          <w:sz w:val="24"/>
          <w:szCs w:val="24"/>
        </w:rPr>
      </w:pPr>
    </w:p>
    <w:p w:rsidR="000372D7" w:rsidRPr="003B2D1A" w:rsidRDefault="000372D7" w:rsidP="000372D7">
      <w:pPr>
        <w:ind w:left="851" w:hanging="851"/>
        <w:jc w:val="both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0.</w:t>
      </w:r>
      <w:r w:rsidRPr="003B2D1A">
        <w:rPr>
          <w:b/>
          <w:sz w:val="24"/>
          <w:szCs w:val="24"/>
        </w:rPr>
        <w:tab/>
        <w:t>D.SP.NR.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  <w:t>21015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1.</w:t>
      </w:r>
      <w:r w:rsidRPr="003B2D1A">
        <w:rPr>
          <w:b/>
          <w:sz w:val="24"/>
          <w:szCs w:val="24"/>
        </w:rPr>
        <w:tab/>
        <w:t>LÆGEMIDLETS NAVN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</w:r>
      <w:proofErr w:type="spellStart"/>
      <w:r w:rsidRPr="003B2D1A">
        <w:rPr>
          <w:sz w:val="24"/>
          <w:szCs w:val="24"/>
        </w:rPr>
        <w:t>Copaxone</w:t>
      </w:r>
      <w:proofErr w:type="spellEnd"/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2.</w:t>
      </w:r>
      <w:r w:rsidRPr="003B2D1A">
        <w:rPr>
          <w:b/>
          <w:sz w:val="24"/>
          <w:szCs w:val="24"/>
        </w:rPr>
        <w:tab/>
        <w:t>KVALITATIV OG KVANTITATIV SAMMENSÆTNING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>
        <w:rPr>
          <w:sz w:val="24"/>
          <w:szCs w:val="24"/>
        </w:rPr>
        <w:t xml:space="preserve">En fyldt injektionssprøjte med </w:t>
      </w:r>
      <w:r>
        <w:rPr>
          <w:color w:val="000000"/>
          <w:sz w:val="24"/>
          <w:szCs w:val="24"/>
        </w:rPr>
        <w:t xml:space="preserve">1 ml injektionsvæske, opløsning indeholdende 40 mg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*, svarende til 36 mg </w:t>
      </w:r>
      <w:proofErr w:type="spellStart"/>
      <w:r>
        <w:rPr>
          <w:color w:val="000000"/>
          <w:sz w:val="24"/>
          <w:szCs w:val="24"/>
        </w:rPr>
        <w:t>glatiramer</w:t>
      </w:r>
      <w:proofErr w:type="spellEnd"/>
      <w:r>
        <w:rPr>
          <w:color w:val="000000"/>
          <w:sz w:val="24"/>
          <w:szCs w:val="24"/>
        </w:rPr>
        <w:t>.</w:t>
      </w:r>
    </w:p>
    <w:p w:rsidR="000372D7" w:rsidRDefault="000372D7" w:rsidP="000372D7">
      <w:pPr>
        <w:pStyle w:val="Sidehoved"/>
        <w:tabs>
          <w:tab w:val="left" w:pos="851"/>
        </w:tabs>
        <w:suppressAutoHyphens/>
        <w:ind w:left="851" w:hanging="851"/>
        <w:rPr>
          <w:color w:val="000000"/>
          <w:szCs w:val="24"/>
        </w:rPr>
      </w:pP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*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 er et acetatsalt bestående af syntetiske polypeptider indeholdende 4 naturligt forekommende aminosyrer: L-</w:t>
      </w:r>
      <w:proofErr w:type="spellStart"/>
      <w:r>
        <w:rPr>
          <w:color w:val="000000"/>
          <w:sz w:val="24"/>
          <w:szCs w:val="24"/>
        </w:rPr>
        <w:t>glutaminsyre</w:t>
      </w:r>
      <w:proofErr w:type="spellEnd"/>
      <w:r>
        <w:rPr>
          <w:color w:val="000000"/>
          <w:sz w:val="24"/>
          <w:szCs w:val="24"/>
        </w:rPr>
        <w:t>, L-</w:t>
      </w:r>
      <w:proofErr w:type="spellStart"/>
      <w:r>
        <w:rPr>
          <w:color w:val="000000"/>
          <w:sz w:val="24"/>
          <w:szCs w:val="24"/>
        </w:rPr>
        <w:t>alanin</w:t>
      </w:r>
      <w:proofErr w:type="spellEnd"/>
      <w:r>
        <w:rPr>
          <w:color w:val="000000"/>
          <w:sz w:val="24"/>
          <w:szCs w:val="24"/>
        </w:rPr>
        <w:t>, L-</w:t>
      </w:r>
      <w:proofErr w:type="spellStart"/>
      <w:r>
        <w:rPr>
          <w:color w:val="000000"/>
          <w:sz w:val="24"/>
          <w:szCs w:val="24"/>
        </w:rPr>
        <w:t>tyrosin</w:t>
      </w:r>
      <w:proofErr w:type="spellEnd"/>
      <w:r>
        <w:rPr>
          <w:color w:val="000000"/>
          <w:sz w:val="24"/>
          <w:szCs w:val="24"/>
        </w:rPr>
        <w:t xml:space="preserve"> og L-lysin i molære fraktionsområder på henholdsvis 0,129-0,153, 0,392-0,462, 0,086-0,100 og 0,300-0,374. Den gennemsnitlige </w:t>
      </w:r>
      <w:proofErr w:type="spellStart"/>
      <w:r>
        <w:rPr>
          <w:color w:val="000000"/>
          <w:sz w:val="24"/>
          <w:szCs w:val="24"/>
        </w:rPr>
        <w:t>molekylevægt</w:t>
      </w:r>
      <w:proofErr w:type="spellEnd"/>
      <w:r>
        <w:rPr>
          <w:color w:val="000000"/>
          <w:sz w:val="24"/>
          <w:szCs w:val="24"/>
        </w:rPr>
        <w:t xml:space="preserve"> af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 ligger i området 5.000-9000 </w:t>
      </w:r>
      <w:proofErr w:type="spellStart"/>
      <w:r>
        <w:rPr>
          <w:color w:val="000000"/>
          <w:sz w:val="24"/>
          <w:szCs w:val="24"/>
        </w:rPr>
        <w:t>dalton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</w:rPr>
        <w:t xml:space="preserve"> På grund af den kompositionelle kompleksitet i sammensætningen kan et polypeptid ikke karakteriseres fuldstændig, herunder aminosyresekvensen, selvom den endelige </w:t>
      </w:r>
      <w:proofErr w:type="spellStart"/>
      <w:r>
        <w:rPr>
          <w:color w:val="000000"/>
        </w:rPr>
        <w:t>glatirameracetatsammensætning</w:t>
      </w:r>
      <w:proofErr w:type="spellEnd"/>
      <w:r>
        <w:rPr>
          <w:color w:val="000000"/>
        </w:rPr>
        <w:t xml:space="preserve"> ikke er helt tilfældig.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Alle hjælpestoffer er anført under pkt. 6.1.</w:t>
      </w:r>
    </w:p>
    <w:p w:rsidR="000372D7" w:rsidRPr="003B2D1A" w:rsidRDefault="000372D7" w:rsidP="000372D7">
      <w:pPr>
        <w:tabs>
          <w:tab w:val="left" w:pos="851"/>
        </w:tabs>
        <w:suppressAutoHyphens/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3.</w:t>
      </w:r>
      <w:r w:rsidRPr="003B2D1A">
        <w:rPr>
          <w:b/>
          <w:sz w:val="24"/>
          <w:szCs w:val="24"/>
        </w:rPr>
        <w:tab/>
        <w:t>LÆGEMIDDELFORM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jc w:val="both"/>
        <w:rPr>
          <w:color w:val="000000"/>
          <w:sz w:val="24"/>
          <w:szCs w:val="24"/>
        </w:rPr>
      </w:pPr>
      <w:r w:rsidRPr="003B2D1A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Injektionsvæske, opløsning i fyldt injektionssprøjte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jc w:val="both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suppressAutoHyphens/>
        <w:ind w:left="851" w:hanging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Klar opløsning, fri for synlige partikler.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Injektionsvæsken har en pH på 5,5-7,0 og en </w:t>
      </w:r>
      <w:proofErr w:type="spellStart"/>
      <w:r>
        <w:rPr>
          <w:color w:val="000000"/>
          <w:sz w:val="24"/>
          <w:szCs w:val="24"/>
        </w:rPr>
        <w:t>osmolaritet</w:t>
      </w:r>
      <w:proofErr w:type="spellEnd"/>
      <w:r>
        <w:rPr>
          <w:color w:val="000000"/>
          <w:sz w:val="24"/>
          <w:szCs w:val="24"/>
        </w:rPr>
        <w:t xml:space="preserve"> på ca. 300 </w:t>
      </w:r>
      <w:proofErr w:type="spellStart"/>
      <w:r>
        <w:rPr>
          <w:color w:val="000000"/>
          <w:sz w:val="24"/>
          <w:szCs w:val="24"/>
        </w:rPr>
        <w:t>mOsmol</w:t>
      </w:r>
      <w:proofErr w:type="spellEnd"/>
      <w:r>
        <w:rPr>
          <w:color w:val="000000"/>
          <w:sz w:val="24"/>
          <w:szCs w:val="24"/>
        </w:rPr>
        <w:t>/l.</w:t>
      </w:r>
    </w:p>
    <w:p w:rsidR="000372D7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628A7" w:rsidRPr="003B2D1A" w:rsidRDefault="00D628A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</w:t>
      </w:r>
      <w:r w:rsidRPr="003B2D1A">
        <w:rPr>
          <w:b/>
          <w:sz w:val="24"/>
          <w:szCs w:val="24"/>
        </w:rPr>
        <w:tab/>
        <w:t>KLINISKE OPLYSNINGER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B2D1A">
        <w:rPr>
          <w:b/>
          <w:sz w:val="24"/>
          <w:szCs w:val="24"/>
        </w:rPr>
        <w:t>4.1</w:t>
      </w:r>
      <w:r w:rsidRPr="003B2D1A">
        <w:rPr>
          <w:b/>
          <w:sz w:val="24"/>
          <w:szCs w:val="24"/>
        </w:rPr>
        <w:tab/>
        <w:t>Terapeutiske indikationer</w:t>
      </w:r>
    </w:p>
    <w:p w:rsidR="000372D7" w:rsidRPr="003B2D1A" w:rsidRDefault="000372D7" w:rsidP="000372D7">
      <w:pPr>
        <w:ind w:left="851"/>
      </w:pPr>
      <w:proofErr w:type="spellStart"/>
      <w:r w:rsidRPr="003B2D1A">
        <w:t>Copaxone</w:t>
      </w:r>
      <w:proofErr w:type="spellEnd"/>
      <w:r w:rsidRPr="003B2D1A">
        <w:t xml:space="preserve"> 40 mg/ml er indiceret til behandling af attakvise former for multipel </w:t>
      </w:r>
      <w:proofErr w:type="spellStart"/>
      <w:r w:rsidRPr="003B2D1A">
        <w:t>sclerose</w:t>
      </w:r>
      <w:proofErr w:type="spellEnd"/>
      <w:r w:rsidRPr="003B2D1A">
        <w:t xml:space="preserve"> (MS) (se pkt. 5.1 for vigtige oplysninger om, for hvilken population effekten er vist).</w:t>
      </w:r>
    </w:p>
    <w:p w:rsidR="000372D7" w:rsidRPr="003B2D1A" w:rsidRDefault="000372D7" w:rsidP="000372D7">
      <w:pPr>
        <w:ind w:left="851"/>
        <w:rPr>
          <w:sz w:val="24"/>
        </w:rPr>
      </w:pPr>
    </w:p>
    <w:p w:rsidR="000372D7" w:rsidRPr="003B2D1A" w:rsidRDefault="000372D7" w:rsidP="000372D7">
      <w:pPr>
        <w:ind w:left="851"/>
        <w:rPr>
          <w:sz w:val="24"/>
        </w:rPr>
      </w:pPr>
      <w:proofErr w:type="spellStart"/>
      <w:r w:rsidRPr="003B2D1A">
        <w:rPr>
          <w:sz w:val="24"/>
        </w:rPr>
        <w:t>Copaxone</w:t>
      </w:r>
      <w:proofErr w:type="spellEnd"/>
      <w:r w:rsidRPr="003B2D1A">
        <w:rPr>
          <w:sz w:val="24"/>
        </w:rPr>
        <w:t xml:space="preserve"> er ikke indiceret til primær og sekundær progressiv MS.</w:t>
      </w:r>
    </w:p>
    <w:p w:rsidR="000372D7" w:rsidRPr="003B2D1A" w:rsidRDefault="000372D7" w:rsidP="000372D7">
      <w:pPr>
        <w:ind w:left="851"/>
        <w:rPr>
          <w:sz w:val="24"/>
        </w:rPr>
      </w:pPr>
    </w:p>
    <w:p w:rsidR="000372D7" w:rsidRPr="003B2D1A" w:rsidRDefault="000372D7" w:rsidP="000372D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lastRenderedPageBreak/>
        <w:t>4.2</w:t>
      </w:r>
      <w:r w:rsidRPr="003B2D1A">
        <w:rPr>
          <w:b/>
          <w:sz w:val="24"/>
          <w:szCs w:val="24"/>
        </w:rPr>
        <w:tab/>
        <w:t xml:space="preserve">Dosering og </w:t>
      </w:r>
      <w:r w:rsidR="007106EF">
        <w:rPr>
          <w:b/>
          <w:sz w:val="24"/>
          <w:szCs w:val="24"/>
        </w:rPr>
        <w:t>administration</w:t>
      </w:r>
    </w:p>
    <w:p w:rsidR="000372D7" w:rsidRPr="00CC134D" w:rsidRDefault="000372D7" w:rsidP="000372D7">
      <w:pPr>
        <w:keepNext/>
        <w:ind w:left="851"/>
        <w:rPr>
          <w:sz w:val="24"/>
          <w:szCs w:val="24"/>
        </w:rPr>
      </w:pPr>
      <w:r w:rsidRPr="00CC134D">
        <w:rPr>
          <w:color w:val="000000"/>
          <w:sz w:val="24"/>
          <w:szCs w:val="24"/>
        </w:rPr>
        <w:t xml:space="preserve">Påbegyndelse af behandling med </w:t>
      </w:r>
      <w:proofErr w:type="spellStart"/>
      <w:r w:rsidRPr="00CC134D">
        <w:rPr>
          <w:color w:val="000000"/>
          <w:sz w:val="24"/>
          <w:szCs w:val="24"/>
        </w:rPr>
        <w:t>Copaxone</w:t>
      </w:r>
      <w:proofErr w:type="spellEnd"/>
      <w:r w:rsidRPr="00CC134D">
        <w:rPr>
          <w:color w:val="000000"/>
          <w:sz w:val="24"/>
          <w:szCs w:val="24"/>
        </w:rPr>
        <w:t xml:space="preserve"> bør overvåges af en neurolog eller en læge med erfaring i behandling af MS.</w:t>
      </w:r>
    </w:p>
    <w:p w:rsidR="000372D7" w:rsidRDefault="000372D7" w:rsidP="000372D7">
      <w:pPr>
        <w:keepNext/>
        <w:ind w:left="851"/>
        <w:rPr>
          <w:b/>
          <w:sz w:val="24"/>
          <w:szCs w:val="24"/>
        </w:rPr>
      </w:pPr>
    </w:p>
    <w:p w:rsidR="000372D7" w:rsidRDefault="000372D7" w:rsidP="000372D7">
      <w:pPr>
        <w:keepNext/>
        <w:ind w:left="851"/>
        <w:rPr>
          <w:b/>
          <w:sz w:val="24"/>
          <w:szCs w:val="24"/>
          <w:lang w:eastAsia="da-DK"/>
        </w:rPr>
      </w:pPr>
      <w:r>
        <w:rPr>
          <w:b/>
          <w:sz w:val="24"/>
          <w:szCs w:val="24"/>
        </w:rPr>
        <w:t>Dosering</w:t>
      </w: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anbefalede dosis til voksne er 40 mg </w:t>
      </w:r>
      <w:proofErr w:type="spellStart"/>
      <w:r>
        <w:rPr>
          <w:sz w:val="24"/>
          <w:szCs w:val="24"/>
        </w:rPr>
        <w:t>glatirameracetat</w:t>
      </w:r>
      <w:proofErr w:type="spellEnd"/>
      <w:r>
        <w:rPr>
          <w:sz w:val="24"/>
          <w:szCs w:val="24"/>
        </w:rPr>
        <w:t xml:space="preserve"> (en fyldt injektionssprøjte) administreret som subkutan injektion tre gange om ugen med mindst 48 timers mellemrum.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>På nuværende tidspunkt er det ikke fastlagt, hvor længe patienten skal behandles.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>Beslutning vedrørende langtidsbehandling bør tages på individuel basis af den behandlende læge.</w:t>
      </w:r>
    </w:p>
    <w:p w:rsidR="000372D7" w:rsidRDefault="000372D7" w:rsidP="000372D7">
      <w:pPr>
        <w:ind w:left="851"/>
        <w:rPr>
          <w:b/>
          <w:sz w:val="24"/>
          <w:szCs w:val="24"/>
        </w:rPr>
      </w:pPr>
    </w:p>
    <w:p w:rsidR="000372D7" w:rsidRPr="000F67F4" w:rsidRDefault="000372D7" w:rsidP="000372D7">
      <w:pPr>
        <w:ind w:left="851"/>
        <w:rPr>
          <w:sz w:val="24"/>
          <w:szCs w:val="24"/>
          <w:u w:val="single"/>
        </w:rPr>
      </w:pPr>
      <w:r w:rsidRPr="000F67F4">
        <w:rPr>
          <w:sz w:val="24"/>
          <w:szCs w:val="24"/>
          <w:u w:val="single"/>
        </w:rPr>
        <w:t xml:space="preserve">Nedsat nyrefunktion </w:t>
      </w: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specifikke studier vedrørende anvendelsen af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til patienter med nedsat nyrefunktion (se pkt. 4.4).</w:t>
      </w:r>
    </w:p>
    <w:p w:rsidR="000372D7" w:rsidRDefault="000372D7" w:rsidP="000372D7">
      <w:pPr>
        <w:ind w:left="851"/>
        <w:rPr>
          <w:b/>
          <w:sz w:val="24"/>
          <w:szCs w:val="24"/>
        </w:rPr>
      </w:pPr>
    </w:p>
    <w:p w:rsidR="000372D7" w:rsidRPr="000F67F4" w:rsidRDefault="000372D7" w:rsidP="000372D7">
      <w:pPr>
        <w:ind w:left="851"/>
        <w:rPr>
          <w:sz w:val="24"/>
          <w:szCs w:val="24"/>
          <w:u w:val="single"/>
        </w:rPr>
      </w:pPr>
      <w:r w:rsidRPr="000F67F4">
        <w:rPr>
          <w:sz w:val="24"/>
          <w:szCs w:val="24"/>
          <w:u w:val="single"/>
        </w:rPr>
        <w:t xml:space="preserve">Ældre </w:t>
      </w: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specifikke studier vedrørende anvendelse af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til ældre.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Pr="000F67F4" w:rsidRDefault="000372D7" w:rsidP="000372D7">
      <w:pPr>
        <w:ind w:left="851"/>
        <w:rPr>
          <w:sz w:val="24"/>
          <w:szCs w:val="24"/>
          <w:u w:val="single"/>
        </w:rPr>
      </w:pPr>
      <w:r w:rsidRPr="000F67F4">
        <w:rPr>
          <w:sz w:val="24"/>
          <w:szCs w:val="24"/>
          <w:u w:val="single"/>
        </w:rPr>
        <w:t>Pædiatrisk population</w:t>
      </w: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Sikkerheden og virkningen af </w:t>
      </w:r>
      <w:proofErr w:type="spellStart"/>
      <w:r>
        <w:rPr>
          <w:sz w:val="24"/>
          <w:szCs w:val="24"/>
        </w:rPr>
        <w:t>glatirameracetat</w:t>
      </w:r>
      <w:proofErr w:type="spellEnd"/>
      <w:r>
        <w:rPr>
          <w:sz w:val="24"/>
          <w:szCs w:val="24"/>
        </w:rPr>
        <w:t xml:space="preserve"> er ikke blevet bestemt i børn og unge. Der findes ikke tilstrækkelige data om anvendelse af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tre gange om ugen til børn og unge under 18 år til at danne grundlag for en anbefaling af behandling til børn under 18 år.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tre gange om ugen bør derfor ikke anvendes til børn.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Administration</w:t>
      </w:r>
    </w:p>
    <w:p w:rsidR="000372D7" w:rsidRDefault="000372D7" w:rsidP="000372D7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er til subkutan anvendelse.</w:t>
      </w: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>Patienterne bør instrueres i selv-injektionsteknik og bør overvåges af en sygeplejerske eller læge den første gang de selv-injicerer og i 30 minutter efter injektionen.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>Der bør vælges et nyt injektionssted ved hver injektion for at reducere risikoen for irritation eller smerte på injektionsstedet. Steder til selv-injektion omfatter maven, armene, hofterne og lårene.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patienten ønsker at foretage injektioner ved hjælp af en autoinjektor, er det muligt at bruge en CSYNC-autoinjektor. CSYNC-autoinjektoren er beregnet til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fyldte </w:t>
      </w:r>
      <w:proofErr w:type="spellStart"/>
      <w:r>
        <w:rPr>
          <w:sz w:val="24"/>
          <w:szCs w:val="24"/>
        </w:rPr>
        <w:t>in-jektionssprøjter</w:t>
      </w:r>
      <w:proofErr w:type="spellEnd"/>
      <w:r>
        <w:rPr>
          <w:sz w:val="24"/>
          <w:szCs w:val="24"/>
        </w:rPr>
        <w:t xml:space="preserve">, og den er ikke blevet testet i kombination med andre fyldte </w:t>
      </w:r>
      <w:proofErr w:type="spellStart"/>
      <w:r>
        <w:rPr>
          <w:sz w:val="24"/>
          <w:szCs w:val="24"/>
        </w:rPr>
        <w:t>injektions-sprøjter</w:t>
      </w:r>
      <w:proofErr w:type="spellEnd"/>
      <w:r>
        <w:rPr>
          <w:sz w:val="24"/>
          <w:szCs w:val="24"/>
        </w:rPr>
        <w:t xml:space="preserve">. CSYNC-autoinjektoren skal anvendes i henhold til den brugsanvisning, der </w:t>
      </w:r>
      <w:proofErr w:type="spellStart"/>
      <w:r>
        <w:rPr>
          <w:sz w:val="24"/>
          <w:szCs w:val="24"/>
        </w:rPr>
        <w:t>føl-ger</w:t>
      </w:r>
      <w:proofErr w:type="spellEnd"/>
      <w:r>
        <w:rPr>
          <w:sz w:val="24"/>
          <w:szCs w:val="24"/>
        </w:rPr>
        <w:t xml:space="preserve"> med autoinjektoren.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4.3</w:t>
      </w:r>
      <w:r w:rsidRPr="003B2D1A">
        <w:rPr>
          <w:b/>
          <w:sz w:val="24"/>
          <w:szCs w:val="24"/>
        </w:rPr>
        <w:tab/>
        <w:t>Kontraindikationer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proofErr w:type="spellStart"/>
      <w:r w:rsidRPr="003B2D1A">
        <w:rPr>
          <w:color w:val="000000"/>
          <w:sz w:val="24"/>
          <w:szCs w:val="24"/>
        </w:rPr>
        <w:t>Copaxone</w:t>
      </w:r>
      <w:proofErr w:type="spellEnd"/>
      <w:r w:rsidRPr="003B2D1A">
        <w:rPr>
          <w:color w:val="000000"/>
          <w:sz w:val="24"/>
          <w:szCs w:val="24"/>
        </w:rPr>
        <w:t xml:space="preserve"> er kontraindiceret til:</w:t>
      </w:r>
    </w:p>
    <w:p w:rsidR="000372D7" w:rsidRPr="003B2D1A" w:rsidRDefault="000372D7" w:rsidP="000372D7">
      <w:pPr>
        <w:numPr>
          <w:ilvl w:val="0"/>
          <w:numId w:val="6"/>
        </w:numPr>
        <w:tabs>
          <w:tab w:val="clear" w:pos="720"/>
        </w:tabs>
        <w:ind w:left="1276" w:hanging="425"/>
        <w:rPr>
          <w:color w:val="000000"/>
          <w:sz w:val="24"/>
          <w:szCs w:val="24"/>
        </w:rPr>
      </w:pPr>
      <w:r w:rsidRPr="003B2D1A">
        <w:rPr>
          <w:color w:val="000000"/>
          <w:sz w:val="24"/>
          <w:szCs w:val="24"/>
        </w:rPr>
        <w:t>Hypersensitivitet over for det aktive stof eller over for et eller flere af hjælpestofferne anført i pkt. 6.1.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4.4</w:t>
      </w:r>
      <w:r w:rsidRPr="003B2D1A">
        <w:rPr>
          <w:b/>
          <w:sz w:val="24"/>
          <w:szCs w:val="24"/>
        </w:rPr>
        <w:tab/>
        <w:t>Særlige advarsler og forsigtighedsregler vedrørende brugen</w:t>
      </w:r>
    </w:p>
    <w:p w:rsidR="004E191E" w:rsidRDefault="000372D7" w:rsidP="004E191E">
      <w:pPr>
        <w:tabs>
          <w:tab w:val="left" w:pos="851"/>
        </w:tabs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bør kun administreres subkutant.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bør ikke administreres intravenøst eller intramuskulært. </w:t>
      </w:r>
    </w:p>
    <w:p w:rsidR="004E191E" w:rsidRDefault="004E191E" w:rsidP="004E191E">
      <w:pPr>
        <w:tabs>
          <w:tab w:val="left" w:pos="851"/>
        </w:tabs>
        <w:ind w:left="851" w:hanging="851"/>
        <w:rPr>
          <w:color w:val="000000"/>
          <w:sz w:val="24"/>
          <w:szCs w:val="24"/>
          <w:lang w:eastAsia="da-DK"/>
        </w:rPr>
      </w:pPr>
    </w:p>
    <w:p w:rsidR="004E191E" w:rsidRPr="004E191E" w:rsidRDefault="004E191E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proofErr w:type="spellStart"/>
      <w:r w:rsidRPr="004E191E">
        <w:rPr>
          <w:color w:val="000000"/>
          <w:sz w:val="24"/>
          <w:szCs w:val="24"/>
        </w:rPr>
        <w:t>Glatirameracetat</w:t>
      </w:r>
      <w:proofErr w:type="spellEnd"/>
      <w:r w:rsidRPr="004E191E">
        <w:rPr>
          <w:color w:val="000000"/>
          <w:sz w:val="24"/>
          <w:szCs w:val="24"/>
        </w:rPr>
        <w:t xml:space="preserve"> kan forårsage reaktioner efter injektion samt </w:t>
      </w:r>
      <w:proofErr w:type="spellStart"/>
      <w:r w:rsidRPr="004E191E">
        <w:rPr>
          <w:color w:val="000000"/>
          <w:sz w:val="24"/>
          <w:szCs w:val="24"/>
        </w:rPr>
        <w:t>anafylaktiske</w:t>
      </w:r>
      <w:proofErr w:type="spellEnd"/>
      <w:r w:rsidRPr="004E191E">
        <w:rPr>
          <w:color w:val="000000"/>
          <w:sz w:val="24"/>
          <w:szCs w:val="24"/>
        </w:rPr>
        <w:t xml:space="preserve"> reaktioner (se pkt. 4.8):</w:t>
      </w:r>
      <w:r w:rsidRPr="004E191E">
        <w:rPr>
          <w:color w:val="000000"/>
          <w:sz w:val="24"/>
          <w:szCs w:val="24"/>
        </w:rPr>
        <w:br/>
      </w:r>
      <w:r w:rsidRPr="004E191E">
        <w:rPr>
          <w:color w:val="000000"/>
          <w:sz w:val="24"/>
          <w:szCs w:val="24"/>
        </w:rPr>
        <w:br/>
      </w:r>
      <w:r w:rsidRPr="004E191E">
        <w:rPr>
          <w:color w:val="000000"/>
          <w:sz w:val="24"/>
          <w:szCs w:val="24"/>
          <w:u w:val="single"/>
        </w:rPr>
        <w:t>Reaktioner efter injektion</w:t>
      </w:r>
    </w:p>
    <w:p w:rsidR="000372D7" w:rsidRDefault="004E191E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372D7">
        <w:rPr>
          <w:color w:val="000000"/>
          <w:sz w:val="24"/>
          <w:szCs w:val="24"/>
        </w:rPr>
        <w:t xml:space="preserve">Den behandlende læge bør forklare patienten, at en reaktion associeret med mindst et af følgende symptomer kan forekomme inden for minutter efter en </w:t>
      </w:r>
      <w:proofErr w:type="spellStart"/>
      <w:r w:rsidR="000372D7">
        <w:rPr>
          <w:color w:val="000000"/>
          <w:sz w:val="24"/>
          <w:szCs w:val="24"/>
        </w:rPr>
        <w:t>Copaxone</w:t>
      </w:r>
      <w:proofErr w:type="spellEnd"/>
      <w:r w:rsidR="000372D7">
        <w:rPr>
          <w:color w:val="000000"/>
          <w:sz w:val="24"/>
          <w:szCs w:val="24"/>
        </w:rPr>
        <w:t xml:space="preserve">-injektion: </w:t>
      </w:r>
      <w:proofErr w:type="spellStart"/>
      <w:r w:rsidR="000372D7">
        <w:rPr>
          <w:color w:val="000000"/>
          <w:sz w:val="24"/>
          <w:szCs w:val="24"/>
        </w:rPr>
        <w:t>Vasodilation</w:t>
      </w:r>
      <w:proofErr w:type="spellEnd"/>
      <w:r w:rsidR="000372D7">
        <w:rPr>
          <w:color w:val="000000"/>
          <w:sz w:val="24"/>
          <w:szCs w:val="24"/>
        </w:rPr>
        <w:t xml:space="preserve"> (rødmen), brystsmerter, dyspnø, hjertebanken eller </w:t>
      </w:r>
      <w:proofErr w:type="spellStart"/>
      <w:r w:rsidR="000372D7">
        <w:rPr>
          <w:color w:val="000000"/>
          <w:sz w:val="24"/>
          <w:szCs w:val="24"/>
        </w:rPr>
        <w:t>takykardi</w:t>
      </w:r>
      <w:proofErr w:type="spellEnd"/>
      <w:r w:rsidR="000372D7">
        <w:rPr>
          <w:color w:val="000000"/>
          <w:sz w:val="24"/>
          <w:szCs w:val="24"/>
        </w:rPr>
        <w:t xml:space="preserve"> (se pkt. 4.8). De fleste at disse reaktioner er kortvarige og forsvinder spontant uden følger. Hvis en alvorlig bivirkning opstår, skal patienten straks stoppe behandlingen med </w:t>
      </w:r>
      <w:proofErr w:type="spellStart"/>
      <w:r w:rsidR="000372D7">
        <w:rPr>
          <w:color w:val="000000"/>
          <w:sz w:val="24"/>
          <w:szCs w:val="24"/>
        </w:rPr>
        <w:t>Copaxone</w:t>
      </w:r>
      <w:proofErr w:type="spellEnd"/>
      <w:r w:rsidR="000372D7">
        <w:rPr>
          <w:color w:val="000000"/>
          <w:sz w:val="24"/>
          <w:szCs w:val="24"/>
        </w:rPr>
        <w:t xml:space="preserve"> og kontakte sin læge eller en vagthavende læge. Symptomatisk behandling kan initieres under opsyn af lægen.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Der er ingen evidens for, at specielle patientgrupper har særlig risiko for disse reaktioner. Alligevel bør der udvises forsigtighed, når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administreres til patienter, som tidligere har haft hjertesygdomme. Disse patienter bør følges regelmæssigt under behandlingen.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4E191E" w:rsidRPr="004E191E" w:rsidRDefault="004E191E" w:rsidP="004E191E">
      <w:pPr>
        <w:tabs>
          <w:tab w:val="left" w:pos="851"/>
        </w:tabs>
        <w:ind w:left="851"/>
        <w:rPr>
          <w:color w:val="000000"/>
          <w:sz w:val="24"/>
          <w:szCs w:val="24"/>
          <w:u w:val="single"/>
          <w:lang w:eastAsia="da-DK"/>
        </w:rPr>
      </w:pPr>
      <w:proofErr w:type="spellStart"/>
      <w:r w:rsidRPr="004E191E">
        <w:rPr>
          <w:color w:val="000000"/>
          <w:sz w:val="24"/>
          <w:szCs w:val="24"/>
          <w:u w:val="single"/>
        </w:rPr>
        <w:t>Anafylaktiske</w:t>
      </w:r>
      <w:proofErr w:type="spellEnd"/>
      <w:r w:rsidRPr="004E191E">
        <w:rPr>
          <w:color w:val="000000"/>
          <w:sz w:val="24"/>
          <w:szCs w:val="24"/>
          <w:u w:val="single"/>
        </w:rPr>
        <w:t xml:space="preserve"> reaktioner</w:t>
      </w:r>
    </w:p>
    <w:p w:rsidR="004E191E" w:rsidRPr="004E191E" w:rsidRDefault="004E191E" w:rsidP="004E191E">
      <w:pPr>
        <w:tabs>
          <w:tab w:val="left" w:pos="851"/>
        </w:tabs>
        <w:ind w:left="851"/>
        <w:rPr>
          <w:color w:val="000000"/>
          <w:sz w:val="24"/>
          <w:szCs w:val="24"/>
        </w:rPr>
      </w:pPr>
      <w:proofErr w:type="spellStart"/>
      <w:r w:rsidRPr="004E191E">
        <w:rPr>
          <w:color w:val="000000"/>
          <w:sz w:val="24"/>
          <w:szCs w:val="24"/>
        </w:rPr>
        <w:t>Anafylaktiske</w:t>
      </w:r>
      <w:proofErr w:type="spellEnd"/>
      <w:r w:rsidRPr="004E191E">
        <w:rPr>
          <w:color w:val="000000"/>
          <w:sz w:val="24"/>
          <w:szCs w:val="24"/>
        </w:rPr>
        <w:t xml:space="preserve"> reaktion</w:t>
      </w:r>
      <w:r w:rsidR="006E1AC0">
        <w:rPr>
          <w:color w:val="000000"/>
          <w:sz w:val="24"/>
          <w:szCs w:val="24"/>
        </w:rPr>
        <w:t>er</w:t>
      </w:r>
      <w:r w:rsidRPr="004E191E">
        <w:rPr>
          <w:color w:val="000000"/>
          <w:sz w:val="24"/>
          <w:szCs w:val="24"/>
        </w:rPr>
        <w:t xml:space="preserve"> kan forekomme kort efter administration af </w:t>
      </w:r>
      <w:proofErr w:type="spellStart"/>
      <w:r w:rsidRPr="004E191E">
        <w:rPr>
          <w:color w:val="000000"/>
          <w:sz w:val="24"/>
          <w:szCs w:val="24"/>
        </w:rPr>
        <w:t>glatirameracetat</w:t>
      </w:r>
      <w:proofErr w:type="spellEnd"/>
      <w:r w:rsidRPr="004E191E">
        <w:rPr>
          <w:color w:val="000000"/>
          <w:sz w:val="24"/>
          <w:szCs w:val="24"/>
        </w:rPr>
        <w:t xml:space="preserve">, men også måneder eller år efter initiering af behandlingen (se pkt. 4.8). Tilfælde med dødelig udgang er rapporteret. Nogle tegn og symptomer på </w:t>
      </w:r>
      <w:proofErr w:type="spellStart"/>
      <w:r w:rsidRPr="004E191E">
        <w:rPr>
          <w:color w:val="000000"/>
          <w:sz w:val="24"/>
          <w:szCs w:val="24"/>
        </w:rPr>
        <w:t>anafylaktiske</w:t>
      </w:r>
      <w:proofErr w:type="spellEnd"/>
      <w:r w:rsidRPr="004E191E">
        <w:rPr>
          <w:color w:val="000000"/>
          <w:sz w:val="24"/>
          <w:szCs w:val="24"/>
        </w:rPr>
        <w:t xml:space="preserve"> reaktioner kan overlappe reaktioner efter injektioner.</w:t>
      </w:r>
    </w:p>
    <w:p w:rsidR="004E191E" w:rsidRPr="004E191E" w:rsidRDefault="004E191E" w:rsidP="004E191E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4E191E">
        <w:rPr>
          <w:color w:val="000000"/>
          <w:sz w:val="24"/>
          <w:szCs w:val="24"/>
        </w:rPr>
        <w:t xml:space="preserve">Alle patienter, som får behandling med </w:t>
      </w:r>
      <w:proofErr w:type="spellStart"/>
      <w:r w:rsidRPr="004E191E">
        <w:rPr>
          <w:color w:val="000000"/>
          <w:sz w:val="24"/>
          <w:szCs w:val="24"/>
        </w:rPr>
        <w:t>Copaxone</w:t>
      </w:r>
      <w:proofErr w:type="spellEnd"/>
      <w:r w:rsidRPr="004E191E">
        <w:rPr>
          <w:color w:val="000000"/>
          <w:sz w:val="24"/>
          <w:szCs w:val="24"/>
        </w:rPr>
        <w:t xml:space="preserve">, og omsorgspersoner bør informeres om de tegn og symptomer, der er specifikke for </w:t>
      </w:r>
      <w:proofErr w:type="spellStart"/>
      <w:r w:rsidRPr="004E191E">
        <w:rPr>
          <w:color w:val="000000"/>
          <w:sz w:val="24"/>
          <w:szCs w:val="24"/>
        </w:rPr>
        <w:t>anafylaktiske</w:t>
      </w:r>
      <w:proofErr w:type="spellEnd"/>
      <w:r w:rsidRPr="004E191E">
        <w:rPr>
          <w:color w:val="000000"/>
          <w:sz w:val="24"/>
          <w:szCs w:val="24"/>
        </w:rPr>
        <w:t xml:space="preserve"> reaktioner, og at de straks skal søge akut behandling, hvis de oplever disse symptomer (se pkt. 4.8).</w:t>
      </w:r>
    </w:p>
    <w:p w:rsidR="004E191E" w:rsidRPr="004E191E" w:rsidRDefault="004E191E" w:rsidP="004E191E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4E191E">
        <w:rPr>
          <w:color w:val="000000"/>
          <w:sz w:val="24"/>
          <w:szCs w:val="24"/>
        </w:rPr>
        <w:t xml:space="preserve">Hvis der forekommer en </w:t>
      </w:r>
      <w:proofErr w:type="spellStart"/>
      <w:r w:rsidRPr="004E191E">
        <w:rPr>
          <w:color w:val="000000"/>
          <w:sz w:val="24"/>
          <w:szCs w:val="24"/>
        </w:rPr>
        <w:t>anafylaktisk</w:t>
      </w:r>
      <w:proofErr w:type="spellEnd"/>
      <w:r w:rsidRPr="004E191E">
        <w:rPr>
          <w:color w:val="000000"/>
          <w:sz w:val="24"/>
          <w:szCs w:val="24"/>
        </w:rPr>
        <w:t xml:space="preserve"> reaktion, skal behandling med </w:t>
      </w:r>
      <w:proofErr w:type="spellStart"/>
      <w:r w:rsidRPr="004E191E">
        <w:rPr>
          <w:color w:val="000000"/>
          <w:sz w:val="24"/>
          <w:szCs w:val="24"/>
        </w:rPr>
        <w:t>Copaxone</w:t>
      </w:r>
      <w:proofErr w:type="spellEnd"/>
      <w:r w:rsidRPr="004E191E">
        <w:rPr>
          <w:color w:val="000000"/>
          <w:sz w:val="24"/>
          <w:szCs w:val="24"/>
        </w:rPr>
        <w:t xml:space="preserve"> stoppes (se pkt. 4.3).</w:t>
      </w:r>
    </w:p>
    <w:p w:rsidR="000372D7" w:rsidRDefault="000372D7" w:rsidP="004E191E">
      <w:pPr>
        <w:tabs>
          <w:tab w:val="left" w:pos="851"/>
        </w:tabs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-reaktive antistoffer blev detekteret i patienters serum under daglig kronisk behandling med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>. Maximale niveauer blev opnået efter en gennemsnitlig behandlingsvarighed på 3-4 måneder og faldt derefter og stabiliserede sig på et niveau lidt over udgangspunktet.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Der er ingen evidens for, at disse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-reaktive antistoffer virker neutraliserende, eller at deres dannelse har effekt på den kliniske effekt af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>.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Nyrefunktionen bør måles regelmæssigt hos patienter med nedsat nyrefunktion, imens de er i behandling med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. Selvom der ikke er evidens for </w:t>
      </w:r>
      <w:proofErr w:type="spellStart"/>
      <w:r>
        <w:rPr>
          <w:color w:val="000000"/>
          <w:sz w:val="24"/>
          <w:szCs w:val="24"/>
        </w:rPr>
        <w:t>glomerulær-deposition</w:t>
      </w:r>
      <w:proofErr w:type="spellEnd"/>
      <w:r>
        <w:rPr>
          <w:color w:val="000000"/>
          <w:sz w:val="24"/>
          <w:szCs w:val="24"/>
        </w:rPr>
        <w:t xml:space="preserve"> af immunkomplekser hos patienter, kan muligheden ikke udelukkes.</w:t>
      </w:r>
    </w:p>
    <w:p w:rsidR="00D628A7" w:rsidRDefault="00D628A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26F" w:rsidRPr="003D444C" w:rsidRDefault="00F6526F" w:rsidP="00F6526F">
      <w:pPr>
        <w:tabs>
          <w:tab w:val="left" w:pos="851"/>
        </w:tabs>
        <w:ind w:left="851"/>
        <w:rPr>
          <w:sz w:val="24"/>
          <w:szCs w:val="24"/>
        </w:rPr>
      </w:pPr>
      <w:r w:rsidRPr="003D444C">
        <w:rPr>
          <w:sz w:val="24"/>
          <w:szCs w:val="24"/>
        </w:rPr>
        <w:t xml:space="preserve">Sjældne tilfælde af alvorlig leverskade (herunder hepatitis med gulsot, leversvigt og i enkeltstående tilfælde levertransplantation) er blevet rapporteret. Leverskade forekom inden for dage til år efter påbegyndt behandling med </w:t>
      </w:r>
      <w:proofErr w:type="spellStart"/>
      <w:r w:rsidRPr="003D444C">
        <w:rPr>
          <w:sz w:val="24"/>
          <w:szCs w:val="24"/>
        </w:rPr>
        <w:t>Copaxone</w:t>
      </w:r>
      <w:proofErr w:type="spellEnd"/>
      <w:r w:rsidRPr="003D444C">
        <w:rPr>
          <w:sz w:val="24"/>
          <w:szCs w:val="24"/>
        </w:rPr>
        <w:t xml:space="preserve">. De fleste tilfælde af alvorlig leverskade ophørte ved </w:t>
      </w:r>
      <w:proofErr w:type="spellStart"/>
      <w:r w:rsidRPr="003D444C">
        <w:rPr>
          <w:sz w:val="24"/>
          <w:szCs w:val="24"/>
        </w:rPr>
        <w:t>seponering</w:t>
      </w:r>
      <w:proofErr w:type="spellEnd"/>
      <w:r w:rsidRPr="003D444C">
        <w:rPr>
          <w:sz w:val="24"/>
          <w:szCs w:val="24"/>
        </w:rPr>
        <w:t xml:space="preserve"> af behandlingen. I nogle tilfælde er disse reaktioner forekommet </w:t>
      </w:r>
      <w:r>
        <w:rPr>
          <w:sz w:val="24"/>
          <w:szCs w:val="24"/>
        </w:rPr>
        <w:t xml:space="preserve">sammen med </w:t>
      </w:r>
      <w:r w:rsidRPr="003D444C">
        <w:rPr>
          <w:sz w:val="24"/>
          <w:szCs w:val="24"/>
        </w:rPr>
        <w:t xml:space="preserve">overdrevent alkoholindtag, eksisterende eller tidligere leverskade samt anvendelse af andre potentielt </w:t>
      </w:r>
      <w:proofErr w:type="spellStart"/>
      <w:r w:rsidRPr="003D444C">
        <w:rPr>
          <w:sz w:val="24"/>
          <w:szCs w:val="24"/>
        </w:rPr>
        <w:t>hepatotoksiske</w:t>
      </w:r>
      <w:proofErr w:type="spellEnd"/>
      <w:r w:rsidRPr="003D444C">
        <w:rPr>
          <w:sz w:val="24"/>
          <w:szCs w:val="24"/>
        </w:rPr>
        <w:t xml:space="preserve"> lægemidler. Patienterne skal regelmæssigt overvåges for tegn på leverskade og instrueres i straks at søge lægehjælp i tilfælde af symptomer på leverskade. I tilfælde af klinisk signifikant leverskade, skal </w:t>
      </w:r>
      <w:proofErr w:type="spellStart"/>
      <w:r w:rsidRPr="003D444C">
        <w:rPr>
          <w:sz w:val="24"/>
          <w:szCs w:val="24"/>
        </w:rPr>
        <w:t>seponering</w:t>
      </w:r>
      <w:proofErr w:type="spellEnd"/>
      <w:r w:rsidRPr="003D444C">
        <w:rPr>
          <w:sz w:val="24"/>
          <w:szCs w:val="24"/>
        </w:rPr>
        <w:t xml:space="preserve"> af </w:t>
      </w:r>
      <w:proofErr w:type="spellStart"/>
      <w:r w:rsidRPr="003D444C">
        <w:rPr>
          <w:sz w:val="24"/>
          <w:szCs w:val="24"/>
        </w:rPr>
        <w:t>Copaxone</w:t>
      </w:r>
      <w:proofErr w:type="spellEnd"/>
      <w:r w:rsidRPr="003D444C">
        <w:rPr>
          <w:sz w:val="24"/>
          <w:szCs w:val="24"/>
        </w:rPr>
        <w:t xml:space="preserve"> overvejes.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4E191E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lastRenderedPageBreak/>
        <w:t>4.5</w:t>
      </w:r>
      <w:r w:rsidRPr="003B2D1A">
        <w:rPr>
          <w:b/>
          <w:sz w:val="24"/>
          <w:szCs w:val="24"/>
        </w:rPr>
        <w:tab/>
        <w:t>Interaktion med andre lægemidler og andre former for interaktion</w:t>
      </w:r>
    </w:p>
    <w:p w:rsidR="00076510" w:rsidRDefault="000372D7" w:rsidP="00076510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 w:rsidR="00076510">
        <w:rPr>
          <w:color w:val="000000"/>
          <w:sz w:val="24"/>
          <w:szCs w:val="24"/>
        </w:rPr>
        <w:t xml:space="preserve">Der findes ingen formelle undersøgelser vedrørende interaktion mellem </w:t>
      </w:r>
      <w:proofErr w:type="spellStart"/>
      <w:r w:rsidR="00076510">
        <w:rPr>
          <w:color w:val="000000"/>
          <w:sz w:val="24"/>
          <w:szCs w:val="24"/>
        </w:rPr>
        <w:t>Copaxone</w:t>
      </w:r>
      <w:proofErr w:type="spellEnd"/>
      <w:r w:rsidR="00076510">
        <w:rPr>
          <w:color w:val="000000"/>
          <w:sz w:val="24"/>
          <w:szCs w:val="24"/>
        </w:rPr>
        <w:t xml:space="preserve"> og andre lægemidler.</w:t>
      </w:r>
    </w:p>
    <w:p w:rsidR="00076510" w:rsidRDefault="00076510" w:rsidP="00076510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  <w:t xml:space="preserve">Observationer fra eksisterende kliniske studier og erfaring efter markedsføring tyder ikke på, at der er signifikante interaktioner mellem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og andre behandlinger, som ofte anvendes til MS-patienter, herunder samtidig brug af </w:t>
      </w:r>
      <w:proofErr w:type="spellStart"/>
      <w:r>
        <w:rPr>
          <w:color w:val="000000"/>
          <w:sz w:val="24"/>
          <w:szCs w:val="24"/>
        </w:rPr>
        <w:t>kortikosteroider</w:t>
      </w:r>
      <w:proofErr w:type="spellEnd"/>
      <w:r>
        <w:rPr>
          <w:color w:val="000000"/>
          <w:sz w:val="24"/>
          <w:szCs w:val="24"/>
        </w:rPr>
        <w:t xml:space="preserve"> i op til 28 dage.</w:t>
      </w:r>
    </w:p>
    <w:p w:rsidR="00076510" w:rsidRDefault="00076510" w:rsidP="00076510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</w:p>
    <w:p w:rsidR="00076510" w:rsidRDefault="00076510" w:rsidP="0007651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In </w:t>
      </w:r>
      <w:proofErr w:type="spellStart"/>
      <w:r>
        <w:rPr>
          <w:color w:val="000000"/>
          <w:sz w:val="24"/>
          <w:szCs w:val="24"/>
        </w:rPr>
        <w:t>vitro</w:t>
      </w:r>
      <w:proofErr w:type="spellEnd"/>
      <w:r>
        <w:rPr>
          <w:color w:val="000000"/>
          <w:sz w:val="24"/>
          <w:szCs w:val="24"/>
        </w:rPr>
        <w:t xml:space="preserve"> undersøgelser tyder på, at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 i blod er kraftigt bundet til plasmaproteiner, men ikke bliver fortrængt eller fortrænger </w:t>
      </w:r>
      <w:proofErr w:type="spellStart"/>
      <w:r>
        <w:rPr>
          <w:color w:val="000000"/>
          <w:sz w:val="24"/>
          <w:szCs w:val="24"/>
        </w:rPr>
        <w:t>phenytoin</w:t>
      </w:r>
      <w:proofErr w:type="spellEnd"/>
      <w:r>
        <w:rPr>
          <w:color w:val="000000"/>
          <w:sz w:val="24"/>
          <w:szCs w:val="24"/>
        </w:rPr>
        <w:t xml:space="preserve"> eller </w:t>
      </w:r>
      <w:proofErr w:type="spellStart"/>
      <w:r>
        <w:rPr>
          <w:color w:val="000000"/>
          <w:sz w:val="24"/>
          <w:szCs w:val="24"/>
        </w:rPr>
        <w:t>carbamazepin</w:t>
      </w:r>
      <w:proofErr w:type="spellEnd"/>
      <w:r>
        <w:rPr>
          <w:color w:val="000000"/>
          <w:sz w:val="24"/>
          <w:szCs w:val="24"/>
        </w:rPr>
        <w:t xml:space="preserve">. Da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imidlertid teoretisk har potentiale for at have effekt på fordelingen af proteinbundne stoffer, bør samtidig behandling med sådanne lægemidler monitoreres nøje.</w:t>
      </w:r>
    </w:p>
    <w:p w:rsidR="000372D7" w:rsidRPr="003B2D1A" w:rsidRDefault="000372D7" w:rsidP="00076510">
      <w:pPr>
        <w:tabs>
          <w:tab w:val="left" w:pos="851"/>
        </w:tabs>
        <w:suppressAutoHyphens/>
        <w:ind w:left="851" w:hanging="851"/>
        <w:rPr>
          <w:sz w:val="24"/>
          <w:szCs w:val="24"/>
        </w:rPr>
      </w:pPr>
      <w:bookmarkStart w:id="0" w:name="_GoBack"/>
      <w:bookmarkEnd w:id="0"/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4.6</w:t>
      </w:r>
      <w:r w:rsidRPr="003B2D1A">
        <w:rPr>
          <w:b/>
          <w:sz w:val="24"/>
          <w:szCs w:val="24"/>
        </w:rPr>
        <w:tab/>
      </w:r>
      <w:r w:rsidR="007106EF">
        <w:rPr>
          <w:b/>
          <w:sz w:val="24"/>
          <w:szCs w:val="24"/>
        </w:rPr>
        <w:t>Fertilitet, g</w:t>
      </w:r>
      <w:r w:rsidRPr="003B2D1A">
        <w:rPr>
          <w:b/>
          <w:sz w:val="24"/>
          <w:szCs w:val="24"/>
        </w:rPr>
        <w:t>raviditet og amning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</w:r>
    </w:p>
    <w:p w:rsidR="007106EF" w:rsidRDefault="000372D7" w:rsidP="007106EF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7106EF">
        <w:rPr>
          <w:color w:val="000000"/>
          <w:sz w:val="24"/>
          <w:szCs w:val="24"/>
          <w:u w:val="single"/>
        </w:rPr>
        <w:t>Graviditet</w:t>
      </w:r>
    </w:p>
    <w:p w:rsidR="007106EF" w:rsidRDefault="007106EF" w:rsidP="007106EF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Data fra anvendelse af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 hos et begrænset antal gravide kvinder (mellem 300 og 1000 graviditeter) indikerer ingen misdannelser eller </w:t>
      </w:r>
      <w:proofErr w:type="spellStart"/>
      <w:r>
        <w:rPr>
          <w:color w:val="000000"/>
          <w:sz w:val="24"/>
          <w:szCs w:val="24"/>
        </w:rPr>
        <w:t>føtal</w:t>
      </w:r>
      <w:proofErr w:type="spellEnd"/>
      <w:r>
        <w:rPr>
          <w:color w:val="000000"/>
          <w:sz w:val="24"/>
          <w:szCs w:val="24"/>
        </w:rPr>
        <w:t>/neonatal toksicitet.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Dyreforsøg indikerer ikke reproduktionstoksicitet (se pkt. 5.3).</w:t>
      </w:r>
    </w:p>
    <w:p w:rsidR="007106EF" w:rsidRDefault="007106EF" w:rsidP="007106EF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</w:p>
    <w:p w:rsidR="000372D7" w:rsidRDefault="007106EF" w:rsidP="007106EF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Anvendelse af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kan overvejes under graviditeten, hvis det er nødvendigt. 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keepNext/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Amning</w:t>
      </w:r>
    </w:p>
    <w:p w:rsidR="00745822" w:rsidRPr="004B1C51" w:rsidRDefault="000372D7" w:rsidP="00745822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45822" w:rsidRPr="004B1C51">
        <w:rPr>
          <w:color w:val="000000"/>
          <w:sz w:val="24"/>
          <w:szCs w:val="24"/>
        </w:rPr>
        <w:t xml:space="preserve">De fysisk-kemiske egenskaber og lav oral absorption tyder på, at eksponering af </w:t>
      </w:r>
    </w:p>
    <w:p w:rsidR="00745822" w:rsidRPr="00CC134D" w:rsidRDefault="00745822" w:rsidP="0074582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B1C51">
        <w:rPr>
          <w:color w:val="000000"/>
          <w:sz w:val="24"/>
          <w:szCs w:val="24"/>
        </w:rPr>
        <w:t>glatirameracetat</w:t>
      </w:r>
      <w:proofErr w:type="spellEnd"/>
      <w:r w:rsidRPr="004B1C51">
        <w:rPr>
          <w:color w:val="000000"/>
          <w:sz w:val="24"/>
          <w:szCs w:val="24"/>
        </w:rPr>
        <w:t xml:space="preserve"> hos nyfødte/spædbørn via modermælken er ubetydelig.</w:t>
      </w:r>
      <w:r w:rsidRPr="004B1C51">
        <w:t xml:space="preserve"> </w:t>
      </w:r>
      <w:r w:rsidRPr="004B1C51">
        <w:rPr>
          <w:color w:val="000000"/>
          <w:sz w:val="24"/>
          <w:szCs w:val="24"/>
        </w:rPr>
        <w:t xml:space="preserve">Et </w:t>
      </w:r>
      <w:r>
        <w:rPr>
          <w:color w:val="000000"/>
          <w:sz w:val="24"/>
          <w:szCs w:val="24"/>
        </w:rPr>
        <w:t>non</w:t>
      </w:r>
      <w:r w:rsidRPr="004B1C51">
        <w:rPr>
          <w:color w:val="000000"/>
          <w:sz w:val="24"/>
          <w:szCs w:val="24"/>
        </w:rPr>
        <w:t>-interventions- og retro</w:t>
      </w:r>
      <w:r>
        <w:rPr>
          <w:color w:val="000000"/>
          <w:sz w:val="24"/>
          <w:szCs w:val="24"/>
        </w:rPr>
        <w:t>s</w:t>
      </w:r>
      <w:r w:rsidRPr="004B1C51">
        <w:rPr>
          <w:color w:val="000000"/>
          <w:sz w:val="24"/>
          <w:szCs w:val="24"/>
        </w:rPr>
        <w:t xml:space="preserve">pektivt studie af 60 spædbørn ammet af mødre, som </w:t>
      </w:r>
      <w:r>
        <w:rPr>
          <w:color w:val="000000"/>
          <w:sz w:val="24"/>
          <w:szCs w:val="24"/>
        </w:rPr>
        <w:t>blev eksponeret for</w:t>
      </w:r>
      <w:r w:rsidRPr="004B1C51">
        <w:rPr>
          <w:color w:val="000000"/>
          <w:sz w:val="24"/>
          <w:szCs w:val="24"/>
        </w:rPr>
        <w:t xml:space="preserve"> </w:t>
      </w:r>
      <w:proofErr w:type="spellStart"/>
      <w:r w:rsidRPr="004B1C51">
        <w:rPr>
          <w:color w:val="000000"/>
          <w:sz w:val="24"/>
          <w:szCs w:val="24"/>
        </w:rPr>
        <w:t>glatirameracetat</w:t>
      </w:r>
      <w:proofErr w:type="spellEnd"/>
      <w:r w:rsidRPr="004B1C51">
        <w:rPr>
          <w:color w:val="000000"/>
          <w:sz w:val="24"/>
          <w:szCs w:val="24"/>
        </w:rPr>
        <w:t xml:space="preserve"> sammenlignet med 60 spædbørn ammet af mødre, som ikke fik sygdomsmodificerende behandling, samt begrænsede data efter markedsføring, viste ikke </w:t>
      </w:r>
      <w:r>
        <w:rPr>
          <w:color w:val="000000"/>
          <w:sz w:val="24"/>
          <w:szCs w:val="24"/>
        </w:rPr>
        <w:t>nogen</w:t>
      </w:r>
      <w:r w:rsidRPr="004B1C51">
        <w:rPr>
          <w:color w:val="000000"/>
          <w:sz w:val="24"/>
          <w:szCs w:val="24"/>
        </w:rPr>
        <w:t xml:space="preserve"> skadelige virkninger af </w:t>
      </w:r>
      <w:proofErr w:type="spellStart"/>
      <w:r w:rsidRPr="004B1C51">
        <w:rPr>
          <w:color w:val="000000"/>
          <w:sz w:val="24"/>
          <w:szCs w:val="24"/>
        </w:rPr>
        <w:t>glatirameracetat</w:t>
      </w:r>
      <w:proofErr w:type="spellEnd"/>
      <w:r w:rsidRPr="004B1C5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spellStart"/>
      <w:r w:rsidRPr="004B1C51">
        <w:rPr>
          <w:color w:val="000000"/>
          <w:sz w:val="24"/>
          <w:szCs w:val="24"/>
        </w:rPr>
        <w:t>Copaxone</w:t>
      </w:r>
      <w:proofErr w:type="spellEnd"/>
      <w:r w:rsidRPr="004B1C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kan</w:t>
      </w:r>
      <w:r w:rsidRPr="004B1C51">
        <w:rPr>
          <w:color w:val="000000"/>
          <w:sz w:val="24"/>
          <w:szCs w:val="24"/>
        </w:rPr>
        <w:t xml:space="preserve"> anvendes under amning.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4.7</w:t>
      </w:r>
      <w:r w:rsidRPr="003B2D1A">
        <w:rPr>
          <w:b/>
          <w:sz w:val="24"/>
          <w:szCs w:val="24"/>
        </w:rPr>
        <w:tab/>
        <w:t xml:space="preserve">Virkning på evnen til at føre motorkøretøj </w:t>
      </w:r>
      <w:r w:rsidR="007106EF">
        <w:rPr>
          <w:b/>
          <w:sz w:val="24"/>
          <w:szCs w:val="24"/>
        </w:rPr>
        <w:t>og</w:t>
      </w:r>
      <w:r w:rsidRPr="003B2D1A">
        <w:rPr>
          <w:b/>
          <w:sz w:val="24"/>
          <w:szCs w:val="24"/>
        </w:rPr>
        <w:t xml:space="preserve"> betjene maskiner</w:t>
      </w:r>
    </w:p>
    <w:p w:rsidR="00D628A7" w:rsidRDefault="000372D7" w:rsidP="00D628A7">
      <w:pPr>
        <w:tabs>
          <w:tab w:val="left" w:pos="851"/>
        </w:tabs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</w:r>
      <w:r w:rsidR="00D628A7">
        <w:rPr>
          <w:sz w:val="24"/>
          <w:szCs w:val="24"/>
        </w:rPr>
        <w:t>Ikke mærkning.</w:t>
      </w:r>
    </w:p>
    <w:p w:rsidR="00D628A7" w:rsidRPr="003B2D1A" w:rsidRDefault="00D628A7" w:rsidP="00D628A7">
      <w:pPr>
        <w:tabs>
          <w:tab w:val="left" w:pos="851"/>
        </w:tabs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>Der er ikke udfø</w:t>
      </w:r>
      <w:r>
        <w:rPr>
          <w:color w:val="000000"/>
          <w:sz w:val="24"/>
          <w:szCs w:val="24"/>
        </w:rPr>
        <w:t>r</w:t>
      </w:r>
      <w:r w:rsidRPr="003B2D1A">
        <w:rPr>
          <w:color w:val="000000"/>
          <w:sz w:val="24"/>
          <w:szCs w:val="24"/>
        </w:rPr>
        <w:t xml:space="preserve">t studier på evnen til at føre motorkøretøj </w:t>
      </w:r>
      <w:r>
        <w:rPr>
          <w:color w:val="000000"/>
          <w:sz w:val="24"/>
          <w:szCs w:val="24"/>
        </w:rPr>
        <w:t>og</w:t>
      </w:r>
      <w:r w:rsidRPr="003B2D1A">
        <w:rPr>
          <w:color w:val="000000"/>
          <w:sz w:val="24"/>
          <w:szCs w:val="24"/>
        </w:rPr>
        <w:t xml:space="preserve"> betjene maskiner.</w:t>
      </w:r>
    </w:p>
    <w:p w:rsidR="000372D7" w:rsidRPr="003B2D1A" w:rsidRDefault="000372D7" w:rsidP="00D628A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4.8</w:t>
      </w:r>
      <w:r w:rsidRPr="003B2D1A">
        <w:rPr>
          <w:b/>
          <w:sz w:val="24"/>
          <w:szCs w:val="24"/>
        </w:rPr>
        <w:tab/>
        <w:t>Bivirkninger</w:t>
      </w: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fleste sikkerhedsdata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blev akkumuleret for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mg/ml administreret som en subkutan injektion en gang daglig. Dette afsnit beskriver akkumulerede sikkerhedsdata fra fire placebokontrollerede studier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mg/ml administreret en gang daglig, og fra et placebokontrolleret studie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administreret tre gange om ugen.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blevet udført en direkte sammenligning af sikkerheden mellem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mg/ml (administreret dagligt) og 40 mg/ml (administreret tre gange om ugen) i det samme studie.</w:t>
      </w:r>
    </w:p>
    <w:p w:rsidR="000372D7" w:rsidRDefault="000372D7" w:rsidP="000372D7">
      <w:pPr>
        <w:ind w:left="851"/>
        <w:rPr>
          <w:sz w:val="24"/>
          <w:szCs w:val="24"/>
          <w:u w:val="single"/>
        </w:rPr>
      </w:pPr>
    </w:p>
    <w:p w:rsidR="000372D7" w:rsidRDefault="000372D7" w:rsidP="000372D7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Copaxone</w:t>
      </w:r>
      <w:proofErr w:type="spellEnd"/>
      <w:r>
        <w:rPr>
          <w:sz w:val="24"/>
          <w:szCs w:val="24"/>
          <w:u w:val="single"/>
        </w:rPr>
        <w:t xml:space="preserve"> 20 mg/ml (administreret en gang daglig)</w:t>
      </w:r>
    </w:p>
    <w:p w:rsidR="000372D7" w:rsidRDefault="000372D7" w:rsidP="000372D7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alle kliniske studier med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20 mg/ml var reaktioner på injektionsstedet observeret til at være den hyppigste bivirkning og blev rapporteret af størstedelen af </w:t>
      </w:r>
      <w:r>
        <w:rPr>
          <w:color w:val="000000"/>
          <w:sz w:val="24"/>
          <w:szCs w:val="24"/>
        </w:rPr>
        <w:lastRenderedPageBreak/>
        <w:t xml:space="preserve">patienter, som fik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. I kontrollerede studier var antallet af patienter, som rapporterede disse reaktioner i minimum et tilfælde højere hos patienter, der fik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20 mg/ml (70 %), end patienter, der fik placeboinjektioner (37 %). De mest almindeligt rapporterede reaktioner på injektionsstedet, som oftere var beskrevet hos patienter behandlet med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20 mg/ml vs. placebo-behandlede patienter, var </w:t>
      </w:r>
      <w:proofErr w:type="spellStart"/>
      <w:r>
        <w:rPr>
          <w:color w:val="000000"/>
          <w:sz w:val="24"/>
          <w:szCs w:val="24"/>
        </w:rPr>
        <w:t>erytem</w:t>
      </w:r>
      <w:proofErr w:type="spellEnd"/>
      <w:r>
        <w:rPr>
          <w:color w:val="000000"/>
          <w:sz w:val="24"/>
          <w:szCs w:val="24"/>
        </w:rPr>
        <w:t>, smerter, ansamling, kløe, ødemer inflammation og hypersensitivitet.</w:t>
      </w:r>
    </w:p>
    <w:p w:rsidR="000372D7" w:rsidRDefault="000372D7" w:rsidP="000372D7">
      <w:pPr>
        <w:ind w:left="851"/>
        <w:rPr>
          <w:color w:val="000000"/>
          <w:sz w:val="24"/>
          <w:szCs w:val="24"/>
        </w:rPr>
      </w:pPr>
    </w:p>
    <w:p w:rsidR="000372D7" w:rsidRDefault="000372D7" w:rsidP="000372D7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reaktion associeret med mindst et eller flere af de følgende symptomer: Vasodilatation (rødme), brystsmerter, dyspnø, hjertebanken eller </w:t>
      </w:r>
      <w:proofErr w:type="spellStart"/>
      <w:r>
        <w:rPr>
          <w:color w:val="000000"/>
          <w:sz w:val="24"/>
          <w:szCs w:val="24"/>
        </w:rPr>
        <w:t>takykardi</w:t>
      </w:r>
      <w:proofErr w:type="spellEnd"/>
      <w:r>
        <w:rPr>
          <w:color w:val="000000"/>
          <w:sz w:val="24"/>
          <w:szCs w:val="24"/>
        </w:rPr>
        <w:t xml:space="preserve"> er blevet beskrevet som den øjeblikkelige postinjektions-reaktion (se pkt. 4.4). Denne reaktion kan forekomme inden for minutter efter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>-injektionen.</w:t>
      </w:r>
    </w:p>
    <w:p w:rsidR="000372D7" w:rsidRDefault="000372D7" w:rsidP="000372D7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Mindst en komponent af </w:t>
      </w:r>
      <w:proofErr w:type="spellStart"/>
      <w:r>
        <w:rPr>
          <w:color w:val="000000"/>
          <w:sz w:val="24"/>
          <w:szCs w:val="24"/>
        </w:rPr>
        <w:t>dissee</w:t>
      </w:r>
      <w:proofErr w:type="spellEnd"/>
      <w:r>
        <w:rPr>
          <w:color w:val="000000"/>
          <w:sz w:val="24"/>
          <w:szCs w:val="24"/>
        </w:rPr>
        <w:t xml:space="preserve"> øjeblikkelige postinjektionsreaktioner blev rapporteret mindst en gang af 31 % af patienterne, der fik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20 mg/ml, sammenlignet med 13 %, der fik placebo.</w:t>
      </w:r>
    </w:p>
    <w:p w:rsidR="000372D7" w:rsidRDefault="000372D7" w:rsidP="000372D7">
      <w:pPr>
        <w:ind w:left="851"/>
        <w:rPr>
          <w:color w:val="000000"/>
          <w:sz w:val="24"/>
          <w:szCs w:val="24"/>
        </w:rPr>
      </w:pPr>
    </w:p>
    <w:p w:rsidR="000372D7" w:rsidRDefault="00500CB3" w:rsidP="000372D7">
      <w:pPr>
        <w:ind w:left="851"/>
        <w:rPr>
          <w:color w:val="000000"/>
          <w:sz w:val="24"/>
          <w:szCs w:val="24"/>
        </w:rPr>
      </w:pPr>
      <w:r w:rsidRPr="003D444C">
        <w:rPr>
          <w:sz w:val="24"/>
          <w:szCs w:val="24"/>
        </w:rPr>
        <w:t>Bivirkninger identificeret i kliniske studier og ved erfaring efter markedsføring</w:t>
      </w:r>
      <w:r>
        <w:rPr>
          <w:sz w:val="24"/>
          <w:szCs w:val="24"/>
        </w:rPr>
        <w:t xml:space="preserve"> er indsat i tabellen nedenunder. Data fra kliniske studier er taget</w:t>
      </w:r>
      <w:r w:rsidR="000372D7">
        <w:rPr>
          <w:sz w:val="24"/>
          <w:szCs w:val="24"/>
        </w:rPr>
        <w:t xml:space="preserve"> fra 4 pivotale dobbeltblindede placebokontrollerede kliniske studier med i alt 512 patienter behandlet med </w:t>
      </w:r>
      <w:proofErr w:type="spellStart"/>
      <w:r w:rsidR="000372D7">
        <w:rPr>
          <w:sz w:val="24"/>
          <w:szCs w:val="24"/>
        </w:rPr>
        <w:t>Copaxone</w:t>
      </w:r>
      <w:proofErr w:type="spellEnd"/>
      <w:r w:rsidR="000372D7">
        <w:rPr>
          <w:sz w:val="24"/>
          <w:szCs w:val="24"/>
        </w:rPr>
        <w:t xml:space="preserve"> 20 mg/dag og 509 patienter behandlet med placebo i op til 36 måneder. Tre kliniske studier i attakvis MS (RRMS) inkluderede i alt 269 patienter behandlet med </w:t>
      </w:r>
      <w:proofErr w:type="spellStart"/>
      <w:r w:rsidR="000372D7">
        <w:rPr>
          <w:sz w:val="24"/>
          <w:szCs w:val="24"/>
        </w:rPr>
        <w:t>Copaxone</w:t>
      </w:r>
      <w:proofErr w:type="spellEnd"/>
      <w:r w:rsidR="000372D7">
        <w:rPr>
          <w:sz w:val="24"/>
          <w:szCs w:val="24"/>
        </w:rPr>
        <w:t xml:space="preserve"> 20 mg/dag og 271 patienter behandlet med placebo i op til 35 måneder. Det 4. kliniske studie i patienter, som havde oplevet den første kliniske episode, og som var vurderet til at være i høj risiko for udvikling af klinisk definitive MS, inkluderede 243 patienter behandlet med </w:t>
      </w:r>
      <w:proofErr w:type="spellStart"/>
      <w:r w:rsidR="000372D7">
        <w:rPr>
          <w:sz w:val="24"/>
          <w:szCs w:val="24"/>
        </w:rPr>
        <w:t>Copaxone</w:t>
      </w:r>
      <w:proofErr w:type="spellEnd"/>
      <w:r w:rsidR="000372D7">
        <w:rPr>
          <w:sz w:val="24"/>
          <w:szCs w:val="24"/>
        </w:rPr>
        <w:t xml:space="preserve"> 20 mg/dag og 238 patienter behandlet med placebo i op til 36 måneder.</w:t>
      </w:r>
    </w:p>
    <w:p w:rsidR="00500CB3" w:rsidRDefault="00500CB3" w:rsidP="00500CB3">
      <w:pPr>
        <w:ind w:left="851"/>
        <w:rPr>
          <w:color w:val="000000"/>
          <w:sz w:val="24"/>
          <w:szCs w:val="24"/>
        </w:rPr>
      </w:pPr>
    </w:p>
    <w:tbl>
      <w:tblPr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367"/>
        <w:gridCol w:w="2128"/>
        <w:gridCol w:w="1749"/>
        <w:gridCol w:w="1510"/>
        <w:gridCol w:w="1984"/>
      </w:tblGrid>
      <w:tr w:rsidR="00500CB3" w:rsidTr="00E170A2">
        <w:trPr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pStyle w:val="Sidehoved"/>
              <w:keepNext/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Organsystem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pStyle w:val="Sidehoved"/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Meget almindelige </w:t>
            </w:r>
            <w:r>
              <w:rPr>
                <w:b/>
                <w:color w:val="000000"/>
                <w:sz w:val="22"/>
                <w:szCs w:val="22"/>
              </w:rPr>
              <w:br/>
              <w:t>(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≥ </w:t>
            </w:r>
            <w:r>
              <w:rPr>
                <w:b/>
                <w:color w:val="000000"/>
                <w:sz w:val="22"/>
                <w:szCs w:val="22"/>
              </w:rPr>
              <w:t xml:space="preserve">1/10)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Almindelige</w:t>
            </w:r>
          </w:p>
          <w:p w:rsidR="00500CB3" w:rsidRDefault="00500CB3" w:rsidP="00E170A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≥</w:t>
            </w:r>
            <w:r>
              <w:rPr>
                <w:b/>
                <w:color w:val="000000"/>
                <w:sz w:val="22"/>
                <w:szCs w:val="22"/>
              </w:rPr>
              <w:t xml:space="preserve"> 1/100 til &lt; 1/10)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Ikke almindelige</w:t>
            </w:r>
          </w:p>
          <w:p w:rsidR="00500CB3" w:rsidRDefault="00500CB3" w:rsidP="00E170A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≥</w:t>
            </w:r>
            <w:r>
              <w:rPr>
                <w:b/>
                <w:color w:val="000000"/>
                <w:sz w:val="22"/>
                <w:szCs w:val="22"/>
              </w:rPr>
              <w:t xml:space="preserve"> 1/1.000 til </w:t>
            </w:r>
            <w:r w:rsidR="00CF326D"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&lt;1 /100)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Sjældne (≥1/10.000 til &lt;1/1.000)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Ikke kendt (kan ikke estimeres ud fra forhåndenværende data</w:t>
            </w:r>
          </w:p>
        </w:tc>
      </w:tr>
      <w:tr w:rsidR="00500CB3" w:rsidRPr="00C414FB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Infektioner og parasitære sygdomme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Infektion, influenza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Bronkitis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gastroenteritis, herpes simplex, otitis media, rhinitis,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tand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absces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, vaginal candidiasis*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Pr="00C414FB" w:rsidRDefault="00500CB3" w:rsidP="00E170A2">
            <w:pPr>
              <w:suppressAutoHyphens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414FB">
              <w:rPr>
                <w:color w:val="000000"/>
                <w:sz w:val="22"/>
                <w:szCs w:val="22"/>
                <w:lang w:val="en-US"/>
              </w:rPr>
              <w:t>Absces</w:t>
            </w:r>
            <w:proofErr w:type="spellEnd"/>
            <w:r w:rsidRPr="00C414FB">
              <w:rPr>
                <w:color w:val="000000"/>
                <w:sz w:val="22"/>
                <w:szCs w:val="22"/>
                <w:lang w:val="en-US"/>
              </w:rPr>
              <w:t xml:space="preserve">, cellulitis, </w:t>
            </w:r>
            <w:proofErr w:type="spellStart"/>
            <w:r w:rsidRPr="00C414FB">
              <w:rPr>
                <w:color w:val="000000"/>
                <w:sz w:val="22"/>
                <w:szCs w:val="22"/>
                <w:lang w:val="en-US"/>
              </w:rPr>
              <w:t>bylder</w:t>
            </w:r>
            <w:proofErr w:type="spellEnd"/>
            <w:r w:rsidRPr="00C414FB">
              <w:rPr>
                <w:color w:val="000000"/>
                <w:sz w:val="22"/>
                <w:szCs w:val="22"/>
                <w:lang w:val="en-US"/>
              </w:rPr>
              <w:t>, herpes Zoster, pyelonephritis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Pr="00C414FB" w:rsidRDefault="00500CB3" w:rsidP="00E170A2">
            <w:pPr>
              <w:suppressAutoHyphens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Pr="00C414FB" w:rsidRDefault="00500CB3" w:rsidP="00E170A2">
            <w:pPr>
              <w:suppressAutoHyphens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Benigne, maligne og uspecificerede tumorer (inkl. cyster og polypper)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Benign </w:t>
            </w:r>
            <w:proofErr w:type="spellStart"/>
            <w:r>
              <w:rPr>
                <w:color w:val="000000"/>
                <w:sz w:val="22"/>
                <w:szCs w:val="22"/>
              </w:rPr>
              <w:t>neoplasma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af hud, </w:t>
            </w:r>
            <w:proofErr w:type="spellStart"/>
            <w:r>
              <w:rPr>
                <w:color w:val="000000"/>
                <w:sz w:val="22"/>
                <w:szCs w:val="22"/>
              </w:rPr>
              <w:t>neoplasma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Hudcancer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Blod og lymfesystem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Lymfeadenopati</w:t>
            </w:r>
            <w:proofErr w:type="spellEnd"/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Pr="004E191E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 w:rsidRPr="004E191E">
              <w:rPr>
                <w:color w:val="000000"/>
                <w:sz w:val="22"/>
                <w:szCs w:val="22"/>
              </w:rPr>
              <w:t xml:space="preserve">Leukocytose, </w:t>
            </w:r>
            <w:proofErr w:type="spellStart"/>
            <w:r w:rsidRPr="004E191E">
              <w:rPr>
                <w:color w:val="000000"/>
                <w:sz w:val="22"/>
                <w:szCs w:val="22"/>
              </w:rPr>
              <w:t>leukopeni</w:t>
            </w:r>
            <w:proofErr w:type="spellEnd"/>
            <w:r w:rsidRPr="004E191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191E">
              <w:rPr>
                <w:color w:val="000000"/>
                <w:sz w:val="22"/>
                <w:szCs w:val="22"/>
              </w:rPr>
              <w:t>splenomegali</w:t>
            </w:r>
            <w:proofErr w:type="spellEnd"/>
            <w:r w:rsidRPr="004E191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191E">
              <w:rPr>
                <w:color w:val="000000"/>
                <w:sz w:val="22"/>
                <w:szCs w:val="22"/>
              </w:rPr>
              <w:t>thrombocytopeni</w:t>
            </w:r>
            <w:proofErr w:type="spellEnd"/>
            <w:r w:rsidRPr="004E191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191E">
              <w:rPr>
                <w:color w:val="000000"/>
                <w:sz w:val="22"/>
                <w:szCs w:val="22"/>
              </w:rPr>
              <w:t>abnormal</w:t>
            </w:r>
            <w:proofErr w:type="spellEnd"/>
            <w:r w:rsidRPr="004E191E">
              <w:rPr>
                <w:color w:val="000000"/>
                <w:sz w:val="22"/>
                <w:szCs w:val="22"/>
              </w:rPr>
              <w:t xml:space="preserve"> lymfocyt morfologi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Immunsystemet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Hypersensitivitet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1E" w:rsidRPr="004E191E" w:rsidRDefault="004E191E" w:rsidP="004E191E">
            <w:pPr>
              <w:suppressAutoHyphens/>
              <w:rPr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4E191E">
              <w:rPr>
                <w:color w:val="000000"/>
                <w:sz w:val="22"/>
                <w:szCs w:val="22"/>
              </w:rPr>
              <w:t>Anafylaktisk</w:t>
            </w:r>
            <w:proofErr w:type="spellEnd"/>
            <w:r w:rsidRPr="004E191E">
              <w:rPr>
                <w:color w:val="000000"/>
                <w:sz w:val="22"/>
                <w:szCs w:val="22"/>
              </w:rPr>
              <w:t xml:space="preserve"> reaktion</w:t>
            </w:r>
          </w:p>
          <w:p w:rsidR="00500CB3" w:rsidRPr="004E191E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endokrine system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Struma, </w:t>
            </w:r>
            <w:proofErr w:type="spellStart"/>
            <w:r>
              <w:rPr>
                <w:color w:val="000000"/>
                <w:sz w:val="22"/>
                <w:szCs w:val="22"/>
              </w:rPr>
              <w:t>hyperthyroidisme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Metabolisme og ernæring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Anoreksi, vægtforøgelse*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Alkohol intolerance, gigt, </w:t>
            </w:r>
            <w:proofErr w:type="spellStart"/>
            <w:r>
              <w:rPr>
                <w:color w:val="000000"/>
                <w:sz w:val="22"/>
                <w:szCs w:val="22"/>
              </w:rPr>
              <w:t>hyperlipidæmi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forhøjet natrium i blodet, nedsat serum- ferritin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Psykiske forstyrrelser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Angst*, depression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Nervøsitet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Anormale drømme, forvirring, eufori, hallucinationer, fjendtlighed, maniske reaktioner, personlighedsforstyrrelser, selvmordsforsøg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pStyle w:val="Sidehoved"/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Nervesystemet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Hovedpine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Dysgeusi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hypertoni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migræne, taleforstyrrelser, synkope, </w:t>
            </w:r>
            <w:proofErr w:type="spellStart"/>
            <w:r>
              <w:rPr>
                <w:color w:val="000000"/>
                <w:sz w:val="22"/>
                <w:szCs w:val="22"/>
              </w:rPr>
              <w:t>tremor</w:t>
            </w:r>
            <w:proofErr w:type="spellEnd"/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Karpal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tunnel syndrom, kognitive forstyrrelser, kramper, </w:t>
            </w:r>
            <w:proofErr w:type="spellStart"/>
            <w:r>
              <w:rPr>
                <w:color w:val="000000"/>
                <w:sz w:val="22"/>
                <w:szCs w:val="22"/>
              </w:rPr>
              <w:t>dysgrafi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dyslexi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dystoni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motor dysfunktion, Muskeltrækninger, </w:t>
            </w:r>
            <w:proofErr w:type="spellStart"/>
            <w:r>
              <w:rPr>
                <w:color w:val="000000"/>
                <w:sz w:val="22"/>
                <w:szCs w:val="22"/>
              </w:rPr>
              <w:t>neuritis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neuromuskulær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blokade, nystagmus, paralyse, nervelammelse i lægmuskulaturen, sløvhed, synsfeltsdefekt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Øjne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Diplopia</w:t>
            </w:r>
            <w:proofErr w:type="spellEnd"/>
            <w:r>
              <w:rPr>
                <w:color w:val="000000"/>
                <w:sz w:val="22"/>
                <w:szCs w:val="22"/>
              </w:rPr>
              <w:t>, øjenlidelser*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Katarakt, hornhindelæsion, tørre øjne, blødning i øjet, </w:t>
            </w:r>
            <w:proofErr w:type="spellStart"/>
            <w:r>
              <w:rPr>
                <w:color w:val="000000"/>
                <w:sz w:val="22"/>
                <w:szCs w:val="22"/>
              </w:rPr>
              <w:t>nedsynkning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af øjenlåget, </w:t>
            </w:r>
            <w:proofErr w:type="spellStart"/>
            <w:r>
              <w:rPr>
                <w:color w:val="000000"/>
                <w:sz w:val="22"/>
                <w:szCs w:val="22"/>
              </w:rPr>
              <w:t>mydriasis</w:t>
            </w:r>
            <w:proofErr w:type="spellEnd"/>
            <w:r>
              <w:rPr>
                <w:color w:val="000000"/>
                <w:sz w:val="22"/>
                <w:szCs w:val="22"/>
              </w:rPr>
              <w:t>, optisk atrofi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Øre og labyrint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Ørelidelser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Hjerte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Palpitationer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*, </w:t>
            </w:r>
            <w:proofErr w:type="spellStart"/>
            <w:r>
              <w:rPr>
                <w:color w:val="000000"/>
                <w:sz w:val="22"/>
                <w:szCs w:val="22"/>
              </w:rPr>
              <w:t>takykardi</w:t>
            </w:r>
            <w:proofErr w:type="spellEnd"/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Ekstra </w:t>
            </w:r>
            <w:proofErr w:type="spellStart"/>
            <w:r>
              <w:rPr>
                <w:color w:val="000000"/>
                <w:sz w:val="22"/>
                <w:szCs w:val="22"/>
              </w:rPr>
              <w:t>systoler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sinus bradykardi, </w:t>
            </w:r>
            <w:proofErr w:type="spellStart"/>
            <w:r>
              <w:rPr>
                <w:color w:val="000000"/>
                <w:sz w:val="22"/>
                <w:szCs w:val="22"/>
              </w:rPr>
              <w:t>paroxysmal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takykardi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Vaskulære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sygdomme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Vasodilata</w:t>
            </w:r>
            <w:r w:rsidR="00CF326D"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tion*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Åreknuder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Luftveje, thorax og </w:t>
            </w:r>
            <w:proofErr w:type="spellStart"/>
            <w:r>
              <w:rPr>
                <w:color w:val="000000"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Dyspnø*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Hoste, sæsonbetinget </w:t>
            </w:r>
            <w:proofErr w:type="spellStart"/>
            <w:r>
              <w:rPr>
                <w:color w:val="000000"/>
                <w:sz w:val="22"/>
                <w:szCs w:val="22"/>
              </w:rPr>
              <w:t>rhinitis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Apnø, </w:t>
            </w:r>
            <w:proofErr w:type="spellStart"/>
            <w:r>
              <w:rPr>
                <w:color w:val="000000"/>
                <w:sz w:val="22"/>
                <w:szCs w:val="22"/>
              </w:rPr>
              <w:t>epistaksis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hyperventilation,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laryngospasmer</w:t>
            </w:r>
            <w:proofErr w:type="spellEnd"/>
            <w:r>
              <w:rPr>
                <w:color w:val="000000"/>
                <w:sz w:val="22"/>
                <w:szCs w:val="22"/>
              </w:rPr>
              <w:t>, lungelidelser, kvælningsfornemmelse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keepNext/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Mave-tarm-kanalen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Kvalme*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Rektale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lidelser, konstipation, caries, dyspepsi, </w:t>
            </w:r>
            <w:proofErr w:type="spellStart"/>
            <w:r>
              <w:rPr>
                <w:color w:val="000000"/>
                <w:sz w:val="22"/>
                <w:szCs w:val="22"/>
              </w:rPr>
              <w:t>dysfagi</w:t>
            </w:r>
            <w:proofErr w:type="spellEnd"/>
            <w:r>
              <w:rPr>
                <w:color w:val="000000"/>
                <w:sz w:val="22"/>
                <w:szCs w:val="22"/>
              </w:rPr>
              <w:t>, fækal inkontinens, opkastning*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Colitis, </w:t>
            </w:r>
            <w:proofErr w:type="spellStart"/>
            <w:r>
              <w:rPr>
                <w:color w:val="000000"/>
                <w:sz w:val="22"/>
                <w:szCs w:val="22"/>
              </w:rPr>
              <w:t>colonisk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polyp, </w:t>
            </w:r>
            <w:proofErr w:type="spellStart"/>
            <w:r>
              <w:rPr>
                <w:color w:val="000000"/>
                <w:sz w:val="22"/>
                <w:szCs w:val="22"/>
              </w:rPr>
              <w:t>enterocolitis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opstød, sår i spiserøret, </w:t>
            </w:r>
            <w:proofErr w:type="spellStart"/>
            <w:r>
              <w:rPr>
                <w:color w:val="000000"/>
                <w:sz w:val="22"/>
                <w:szCs w:val="22"/>
              </w:rPr>
              <w:t>periodontitis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rektal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blødning, forstørrelse af spytkirtlen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Lever og galdeveje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Anormale leverfunktions tests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Cholelithiatis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hepatomegali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Toksisk hepatitis, leverskade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Leverskade</w:t>
            </w:r>
            <w:r w:rsidRPr="00E170A2">
              <w:rPr>
                <w:color w:val="000000"/>
                <w:sz w:val="22"/>
                <w:szCs w:val="22"/>
                <w:vertAlign w:val="superscript"/>
              </w:rPr>
              <w:t>#</w:t>
            </w: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Hud og subkutane væv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Hududslæt*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Blodudtrædning, </w:t>
            </w:r>
            <w:proofErr w:type="spellStart"/>
            <w:r>
              <w:rPr>
                <w:color w:val="000000"/>
                <w:sz w:val="22"/>
                <w:szCs w:val="22"/>
              </w:rPr>
              <w:t>hyperhidrose</w:t>
            </w:r>
            <w:proofErr w:type="spellEnd"/>
            <w:r>
              <w:rPr>
                <w:color w:val="000000"/>
                <w:sz w:val="22"/>
                <w:szCs w:val="22"/>
              </w:rPr>
              <w:t>, kløe, hudlidelser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urticaria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Angioødem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kontakt </w:t>
            </w:r>
            <w:proofErr w:type="spellStart"/>
            <w:r>
              <w:rPr>
                <w:color w:val="000000"/>
                <w:sz w:val="22"/>
                <w:szCs w:val="22"/>
              </w:rPr>
              <w:t>dermatitis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erythema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nodosum</w:t>
            </w:r>
            <w:proofErr w:type="spellEnd"/>
            <w:r>
              <w:rPr>
                <w:color w:val="000000"/>
                <w:sz w:val="22"/>
                <w:szCs w:val="22"/>
              </w:rPr>
              <w:t>, knuder i huden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Knogler, led, muskler og bindevæv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Artralgi</w:t>
            </w:r>
            <w:proofErr w:type="spellEnd"/>
            <w:r>
              <w:rPr>
                <w:color w:val="000000"/>
                <w:sz w:val="22"/>
                <w:szCs w:val="22"/>
              </w:rPr>
              <w:t>, rygsmerter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Nakkesmerter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Arthritis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bursitis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flankesmerter, muskelatrofi, </w:t>
            </w:r>
            <w:proofErr w:type="spellStart"/>
            <w:r>
              <w:rPr>
                <w:color w:val="000000"/>
                <w:sz w:val="22"/>
                <w:szCs w:val="22"/>
              </w:rPr>
              <w:t>osteoarthrit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Nyrer og urinveje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Stærk vandladningstrang, hyppig vandladning, urinretention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Hæmaturi, </w:t>
            </w:r>
            <w:proofErr w:type="spellStart"/>
            <w:r>
              <w:rPr>
                <w:color w:val="000000"/>
                <w:sz w:val="22"/>
                <w:szCs w:val="22"/>
              </w:rPr>
              <w:t>nefrolithiasis</w:t>
            </w:r>
            <w:proofErr w:type="spellEnd"/>
            <w:r>
              <w:rPr>
                <w:color w:val="000000"/>
                <w:sz w:val="22"/>
                <w:szCs w:val="22"/>
              </w:rPr>
              <w:t>, urinvejslidelser, urin anormaliteter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reproduktive system og mammae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Brystforstørrelse, </w:t>
            </w:r>
            <w:proofErr w:type="spellStart"/>
            <w:r>
              <w:rPr>
                <w:color w:val="000000"/>
                <w:sz w:val="22"/>
                <w:szCs w:val="22"/>
              </w:rPr>
              <w:t>erektil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dysfunktion, pelvisk prolaps, </w:t>
            </w:r>
            <w:proofErr w:type="spellStart"/>
            <w:r>
              <w:rPr>
                <w:color w:val="000000"/>
                <w:sz w:val="22"/>
                <w:szCs w:val="22"/>
              </w:rPr>
              <w:t>priapisme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prostata lidelser, unormalt </w:t>
            </w:r>
            <w:proofErr w:type="spellStart"/>
            <w:r>
              <w:rPr>
                <w:color w:val="000000"/>
                <w:sz w:val="22"/>
                <w:szCs w:val="22"/>
              </w:rPr>
              <w:t>cervix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smear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testikel lidelser, vaginal blødning, </w:t>
            </w:r>
            <w:proofErr w:type="spellStart"/>
            <w:r>
              <w:rPr>
                <w:color w:val="000000"/>
                <w:sz w:val="22"/>
                <w:szCs w:val="22"/>
              </w:rPr>
              <w:t>vulvovaginale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lidelser.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Almene symptomer og reaktion på administrationsstedet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Asteni, brystsmerter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>, reaktioner på injektions</w:t>
            </w:r>
            <w:r w:rsidR="00CF326D"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stedet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 w:rsidRPr="00E170A2">
              <w:rPr>
                <w:color w:val="000000"/>
                <w:sz w:val="22"/>
                <w:szCs w:val="22"/>
                <w:vertAlign w:val="superscript"/>
              </w:rPr>
              <w:t>§</w:t>
            </w:r>
            <w:r>
              <w:rPr>
                <w:color w:val="000000"/>
                <w:sz w:val="22"/>
                <w:szCs w:val="22"/>
              </w:rPr>
              <w:t>, smerter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Kulderystelser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>, ansigtsødem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>, atrofi på injektionsstedet</w:t>
            </w:r>
            <w:r w:rsidRPr="00E170A2">
              <w:rPr>
                <w:color w:val="000000"/>
                <w:sz w:val="22"/>
                <w:szCs w:val="22"/>
                <w:vertAlign w:val="superscript"/>
              </w:rPr>
              <w:t>♣</w:t>
            </w:r>
            <w:r>
              <w:rPr>
                <w:color w:val="000000"/>
                <w:sz w:val="22"/>
                <w:szCs w:val="22"/>
              </w:rPr>
              <w:t>, lokale reaktioner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, periferalt ødem, ødem, </w:t>
            </w:r>
            <w:proofErr w:type="spellStart"/>
            <w:r>
              <w:rPr>
                <w:color w:val="000000"/>
                <w:sz w:val="22"/>
                <w:szCs w:val="22"/>
              </w:rPr>
              <w:t>pyrexi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Cyster, tømmermandslignende tilstand, </w:t>
            </w:r>
            <w:proofErr w:type="spellStart"/>
            <w:r>
              <w:rPr>
                <w:color w:val="000000"/>
                <w:sz w:val="22"/>
                <w:szCs w:val="22"/>
              </w:rPr>
              <w:t>hypotermi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øjeblikkelige postinjektions reaktioner, inflammation, nekrose på </w:t>
            </w:r>
            <w:r>
              <w:rPr>
                <w:color w:val="000000"/>
                <w:sz w:val="22"/>
                <w:szCs w:val="22"/>
              </w:rPr>
              <w:lastRenderedPageBreak/>
              <w:t>injektionsstedet, lidelser i slimhinderne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500CB3" w:rsidTr="00E170A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A94F8F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Traumer, forgiftninger og behandlings</w:t>
            </w:r>
            <w:r w:rsidR="00A94F8F"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komplikationer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 vaccinations</w:t>
            </w:r>
            <w:r w:rsidR="00CF326D"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syndrom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B3" w:rsidRDefault="00500CB3" w:rsidP="00E170A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</w:tbl>
    <w:p w:rsidR="00500CB3" w:rsidRDefault="00500CB3" w:rsidP="00500CB3">
      <w:pPr>
        <w:pStyle w:val="Sidehoved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* Mere end 2 % (&gt; 2/100) højere forekomst i den gruppe, der fik </w:t>
      </w:r>
      <w:proofErr w:type="spellStart"/>
      <w:r>
        <w:rPr>
          <w:color w:val="000000"/>
          <w:sz w:val="20"/>
          <w:szCs w:val="24"/>
        </w:rPr>
        <w:t>Copaxone</w:t>
      </w:r>
      <w:proofErr w:type="spellEnd"/>
      <w:r>
        <w:rPr>
          <w:color w:val="000000"/>
          <w:sz w:val="20"/>
          <w:szCs w:val="24"/>
        </w:rPr>
        <w:t xml:space="preserve"> behandling end i Placebogruppen. Bivirkninger uden * symbolet repræsenterer en forskel på mindre end eller lig med 2 %.</w:t>
      </w:r>
    </w:p>
    <w:p w:rsidR="00500CB3" w:rsidRDefault="00500CB3" w:rsidP="00500CB3">
      <w:pPr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§ Termen ”reaktioner på administrationsstedet” (forskellige slags) omfatter alle bivirkninger, som opstår på injektionsstedet undtagen atrofi på injektionsstedet og nekrose på injektionsstedet, som er anført separat i tabellen.</w:t>
      </w:r>
    </w:p>
    <w:p w:rsidR="00500CB3" w:rsidRDefault="00500CB3" w:rsidP="00500CB3">
      <w:pPr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♣</w:t>
      </w:r>
      <w:r>
        <w:rPr>
          <w:color w:val="000000"/>
          <w:sz w:val="20"/>
          <w:szCs w:val="24"/>
          <w:vertAlign w:val="superscript"/>
        </w:rPr>
        <w:t xml:space="preserve"> </w:t>
      </w:r>
      <w:r>
        <w:rPr>
          <w:color w:val="000000"/>
          <w:sz w:val="20"/>
          <w:szCs w:val="24"/>
        </w:rPr>
        <w:t xml:space="preserve">Omfatter termer som relaterer til lokaliseret </w:t>
      </w:r>
      <w:proofErr w:type="spellStart"/>
      <w:r>
        <w:rPr>
          <w:color w:val="000000"/>
          <w:sz w:val="20"/>
          <w:szCs w:val="24"/>
        </w:rPr>
        <w:t>lipoatrofi</w:t>
      </w:r>
      <w:proofErr w:type="spellEnd"/>
      <w:r>
        <w:rPr>
          <w:color w:val="000000"/>
          <w:sz w:val="20"/>
          <w:szCs w:val="24"/>
        </w:rPr>
        <w:t xml:space="preserve"> på injektionsstedet.</w:t>
      </w:r>
    </w:p>
    <w:p w:rsidR="00500CB3" w:rsidRDefault="00500CB3" w:rsidP="00500CB3">
      <w:pPr>
        <w:rPr>
          <w:color w:val="000000"/>
          <w:sz w:val="20"/>
          <w:szCs w:val="24"/>
        </w:rPr>
      </w:pPr>
      <w:r w:rsidRPr="00E71239">
        <w:rPr>
          <w:color w:val="000000"/>
          <w:sz w:val="20"/>
          <w:szCs w:val="24"/>
          <w:vertAlign w:val="superscript"/>
        </w:rPr>
        <w:t>#</w:t>
      </w:r>
      <w:r>
        <w:rPr>
          <w:color w:val="000000"/>
          <w:sz w:val="20"/>
          <w:szCs w:val="24"/>
        </w:rPr>
        <w:t>Der er blevet rapporteret få tilfælde med levertransplantation.</w:t>
      </w:r>
    </w:p>
    <w:p w:rsidR="000372D7" w:rsidRDefault="000372D7" w:rsidP="000372D7">
      <w:pPr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pStyle w:val="Sidehoved"/>
        <w:tabs>
          <w:tab w:val="left" w:pos="851"/>
        </w:tabs>
        <w:ind w:left="851"/>
        <w:rPr>
          <w:color w:val="000000"/>
        </w:rPr>
      </w:pPr>
      <w:r>
        <w:rPr>
          <w:color w:val="000000"/>
        </w:rPr>
        <w:t xml:space="preserve">I det fjerde studie nævnt ovenfor blev der efter den placebo-kontrollerede fase udført en open-label behandlingsfase. Under open-label opfølgningsfasen blev der i en periode på op til 5 år ikke observeret nogen ændring i den kendte risikoprofil for </w:t>
      </w:r>
      <w:proofErr w:type="spellStart"/>
      <w:r>
        <w:rPr>
          <w:color w:val="000000"/>
        </w:rPr>
        <w:t>Copaxone</w:t>
      </w:r>
      <w:proofErr w:type="spellEnd"/>
      <w:r>
        <w:rPr>
          <w:color w:val="000000"/>
        </w:rPr>
        <w:t xml:space="preserve"> 20 mg/ml.</w:t>
      </w:r>
    </w:p>
    <w:p w:rsidR="000372D7" w:rsidRDefault="000372D7" w:rsidP="000372D7">
      <w:pPr>
        <w:ind w:left="851"/>
        <w:rPr>
          <w:sz w:val="24"/>
          <w:szCs w:val="24"/>
          <w:u w:val="single"/>
        </w:rPr>
      </w:pPr>
    </w:p>
    <w:p w:rsidR="000372D7" w:rsidRDefault="000372D7" w:rsidP="000372D7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Copaxone</w:t>
      </w:r>
      <w:proofErr w:type="spellEnd"/>
      <w:r>
        <w:rPr>
          <w:sz w:val="24"/>
          <w:szCs w:val="24"/>
          <w:u w:val="single"/>
        </w:rPr>
        <w:t xml:space="preserve"> 40 mg/ml (administreret tre gange om ugen)</w:t>
      </w: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Sikkerheden af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blev vurderet på basis af på et dobbeltblindet, placebokontrolleret klinisk studie af patienter med RRMS, hvor i alt 943 patienter blev behandlet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tre gange om ugen, og 461 patienter blev behandlet med placebo i 12 måneder.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Generelt var de bivirkninger, der blev observeret hos patienter i behandling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mg/ml, administreret tre gange om ugen, de samme bivirkninger, der allerede var kendte og registrerede for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mg/ml administreret dagligt. </w:t>
      </w:r>
      <w:r>
        <w:t xml:space="preserve"> </w:t>
      </w:r>
      <w:r>
        <w:rPr>
          <w:sz w:val="24"/>
          <w:szCs w:val="24"/>
        </w:rPr>
        <w:t>Især blev bivirkninger på injektionsstedet (</w:t>
      </w:r>
      <w:proofErr w:type="spellStart"/>
      <w:r>
        <w:rPr>
          <w:sz w:val="24"/>
          <w:szCs w:val="24"/>
        </w:rPr>
        <w:t>injection</w:t>
      </w:r>
      <w:proofErr w:type="spellEnd"/>
      <w:r>
        <w:rPr>
          <w:sz w:val="24"/>
          <w:szCs w:val="24"/>
        </w:rPr>
        <w:t xml:space="preserve"> site </w:t>
      </w:r>
      <w:proofErr w:type="spellStart"/>
      <w:r>
        <w:rPr>
          <w:sz w:val="24"/>
          <w:szCs w:val="24"/>
        </w:rPr>
        <w:t>reactions</w:t>
      </w:r>
      <w:proofErr w:type="spellEnd"/>
      <w:r>
        <w:rPr>
          <w:sz w:val="24"/>
          <w:szCs w:val="24"/>
        </w:rPr>
        <w:t>, ISR) og øjeblikkelige postinjektionsreaktioner (</w:t>
      </w:r>
      <w:proofErr w:type="spellStart"/>
      <w:r>
        <w:rPr>
          <w:sz w:val="24"/>
          <w:szCs w:val="24"/>
        </w:rPr>
        <w:t>immediate</w:t>
      </w:r>
      <w:proofErr w:type="spellEnd"/>
      <w:r>
        <w:rPr>
          <w:sz w:val="24"/>
          <w:szCs w:val="24"/>
        </w:rPr>
        <w:t xml:space="preserve"> post </w:t>
      </w:r>
      <w:proofErr w:type="spellStart"/>
      <w:r>
        <w:rPr>
          <w:sz w:val="24"/>
          <w:szCs w:val="24"/>
        </w:rPr>
        <w:t>injection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reactions</w:t>
      </w:r>
      <w:proofErr w:type="spellEnd"/>
      <w:r>
        <w:rPr>
          <w:sz w:val="24"/>
          <w:szCs w:val="24"/>
        </w:rPr>
        <w:t xml:space="preserve">, IPIR) rapporteret med en mindre hyppighed for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 mg/ml administreret tre gange om ugen, end for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 mg/ml administreret dagligt (35,5 % vs. 70 % for </w:t>
      </w:r>
      <w:proofErr w:type="spellStart"/>
      <w:r>
        <w:rPr>
          <w:sz w:val="24"/>
          <w:szCs w:val="24"/>
        </w:rPr>
        <w:t>ISR’er</w:t>
      </w:r>
      <w:proofErr w:type="spellEnd"/>
      <w:r>
        <w:rPr>
          <w:sz w:val="24"/>
          <w:szCs w:val="24"/>
        </w:rPr>
        <w:t xml:space="preserve"> og 7,8 % vs. 31 % for </w:t>
      </w:r>
      <w:proofErr w:type="spellStart"/>
      <w:r>
        <w:rPr>
          <w:sz w:val="24"/>
          <w:szCs w:val="24"/>
        </w:rPr>
        <w:t>IPIR’er</w:t>
      </w:r>
      <w:proofErr w:type="spellEnd"/>
      <w:r>
        <w:rPr>
          <w:sz w:val="24"/>
          <w:szCs w:val="24"/>
        </w:rPr>
        <w:t>).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Reaktioner på injektionsstedet blev rapporteret hos 36 % af patienterne, der fik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mg/ml, sammenlignet med 5 %, der fik placebo. Øjeblikkelige postinjektions-reaktioner blev rapporteret hos 8 % af de patienter, der fik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mg/ml, sammenlignet med 2 %, der fik placebo.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>Der bemærkes nogle få specifikke bivirkninger:</w:t>
      </w:r>
    </w:p>
    <w:p w:rsidR="000372D7" w:rsidRDefault="004E191E" w:rsidP="004E191E">
      <w:pPr>
        <w:numPr>
          <w:ilvl w:val="0"/>
          <w:numId w:val="7"/>
        </w:numPr>
        <w:ind w:left="1134" w:hanging="283"/>
        <w:rPr>
          <w:noProof/>
          <w:sz w:val="24"/>
          <w:szCs w:val="24"/>
        </w:rPr>
      </w:pPr>
      <w:proofErr w:type="spellStart"/>
      <w:r w:rsidRPr="004E191E">
        <w:rPr>
          <w:sz w:val="24"/>
          <w:szCs w:val="24"/>
        </w:rPr>
        <w:t>Anafylaktiske</w:t>
      </w:r>
      <w:proofErr w:type="spellEnd"/>
      <w:r w:rsidRPr="004E191E">
        <w:rPr>
          <w:sz w:val="24"/>
          <w:szCs w:val="24"/>
        </w:rPr>
        <w:t xml:space="preserve"> reaktioner kan forekomme kort efter administration af </w:t>
      </w:r>
      <w:proofErr w:type="spellStart"/>
      <w:r w:rsidRPr="004E191E">
        <w:rPr>
          <w:sz w:val="24"/>
          <w:szCs w:val="24"/>
        </w:rPr>
        <w:t>glatirameracetat</w:t>
      </w:r>
      <w:proofErr w:type="spellEnd"/>
      <w:r w:rsidRPr="004E191E">
        <w:rPr>
          <w:sz w:val="24"/>
          <w:szCs w:val="24"/>
        </w:rPr>
        <w:t>, men også måneder eller år efter initiering af behandlingen (se pkt. 4.4).</w:t>
      </w:r>
    </w:p>
    <w:p w:rsidR="00480382" w:rsidRPr="00A10686" w:rsidRDefault="00480382" w:rsidP="00480382">
      <w:pPr>
        <w:numPr>
          <w:ilvl w:val="0"/>
          <w:numId w:val="7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Der blev ikke rapporteret nekrose på injektionsstedet.</w:t>
      </w:r>
    </w:p>
    <w:p w:rsidR="000372D7" w:rsidRDefault="000372D7" w:rsidP="000372D7">
      <w:pPr>
        <w:numPr>
          <w:ilvl w:val="0"/>
          <w:numId w:val="7"/>
        </w:numPr>
        <w:ind w:left="1134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Huderytem</w:t>
      </w:r>
      <w:proofErr w:type="spellEnd"/>
      <w:r>
        <w:rPr>
          <w:sz w:val="24"/>
          <w:szCs w:val="24"/>
        </w:rPr>
        <w:t xml:space="preserve"> og smerter i ekstremiteterne, som ikke er registreret for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mg/ml, blev rapporteret hos 2.1 % af patienterne, der fik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(almindelig</w:t>
      </w:r>
      <w:r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sym w:font="Symbol" w:char="F0B3"/>
      </w:r>
      <w:r>
        <w:rPr>
          <w:noProof/>
          <w:sz w:val="24"/>
          <w:szCs w:val="24"/>
        </w:rPr>
        <w:t> 1/100 til &lt; 1/10)</w:t>
      </w:r>
      <w:r>
        <w:rPr>
          <w:sz w:val="24"/>
          <w:szCs w:val="24"/>
        </w:rPr>
        <w:t>.</w:t>
      </w:r>
    </w:p>
    <w:p w:rsidR="000372D7" w:rsidRDefault="000372D7" w:rsidP="000372D7">
      <w:pPr>
        <w:ind w:left="1276"/>
        <w:rPr>
          <w:sz w:val="24"/>
          <w:szCs w:val="24"/>
        </w:rPr>
      </w:pPr>
    </w:p>
    <w:p w:rsidR="00D628A7" w:rsidRDefault="00D628A7" w:rsidP="00D628A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Både lægemiddelinduceret leverskade og toksisk hepatitis blev rapporteret hos en patient (0,1 %), der fik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(ikke almindelig</w:t>
      </w:r>
      <w:r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sym w:font="Symbol" w:char="F0B3"/>
      </w:r>
      <w:r>
        <w:rPr>
          <w:noProof/>
          <w:sz w:val="24"/>
          <w:szCs w:val="24"/>
        </w:rPr>
        <w:t> 1/1.000 til &lt; 1/100</w:t>
      </w:r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</w:p>
    <w:p w:rsidR="00D628A7" w:rsidRDefault="00D628A7" w:rsidP="00D628A7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</w:rPr>
        <w:t>Indberetning af formodede bivirkninger</w:t>
      </w:r>
    </w:p>
    <w:p w:rsidR="00D628A7" w:rsidRDefault="00D628A7" w:rsidP="00D628A7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C414FB">
        <w:rPr>
          <w:sz w:val="24"/>
          <w:szCs w:val="24"/>
        </w:rPr>
        <w:t>S</w:t>
      </w:r>
      <w:r>
        <w:rPr>
          <w:sz w:val="24"/>
          <w:szCs w:val="24"/>
        </w:rPr>
        <w:t>undhedsperson</w:t>
      </w:r>
      <w:r w:rsidR="00C414FB">
        <w:rPr>
          <w:sz w:val="24"/>
          <w:szCs w:val="24"/>
        </w:rPr>
        <w:t>er</w:t>
      </w:r>
      <w:r>
        <w:rPr>
          <w:sz w:val="24"/>
          <w:szCs w:val="24"/>
        </w:rPr>
        <w:t xml:space="preserve"> anmodes om at indberette alle formodede bivirkninger via:</w:t>
      </w:r>
    </w:p>
    <w:p w:rsidR="00D628A7" w:rsidRDefault="00D628A7" w:rsidP="00D628A7">
      <w:pPr>
        <w:ind w:left="851"/>
        <w:rPr>
          <w:sz w:val="24"/>
          <w:szCs w:val="24"/>
        </w:rPr>
      </w:pPr>
    </w:p>
    <w:p w:rsidR="00D628A7" w:rsidRDefault="00D628A7" w:rsidP="00D628A7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D628A7" w:rsidRDefault="00D628A7" w:rsidP="00D628A7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D628A7" w:rsidRDefault="00D628A7" w:rsidP="00D628A7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D628A7" w:rsidRPr="009B5111" w:rsidRDefault="00D628A7" w:rsidP="00D628A7">
      <w:pPr>
        <w:ind w:left="851"/>
        <w:rPr>
          <w:sz w:val="24"/>
          <w:szCs w:val="24"/>
        </w:rPr>
      </w:pPr>
      <w:r w:rsidRPr="009B5111">
        <w:rPr>
          <w:sz w:val="24"/>
          <w:szCs w:val="24"/>
        </w:rPr>
        <w:t xml:space="preserve">Websted: </w:t>
      </w:r>
      <w:hyperlink r:id="rId8" w:history="1">
        <w:r w:rsidRPr="009B5111">
          <w:rPr>
            <w:rStyle w:val="Hyperlink"/>
            <w:sz w:val="24"/>
          </w:rPr>
          <w:t>www.meldenbivirkning.dk</w:t>
        </w:r>
      </w:hyperlink>
    </w:p>
    <w:p w:rsidR="000372D7" w:rsidRPr="009B5111" w:rsidRDefault="000372D7" w:rsidP="000372D7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0372D7" w:rsidRPr="009B5111" w:rsidRDefault="000372D7" w:rsidP="000372D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9B5111">
        <w:rPr>
          <w:b/>
          <w:sz w:val="24"/>
          <w:szCs w:val="24"/>
        </w:rPr>
        <w:t>4.9</w:t>
      </w:r>
      <w:r w:rsidRPr="009B5111">
        <w:rPr>
          <w:b/>
          <w:sz w:val="24"/>
          <w:szCs w:val="24"/>
        </w:rPr>
        <w:tab/>
        <w:t>Overdosering</w:t>
      </w:r>
    </w:p>
    <w:p w:rsidR="000372D7" w:rsidRPr="009B5111" w:rsidRDefault="000372D7" w:rsidP="000372D7">
      <w:pPr>
        <w:keepNext/>
        <w:tabs>
          <w:tab w:val="left" w:pos="851"/>
        </w:tabs>
        <w:ind w:left="851" w:hanging="851"/>
        <w:rPr>
          <w:sz w:val="24"/>
          <w:szCs w:val="24"/>
        </w:rPr>
      </w:pPr>
      <w:r w:rsidRPr="009B5111">
        <w:rPr>
          <w:sz w:val="24"/>
          <w:szCs w:val="24"/>
        </w:rPr>
        <w:tab/>
      </w:r>
    </w:p>
    <w:p w:rsidR="000372D7" w:rsidRPr="009B5111" w:rsidRDefault="000372D7" w:rsidP="000372D7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 w:rsidRPr="009B5111">
        <w:rPr>
          <w:sz w:val="24"/>
          <w:szCs w:val="24"/>
        </w:rPr>
        <w:tab/>
      </w:r>
      <w:r w:rsidRPr="009B5111">
        <w:rPr>
          <w:sz w:val="24"/>
          <w:szCs w:val="24"/>
          <w:u w:val="single"/>
        </w:rPr>
        <w:t>Symptomer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  <w:lang w:eastAsia="da-DK"/>
        </w:rPr>
      </w:pPr>
      <w:r w:rsidRPr="009B5111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Der er rapporteret om få tilfælde af overdosering med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(op til 300 mg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>). I forbindelse med disse tilfælde blev der ikke set andre utilsigtede hændelser end de nævnte i pkt. 4.8.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9A0A4A">
        <w:rPr>
          <w:color w:val="000000"/>
          <w:sz w:val="24"/>
          <w:szCs w:val="24"/>
          <w:u w:val="single"/>
        </w:rPr>
        <w:t>Håndtering</w:t>
      </w:r>
    </w:p>
    <w:p w:rsidR="000372D7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I tilfælde af overdosering, bør patienten monitoreres og hensigtsmæssig symptomatisk og understøttende behandling initieres.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4.10</w:t>
      </w:r>
      <w:r w:rsidRPr="003B2D1A">
        <w:rPr>
          <w:b/>
          <w:sz w:val="24"/>
          <w:szCs w:val="24"/>
        </w:rPr>
        <w:tab/>
        <w:t>Udlevering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</w:r>
      <w:r>
        <w:rPr>
          <w:sz w:val="24"/>
          <w:szCs w:val="24"/>
        </w:rPr>
        <w:t>BEGR (kun til sygehuse)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5.</w:t>
      </w:r>
      <w:r w:rsidRPr="003B2D1A">
        <w:rPr>
          <w:b/>
          <w:sz w:val="24"/>
          <w:szCs w:val="24"/>
        </w:rPr>
        <w:tab/>
        <w:t>FARMAKOLOGISKE EGENSKABER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5.1</w:t>
      </w:r>
      <w:r w:rsidRPr="003B2D1A">
        <w:rPr>
          <w:b/>
          <w:sz w:val="24"/>
          <w:szCs w:val="24"/>
        </w:rPr>
        <w:tab/>
      </w:r>
      <w:proofErr w:type="spellStart"/>
      <w:r w:rsidRPr="003B2D1A">
        <w:rPr>
          <w:b/>
          <w:sz w:val="24"/>
          <w:szCs w:val="24"/>
        </w:rPr>
        <w:t>Farmakodynamiske</w:t>
      </w:r>
      <w:proofErr w:type="spellEnd"/>
      <w:r w:rsidRPr="003B2D1A">
        <w:rPr>
          <w:b/>
          <w:sz w:val="24"/>
          <w:szCs w:val="24"/>
        </w:rPr>
        <w:t xml:space="preserve"> egenskaber</w:t>
      </w:r>
    </w:p>
    <w:p w:rsidR="007106EF" w:rsidRPr="007106EF" w:rsidRDefault="007106EF" w:rsidP="007106EF">
      <w:pPr>
        <w:ind w:left="855"/>
        <w:rPr>
          <w:sz w:val="24"/>
          <w:szCs w:val="24"/>
          <w:lang w:eastAsia="da-DK"/>
        </w:rPr>
      </w:pPr>
      <w:proofErr w:type="spellStart"/>
      <w:r w:rsidRPr="007106EF">
        <w:rPr>
          <w:sz w:val="24"/>
          <w:szCs w:val="24"/>
        </w:rPr>
        <w:t>Farmako</w:t>
      </w:r>
      <w:r>
        <w:rPr>
          <w:sz w:val="24"/>
          <w:szCs w:val="24"/>
        </w:rPr>
        <w:t>t</w:t>
      </w:r>
      <w:r w:rsidRPr="007106EF">
        <w:rPr>
          <w:sz w:val="24"/>
          <w:szCs w:val="24"/>
        </w:rPr>
        <w:t>erapeutisk</w:t>
      </w:r>
      <w:proofErr w:type="spellEnd"/>
      <w:r w:rsidRPr="007106EF">
        <w:rPr>
          <w:sz w:val="24"/>
          <w:szCs w:val="24"/>
        </w:rPr>
        <w:t xml:space="preserve"> klassifikation: </w:t>
      </w:r>
      <w:proofErr w:type="spellStart"/>
      <w:r w:rsidRPr="007106EF">
        <w:rPr>
          <w:sz w:val="24"/>
          <w:szCs w:val="24"/>
        </w:rPr>
        <w:t>Antineoplastiske</w:t>
      </w:r>
      <w:proofErr w:type="spellEnd"/>
      <w:r w:rsidRPr="007106EF">
        <w:rPr>
          <w:sz w:val="24"/>
          <w:szCs w:val="24"/>
        </w:rPr>
        <w:t xml:space="preserve"> og immunmodulerende midler, Immunstimulerende midler, ATC-kode: </w:t>
      </w:r>
      <w:r w:rsidRPr="007106EF">
        <w:rPr>
          <w:color w:val="000000"/>
          <w:sz w:val="24"/>
          <w:szCs w:val="24"/>
        </w:rPr>
        <w:t>L03AX</w:t>
      </w:r>
      <w:r>
        <w:rPr>
          <w:color w:val="000000"/>
          <w:sz w:val="24"/>
          <w:szCs w:val="24"/>
        </w:rPr>
        <w:t>1</w:t>
      </w:r>
      <w:r w:rsidRPr="007106EF">
        <w:rPr>
          <w:color w:val="000000"/>
          <w:sz w:val="24"/>
          <w:szCs w:val="24"/>
        </w:rPr>
        <w:t xml:space="preserve">3. </w:t>
      </w:r>
    </w:p>
    <w:p w:rsidR="000372D7" w:rsidRDefault="000372D7" w:rsidP="000372D7">
      <w:pPr>
        <w:ind w:left="851"/>
        <w:rPr>
          <w:sz w:val="24"/>
          <w:szCs w:val="24"/>
          <w:u w:val="single"/>
        </w:rPr>
      </w:pPr>
    </w:p>
    <w:p w:rsidR="000372D7" w:rsidRDefault="000372D7" w:rsidP="000372D7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Virkningsmekanisme</w:t>
      </w:r>
    </w:p>
    <w:p w:rsidR="000372D7" w:rsidRPr="002C16FE" w:rsidRDefault="000372D7" w:rsidP="000372D7">
      <w:pPr>
        <w:suppressAutoHyphens/>
        <w:ind w:left="855"/>
        <w:rPr>
          <w:color w:val="000000"/>
          <w:sz w:val="24"/>
          <w:szCs w:val="24"/>
        </w:rPr>
      </w:pPr>
      <w:r w:rsidRPr="002C16FE">
        <w:rPr>
          <w:color w:val="000000"/>
          <w:sz w:val="24"/>
          <w:szCs w:val="24"/>
        </w:rPr>
        <w:t xml:space="preserve">Virkningsmekanismen for </w:t>
      </w:r>
      <w:proofErr w:type="spellStart"/>
      <w:r w:rsidRPr="002C16FE">
        <w:rPr>
          <w:color w:val="000000"/>
          <w:sz w:val="24"/>
          <w:szCs w:val="24"/>
        </w:rPr>
        <w:t>glatirameracetats</w:t>
      </w:r>
      <w:proofErr w:type="spellEnd"/>
      <w:r w:rsidRPr="002C16FE">
        <w:rPr>
          <w:color w:val="000000"/>
          <w:sz w:val="24"/>
          <w:szCs w:val="24"/>
        </w:rPr>
        <w:t xml:space="preserve"> terapeutiske effekt på de attakvise former af MS er ikke fuldt klarlagt. Det menes at virke ved modulering af immunprocesser.</w:t>
      </w:r>
    </w:p>
    <w:p w:rsidR="000372D7" w:rsidRDefault="000372D7" w:rsidP="00D628A7">
      <w:pPr>
        <w:suppressAutoHyphens/>
        <w:ind w:left="855"/>
        <w:rPr>
          <w:color w:val="000000"/>
          <w:sz w:val="24"/>
          <w:szCs w:val="24"/>
        </w:rPr>
      </w:pPr>
      <w:r w:rsidRPr="002C16FE">
        <w:rPr>
          <w:color w:val="000000"/>
          <w:sz w:val="24"/>
          <w:szCs w:val="24"/>
        </w:rPr>
        <w:t xml:space="preserve">Studier i dyr og i MS-patienter antyder, at </w:t>
      </w:r>
      <w:proofErr w:type="spellStart"/>
      <w:r w:rsidRPr="002C16FE">
        <w:rPr>
          <w:color w:val="000000"/>
          <w:sz w:val="24"/>
          <w:szCs w:val="24"/>
        </w:rPr>
        <w:t>glatirameracetat</w:t>
      </w:r>
      <w:proofErr w:type="spellEnd"/>
      <w:r w:rsidRPr="002C16FE">
        <w:rPr>
          <w:color w:val="000000"/>
          <w:sz w:val="24"/>
          <w:szCs w:val="24"/>
        </w:rPr>
        <w:t xml:space="preserve"> virker på </w:t>
      </w:r>
      <w:proofErr w:type="spellStart"/>
      <w:r w:rsidRPr="002C16FE">
        <w:rPr>
          <w:color w:val="000000"/>
          <w:sz w:val="24"/>
          <w:szCs w:val="24"/>
        </w:rPr>
        <w:t>innate</w:t>
      </w:r>
      <w:proofErr w:type="spellEnd"/>
      <w:r w:rsidRPr="002C16FE">
        <w:rPr>
          <w:color w:val="000000"/>
          <w:sz w:val="24"/>
          <w:szCs w:val="24"/>
        </w:rPr>
        <w:t xml:space="preserve"> immunceller, herunder </w:t>
      </w:r>
      <w:proofErr w:type="spellStart"/>
      <w:r w:rsidRPr="002C16FE">
        <w:rPr>
          <w:color w:val="000000"/>
          <w:sz w:val="24"/>
          <w:szCs w:val="24"/>
        </w:rPr>
        <w:t>monocyter</w:t>
      </w:r>
      <w:proofErr w:type="spellEnd"/>
      <w:r w:rsidRPr="002C16FE">
        <w:rPr>
          <w:color w:val="000000"/>
          <w:sz w:val="24"/>
          <w:szCs w:val="24"/>
        </w:rPr>
        <w:t xml:space="preserve">, dendritter og B-celler, ved at modulere adaptive funktioner i B- og T- celler og derved inducerer antiinflammatorisk og regulatorisk cytokinsekretion. Hvorvidt den terapeutiske effekt er medieret ved de cellulære effekter beskrevet ovenfor, er ikke kendt, da </w:t>
      </w:r>
      <w:proofErr w:type="spellStart"/>
      <w:r w:rsidRPr="002C16FE">
        <w:rPr>
          <w:color w:val="000000"/>
          <w:sz w:val="24"/>
          <w:szCs w:val="24"/>
        </w:rPr>
        <w:t>patofysiologien</w:t>
      </w:r>
      <w:proofErr w:type="spellEnd"/>
      <w:r w:rsidRPr="002C16FE">
        <w:rPr>
          <w:color w:val="000000"/>
          <w:sz w:val="24"/>
          <w:szCs w:val="24"/>
        </w:rPr>
        <w:t xml:space="preserve"> for MS kun er delvist forstået.</w:t>
      </w:r>
    </w:p>
    <w:p w:rsidR="00D628A7" w:rsidRPr="00D628A7" w:rsidRDefault="00D628A7" w:rsidP="00D628A7">
      <w:pPr>
        <w:suppressAutoHyphens/>
        <w:ind w:left="855"/>
        <w:rPr>
          <w:color w:val="000000"/>
          <w:sz w:val="24"/>
          <w:szCs w:val="24"/>
        </w:rPr>
      </w:pPr>
    </w:p>
    <w:p w:rsidR="000372D7" w:rsidRPr="002C16FE" w:rsidRDefault="000372D7" w:rsidP="00D628A7">
      <w:pPr>
        <w:keepNext/>
        <w:ind w:left="851"/>
        <w:rPr>
          <w:sz w:val="24"/>
          <w:szCs w:val="24"/>
          <w:u w:val="single"/>
        </w:rPr>
      </w:pPr>
      <w:r w:rsidRPr="002C16FE">
        <w:rPr>
          <w:sz w:val="24"/>
          <w:szCs w:val="24"/>
          <w:u w:val="single"/>
        </w:rPr>
        <w:t>Klinisk sikkerhed og virkning</w:t>
      </w:r>
    </w:p>
    <w:p w:rsidR="000372D7" w:rsidRDefault="000372D7" w:rsidP="000372D7">
      <w:pPr>
        <w:ind w:left="851"/>
        <w:rPr>
          <w:i/>
          <w:sz w:val="24"/>
          <w:szCs w:val="24"/>
        </w:rPr>
      </w:pPr>
    </w:p>
    <w:p w:rsidR="000372D7" w:rsidRPr="002C16FE" w:rsidRDefault="000372D7" w:rsidP="000372D7">
      <w:pPr>
        <w:ind w:left="851"/>
        <w:rPr>
          <w:i/>
          <w:sz w:val="24"/>
          <w:szCs w:val="24"/>
        </w:rPr>
      </w:pPr>
      <w:r w:rsidRPr="002C16FE">
        <w:rPr>
          <w:i/>
          <w:sz w:val="24"/>
          <w:szCs w:val="24"/>
        </w:rPr>
        <w:t xml:space="preserve">Attakvis multipel </w:t>
      </w:r>
      <w:proofErr w:type="spellStart"/>
      <w:r w:rsidRPr="002C16FE">
        <w:rPr>
          <w:i/>
          <w:sz w:val="24"/>
          <w:szCs w:val="24"/>
        </w:rPr>
        <w:t>sclerose</w:t>
      </w:r>
      <w:proofErr w:type="spellEnd"/>
    </w:p>
    <w:p w:rsidR="000372D7" w:rsidRPr="002C16FE" w:rsidRDefault="000372D7" w:rsidP="000372D7">
      <w:pPr>
        <w:ind w:left="851"/>
        <w:rPr>
          <w:sz w:val="24"/>
          <w:szCs w:val="24"/>
        </w:rPr>
      </w:pPr>
      <w:r w:rsidRPr="002C16FE">
        <w:rPr>
          <w:sz w:val="24"/>
          <w:szCs w:val="24"/>
        </w:rPr>
        <w:t xml:space="preserve">Evidens, der støtter virkningen af en injektion med </w:t>
      </w:r>
      <w:proofErr w:type="spellStart"/>
      <w:r w:rsidRPr="002C16FE">
        <w:rPr>
          <w:sz w:val="24"/>
          <w:szCs w:val="24"/>
        </w:rPr>
        <w:t>Copaxone</w:t>
      </w:r>
      <w:proofErr w:type="spellEnd"/>
      <w:r w:rsidRPr="002C16FE">
        <w:rPr>
          <w:sz w:val="24"/>
          <w:szCs w:val="24"/>
        </w:rPr>
        <w:t xml:space="preserve"> 40 mg/ml, som injiceres subkutant tre gange om ugen, til at reducere attakhyppigheden, stammer fra et 12</w:t>
      </w:r>
      <w:r w:rsidRPr="002C16FE">
        <w:rPr>
          <w:sz w:val="24"/>
          <w:szCs w:val="24"/>
        </w:rPr>
        <w:noBreakHyphen/>
        <w:t xml:space="preserve">måneders, placebokontrolleret studie. I de pivotale kliniske studier blev attakvis multipel </w:t>
      </w:r>
      <w:proofErr w:type="spellStart"/>
      <w:r w:rsidRPr="002C16FE">
        <w:rPr>
          <w:sz w:val="24"/>
          <w:szCs w:val="24"/>
        </w:rPr>
        <w:t>sclerose</w:t>
      </w:r>
      <w:proofErr w:type="spellEnd"/>
      <w:r w:rsidRPr="002C16FE">
        <w:rPr>
          <w:sz w:val="24"/>
          <w:szCs w:val="24"/>
        </w:rPr>
        <w:t xml:space="preserve"> karakteriseret ved enten mindst ét dokumenteret attak i løbet af de sidste 12 måneder, eller mindst to dokumenterede attakker i løbet af de sidste 24 måneder, eller et </w:t>
      </w:r>
      <w:r w:rsidRPr="002C16FE">
        <w:rPr>
          <w:sz w:val="24"/>
          <w:szCs w:val="24"/>
        </w:rPr>
        <w:lastRenderedPageBreak/>
        <w:t xml:space="preserve">dokumenteret attak mellem de sidste 12 til 24 måneder, med mindst </w:t>
      </w:r>
      <w:r>
        <w:rPr>
          <w:sz w:val="24"/>
          <w:szCs w:val="24"/>
        </w:rPr>
        <w:t>en</w:t>
      </w:r>
      <w:r w:rsidRPr="002C16FE">
        <w:rPr>
          <w:sz w:val="24"/>
          <w:szCs w:val="24"/>
        </w:rPr>
        <w:t xml:space="preserve"> dokumenteret, T1 gadolinium-forstærket læsion på MR-scanning udført inden for de sidste 12 måneder.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Pr="002C16FE" w:rsidRDefault="000372D7" w:rsidP="000372D7">
      <w:pPr>
        <w:ind w:left="851"/>
        <w:rPr>
          <w:sz w:val="24"/>
          <w:szCs w:val="24"/>
        </w:rPr>
      </w:pPr>
      <w:r w:rsidRPr="002C16FE">
        <w:rPr>
          <w:sz w:val="24"/>
          <w:szCs w:val="24"/>
        </w:rPr>
        <w:t xml:space="preserve">Det primære effektmål var det totale antal bekræftede attakker. Sekundære </w:t>
      </w:r>
      <w:proofErr w:type="gramStart"/>
      <w:r w:rsidRPr="002C16FE">
        <w:rPr>
          <w:sz w:val="24"/>
          <w:szCs w:val="24"/>
        </w:rPr>
        <w:t>MRI mål</w:t>
      </w:r>
      <w:proofErr w:type="gramEnd"/>
      <w:r w:rsidRPr="002C16FE">
        <w:rPr>
          <w:sz w:val="24"/>
          <w:szCs w:val="24"/>
        </w:rPr>
        <w:t xml:space="preserve"> omfattede det kumulative antal af nye/forstørrede T2</w:t>
      </w:r>
      <w:r w:rsidRPr="002C16FE">
        <w:rPr>
          <w:sz w:val="24"/>
          <w:szCs w:val="24"/>
        </w:rPr>
        <w:noBreakHyphen/>
        <w:t xml:space="preserve">læsioner, og det kumulative antal </w:t>
      </w:r>
      <w:proofErr w:type="spellStart"/>
      <w:r w:rsidRPr="002C16FE">
        <w:rPr>
          <w:sz w:val="24"/>
          <w:szCs w:val="24"/>
        </w:rPr>
        <w:t>forstærkedelæsioner</w:t>
      </w:r>
      <w:proofErr w:type="spellEnd"/>
      <w:r w:rsidRPr="002C16FE">
        <w:rPr>
          <w:sz w:val="24"/>
          <w:szCs w:val="24"/>
        </w:rPr>
        <w:t xml:space="preserve"> på T1</w:t>
      </w:r>
      <w:r w:rsidRPr="002C16FE">
        <w:rPr>
          <w:sz w:val="24"/>
          <w:szCs w:val="24"/>
        </w:rPr>
        <w:noBreakHyphen/>
        <w:t>vægtede billeder, både målt efter 6 og 12 måneder.</w:t>
      </w:r>
    </w:p>
    <w:p w:rsidR="000372D7" w:rsidRPr="002C16FE" w:rsidRDefault="000372D7" w:rsidP="000372D7">
      <w:pPr>
        <w:ind w:left="851"/>
        <w:rPr>
          <w:sz w:val="24"/>
          <w:szCs w:val="24"/>
        </w:rPr>
      </w:pPr>
    </w:p>
    <w:p w:rsidR="000372D7" w:rsidRPr="002C16FE" w:rsidRDefault="000372D7" w:rsidP="000372D7">
      <w:pPr>
        <w:ind w:left="851"/>
        <w:rPr>
          <w:bCs/>
          <w:sz w:val="24"/>
          <w:szCs w:val="24"/>
        </w:rPr>
      </w:pPr>
      <w:r w:rsidRPr="002C16FE">
        <w:rPr>
          <w:sz w:val="24"/>
          <w:szCs w:val="24"/>
        </w:rPr>
        <w:t xml:space="preserve">I alt 1.404 patienter blev randomiseret i forholdet 2:1 til enten at få </w:t>
      </w:r>
      <w:proofErr w:type="spellStart"/>
      <w:r w:rsidRPr="002C16FE">
        <w:rPr>
          <w:sz w:val="24"/>
          <w:szCs w:val="24"/>
        </w:rPr>
        <w:t>Copaxone</w:t>
      </w:r>
      <w:proofErr w:type="spellEnd"/>
      <w:r w:rsidRPr="002C16FE">
        <w:rPr>
          <w:sz w:val="24"/>
          <w:szCs w:val="24"/>
        </w:rPr>
        <w:t xml:space="preserve"> 40 mg/ml (n=943) eller placebo (n=461).</w:t>
      </w:r>
      <w:r w:rsidRPr="002C16FE">
        <w:rPr>
          <w:bCs/>
          <w:sz w:val="24"/>
          <w:szCs w:val="24"/>
        </w:rPr>
        <w:t xml:space="preserve"> Begge behandlingsgrupper var sammenlignelige hvad angår </w:t>
      </w:r>
      <w:r w:rsidRPr="002C16FE">
        <w:rPr>
          <w:bCs/>
          <w:i/>
          <w:sz w:val="24"/>
          <w:szCs w:val="24"/>
        </w:rPr>
        <w:t>baseline</w:t>
      </w:r>
      <w:r w:rsidRPr="002C16FE">
        <w:rPr>
          <w:bCs/>
          <w:sz w:val="24"/>
          <w:szCs w:val="24"/>
        </w:rPr>
        <w:t>-demografi, MS</w:t>
      </w:r>
      <w:r w:rsidRPr="002C16FE">
        <w:rPr>
          <w:bCs/>
          <w:sz w:val="24"/>
          <w:szCs w:val="24"/>
        </w:rPr>
        <w:noBreakHyphen/>
        <w:t>sygdomskarakteristika og MR</w:t>
      </w:r>
      <w:r w:rsidRPr="002C16FE">
        <w:rPr>
          <w:bCs/>
          <w:sz w:val="24"/>
          <w:szCs w:val="24"/>
        </w:rPr>
        <w:noBreakHyphen/>
        <w:t>scanningsparametre. Patienterne havde en median på 2,0 attakker i de 2 år før screeningen.</w:t>
      </w:r>
    </w:p>
    <w:p w:rsidR="000372D7" w:rsidRPr="002C16FE" w:rsidRDefault="000372D7" w:rsidP="000372D7">
      <w:pPr>
        <w:ind w:left="851"/>
        <w:rPr>
          <w:bCs/>
          <w:sz w:val="24"/>
          <w:szCs w:val="24"/>
        </w:rPr>
      </w:pPr>
    </w:p>
    <w:p w:rsidR="000372D7" w:rsidRPr="002C16FE" w:rsidRDefault="000372D7" w:rsidP="000372D7">
      <w:pPr>
        <w:ind w:left="851"/>
        <w:rPr>
          <w:bCs/>
          <w:sz w:val="24"/>
          <w:szCs w:val="24"/>
        </w:rPr>
      </w:pPr>
      <w:r w:rsidRPr="002C16FE">
        <w:rPr>
          <w:bCs/>
          <w:sz w:val="24"/>
          <w:szCs w:val="24"/>
        </w:rPr>
        <w:t xml:space="preserve">Sammenlignet med placebo havde patienterne i behandling med </w:t>
      </w:r>
      <w:proofErr w:type="spellStart"/>
      <w:r w:rsidRPr="002C16FE">
        <w:rPr>
          <w:bCs/>
          <w:sz w:val="24"/>
          <w:szCs w:val="24"/>
        </w:rPr>
        <w:t>Copaxone</w:t>
      </w:r>
      <w:proofErr w:type="spellEnd"/>
      <w:r w:rsidRPr="002C16FE">
        <w:rPr>
          <w:bCs/>
          <w:sz w:val="24"/>
          <w:szCs w:val="24"/>
        </w:rPr>
        <w:t xml:space="preserve"> 40 mg/ml tre gange om ugen en meningsfyldt og statistisk signifikant reduktion i primære og sekundære effektmål, hvilket stemmer overens med virkningen af behandling med </w:t>
      </w:r>
      <w:proofErr w:type="spellStart"/>
      <w:r w:rsidRPr="002C16FE">
        <w:rPr>
          <w:sz w:val="24"/>
          <w:szCs w:val="24"/>
        </w:rPr>
        <w:t>Copaxone</w:t>
      </w:r>
      <w:proofErr w:type="spellEnd"/>
      <w:r w:rsidRPr="002C16FE">
        <w:rPr>
          <w:sz w:val="24"/>
          <w:szCs w:val="24"/>
        </w:rPr>
        <w:t xml:space="preserve"> 20 mg/ml administreret dagligt.</w:t>
      </w:r>
    </w:p>
    <w:p w:rsidR="000372D7" w:rsidRPr="002C16FE" w:rsidRDefault="000372D7" w:rsidP="000372D7">
      <w:pPr>
        <w:ind w:left="851"/>
        <w:rPr>
          <w:sz w:val="24"/>
          <w:szCs w:val="24"/>
        </w:rPr>
      </w:pPr>
    </w:p>
    <w:p w:rsidR="000372D7" w:rsidRPr="002C16FE" w:rsidRDefault="000372D7" w:rsidP="000372D7">
      <w:pPr>
        <w:ind w:left="851"/>
        <w:rPr>
          <w:sz w:val="24"/>
          <w:szCs w:val="24"/>
        </w:rPr>
      </w:pPr>
      <w:r w:rsidRPr="002C16FE">
        <w:rPr>
          <w:sz w:val="24"/>
          <w:szCs w:val="24"/>
        </w:rPr>
        <w:t>Den følgende tabel viser værdierne for primære og sekundære effektmål for intention-to-</w:t>
      </w:r>
      <w:proofErr w:type="spellStart"/>
      <w:r w:rsidRPr="002C16FE">
        <w:rPr>
          <w:sz w:val="24"/>
          <w:szCs w:val="24"/>
        </w:rPr>
        <w:t>treat</w:t>
      </w:r>
      <w:proofErr w:type="spellEnd"/>
      <w:r w:rsidRPr="002C16FE">
        <w:rPr>
          <w:sz w:val="24"/>
          <w:szCs w:val="24"/>
        </w:rPr>
        <w:t>-populationen:</w:t>
      </w:r>
    </w:p>
    <w:p w:rsidR="000372D7" w:rsidRPr="002C16FE" w:rsidRDefault="000372D7" w:rsidP="000372D7">
      <w:pPr>
        <w:ind w:left="851"/>
        <w:rPr>
          <w:sz w:val="24"/>
          <w:szCs w:val="24"/>
        </w:rPr>
      </w:pPr>
    </w:p>
    <w:tbl>
      <w:tblPr>
        <w:tblW w:w="5000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922"/>
        <w:gridCol w:w="1919"/>
        <w:gridCol w:w="1461"/>
        <w:gridCol w:w="1320"/>
      </w:tblGrid>
      <w:tr w:rsidR="000372D7" w:rsidTr="003B4BCE">
        <w:trPr>
          <w:trHeight w:val="274"/>
        </w:trPr>
        <w:tc>
          <w:tcPr>
            <w:tcW w:w="25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 xml:space="preserve">Mål </w:t>
            </w:r>
          </w:p>
        </w:tc>
        <w:tc>
          <w:tcPr>
            <w:tcW w:w="17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Justerede gennemsnitlige estimater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proofErr w:type="spellStart"/>
            <w:r>
              <w:rPr>
                <w:szCs w:val="22"/>
                <w:lang w:val="da-DK"/>
              </w:rPr>
              <w:t>P</w:t>
            </w:r>
            <w:r>
              <w:rPr>
                <w:szCs w:val="22"/>
                <w:lang w:val="da-DK"/>
              </w:rPr>
              <w:noBreakHyphen/>
              <w:t>værdi</w:t>
            </w:r>
            <w:proofErr w:type="spellEnd"/>
          </w:p>
        </w:tc>
      </w:tr>
      <w:tr w:rsidR="000372D7" w:rsidTr="003B4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rPr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proofErr w:type="spellStart"/>
            <w:r>
              <w:rPr>
                <w:szCs w:val="22"/>
                <w:lang w:val="da-DK"/>
              </w:rPr>
              <w:t>Copaxone</w:t>
            </w:r>
            <w:proofErr w:type="spellEnd"/>
            <w:r>
              <w:rPr>
                <w:szCs w:val="22"/>
                <w:lang w:val="da-DK"/>
              </w:rPr>
              <w:br/>
              <w:t>(40 mg/ml)</w:t>
            </w:r>
          </w:p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(N=943)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Placebo</w:t>
            </w:r>
          </w:p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(N=461)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rPr>
                <w:b/>
                <w:sz w:val="22"/>
                <w:szCs w:val="22"/>
              </w:rPr>
            </w:pPr>
          </w:p>
        </w:tc>
      </w:tr>
      <w:tr w:rsidR="000372D7" w:rsidTr="003B4BCE">
        <w:trPr>
          <w:trHeight w:val="338"/>
        </w:trPr>
        <w:tc>
          <w:tcPr>
            <w:tcW w:w="2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Årlig attak rate (ARR)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0,331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0,505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p&lt; 0,0001</w:t>
            </w:r>
          </w:p>
        </w:tc>
      </w:tr>
      <w:tr w:rsidR="000372D7" w:rsidTr="003B4BCE">
        <w:trPr>
          <w:cantSplit/>
          <w:trHeight w:val="288"/>
        </w:trPr>
        <w:tc>
          <w:tcPr>
            <w:tcW w:w="25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rPr>
                <w:szCs w:val="22"/>
                <w:lang w:val="da-DK"/>
              </w:rPr>
            </w:pPr>
            <w:r>
              <w:rPr>
                <w:rFonts w:eastAsia="Calibri"/>
                <w:szCs w:val="22"/>
                <w:lang w:val="da-DK" w:bidi="he-IL"/>
              </w:rPr>
              <w:t>Absolut risikoforskel*</w:t>
            </w:r>
            <w:r>
              <w:rPr>
                <w:rFonts w:eastAsia="Calibri"/>
                <w:szCs w:val="22"/>
                <w:lang w:val="da-DK" w:bidi="he-IL"/>
              </w:rPr>
              <w:br/>
              <w:t>(95 % konfidensintervaller)</w:t>
            </w:r>
          </w:p>
        </w:tc>
        <w:tc>
          <w:tcPr>
            <w:tcW w:w="17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noBreakHyphen/>
              <w:t>0.174</w:t>
            </w:r>
            <w:r>
              <w:rPr>
                <w:rFonts w:eastAsia="Calibri"/>
                <w:szCs w:val="22"/>
                <w:lang w:val="da-DK" w:bidi="he-IL"/>
              </w:rPr>
              <w:t xml:space="preserve"> [</w:t>
            </w:r>
            <w:r>
              <w:rPr>
                <w:rFonts w:eastAsia="Calibri"/>
                <w:szCs w:val="22"/>
                <w:lang w:val="da-DK" w:bidi="he-IL"/>
              </w:rPr>
              <w:noBreakHyphen/>
              <w:t>0,2841 til </w:t>
            </w:r>
            <w:r>
              <w:rPr>
                <w:rFonts w:eastAsia="Calibri"/>
                <w:szCs w:val="22"/>
                <w:lang w:val="da-DK" w:bidi="he-IL"/>
              </w:rPr>
              <w:noBreakHyphen/>
              <w:t>0,0639]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</w:p>
        </w:tc>
      </w:tr>
      <w:tr w:rsidR="000372D7" w:rsidTr="003B4BCE">
        <w:trPr>
          <w:cantSplit/>
          <w:trHeight w:val="288"/>
        </w:trPr>
        <w:tc>
          <w:tcPr>
            <w:tcW w:w="25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 xml:space="preserve">Kumulativt antal </w:t>
            </w:r>
            <w:r>
              <w:rPr>
                <w:szCs w:val="22"/>
                <w:lang w:val="da-DK"/>
              </w:rPr>
              <w:br w:type="page"/>
              <w:t>nye/forstørrede T2</w:t>
            </w:r>
            <w:r>
              <w:rPr>
                <w:szCs w:val="22"/>
                <w:lang w:val="da-DK"/>
              </w:rPr>
              <w:noBreakHyphen/>
              <w:t>læsioner efter 6 og 12 måneder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3,650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5,592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p&lt; 0,0001</w:t>
            </w:r>
          </w:p>
        </w:tc>
      </w:tr>
      <w:tr w:rsidR="000372D7" w:rsidTr="003B4BCE">
        <w:trPr>
          <w:cantSplit/>
          <w:trHeight w:val="288"/>
        </w:trPr>
        <w:tc>
          <w:tcPr>
            <w:tcW w:w="25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rPr>
                <w:szCs w:val="22"/>
                <w:lang w:val="da-DK"/>
              </w:rPr>
            </w:pPr>
            <w:r>
              <w:rPr>
                <w:rFonts w:eastAsia="Calibri"/>
                <w:szCs w:val="22"/>
                <w:lang w:val="da-DK" w:bidi="he-IL"/>
              </w:rPr>
              <w:t>Rateratio** (95 % konfidensintervaller)</w:t>
            </w:r>
          </w:p>
        </w:tc>
        <w:tc>
          <w:tcPr>
            <w:tcW w:w="17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rFonts w:eastAsia="Calibri"/>
                <w:szCs w:val="22"/>
                <w:lang w:val="da-DK" w:bidi="he-IL"/>
              </w:rPr>
              <w:t>0,653 [0,546 til 0,780]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</w:p>
        </w:tc>
      </w:tr>
      <w:tr w:rsidR="000372D7" w:rsidTr="003B4BCE">
        <w:trPr>
          <w:trHeight w:val="389"/>
        </w:trPr>
        <w:tc>
          <w:tcPr>
            <w:tcW w:w="2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Kumulativt antal forstærkede læsioner på T1</w:t>
            </w:r>
            <w:r>
              <w:rPr>
                <w:szCs w:val="22"/>
                <w:lang w:val="da-DK"/>
              </w:rPr>
              <w:noBreakHyphen/>
              <w:t>vægtede billeder efter 6 og 12 måneder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0,905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1,639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p&lt; 0,0001</w:t>
            </w:r>
          </w:p>
        </w:tc>
      </w:tr>
      <w:tr w:rsidR="000372D7" w:rsidTr="003B4BCE">
        <w:trPr>
          <w:trHeight w:val="389"/>
        </w:trPr>
        <w:tc>
          <w:tcPr>
            <w:tcW w:w="2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rPr>
                <w:szCs w:val="22"/>
                <w:lang w:val="da-DK"/>
              </w:rPr>
            </w:pPr>
            <w:r>
              <w:rPr>
                <w:rFonts w:eastAsia="Calibri"/>
                <w:szCs w:val="22"/>
                <w:lang w:val="da-DK" w:bidi="he-IL"/>
              </w:rPr>
              <w:t>Rate ratio** (95 % konfidensintervaller)</w:t>
            </w:r>
          </w:p>
        </w:tc>
        <w:tc>
          <w:tcPr>
            <w:tcW w:w="17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rFonts w:eastAsia="Calibri"/>
                <w:szCs w:val="22"/>
                <w:lang w:val="da-DK" w:bidi="he-IL"/>
              </w:rPr>
              <w:t>0,552 [0,436 til 0,699]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</w:p>
        </w:tc>
      </w:tr>
    </w:tbl>
    <w:p w:rsidR="000372D7" w:rsidRDefault="000372D7" w:rsidP="000372D7">
      <w:pPr>
        <w:pStyle w:val="C-TableFootnote"/>
        <w:tabs>
          <w:tab w:val="clear" w:pos="144"/>
          <w:tab w:val="left" w:pos="1304"/>
        </w:tabs>
        <w:ind w:left="0" w:firstLine="0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lang w:val="da-DK"/>
        </w:rPr>
        <w:t xml:space="preserve">*Absolut risikoforskel er defineret som forskellen mellem den justerede, gennemsnitlige ARR for </w:t>
      </w:r>
      <w:proofErr w:type="spellStart"/>
      <w:r>
        <w:rPr>
          <w:rFonts w:cs="Times New Roman"/>
          <w:sz w:val="24"/>
          <w:szCs w:val="24"/>
          <w:lang w:val="da-DK"/>
        </w:rPr>
        <w:t>glatirameracetat</w:t>
      </w:r>
      <w:proofErr w:type="spellEnd"/>
      <w:r>
        <w:rPr>
          <w:rFonts w:cs="Times New Roman"/>
          <w:sz w:val="24"/>
          <w:szCs w:val="24"/>
          <w:lang w:val="da-DK"/>
        </w:rPr>
        <w:t xml:space="preserve"> 40 mg tre gange om ugen, og den justerede, gennemsnitlige ARR for placebo.</w:t>
      </w:r>
    </w:p>
    <w:p w:rsidR="000372D7" w:rsidRDefault="000372D7" w:rsidP="000372D7">
      <w:pPr>
        <w:pStyle w:val="C-TableFootnote"/>
        <w:tabs>
          <w:tab w:val="clear" w:pos="144"/>
          <w:tab w:val="left" w:pos="1304"/>
        </w:tabs>
        <w:ind w:left="0" w:firstLine="0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lang w:val="da-DK"/>
        </w:rPr>
        <w:t>** Rateratio er defineret som forholdet mellem glatirameracetat40 mg tre gange om ugen og justerede gennemsnitsrater for placebo.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direkte sammenligning af virkning og sikkerhed for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mg/ml (administreret dagligt) og 40 mg/ml (administreret tre gange om ugen) i det samme studie er ikke blevet udført.</w:t>
      </w:r>
    </w:p>
    <w:p w:rsidR="000372D7" w:rsidRPr="009A0A4A" w:rsidRDefault="000372D7" w:rsidP="000372D7">
      <w:pPr>
        <w:ind w:left="851"/>
        <w:rPr>
          <w:bCs/>
          <w:sz w:val="24"/>
          <w:szCs w:val="24"/>
        </w:rPr>
      </w:pPr>
      <w:r w:rsidRPr="009A0A4A">
        <w:rPr>
          <w:sz w:val="24"/>
          <w:szCs w:val="24"/>
        </w:rPr>
        <w:t>Andelen af patienter med invaliditets</w:t>
      </w:r>
      <w:r w:rsidRPr="009A0A4A">
        <w:rPr>
          <w:color w:val="000000"/>
          <w:sz w:val="24"/>
          <w:szCs w:val="24"/>
        </w:rPr>
        <w:t xml:space="preserve">progression bekræftet i 3 måneder (CDP) var et </w:t>
      </w:r>
      <w:proofErr w:type="spellStart"/>
      <w:r w:rsidRPr="009A0A4A">
        <w:rPr>
          <w:color w:val="000000"/>
          <w:sz w:val="24"/>
          <w:szCs w:val="24"/>
        </w:rPr>
        <w:t>eksplorativt</w:t>
      </w:r>
      <w:proofErr w:type="spellEnd"/>
      <w:r w:rsidRPr="009A0A4A">
        <w:rPr>
          <w:color w:val="000000"/>
          <w:sz w:val="24"/>
          <w:szCs w:val="24"/>
        </w:rPr>
        <w:t xml:space="preserve"> effektmål i et 12 måneders placebo-kontrolleret studie (GALA). Henholdsvis 3 % og 3,5 % placebo- og </w:t>
      </w:r>
      <w:proofErr w:type="spellStart"/>
      <w:r w:rsidRPr="009A0A4A">
        <w:rPr>
          <w:color w:val="000000"/>
          <w:sz w:val="24"/>
          <w:szCs w:val="24"/>
        </w:rPr>
        <w:t>Copaxone</w:t>
      </w:r>
      <w:proofErr w:type="spellEnd"/>
      <w:r w:rsidRPr="009A0A4A">
        <w:rPr>
          <w:color w:val="000000"/>
          <w:sz w:val="24"/>
          <w:szCs w:val="24"/>
        </w:rPr>
        <w:t xml:space="preserve">-behandlede patienter oplevede 3 måneders CDP (Odds ratio, OR [95 % CI]: 1,182 [0,661; 2,117] (P=0,5726)). Inklusiv det </w:t>
      </w:r>
      <w:proofErr w:type="gramStart"/>
      <w:r w:rsidRPr="009A0A4A">
        <w:rPr>
          <w:color w:val="000000"/>
          <w:sz w:val="24"/>
          <w:szCs w:val="24"/>
        </w:rPr>
        <w:t>open-label extensionsstudie</w:t>
      </w:r>
      <w:proofErr w:type="gramEnd"/>
      <w:r w:rsidRPr="009A0A4A">
        <w:rPr>
          <w:color w:val="000000"/>
          <w:sz w:val="24"/>
          <w:szCs w:val="24"/>
        </w:rPr>
        <w:t xml:space="preserve"> (op til 7 år), var tiden for 6 måneders CDP et </w:t>
      </w:r>
      <w:proofErr w:type="spellStart"/>
      <w:r w:rsidRPr="009A0A4A">
        <w:rPr>
          <w:color w:val="000000"/>
          <w:sz w:val="24"/>
          <w:szCs w:val="24"/>
        </w:rPr>
        <w:t>eksplorativt</w:t>
      </w:r>
      <w:proofErr w:type="spellEnd"/>
      <w:r w:rsidRPr="009A0A4A">
        <w:rPr>
          <w:color w:val="000000"/>
          <w:sz w:val="24"/>
          <w:szCs w:val="24"/>
        </w:rPr>
        <w:t xml:space="preserve"> effektmål. </w:t>
      </w:r>
      <w:proofErr w:type="spellStart"/>
      <w:r w:rsidRPr="009A0A4A">
        <w:rPr>
          <w:color w:val="000000"/>
          <w:sz w:val="24"/>
          <w:szCs w:val="24"/>
        </w:rPr>
        <w:t>Hazard</w:t>
      </w:r>
      <w:proofErr w:type="spellEnd"/>
      <w:r w:rsidRPr="009A0A4A">
        <w:rPr>
          <w:color w:val="000000"/>
          <w:sz w:val="24"/>
          <w:szCs w:val="24"/>
        </w:rPr>
        <w:t xml:space="preserve"> ratioen (HR) [95 % CI] for intent-to-</w:t>
      </w:r>
      <w:proofErr w:type="spellStart"/>
      <w:r w:rsidRPr="009A0A4A">
        <w:rPr>
          <w:color w:val="000000"/>
          <w:sz w:val="24"/>
          <w:szCs w:val="24"/>
        </w:rPr>
        <w:t>treat</w:t>
      </w:r>
      <w:proofErr w:type="spellEnd"/>
      <w:r w:rsidRPr="009A0A4A">
        <w:rPr>
          <w:color w:val="000000"/>
          <w:sz w:val="24"/>
          <w:szCs w:val="24"/>
        </w:rPr>
        <w:t xml:space="preserve">-kohorten, der sammenlignede gruppen, som tidligt blev sat i behandling med </w:t>
      </w:r>
      <w:proofErr w:type="spellStart"/>
      <w:r w:rsidRPr="009A0A4A">
        <w:rPr>
          <w:color w:val="000000"/>
          <w:sz w:val="24"/>
          <w:szCs w:val="24"/>
        </w:rPr>
        <w:t>Copaxone</w:t>
      </w:r>
      <w:proofErr w:type="spellEnd"/>
      <w:r w:rsidRPr="009A0A4A">
        <w:rPr>
          <w:color w:val="000000"/>
          <w:sz w:val="24"/>
          <w:szCs w:val="24"/>
        </w:rPr>
        <w:t xml:space="preserve">, med gruppen, som blev sat i behandling senere, var 0,892 [0,688; 1,157] (P=0,3898). </w:t>
      </w:r>
    </w:p>
    <w:p w:rsidR="000372D7" w:rsidRPr="009A0A4A" w:rsidRDefault="000372D7" w:rsidP="000372D7">
      <w:pPr>
        <w:ind w:left="851"/>
        <w:rPr>
          <w:color w:val="000000"/>
          <w:sz w:val="24"/>
          <w:szCs w:val="24"/>
        </w:rPr>
      </w:pPr>
    </w:p>
    <w:p w:rsidR="000372D7" w:rsidRPr="009A0A4A" w:rsidRDefault="000372D7" w:rsidP="000372D7">
      <w:pPr>
        <w:ind w:left="851"/>
        <w:rPr>
          <w:sz w:val="24"/>
          <w:szCs w:val="24"/>
        </w:rPr>
      </w:pPr>
      <w:r w:rsidRPr="009A0A4A">
        <w:rPr>
          <w:color w:val="000000"/>
          <w:sz w:val="24"/>
          <w:szCs w:val="24"/>
        </w:rPr>
        <w:t xml:space="preserve">Der er i øjeblikket ingen evidens for anvendelse af </w:t>
      </w:r>
      <w:proofErr w:type="spellStart"/>
      <w:r w:rsidRPr="009A0A4A">
        <w:rPr>
          <w:color w:val="000000"/>
          <w:sz w:val="24"/>
          <w:szCs w:val="24"/>
        </w:rPr>
        <w:t>Copaxone</w:t>
      </w:r>
      <w:proofErr w:type="spellEnd"/>
      <w:r w:rsidRPr="009A0A4A">
        <w:rPr>
          <w:color w:val="000000"/>
          <w:sz w:val="24"/>
          <w:szCs w:val="24"/>
        </w:rPr>
        <w:t xml:space="preserve"> hos patienter med primær eller progressiv sekundær sygdom.</w:t>
      </w:r>
    </w:p>
    <w:p w:rsidR="000372D7" w:rsidRPr="0027460C" w:rsidRDefault="000372D7" w:rsidP="000372D7">
      <w:pPr>
        <w:ind w:left="851"/>
        <w:rPr>
          <w:sz w:val="24"/>
          <w:szCs w:val="24"/>
        </w:rPr>
      </w:pPr>
    </w:p>
    <w:p w:rsidR="000372D7" w:rsidRPr="003B2D1A" w:rsidRDefault="000372D7" w:rsidP="000372D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5.2</w:t>
      </w:r>
      <w:r w:rsidRPr="003B2D1A">
        <w:rPr>
          <w:b/>
          <w:sz w:val="24"/>
          <w:szCs w:val="24"/>
        </w:rPr>
        <w:tab/>
      </w:r>
      <w:proofErr w:type="spellStart"/>
      <w:r w:rsidRPr="003B2D1A">
        <w:rPr>
          <w:b/>
          <w:sz w:val="24"/>
          <w:szCs w:val="24"/>
        </w:rPr>
        <w:t>Farmakokinetiske</w:t>
      </w:r>
      <w:proofErr w:type="spellEnd"/>
      <w:r w:rsidRPr="003B2D1A">
        <w:rPr>
          <w:b/>
          <w:sz w:val="24"/>
          <w:szCs w:val="24"/>
        </w:rPr>
        <w:t xml:space="preserve"> egenskaber</w:t>
      </w:r>
    </w:p>
    <w:p w:rsidR="000372D7" w:rsidRPr="003B2D1A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proofErr w:type="spellStart"/>
      <w:r w:rsidRPr="003B2D1A">
        <w:rPr>
          <w:color w:val="000000"/>
          <w:sz w:val="24"/>
          <w:szCs w:val="24"/>
        </w:rPr>
        <w:t>Farmakokinetiske</w:t>
      </w:r>
      <w:proofErr w:type="spellEnd"/>
      <w:r w:rsidRPr="003B2D1A">
        <w:rPr>
          <w:color w:val="000000"/>
          <w:sz w:val="24"/>
          <w:szCs w:val="24"/>
        </w:rPr>
        <w:t xml:space="preserve"> forsøg er ikke udført på patienter. In </w:t>
      </w:r>
      <w:proofErr w:type="spellStart"/>
      <w:r w:rsidRPr="003B2D1A">
        <w:rPr>
          <w:color w:val="000000"/>
          <w:sz w:val="24"/>
          <w:szCs w:val="24"/>
        </w:rPr>
        <w:t>vitro</w:t>
      </w:r>
      <w:proofErr w:type="spellEnd"/>
      <w:r w:rsidRPr="003B2D1A">
        <w:rPr>
          <w:color w:val="000000"/>
          <w:sz w:val="24"/>
          <w:szCs w:val="24"/>
        </w:rPr>
        <w:t xml:space="preserve"> data og begrænsede data fra raske frivillige antyder, at efter subkutan administration af </w:t>
      </w:r>
      <w:proofErr w:type="spellStart"/>
      <w:r w:rsidRPr="003B2D1A">
        <w:rPr>
          <w:color w:val="000000"/>
          <w:sz w:val="24"/>
          <w:szCs w:val="24"/>
        </w:rPr>
        <w:t>glatirameracetat</w:t>
      </w:r>
      <w:proofErr w:type="spellEnd"/>
      <w:r w:rsidRPr="003B2D1A">
        <w:rPr>
          <w:color w:val="000000"/>
          <w:sz w:val="24"/>
          <w:szCs w:val="24"/>
        </w:rPr>
        <w:t xml:space="preserve"> bliver den aktive substans hurtigt absorberet og en stor del af dosis bliver hurtigt nedbrudt til mindre fragmenter allerede i det subkutane væv.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5.3</w:t>
      </w:r>
      <w:r w:rsidRPr="003B2D1A">
        <w:rPr>
          <w:b/>
          <w:sz w:val="24"/>
          <w:szCs w:val="24"/>
        </w:rPr>
        <w:tab/>
      </w:r>
      <w:r w:rsidR="007106EF">
        <w:rPr>
          <w:b/>
          <w:sz w:val="24"/>
          <w:szCs w:val="24"/>
        </w:rPr>
        <w:t>Non-</w:t>
      </w:r>
      <w:r w:rsidRPr="003B2D1A">
        <w:rPr>
          <w:b/>
          <w:sz w:val="24"/>
          <w:szCs w:val="24"/>
        </w:rPr>
        <w:t>kliniske sikkerhedsdata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Non-kliniske data baseret på konventionelle sikkerhedsfarmakologiske studier, gentagen dosistoksicitet, genotoksicitet, </w:t>
      </w:r>
      <w:proofErr w:type="spellStart"/>
      <w:r>
        <w:rPr>
          <w:color w:val="000000"/>
          <w:sz w:val="24"/>
          <w:szCs w:val="24"/>
        </w:rPr>
        <w:t>karcinogenicitet</w:t>
      </w:r>
      <w:proofErr w:type="spellEnd"/>
      <w:r>
        <w:rPr>
          <w:color w:val="000000"/>
          <w:sz w:val="24"/>
          <w:szCs w:val="24"/>
        </w:rPr>
        <w:t xml:space="preserve"> eller reproduktionstoksicitet, viser ingen speciel risiko for mennesker ud over den information, der er inkluderet i andre dele af produktresuméet (</w:t>
      </w:r>
      <w:proofErr w:type="spellStart"/>
      <w:r>
        <w:rPr>
          <w:color w:val="000000"/>
          <w:sz w:val="24"/>
          <w:szCs w:val="24"/>
        </w:rPr>
        <w:t>SmPC</w:t>
      </w:r>
      <w:proofErr w:type="spellEnd"/>
      <w:r>
        <w:rPr>
          <w:color w:val="000000"/>
          <w:sz w:val="24"/>
          <w:szCs w:val="24"/>
        </w:rPr>
        <w:t xml:space="preserve">). På grund af mangel på humane </w:t>
      </w:r>
      <w:proofErr w:type="spellStart"/>
      <w:r>
        <w:rPr>
          <w:color w:val="000000"/>
          <w:sz w:val="24"/>
          <w:szCs w:val="24"/>
        </w:rPr>
        <w:t>farmakokinetiske</w:t>
      </w:r>
      <w:proofErr w:type="spellEnd"/>
      <w:r>
        <w:rPr>
          <w:color w:val="000000"/>
          <w:sz w:val="24"/>
          <w:szCs w:val="24"/>
        </w:rPr>
        <w:t xml:space="preserve"> data kan grænserne for eksponering mellem mennesker og dyr ikke fastslås.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pStyle w:val="Sidehoved"/>
        <w:tabs>
          <w:tab w:val="left" w:pos="851"/>
        </w:tabs>
        <w:suppressAutoHyphens/>
        <w:ind w:left="851" w:hanging="851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Hos et lille antal rotter og aber behandlet i minimum 6 måneder blev der rapporteret om aflejring af immunkomplekser i </w:t>
      </w:r>
      <w:proofErr w:type="spellStart"/>
      <w:r>
        <w:rPr>
          <w:color w:val="000000"/>
          <w:szCs w:val="24"/>
        </w:rPr>
        <w:t>glomeruli</w:t>
      </w:r>
      <w:proofErr w:type="spellEnd"/>
      <w:r>
        <w:rPr>
          <w:color w:val="000000"/>
          <w:szCs w:val="24"/>
        </w:rPr>
        <w:t xml:space="preserve"> i nyrerne. I et 2 års rotteforsøg blev der ikke set tegn på aflejring af immunkomplekser i </w:t>
      </w:r>
      <w:proofErr w:type="spellStart"/>
      <w:r>
        <w:rPr>
          <w:color w:val="000000"/>
          <w:szCs w:val="24"/>
        </w:rPr>
        <w:t>nyreglomeruli</w:t>
      </w:r>
      <w:proofErr w:type="spellEnd"/>
      <w:r>
        <w:rPr>
          <w:color w:val="000000"/>
          <w:szCs w:val="24"/>
        </w:rPr>
        <w:t>.</w:t>
      </w:r>
    </w:p>
    <w:p w:rsidR="000372D7" w:rsidRDefault="000372D7" w:rsidP="000372D7">
      <w:pPr>
        <w:pStyle w:val="Sidehoved"/>
        <w:tabs>
          <w:tab w:val="left" w:pos="851"/>
        </w:tabs>
        <w:suppressAutoHyphens/>
        <w:ind w:left="851" w:hanging="851"/>
        <w:rPr>
          <w:color w:val="000000"/>
          <w:szCs w:val="24"/>
        </w:rPr>
      </w:pPr>
    </w:p>
    <w:p w:rsidR="000372D7" w:rsidRDefault="000372D7" w:rsidP="000372D7">
      <w:pPr>
        <w:pStyle w:val="Sidehoved"/>
        <w:tabs>
          <w:tab w:val="left" w:pos="851"/>
        </w:tabs>
        <w:suppressAutoHyphens/>
        <w:ind w:left="851" w:hanging="851"/>
        <w:rPr>
          <w:color w:val="000000"/>
          <w:szCs w:val="24"/>
        </w:rPr>
      </w:pPr>
      <w:r>
        <w:rPr>
          <w:color w:val="000000"/>
          <w:szCs w:val="24"/>
        </w:rPr>
        <w:tab/>
        <w:t>Anafylaksi efter administration til sensibiliserede dyr (marsvin eller mus) er rapporteret. Relevansen af disse data i forhold til mennesker er ukendt.</w:t>
      </w:r>
    </w:p>
    <w:p w:rsidR="000372D7" w:rsidRDefault="000372D7" w:rsidP="000372D7">
      <w:pPr>
        <w:pStyle w:val="Sidehoved"/>
        <w:tabs>
          <w:tab w:val="left" w:pos="851"/>
        </w:tabs>
        <w:suppressAutoHyphens/>
        <w:ind w:left="851" w:hanging="851"/>
        <w:rPr>
          <w:color w:val="000000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Toksicitet på injektionsstedet var almindeligt ved gentagen administration hos dyr.</w:t>
      </w:r>
    </w:p>
    <w:p w:rsidR="000372D7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72D7" w:rsidRPr="00A94F8F" w:rsidRDefault="000372D7" w:rsidP="00D628A7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color w:val="000000"/>
        </w:rPr>
        <w:tab/>
      </w:r>
      <w:r w:rsidRPr="00A94F8F">
        <w:rPr>
          <w:color w:val="000000"/>
          <w:sz w:val="24"/>
          <w:szCs w:val="24"/>
        </w:rPr>
        <w:t>Ved subkutane doser ≥6 mg/kg/dag (2,83 gange den maksimalt anbefalede daglige dosis til voksne mennesker på 60 kg baseret på mg/m</w:t>
      </w:r>
      <w:r w:rsidRPr="00A94F8F">
        <w:rPr>
          <w:color w:val="000000"/>
          <w:sz w:val="24"/>
          <w:szCs w:val="24"/>
          <w:vertAlign w:val="superscript"/>
        </w:rPr>
        <w:t>2</w:t>
      </w:r>
      <w:r w:rsidRPr="00A94F8F">
        <w:rPr>
          <w:color w:val="000000"/>
          <w:sz w:val="24"/>
          <w:szCs w:val="24"/>
        </w:rPr>
        <w:t>) blev der observeret en lille men statistisk signifikant reduktion i vægtøgning hos afkom i kuld hos rotter behandlet under graviditet og amning i forhold til kontrolgruppen. Der blev ikke observeret andre signifikante effekter på væksten og udviklingen hos afkommet.</w:t>
      </w:r>
    </w:p>
    <w:p w:rsidR="000372D7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94F8F" w:rsidRPr="003B2D1A" w:rsidRDefault="00A94F8F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</w:t>
      </w:r>
      <w:r w:rsidRPr="003B2D1A">
        <w:rPr>
          <w:b/>
          <w:sz w:val="24"/>
          <w:szCs w:val="24"/>
        </w:rPr>
        <w:tab/>
        <w:t>FARMACEUTISKE OPLYSNINGER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6.1</w:t>
      </w:r>
      <w:r w:rsidRPr="003B2D1A">
        <w:rPr>
          <w:b/>
          <w:sz w:val="24"/>
          <w:szCs w:val="24"/>
        </w:rPr>
        <w:tab/>
        <w:t>Hjælpestoffer</w:t>
      </w:r>
    </w:p>
    <w:p w:rsidR="000372D7" w:rsidRPr="003B2D1A" w:rsidRDefault="000372D7" w:rsidP="000372D7">
      <w:pPr>
        <w:pStyle w:val="Sidehoved"/>
        <w:tabs>
          <w:tab w:val="left" w:pos="851"/>
        </w:tabs>
        <w:suppressAutoHyphens/>
        <w:ind w:left="851" w:hanging="851"/>
        <w:rPr>
          <w:color w:val="000000"/>
          <w:szCs w:val="24"/>
        </w:rPr>
      </w:pPr>
      <w:r w:rsidRPr="003B2D1A">
        <w:rPr>
          <w:szCs w:val="24"/>
        </w:rPr>
        <w:tab/>
      </w:r>
      <w:proofErr w:type="spellStart"/>
      <w:r>
        <w:rPr>
          <w:color w:val="000000"/>
          <w:szCs w:val="24"/>
        </w:rPr>
        <w:t>Mannitol</w:t>
      </w:r>
      <w:proofErr w:type="spellEnd"/>
    </w:p>
    <w:p w:rsidR="000372D7" w:rsidRPr="003B2D1A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Vand til injektionsvæsker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6.2</w:t>
      </w:r>
      <w:r w:rsidRPr="003B2D1A">
        <w:rPr>
          <w:b/>
          <w:sz w:val="24"/>
          <w:szCs w:val="24"/>
        </w:rPr>
        <w:tab/>
        <w:t>Uforligeligheder</w:t>
      </w:r>
    </w:p>
    <w:p w:rsidR="000372D7" w:rsidRPr="003B2D1A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 xml:space="preserve">På grund af manglende forsøg vedrørende uforligelighed, må </w:t>
      </w:r>
      <w:proofErr w:type="spellStart"/>
      <w:r w:rsidRPr="003B2D1A">
        <w:rPr>
          <w:color w:val="000000"/>
          <w:sz w:val="24"/>
          <w:szCs w:val="24"/>
        </w:rPr>
        <w:t>Copaxone</w:t>
      </w:r>
      <w:proofErr w:type="spellEnd"/>
      <w:r w:rsidRPr="003B2D1A">
        <w:rPr>
          <w:color w:val="000000"/>
          <w:sz w:val="24"/>
          <w:szCs w:val="24"/>
        </w:rPr>
        <w:t xml:space="preserve"> må ikke blandes med andre lægemidler.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C414FB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6.3</w:t>
      </w:r>
      <w:r w:rsidRPr="003B2D1A">
        <w:rPr>
          <w:b/>
          <w:sz w:val="24"/>
          <w:szCs w:val="24"/>
        </w:rPr>
        <w:tab/>
        <w:t>Opbevaringstid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 w:rsidR="00613574">
        <w:rPr>
          <w:sz w:val="24"/>
          <w:szCs w:val="24"/>
        </w:rPr>
        <w:t>3</w:t>
      </w:r>
      <w:r w:rsidRPr="003B2D1A">
        <w:rPr>
          <w:sz w:val="24"/>
          <w:szCs w:val="24"/>
        </w:rPr>
        <w:t xml:space="preserve"> år.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6.4</w:t>
      </w:r>
      <w:r w:rsidRPr="003B2D1A">
        <w:rPr>
          <w:b/>
          <w:sz w:val="24"/>
          <w:szCs w:val="24"/>
        </w:rPr>
        <w:tab/>
        <w:t>Særlige opbevaringsforhold</w:t>
      </w:r>
    </w:p>
    <w:p w:rsidR="000372D7" w:rsidRPr="003B2D1A" w:rsidRDefault="000372D7" w:rsidP="000372D7">
      <w:pPr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>Opbevar de fyldte injektionssprøjter i yderkarton for at beskytte mod lys.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 w:rsidRPr="003B2D1A">
        <w:rPr>
          <w:color w:val="000000"/>
          <w:sz w:val="24"/>
          <w:szCs w:val="24"/>
        </w:rPr>
        <w:tab/>
        <w:t>Opbevares i køleskab (2</w:t>
      </w:r>
      <w:r>
        <w:rPr>
          <w:color w:val="000000"/>
          <w:sz w:val="24"/>
          <w:szCs w:val="24"/>
        </w:rPr>
        <w:t xml:space="preserve"> ℃</w:t>
      </w:r>
      <w:r w:rsidRPr="003B2D1A">
        <w:rPr>
          <w:color w:val="000000"/>
          <w:sz w:val="24"/>
          <w:szCs w:val="24"/>
        </w:rPr>
        <w:t>-8</w:t>
      </w:r>
      <w:r>
        <w:rPr>
          <w:color w:val="000000"/>
          <w:sz w:val="24"/>
          <w:szCs w:val="24"/>
        </w:rPr>
        <w:t xml:space="preserve"> ℃</w:t>
      </w:r>
      <w:r w:rsidRPr="003B2D1A">
        <w:rPr>
          <w:color w:val="000000"/>
          <w:sz w:val="24"/>
          <w:szCs w:val="24"/>
        </w:rPr>
        <w:t>).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 w:rsidRPr="003B2D1A">
        <w:rPr>
          <w:color w:val="000000"/>
          <w:sz w:val="24"/>
          <w:szCs w:val="24"/>
        </w:rPr>
        <w:tab/>
        <w:t>Må ikke nedfryses.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 w:rsidRPr="003B2D1A">
        <w:rPr>
          <w:color w:val="000000"/>
          <w:sz w:val="24"/>
          <w:szCs w:val="24"/>
        </w:rPr>
        <w:tab/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Hvis de fyldte injektionssprøjter ikke kan opbevares i køleskab, kan de opbevares ved 15 ℃-25 ℃ en gang i op til 1 måned.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 xml:space="preserve">Hvis de </w:t>
      </w:r>
      <w:proofErr w:type="spellStart"/>
      <w:r w:rsidRPr="003B2D1A">
        <w:rPr>
          <w:color w:val="000000"/>
          <w:sz w:val="24"/>
          <w:szCs w:val="24"/>
        </w:rPr>
        <w:t>Copaxone</w:t>
      </w:r>
      <w:proofErr w:type="spellEnd"/>
      <w:r w:rsidRPr="003B2D1A">
        <w:rPr>
          <w:color w:val="000000"/>
          <w:sz w:val="24"/>
          <w:szCs w:val="24"/>
        </w:rPr>
        <w:t xml:space="preserve"> fyldte injektionssprøjter stadig ikke er brugt og stadig er i den originale pakning efter denne periode på en måned, skal de igen anbringes i køleskab (2</w:t>
      </w:r>
      <w:r>
        <w:rPr>
          <w:color w:val="000000"/>
          <w:sz w:val="24"/>
          <w:szCs w:val="24"/>
        </w:rPr>
        <w:t xml:space="preserve"> ℃</w:t>
      </w:r>
      <w:r w:rsidRPr="003B2D1A">
        <w:rPr>
          <w:color w:val="000000"/>
          <w:sz w:val="24"/>
          <w:szCs w:val="24"/>
        </w:rPr>
        <w:t xml:space="preserve"> til 8</w:t>
      </w:r>
      <w:r>
        <w:rPr>
          <w:color w:val="000000"/>
          <w:sz w:val="24"/>
          <w:szCs w:val="24"/>
        </w:rPr>
        <w:t xml:space="preserve"> ℃</w:t>
      </w:r>
      <w:r w:rsidRPr="003B2D1A">
        <w:rPr>
          <w:color w:val="000000"/>
          <w:sz w:val="24"/>
          <w:szCs w:val="24"/>
        </w:rPr>
        <w:t>).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6.5</w:t>
      </w:r>
      <w:r w:rsidRPr="003B2D1A">
        <w:rPr>
          <w:b/>
          <w:sz w:val="24"/>
          <w:szCs w:val="24"/>
        </w:rPr>
        <w:tab/>
        <w:t>Emballagetype og pakningsstørrelser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  <w:r w:rsidRPr="003B2D1A">
        <w:rPr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 xml:space="preserve">En fyldt injektionssprøjte med </w:t>
      </w:r>
      <w:proofErr w:type="spellStart"/>
      <w:r w:rsidRPr="003B2D1A">
        <w:rPr>
          <w:color w:val="000000"/>
          <w:sz w:val="24"/>
          <w:szCs w:val="24"/>
        </w:rPr>
        <w:t>Copaxone</w:t>
      </w:r>
      <w:proofErr w:type="spellEnd"/>
      <w:r w:rsidRPr="003B2D1A">
        <w:rPr>
          <w:color w:val="000000"/>
          <w:sz w:val="24"/>
          <w:szCs w:val="24"/>
        </w:rPr>
        <w:t xml:space="preserve"> 40 mg/ml injektionsvæske, opløsning består af en 1 ml injektionssprøjte af farveløs Type I glas med fastgjort nål, et blåt pumpestempel af </w:t>
      </w:r>
      <w:r>
        <w:rPr>
          <w:color w:val="000000"/>
          <w:sz w:val="24"/>
          <w:szCs w:val="24"/>
        </w:rPr>
        <w:t>polypropylen (eller polystyren)</w:t>
      </w:r>
      <w:r w:rsidRPr="003B2D1A">
        <w:rPr>
          <w:color w:val="000000"/>
          <w:sz w:val="24"/>
          <w:szCs w:val="24"/>
        </w:rPr>
        <w:t>, en stempel-stopper af gummi og en kanylehætte.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suppressAutoHyphens/>
        <w:ind w:left="851"/>
        <w:rPr>
          <w:color w:val="000000"/>
          <w:sz w:val="24"/>
          <w:szCs w:val="24"/>
          <w:lang w:eastAsia="da-DK"/>
        </w:rPr>
      </w:pPr>
      <w:r>
        <w:rPr>
          <w:color w:val="000000"/>
          <w:sz w:val="24"/>
          <w:szCs w:val="24"/>
        </w:rPr>
        <w:t>Hver fyldt sprøjte er pakket separat i en PVC-blisterpakning.</w:t>
      </w:r>
    </w:p>
    <w:p w:rsidR="000372D7" w:rsidRPr="003B2D1A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</w:p>
    <w:p w:rsidR="000372D7" w:rsidRPr="002B6960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 w:rsidRPr="002B6960">
        <w:rPr>
          <w:color w:val="000000"/>
          <w:sz w:val="24"/>
          <w:szCs w:val="24"/>
          <w:u w:val="single"/>
        </w:rPr>
        <w:t>Pakningsstørrelser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>3</w:t>
      </w:r>
      <w:r w:rsidR="00814F11">
        <w:rPr>
          <w:color w:val="000000"/>
          <w:sz w:val="24"/>
          <w:szCs w:val="24"/>
        </w:rPr>
        <w:t xml:space="preserve">, </w:t>
      </w:r>
      <w:r w:rsidRPr="003B2D1A">
        <w:rPr>
          <w:color w:val="000000"/>
          <w:sz w:val="24"/>
          <w:szCs w:val="24"/>
        </w:rPr>
        <w:t>12</w:t>
      </w:r>
      <w:r w:rsidR="00814F11">
        <w:rPr>
          <w:color w:val="000000"/>
          <w:sz w:val="24"/>
          <w:szCs w:val="24"/>
        </w:rPr>
        <w:t xml:space="preserve"> eller 36</w:t>
      </w:r>
      <w:r w:rsidRPr="003B2D1A">
        <w:rPr>
          <w:color w:val="000000"/>
          <w:sz w:val="24"/>
          <w:szCs w:val="24"/>
        </w:rPr>
        <w:t xml:space="preserve"> fyldte injektionssprøjter med 1 ml injektionsvæske</w:t>
      </w:r>
      <w:r>
        <w:rPr>
          <w:color w:val="000000"/>
          <w:sz w:val="24"/>
          <w:szCs w:val="24"/>
        </w:rPr>
        <w:t>, opløsning.</w:t>
      </w:r>
    </w:p>
    <w:p w:rsidR="000372D7" w:rsidRPr="003B2D1A" w:rsidRDefault="000372D7" w:rsidP="000372D7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3B2D1A">
        <w:rPr>
          <w:color w:val="000000"/>
          <w:sz w:val="24"/>
          <w:szCs w:val="24"/>
        </w:rPr>
        <w:t xml:space="preserve"> multipakning </w:t>
      </w:r>
      <w:r>
        <w:rPr>
          <w:color w:val="000000"/>
          <w:sz w:val="24"/>
          <w:szCs w:val="24"/>
        </w:rPr>
        <w:t>indeholdende</w:t>
      </w:r>
      <w:r w:rsidRPr="003B2D1A">
        <w:rPr>
          <w:color w:val="000000"/>
          <w:sz w:val="24"/>
          <w:szCs w:val="24"/>
        </w:rPr>
        <w:t xml:space="preserve"> 36 (3 pakker med 12 stk.) fyldte injektionssprøjter med 1 ml injektionsvæske, opløsning.</w:t>
      </w:r>
    </w:p>
    <w:p w:rsidR="000372D7" w:rsidRPr="003B2D1A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>Ikke alle pakningsstørrelser er nødvendigvis markedsført.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6.6</w:t>
      </w:r>
      <w:r w:rsidRPr="003B2D1A">
        <w:rPr>
          <w:b/>
          <w:sz w:val="24"/>
          <w:szCs w:val="24"/>
        </w:rPr>
        <w:tab/>
        <w:t xml:space="preserve">Regler for </w:t>
      </w:r>
      <w:r w:rsidR="007106EF">
        <w:rPr>
          <w:b/>
          <w:sz w:val="24"/>
          <w:szCs w:val="24"/>
        </w:rPr>
        <w:t>bortskaffelse</w:t>
      </w:r>
      <w:r w:rsidRPr="003B2D1A">
        <w:rPr>
          <w:b/>
          <w:sz w:val="24"/>
          <w:szCs w:val="24"/>
        </w:rPr>
        <w:t xml:space="preserve"> og anden håndtering</w:t>
      </w:r>
    </w:p>
    <w:p w:rsidR="000372D7" w:rsidRDefault="000372D7" w:rsidP="000372D7">
      <w:pPr>
        <w:ind w:left="851" w:hanging="851"/>
        <w:rPr>
          <w:color w:val="000000"/>
          <w:sz w:val="24"/>
          <w:szCs w:val="24"/>
        </w:rPr>
      </w:pPr>
      <w:r w:rsidRPr="003B2D1A">
        <w:rPr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>Kun til engangsbrug.</w:t>
      </w:r>
    </w:p>
    <w:p w:rsidR="000372D7" w:rsidRPr="003B2D1A" w:rsidRDefault="000372D7" w:rsidP="000372D7">
      <w:pPr>
        <w:ind w:left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>Ikke anvendte lægemidler samt affald heraf bør destrueres i henhold til lokale retningslinjer.</w:t>
      </w:r>
    </w:p>
    <w:p w:rsidR="000372D7" w:rsidRPr="003B2D1A" w:rsidRDefault="000372D7" w:rsidP="000372D7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0372D7" w:rsidRPr="003B2D1A" w:rsidRDefault="000372D7" w:rsidP="000372D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7.</w:t>
      </w:r>
      <w:r w:rsidRPr="003B2D1A">
        <w:rPr>
          <w:b/>
          <w:sz w:val="24"/>
          <w:szCs w:val="24"/>
        </w:rPr>
        <w:tab/>
        <w:t>INDEHAVER AF MARKEDSFØRINGSTILLADELSEN</w:t>
      </w:r>
    </w:p>
    <w:p w:rsidR="000372D7" w:rsidRPr="00D372EF" w:rsidRDefault="000372D7" w:rsidP="000372D7">
      <w:pPr>
        <w:tabs>
          <w:tab w:val="left" w:pos="851"/>
        </w:tabs>
        <w:ind w:left="851"/>
        <w:jc w:val="both"/>
        <w:rPr>
          <w:color w:val="000000"/>
          <w:sz w:val="24"/>
          <w:szCs w:val="24"/>
        </w:rPr>
      </w:pPr>
      <w:r w:rsidRPr="00D372EF">
        <w:rPr>
          <w:color w:val="000000"/>
          <w:sz w:val="24"/>
          <w:szCs w:val="24"/>
        </w:rPr>
        <w:t>TEVA GmbH</w:t>
      </w:r>
    </w:p>
    <w:p w:rsidR="000372D7" w:rsidRPr="00CC53E3" w:rsidRDefault="000372D7" w:rsidP="000372D7">
      <w:pPr>
        <w:tabs>
          <w:tab w:val="left" w:pos="851"/>
        </w:tabs>
        <w:ind w:left="851"/>
        <w:jc w:val="both"/>
        <w:rPr>
          <w:color w:val="000000"/>
          <w:sz w:val="24"/>
          <w:szCs w:val="24"/>
        </w:rPr>
      </w:pPr>
      <w:r w:rsidRPr="00D372EF">
        <w:rPr>
          <w:color w:val="000000"/>
          <w:sz w:val="24"/>
          <w:szCs w:val="24"/>
        </w:rPr>
        <w:t>Graf-</w:t>
      </w:r>
      <w:proofErr w:type="spellStart"/>
      <w:r w:rsidRPr="00D372EF">
        <w:rPr>
          <w:color w:val="000000"/>
          <w:sz w:val="24"/>
          <w:szCs w:val="24"/>
        </w:rPr>
        <w:t>Arco</w:t>
      </w:r>
      <w:proofErr w:type="spellEnd"/>
      <w:r w:rsidRPr="00D372EF">
        <w:rPr>
          <w:color w:val="000000"/>
          <w:sz w:val="24"/>
          <w:szCs w:val="24"/>
        </w:rPr>
        <w:t xml:space="preserve">-Str. </w:t>
      </w:r>
      <w:r w:rsidRPr="00CC53E3">
        <w:rPr>
          <w:color w:val="000000"/>
          <w:sz w:val="24"/>
          <w:szCs w:val="24"/>
        </w:rPr>
        <w:t>3</w:t>
      </w:r>
    </w:p>
    <w:p w:rsidR="000372D7" w:rsidRPr="00CC53E3" w:rsidRDefault="000372D7" w:rsidP="000372D7">
      <w:pPr>
        <w:tabs>
          <w:tab w:val="left" w:pos="851"/>
        </w:tabs>
        <w:ind w:left="851"/>
        <w:jc w:val="both"/>
        <w:rPr>
          <w:color w:val="000000"/>
          <w:sz w:val="24"/>
          <w:szCs w:val="24"/>
        </w:rPr>
      </w:pPr>
      <w:r w:rsidRPr="00CC53E3">
        <w:rPr>
          <w:color w:val="000000"/>
          <w:sz w:val="24"/>
          <w:szCs w:val="24"/>
        </w:rPr>
        <w:t>89079 Ulm</w:t>
      </w:r>
    </w:p>
    <w:p w:rsidR="000372D7" w:rsidRDefault="000372D7" w:rsidP="000372D7">
      <w:pPr>
        <w:tabs>
          <w:tab w:val="left" w:pos="851"/>
        </w:tabs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Tyskland</w:t>
      </w:r>
    </w:p>
    <w:p w:rsidR="000372D7" w:rsidRPr="003B2D1A" w:rsidRDefault="000372D7" w:rsidP="000372D7">
      <w:pPr>
        <w:tabs>
          <w:tab w:val="left" w:pos="851"/>
        </w:tabs>
        <w:ind w:left="851"/>
        <w:jc w:val="both"/>
        <w:rPr>
          <w:color w:val="000000"/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/>
        <w:jc w:val="both"/>
        <w:rPr>
          <w:b/>
          <w:color w:val="000000"/>
          <w:sz w:val="24"/>
          <w:szCs w:val="24"/>
        </w:rPr>
      </w:pPr>
      <w:r w:rsidRPr="003B2D1A">
        <w:rPr>
          <w:b/>
          <w:color w:val="000000"/>
          <w:sz w:val="24"/>
          <w:szCs w:val="24"/>
        </w:rPr>
        <w:t>Repræsentant</w:t>
      </w:r>
    </w:p>
    <w:p w:rsidR="000372D7" w:rsidRPr="001856B2" w:rsidRDefault="000372D7" w:rsidP="000372D7">
      <w:pPr>
        <w:tabs>
          <w:tab w:val="left" w:pos="851"/>
        </w:tabs>
        <w:ind w:left="851"/>
        <w:jc w:val="both"/>
        <w:rPr>
          <w:sz w:val="24"/>
          <w:szCs w:val="24"/>
        </w:rPr>
      </w:pPr>
      <w:proofErr w:type="spellStart"/>
      <w:r w:rsidRPr="001856B2">
        <w:rPr>
          <w:sz w:val="24"/>
          <w:szCs w:val="24"/>
        </w:rPr>
        <w:t>Teva</w:t>
      </w:r>
      <w:proofErr w:type="spellEnd"/>
      <w:r w:rsidRPr="001856B2">
        <w:rPr>
          <w:sz w:val="24"/>
          <w:szCs w:val="24"/>
        </w:rPr>
        <w:t xml:space="preserve"> Denmark A/S</w:t>
      </w:r>
    </w:p>
    <w:p w:rsidR="000372D7" w:rsidRPr="001856B2" w:rsidRDefault="000372D7" w:rsidP="000372D7">
      <w:pPr>
        <w:tabs>
          <w:tab w:val="left" w:pos="851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Vandtårnsvej 83a</w:t>
      </w:r>
    </w:p>
    <w:p w:rsidR="000372D7" w:rsidRPr="003B2D1A" w:rsidRDefault="000372D7" w:rsidP="000372D7">
      <w:pPr>
        <w:tabs>
          <w:tab w:val="left" w:pos="851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2860 Søborg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8.</w:t>
      </w:r>
      <w:r w:rsidRPr="003B2D1A">
        <w:rPr>
          <w:b/>
          <w:sz w:val="24"/>
          <w:szCs w:val="24"/>
        </w:rPr>
        <w:tab/>
        <w:t>MARKEDSFØRINGSTILLADELSESNUMMER (</w:t>
      </w:r>
      <w:r w:rsidR="007106EF">
        <w:rPr>
          <w:b/>
          <w:sz w:val="24"/>
          <w:szCs w:val="24"/>
        </w:rPr>
        <w:t>-</w:t>
      </w:r>
      <w:r w:rsidRPr="003B2D1A">
        <w:rPr>
          <w:b/>
          <w:sz w:val="24"/>
          <w:szCs w:val="24"/>
        </w:rPr>
        <w:t>NUMRE)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</w:r>
      <w:r>
        <w:rPr>
          <w:sz w:val="24"/>
          <w:szCs w:val="24"/>
        </w:rPr>
        <w:t>52806</w:t>
      </w:r>
    </w:p>
    <w:p w:rsidR="000372D7" w:rsidRPr="003B2D1A" w:rsidRDefault="000372D7" w:rsidP="000372D7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9.</w:t>
      </w:r>
      <w:r w:rsidRPr="003B2D1A">
        <w:rPr>
          <w:b/>
          <w:sz w:val="24"/>
          <w:szCs w:val="24"/>
        </w:rPr>
        <w:tab/>
        <w:t>DATO FOR FØRSTE MARKEDSFØRINGSTILLADELSE</w:t>
      </w:r>
    </w:p>
    <w:p w:rsidR="000372D7" w:rsidRPr="003B2D1A" w:rsidRDefault="000372D7" w:rsidP="000372D7">
      <w:pPr>
        <w:tabs>
          <w:tab w:val="left" w:pos="851"/>
        </w:tabs>
        <w:ind w:left="851" w:hanging="851"/>
        <w:jc w:val="both"/>
        <w:rPr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  <w:t>3. marts 2004</w:t>
      </w:r>
      <w:r w:rsidRPr="003B2D1A">
        <w:rPr>
          <w:sz w:val="24"/>
          <w:szCs w:val="24"/>
          <w:lang w:eastAsia="da-DK"/>
        </w:rPr>
        <w:t xml:space="preserve"> (20 mg/ml)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C414FB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10.</w:t>
      </w:r>
      <w:r w:rsidRPr="003B2D1A">
        <w:rPr>
          <w:b/>
          <w:sz w:val="24"/>
          <w:szCs w:val="24"/>
        </w:rPr>
        <w:tab/>
        <w:t>DATO FOR ÆNDRING AF TEKSTEN</w:t>
      </w:r>
    </w:p>
    <w:p w:rsidR="009260DE" w:rsidRPr="00D628A7" w:rsidRDefault="000372D7" w:rsidP="00D628A7">
      <w:pPr>
        <w:tabs>
          <w:tab w:val="left" w:pos="851"/>
        </w:tabs>
        <w:ind w:left="851" w:hanging="851"/>
        <w:rPr>
          <w:sz w:val="24"/>
          <w:szCs w:val="24"/>
        </w:rPr>
      </w:pPr>
      <w:r w:rsidRPr="00E66E2F">
        <w:rPr>
          <w:sz w:val="24"/>
          <w:szCs w:val="24"/>
        </w:rPr>
        <w:tab/>
      </w:r>
      <w:r w:rsidR="002952BF">
        <w:rPr>
          <w:sz w:val="24"/>
          <w:szCs w:val="24"/>
        </w:rPr>
        <w:t>18. marts 2025</w:t>
      </w:r>
    </w:p>
    <w:sectPr w:rsidR="009260DE" w:rsidRPr="00D628A7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030" w:rsidRDefault="007C7030">
      <w:r>
        <w:separator/>
      </w:r>
    </w:p>
  </w:endnote>
  <w:endnote w:type="continuationSeparator" w:id="0">
    <w:p w:rsidR="007C7030" w:rsidRDefault="007C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E3271">
      <w:rPr>
        <w:i/>
        <w:noProof/>
        <w:sz w:val="18"/>
        <w:szCs w:val="18"/>
      </w:rPr>
      <w:t>Copaxone, injektionsvæske, opløsning i fyldt injektionssprøjte 40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030" w:rsidRDefault="007C7030">
      <w:r>
        <w:separator/>
      </w:r>
    </w:p>
  </w:footnote>
  <w:footnote w:type="continuationSeparator" w:id="0">
    <w:p w:rsidR="007C7030" w:rsidRDefault="007C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09F3"/>
    <w:multiLevelType w:val="hybridMultilevel"/>
    <w:tmpl w:val="A10E098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BF004A0"/>
    <w:multiLevelType w:val="multilevel"/>
    <w:tmpl w:val="C8B68AD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D7"/>
    <w:rsid w:val="000259B9"/>
    <w:rsid w:val="000372D7"/>
    <w:rsid w:val="00041491"/>
    <w:rsid w:val="000467E2"/>
    <w:rsid w:val="00050D16"/>
    <w:rsid w:val="00074F2A"/>
    <w:rsid w:val="00076510"/>
    <w:rsid w:val="000A1CA8"/>
    <w:rsid w:val="000A466B"/>
    <w:rsid w:val="000B058C"/>
    <w:rsid w:val="000E4EE6"/>
    <w:rsid w:val="00103F69"/>
    <w:rsid w:val="001454E2"/>
    <w:rsid w:val="00200B52"/>
    <w:rsid w:val="00206CE8"/>
    <w:rsid w:val="0021526C"/>
    <w:rsid w:val="0022678C"/>
    <w:rsid w:val="00283A2B"/>
    <w:rsid w:val="00290CCB"/>
    <w:rsid w:val="002952BF"/>
    <w:rsid w:val="002A7E12"/>
    <w:rsid w:val="002B30AD"/>
    <w:rsid w:val="002C2C01"/>
    <w:rsid w:val="003A29AE"/>
    <w:rsid w:val="003A32D7"/>
    <w:rsid w:val="003B4074"/>
    <w:rsid w:val="003C769A"/>
    <w:rsid w:val="003E3271"/>
    <w:rsid w:val="003F1838"/>
    <w:rsid w:val="0041308F"/>
    <w:rsid w:val="0045746C"/>
    <w:rsid w:val="00480382"/>
    <w:rsid w:val="0049104B"/>
    <w:rsid w:val="004E191E"/>
    <w:rsid w:val="004E3B12"/>
    <w:rsid w:val="00500CB3"/>
    <w:rsid w:val="00532310"/>
    <w:rsid w:val="00560ECC"/>
    <w:rsid w:val="00565F0F"/>
    <w:rsid w:val="00571C15"/>
    <w:rsid w:val="00594A86"/>
    <w:rsid w:val="00596D86"/>
    <w:rsid w:val="00613574"/>
    <w:rsid w:val="00637F5A"/>
    <w:rsid w:val="006560B1"/>
    <w:rsid w:val="006756DD"/>
    <w:rsid w:val="006B7387"/>
    <w:rsid w:val="006E1AC0"/>
    <w:rsid w:val="007106EF"/>
    <w:rsid w:val="00737275"/>
    <w:rsid w:val="00740EEC"/>
    <w:rsid w:val="00745822"/>
    <w:rsid w:val="0078011A"/>
    <w:rsid w:val="00782AF4"/>
    <w:rsid w:val="00790EE7"/>
    <w:rsid w:val="007945E6"/>
    <w:rsid w:val="007B6649"/>
    <w:rsid w:val="007C7030"/>
    <w:rsid w:val="00814F11"/>
    <w:rsid w:val="0081546F"/>
    <w:rsid w:val="0082576E"/>
    <w:rsid w:val="008915A5"/>
    <w:rsid w:val="00907F75"/>
    <w:rsid w:val="009260DE"/>
    <w:rsid w:val="0093258A"/>
    <w:rsid w:val="009B5111"/>
    <w:rsid w:val="009C7BA3"/>
    <w:rsid w:val="009D1F5A"/>
    <w:rsid w:val="00A10686"/>
    <w:rsid w:val="00A54AC8"/>
    <w:rsid w:val="00A94F8F"/>
    <w:rsid w:val="00A961A2"/>
    <w:rsid w:val="00AD2769"/>
    <w:rsid w:val="00B003BF"/>
    <w:rsid w:val="00B373D7"/>
    <w:rsid w:val="00B70B9F"/>
    <w:rsid w:val="00C36276"/>
    <w:rsid w:val="00C414FB"/>
    <w:rsid w:val="00C42586"/>
    <w:rsid w:val="00C60CCD"/>
    <w:rsid w:val="00C84483"/>
    <w:rsid w:val="00C95551"/>
    <w:rsid w:val="00CB20D7"/>
    <w:rsid w:val="00CE3B65"/>
    <w:rsid w:val="00CF326D"/>
    <w:rsid w:val="00D020B0"/>
    <w:rsid w:val="00D11748"/>
    <w:rsid w:val="00D366CF"/>
    <w:rsid w:val="00D628A7"/>
    <w:rsid w:val="00D64ED7"/>
    <w:rsid w:val="00D970FF"/>
    <w:rsid w:val="00E108AA"/>
    <w:rsid w:val="00E31812"/>
    <w:rsid w:val="00E3749A"/>
    <w:rsid w:val="00E44126"/>
    <w:rsid w:val="00E7437F"/>
    <w:rsid w:val="00E865B8"/>
    <w:rsid w:val="00EC0B9B"/>
    <w:rsid w:val="00ED5E9F"/>
    <w:rsid w:val="00F61724"/>
    <w:rsid w:val="00F6526F"/>
    <w:rsid w:val="00F66D4F"/>
    <w:rsid w:val="00FB6D01"/>
    <w:rsid w:val="00FC7E81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C03A2"/>
  <w15:chartTrackingRefBased/>
  <w15:docId w15:val="{B7A6B641-5CB7-4889-8085-6F06040E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uiPriority w:val="10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uiPriority w:val="10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C-TableText">
    <w:name w:val="C-Table Text"/>
    <w:rsid w:val="000372D7"/>
    <w:pPr>
      <w:spacing w:before="60" w:after="60"/>
    </w:pPr>
    <w:rPr>
      <w:sz w:val="22"/>
      <w:lang w:val="en-US" w:eastAsia="en-US"/>
    </w:rPr>
  </w:style>
  <w:style w:type="paragraph" w:customStyle="1" w:styleId="C-TableHeader">
    <w:name w:val="C-Table Header"/>
    <w:next w:val="C-TableText"/>
    <w:rsid w:val="000372D7"/>
    <w:pPr>
      <w:keepNext/>
      <w:spacing w:before="60" w:after="60"/>
    </w:pPr>
    <w:rPr>
      <w:b/>
      <w:sz w:val="22"/>
      <w:lang w:val="en-US" w:eastAsia="en-US"/>
    </w:rPr>
  </w:style>
  <w:style w:type="paragraph" w:customStyle="1" w:styleId="C-TableFootnote">
    <w:name w:val="C-Table Footnote"/>
    <w:next w:val="Normal"/>
    <w:rsid w:val="000372D7"/>
    <w:pPr>
      <w:tabs>
        <w:tab w:val="left" w:pos="144"/>
      </w:tabs>
      <w:ind w:left="144" w:hanging="144"/>
    </w:pPr>
    <w:rPr>
      <w:rFonts w:cs="Arial"/>
      <w:lang w:val="en-US" w:eastAsia="en-US"/>
    </w:rPr>
  </w:style>
  <w:style w:type="character" w:styleId="Hyperlink">
    <w:name w:val="Hyperlink"/>
    <w:uiPriority w:val="99"/>
    <w:semiHidden/>
    <w:unhideWhenUsed/>
    <w:rsid w:val="00D62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3425</Words>
  <Characters>22418</Characters>
  <Application>Microsoft Office Word</Application>
  <DocSecurity>0</DocSecurity>
  <Lines>186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Daugaard Kristiansen </dc:creator>
  <cp:keywords/>
  <dc:description>2024044100 pkt. 4.5</dc:description>
  <cp:lastModifiedBy>Lea Daugaard Kristiansen</cp:lastModifiedBy>
  <cp:revision>3</cp:revision>
  <cp:lastPrinted>2012-08-22T08:53:00Z</cp:lastPrinted>
  <dcterms:created xsi:type="dcterms:W3CDTF">2025-03-13T14:12:00Z</dcterms:created>
  <dcterms:modified xsi:type="dcterms:W3CDTF">2025-03-13T14:13:00Z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