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E3" w:rsidRPr="009D7ACB" w:rsidRDefault="00F50AE3" w:rsidP="00F50AE3">
      <w:pPr>
        <w:rPr>
          <w:sz w:val="24"/>
          <w:szCs w:val="24"/>
        </w:rPr>
      </w:pPr>
      <w:r w:rsidRPr="009D7ACB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F20B8A2" wp14:editId="3557F64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ACB">
        <w:rPr>
          <w:sz w:val="24"/>
          <w:szCs w:val="24"/>
        </w:rPr>
        <w:br w:type="textWrapping" w:clear="all"/>
      </w:r>
    </w:p>
    <w:p w:rsidR="00F50AE3" w:rsidRPr="009D7ACB" w:rsidRDefault="00F50AE3" w:rsidP="00F50AE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D7ACB">
        <w:rPr>
          <w:b w:val="0"/>
          <w:szCs w:val="24"/>
          <w:lang w:eastAsia="en-US"/>
        </w:rPr>
        <w:tab/>
      </w:r>
      <w:r w:rsidR="006B712F">
        <w:rPr>
          <w:szCs w:val="24"/>
        </w:rPr>
        <w:t>20. februar 2025</w:t>
      </w:r>
    </w:p>
    <w:p w:rsidR="00F50AE3" w:rsidRPr="009D7ACB" w:rsidRDefault="00F50AE3" w:rsidP="00F50AE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50AE3" w:rsidRDefault="00F50AE3" w:rsidP="00F50AE3">
      <w:pPr>
        <w:jc w:val="center"/>
        <w:rPr>
          <w:b/>
          <w:sz w:val="24"/>
          <w:szCs w:val="24"/>
        </w:rPr>
      </w:pPr>
    </w:p>
    <w:p w:rsidR="00F50AE3" w:rsidRPr="009D7ACB" w:rsidRDefault="00F50AE3" w:rsidP="00F50AE3">
      <w:pPr>
        <w:jc w:val="center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PRODUKTRESUMÉ</w:t>
      </w:r>
    </w:p>
    <w:p w:rsidR="00F50AE3" w:rsidRPr="009D7ACB" w:rsidRDefault="00F50AE3" w:rsidP="00666E78">
      <w:pPr>
        <w:rPr>
          <w:b/>
          <w:sz w:val="24"/>
          <w:szCs w:val="24"/>
        </w:rPr>
      </w:pPr>
    </w:p>
    <w:p w:rsidR="00F50AE3" w:rsidRPr="009D7ACB" w:rsidRDefault="004850E7" w:rsidP="004850E7">
      <w:pPr>
        <w:tabs>
          <w:tab w:val="left" w:pos="88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0AE3" w:rsidRPr="009D7ACB">
        <w:rPr>
          <w:b/>
          <w:sz w:val="24"/>
          <w:szCs w:val="24"/>
        </w:rPr>
        <w:t>for</w:t>
      </w:r>
    </w:p>
    <w:p w:rsidR="00F50AE3" w:rsidRPr="009D7ACB" w:rsidRDefault="00F50AE3" w:rsidP="00F50AE3">
      <w:pPr>
        <w:jc w:val="center"/>
        <w:rPr>
          <w:b/>
          <w:sz w:val="24"/>
          <w:szCs w:val="24"/>
        </w:rPr>
      </w:pPr>
    </w:p>
    <w:p w:rsidR="00F50AE3" w:rsidRPr="009D7ACB" w:rsidRDefault="00F50AE3" w:rsidP="00F50AE3">
      <w:pPr>
        <w:jc w:val="center"/>
        <w:rPr>
          <w:b/>
          <w:sz w:val="24"/>
          <w:szCs w:val="24"/>
        </w:rPr>
      </w:pPr>
      <w:proofErr w:type="spellStart"/>
      <w:r w:rsidRPr="009D7ACB">
        <w:rPr>
          <w:b/>
          <w:sz w:val="24"/>
          <w:szCs w:val="24"/>
        </w:rPr>
        <w:t>Copemyl</w:t>
      </w:r>
      <w:proofErr w:type="spellEnd"/>
      <w:r w:rsidRPr="009D7ACB">
        <w:rPr>
          <w:b/>
          <w:sz w:val="24"/>
          <w:szCs w:val="24"/>
        </w:rPr>
        <w:t>, injektionsvæske, opløsning i fyldt injektionssprøjte</w:t>
      </w:r>
      <w:r>
        <w:rPr>
          <w:b/>
          <w:sz w:val="24"/>
          <w:szCs w:val="24"/>
        </w:rPr>
        <w:t xml:space="preserve"> 20 mg/ml</w:t>
      </w:r>
      <w:r w:rsidR="003F10CF">
        <w:rPr>
          <w:b/>
          <w:sz w:val="24"/>
          <w:szCs w:val="24"/>
        </w:rPr>
        <w:t xml:space="preserve"> (</w:t>
      </w:r>
      <w:proofErr w:type="spellStart"/>
      <w:r w:rsidR="003F10CF">
        <w:rPr>
          <w:b/>
          <w:sz w:val="24"/>
          <w:szCs w:val="24"/>
        </w:rPr>
        <w:t>Orifarm</w:t>
      </w:r>
      <w:proofErr w:type="spellEnd"/>
      <w:r w:rsidR="003F10CF">
        <w:rPr>
          <w:b/>
          <w:sz w:val="24"/>
          <w:szCs w:val="24"/>
        </w:rPr>
        <w:t>)</w:t>
      </w:r>
    </w:p>
    <w:p w:rsidR="00F50AE3" w:rsidRPr="009D7ACB" w:rsidRDefault="00F50AE3" w:rsidP="00F50AE3">
      <w:pPr>
        <w:jc w:val="both"/>
        <w:rPr>
          <w:sz w:val="24"/>
          <w:szCs w:val="24"/>
        </w:rPr>
      </w:pPr>
    </w:p>
    <w:p w:rsidR="00F50AE3" w:rsidRPr="009D7ACB" w:rsidRDefault="00F50AE3" w:rsidP="00F50AE3">
      <w:pPr>
        <w:jc w:val="both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0.</w:t>
      </w:r>
      <w:r w:rsidRPr="009D7ACB">
        <w:rPr>
          <w:b/>
          <w:sz w:val="24"/>
          <w:szCs w:val="24"/>
        </w:rPr>
        <w:tab/>
        <w:t>D.SP.NR.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  <w:r w:rsidRPr="009D7ACB">
        <w:rPr>
          <w:sz w:val="24"/>
          <w:szCs w:val="24"/>
        </w:rPr>
        <w:t>29422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1.</w:t>
      </w:r>
      <w:r w:rsidRPr="009D7ACB">
        <w:rPr>
          <w:b/>
          <w:sz w:val="24"/>
          <w:szCs w:val="24"/>
        </w:rPr>
        <w:tab/>
        <w:t>LÆGEMIDLETS NAVN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D7ACB">
        <w:rPr>
          <w:sz w:val="24"/>
          <w:szCs w:val="24"/>
        </w:rPr>
        <w:t>Copemyl</w:t>
      </w:r>
      <w:proofErr w:type="spellEnd"/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2.</w:t>
      </w:r>
      <w:r w:rsidRPr="009D7ACB">
        <w:rPr>
          <w:b/>
          <w:sz w:val="24"/>
          <w:szCs w:val="24"/>
        </w:rPr>
        <w:tab/>
        <w:t>KVALITATIV OG KVANTITATIV SAMMENSÆTNING</w:t>
      </w:r>
    </w:p>
    <w:p w:rsidR="00B17940" w:rsidRPr="00297E0A" w:rsidRDefault="00B17940" w:rsidP="00B17940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297E0A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fyldt injektionssprøjte (1 </w:t>
      </w:r>
      <w:r w:rsidRPr="00297E0A">
        <w:rPr>
          <w:color w:val="000000"/>
          <w:sz w:val="24"/>
          <w:szCs w:val="24"/>
        </w:rPr>
        <w:t>ml</w:t>
      </w:r>
      <w:r>
        <w:rPr>
          <w:color w:val="000000"/>
          <w:sz w:val="24"/>
          <w:szCs w:val="24"/>
        </w:rPr>
        <w:t>) med</w:t>
      </w:r>
      <w:r w:rsidRPr="00297E0A">
        <w:rPr>
          <w:color w:val="000000"/>
          <w:sz w:val="24"/>
          <w:szCs w:val="24"/>
        </w:rPr>
        <w:t xml:space="preserve"> injektionsvæske, opløsning indeholder 20 mg </w:t>
      </w:r>
      <w:proofErr w:type="spellStart"/>
      <w:r w:rsidRPr="00297E0A">
        <w:rPr>
          <w:color w:val="000000"/>
          <w:sz w:val="24"/>
          <w:szCs w:val="24"/>
        </w:rPr>
        <w:t>glatirameracetat</w:t>
      </w:r>
      <w:proofErr w:type="spellEnd"/>
      <w:r w:rsidRPr="00297E0A">
        <w:rPr>
          <w:color w:val="000000"/>
          <w:sz w:val="24"/>
          <w:szCs w:val="24"/>
        </w:rPr>
        <w:t xml:space="preserve">*, svarende til 18 mg </w:t>
      </w:r>
      <w:proofErr w:type="spellStart"/>
      <w:r w:rsidRPr="00297E0A">
        <w:rPr>
          <w:color w:val="000000"/>
          <w:sz w:val="24"/>
          <w:szCs w:val="24"/>
        </w:rPr>
        <w:t>glatiramer</w:t>
      </w:r>
      <w:proofErr w:type="spellEnd"/>
      <w:r w:rsidRPr="00297E0A">
        <w:rPr>
          <w:color w:val="000000"/>
          <w:sz w:val="24"/>
          <w:szCs w:val="24"/>
        </w:rPr>
        <w:t xml:space="preserve"> base.</w:t>
      </w:r>
    </w:p>
    <w:p w:rsidR="00B17940" w:rsidRPr="00297E0A" w:rsidRDefault="00B17940" w:rsidP="00B17940">
      <w:pPr>
        <w:tabs>
          <w:tab w:val="left" w:pos="851"/>
          <w:tab w:val="center" w:pos="4819"/>
          <w:tab w:val="right" w:pos="9638"/>
        </w:tabs>
        <w:suppressAutoHyphens/>
        <w:rPr>
          <w:color w:val="000000"/>
          <w:sz w:val="24"/>
          <w:szCs w:val="24"/>
          <w:lang w:eastAsia="da-DK"/>
        </w:rPr>
      </w:pPr>
    </w:p>
    <w:p w:rsidR="00B17940" w:rsidRPr="004563C7" w:rsidRDefault="00B17940" w:rsidP="00B17940">
      <w:pPr>
        <w:tabs>
          <w:tab w:val="left" w:pos="851"/>
        </w:tabs>
        <w:suppressAutoHyphens/>
        <w:ind w:left="855"/>
        <w:rPr>
          <w:color w:val="000000"/>
          <w:sz w:val="24"/>
          <w:szCs w:val="24"/>
        </w:rPr>
      </w:pPr>
      <w:r w:rsidRPr="004563C7">
        <w:rPr>
          <w:color w:val="000000"/>
          <w:sz w:val="24"/>
          <w:szCs w:val="24"/>
        </w:rPr>
        <w:t>*</w:t>
      </w:r>
      <w:proofErr w:type="spellStart"/>
      <w:r w:rsidRPr="004563C7">
        <w:rPr>
          <w:color w:val="000000"/>
          <w:sz w:val="24"/>
          <w:szCs w:val="24"/>
        </w:rPr>
        <w:t>Glatirameracetat</w:t>
      </w:r>
      <w:proofErr w:type="spellEnd"/>
      <w:r w:rsidRPr="004563C7">
        <w:rPr>
          <w:color w:val="000000"/>
          <w:sz w:val="24"/>
          <w:szCs w:val="24"/>
        </w:rPr>
        <w:t xml:space="preserve"> er acetatsaltet af syntetiske polypeptider og indeholder fire naturligt forekommende aminosyrer: L-</w:t>
      </w:r>
      <w:proofErr w:type="spellStart"/>
      <w:r w:rsidRPr="004563C7">
        <w:rPr>
          <w:color w:val="000000"/>
          <w:sz w:val="24"/>
          <w:szCs w:val="24"/>
        </w:rPr>
        <w:t>glutaminsyre</w:t>
      </w:r>
      <w:proofErr w:type="spellEnd"/>
      <w:r w:rsidRPr="004563C7">
        <w:rPr>
          <w:color w:val="000000"/>
          <w:sz w:val="24"/>
          <w:szCs w:val="24"/>
        </w:rPr>
        <w:t>, L-</w:t>
      </w:r>
      <w:proofErr w:type="spellStart"/>
      <w:r w:rsidRPr="004563C7">
        <w:rPr>
          <w:color w:val="000000"/>
          <w:sz w:val="24"/>
          <w:szCs w:val="24"/>
        </w:rPr>
        <w:t>alanin</w:t>
      </w:r>
      <w:proofErr w:type="spellEnd"/>
      <w:r w:rsidRPr="004563C7">
        <w:rPr>
          <w:color w:val="000000"/>
          <w:sz w:val="24"/>
          <w:szCs w:val="24"/>
        </w:rPr>
        <w:t>, L-</w:t>
      </w:r>
      <w:proofErr w:type="spellStart"/>
      <w:r w:rsidRPr="004563C7">
        <w:rPr>
          <w:color w:val="000000"/>
          <w:sz w:val="24"/>
          <w:szCs w:val="24"/>
        </w:rPr>
        <w:t>tyrosin</w:t>
      </w:r>
      <w:proofErr w:type="spellEnd"/>
      <w:r w:rsidRPr="004563C7">
        <w:rPr>
          <w:color w:val="000000"/>
          <w:sz w:val="24"/>
          <w:szCs w:val="24"/>
        </w:rPr>
        <w:t xml:space="preserve"> og L-lysin i molære </w:t>
      </w:r>
      <w:r>
        <w:rPr>
          <w:color w:val="000000"/>
          <w:sz w:val="24"/>
          <w:szCs w:val="24"/>
        </w:rPr>
        <w:t>fraktionsområder</w:t>
      </w:r>
      <w:r w:rsidRPr="004563C7">
        <w:rPr>
          <w:color w:val="000000"/>
          <w:sz w:val="24"/>
          <w:szCs w:val="24"/>
        </w:rPr>
        <w:t xml:space="preserve"> på henholdsvis 0,129</w:t>
      </w:r>
      <w:r w:rsidRPr="004563C7">
        <w:rPr>
          <w:color w:val="000000"/>
          <w:sz w:val="24"/>
          <w:szCs w:val="24"/>
        </w:rPr>
        <w:noBreakHyphen/>
        <w:t xml:space="preserve">0,153, </w:t>
      </w:r>
      <w:r w:rsidRPr="004563C7">
        <w:rPr>
          <w:color w:val="222222"/>
          <w:sz w:val="24"/>
          <w:szCs w:val="24"/>
        </w:rPr>
        <w:t>0,392-0,462, 0,086-0,100 og 0,300-0,374.</w:t>
      </w:r>
      <w:r w:rsidRPr="004563C7">
        <w:rPr>
          <w:color w:val="000000"/>
          <w:sz w:val="24"/>
          <w:szCs w:val="24"/>
        </w:rPr>
        <w:t xml:space="preserve"> Den gennemsnitlige </w:t>
      </w:r>
      <w:proofErr w:type="spellStart"/>
      <w:r w:rsidRPr="004563C7">
        <w:rPr>
          <w:color w:val="000000"/>
          <w:sz w:val="24"/>
          <w:szCs w:val="24"/>
        </w:rPr>
        <w:t>molekylevægt</w:t>
      </w:r>
      <w:proofErr w:type="spellEnd"/>
      <w:r w:rsidRPr="004563C7">
        <w:rPr>
          <w:color w:val="000000"/>
          <w:sz w:val="24"/>
          <w:szCs w:val="24"/>
        </w:rPr>
        <w:t xml:space="preserve"> af </w:t>
      </w:r>
      <w:proofErr w:type="spellStart"/>
      <w:r w:rsidRPr="004563C7">
        <w:rPr>
          <w:color w:val="000000"/>
          <w:sz w:val="24"/>
          <w:szCs w:val="24"/>
        </w:rPr>
        <w:t>glatirameracetat</w:t>
      </w:r>
      <w:proofErr w:type="spellEnd"/>
      <w:r w:rsidRPr="004563C7">
        <w:rPr>
          <w:color w:val="000000"/>
          <w:sz w:val="24"/>
          <w:szCs w:val="24"/>
        </w:rPr>
        <w:t xml:space="preserve"> ligger i området 5.000-9.000 </w:t>
      </w:r>
      <w:proofErr w:type="spellStart"/>
      <w:r w:rsidRPr="004563C7">
        <w:rPr>
          <w:color w:val="000000"/>
          <w:sz w:val="24"/>
          <w:szCs w:val="24"/>
        </w:rPr>
        <w:t>dalton</w:t>
      </w:r>
      <w:proofErr w:type="spellEnd"/>
      <w:r w:rsidRPr="004563C7">
        <w:rPr>
          <w:color w:val="000000"/>
          <w:sz w:val="24"/>
          <w:szCs w:val="24"/>
        </w:rPr>
        <w:t xml:space="preserve">. På grund af den </w:t>
      </w:r>
      <w:bookmarkStart w:id="0" w:name="_Hlk22650111"/>
      <w:r w:rsidRPr="004563C7">
        <w:rPr>
          <w:color w:val="000000"/>
          <w:sz w:val="24"/>
          <w:szCs w:val="24"/>
        </w:rPr>
        <w:t xml:space="preserve">kompositionelle kompleksitet i </w:t>
      </w:r>
      <w:bookmarkEnd w:id="0"/>
      <w:r w:rsidRPr="004563C7">
        <w:rPr>
          <w:color w:val="000000"/>
          <w:sz w:val="24"/>
          <w:szCs w:val="24"/>
        </w:rPr>
        <w:t xml:space="preserve">sammensætningen kan et polypeptid ikke karakteriseres fuldstændigt, herunder aminosyresekvensen, </w:t>
      </w:r>
      <w:bookmarkStart w:id="1" w:name="_Hlk22650167"/>
      <w:r w:rsidRPr="004563C7">
        <w:rPr>
          <w:color w:val="000000"/>
          <w:sz w:val="24"/>
          <w:szCs w:val="24"/>
        </w:rPr>
        <w:t>selvom</w:t>
      </w:r>
      <w:bookmarkEnd w:id="1"/>
      <w:r w:rsidRPr="004563C7">
        <w:rPr>
          <w:color w:val="000000"/>
          <w:sz w:val="24"/>
          <w:szCs w:val="24"/>
        </w:rPr>
        <w:t xml:space="preserve"> den endelige </w:t>
      </w:r>
      <w:proofErr w:type="spellStart"/>
      <w:r w:rsidRPr="004563C7">
        <w:rPr>
          <w:color w:val="000000"/>
          <w:sz w:val="24"/>
          <w:szCs w:val="24"/>
        </w:rPr>
        <w:t>glatirameracetatsammensætning</w:t>
      </w:r>
      <w:proofErr w:type="spellEnd"/>
      <w:r w:rsidRPr="004563C7">
        <w:rPr>
          <w:color w:val="000000"/>
          <w:sz w:val="24"/>
          <w:szCs w:val="24"/>
        </w:rPr>
        <w:t xml:space="preserve"> ikke er helt tilfældig.</w:t>
      </w:r>
    </w:p>
    <w:p w:rsidR="00F50AE3" w:rsidRPr="00297E0A" w:rsidRDefault="00F50AE3" w:rsidP="00F50AE3">
      <w:pPr>
        <w:ind w:left="1702" w:hanging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3.</w:t>
      </w:r>
      <w:r w:rsidRPr="009D7ACB">
        <w:rPr>
          <w:b/>
          <w:sz w:val="24"/>
          <w:szCs w:val="24"/>
        </w:rPr>
        <w:tab/>
        <w:t>LÆGEMIDDELFORM</w:t>
      </w:r>
    </w:p>
    <w:p w:rsidR="00F50AE3" w:rsidRPr="009D7ACB" w:rsidRDefault="00F50AE3" w:rsidP="00F50AE3">
      <w:pPr>
        <w:tabs>
          <w:tab w:val="left" w:pos="851"/>
        </w:tabs>
        <w:suppressAutoHyphens/>
        <w:ind w:left="855"/>
        <w:jc w:val="both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Injektionsvæske, opløsning</w:t>
      </w:r>
      <w:r>
        <w:rPr>
          <w:color w:val="000000"/>
          <w:sz w:val="24"/>
          <w:szCs w:val="24"/>
        </w:rPr>
        <w:t xml:space="preserve"> i fyldt injektionssprøjte</w:t>
      </w:r>
      <w:r w:rsidR="003F10CF">
        <w:rPr>
          <w:color w:val="000000"/>
          <w:sz w:val="24"/>
          <w:szCs w:val="24"/>
        </w:rPr>
        <w:t xml:space="preserve"> (</w:t>
      </w:r>
      <w:proofErr w:type="spellStart"/>
      <w:r w:rsidR="003F10CF">
        <w:rPr>
          <w:color w:val="000000"/>
          <w:sz w:val="24"/>
          <w:szCs w:val="24"/>
        </w:rPr>
        <w:t>Orifarm</w:t>
      </w:r>
      <w:proofErr w:type="spellEnd"/>
      <w:r w:rsidR="003F10CF">
        <w:rPr>
          <w:color w:val="000000"/>
          <w:sz w:val="24"/>
          <w:szCs w:val="24"/>
        </w:rPr>
        <w:t>).</w:t>
      </w:r>
    </w:p>
    <w:p w:rsidR="00F50AE3" w:rsidRPr="009D7ACB" w:rsidRDefault="00F50AE3" w:rsidP="00F50AE3">
      <w:pPr>
        <w:tabs>
          <w:tab w:val="left" w:pos="851"/>
        </w:tabs>
        <w:suppressAutoHyphens/>
        <w:ind w:left="855"/>
        <w:jc w:val="both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4.</w:t>
      </w:r>
      <w:r w:rsidRPr="009D7ACB">
        <w:rPr>
          <w:b/>
          <w:sz w:val="24"/>
          <w:szCs w:val="24"/>
        </w:rPr>
        <w:tab/>
        <w:t>KLINISKE OPLYSNINGER</w:t>
      </w:r>
    </w:p>
    <w:p w:rsidR="00F50AE3" w:rsidRPr="009D7ACB" w:rsidRDefault="00F50AE3" w:rsidP="00F50AE3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D7ACB">
        <w:rPr>
          <w:b/>
          <w:sz w:val="24"/>
          <w:szCs w:val="24"/>
        </w:rPr>
        <w:t>4.1</w:t>
      </w:r>
      <w:r w:rsidRPr="009D7ACB">
        <w:rPr>
          <w:b/>
          <w:sz w:val="24"/>
          <w:szCs w:val="24"/>
        </w:rPr>
        <w:tab/>
        <w:t>Terapeutiske indikationer</w:t>
      </w:r>
    </w:p>
    <w:p w:rsidR="00F50AE3" w:rsidRPr="00297E0A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  <w:lang w:eastAsia="da-DK"/>
        </w:rPr>
      </w:pPr>
      <w:proofErr w:type="spellStart"/>
      <w:r w:rsidRPr="00297E0A">
        <w:rPr>
          <w:color w:val="000000"/>
          <w:sz w:val="24"/>
          <w:szCs w:val="24"/>
          <w:lang w:eastAsia="da-DK"/>
        </w:rPr>
        <w:t>Glatirameracetat</w:t>
      </w:r>
      <w:proofErr w:type="spellEnd"/>
      <w:r w:rsidRPr="00297E0A">
        <w:rPr>
          <w:color w:val="000000"/>
          <w:sz w:val="24"/>
          <w:szCs w:val="24"/>
          <w:lang w:eastAsia="da-DK"/>
        </w:rPr>
        <w:t xml:space="preserve"> er indiceret til behandling af patienter med </w:t>
      </w:r>
      <w:proofErr w:type="spellStart"/>
      <w:r w:rsidRPr="00297E0A">
        <w:rPr>
          <w:color w:val="000000"/>
          <w:sz w:val="24"/>
          <w:szCs w:val="24"/>
          <w:lang w:eastAsia="da-DK"/>
        </w:rPr>
        <w:t>relapserende</w:t>
      </w:r>
      <w:proofErr w:type="spellEnd"/>
      <w:r w:rsidRPr="00297E0A">
        <w:rPr>
          <w:color w:val="000000"/>
          <w:sz w:val="24"/>
          <w:szCs w:val="24"/>
          <w:lang w:eastAsia="da-DK"/>
        </w:rPr>
        <w:t xml:space="preserve"> former for multipel </w:t>
      </w:r>
      <w:proofErr w:type="spellStart"/>
      <w:r w:rsidRPr="00297E0A">
        <w:rPr>
          <w:color w:val="000000"/>
          <w:sz w:val="24"/>
          <w:szCs w:val="24"/>
          <w:lang w:eastAsia="da-DK"/>
        </w:rPr>
        <w:t>sclerose</w:t>
      </w:r>
      <w:proofErr w:type="spellEnd"/>
      <w:r w:rsidRPr="00297E0A">
        <w:rPr>
          <w:color w:val="000000"/>
          <w:sz w:val="24"/>
          <w:szCs w:val="24"/>
          <w:lang w:eastAsia="da-DK"/>
        </w:rPr>
        <w:t xml:space="preserve"> (MS) (se pkt. 5.1 for vigtig information vedrørende den population</w:t>
      </w:r>
      <w:r>
        <w:rPr>
          <w:color w:val="000000"/>
          <w:sz w:val="24"/>
          <w:szCs w:val="24"/>
          <w:lang w:eastAsia="da-DK"/>
        </w:rPr>
        <w:t>,</w:t>
      </w:r>
      <w:r w:rsidRPr="00297E0A">
        <w:rPr>
          <w:color w:val="000000"/>
          <w:sz w:val="24"/>
          <w:szCs w:val="24"/>
          <w:lang w:eastAsia="da-DK"/>
        </w:rPr>
        <w:t xml:space="preserve"> hvor effekten er etableret). </w:t>
      </w:r>
    </w:p>
    <w:p w:rsidR="00F50AE3" w:rsidRPr="00297E0A" w:rsidRDefault="00F50AE3" w:rsidP="00F50AE3">
      <w:pPr>
        <w:tabs>
          <w:tab w:val="left" w:pos="851"/>
        </w:tabs>
        <w:ind w:left="855"/>
        <w:rPr>
          <w:color w:val="000000"/>
          <w:sz w:val="24"/>
          <w:szCs w:val="24"/>
        </w:rPr>
      </w:pPr>
    </w:p>
    <w:p w:rsidR="00F50AE3" w:rsidRPr="009D7ACB" w:rsidRDefault="00F50AE3" w:rsidP="00F50AE3">
      <w:pPr>
        <w:ind w:left="855"/>
        <w:rPr>
          <w:color w:val="000000"/>
          <w:sz w:val="24"/>
          <w:szCs w:val="24"/>
        </w:rPr>
      </w:pPr>
      <w:proofErr w:type="spellStart"/>
      <w:r w:rsidRPr="00297E0A">
        <w:rPr>
          <w:color w:val="000000"/>
          <w:sz w:val="24"/>
          <w:szCs w:val="24"/>
        </w:rPr>
        <w:t>Glatirameracetat</w:t>
      </w:r>
      <w:proofErr w:type="spellEnd"/>
      <w:r w:rsidRPr="00297E0A">
        <w:rPr>
          <w:color w:val="000000"/>
          <w:sz w:val="24"/>
          <w:szCs w:val="24"/>
        </w:rPr>
        <w:t xml:space="preserve"> er ikke indiceret til primær eller sekundær progressiv MS.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B17940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4.2</w:t>
      </w:r>
      <w:r w:rsidRPr="009D7ACB">
        <w:rPr>
          <w:b/>
          <w:sz w:val="24"/>
          <w:szCs w:val="24"/>
        </w:rPr>
        <w:tab/>
        <w:t xml:space="preserve">Dosering og </w:t>
      </w:r>
      <w:r w:rsidR="003C72BF">
        <w:rPr>
          <w:b/>
          <w:sz w:val="24"/>
          <w:szCs w:val="24"/>
        </w:rPr>
        <w:t>administration</w:t>
      </w:r>
    </w:p>
    <w:p w:rsidR="00B17940" w:rsidRPr="00CF0121" w:rsidRDefault="00B17940" w:rsidP="00B17940">
      <w:pPr>
        <w:ind w:left="851" w:firstLine="4"/>
        <w:rPr>
          <w:color w:val="000000"/>
          <w:sz w:val="24"/>
          <w:szCs w:val="24"/>
        </w:rPr>
      </w:pPr>
      <w:r>
        <w:rPr>
          <w:color w:val="222222"/>
        </w:rPr>
        <w:t xml:space="preserve">Initieringen af </w:t>
      </w:r>
      <w:proofErr w:type="spellStart"/>
      <w:r>
        <w:rPr>
          <w:color w:val="222222"/>
        </w:rPr>
        <w:t>glatirameracetatbehandling</w:t>
      </w:r>
      <w:proofErr w:type="spellEnd"/>
      <w:r>
        <w:rPr>
          <w:color w:val="222222"/>
        </w:rPr>
        <w:t xml:space="preserve"> bør overvåges af en neurolog eller en læge, der har erfaring med behandling af MS.</w:t>
      </w:r>
    </w:p>
    <w:p w:rsidR="00B17940" w:rsidRDefault="00B17940" w:rsidP="00B17940">
      <w:pPr>
        <w:ind w:firstLine="855"/>
        <w:rPr>
          <w:color w:val="000000"/>
          <w:sz w:val="24"/>
          <w:szCs w:val="24"/>
        </w:rPr>
      </w:pPr>
    </w:p>
    <w:p w:rsidR="003F10CF" w:rsidRPr="00CF0121" w:rsidRDefault="003F10CF" w:rsidP="00B17940">
      <w:pPr>
        <w:ind w:firstLine="855"/>
        <w:rPr>
          <w:color w:val="000000"/>
          <w:sz w:val="24"/>
          <w:szCs w:val="24"/>
        </w:rPr>
      </w:pPr>
    </w:p>
    <w:p w:rsidR="00B17940" w:rsidRPr="00CA0A73" w:rsidRDefault="00B17940" w:rsidP="00B17940">
      <w:pPr>
        <w:ind w:firstLine="855"/>
        <w:rPr>
          <w:b/>
          <w:sz w:val="24"/>
          <w:szCs w:val="24"/>
        </w:rPr>
      </w:pPr>
      <w:r w:rsidRPr="00CA0A73">
        <w:rPr>
          <w:b/>
          <w:color w:val="000000"/>
          <w:sz w:val="24"/>
          <w:szCs w:val="24"/>
        </w:rPr>
        <w:lastRenderedPageBreak/>
        <w:t>Dosering</w:t>
      </w:r>
    </w:p>
    <w:p w:rsidR="00B17940" w:rsidRPr="009D7ACB" w:rsidRDefault="00B17940" w:rsidP="00B17940">
      <w:pPr>
        <w:pStyle w:val="Brdtekstindrykning2"/>
        <w:spacing w:after="0" w:line="240" w:lineRule="auto"/>
        <w:ind w:left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Den anbefalede dosis til voksne er 20 mg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(en fyldt injektionssprøjte) administreret som subkutan injektion en gang daglig. </w:t>
      </w:r>
    </w:p>
    <w:p w:rsidR="00B17940" w:rsidRPr="009D7ACB" w:rsidRDefault="00B17940" w:rsidP="00B17940">
      <w:pPr>
        <w:pStyle w:val="Sidehoved"/>
        <w:tabs>
          <w:tab w:val="left" w:pos="-720"/>
          <w:tab w:val="left" w:pos="851"/>
        </w:tabs>
        <w:suppressAutoHyphens/>
        <w:ind w:left="855"/>
        <w:rPr>
          <w:color w:val="000000"/>
          <w:szCs w:val="24"/>
        </w:rPr>
      </w:pPr>
    </w:p>
    <w:p w:rsidR="00B17940" w:rsidRPr="009D7ACB" w:rsidRDefault="00B17940" w:rsidP="00B17940">
      <w:pPr>
        <w:tabs>
          <w:tab w:val="left" w:pos="-720"/>
          <w:tab w:val="left" w:pos="851"/>
        </w:tabs>
        <w:suppressAutoHyphens/>
        <w:ind w:left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På nuværende tidspunkt er det ikke fastlagt, hvor længe patienten skal behandles.</w:t>
      </w:r>
    </w:p>
    <w:p w:rsidR="00B17940" w:rsidRPr="009D7ACB" w:rsidRDefault="00B17940" w:rsidP="00B17940">
      <w:pPr>
        <w:tabs>
          <w:tab w:val="left" w:pos="-720"/>
          <w:tab w:val="left" w:pos="851"/>
        </w:tabs>
        <w:suppressAutoHyphens/>
        <w:ind w:left="855"/>
        <w:rPr>
          <w:color w:val="000000"/>
          <w:sz w:val="24"/>
          <w:szCs w:val="24"/>
        </w:rPr>
      </w:pPr>
    </w:p>
    <w:p w:rsidR="00B17940" w:rsidRPr="009D7ACB" w:rsidRDefault="00B17940" w:rsidP="00B17940">
      <w:pPr>
        <w:tabs>
          <w:tab w:val="left" w:pos="-720"/>
        </w:tabs>
        <w:suppressAutoHyphens/>
        <w:ind w:left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Beslutning vedrørende langtidsbehandling bør tages på individuel basis af den behandlende læge.</w:t>
      </w:r>
    </w:p>
    <w:p w:rsidR="00B17940" w:rsidRPr="009D7ACB" w:rsidRDefault="00B17940" w:rsidP="00B17940">
      <w:pPr>
        <w:pStyle w:val="Brdtekstindrykning2"/>
        <w:spacing w:after="0" w:line="240" w:lineRule="auto"/>
        <w:ind w:left="855"/>
        <w:rPr>
          <w:color w:val="000000"/>
          <w:sz w:val="24"/>
          <w:szCs w:val="24"/>
        </w:rPr>
      </w:pPr>
    </w:p>
    <w:p w:rsidR="00B17940" w:rsidRPr="00960CB5" w:rsidRDefault="00B17940" w:rsidP="00B17940">
      <w:pPr>
        <w:pStyle w:val="Brdtekstindrykning2"/>
        <w:spacing w:after="0" w:line="240" w:lineRule="auto"/>
        <w:ind w:left="0" w:firstLine="855"/>
        <w:rPr>
          <w:color w:val="000000"/>
          <w:sz w:val="24"/>
          <w:szCs w:val="24"/>
          <w:u w:val="single"/>
        </w:rPr>
      </w:pPr>
      <w:r w:rsidRPr="00960CB5">
        <w:rPr>
          <w:color w:val="000000"/>
          <w:sz w:val="24"/>
          <w:szCs w:val="24"/>
          <w:u w:val="single"/>
        </w:rPr>
        <w:t>Pædiatrisk population</w:t>
      </w:r>
    </w:p>
    <w:p w:rsidR="00B17940" w:rsidRDefault="00B17940" w:rsidP="00B17940">
      <w:pPr>
        <w:pStyle w:val="Brdtekstindrykning2"/>
        <w:spacing w:after="0" w:line="240" w:lineRule="auto"/>
        <w:ind w:left="8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Sikkerhed og virkning af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hos børn og unge er ikke blevet fastslået.</w:t>
      </w:r>
    </w:p>
    <w:p w:rsidR="00B17940" w:rsidRDefault="00B17940" w:rsidP="00B17940">
      <w:pPr>
        <w:pStyle w:val="Brdtekstindrykning2"/>
        <w:spacing w:after="0" w:line="240" w:lineRule="auto"/>
        <w:ind w:left="855"/>
        <w:rPr>
          <w:color w:val="000000"/>
          <w:sz w:val="24"/>
          <w:szCs w:val="24"/>
        </w:rPr>
      </w:pPr>
    </w:p>
    <w:p w:rsidR="00B17940" w:rsidRPr="009D7ACB" w:rsidRDefault="00B17940" w:rsidP="00B17940">
      <w:pPr>
        <w:pStyle w:val="Brdtekstindrykning2"/>
        <w:spacing w:after="0" w:line="240" w:lineRule="auto"/>
        <w:ind w:left="8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Der er imidlertid begrænsede p</w:t>
      </w:r>
      <w:r w:rsidRPr="009D7ACB">
        <w:rPr>
          <w:color w:val="000000"/>
          <w:sz w:val="24"/>
          <w:szCs w:val="24"/>
        </w:rPr>
        <w:t>ublicerede data</w:t>
      </w:r>
      <w:r>
        <w:rPr>
          <w:color w:val="000000"/>
          <w:sz w:val="24"/>
          <w:szCs w:val="24"/>
        </w:rPr>
        <w:t>, som antyder</w:t>
      </w:r>
      <w:r w:rsidRPr="009D7ACB">
        <w:rPr>
          <w:color w:val="000000"/>
          <w:sz w:val="24"/>
          <w:szCs w:val="24"/>
        </w:rPr>
        <w:t xml:space="preserve">, at sikkerhedsprofilen hos unge fra 12-18 år, som er i behandling med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 mg </w:t>
      </w:r>
      <w:r w:rsidRPr="009D7ACB">
        <w:rPr>
          <w:color w:val="000000"/>
          <w:sz w:val="24"/>
          <w:szCs w:val="24"/>
        </w:rPr>
        <w:t xml:space="preserve">subkutant hver dag, er sammenlignelig med </w:t>
      </w:r>
      <w:r>
        <w:rPr>
          <w:color w:val="000000"/>
          <w:sz w:val="24"/>
          <w:szCs w:val="24"/>
        </w:rPr>
        <w:t xml:space="preserve">profilen </w:t>
      </w:r>
      <w:r w:rsidRPr="009D7ACB">
        <w:rPr>
          <w:color w:val="000000"/>
          <w:sz w:val="24"/>
          <w:szCs w:val="24"/>
        </w:rPr>
        <w:t xml:space="preserve">for voksne. </w:t>
      </w:r>
    </w:p>
    <w:p w:rsidR="00B17940" w:rsidRPr="009D7ACB" w:rsidRDefault="00B17940" w:rsidP="00B17940">
      <w:pPr>
        <w:pStyle w:val="Brdtekstindrykning2"/>
        <w:spacing w:after="0" w:line="240" w:lineRule="auto"/>
        <w:ind w:left="855"/>
        <w:rPr>
          <w:color w:val="000000"/>
          <w:sz w:val="24"/>
          <w:szCs w:val="24"/>
        </w:rPr>
      </w:pPr>
    </w:p>
    <w:p w:rsidR="00B17940" w:rsidRPr="009D7ACB" w:rsidRDefault="00B17940" w:rsidP="00B17940">
      <w:pPr>
        <w:pStyle w:val="Brdtekstindrykning2"/>
        <w:spacing w:after="0" w:line="240" w:lineRule="auto"/>
        <w:ind w:left="855"/>
        <w:rPr>
          <w:b/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Der er ikke tilstrækkelige data om anvendelse af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til børn under 12 år til at danne grundlag for en anbefaling af behandling.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bør derfor ikke anvendes til børn i denne aldersgruppe.</w:t>
      </w:r>
    </w:p>
    <w:p w:rsidR="00B17940" w:rsidRPr="009D7ACB" w:rsidRDefault="00B17940" w:rsidP="00B17940">
      <w:pPr>
        <w:tabs>
          <w:tab w:val="left" w:pos="-720"/>
          <w:tab w:val="left" w:pos="851"/>
        </w:tabs>
        <w:suppressAutoHyphens/>
        <w:ind w:left="855"/>
        <w:rPr>
          <w:color w:val="000000"/>
          <w:sz w:val="24"/>
          <w:szCs w:val="24"/>
        </w:rPr>
      </w:pPr>
    </w:p>
    <w:p w:rsidR="00B17940" w:rsidRDefault="00B17940" w:rsidP="00B17940">
      <w:pPr>
        <w:pStyle w:val="Brdtekst3"/>
        <w:tabs>
          <w:tab w:val="left" w:pos="851"/>
        </w:tabs>
        <w:spacing w:after="0"/>
        <w:ind w:left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Specielle populationer</w:t>
      </w:r>
    </w:p>
    <w:p w:rsidR="00B17940" w:rsidRPr="00960CB5" w:rsidRDefault="00B17940" w:rsidP="00B17940">
      <w:pPr>
        <w:pStyle w:val="Brdtekst3"/>
        <w:tabs>
          <w:tab w:val="left" w:pos="851"/>
        </w:tabs>
        <w:spacing w:after="0"/>
        <w:ind w:left="851"/>
        <w:rPr>
          <w:color w:val="000000"/>
          <w:sz w:val="24"/>
          <w:szCs w:val="24"/>
          <w:u w:val="single"/>
        </w:rPr>
      </w:pPr>
    </w:p>
    <w:p w:rsidR="00B17940" w:rsidRPr="009D7ACB" w:rsidRDefault="00B17940" w:rsidP="00B17940">
      <w:pPr>
        <w:pStyle w:val="Brdtekst3"/>
        <w:tabs>
          <w:tab w:val="left" w:pos="851"/>
        </w:tabs>
        <w:spacing w:after="0"/>
        <w:ind w:left="851"/>
        <w:rPr>
          <w:i/>
          <w:color w:val="000000"/>
          <w:sz w:val="24"/>
          <w:szCs w:val="24"/>
        </w:rPr>
      </w:pPr>
      <w:r w:rsidRPr="009D7ACB">
        <w:rPr>
          <w:i/>
          <w:color w:val="000000"/>
          <w:sz w:val="24"/>
          <w:szCs w:val="24"/>
        </w:rPr>
        <w:t xml:space="preserve">Ældre </w:t>
      </w:r>
    </w:p>
    <w:p w:rsidR="00B17940" w:rsidRPr="009D7ACB" w:rsidRDefault="00B17940" w:rsidP="00B17940">
      <w:pPr>
        <w:pStyle w:val="Brdtekst3"/>
        <w:tabs>
          <w:tab w:val="left" w:pos="851"/>
        </w:tabs>
        <w:spacing w:after="0"/>
        <w:ind w:left="851"/>
        <w:rPr>
          <w:color w:val="000000"/>
          <w:sz w:val="24"/>
          <w:szCs w:val="24"/>
        </w:rPr>
      </w:pP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er ikke undersøgt specifikt til anvendelse hos ældre.</w:t>
      </w:r>
    </w:p>
    <w:p w:rsidR="00B17940" w:rsidRPr="009D7ACB" w:rsidRDefault="00B17940" w:rsidP="00B17940">
      <w:pPr>
        <w:pStyle w:val="Brdtekst3"/>
        <w:tabs>
          <w:tab w:val="left" w:pos="851"/>
        </w:tabs>
        <w:spacing w:after="0"/>
        <w:ind w:left="851"/>
        <w:rPr>
          <w:b/>
          <w:color w:val="000000"/>
          <w:sz w:val="24"/>
          <w:szCs w:val="24"/>
        </w:rPr>
      </w:pPr>
    </w:p>
    <w:p w:rsidR="00B17940" w:rsidRPr="009D7ACB" w:rsidRDefault="00B17940" w:rsidP="00B17940">
      <w:pPr>
        <w:pStyle w:val="Brdtekst3"/>
        <w:tabs>
          <w:tab w:val="left" w:pos="851"/>
        </w:tabs>
        <w:spacing w:after="0"/>
        <w:ind w:left="851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</w:rPr>
        <w:t>N</w:t>
      </w:r>
      <w:r w:rsidRPr="009D7ACB">
        <w:rPr>
          <w:i/>
          <w:color w:val="000000"/>
          <w:sz w:val="24"/>
          <w:szCs w:val="24"/>
        </w:rPr>
        <w:t>edsat nyrefunktion</w:t>
      </w:r>
      <w:r w:rsidRPr="009D7ACB">
        <w:rPr>
          <w:i/>
          <w:color w:val="000000"/>
          <w:sz w:val="24"/>
          <w:szCs w:val="24"/>
          <w:u w:val="single"/>
        </w:rPr>
        <w:t xml:space="preserve"> </w:t>
      </w:r>
    </w:p>
    <w:p w:rsidR="00B17940" w:rsidRPr="009D7ACB" w:rsidRDefault="00B17940" w:rsidP="00B17940">
      <w:pPr>
        <w:pStyle w:val="Brdtekst3"/>
        <w:tabs>
          <w:tab w:val="left" w:pos="851"/>
        </w:tabs>
        <w:spacing w:after="0"/>
        <w:ind w:left="851"/>
        <w:rPr>
          <w:color w:val="000000"/>
          <w:sz w:val="24"/>
          <w:szCs w:val="24"/>
        </w:rPr>
      </w:pP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er ikke undersøgt specifik</w:t>
      </w:r>
      <w:r>
        <w:rPr>
          <w:color w:val="000000"/>
          <w:sz w:val="24"/>
          <w:szCs w:val="24"/>
        </w:rPr>
        <w:t>t</w:t>
      </w:r>
      <w:r w:rsidRPr="009D7ACB">
        <w:rPr>
          <w:color w:val="000000"/>
          <w:sz w:val="24"/>
          <w:szCs w:val="24"/>
        </w:rPr>
        <w:t xml:space="preserve"> til anvendelse hos patienter med nedsat nyrefunktion (se pkt. 4.4).</w:t>
      </w:r>
    </w:p>
    <w:p w:rsidR="00B17940" w:rsidRPr="009D7ACB" w:rsidRDefault="00B17940" w:rsidP="00B17940">
      <w:pPr>
        <w:pStyle w:val="Brdtekst3"/>
        <w:tabs>
          <w:tab w:val="left" w:pos="851"/>
        </w:tabs>
        <w:spacing w:after="0"/>
        <w:ind w:left="856"/>
        <w:rPr>
          <w:b/>
          <w:color w:val="000000"/>
          <w:sz w:val="24"/>
          <w:szCs w:val="24"/>
        </w:rPr>
      </w:pPr>
    </w:p>
    <w:p w:rsidR="00B17940" w:rsidRPr="004563C7" w:rsidRDefault="00B17940" w:rsidP="00B17940">
      <w:pPr>
        <w:pStyle w:val="Brdtekst3"/>
        <w:tabs>
          <w:tab w:val="left" w:pos="851"/>
        </w:tabs>
        <w:spacing w:after="0"/>
        <w:rPr>
          <w:i/>
          <w:color w:val="000000"/>
          <w:sz w:val="24"/>
          <w:szCs w:val="24"/>
        </w:rPr>
      </w:pPr>
      <w:r w:rsidRPr="00960CB5">
        <w:rPr>
          <w:b/>
          <w:color w:val="000000"/>
          <w:sz w:val="24"/>
          <w:szCs w:val="24"/>
        </w:rPr>
        <w:tab/>
      </w:r>
      <w:r w:rsidRPr="004563C7">
        <w:rPr>
          <w:i/>
          <w:color w:val="000000"/>
          <w:sz w:val="24"/>
          <w:szCs w:val="24"/>
        </w:rPr>
        <w:t>Administration</w:t>
      </w:r>
    </w:p>
    <w:p w:rsidR="00B17940" w:rsidRDefault="00B17940" w:rsidP="00B17940">
      <w:pPr>
        <w:pStyle w:val="Brdtekst3"/>
        <w:tabs>
          <w:tab w:val="left" w:pos="851"/>
        </w:tabs>
        <w:spacing w:after="0"/>
        <w:ind w:left="85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er til subkutan anvendelse.</w:t>
      </w:r>
    </w:p>
    <w:p w:rsidR="00B17940" w:rsidRDefault="00B17940" w:rsidP="00B17940">
      <w:pPr>
        <w:pStyle w:val="Brdtekst3"/>
        <w:tabs>
          <w:tab w:val="left" w:pos="851"/>
        </w:tabs>
        <w:spacing w:after="0"/>
        <w:ind w:left="855"/>
        <w:rPr>
          <w:color w:val="000000"/>
          <w:sz w:val="24"/>
          <w:szCs w:val="24"/>
        </w:rPr>
      </w:pPr>
    </w:p>
    <w:p w:rsidR="00B17940" w:rsidRPr="009D7ACB" w:rsidRDefault="00B17940" w:rsidP="00B17940">
      <w:pPr>
        <w:pStyle w:val="Brdtekst3"/>
        <w:tabs>
          <w:tab w:val="left" w:pos="851"/>
        </w:tabs>
        <w:spacing w:after="0"/>
        <w:ind w:left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Patienterne bør instrueres i selv-injektionsteknik og bør overvåges af en sygeplejerske eller læge den første gang, de selv-injicerer, og i 30 minutter efter injektionen.</w:t>
      </w:r>
    </w:p>
    <w:p w:rsidR="00B17940" w:rsidRPr="009D7ACB" w:rsidRDefault="00B17940" w:rsidP="00B17940">
      <w:pPr>
        <w:tabs>
          <w:tab w:val="left" w:pos="-720"/>
          <w:tab w:val="left" w:pos="851"/>
        </w:tabs>
        <w:suppressAutoHyphens/>
        <w:ind w:left="855"/>
        <w:rPr>
          <w:color w:val="000000"/>
          <w:sz w:val="24"/>
          <w:szCs w:val="24"/>
        </w:rPr>
      </w:pPr>
    </w:p>
    <w:p w:rsidR="00B17940" w:rsidRDefault="00B17940" w:rsidP="00B17940">
      <w:pPr>
        <w:pStyle w:val="Brdtekstindrykning3"/>
        <w:spacing w:after="0"/>
        <w:ind w:left="855"/>
        <w:rPr>
          <w:sz w:val="24"/>
          <w:szCs w:val="24"/>
        </w:rPr>
      </w:pPr>
      <w:r w:rsidRPr="009D7ACB">
        <w:rPr>
          <w:sz w:val="24"/>
          <w:szCs w:val="24"/>
        </w:rPr>
        <w:t xml:space="preserve">Der bør vælges et nyt sted </w:t>
      </w:r>
      <w:r>
        <w:rPr>
          <w:sz w:val="24"/>
          <w:szCs w:val="24"/>
        </w:rPr>
        <w:t>for hver</w:t>
      </w:r>
      <w:r w:rsidRPr="009D7ACB">
        <w:rPr>
          <w:sz w:val="24"/>
          <w:szCs w:val="24"/>
        </w:rPr>
        <w:t xml:space="preserve"> injektion</w:t>
      </w:r>
      <w:r>
        <w:rPr>
          <w:sz w:val="24"/>
          <w:szCs w:val="24"/>
        </w:rPr>
        <w:t xml:space="preserve"> </w:t>
      </w:r>
      <w:r w:rsidRPr="009D7ACB">
        <w:rPr>
          <w:sz w:val="24"/>
          <w:szCs w:val="24"/>
        </w:rPr>
        <w:t>for at reducere risikoen for irritation eller smerte på injektionsstedet. Steder til selv-injektion omfatter mave, arm, hofte og lår.</w:t>
      </w:r>
    </w:p>
    <w:p w:rsidR="00B17940" w:rsidRDefault="00B17940" w:rsidP="00B17940">
      <w:pPr>
        <w:pStyle w:val="Brdtekstindrykning3"/>
        <w:spacing w:after="0"/>
        <w:ind w:left="855"/>
        <w:rPr>
          <w:sz w:val="24"/>
          <w:szCs w:val="24"/>
        </w:rPr>
      </w:pPr>
    </w:p>
    <w:p w:rsidR="00B17940" w:rsidRPr="009D7ACB" w:rsidRDefault="00B17940" w:rsidP="00B17940">
      <w:pPr>
        <w:pStyle w:val="Brdtekstindrykning3"/>
        <w:spacing w:after="0"/>
        <w:ind w:left="855"/>
        <w:rPr>
          <w:sz w:val="24"/>
          <w:szCs w:val="24"/>
        </w:rPr>
      </w:pPr>
      <w:r>
        <w:rPr>
          <w:sz w:val="24"/>
          <w:szCs w:val="24"/>
        </w:rPr>
        <w:t>Hvis patienten ønsker at foretage injektioner ved hjælp af en autoinjektor, er det muligt at bruge en My-</w:t>
      </w:r>
      <w:proofErr w:type="spellStart"/>
      <w:r>
        <w:rPr>
          <w:sz w:val="24"/>
          <w:szCs w:val="24"/>
        </w:rPr>
        <w:t>Ject</w:t>
      </w:r>
      <w:proofErr w:type="spellEnd"/>
      <w:r>
        <w:rPr>
          <w:sz w:val="24"/>
          <w:szCs w:val="24"/>
        </w:rPr>
        <w:t>-autoinjektor. My-</w:t>
      </w:r>
      <w:proofErr w:type="spellStart"/>
      <w:r>
        <w:rPr>
          <w:sz w:val="24"/>
          <w:szCs w:val="24"/>
        </w:rPr>
        <w:t>Ject</w:t>
      </w:r>
      <w:proofErr w:type="spellEnd"/>
      <w:r>
        <w:rPr>
          <w:sz w:val="24"/>
          <w:szCs w:val="24"/>
        </w:rPr>
        <w:t xml:space="preserve">-autoinjektoren er beregnet til </w:t>
      </w:r>
      <w:proofErr w:type="spellStart"/>
      <w:r>
        <w:rPr>
          <w:sz w:val="24"/>
          <w:szCs w:val="24"/>
        </w:rPr>
        <w:t>Copemyl</w:t>
      </w:r>
      <w:proofErr w:type="spellEnd"/>
      <w:r>
        <w:rPr>
          <w:sz w:val="24"/>
          <w:szCs w:val="24"/>
        </w:rPr>
        <w:t xml:space="preserve"> fyldte injektionssprøjter, og den er ikke testet i kombination med andre fyldte injektionssprøjter. My</w:t>
      </w:r>
      <w:r>
        <w:rPr>
          <w:sz w:val="24"/>
          <w:szCs w:val="24"/>
        </w:rPr>
        <w:noBreakHyphen/>
      </w:r>
      <w:proofErr w:type="spellStart"/>
      <w:r>
        <w:rPr>
          <w:sz w:val="24"/>
          <w:szCs w:val="24"/>
        </w:rPr>
        <w:t>Ject</w:t>
      </w:r>
      <w:proofErr w:type="spellEnd"/>
      <w:r>
        <w:rPr>
          <w:sz w:val="24"/>
          <w:szCs w:val="24"/>
        </w:rPr>
        <w:t>-autoinjektoren skal anvendes i henhold til den brugsanvisning, der følger med autoinjektoren.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4.3</w:t>
      </w:r>
      <w:r w:rsidRPr="009D7ACB">
        <w:rPr>
          <w:b/>
          <w:sz w:val="24"/>
          <w:szCs w:val="24"/>
        </w:rPr>
        <w:tab/>
      </w:r>
      <w:r>
        <w:rPr>
          <w:b/>
          <w:sz w:val="24"/>
          <w:szCs w:val="24"/>
        </w:rPr>
        <w:t>Kontraindikationer</w:t>
      </w:r>
    </w:p>
    <w:p w:rsidR="00B17940" w:rsidRDefault="00B17940" w:rsidP="00B17940">
      <w:pPr>
        <w:tabs>
          <w:tab w:val="left" w:pos="851"/>
        </w:tabs>
        <w:ind w:left="142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er kontraindiceret ved:</w:t>
      </w:r>
    </w:p>
    <w:p w:rsidR="00B17940" w:rsidRDefault="00B17940" w:rsidP="00B17940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Overfølsomhed over for det aktive stof (</w:t>
      </w:r>
      <w:proofErr w:type="spellStart"/>
      <w:r>
        <w:rPr>
          <w:sz w:val="24"/>
          <w:szCs w:val="24"/>
        </w:rPr>
        <w:t>glatirameracetat</w:t>
      </w:r>
      <w:proofErr w:type="spellEnd"/>
      <w:r>
        <w:rPr>
          <w:sz w:val="24"/>
          <w:szCs w:val="24"/>
        </w:rPr>
        <w:t>) eller over for et eller flere af hjælpestofferne anført i pkt. 6.1.</w:t>
      </w:r>
    </w:p>
    <w:p w:rsidR="00F50AE3" w:rsidRDefault="00F50AE3" w:rsidP="00F50AE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F10CF" w:rsidRDefault="003F10CF" w:rsidP="00F50AE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F10CF" w:rsidRPr="009D7ACB" w:rsidRDefault="003F10CF" w:rsidP="00F50AE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lastRenderedPageBreak/>
        <w:t>4.4</w:t>
      </w:r>
      <w:r w:rsidRPr="009D7ACB">
        <w:rPr>
          <w:b/>
          <w:sz w:val="24"/>
          <w:szCs w:val="24"/>
        </w:rPr>
        <w:tab/>
        <w:t>Særlige advarsler og forsigtighedsregler vedrørende brugen</w:t>
      </w:r>
    </w:p>
    <w:p w:rsidR="00B17940" w:rsidRPr="009D7ACB" w:rsidRDefault="00B17940" w:rsidP="00B17940">
      <w:pPr>
        <w:tabs>
          <w:tab w:val="left" w:pos="851"/>
        </w:tabs>
        <w:ind w:left="851"/>
        <w:rPr>
          <w:color w:val="000000"/>
          <w:sz w:val="24"/>
          <w:szCs w:val="24"/>
        </w:rPr>
      </w:pP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bør kun administreres subkutant.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bør ikke administreres intravenøst eller intramuskulært. </w:t>
      </w:r>
    </w:p>
    <w:p w:rsidR="00B17940" w:rsidRDefault="00B17940" w:rsidP="00B17940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6B712F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</w:rPr>
      </w:pPr>
      <w:proofErr w:type="spellStart"/>
      <w:r w:rsidRPr="00303CEC">
        <w:rPr>
          <w:color w:val="000000"/>
          <w:sz w:val="24"/>
          <w:szCs w:val="24"/>
        </w:rPr>
        <w:t>Glatirameracetat</w:t>
      </w:r>
      <w:proofErr w:type="spellEnd"/>
      <w:r w:rsidRPr="00303CEC">
        <w:rPr>
          <w:color w:val="000000"/>
          <w:sz w:val="24"/>
          <w:szCs w:val="24"/>
        </w:rPr>
        <w:t xml:space="preserve"> kan forårsage reaktioner efter injektion samt </w:t>
      </w:r>
      <w:proofErr w:type="spellStart"/>
      <w:r w:rsidRPr="00303CEC">
        <w:rPr>
          <w:color w:val="000000"/>
          <w:sz w:val="24"/>
          <w:szCs w:val="24"/>
        </w:rPr>
        <w:t>anafylaktiske</w:t>
      </w:r>
      <w:proofErr w:type="spellEnd"/>
      <w:r w:rsidRPr="00303CEC">
        <w:rPr>
          <w:color w:val="000000"/>
          <w:sz w:val="24"/>
          <w:szCs w:val="24"/>
        </w:rPr>
        <w:t xml:space="preserve"> reaktioner (se pkt. 4.8):</w:t>
      </w:r>
    </w:p>
    <w:p w:rsidR="006B712F" w:rsidRPr="00303CEC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6B712F" w:rsidRPr="006B712F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  <w:u w:val="single"/>
        </w:rPr>
      </w:pPr>
      <w:r w:rsidRPr="00F940E4">
        <w:rPr>
          <w:color w:val="000000"/>
          <w:sz w:val="24"/>
          <w:szCs w:val="24"/>
          <w:u w:val="single"/>
        </w:rPr>
        <w:t>Reaktioner efter injektion</w:t>
      </w:r>
    </w:p>
    <w:p w:rsidR="00B17940" w:rsidRPr="009D7ACB" w:rsidRDefault="00B17940" w:rsidP="00B17940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Den behandlende læge bør forklare patienten at en reaktion med mindst et af følgende symptomer kan forekomme inden for minutter efter en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injektion: </w:t>
      </w:r>
      <w:proofErr w:type="spellStart"/>
      <w:r w:rsidRPr="009D7ACB">
        <w:rPr>
          <w:color w:val="000000"/>
          <w:sz w:val="24"/>
          <w:szCs w:val="24"/>
        </w:rPr>
        <w:t>vasodilation</w:t>
      </w:r>
      <w:proofErr w:type="spellEnd"/>
      <w:r w:rsidRPr="009D7ACB">
        <w:rPr>
          <w:color w:val="000000"/>
          <w:sz w:val="24"/>
          <w:szCs w:val="24"/>
        </w:rPr>
        <w:t xml:space="preserve"> (rødmen), brystsmerter, dyspnø, hjertebanken eller </w:t>
      </w:r>
      <w:proofErr w:type="spellStart"/>
      <w:r w:rsidRPr="009D7ACB">
        <w:rPr>
          <w:color w:val="000000"/>
          <w:sz w:val="24"/>
          <w:szCs w:val="24"/>
        </w:rPr>
        <w:t>takykardi</w:t>
      </w:r>
      <w:proofErr w:type="spellEnd"/>
      <w:r>
        <w:rPr>
          <w:color w:val="000000"/>
          <w:sz w:val="24"/>
          <w:szCs w:val="24"/>
        </w:rPr>
        <w:t xml:space="preserve"> (se pkt. 4.8)</w:t>
      </w:r>
      <w:r w:rsidRPr="009D7ACB">
        <w:rPr>
          <w:color w:val="000000"/>
          <w:sz w:val="24"/>
          <w:szCs w:val="24"/>
        </w:rPr>
        <w:t xml:space="preserve">. De fleste at disse reaktioner er kortvarige og forsvinder spontant uden følger. Hvis en alvorlig bivirkning opstår, skal patienten straks stoppe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behandlingen og kontakte sin læge eller en vagthavende læge. Symptomatisk behandling kan initieres under opsyn af lægen.</w:t>
      </w: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Der er ingen evidens for, at specielle patientgrupper har særlig risiko for disse reaktioner. Alligevel bør der udvises forsigtighed, når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administreres til patienter, som tidligere har haft hjertesygdomme. Disse patienter bør følges regelmæssigt under behandlingen.</w:t>
      </w:r>
    </w:p>
    <w:p w:rsidR="006B712F" w:rsidRDefault="006B712F" w:rsidP="006B712F">
      <w:pPr>
        <w:tabs>
          <w:tab w:val="left" w:pos="851"/>
        </w:tabs>
        <w:rPr>
          <w:color w:val="000000"/>
          <w:sz w:val="24"/>
          <w:szCs w:val="24"/>
        </w:rPr>
      </w:pPr>
    </w:p>
    <w:p w:rsidR="006B712F" w:rsidRPr="00F940E4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  <w:u w:val="single"/>
        </w:rPr>
      </w:pPr>
      <w:proofErr w:type="spellStart"/>
      <w:r w:rsidRPr="00F940E4">
        <w:rPr>
          <w:color w:val="000000"/>
          <w:sz w:val="24"/>
          <w:szCs w:val="24"/>
          <w:u w:val="single"/>
        </w:rPr>
        <w:t>Anafylaktiske</w:t>
      </w:r>
      <w:proofErr w:type="spellEnd"/>
      <w:r w:rsidRPr="00F940E4">
        <w:rPr>
          <w:color w:val="000000"/>
          <w:sz w:val="24"/>
          <w:szCs w:val="24"/>
          <w:u w:val="single"/>
        </w:rPr>
        <w:t xml:space="preserve"> reaktioner</w:t>
      </w:r>
    </w:p>
    <w:p w:rsidR="006B712F" w:rsidRPr="009D7ACB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</w:rPr>
      </w:pPr>
      <w:proofErr w:type="spellStart"/>
      <w:r w:rsidRPr="00303CEC">
        <w:rPr>
          <w:color w:val="000000"/>
          <w:sz w:val="24"/>
          <w:szCs w:val="24"/>
        </w:rPr>
        <w:t>Anafylaktiske</w:t>
      </w:r>
      <w:proofErr w:type="spellEnd"/>
      <w:r w:rsidRPr="00303CEC">
        <w:rPr>
          <w:color w:val="000000"/>
          <w:sz w:val="24"/>
          <w:szCs w:val="24"/>
        </w:rPr>
        <w:t xml:space="preserve"> reaktioner</w:t>
      </w:r>
      <w:r>
        <w:rPr>
          <w:color w:val="000000"/>
          <w:sz w:val="24"/>
          <w:szCs w:val="24"/>
        </w:rPr>
        <w:t xml:space="preserve"> </w:t>
      </w:r>
      <w:r w:rsidRPr="009D7ACB">
        <w:rPr>
          <w:color w:val="000000"/>
          <w:sz w:val="24"/>
          <w:szCs w:val="24"/>
        </w:rPr>
        <w:t xml:space="preserve">kan forekomme </w:t>
      </w:r>
      <w:r w:rsidRPr="00303CEC">
        <w:rPr>
          <w:color w:val="000000"/>
          <w:sz w:val="24"/>
          <w:szCs w:val="24"/>
        </w:rPr>
        <w:t xml:space="preserve">kort efter administration af </w:t>
      </w:r>
      <w:proofErr w:type="spellStart"/>
      <w:r w:rsidRPr="00303CEC">
        <w:rPr>
          <w:color w:val="000000"/>
          <w:sz w:val="24"/>
          <w:szCs w:val="24"/>
        </w:rPr>
        <w:t>glatirameracetat</w:t>
      </w:r>
      <w:proofErr w:type="spellEnd"/>
      <w:r w:rsidRPr="00303CEC">
        <w:rPr>
          <w:color w:val="000000"/>
          <w:sz w:val="24"/>
          <w:szCs w:val="24"/>
        </w:rPr>
        <w:t xml:space="preserve">, men også måneder eller år efter initiering af behandlingen (se pkt. 4.8). Tilfælde med dødelig udgang er rapporteret. Nogle tegn og symptomer på </w:t>
      </w:r>
      <w:proofErr w:type="spellStart"/>
      <w:r w:rsidRPr="00303CEC">
        <w:rPr>
          <w:color w:val="000000"/>
          <w:sz w:val="24"/>
          <w:szCs w:val="24"/>
        </w:rPr>
        <w:t>anafylaktiske</w:t>
      </w:r>
      <w:proofErr w:type="spellEnd"/>
      <w:r w:rsidRPr="00303CEC">
        <w:rPr>
          <w:color w:val="000000"/>
          <w:sz w:val="24"/>
          <w:szCs w:val="24"/>
        </w:rPr>
        <w:t xml:space="preserve"> reaktioner kan overlappe reaktioner efter injektioner.</w:t>
      </w:r>
    </w:p>
    <w:p w:rsidR="006B712F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6B712F" w:rsidRPr="00303CEC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303CEC">
        <w:rPr>
          <w:color w:val="000000"/>
          <w:sz w:val="24"/>
          <w:szCs w:val="24"/>
        </w:rPr>
        <w:t xml:space="preserve">Alle patienter, som får behandling med </w:t>
      </w:r>
      <w:proofErr w:type="spellStart"/>
      <w:r>
        <w:rPr>
          <w:color w:val="000000"/>
          <w:sz w:val="24"/>
          <w:szCs w:val="24"/>
        </w:rPr>
        <w:t>Copemyl</w:t>
      </w:r>
      <w:proofErr w:type="spellEnd"/>
      <w:r w:rsidRPr="00303CEC">
        <w:rPr>
          <w:color w:val="000000"/>
          <w:sz w:val="24"/>
          <w:szCs w:val="24"/>
        </w:rPr>
        <w:t xml:space="preserve">, og omsorgspersoner bør informeres om de tegn og symptomer, der er specifikke for </w:t>
      </w:r>
      <w:proofErr w:type="spellStart"/>
      <w:r w:rsidRPr="00303CEC">
        <w:rPr>
          <w:color w:val="000000"/>
          <w:sz w:val="24"/>
          <w:szCs w:val="24"/>
        </w:rPr>
        <w:t>anafylaktiske</w:t>
      </w:r>
      <w:proofErr w:type="spellEnd"/>
      <w:r w:rsidRPr="00303CEC">
        <w:rPr>
          <w:color w:val="000000"/>
          <w:sz w:val="24"/>
          <w:szCs w:val="24"/>
        </w:rPr>
        <w:t xml:space="preserve"> reaktioner, og at de straks skal søge akut behandling, hvis de oplever disse symptomer (se pkt. 4.8).</w:t>
      </w:r>
    </w:p>
    <w:p w:rsidR="006B712F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303CEC">
        <w:rPr>
          <w:color w:val="000000"/>
          <w:sz w:val="24"/>
          <w:szCs w:val="24"/>
        </w:rPr>
        <w:t xml:space="preserve">Hvis der forekommer en </w:t>
      </w:r>
      <w:proofErr w:type="spellStart"/>
      <w:r w:rsidRPr="00303CEC">
        <w:rPr>
          <w:color w:val="000000"/>
          <w:sz w:val="24"/>
          <w:szCs w:val="24"/>
        </w:rPr>
        <w:t>anafylaktisk</w:t>
      </w:r>
      <w:proofErr w:type="spellEnd"/>
      <w:r w:rsidRPr="00303CEC">
        <w:rPr>
          <w:color w:val="000000"/>
          <w:sz w:val="24"/>
          <w:szCs w:val="24"/>
        </w:rPr>
        <w:t xml:space="preserve"> reaktion, skal behandling med </w:t>
      </w:r>
      <w:proofErr w:type="spellStart"/>
      <w:r>
        <w:rPr>
          <w:color w:val="000000"/>
          <w:sz w:val="24"/>
          <w:szCs w:val="24"/>
        </w:rPr>
        <w:t>Copemyl</w:t>
      </w:r>
      <w:proofErr w:type="spellEnd"/>
      <w:r w:rsidRPr="00303CEC">
        <w:rPr>
          <w:color w:val="000000"/>
          <w:sz w:val="24"/>
          <w:szCs w:val="24"/>
        </w:rPr>
        <w:t xml:space="preserve"> stoppes (se pkt. 4.3).</w:t>
      </w: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-reaktive antistoffer blev målt i patienters serum under daglig kronisk behandling med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>. Maximale niveauer blev opnået efter en gennemsnitlig behandlingsvarighed på 3-4 måneder og faldt derefter og stabiliserede sig lidt over udgangsniveauet.</w:t>
      </w: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Der er ingen evidens for, at disse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-reaktive antistoffer virker neutraliserende, eller at deres dannelse påvirker den kliniske effekt af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>.</w:t>
      </w: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sz w:val="24"/>
          <w:szCs w:val="24"/>
        </w:rPr>
      </w:pPr>
      <w:r w:rsidRPr="009D7ACB">
        <w:rPr>
          <w:color w:val="000000"/>
          <w:sz w:val="24"/>
          <w:szCs w:val="24"/>
        </w:rPr>
        <w:tab/>
        <w:t xml:space="preserve">Nyrefunktionen bør måles regelmæssigt hos patienter med nedsat nyrefunktion, imens de er i behandling med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. Selvom der ikke er evidens for </w:t>
      </w:r>
      <w:proofErr w:type="spellStart"/>
      <w:r w:rsidRPr="009D7ACB">
        <w:rPr>
          <w:color w:val="000000"/>
          <w:sz w:val="24"/>
          <w:szCs w:val="24"/>
        </w:rPr>
        <w:t>glomerulær</w:t>
      </w:r>
      <w:proofErr w:type="spellEnd"/>
      <w:r w:rsidRPr="009D7ACB">
        <w:rPr>
          <w:color w:val="000000"/>
          <w:sz w:val="24"/>
          <w:szCs w:val="24"/>
        </w:rPr>
        <w:t xml:space="preserve"> </w:t>
      </w:r>
      <w:proofErr w:type="spellStart"/>
      <w:r w:rsidRPr="009D7ACB">
        <w:rPr>
          <w:color w:val="000000"/>
          <w:sz w:val="24"/>
          <w:szCs w:val="24"/>
        </w:rPr>
        <w:t>deposition</w:t>
      </w:r>
      <w:proofErr w:type="spellEnd"/>
      <w:r w:rsidRPr="009D7ACB">
        <w:rPr>
          <w:color w:val="000000"/>
          <w:sz w:val="24"/>
          <w:szCs w:val="24"/>
        </w:rPr>
        <w:t xml:space="preserve"> af immunkomplekser hos patienter, kan muligheden ikke udelukkes.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4.5</w:t>
      </w:r>
      <w:r w:rsidRPr="009D7ACB">
        <w:rPr>
          <w:b/>
          <w:sz w:val="24"/>
          <w:szCs w:val="24"/>
        </w:rPr>
        <w:tab/>
        <w:t>Interaktion med andre lægemidler og andre former for interaktion</w:t>
      </w:r>
    </w:p>
    <w:p w:rsidR="00F50AE3" w:rsidRPr="009D7ACB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Interaktion mellem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og andre lægemidler er ikke formelt undersøgt.</w:t>
      </w:r>
    </w:p>
    <w:p w:rsidR="00F50AE3" w:rsidRPr="009D7ACB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Observationer fra eksisterende kliniske forsøg og erfaringer post-marketing, tyder ikke på signifikante interaktioner mellem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og andre behandlinger typisk anvendt til MS patienter, inklusiv samtidig behandling med </w:t>
      </w:r>
      <w:proofErr w:type="spellStart"/>
      <w:r w:rsidRPr="009D7ACB">
        <w:rPr>
          <w:color w:val="000000"/>
          <w:sz w:val="24"/>
          <w:szCs w:val="24"/>
        </w:rPr>
        <w:t>kortikosteroider</w:t>
      </w:r>
      <w:proofErr w:type="spellEnd"/>
      <w:r w:rsidRPr="009D7ACB">
        <w:rPr>
          <w:color w:val="000000"/>
          <w:sz w:val="24"/>
          <w:szCs w:val="24"/>
        </w:rPr>
        <w:t xml:space="preserve"> i op til 28 dage.</w:t>
      </w:r>
    </w:p>
    <w:p w:rsidR="00F50AE3" w:rsidRPr="009D7ACB" w:rsidRDefault="00F50AE3" w:rsidP="00F50AE3">
      <w:pPr>
        <w:tabs>
          <w:tab w:val="left" w:pos="851"/>
        </w:tabs>
        <w:suppressAutoHyphens/>
        <w:rPr>
          <w:color w:val="000000"/>
          <w:sz w:val="24"/>
          <w:szCs w:val="24"/>
        </w:rPr>
      </w:pPr>
    </w:p>
    <w:p w:rsidR="00F50AE3" w:rsidRPr="009D7ACB" w:rsidRDefault="00F50AE3" w:rsidP="00F50AE3">
      <w:pPr>
        <w:ind w:left="851" w:hanging="851"/>
        <w:rPr>
          <w:sz w:val="24"/>
          <w:szCs w:val="24"/>
        </w:rPr>
      </w:pPr>
      <w:r w:rsidRPr="009D7ACB">
        <w:rPr>
          <w:color w:val="000000"/>
          <w:sz w:val="24"/>
          <w:szCs w:val="24"/>
        </w:rPr>
        <w:tab/>
      </w:r>
      <w:r w:rsidRPr="009D7ACB">
        <w:rPr>
          <w:i/>
          <w:color w:val="000000"/>
          <w:sz w:val="24"/>
          <w:szCs w:val="24"/>
        </w:rPr>
        <w:t xml:space="preserve">In </w:t>
      </w:r>
      <w:proofErr w:type="spellStart"/>
      <w:r w:rsidRPr="009D7ACB">
        <w:rPr>
          <w:i/>
          <w:color w:val="000000"/>
          <w:sz w:val="24"/>
          <w:szCs w:val="24"/>
        </w:rPr>
        <w:t>vitro</w:t>
      </w:r>
      <w:proofErr w:type="spellEnd"/>
      <w:r w:rsidRPr="009D7ACB">
        <w:rPr>
          <w:color w:val="000000"/>
          <w:sz w:val="24"/>
          <w:szCs w:val="24"/>
        </w:rPr>
        <w:t xml:space="preserve"> undersøgelser tyder på, at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i blod er kraftigt bundet til plasmaproteiner, men ikke bliver fortrængt eller fortrænger </w:t>
      </w:r>
      <w:proofErr w:type="spellStart"/>
      <w:r w:rsidRPr="009D7ACB">
        <w:rPr>
          <w:color w:val="000000"/>
          <w:sz w:val="24"/>
          <w:szCs w:val="24"/>
        </w:rPr>
        <w:t>phenytoin</w:t>
      </w:r>
      <w:proofErr w:type="spellEnd"/>
      <w:r w:rsidRPr="009D7ACB">
        <w:rPr>
          <w:color w:val="000000"/>
          <w:sz w:val="24"/>
          <w:szCs w:val="24"/>
        </w:rPr>
        <w:t xml:space="preserve"> eller </w:t>
      </w:r>
      <w:proofErr w:type="spellStart"/>
      <w:r w:rsidRPr="009D7ACB">
        <w:rPr>
          <w:color w:val="000000"/>
          <w:sz w:val="24"/>
          <w:szCs w:val="24"/>
        </w:rPr>
        <w:t>carbamazepin</w:t>
      </w:r>
      <w:proofErr w:type="spellEnd"/>
      <w:r w:rsidRPr="009D7ACB">
        <w:rPr>
          <w:color w:val="000000"/>
          <w:sz w:val="24"/>
          <w:szCs w:val="24"/>
        </w:rPr>
        <w:t xml:space="preserve">. Da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imidlertid teoretisk har potentiale for at have effekt på fordelingen af proteinbundne stoffer, bør samtidig behandling med sådanne lægemidler monitoreres nøje.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Default="00F50AE3" w:rsidP="00B17940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4.6</w:t>
      </w:r>
      <w:r w:rsidRPr="009D7ACB">
        <w:rPr>
          <w:b/>
          <w:sz w:val="24"/>
          <w:szCs w:val="24"/>
        </w:rPr>
        <w:tab/>
      </w:r>
      <w:r w:rsidR="003C72BF">
        <w:rPr>
          <w:b/>
          <w:sz w:val="24"/>
          <w:szCs w:val="24"/>
        </w:rPr>
        <w:t>Fertilitet, g</w:t>
      </w:r>
      <w:r>
        <w:rPr>
          <w:b/>
          <w:sz w:val="24"/>
          <w:szCs w:val="24"/>
        </w:rPr>
        <w:t>raviditet og amning</w:t>
      </w:r>
    </w:p>
    <w:p w:rsidR="006B712F" w:rsidRDefault="00F50AE3" w:rsidP="006B712F">
      <w:pPr>
        <w:tabs>
          <w:tab w:val="left" w:pos="851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6B712F">
        <w:rPr>
          <w:sz w:val="24"/>
          <w:szCs w:val="24"/>
          <w:u w:val="single"/>
        </w:rPr>
        <w:t>Graviditet</w:t>
      </w:r>
    </w:p>
    <w:p w:rsidR="006B712F" w:rsidRPr="00F3269E" w:rsidRDefault="006B712F" w:rsidP="006B712F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F3269E">
        <w:rPr>
          <w:color w:val="000000"/>
          <w:sz w:val="24"/>
          <w:szCs w:val="24"/>
        </w:rPr>
        <w:t xml:space="preserve">Data fra anvendelse af </w:t>
      </w:r>
      <w:proofErr w:type="spellStart"/>
      <w:r w:rsidRPr="00F3269E">
        <w:rPr>
          <w:color w:val="000000"/>
          <w:sz w:val="24"/>
          <w:szCs w:val="24"/>
        </w:rPr>
        <w:t>glatirameracetat</w:t>
      </w:r>
      <w:proofErr w:type="spellEnd"/>
      <w:r w:rsidRPr="00F3269E">
        <w:rPr>
          <w:color w:val="000000"/>
          <w:sz w:val="24"/>
          <w:szCs w:val="24"/>
        </w:rPr>
        <w:t xml:space="preserve"> hos et begrænset antal gravide kvinder (mellem 300 og 1</w:t>
      </w:r>
      <w:r>
        <w:rPr>
          <w:color w:val="000000"/>
          <w:sz w:val="24"/>
          <w:szCs w:val="24"/>
        </w:rPr>
        <w:t>.</w:t>
      </w:r>
      <w:r w:rsidRPr="00F3269E">
        <w:rPr>
          <w:color w:val="000000"/>
          <w:sz w:val="24"/>
          <w:szCs w:val="24"/>
        </w:rPr>
        <w:t xml:space="preserve">000 graviditeter) indikerer ingen misdannelser eller </w:t>
      </w:r>
      <w:proofErr w:type="spellStart"/>
      <w:r w:rsidRPr="00F3269E">
        <w:rPr>
          <w:color w:val="000000"/>
          <w:sz w:val="24"/>
          <w:szCs w:val="24"/>
        </w:rPr>
        <w:t>føtal</w:t>
      </w:r>
      <w:proofErr w:type="spellEnd"/>
      <w:r w:rsidRPr="00F3269E">
        <w:rPr>
          <w:color w:val="000000"/>
          <w:sz w:val="24"/>
          <w:szCs w:val="24"/>
        </w:rPr>
        <w:t>/neonatal toksicitet.</w:t>
      </w:r>
    </w:p>
    <w:p w:rsidR="006B712F" w:rsidRPr="00F3269E" w:rsidRDefault="006B712F" w:rsidP="006B712F">
      <w:pPr>
        <w:tabs>
          <w:tab w:val="left" w:pos="851"/>
        </w:tabs>
        <w:rPr>
          <w:color w:val="000000"/>
          <w:sz w:val="24"/>
          <w:szCs w:val="24"/>
        </w:rPr>
      </w:pPr>
    </w:p>
    <w:p w:rsidR="006B712F" w:rsidRPr="00F3269E" w:rsidRDefault="006B712F" w:rsidP="006B712F">
      <w:p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F3269E">
        <w:rPr>
          <w:color w:val="000000"/>
          <w:sz w:val="24"/>
          <w:szCs w:val="24"/>
        </w:rPr>
        <w:t>Dyreforsøg indikerer ikke reproduktionstoksicitet (se pkt. 5.3).</w:t>
      </w:r>
    </w:p>
    <w:p w:rsidR="006B712F" w:rsidRPr="00F3269E" w:rsidRDefault="006B712F" w:rsidP="006B712F">
      <w:pPr>
        <w:tabs>
          <w:tab w:val="left" w:pos="851"/>
        </w:tabs>
        <w:rPr>
          <w:color w:val="000000"/>
          <w:sz w:val="24"/>
          <w:szCs w:val="24"/>
        </w:rPr>
      </w:pPr>
    </w:p>
    <w:p w:rsidR="00F50AE3" w:rsidRDefault="006B712F" w:rsidP="006B712F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F3269E">
        <w:rPr>
          <w:color w:val="000000"/>
          <w:sz w:val="24"/>
          <w:szCs w:val="24"/>
        </w:rPr>
        <w:t xml:space="preserve">Anvendelse af </w:t>
      </w:r>
      <w:proofErr w:type="spellStart"/>
      <w:r>
        <w:rPr>
          <w:color w:val="000000"/>
          <w:sz w:val="24"/>
          <w:szCs w:val="24"/>
        </w:rPr>
        <w:t>Copemyl</w:t>
      </w:r>
      <w:proofErr w:type="spellEnd"/>
      <w:r w:rsidRPr="00816491">
        <w:rPr>
          <w:color w:val="000000"/>
          <w:sz w:val="24"/>
          <w:szCs w:val="24"/>
        </w:rPr>
        <w:t xml:space="preserve"> </w:t>
      </w:r>
      <w:r w:rsidRPr="00F3269E">
        <w:rPr>
          <w:color w:val="000000"/>
          <w:sz w:val="24"/>
          <w:szCs w:val="24"/>
        </w:rPr>
        <w:t>kan overvejes under graviditeten, hvis det er nødvendigt</w:t>
      </w:r>
      <w:r>
        <w:rPr>
          <w:color w:val="000000"/>
          <w:sz w:val="24"/>
          <w:szCs w:val="24"/>
        </w:rPr>
        <w:t>.</w:t>
      </w:r>
    </w:p>
    <w:p w:rsidR="006B712F" w:rsidRPr="006B712F" w:rsidRDefault="006B712F" w:rsidP="006B712F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</w:p>
    <w:p w:rsidR="003C72BF" w:rsidRDefault="003C72BF" w:rsidP="003C72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3C72BF" w:rsidRPr="00B62A26" w:rsidRDefault="003C72BF" w:rsidP="003C72BF">
      <w:pPr>
        <w:tabs>
          <w:tab w:val="left" w:pos="851"/>
        </w:tabs>
        <w:ind w:left="851" w:hanging="851"/>
        <w:rPr>
          <w:color w:val="000000"/>
        </w:rPr>
      </w:pPr>
      <w:r>
        <w:rPr>
          <w:color w:val="000000"/>
        </w:rPr>
        <w:tab/>
      </w:r>
      <w:r w:rsidRPr="00B62A26">
        <w:rPr>
          <w:color w:val="000000"/>
        </w:rPr>
        <w:t>De fysisk-kemiske egenskaber og lav oral absorption tyder på</w:t>
      </w:r>
      <w:r>
        <w:rPr>
          <w:color w:val="000000"/>
        </w:rPr>
        <w:t>,</w:t>
      </w:r>
      <w:r w:rsidRPr="00B62A26">
        <w:rPr>
          <w:color w:val="000000"/>
        </w:rPr>
        <w:t xml:space="preserve"> </w:t>
      </w:r>
      <w:r>
        <w:rPr>
          <w:color w:val="000000"/>
        </w:rPr>
        <w:t xml:space="preserve">at </w:t>
      </w:r>
      <w:r w:rsidRPr="00B62A26">
        <w:rPr>
          <w:color w:val="000000"/>
        </w:rPr>
        <w:t xml:space="preserve">eksponering </w:t>
      </w:r>
      <w:r>
        <w:rPr>
          <w:color w:val="000000"/>
        </w:rPr>
        <w:t xml:space="preserve">af </w:t>
      </w:r>
      <w:proofErr w:type="spellStart"/>
      <w:r>
        <w:rPr>
          <w:color w:val="000000"/>
        </w:rPr>
        <w:t>glatirameracetat</w:t>
      </w:r>
      <w:proofErr w:type="spellEnd"/>
      <w:r>
        <w:rPr>
          <w:color w:val="000000"/>
        </w:rPr>
        <w:t xml:space="preserve"> </w:t>
      </w:r>
      <w:r w:rsidRPr="00B62A26">
        <w:rPr>
          <w:color w:val="000000"/>
        </w:rPr>
        <w:t>hos nyfødte</w:t>
      </w:r>
      <w:r>
        <w:rPr>
          <w:color w:val="000000"/>
        </w:rPr>
        <w:t xml:space="preserve">/spædbørn via modermælken er ubetydelig. </w:t>
      </w:r>
      <w:r w:rsidRPr="00B62A26">
        <w:rPr>
          <w:color w:val="000000"/>
        </w:rPr>
        <w:t xml:space="preserve">Et </w:t>
      </w:r>
      <w:r>
        <w:rPr>
          <w:color w:val="000000"/>
        </w:rPr>
        <w:t>non-</w:t>
      </w:r>
      <w:r w:rsidRPr="00B62A26">
        <w:rPr>
          <w:color w:val="000000"/>
        </w:rPr>
        <w:t>intervent</w:t>
      </w:r>
      <w:r>
        <w:rPr>
          <w:color w:val="000000"/>
        </w:rPr>
        <w:t>i</w:t>
      </w:r>
      <w:r w:rsidRPr="00B62A26">
        <w:rPr>
          <w:color w:val="000000"/>
        </w:rPr>
        <w:t>ons- og retro</w:t>
      </w:r>
      <w:r>
        <w:rPr>
          <w:color w:val="000000"/>
        </w:rPr>
        <w:t>s</w:t>
      </w:r>
      <w:r w:rsidRPr="00B62A26">
        <w:rPr>
          <w:color w:val="000000"/>
        </w:rPr>
        <w:t>pe</w:t>
      </w:r>
      <w:r>
        <w:rPr>
          <w:color w:val="000000"/>
        </w:rPr>
        <w:t>k</w:t>
      </w:r>
      <w:r w:rsidRPr="00B62A26">
        <w:rPr>
          <w:color w:val="000000"/>
        </w:rPr>
        <w:t xml:space="preserve">tivt studie </w:t>
      </w:r>
      <w:r>
        <w:rPr>
          <w:color w:val="000000"/>
        </w:rPr>
        <w:t>med</w:t>
      </w:r>
      <w:r w:rsidRPr="00B62A26">
        <w:rPr>
          <w:color w:val="000000"/>
        </w:rPr>
        <w:t xml:space="preserve"> 60 spædbørn</w:t>
      </w:r>
      <w:r>
        <w:rPr>
          <w:color w:val="000000"/>
        </w:rPr>
        <w:t xml:space="preserve"> </w:t>
      </w:r>
      <w:r w:rsidRPr="00B62A26">
        <w:rPr>
          <w:color w:val="000000"/>
        </w:rPr>
        <w:t xml:space="preserve">ammet af mødre, som </w:t>
      </w:r>
      <w:r>
        <w:rPr>
          <w:color w:val="000000"/>
        </w:rPr>
        <w:t>blev eksponeret for</w:t>
      </w:r>
      <w:r w:rsidRPr="00B62A26">
        <w:rPr>
          <w:color w:val="000000"/>
        </w:rPr>
        <w:t xml:space="preserve"> </w:t>
      </w:r>
      <w:proofErr w:type="spellStart"/>
      <w:r w:rsidRPr="00B62A26">
        <w:rPr>
          <w:color w:val="000000"/>
        </w:rPr>
        <w:t>glatirameracetat</w:t>
      </w:r>
      <w:proofErr w:type="spellEnd"/>
      <w:r w:rsidRPr="00B62A26">
        <w:rPr>
          <w:color w:val="000000"/>
        </w:rPr>
        <w:t xml:space="preserve"> sammenlignet med 60 spædbørn</w:t>
      </w:r>
      <w:r>
        <w:rPr>
          <w:color w:val="000000"/>
        </w:rPr>
        <w:t xml:space="preserve"> ammet af mødre, som ikke fik sygdomsmodificerende behandling, samt begrænsede data efter markedsføring, viste ikke nogen skadelige virkninger af </w:t>
      </w:r>
      <w:proofErr w:type="spellStart"/>
      <w:r w:rsidRPr="00B62A26">
        <w:rPr>
          <w:color w:val="000000"/>
        </w:rPr>
        <w:t>glatirameracetat</w:t>
      </w:r>
      <w:proofErr w:type="spellEnd"/>
      <w:r w:rsidRPr="00B62A26"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Copemyl</w:t>
      </w:r>
      <w:proofErr w:type="spellEnd"/>
      <w:r>
        <w:rPr>
          <w:color w:val="000000"/>
        </w:rPr>
        <w:t xml:space="preserve"> kan anvendes under amning.</w:t>
      </w:r>
    </w:p>
    <w:p w:rsidR="00F50AE3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  <w:t>Virkning på evnen til at føre motorkøretøj og betjene maskiner</w:t>
      </w:r>
    </w:p>
    <w:p w:rsidR="00F50AE3" w:rsidRDefault="00F50AE3" w:rsidP="00F50AE3">
      <w:pPr>
        <w:tabs>
          <w:tab w:val="left" w:pos="851"/>
        </w:tabs>
        <w:ind w:left="855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F50AE3" w:rsidRDefault="00F50AE3" w:rsidP="00F50AE3">
      <w:pPr>
        <w:ind w:left="8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Der er ikke udført studier på evnen til at føre motorkøretøj og betjene maskiner.</w:t>
      </w:r>
    </w:p>
    <w:p w:rsidR="00F50AE3" w:rsidRPr="009D7ACB" w:rsidRDefault="00F50AE3" w:rsidP="00F50AE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4.8</w:t>
      </w:r>
      <w:r w:rsidRPr="009D7ACB">
        <w:rPr>
          <w:b/>
          <w:sz w:val="24"/>
          <w:szCs w:val="24"/>
        </w:rPr>
        <w:tab/>
        <w:t>Bivirkninger</w:t>
      </w:r>
    </w:p>
    <w:p w:rsidR="00B17940" w:rsidRPr="009D7ACB" w:rsidRDefault="00B17940" w:rsidP="00B17940">
      <w:pPr>
        <w:pStyle w:val="Brdtekstindrykning2"/>
        <w:spacing w:after="0" w:line="240" w:lineRule="auto"/>
        <w:ind w:left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I alle kliniske forsøg var reaktioner på injektionsstedet observeret til at være den hyppigste bivirkning og blev rapporteret af størstedelen af patienter, som fik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. I kontrollerede forsøg var antallet af patienter, som rapporterede disse reaktioner, mindst en gang, højere hos patienter, der fik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(70</w:t>
      </w:r>
      <w:r>
        <w:rPr>
          <w:color w:val="000000"/>
          <w:sz w:val="24"/>
          <w:szCs w:val="24"/>
        </w:rPr>
        <w:t xml:space="preserve"> %</w:t>
      </w:r>
      <w:r w:rsidRPr="009D7ACB">
        <w:rPr>
          <w:color w:val="000000"/>
          <w:sz w:val="24"/>
          <w:szCs w:val="24"/>
        </w:rPr>
        <w:t>), end patienter der fik placeboinjektioner (37</w:t>
      </w:r>
      <w:r>
        <w:rPr>
          <w:color w:val="000000"/>
          <w:sz w:val="24"/>
          <w:szCs w:val="24"/>
        </w:rPr>
        <w:t xml:space="preserve"> %</w:t>
      </w:r>
      <w:r w:rsidRPr="009D7ACB">
        <w:rPr>
          <w:color w:val="000000"/>
          <w:sz w:val="24"/>
          <w:szCs w:val="24"/>
        </w:rPr>
        <w:t xml:space="preserve">). De mest almindeligt rapporterede reaktioner på injektionsstedet, i kliniske forsøg og erfaringer post-marketing, var </w:t>
      </w:r>
      <w:proofErr w:type="spellStart"/>
      <w:r w:rsidRPr="009D7ACB">
        <w:rPr>
          <w:color w:val="000000"/>
          <w:sz w:val="24"/>
          <w:szCs w:val="24"/>
        </w:rPr>
        <w:t>erytem</w:t>
      </w:r>
      <w:proofErr w:type="spellEnd"/>
      <w:r w:rsidRPr="009D7ACB">
        <w:rPr>
          <w:color w:val="000000"/>
          <w:sz w:val="24"/>
          <w:szCs w:val="24"/>
        </w:rPr>
        <w:t>, smerter, ansamling, kløe, ødemer, inflammation</w:t>
      </w:r>
      <w:r>
        <w:rPr>
          <w:color w:val="000000"/>
          <w:sz w:val="24"/>
          <w:szCs w:val="24"/>
        </w:rPr>
        <w:t>,</w:t>
      </w:r>
      <w:r w:rsidRPr="009D7ACB">
        <w:rPr>
          <w:color w:val="000000"/>
          <w:sz w:val="24"/>
          <w:szCs w:val="24"/>
        </w:rPr>
        <w:t xml:space="preserve"> hypersensitivitet samt sjældne tilfælde af </w:t>
      </w:r>
      <w:proofErr w:type="spellStart"/>
      <w:r w:rsidRPr="009D7ACB">
        <w:rPr>
          <w:color w:val="000000"/>
          <w:sz w:val="24"/>
          <w:szCs w:val="24"/>
        </w:rPr>
        <w:t>lipoatrofi</w:t>
      </w:r>
      <w:proofErr w:type="spellEnd"/>
      <w:r w:rsidRPr="009D7ACB">
        <w:rPr>
          <w:color w:val="000000"/>
          <w:sz w:val="24"/>
          <w:szCs w:val="24"/>
        </w:rPr>
        <w:t xml:space="preserve"> og hudnekrose.</w:t>
      </w:r>
    </w:p>
    <w:p w:rsidR="00B17940" w:rsidRPr="009D7ACB" w:rsidRDefault="00B17940" w:rsidP="00B17940">
      <w:pPr>
        <w:tabs>
          <w:tab w:val="left" w:pos="851"/>
        </w:tabs>
        <w:suppressAutoHyphens/>
        <w:ind w:left="855"/>
        <w:rPr>
          <w:color w:val="000000"/>
          <w:sz w:val="24"/>
          <w:szCs w:val="24"/>
        </w:rPr>
      </w:pPr>
    </w:p>
    <w:p w:rsidR="00B17940" w:rsidRPr="009D7ACB" w:rsidRDefault="00B17940" w:rsidP="00B17940">
      <w:pPr>
        <w:tabs>
          <w:tab w:val="left" w:pos="851"/>
        </w:tabs>
        <w:suppressAutoHyphens/>
        <w:ind w:left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En reaktion med mindst et eller flere af følgende symptomer er beskrevet, som umiddelbare post-injektionsreaktioner: vasodilatation (rødme), brystsmerter, dyspnø, hjertebanken eller </w:t>
      </w:r>
      <w:proofErr w:type="spellStart"/>
      <w:r w:rsidRPr="009D7ACB">
        <w:rPr>
          <w:color w:val="000000"/>
          <w:sz w:val="24"/>
          <w:szCs w:val="24"/>
        </w:rPr>
        <w:t>takykardi</w:t>
      </w:r>
      <w:proofErr w:type="spellEnd"/>
      <w:r>
        <w:rPr>
          <w:color w:val="000000"/>
          <w:sz w:val="24"/>
          <w:szCs w:val="24"/>
        </w:rPr>
        <w:t xml:space="preserve"> (se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4.4)</w:t>
      </w:r>
      <w:r w:rsidRPr="009D7ACB">
        <w:rPr>
          <w:color w:val="000000"/>
          <w:sz w:val="24"/>
          <w:szCs w:val="24"/>
        </w:rPr>
        <w:t xml:space="preserve">. Denne reaktion kan forekomme inden for minutter efter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injektion.</w:t>
      </w:r>
    </w:p>
    <w:p w:rsidR="00B17940" w:rsidRPr="009D7ACB" w:rsidRDefault="00B17940" w:rsidP="00B17940">
      <w:pPr>
        <w:tabs>
          <w:tab w:val="left" w:pos="851"/>
        </w:tabs>
        <w:suppressAutoHyphens/>
        <w:ind w:left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Mindst en komponent af denne umiddelbare post-injektionsreaktion blev rapporteret mindst en gang af 31</w:t>
      </w:r>
      <w:r>
        <w:rPr>
          <w:color w:val="000000"/>
          <w:sz w:val="24"/>
          <w:szCs w:val="24"/>
        </w:rPr>
        <w:t xml:space="preserve"> %</w:t>
      </w:r>
      <w:r w:rsidRPr="009D7ACB">
        <w:rPr>
          <w:color w:val="000000"/>
          <w:sz w:val="24"/>
          <w:szCs w:val="24"/>
        </w:rPr>
        <w:t xml:space="preserve"> af patienter, der fik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sammenlignet med 13</w:t>
      </w:r>
      <w:r>
        <w:rPr>
          <w:color w:val="000000"/>
          <w:sz w:val="24"/>
          <w:szCs w:val="24"/>
        </w:rPr>
        <w:t xml:space="preserve"> %</w:t>
      </w:r>
      <w:r w:rsidRPr="009D7ACB">
        <w:rPr>
          <w:color w:val="000000"/>
          <w:sz w:val="24"/>
          <w:szCs w:val="24"/>
        </w:rPr>
        <w:t xml:space="preserve"> af patienter, der fik placebo.</w:t>
      </w:r>
    </w:p>
    <w:p w:rsidR="00B17940" w:rsidRPr="009D7ACB" w:rsidRDefault="00B17940" w:rsidP="00B17940">
      <w:pPr>
        <w:tabs>
          <w:tab w:val="left" w:pos="851"/>
        </w:tabs>
        <w:suppressAutoHyphens/>
        <w:ind w:left="855"/>
        <w:rPr>
          <w:color w:val="000000"/>
          <w:sz w:val="24"/>
          <w:szCs w:val="24"/>
        </w:rPr>
      </w:pPr>
    </w:p>
    <w:p w:rsidR="00B17940" w:rsidRPr="009D7ACB" w:rsidRDefault="00B17940" w:rsidP="00B17940">
      <w:pPr>
        <w:ind w:left="851"/>
        <w:rPr>
          <w:sz w:val="24"/>
          <w:szCs w:val="24"/>
          <w:lang w:eastAsia="fi-FI"/>
        </w:rPr>
      </w:pPr>
      <w:r w:rsidRPr="009D7ACB">
        <w:rPr>
          <w:sz w:val="24"/>
          <w:szCs w:val="24"/>
        </w:rPr>
        <w:t xml:space="preserve">Alle bivirkninger, som var hyppigere rapporteret hos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sz w:val="24"/>
          <w:szCs w:val="24"/>
        </w:rPr>
        <w:t xml:space="preserve">-behandlede patienter i forhold til placebo-behandlede, er indsat i tabellen nedenfor. Disse data er udledt fra 4 pivotale dobbeltblinde placebokontrollerede kliniske forsøg med i alt 512 patienter behandlet med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</w:t>
      </w:r>
      <w:r w:rsidRPr="009D7ACB">
        <w:rPr>
          <w:sz w:val="24"/>
          <w:szCs w:val="24"/>
        </w:rPr>
        <w:t xml:space="preserve">og 509 patienter behandlet med placebo i op til 36 måneder. Tre kliniske forsøg i </w:t>
      </w:r>
      <w:proofErr w:type="spellStart"/>
      <w:r w:rsidRPr="009D7ACB">
        <w:rPr>
          <w:sz w:val="24"/>
          <w:szCs w:val="24"/>
        </w:rPr>
        <w:t>relapserende</w:t>
      </w:r>
      <w:proofErr w:type="spellEnd"/>
      <w:r w:rsidRPr="009D7ACB">
        <w:rPr>
          <w:sz w:val="24"/>
          <w:szCs w:val="24"/>
        </w:rPr>
        <w:t xml:space="preserve">-remitterende MS (RRMS) inkluderede i alt </w:t>
      </w:r>
      <w:r w:rsidRPr="009D7ACB">
        <w:rPr>
          <w:sz w:val="24"/>
          <w:szCs w:val="24"/>
        </w:rPr>
        <w:lastRenderedPageBreak/>
        <w:t xml:space="preserve">269 patienter behandlet med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</w:t>
      </w:r>
      <w:r w:rsidRPr="009D7ACB">
        <w:rPr>
          <w:sz w:val="24"/>
          <w:szCs w:val="24"/>
        </w:rPr>
        <w:t xml:space="preserve">og 271 patienter behandlet med placebo i op til 35 måneder. Det 4. kliniske forsøg hos patienter, som havde oplevet den første kliniske episode og, som var vurderet til at være i høj risiko for at udvikle klinisk definitiv MS, inkluderede 243 patienter behandlet med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</w:t>
      </w:r>
      <w:r w:rsidRPr="009D7ACB">
        <w:rPr>
          <w:sz w:val="24"/>
          <w:szCs w:val="24"/>
        </w:rPr>
        <w:t>og 238 patienter behandlet med placebo i op til 36 måneder.</w:t>
      </w:r>
    </w:p>
    <w:p w:rsidR="00F50AE3" w:rsidRPr="009D7ACB" w:rsidRDefault="00F50AE3" w:rsidP="00F50AE3">
      <w:pPr>
        <w:ind w:left="851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text" w:tblpX="9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268"/>
      </w:tblGrid>
      <w:tr w:rsidR="00B17940" w:rsidRPr="009D7ACB" w:rsidTr="004563C7">
        <w:trPr>
          <w:trHeight w:val="660"/>
          <w:tblHeader/>
        </w:trPr>
        <w:tc>
          <w:tcPr>
            <w:tcW w:w="2126" w:type="dxa"/>
          </w:tcPr>
          <w:p w:rsidR="00B17940" w:rsidRPr="009D7ACB" w:rsidRDefault="00B17940" w:rsidP="004563C7">
            <w:pPr>
              <w:pStyle w:val="Sidehoved"/>
              <w:suppressAutoHyphens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Systemo</w:t>
            </w:r>
            <w:r w:rsidRPr="009D7ACB">
              <w:rPr>
                <w:b/>
                <w:color w:val="000000"/>
                <w:szCs w:val="24"/>
              </w:rPr>
              <w:t>rgan</w:t>
            </w:r>
            <w:r>
              <w:rPr>
                <w:b/>
                <w:color w:val="000000"/>
                <w:szCs w:val="24"/>
              </w:rPr>
              <w:t>klasse</w:t>
            </w:r>
          </w:p>
        </w:tc>
        <w:tc>
          <w:tcPr>
            <w:tcW w:w="2126" w:type="dxa"/>
          </w:tcPr>
          <w:p w:rsidR="00B17940" w:rsidRPr="009D7ACB" w:rsidRDefault="00B17940" w:rsidP="004563C7">
            <w:pPr>
              <w:pStyle w:val="Sidehoved"/>
              <w:suppressAutoHyphens/>
              <w:rPr>
                <w:b/>
                <w:color w:val="000000"/>
                <w:szCs w:val="24"/>
              </w:rPr>
            </w:pPr>
            <w:r w:rsidRPr="009D7ACB">
              <w:rPr>
                <w:b/>
                <w:color w:val="000000"/>
                <w:szCs w:val="24"/>
              </w:rPr>
              <w:t xml:space="preserve">Meget almindelig </w:t>
            </w:r>
          </w:p>
          <w:p w:rsidR="00B17940" w:rsidRPr="009D7ACB" w:rsidRDefault="00B17940" w:rsidP="004563C7">
            <w:pPr>
              <w:pStyle w:val="Sidehoved"/>
              <w:suppressAutoHyphens/>
              <w:rPr>
                <w:b/>
                <w:color w:val="000000"/>
                <w:szCs w:val="24"/>
              </w:rPr>
            </w:pPr>
            <w:r w:rsidRPr="009D7ACB">
              <w:rPr>
                <w:b/>
                <w:color w:val="000000"/>
                <w:szCs w:val="24"/>
              </w:rPr>
              <w:t>(</w:t>
            </w:r>
            <w:r w:rsidRPr="009D7ACB">
              <w:rPr>
                <w:b/>
                <w:bCs/>
                <w:szCs w:val="24"/>
                <w:lang w:val="en-US"/>
              </w:rPr>
              <w:t>≥</w:t>
            </w:r>
            <w:r w:rsidRPr="009D7ACB">
              <w:rPr>
                <w:b/>
                <w:color w:val="000000"/>
                <w:szCs w:val="24"/>
              </w:rPr>
              <w:t xml:space="preserve"> 1/10) </w:t>
            </w:r>
          </w:p>
        </w:tc>
        <w:tc>
          <w:tcPr>
            <w:tcW w:w="2127" w:type="dxa"/>
          </w:tcPr>
          <w:p w:rsidR="00B17940" w:rsidRPr="009D7ACB" w:rsidRDefault="00B17940" w:rsidP="004563C7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9D7ACB">
              <w:rPr>
                <w:b/>
                <w:color w:val="000000"/>
                <w:sz w:val="24"/>
                <w:szCs w:val="24"/>
              </w:rPr>
              <w:t>Almindelig</w:t>
            </w:r>
          </w:p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b/>
                <w:bCs/>
                <w:sz w:val="24"/>
                <w:szCs w:val="24"/>
                <w:lang w:val="en-US"/>
              </w:rPr>
              <w:t xml:space="preserve">(≥ </w:t>
            </w:r>
            <w:r w:rsidRPr="009D7ACB">
              <w:rPr>
                <w:b/>
                <w:color w:val="000000"/>
                <w:sz w:val="24"/>
                <w:szCs w:val="24"/>
              </w:rPr>
              <w:t>1/100</w:t>
            </w:r>
            <w:r>
              <w:rPr>
                <w:b/>
                <w:color w:val="000000"/>
                <w:sz w:val="24"/>
                <w:szCs w:val="24"/>
              </w:rPr>
              <w:t xml:space="preserve"> til</w:t>
            </w:r>
            <w:r w:rsidRPr="009D7ACB">
              <w:rPr>
                <w:b/>
                <w:color w:val="000000"/>
                <w:sz w:val="24"/>
                <w:szCs w:val="24"/>
              </w:rPr>
              <w:t xml:space="preserve"> &lt; 1/10)</w:t>
            </w:r>
          </w:p>
        </w:tc>
        <w:tc>
          <w:tcPr>
            <w:tcW w:w="2268" w:type="dxa"/>
          </w:tcPr>
          <w:p w:rsidR="00B17940" w:rsidRPr="009D7ACB" w:rsidRDefault="00B17940" w:rsidP="004563C7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9D7ACB">
              <w:rPr>
                <w:b/>
                <w:color w:val="000000"/>
                <w:sz w:val="24"/>
                <w:szCs w:val="24"/>
              </w:rPr>
              <w:t>Ikke almindelig</w:t>
            </w:r>
          </w:p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b/>
                <w:bCs/>
                <w:sz w:val="24"/>
                <w:szCs w:val="24"/>
                <w:lang w:val="en-US"/>
              </w:rPr>
              <w:t>(≥</w:t>
            </w:r>
            <w:r w:rsidRPr="009D7ACB">
              <w:rPr>
                <w:b/>
                <w:color w:val="000000"/>
                <w:sz w:val="24"/>
                <w:szCs w:val="24"/>
              </w:rPr>
              <w:t xml:space="preserve"> 1/1.000</w:t>
            </w:r>
            <w:r>
              <w:rPr>
                <w:b/>
                <w:color w:val="000000"/>
                <w:sz w:val="24"/>
                <w:szCs w:val="24"/>
              </w:rPr>
              <w:t xml:space="preserve"> til</w:t>
            </w:r>
            <w:r w:rsidRPr="009D7ACB">
              <w:rPr>
                <w:b/>
                <w:color w:val="000000"/>
                <w:sz w:val="24"/>
                <w:szCs w:val="24"/>
              </w:rPr>
              <w:t xml:space="preserve"> &lt;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D7ACB">
              <w:rPr>
                <w:b/>
                <w:color w:val="000000"/>
                <w:sz w:val="24"/>
                <w:szCs w:val="24"/>
              </w:rPr>
              <w:t>1/100)</w:t>
            </w:r>
          </w:p>
        </w:tc>
      </w:tr>
      <w:tr w:rsidR="00B17940" w:rsidRPr="009D7ACB" w:rsidTr="004563C7">
        <w:tc>
          <w:tcPr>
            <w:tcW w:w="2126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Infektioner og parasitære sygdomme</w:t>
            </w:r>
          </w:p>
        </w:tc>
        <w:tc>
          <w:tcPr>
            <w:tcW w:w="2126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Infektion, influenza</w:t>
            </w:r>
          </w:p>
        </w:tc>
        <w:tc>
          <w:tcPr>
            <w:tcW w:w="2127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  <w:lang w:val="en-GB"/>
              </w:rPr>
              <w:t>Bronkitis</w:t>
            </w:r>
            <w:proofErr w:type="spellEnd"/>
            <w:r w:rsidRPr="009D7ACB">
              <w:rPr>
                <w:color w:val="000000"/>
                <w:sz w:val="24"/>
                <w:szCs w:val="24"/>
                <w:lang w:val="en-GB"/>
              </w:rPr>
              <w:t xml:space="preserve">, gastroenteritis, </w:t>
            </w:r>
          </w:p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  <w:lang w:val="en-GB"/>
              </w:rPr>
            </w:pPr>
            <w:r w:rsidRPr="009D7ACB">
              <w:rPr>
                <w:color w:val="000000"/>
                <w:sz w:val="24"/>
                <w:szCs w:val="24"/>
                <w:lang w:val="en-GB"/>
              </w:rPr>
              <w:t xml:space="preserve">herpes simplex, </w:t>
            </w:r>
          </w:p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  <w:lang w:val="en-GB"/>
              </w:rPr>
            </w:pPr>
            <w:r w:rsidRPr="009D7ACB">
              <w:rPr>
                <w:color w:val="000000"/>
                <w:sz w:val="24"/>
                <w:szCs w:val="24"/>
                <w:lang w:val="en-GB"/>
              </w:rPr>
              <w:t xml:space="preserve">otitis media, rhinitis, </w:t>
            </w:r>
            <w:proofErr w:type="spellStart"/>
            <w:r w:rsidRPr="009D7ACB">
              <w:rPr>
                <w:color w:val="000000"/>
                <w:sz w:val="24"/>
                <w:szCs w:val="24"/>
                <w:lang w:val="en-GB"/>
              </w:rPr>
              <w:t>tand</w:t>
            </w:r>
            <w:proofErr w:type="spellEnd"/>
            <w:r w:rsidRPr="009D7ACB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7ACB">
              <w:rPr>
                <w:color w:val="000000"/>
                <w:sz w:val="24"/>
                <w:szCs w:val="24"/>
                <w:lang w:val="en-GB"/>
              </w:rPr>
              <w:t>absces</w:t>
            </w:r>
            <w:proofErr w:type="spellEnd"/>
            <w:r w:rsidRPr="009D7ACB">
              <w:rPr>
                <w:color w:val="000000"/>
                <w:sz w:val="24"/>
                <w:szCs w:val="24"/>
                <w:lang w:val="en-GB"/>
              </w:rPr>
              <w:t xml:space="preserve">, </w:t>
            </w:r>
          </w:p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  <w:lang w:val="en-GB"/>
              </w:rPr>
            </w:pPr>
            <w:r w:rsidRPr="009D7ACB">
              <w:rPr>
                <w:color w:val="000000"/>
                <w:sz w:val="24"/>
                <w:szCs w:val="24"/>
                <w:lang w:val="en-GB"/>
              </w:rPr>
              <w:t>vaginal candidiasis*</w:t>
            </w:r>
          </w:p>
        </w:tc>
        <w:tc>
          <w:tcPr>
            <w:tcW w:w="2268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  <w:lang w:val="en-GB"/>
              </w:rPr>
              <w:t>Absces</w:t>
            </w:r>
            <w:proofErr w:type="spellEnd"/>
            <w:r w:rsidRPr="009D7ACB">
              <w:rPr>
                <w:color w:val="000000"/>
                <w:sz w:val="24"/>
                <w:szCs w:val="24"/>
                <w:lang w:val="en-GB"/>
              </w:rPr>
              <w:t xml:space="preserve">, cellulitis, </w:t>
            </w:r>
            <w:proofErr w:type="spellStart"/>
            <w:r w:rsidRPr="009D7ACB">
              <w:rPr>
                <w:color w:val="000000"/>
                <w:sz w:val="24"/>
                <w:szCs w:val="24"/>
                <w:lang w:val="en-GB"/>
              </w:rPr>
              <w:t>bylder</w:t>
            </w:r>
            <w:proofErr w:type="spellEnd"/>
            <w:r w:rsidRPr="009D7ACB">
              <w:rPr>
                <w:color w:val="000000"/>
                <w:sz w:val="24"/>
                <w:szCs w:val="24"/>
                <w:lang w:val="en-GB"/>
              </w:rPr>
              <w:t>, herpes Zoster, pyelonephritis</w:t>
            </w:r>
          </w:p>
        </w:tc>
      </w:tr>
      <w:tr w:rsidR="00B17940" w:rsidRPr="009D7ACB" w:rsidTr="004563C7">
        <w:tc>
          <w:tcPr>
            <w:tcW w:w="2126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Benigne, maligne og uspecificerede tumorer (inkl</w:t>
            </w:r>
            <w:r>
              <w:rPr>
                <w:color w:val="000000"/>
                <w:sz w:val="24"/>
                <w:szCs w:val="24"/>
              </w:rPr>
              <w:t>usive</w:t>
            </w:r>
            <w:r w:rsidRPr="009D7ACB">
              <w:rPr>
                <w:color w:val="000000"/>
                <w:sz w:val="24"/>
                <w:szCs w:val="24"/>
              </w:rPr>
              <w:t xml:space="preserve"> cyster og polypper)</w:t>
            </w:r>
          </w:p>
        </w:tc>
        <w:tc>
          <w:tcPr>
            <w:tcW w:w="2126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D7ACB">
              <w:rPr>
                <w:color w:val="000000"/>
                <w:sz w:val="24"/>
                <w:szCs w:val="24"/>
              </w:rPr>
              <w:t xml:space="preserve">Benign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neoplasma</w:t>
            </w:r>
            <w:proofErr w:type="spellEnd"/>
            <w:proofErr w:type="gramEnd"/>
            <w:r w:rsidRPr="009D7ACB">
              <w:rPr>
                <w:color w:val="000000"/>
                <w:sz w:val="24"/>
                <w:szCs w:val="24"/>
              </w:rPr>
              <w:t xml:space="preserve"> af hud, </w:t>
            </w:r>
          </w:p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neoplasma</w:t>
            </w:r>
            <w:proofErr w:type="spellEnd"/>
          </w:p>
        </w:tc>
        <w:tc>
          <w:tcPr>
            <w:tcW w:w="2268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Hudcancer</w:t>
            </w:r>
          </w:p>
        </w:tc>
      </w:tr>
      <w:tr w:rsidR="00B17940" w:rsidRPr="009D7ACB" w:rsidTr="004563C7">
        <w:tc>
          <w:tcPr>
            <w:tcW w:w="2126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Blod og lymfesystem</w:t>
            </w:r>
          </w:p>
        </w:tc>
        <w:tc>
          <w:tcPr>
            <w:tcW w:w="2126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Lymfeadenopati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B17940" w:rsidRPr="009D7ACB" w:rsidRDefault="00B17940" w:rsidP="004563C7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Leukocytose,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leukopeni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splenomegali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thrombocytopeni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abnormal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lymfocyt morfologi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Immunsystemet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6B712F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6B712F">
              <w:rPr>
                <w:color w:val="000000"/>
                <w:sz w:val="24"/>
                <w:szCs w:val="24"/>
              </w:rPr>
              <w:t>Hypersensitivitet</w:t>
            </w:r>
          </w:p>
        </w:tc>
        <w:tc>
          <w:tcPr>
            <w:tcW w:w="2268" w:type="dxa"/>
          </w:tcPr>
          <w:p w:rsidR="006B712F" w:rsidRPr="006B712F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6B712F">
              <w:rPr>
                <w:color w:val="000000"/>
                <w:sz w:val="24"/>
                <w:szCs w:val="24"/>
              </w:rPr>
              <w:t>Anafylaktisk</w:t>
            </w:r>
            <w:proofErr w:type="spellEnd"/>
            <w:r w:rsidRPr="006B712F">
              <w:rPr>
                <w:color w:val="000000"/>
                <w:sz w:val="24"/>
                <w:szCs w:val="24"/>
              </w:rPr>
              <w:t xml:space="preserve"> reaktion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Det endokrine system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Struma,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hyperthyroidisme</w:t>
            </w:r>
            <w:proofErr w:type="spellEnd"/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Metabolisme og ernæring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Anoreksi, vægtforøgelse*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Alkohol intolerance, </w:t>
            </w:r>
            <w:r>
              <w:rPr>
                <w:color w:val="000000"/>
                <w:sz w:val="24"/>
                <w:szCs w:val="24"/>
              </w:rPr>
              <w:t>urinsyre</w:t>
            </w:r>
            <w:r w:rsidRPr="009D7ACB">
              <w:rPr>
                <w:color w:val="000000"/>
                <w:sz w:val="24"/>
                <w:szCs w:val="24"/>
              </w:rPr>
              <w:t xml:space="preserve">gigt,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hyperlipidæmi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forhøjet natrium i blodet,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nedsat serum-</w:t>
            </w:r>
            <w:r w:rsidRPr="009D7ACB">
              <w:rPr>
                <w:color w:val="000000"/>
                <w:sz w:val="24"/>
                <w:szCs w:val="24"/>
              </w:rPr>
              <w:t xml:space="preserve">ferritin 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Psykiske forstyrrelser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Angst*, depression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Nervøsitet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Anormale drømme, forvirring, eufori, hallucinationer, fjendtlighed,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maniske reaktioner, personligheds</w:t>
            </w:r>
            <w:r w:rsidRPr="009D7ACB">
              <w:rPr>
                <w:color w:val="000000"/>
                <w:sz w:val="24"/>
                <w:szCs w:val="24"/>
              </w:rPr>
              <w:softHyphen/>
              <w:t>forstyrrelser, selvmordsforsøg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pStyle w:val="Sidehoved"/>
              <w:suppressAutoHyphens/>
              <w:rPr>
                <w:color w:val="000000"/>
                <w:szCs w:val="24"/>
              </w:rPr>
            </w:pPr>
            <w:r w:rsidRPr="009D7ACB">
              <w:rPr>
                <w:color w:val="000000"/>
                <w:szCs w:val="24"/>
              </w:rPr>
              <w:t>Nervesystemet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Hovedpine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Dysgeusi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hypertoni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migræne, taleforstyrrelser, synkope,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tremor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Karpal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tunnel syndrom, kognitive forstyrrelser, kramper,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dysgrafi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dyslexi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dystoni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motor dysfunktion, muskeltrækninger,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neuritis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lastRenderedPageBreak/>
              <w:t>neuromuskulær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blokade,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nystagmus, paralyse, nervelammelse i lægmuskulaturen, sløvhed, synsfeltsdefekt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lastRenderedPageBreak/>
              <w:t>Øjne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Diplopia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, øjenlidelser*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Katarakt, hornhindelæsion,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tørre øjne,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blødning i øjet,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nedsynkning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af øjenlåget,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mydriasis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, optisk atrofi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Øre og labyrint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Ørelidelser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Hjerte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Palpitationer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*,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takykardi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  <w:lang w:val="nb-NO"/>
              </w:rPr>
            </w:pPr>
            <w:r w:rsidRPr="009D7ACB">
              <w:rPr>
                <w:color w:val="000000"/>
                <w:sz w:val="24"/>
                <w:szCs w:val="24"/>
                <w:lang w:val="nb-NO"/>
              </w:rPr>
              <w:t xml:space="preserve">Ekstrasystoler,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  <w:lang w:val="nb-NO"/>
              </w:rPr>
            </w:pPr>
            <w:r w:rsidRPr="009D7ACB">
              <w:rPr>
                <w:color w:val="000000"/>
                <w:sz w:val="24"/>
                <w:szCs w:val="24"/>
                <w:lang w:val="nb-NO"/>
              </w:rPr>
              <w:t>sinus bradykardi, paroxysmatisk takykardi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Vaskulære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sygdomme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Vasodilatation*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Åreknuder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Luftveje, thorax og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Dyspnø*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Hoste,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sæsonbetinget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rhinitis</w:t>
            </w:r>
            <w:proofErr w:type="spellEnd"/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Apnø,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epistaksis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hyperventilation,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laryngospasmer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, lungelidelser, kvælningsfornem</w:t>
            </w:r>
            <w:r w:rsidRPr="009D7ACB">
              <w:rPr>
                <w:color w:val="000000"/>
                <w:sz w:val="24"/>
                <w:szCs w:val="24"/>
              </w:rPr>
              <w:softHyphen/>
              <w:t>melse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Mave-tarm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D7ACB">
              <w:rPr>
                <w:color w:val="000000"/>
                <w:sz w:val="24"/>
                <w:szCs w:val="24"/>
              </w:rPr>
              <w:t>kanalen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Kvalme*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Rektale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lidelser, konstipation, caries, dyspepsi,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dysfagi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, fækal inkontinens, opkastning*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Colitis,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colonisk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polyp,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enterocolitis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opstød, sår i spiserøret,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periodontitis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rektal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blødning, forstørrelse af spytkirtlen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Lever og galdeveje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Anormale leverfunktionstests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Cholelithiatis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hepatomegali</w:t>
            </w:r>
            <w:proofErr w:type="spellEnd"/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Hud og subkutane væv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Hududslæt*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Blodudtrædning,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hyperhidrose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kløe, hudlidelser*,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urticaria</w:t>
            </w:r>
            <w:proofErr w:type="spellEnd"/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Angioødem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kontakt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dermatitis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erythema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nodosum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, knuder i huden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Knogler, led, muskler og bindevæv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Artralgi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, rygsmerter*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Nakkesmerter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D7ACB">
              <w:rPr>
                <w:color w:val="000000"/>
                <w:sz w:val="24"/>
                <w:szCs w:val="24"/>
              </w:rPr>
              <w:t>Arthritis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bursitis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flankesmerter, muskelatrofi,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osteoarthrit</w:t>
            </w:r>
            <w:proofErr w:type="spellEnd"/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Nyrer og urinveje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Stærk vandladningstrang, hyppig vandladning, urinretention</w:t>
            </w: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Hæmaturi,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nefrolithiasis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urinvejslidelser,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urin anormaliteter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lastRenderedPageBreak/>
              <w:t xml:space="preserve">Graviditet,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puerperium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og den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perinatale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periode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Abort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Det reproduktive system og mammae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Brystforstørrelse,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erektil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dysfunktion, pelvisk prolaps,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priapisme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prostata lidelser, unormalt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cervix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smear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, testikel lidelser, </w:t>
            </w:r>
          </w:p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vaginal blødning,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vulvovaginale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 xml:space="preserve"> lidelser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Almene symptomer og reaktion på administrations</w:t>
            </w:r>
            <w:r w:rsidRPr="009D7ACB">
              <w:rPr>
                <w:color w:val="000000"/>
                <w:sz w:val="24"/>
                <w:szCs w:val="24"/>
              </w:rPr>
              <w:softHyphen/>
              <w:t>stedet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Asteni, brystsmerter*, reaktioner på injektionsstedet*§, smerter*</w:t>
            </w: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Kulderystelser*, ansigtsødem*, atrofi på injektionsstedet</w:t>
            </w:r>
            <w:r w:rsidRPr="009D7ACB">
              <w:rPr>
                <w:color w:val="000000"/>
                <w:sz w:val="24"/>
                <w:szCs w:val="24"/>
                <w:vertAlign w:val="superscript"/>
              </w:rPr>
              <w:t>♣</w:t>
            </w:r>
            <w:r w:rsidRPr="009D7ACB">
              <w:rPr>
                <w:color w:val="000000"/>
                <w:sz w:val="24"/>
                <w:szCs w:val="24"/>
              </w:rPr>
              <w:t xml:space="preserve">, lokale reaktioner*, periferalt ødem, ødem,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pyrexi</w:t>
            </w:r>
            <w:proofErr w:type="spellEnd"/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 xml:space="preserve">Cyste, tømmermænd, </w:t>
            </w:r>
            <w:proofErr w:type="spellStart"/>
            <w:r w:rsidRPr="009D7ACB">
              <w:rPr>
                <w:color w:val="000000"/>
                <w:sz w:val="24"/>
                <w:szCs w:val="24"/>
              </w:rPr>
              <w:t>hypotermi</w:t>
            </w:r>
            <w:proofErr w:type="spellEnd"/>
            <w:r w:rsidRPr="009D7ACB">
              <w:rPr>
                <w:color w:val="000000"/>
                <w:sz w:val="24"/>
                <w:szCs w:val="24"/>
              </w:rPr>
              <w:t>, umiddelbare postinjektions reaktioner, inflammation, nekrose på injektionsstedet, lidelser i slimhinderne</w:t>
            </w:r>
          </w:p>
        </w:tc>
      </w:tr>
      <w:tr w:rsidR="006B712F" w:rsidRPr="009D7ACB" w:rsidTr="004563C7"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Traumer, forgiftninger og behandlingskompli</w:t>
            </w:r>
            <w:r w:rsidRPr="009D7ACB">
              <w:rPr>
                <w:color w:val="000000"/>
                <w:sz w:val="24"/>
                <w:szCs w:val="24"/>
              </w:rPr>
              <w:softHyphen/>
              <w:t>kationer</w:t>
            </w:r>
          </w:p>
        </w:tc>
        <w:tc>
          <w:tcPr>
            <w:tcW w:w="2126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12F" w:rsidRPr="009D7ACB" w:rsidRDefault="006B712F" w:rsidP="006B712F">
            <w:pPr>
              <w:suppressAutoHyphens/>
              <w:rPr>
                <w:color w:val="000000"/>
                <w:sz w:val="24"/>
                <w:szCs w:val="24"/>
              </w:rPr>
            </w:pPr>
            <w:r w:rsidRPr="009D7ACB">
              <w:rPr>
                <w:color w:val="000000"/>
                <w:sz w:val="24"/>
                <w:szCs w:val="24"/>
              </w:rPr>
              <w:t>Post vaccinationssyndrom</w:t>
            </w:r>
          </w:p>
        </w:tc>
      </w:tr>
    </w:tbl>
    <w:p w:rsidR="00F50AE3" w:rsidRPr="009D7ACB" w:rsidRDefault="00F50AE3" w:rsidP="00F50AE3">
      <w:pPr>
        <w:ind w:left="851"/>
        <w:rPr>
          <w:sz w:val="24"/>
          <w:szCs w:val="24"/>
        </w:rPr>
      </w:pPr>
    </w:p>
    <w:p w:rsidR="00F50AE3" w:rsidRPr="00954578" w:rsidRDefault="00F50AE3" w:rsidP="00F50AE3">
      <w:pPr>
        <w:pStyle w:val="Sidehoved"/>
        <w:tabs>
          <w:tab w:val="clear" w:pos="4819"/>
          <w:tab w:val="clear" w:pos="9638"/>
          <w:tab w:val="left" w:pos="1134"/>
        </w:tabs>
        <w:ind w:left="1134" w:hanging="283"/>
        <w:jc w:val="both"/>
        <w:rPr>
          <w:color w:val="000000"/>
          <w:sz w:val="20"/>
        </w:rPr>
      </w:pPr>
      <w:r w:rsidRPr="00954578">
        <w:rPr>
          <w:color w:val="000000"/>
          <w:sz w:val="20"/>
        </w:rPr>
        <w:t>*</w:t>
      </w:r>
      <w:r w:rsidRPr="00954578">
        <w:rPr>
          <w:color w:val="000000"/>
          <w:sz w:val="20"/>
        </w:rPr>
        <w:tab/>
        <w:t>Mere end 2</w:t>
      </w:r>
      <w:r>
        <w:rPr>
          <w:color w:val="000000"/>
          <w:sz w:val="20"/>
        </w:rPr>
        <w:t xml:space="preserve"> %</w:t>
      </w:r>
      <w:r w:rsidRPr="00954578">
        <w:rPr>
          <w:color w:val="000000"/>
          <w:sz w:val="20"/>
        </w:rPr>
        <w:t xml:space="preserve"> (&gt;2/100) højere forekomst i den gruppe der fik </w:t>
      </w:r>
      <w:proofErr w:type="spellStart"/>
      <w:r w:rsidRPr="00954578">
        <w:rPr>
          <w:color w:val="000000"/>
          <w:sz w:val="20"/>
        </w:rPr>
        <w:t>glatirameracetat</w:t>
      </w:r>
      <w:proofErr w:type="spellEnd"/>
      <w:r w:rsidRPr="00954578">
        <w:rPr>
          <w:color w:val="000000"/>
          <w:sz w:val="20"/>
        </w:rPr>
        <w:t xml:space="preserve"> behandling end i placebogruppen. Bivirkninger uden * symbolet repræsenterer en forskel på mindre end eller lig med 2</w:t>
      </w:r>
      <w:r>
        <w:rPr>
          <w:color w:val="000000"/>
          <w:sz w:val="20"/>
        </w:rPr>
        <w:t xml:space="preserve"> %</w:t>
      </w:r>
      <w:r w:rsidRPr="00954578">
        <w:rPr>
          <w:color w:val="000000"/>
          <w:sz w:val="20"/>
        </w:rPr>
        <w:t>.</w:t>
      </w:r>
    </w:p>
    <w:p w:rsidR="00F50AE3" w:rsidRPr="00954578" w:rsidRDefault="00F50AE3" w:rsidP="00F50AE3">
      <w:pPr>
        <w:tabs>
          <w:tab w:val="left" w:pos="1134"/>
        </w:tabs>
        <w:ind w:left="1134" w:hanging="283"/>
        <w:rPr>
          <w:color w:val="000000"/>
          <w:sz w:val="20"/>
        </w:rPr>
      </w:pPr>
      <w:r w:rsidRPr="00954578">
        <w:rPr>
          <w:color w:val="000000"/>
          <w:sz w:val="20"/>
        </w:rPr>
        <w:t>§</w:t>
      </w:r>
      <w:r w:rsidRPr="00954578">
        <w:rPr>
          <w:color w:val="000000"/>
          <w:sz w:val="20"/>
        </w:rPr>
        <w:tab/>
        <w:t>Termen ”reaktioner på administrationsstedet” (forskellige typer) omfatter alle bivirkninger, som opstår på injektionsstedet undtagen atrofi på injektionsstedet samt nekrose på injektionsstedet, som er anført separat i tabellen.</w:t>
      </w:r>
    </w:p>
    <w:p w:rsidR="00F50AE3" w:rsidRPr="00954578" w:rsidRDefault="00F50AE3" w:rsidP="00F50AE3">
      <w:pPr>
        <w:tabs>
          <w:tab w:val="left" w:pos="1134"/>
        </w:tabs>
        <w:ind w:left="1134" w:hanging="283"/>
        <w:rPr>
          <w:color w:val="000000"/>
          <w:sz w:val="20"/>
        </w:rPr>
      </w:pPr>
      <w:r w:rsidRPr="00954578">
        <w:rPr>
          <w:color w:val="000000"/>
          <w:sz w:val="20"/>
        </w:rPr>
        <w:t>♣</w:t>
      </w:r>
      <w:r w:rsidRPr="00954578">
        <w:rPr>
          <w:color w:val="000000"/>
          <w:sz w:val="20"/>
          <w:vertAlign w:val="superscript"/>
        </w:rPr>
        <w:tab/>
      </w:r>
      <w:r w:rsidRPr="00954578">
        <w:rPr>
          <w:color w:val="000000"/>
          <w:sz w:val="20"/>
        </w:rPr>
        <w:t xml:space="preserve">Omfatter termer som relaterer til lokaliseret </w:t>
      </w:r>
      <w:proofErr w:type="spellStart"/>
      <w:r w:rsidRPr="00954578">
        <w:rPr>
          <w:color w:val="000000"/>
          <w:sz w:val="20"/>
        </w:rPr>
        <w:t>lipoatrofi</w:t>
      </w:r>
      <w:proofErr w:type="spellEnd"/>
      <w:r w:rsidRPr="00954578">
        <w:rPr>
          <w:color w:val="000000"/>
          <w:sz w:val="20"/>
        </w:rPr>
        <w:t xml:space="preserve"> på injektionsstedet.</w:t>
      </w:r>
    </w:p>
    <w:p w:rsidR="00F50AE3" w:rsidRPr="009D7ACB" w:rsidRDefault="00F50AE3" w:rsidP="00F50AE3">
      <w:pPr>
        <w:rPr>
          <w:color w:val="000000"/>
          <w:sz w:val="24"/>
          <w:szCs w:val="24"/>
        </w:rPr>
      </w:pPr>
    </w:p>
    <w:p w:rsidR="00F50AE3" w:rsidRPr="009D7ACB" w:rsidRDefault="00F50AE3" w:rsidP="00F50AE3">
      <w:pPr>
        <w:pStyle w:val="Sidehoved"/>
        <w:tabs>
          <w:tab w:val="clear" w:pos="4819"/>
          <w:tab w:val="clear" w:pos="9638"/>
          <w:tab w:val="left" w:pos="851"/>
        </w:tabs>
        <w:ind w:left="851"/>
        <w:rPr>
          <w:color w:val="000000"/>
          <w:szCs w:val="24"/>
        </w:rPr>
      </w:pPr>
      <w:r w:rsidRPr="009D7ACB">
        <w:rPr>
          <w:color w:val="000000"/>
          <w:szCs w:val="24"/>
        </w:rPr>
        <w:t xml:space="preserve">Det fjerde forsøg nævnt ovenfor blev fulgt op med en open-label behandlingsfase efter den placebo-kontrollerede fase (se pkt. 5.1). Der blev ikke observeret nogen ændring i den kendte risikoprofil for </w:t>
      </w:r>
      <w:proofErr w:type="spellStart"/>
      <w:r w:rsidRPr="009D7ACB">
        <w:rPr>
          <w:color w:val="000000"/>
          <w:szCs w:val="24"/>
        </w:rPr>
        <w:t>glatirameracetat</w:t>
      </w:r>
      <w:proofErr w:type="spellEnd"/>
      <w:r w:rsidRPr="009D7ACB">
        <w:rPr>
          <w:color w:val="000000"/>
          <w:szCs w:val="24"/>
        </w:rPr>
        <w:t xml:space="preserve"> under open-label opfølgningsfasen på op til 5 år.</w:t>
      </w:r>
    </w:p>
    <w:p w:rsidR="00F50AE3" w:rsidRPr="009D7ACB" w:rsidRDefault="00F50AE3" w:rsidP="00F50AE3">
      <w:pPr>
        <w:pStyle w:val="Sidehoved"/>
        <w:tabs>
          <w:tab w:val="clear" w:pos="4819"/>
          <w:tab w:val="clear" w:pos="9638"/>
          <w:tab w:val="left" w:pos="851"/>
        </w:tabs>
        <w:ind w:left="851"/>
        <w:rPr>
          <w:color w:val="000000"/>
          <w:szCs w:val="24"/>
        </w:rPr>
      </w:pPr>
    </w:p>
    <w:p w:rsidR="006B712F" w:rsidRPr="006B712F" w:rsidRDefault="006B712F" w:rsidP="006B712F">
      <w:pPr>
        <w:pStyle w:val="Sidehoved"/>
        <w:tabs>
          <w:tab w:val="left" w:pos="851"/>
        </w:tabs>
        <w:ind w:left="851"/>
        <w:rPr>
          <w:color w:val="000000"/>
          <w:szCs w:val="24"/>
          <w:u w:val="single"/>
        </w:rPr>
      </w:pPr>
      <w:r w:rsidRPr="006B712F">
        <w:rPr>
          <w:color w:val="000000"/>
          <w:szCs w:val="24"/>
          <w:u w:val="single"/>
        </w:rPr>
        <w:t>Beskrivelse af udvalgte bivirkninger</w:t>
      </w:r>
    </w:p>
    <w:p w:rsidR="00B17940" w:rsidRPr="006B712F" w:rsidRDefault="006B712F" w:rsidP="006B712F">
      <w:pPr>
        <w:ind w:left="851"/>
        <w:rPr>
          <w:color w:val="000000"/>
          <w:sz w:val="24"/>
          <w:szCs w:val="24"/>
        </w:rPr>
      </w:pPr>
      <w:proofErr w:type="spellStart"/>
      <w:r w:rsidRPr="006B712F">
        <w:rPr>
          <w:color w:val="000000"/>
          <w:sz w:val="24"/>
          <w:szCs w:val="24"/>
        </w:rPr>
        <w:t>Anafylaktiske</w:t>
      </w:r>
      <w:proofErr w:type="spellEnd"/>
      <w:r w:rsidRPr="006B712F">
        <w:rPr>
          <w:color w:val="000000"/>
          <w:sz w:val="24"/>
          <w:szCs w:val="24"/>
        </w:rPr>
        <w:t xml:space="preserve"> reaktioner kan forekomme kort efter administration af </w:t>
      </w:r>
      <w:proofErr w:type="spellStart"/>
      <w:r w:rsidRPr="006B712F">
        <w:rPr>
          <w:color w:val="000000"/>
          <w:sz w:val="24"/>
          <w:szCs w:val="24"/>
        </w:rPr>
        <w:t>glatirameracetat</w:t>
      </w:r>
      <w:proofErr w:type="spellEnd"/>
      <w:r w:rsidRPr="006B712F">
        <w:rPr>
          <w:color w:val="000000"/>
          <w:sz w:val="24"/>
          <w:szCs w:val="24"/>
        </w:rPr>
        <w:t>, men også måneder eller år efter initiering af behandlingen (se pkt. 4.4).</w:t>
      </w:r>
    </w:p>
    <w:p w:rsidR="006B712F" w:rsidRPr="009D7ACB" w:rsidRDefault="006B712F" w:rsidP="006B712F">
      <w:pPr>
        <w:ind w:left="851"/>
        <w:rPr>
          <w:sz w:val="24"/>
          <w:szCs w:val="24"/>
        </w:rPr>
      </w:pPr>
      <w:bookmarkStart w:id="2" w:name="_GoBack"/>
      <w:bookmarkEnd w:id="2"/>
    </w:p>
    <w:p w:rsidR="003F10CF" w:rsidRPr="008F49E1" w:rsidRDefault="003F10CF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3F10CF" w:rsidRPr="008F49E1" w:rsidRDefault="003F10CF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3F10CF" w:rsidRPr="008F49E1" w:rsidRDefault="003F10CF" w:rsidP="002A1420">
      <w:pPr>
        <w:ind w:left="851"/>
        <w:rPr>
          <w:sz w:val="24"/>
          <w:szCs w:val="24"/>
          <w:lang w:eastAsia="da-DK"/>
        </w:rPr>
      </w:pPr>
    </w:p>
    <w:p w:rsidR="003F10CF" w:rsidRPr="007A276A" w:rsidRDefault="003F10CF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3F10CF" w:rsidRPr="007A276A" w:rsidRDefault="003F10CF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3F10CF" w:rsidRPr="007A276A" w:rsidRDefault="003F10CF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3F10CF" w:rsidRDefault="003F10CF" w:rsidP="002A1420">
      <w:pPr>
        <w:ind w:left="851"/>
        <w:rPr>
          <w:sz w:val="24"/>
          <w:lang w:eastAsia="da-DK"/>
        </w:rPr>
      </w:pPr>
      <w:r w:rsidRPr="003F10CF">
        <w:rPr>
          <w:sz w:val="24"/>
          <w:szCs w:val="24"/>
          <w:lang w:eastAsia="da-DK"/>
        </w:rPr>
        <w:t xml:space="preserve">Websted: </w:t>
      </w:r>
      <w:hyperlink r:id="rId8" w:history="1">
        <w:r w:rsidR="003C72BF" w:rsidRPr="005E7F56">
          <w:rPr>
            <w:rStyle w:val="Hyperlink"/>
            <w:sz w:val="24"/>
            <w:lang w:eastAsia="da-DK"/>
          </w:rPr>
          <w:t>www.meldenbivirkning.dk</w:t>
        </w:r>
      </w:hyperlink>
    </w:p>
    <w:p w:rsidR="00F50AE3" w:rsidRPr="003F10CF" w:rsidRDefault="00F50AE3" w:rsidP="00F50AE3">
      <w:pPr>
        <w:pStyle w:val="Sidehoved"/>
        <w:tabs>
          <w:tab w:val="left" w:pos="851"/>
        </w:tabs>
        <w:ind w:left="851"/>
        <w:rPr>
          <w:szCs w:val="24"/>
        </w:rPr>
      </w:pPr>
    </w:p>
    <w:p w:rsidR="00F50AE3" w:rsidRPr="003C72BF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2BF">
        <w:rPr>
          <w:b/>
          <w:sz w:val="24"/>
          <w:szCs w:val="24"/>
        </w:rPr>
        <w:t>4.9</w:t>
      </w:r>
      <w:r w:rsidRPr="003C72BF">
        <w:rPr>
          <w:b/>
          <w:sz w:val="24"/>
          <w:szCs w:val="24"/>
        </w:rPr>
        <w:tab/>
        <w:t>Overdosering</w:t>
      </w:r>
    </w:p>
    <w:p w:rsidR="00B17940" w:rsidRPr="003C72BF" w:rsidRDefault="00B17940" w:rsidP="00B17940">
      <w:pPr>
        <w:tabs>
          <w:tab w:val="left" w:pos="851"/>
        </w:tabs>
        <w:ind w:left="851"/>
        <w:rPr>
          <w:color w:val="000000"/>
          <w:sz w:val="24"/>
          <w:szCs w:val="24"/>
          <w:u w:val="single"/>
        </w:rPr>
      </w:pPr>
      <w:r w:rsidRPr="003C72BF">
        <w:rPr>
          <w:color w:val="000000"/>
          <w:sz w:val="24"/>
          <w:szCs w:val="24"/>
          <w:u w:val="single"/>
        </w:rPr>
        <w:t>Symptomer</w:t>
      </w:r>
    </w:p>
    <w:p w:rsidR="00B17940" w:rsidRPr="009D7ACB" w:rsidRDefault="00B17940" w:rsidP="00B17940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Der er rapporteret få tilfælde af overdosering med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(op til 300 mg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>). Disse tilfælde blev ikke set sammen med andre utilsigtede hændelser end de i pkt. 4.8 nævnte.</w:t>
      </w:r>
    </w:p>
    <w:p w:rsidR="00B17940" w:rsidRDefault="00B17940" w:rsidP="00B17940">
      <w:pPr>
        <w:tabs>
          <w:tab w:val="left" w:pos="851"/>
        </w:tabs>
        <w:rPr>
          <w:color w:val="000000"/>
          <w:sz w:val="24"/>
          <w:szCs w:val="24"/>
        </w:rPr>
      </w:pPr>
    </w:p>
    <w:p w:rsidR="003F10CF" w:rsidRPr="009D7ACB" w:rsidRDefault="003F10CF" w:rsidP="00B17940">
      <w:pPr>
        <w:tabs>
          <w:tab w:val="left" w:pos="851"/>
        </w:tabs>
        <w:rPr>
          <w:color w:val="000000"/>
          <w:sz w:val="24"/>
          <w:szCs w:val="24"/>
        </w:rPr>
      </w:pPr>
    </w:p>
    <w:p w:rsidR="00B17940" w:rsidRPr="004563C7" w:rsidRDefault="00B17940" w:rsidP="00B17940">
      <w:pPr>
        <w:ind w:left="851" w:hanging="851"/>
        <w:rPr>
          <w:color w:val="000000"/>
          <w:sz w:val="24"/>
          <w:szCs w:val="24"/>
          <w:u w:val="single"/>
        </w:rPr>
      </w:pPr>
      <w:r w:rsidRPr="009D7ACB">
        <w:rPr>
          <w:color w:val="000000"/>
          <w:sz w:val="24"/>
          <w:szCs w:val="24"/>
        </w:rPr>
        <w:tab/>
      </w:r>
      <w:r w:rsidRPr="004563C7">
        <w:rPr>
          <w:color w:val="000000"/>
          <w:sz w:val="24"/>
          <w:szCs w:val="24"/>
          <w:u w:val="single"/>
        </w:rPr>
        <w:t>Behandling</w:t>
      </w:r>
    </w:p>
    <w:p w:rsidR="00B17940" w:rsidRPr="009D7ACB" w:rsidRDefault="00B17940" w:rsidP="00B17940">
      <w:pPr>
        <w:ind w:left="851"/>
        <w:rPr>
          <w:sz w:val="24"/>
          <w:szCs w:val="24"/>
        </w:rPr>
      </w:pPr>
      <w:r w:rsidRPr="009D7ACB">
        <w:rPr>
          <w:color w:val="000000"/>
          <w:sz w:val="24"/>
          <w:szCs w:val="24"/>
        </w:rPr>
        <w:t>I tilfælde af overdosering, bør patienten overvåges og hensigtsmæssig symptomatisk og understøttende behandling initieres.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4.10</w:t>
      </w:r>
      <w:r w:rsidRPr="009D7ACB">
        <w:rPr>
          <w:b/>
          <w:sz w:val="24"/>
          <w:szCs w:val="24"/>
        </w:rPr>
        <w:tab/>
        <w:t>Udlevering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  <w:r w:rsidRPr="009D7ACB">
        <w:rPr>
          <w:sz w:val="24"/>
          <w:szCs w:val="24"/>
        </w:rPr>
        <w:t>BEGR</w:t>
      </w:r>
      <w:r>
        <w:rPr>
          <w:sz w:val="24"/>
          <w:szCs w:val="24"/>
        </w:rPr>
        <w:t xml:space="preserve"> (kun</w:t>
      </w:r>
      <w:r w:rsidRPr="009D7ACB">
        <w:rPr>
          <w:sz w:val="24"/>
          <w:szCs w:val="24"/>
        </w:rPr>
        <w:t xml:space="preserve"> til sygehus</w:t>
      </w:r>
      <w:r>
        <w:rPr>
          <w:sz w:val="24"/>
          <w:szCs w:val="24"/>
        </w:rPr>
        <w:t>e)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5.</w:t>
      </w:r>
      <w:r w:rsidRPr="009D7ACB">
        <w:rPr>
          <w:b/>
          <w:sz w:val="24"/>
          <w:szCs w:val="24"/>
        </w:rPr>
        <w:tab/>
        <w:t>FARMAKOLOGISKE EGENSKABER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5.1</w:t>
      </w:r>
      <w:r w:rsidRPr="009D7ACB">
        <w:rPr>
          <w:b/>
          <w:sz w:val="24"/>
          <w:szCs w:val="24"/>
        </w:rPr>
        <w:tab/>
      </w:r>
      <w:proofErr w:type="spellStart"/>
      <w:r w:rsidRPr="009D7ACB">
        <w:rPr>
          <w:b/>
          <w:sz w:val="24"/>
          <w:szCs w:val="24"/>
        </w:rPr>
        <w:t>Farmakodynamiske</w:t>
      </w:r>
      <w:proofErr w:type="spellEnd"/>
      <w:r w:rsidRPr="009D7ACB">
        <w:rPr>
          <w:b/>
          <w:sz w:val="24"/>
          <w:szCs w:val="24"/>
        </w:rPr>
        <w:t xml:space="preserve"> egenskaber</w:t>
      </w:r>
    </w:p>
    <w:p w:rsidR="003C72BF" w:rsidRDefault="003C72BF" w:rsidP="003C72BF">
      <w:pPr>
        <w:ind w:left="851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Farmakoterapeutisk</w:t>
      </w:r>
      <w:proofErr w:type="spellEnd"/>
      <w:r>
        <w:rPr>
          <w:color w:val="000000"/>
          <w:sz w:val="24"/>
          <w:szCs w:val="24"/>
        </w:rPr>
        <w:t xml:space="preserve"> klassifikation:</w:t>
      </w:r>
      <w:r w:rsidRPr="003C72BF">
        <w:rPr>
          <w:sz w:val="24"/>
          <w:szCs w:val="24"/>
        </w:rPr>
        <w:t xml:space="preserve"> </w:t>
      </w:r>
      <w:proofErr w:type="spellStart"/>
      <w:r w:rsidRPr="003C72BF">
        <w:rPr>
          <w:sz w:val="24"/>
          <w:szCs w:val="24"/>
        </w:rPr>
        <w:t>Immunstimulanter</w:t>
      </w:r>
      <w:proofErr w:type="spellEnd"/>
      <w:r>
        <w:rPr>
          <w:sz w:val="24"/>
          <w:szCs w:val="24"/>
        </w:rPr>
        <w:t xml:space="preserve">. </w:t>
      </w:r>
      <w:r w:rsidRPr="009D7ACB">
        <w:rPr>
          <w:sz w:val="24"/>
          <w:szCs w:val="24"/>
        </w:rPr>
        <w:t xml:space="preserve">Andre </w:t>
      </w:r>
      <w:proofErr w:type="spellStart"/>
      <w:r>
        <w:rPr>
          <w:sz w:val="24"/>
          <w:szCs w:val="24"/>
        </w:rPr>
        <w:t>immunstimulanter</w:t>
      </w:r>
      <w:proofErr w:type="spellEnd"/>
      <w:r>
        <w:rPr>
          <w:sz w:val="24"/>
          <w:szCs w:val="24"/>
        </w:rPr>
        <w:t xml:space="preserve">, </w:t>
      </w:r>
      <w:r w:rsidRPr="009D7ACB">
        <w:rPr>
          <w:sz w:val="24"/>
          <w:szCs w:val="24"/>
        </w:rPr>
        <w:t xml:space="preserve">ATC-kode: </w:t>
      </w:r>
      <w:r w:rsidRPr="009D7ACB">
        <w:rPr>
          <w:color w:val="000000"/>
          <w:sz w:val="24"/>
          <w:szCs w:val="24"/>
        </w:rPr>
        <w:t>L03AX13.</w:t>
      </w:r>
      <w:r w:rsidRPr="009D7ACB">
        <w:rPr>
          <w:sz w:val="24"/>
          <w:szCs w:val="24"/>
        </w:rPr>
        <w:t xml:space="preserve"> </w:t>
      </w:r>
    </w:p>
    <w:p w:rsidR="003C72BF" w:rsidRDefault="003C72BF" w:rsidP="003C72BF">
      <w:pPr>
        <w:ind w:left="851"/>
        <w:rPr>
          <w:sz w:val="24"/>
          <w:szCs w:val="24"/>
        </w:rPr>
      </w:pPr>
    </w:p>
    <w:p w:rsidR="00B17940" w:rsidRPr="00D14F2F" w:rsidRDefault="00B17940" w:rsidP="00B17940">
      <w:pPr>
        <w:suppressAutoHyphens/>
        <w:ind w:left="855"/>
        <w:rPr>
          <w:color w:val="000000"/>
          <w:sz w:val="24"/>
          <w:szCs w:val="24"/>
          <w:u w:val="single"/>
        </w:rPr>
      </w:pPr>
      <w:r w:rsidRPr="00D14F2F">
        <w:rPr>
          <w:color w:val="000000"/>
          <w:sz w:val="24"/>
          <w:szCs w:val="24"/>
          <w:u w:val="single"/>
        </w:rPr>
        <w:t>Virkningsmekanisme</w:t>
      </w:r>
    </w:p>
    <w:p w:rsidR="00B17940" w:rsidRPr="002C16FE" w:rsidRDefault="00B17940" w:rsidP="00B17940">
      <w:pPr>
        <w:suppressAutoHyphens/>
        <w:ind w:left="855"/>
        <w:rPr>
          <w:color w:val="000000"/>
          <w:sz w:val="24"/>
          <w:szCs w:val="24"/>
        </w:rPr>
      </w:pPr>
      <w:r w:rsidRPr="002C16FE">
        <w:rPr>
          <w:color w:val="000000"/>
          <w:sz w:val="24"/>
          <w:szCs w:val="24"/>
        </w:rPr>
        <w:t xml:space="preserve">Virkningsmekanismen for </w:t>
      </w:r>
      <w:proofErr w:type="spellStart"/>
      <w:r w:rsidRPr="002C16FE">
        <w:rPr>
          <w:color w:val="000000"/>
          <w:sz w:val="24"/>
          <w:szCs w:val="24"/>
        </w:rPr>
        <w:t>glatirameracetats</w:t>
      </w:r>
      <w:proofErr w:type="spellEnd"/>
      <w:r w:rsidRPr="002C16FE">
        <w:rPr>
          <w:color w:val="000000"/>
          <w:sz w:val="24"/>
          <w:szCs w:val="24"/>
        </w:rPr>
        <w:t xml:space="preserve"> terapeutiske effekt på de attakvise former af MS er ikke fuldt klarlagt</w:t>
      </w:r>
      <w:r>
        <w:rPr>
          <w:color w:val="000000"/>
          <w:sz w:val="24"/>
          <w:szCs w:val="24"/>
        </w:rPr>
        <w:t xml:space="preserve">. </w:t>
      </w:r>
      <w:r w:rsidRPr="002C16FE">
        <w:rPr>
          <w:color w:val="000000"/>
          <w:sz w:val="24"/>
          <w:szCs w:val="24"/>
        </w:rPr>
        <w:t>Det menes at virke ved modulering af immunprocesser.</w:t>
      </w:r>
    </w:p>
    <w:p w:rsidR="00B17940" w:rsidRPr="001B507B" w:rsidRDefault="00B17940" w:rsidP="00B17940">
      <w:pPr>
        <w:ind w:left="851"/>
        <w:rPr>
          <w:sz w:val="24"/>
          <w:szCs w:val="24"/>
        </w:rPr>
      </w:pPr>
      <w:r w:rsidRPr="0042011B">
        <w:rPr>
          <w:color w:val="222222"/>
          <w:sz w:val="24"/>
          <w:szCs w:val="24"/>
        </w:rPr>
        <w:t xml:space="preserve">Studier </w:t>
      </w:r>
      <w:r>
        <w:rPr>
          <w:color w:val="222222"/>
          <w:sz w:val="24"/>
          <w:szCs w:val="24"/>
        </w:rPr>
        <w:t>i</w:t>
      </w:r>
      <w:r w:rsidRPr="0042011B">
        <w:rPr>
          <w:color w:val="222222"/>
          <w:sz w:val="24"/>
          <w:szCs w:val="24"/>
        </w:rPr>
        <w:t xml:space="preserve"> dyr og </w:t>
      </w:r>
      <w:r>
        <w:rPr>
          <w:color w:val="222222"/>
          <w:sz w:val="24"/>
          <w:szCs w:val="24"/>
        </w:rPr>
        <w:t xml:space="preserve">hos </w:t>
      </w:r>
      <w:r w:rsidRPr="0042011B">
        <w:rPr>
          <w:color w:val="222222"/>
          <w:sz w:val="24"/>
          <w:szCs w:val="24"/>
        </w:rPr>
        <w:t>MS-patienter antyder</w:t>
      </w:r>
      <w:r>
        <w:rPr>
          <w:color w:val="222222"/>
          <w:sz w:val="24"/>
          <w:szCs w:val="24"/>
        </w:rPr>
        <w:t>, at</w:t>
      </w:r>
      <w:r w:rsidRPr="0042011B">
        <w:rPr>
          <w:color w:val="222222"/>
          <w:sz w:val="24"/>
          <w:szCs w:val="24"/>
        </w:rPr>
        <w:t xml:space="preserve"> </w:t>
      </w:r>
      <w:proofErr w:type="spellStart"/>
      <w:r w:rsidRPr="0042011B">
        <w:rPr>
          <w:color w:val="222222"/>
          <w:sz w:val="24"/>
          <w:szCs w:val="24"/>
        </w:rPr>
        <w:t>glatirameracetat</w:t>
      </w:r>
      <w:proofErr w:type="spellEnd"/>
      <w:r>
        <w:rPr>
          <w:color w:val="222222"/>
          <w:sz w:val="24"/>
          <w:szCs w:val="24"/>
        </w:rPr>
        <w:t xml:space="preserve"> </w:t>
      </w:r>
      <w:r w:rsidRPr="0042011B">
        <w:rPr>
          <w:color w:val="222222"/>
          <w:sz w:val="24"/>
          <w:szCs w:val="24"/>
        </w:rPr>
        <w:t>virk</w:t>
      </w:r>
      <w:r>
        <w:rPr>
          <w:color w:val="222222"/>
          <w:sz w:val="24"/>
          <w:szCs w:val="24"/>
        </w:rPr>
        <w:t xml:space="preserve">er på </w:t>
      </w:r>
      <w:proofErr w:type="spellStart"/>
      <w:r>
        <w:rPr>
          <w:color w:val="222222"/>
          <w:sz w:val="24"/>
          <w:szCs w:val="24"/>
        </w:rPr>
        <w:t>innate</w:t>
      </w:r>
      <w:proofErr w:type="spellEnd"/>
      <w:r>
        <w:rPr>
          <w:color w:val="222222"/>
          <w:sz w:val="24"/>
          <w:szCs w:val="24"/>
        </w:rPr>
        <w:t xml:space="preserve"> </w:t>
      </w:r>
      <w:r w:rsidRPr="0042011B">
        <w:rPr>
          <w:color w:val="222222"/>
          <w:sz w:val="24"/>
          <w:szCs w:val="24"/>
        </w:rPr>
        <w:t xml:space="preserve">immunceller, herunder </w:t>
      </w:r>
      <w:proofErr w:type="spellStart"/>
      <w:r w:rsidRPr="0042011B">
        <w:rPr>
          <w:color w:val="222222"/>
          <w:sz w:val="24"/>
          <w:szCs w:val="24"/>
        </w:rPr>
        <w:t>monocytter</w:t>
      </w:r>
      <w:proofErr w:type="spellEnd"/>
      <w:r w:rsidRPr="0042011B">
        <w:rPr>
          <w:color w:val="222222"/>
          <w:sz w:val="24"/>
          <w:szCs w:val="24"/>
        </w:rPr>
        <w:t>, dendrit</w:t>
      </w:r>
      <w:r>
        <w:rPr>
          <w:color w:val="222222"/>
          <w:sz w:val="24"/>
          <w:szCs w:val="24"/>
        </w:rPr>
        <w:t xml:space="preserve">ter </w:t>
      </w:r>
      <w:r w:rsidRPr="0042011B">
        <w:rPr>
          <w:color w:val="222222"/>
          <w:sz w:val="24"/>
          <w:szCs w:val="24"/>
        </w:rPr>
        <w:t>og B-celler</w:t>
      </w:r>
      <w:r>
        <w:rPr>
          <w:color w:val="222222"/>
          <w:sz w:val="24"/>
          <w:szCs w:val="24"/>
        </w:rPr>
        <w:t xml:space="preserve"> ved at </w:t>
      </w:r>
      <w:r w:rsidRPr="0042011B">
        <w:rPr>
          <w:color w:val="222222"/>
          <w:sz w:val="24"/>
          <w:szCs w:val="24"/>
        </w:rPr>
        <w:t xml:space="preserve">modulere adaptive funktioner </w:t>
      </w:r>
      <w:r>
        <w:rPr>
          <w:color w:val="222222"/>
          <w:sz w:val="24"/>
          <w:szCs w:val="24"/>
        </w:rPr>
        <w:t>i</w:t>
      </w:r>
      <w:r w:rsidRPr="0042011B">
        <w:rPr>
          <w:color w:val="222222"/>
          <w:sz w:val="24"/>
          <w:szCs w:val="24"/>
        </w:rPr>
        <w:t xml:space="preserve"> B</w:t>
      </w:r>
      <w:r>
        <w:rPr>
          <w:color w:val="222222"/>
          <w:sz w:val="24"/>
          <w:szCs w:val="24"/>
        </w:rPr>
        <w:t>-</w:t>
      </w:r>
      <w:r w:rsidRPr="0042011B">
        <w:rPr>
          <w:color w:val="222222"/>
          <w:sz w:val="24"/>
          <w:szCs w:val="24"/>
        </w:rPr>
        <w:t xml:space="preserve"> og T-celler</w:t>
      </w:r>
      <w:r>
        <w:rPr>
          <w:color w:val="222222"/>
          <w:sz w:val="24"/>
          <w:szCs w:val="24"/>
        </w:rPr>
        <w:t xml:space="preserve"> og derved</w:t>
      </w:r>
      <w:r w:rsidRPr="0042011B">
        <w:rPr>
          <w:color w:val="222222"/>
          <w:sz w:val="24"/>
          <w:szCs w:val="24"/>
        </w:rPr>
        <w:t xml:space="preserve"> inducerer antiinflammatorisk og regulatorisk cytokinsekretion. Hvorvidt den terapeutiske </w:t>
      </w:r>
      <w:r>
        <w:rPr>
          <w:color w:val="222222"/>
          <w:sz w:val="24"/>
          <w:szCs w:val="24"/>
        </w:rPr>
        <w:t xml:space="preserve">effekt er </w:t>
      </w:r>
      <w:r w:rsidRPr="0042011B">
        <w:rPr>
          <w:color w:val="222222"/>
          <w:sz w:val="24"/>
          <w:szCs w:val="24"/>
        </w:rPr>
        <w:t>mediere</w:t>
      </w:r>
      <w:r>
        <w:rPr>
          <w:color w:val="222222"/>
          <w:sz w:val="24"/>
          <w:szCs w:val="24"/>
        </w:rPr>
        <w:t xml:space="preserve">t ved </w:t>
      </w:r>
      <w:r w:rsidRPr="0042011B">
        <w:rPr>
          <w:color w:val="222222"/>
          <w:sz w:val="24"/>
          <w:szCs w:val="24"/>
        </w:rPr>
        <w:t>de cellulære virkninger</w:t>
      </w:r>
      <w:r>
        <w:rPr>
          <w:color w:val="222222"/>
          <w:sz w:val="24"/>
          <w:szCs w:val="24"/>
        </w:rPr>
        <w:t xml:space="preserve"> beskrevet ovenfor</w:t>
      </w:r>
      <w:r w:rsidRPr="0042011B">
        <w:rPr>
          <w:color w:val="222222"/>
          <w:sz w:val="24"/>
          <w:szCs w:val="24"/>
        </w:rPr>
        <w:t xml:space="preserve">, er ikke kendt, </w:t>
      </w:r>
      <w:r>
        <w:rPr>
          <w:color w:val="222222"/>
          <w:sz w:val="24"/>
          <w:szCs w:val="24"/>
        </w:rPr>
        <w:t xml:space="preserve">da </w:t>
      </w:r>
      <w:proofErr w:type="spellStart"/>
      <w:r w:rsidRPr="008C2779">
        <w:rPr>
          <w:color w:val="222222"/>
          <w:sz w:val="24"/>
          <w:szCs w:val="24"/>
        </w:rPr>
        <w:t>patofysiologien</w:t>
      </w:r>
      <w:proofErr w:type="spellEnd"/>
      <w:r>
        <w:rPr>
          <w:color w:val="222222"/>
          <w:sz w:val="24"/>
          <w:szCs w:val="24"/>
        </w:rPr>
        <w:t xml:space="preserve"> for </w:t>
      </w:r>
      <w:r w:rsidRPr="0042011B">
        <w:rPr>
          <w:color w:val="222222"/>
          <w:sz w:val="24"/>
          <w:szCs w:val="24"/>
        </w:rPr>
        <w:t xml:space="preserve">MS kun </w:t>
      </w:r>
      <w:r>
        <w:rPr>
          <w:color w:val="222222"/>
          <w:sz w:val="24"/>
          <w:szCs w:val="24"/>
        </w:rPr>
        <w:t xml:space="preserve">er </w:t>
      </w:r>
      <w:r w:rsidRPr="0042011B">
        <w:rPr>
          <w:color w:val="222222"/>
          <w:sz w:val="24"/>
          <w:szCs w:val="24"/>
        </w:rPr>
        <w:t>delvist</w:t>
      </w:r>
      <w:r>
        <w:rPr>
          <w:color w:val="222222"/>
          <w:sz w:val="24"/>
          <w:szCs w:val="24"/>
        </w:rPr>
        <w:t xml:space="preserve"> forstået</w:t>
      </w:r>
      <w:r w:rsidRPr="0042011B">
        <w:rPr>
          <w:color w:val="222222"/>
          <w:sz w:val="24"/>
          <w:szCs w:val="24"/>
        </w:rPr>
        <w:t>.</w:t>
      </w: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</w:p>
    <w:p w:rsidR="00B17940" w:rsidRPr="00D14F2F" w:rsidRDefault="00B17940" w:rsidP="00B17940">
      <w:pPr>
        <w:ind w:firstLine="855"/>
        <w:rPr>
          <w:sz w:val="24"/>
          <w:szCs w:val="24"/>
          <w:u w:val="single"/>
        </w:rPr>
      </w:pPr>
      <w:r w:rsidRPr="00D14F2F">
        <w:rPr>
          <w:sz w:val="24"/>
          <w:szCs w:val="24"/>
          <w:u w:val="single"/>
        </w:rPr>
        <w:t>Klinisk virkning og sikkerhed</w:t>
      </w:r>
    </w:p>
    <w:p w:rsidR="00F50AE3" w:rsidRDefault="00F50AE3" w:rsidP="00F50AE3">
      <w:pPr>
        <w:ind w:left="855"/>
        <w:rPr>
          <w:i/>
          <w:color w:val="000000"/>
          <w:sz w:val="24"/>
          <w:szCs w:val="24"/>
        </w:rPr>
      </w:pPr>
    </w:p>
    <w:p w:rsidR="00F50AE3" w:rsidRPr="00D14F2F" w:rsidRDefault="00F50AE3" w:rsidP="00F50AE3">
      <w:pPr>
        <w:ind w:left="85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RRMS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I alt har 269 patienter været behandlet med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i 3 kontrollerede forsøg. Det første var et 2-årigt forsøg med 50 patienter (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n = 25, placebo n = 25), som blev diagnosticeret med </w:t>
      </w:r>
      <w:proofErr w:type="spellStart"/>
      <w:r w:rsidRPr="00D14F2F">
        <w:rPr>
          <w:color w:val="000000"/>
          <w:sz w:val="24"/>
          <w:szCs w:val="24"/>
        </w:rPr>
        <w:t>relapserende</w:t>
      </w:r>
      <w:proofErr w:type="spellEnd"/>
      <w:r w:rsidRPr="00D14F2F">
        <w:rPr>
          <w:color w:val="000000"/>
          <w:sz w:val="24"/>
          <w:szCs w:val="24"/>
        </w:rPr>
        <w:t>-remitterende MS efter de på det tidspunkt eksisterende standard kriterier, og som havde mindst 2 anfald af neurologisk dysfunktion (</w:t>
      </w:r>
      <w:proofErr w:type="spellStart"/>
      <w:r w:rsidRPr="00D14F2F">
        <w:rPr>
          <w:color w:val="000000"/>
          <w:sz w:val="24"/>
          <w:szCs w:val="24"/>
        </w:rPr>
        <w:t>eksacerbationer</w:t>
      </w:r>
      <w:proofErr w:type="spellEnd"/>
      <w:r w:rsidRPr="00D14F2F">
        <w:rPr>
          <w:color w:val="000000"/>
          <w:sz w:val="24"/>
          <w:szCs w:val="24"/>
        </w:rPr>
        <w:t>) gennem de foregående 2 år. Det andet forsøg omfattede de samme inklusionskriterier og inkluderede 251 patienter, der blev behandlet i op til 35 måneder (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n = 125, placebo n = 126). Det tredje forsøg var et 9-måneders forsøg med 239 patienter (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n = 119, placebo n = 120), hvor inklusionskriterierne var de samme, som i de to første forsøg samtidig med at patienterne skulle have mindst en gadolinium-forstærket læsion på deres screenings MR-scanning.</w:t>
      </w:r>
    </w:p>
    <w:p w:rsidR="00F50AE3" w:rsidRPr="00D14F2F" w:rsidRDefault="00F50AE3" w:rsidP="00F50AE3">
      <w:pPr>
        <w:tabs>
          <w:tab w:val="center" w:pos="4819"/>
          <w:tab w:val="right" w:pos="9638"/>
        </w:tabs>
        <w:ind w:left="855"/>
        <w:rPr>
          <w:color w:val="000000"/>
          <w:sz w:val="24"/>
          <w:szCs w:val="24"/>
          <w:lang w:eastAsia="da-DK"/>
        </w:rPr>
      </w:pP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I kliniske forsøg med </w:t>
      </w:r>
      <w:proofErr w:type="gramStart"/>
      <w:r w:rsidRPr="00D14F2F">
        <w:rPr>
          <w:color w:val="000000"/>
          <w:sz w:val="24"/>
          <w:szCs w:val="24"/>
        </w:rPr>
        <w:t>MS patienter</w:t>
      </w:r>
      <w:proofErr w:type="gramEnd"/>
      <w:r w:rsidRPr="00D14F2F">
        <w:rPr>
          <w:color w:val="000000"/>
          <w:sz w:val="24"/>
          <w:szCs w:val="24"/>
        </w:rPr>
        <w:t xml:space="preserve"> der fik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, sås en signifikant reduktion i antallet af relaps sammenlignet med placebo. 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>I det største kontrollerede forsøg var hyppigheden af relaps reduceret med 32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fra 1,98 under placebo til 1,34 under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>.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lastRenderedPageBreak/>
        <w:t xml:space="preserve">Eksponeringsdata er tilgængelige for 103 patienter behandlet med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i op til 12 år.</w:t>
      </w: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har også vist gavnlig effekt over for placebo på </w:t>
      </w:r>
      <w:proofErr w:type="gramStart"/>
      <w:r w:rsidRPr="00D14F2F">
        <w:rPr>
          <w:color w:val="000000"/>
          <w:sz w:val="24"/>
          <w:szCs w:val="24"/>
        </w:rPr>
        <w:t>MRI parametrene</w:t>
      </w:r>
      <w:proofErr w:type="gramEnd"/>
      <w:r w:rsidRPr="00D14F2F">
        <w:rPr>
          <w:color w:val="000000"/>
          <w:sz w:val="24"/>
          <w:szCs w:val="24"/>
        </w:rPr>
        <w:t xml:space="preserve"> relevante for </w:t>
      </w:r>
      <w:proofErr w:type="spellStart"/>
      <w:r w:rsidRPr="00D14F2F">
        <w:rPr>
          <w:color w:val="000000"/>
          <w:sz w:val="24"/>
          <w:szCs w:val="24"/>
        </w:rPr>
        <w:t>relapserende</w:t>
      </w:r>
      <w:proofErr w:type="spellEnd"/>
      <w:r w:rsidRPr="00D14F2F">
        <w:rPr>
          <w:color w:val="000000"/>
          <w:sz w:val="24"/>
          <w:szCs w:val="24"/>
        </w:rPr>
        <w:t>-remitterende MS.</w:t>
      </w: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</w:p>
    <w:p w:rsidR="00B17940" w:rsidRPr="004563C7" w:rsidRDefault="00B17940" w:rsidP="00B17940">
      <w:pPr>
        <w:ind w:left="855"/>
        <w:rPr>
          <w:color w:val="000000"/>
          <w:sz w:val="24"/>
          <w:szCs w:val="24"/>
        </w:rPr>
      </w:pPr>
      <w:proofErr w:type="spellStart"/>
      <w:r w:rsidRPr="004563C7">
        <w:rPr>
          <w:color w:val="222222"/>
          <w:sz w:val="24"/>
          <w:szCs w:val="24"/>
        </w:rPr>
        <w:t>Glatirameracetat</w:t>
      </w:r>
      <w:proofErr w:type="spellEnd"/>
      <w:r w:rsidRPr="004563C7">
        <w:rPr>
          <w:color w:val="222222"/>
          <w:sz w:val="24"/>
          <w:szCs w:val="24"/>
        </w:rPr>
        <w:t xml:space="preserve"> 20 mg/ml: </w:t>
      </w:r>
      <w:r w:rsidRPr="004563C7">
        <w:rPr>
          <w:color w:val="000000"/>
          <w:sz w:val="24"/>
          <w:szCs w:val="24"/>
        </w:rPr>
        <w:t xml:space="preserve">I et kontrolleret studie 9001/9001E med 251 patienter, som blev fulgt i op til 35 måneder (indeholdende en udvidet blindet fase 9001E af studie 9001) var den kumulative procentdel af patienter, som udviklede invaliditetsprogression bekræftet i 3 måneder 29,4 % for placebo- og 23,2 % for </w:t>
      </w:r>
      <w:proofErr w:type="spellStart"/>
      <w:r w:rsidRPr="004563C7">
        <w:rPr>
          <w:sz w:val="24"/>
          <w:szCs w:val="24"/>
        </w:rPr>
        <w:t>glatirameracetat</w:t>
      </w:r>
      <w:proofErr w:type="spellEnd"/>
      <w:r w:rsidRPr="004563C7">
        <w:rPr>
          <w:color w:val="000000"/>
          <w:sz w:val="24"/>
          <w:szCs w:val="24"/>
        </w:rPr>
        <w:t xml:space="preserve">-behandlede patienter (p=0,199). </w:t>
      </w: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Der er ingen evidens for, at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behandling har effekt på varigheden eller alvorligheden af relaps.</w:t>
      </w: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</w:p>
    <w:p w:rsidR="00B17940" w:rsidRDefault="00B17940" w:rsidP="00B17940">
      <w:pPr>
        <w:ind w:left="855"/>
        <w:rPr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Der er i øjeblikket ingen evidens for anvendelse af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til patienter med primær eller progressiv sekundær sygdom.</w:t>
      </w:r>
      <w:r>
        <w:rPr>
          <w:color w:val="000000"/>
          <w:sz w:val="24"/>
          <w:szCs w:val="24"/>
        </w:rPr>
        <w:t xml:space="preserve"> </w:t>
      </w:r>
    </w:p>
    <w:p w:rsidR="00B17940" w:rsidRPr="00D14F2F" w:rsidRDefault="00B17940" w:rsidP="00B17940">
      <w:pPr>
        <w:ind w:left="855"/>
        <w:jc w:val="both"/>
        <w:rPr>
          <w:sz w:val="24"/>
          <w:szCs w:val="24"/>
        </w:rPr>
      </w:pPr>
    </w:p>
    <w:p w:rsidR="00B17940" w:rsidRPr="00D14F2F" w:rsidRDefault="00B17940" w:rsidP="00B17940">
      <w:pPr>
        <w:ind w:left="855"/>
        <w:jc w:val="both"/>
        <w:rPr>
          <w:i/>
          <w:sz w:val="24"/>
          <w:szCs w:val="24"/>
        </w:rPr>
      </w:pPr>
      <w:r w:rsidRPr="00D14F2F">
        <w:rPr>
          <w:i/>
          <w:sz w:val="24"/>
          <w:szCs w:val="24"/>
        </w:rPr>
        <w:t xml:space="preserve">Enkelt </w:t>
      </w:r>
      <w:r>
        <w:rPr>
          <w:i/>
          <w:sz w:val="24"/>
          <w:szCs w:val="24"/>
        </w:rPr>
        <w:t>klinisk hændelse med tegn på MS</w:t>
      </w:r>
    </w:p>
    <w:p w:rsidR="00B17940" w:rsidRPr="00D14F2F" w:rsidRDefault="00B17940" w:rsidP="00B17940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>Et placebo-kontrolleret forsøg med 481 patienter (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n=243, placebo n=238) blev udført hos patienter med en veldefineret, enkelt, </w:t>
      </w:r>
      <w:proofErr w:type="spellStart"/>
      <w:r w:rsidRPr="00D14F2F">
        <w:rPr>
          <w:color w:val="000000"/>
          <w:sz w:val="24"/>
          <w:szCs w:val="24"/>
        </w:rPr>
        <w:t>unifokal</w:t>
      </w:r>
      <w:proofErr w:type="spellEnd"/>
      <w:r w:rsidRPr="00D14F2F">
        <w:rPr>
          <w:color w:val="000000"/>
          <w:sz w:val="24"/>
          <w:szCs w:val="24"/>
        </w:rPr>
        <w:t xml:space="preserve"> neurologisk manifestation og MR-scanningskarakteristika, som i høj grad tydende på MS (mindst to cerebrale læsioner på den T2-vægtede MRI over 6 mm i diameter). Enhver anden sygdom end </w:t>
      </w:r>
      <w:r>
        <w:rPr>
          <w:color w:val="000000"/>
          <w:sz w:val="24"/>
          <w:szCs w:val="24"/>
        </w:rPr>
        <w:t>MS</w:t>
      </w:r>
      <w:r w:rsidRPr="00D14F2F">
        <w:rPr>
          <w:color w:val="000000"/>
          <w:sz w:val="24"/>
          <w:szCs w:val="24"/>
        </w:rPr>
        <w:t xml:space="preserve">, som bedre kunne forklare tegn og symptomer hos patienten, måtte ekskluderes. Den placebo-kontrollerede fase blev fulgt af en open-label behandling: De patienter, som enten havde MS-symptomer eller var asymptomatiske i 3 år, uanset hvilken hændelse der indtraf først, skulle modtage aktiv lægemiddelbehandling i en open-label fase på yderligere 2 år, men måtte ikke overskride en maksimal total behandlingsperiode på over 5 år. Af de 243 patienter, som initialt blev randomiseret til at få behandling med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, fortsatte de 198 patienter behandlingen med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i open-label fasen. Af de 238 patienter, som initialt blev randomiseret til at få placebo, skiftede 211 patienter til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i open-label fasen.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Gennem den placebo-kontrollerede periode på op til 3 år, forsinkede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progressionen fra den første kliniske hændelse til klinisk definitiv multipel </w:t>
      </w:r>
      <w:proofErr w:type="spellStart"/>
      <w:r w:rsidRPr="00D14F2F">
        <w:rPr>
          <w:color w:val="000000"/>
          <w:sz w:val="24"/>
          <w:szCs w:val="24"/>
        </w:rPr>
        <w:t>sclerose</w:t>
      </w:r>
      <w:proofErr w:type="spellEnd"/>
      <w:r w:rsidRPr="00D14F2F">
        <w:rPr>
          <w:color w:val="000000"/>
          <w:sz w:val="24"/>
          <w:szCs w:val="24"/>
        </w:rPr>
        <w:t xml:space="preserve"> (CDMS) i henhold til Poser kriteriet på en statistisk, signifikant og klinisk meningsfuld måde, svarende til en nedsættelse af risikoen med 45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(</w:t>
      </w:r>
      <w:proofErr w:type="spellStart"/>
      <w:r w:rsidRPr="00D14F2F">
        <w:rPr>
          <w:color w:val="000000"/>
          <w:sz w:val="24"/>
          <w:szCs w:val="24"/>
        </w:rPr>
        <w:t>Hazard</w:t>
      </w:r>
      <w:proofErr w:type="spellEnd"/>
      <w:r w:rsidRPr="00D14F2F">
        <w:rPr>
          <w:color w:val="000000"/>
          <w:sz w:val="24"/>
          <w:szCs w:val="24"/>
        </w:rPr>
        <w:t xml:space="preserve"> Ratio = 0.55; 95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CI [0.40; 0.77], p-</w:t>
      </w:r>
      <w:proofErr w:type="spellStart"/>
      <w:r w:rsidRPr="00D14F2F">
        <w:rPr>
          <w:color w:val="000000"/>
          <w:sz w:val="24"/>
          <w:szCs w:val="24"/>
        </w:rPr>
        <w:t>value</w:t>
      </w:r>
      <w:proofErr w:type="spellEnd"/>
      <w:r w:rsidRPr="00D14F2F">
        <w:rPr>
          <w:color w:val="000000"/>
          <w:sz w:val="24"/>
          <w:szCs w:val="24"/>
        </w:rPr>
        <w:t>=0.0005). Forholdet af patienter som konverterede til CDMS var 43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for </w:t>
      </w:r>
      <w:proofErr w:type="gramStart"/>
      <w:r w:rsidRPr="00D14F2F">
        <w:rPr>
          <w:color w:val="000000"/>
          <w:sz w:val="24"/>
          <w:szCs w:val="24"/>
        </w:rPr>
        <w:t>placebo gruppen</w:t>
      </w:r>
      <w:proofErr w:type="gramEnd"/>
      <w:r w:rsidRPr="00D14F2F">
        <w:rPr>
          <w:color w:val="000000"/>
          <w:sz w:val="24"/>
          <w:szCs w:val="24"/>
        </w:rPr>
        <w:t xml:space="preserve"> og 25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for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gruppen.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Den fordelagtige effekt af behandling med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i forhold til placebo blev også vist i 2 sekundære endepunkter ved MR-scanning, det vil sige antal af nye T2 læsioner og T2 læsionsvolumen.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Post-hoc undergruppe analyser blev udført hos patienter med forskellige baseline karakteristika for at identificere en gruppe med høj risiko for at udvikle 2. </w:t>
      </w:r>
      <w:proofErr w:type="spellStart"/>
      <w:r w:rsidRPr="00D14F2F">
        <w:rPr>
          <w:color w:val="000000"/>
          <w:sz w:val="24"/>
          <w:szCs w:val="24"/>
        </w:rPr>
        <w:t>attack</w:t>
      </w:r>
      <w:proofErr w:type="spellEnd"/>
      <w:r w:rsidRPr="00D14F2F">
        <w:rPr>
          <w:color w:val="000000"/>
          <w:sz w:val="24"/>
          <w:szCs w:val="24"/>
        </w:rPr>
        <w:t xml:space="preserve">. For individer med baseline MRI med mindst en </w:t>
      </w:r>
      <w:r w:rsidRPr="00D14F2F">
        <w:rPr>
          <w:sz w:val="24"/>
          <w:szCs w:val="24"/>
          <w:lang w:bidi="he-IL"/>
        </w:rPr>
        <w:t xml:space="preserve">T1 </w:t>
      </w:r>
      <w:proofErr w:type="spellStart"/>
      <w:r w:rsidRPr="00D14F2F">
        <w:rPr>
          <w:sz w:val="24"/>
          <w:szCs w:val="24"/>
          <w:lang w:bidi="he-IL"/>
        </w:rPr>
        <w:t>Gd</w:t>
      </w:r>
      <w:proofErr w:type="spellEnd"/>
      <w:r w:rsidRPr="00D14F2F">
        <w:rPr>
          <w:sz w:val="24"/>
          <w:szCs w:val="24"/>
          <w:lang w:bidi="he-IL"/>
        </w:rPr>
        <w:t>-forøget læsion og 9 eller flere T2 læsioner, var der evidens for konvertering til CDMS for 50</w:t>
      </w:r>
      <w:r>
        <w:rPr>
          <w:sz w:val="24"/>
          <w:szCs w:val="24"/>
          <w:lang w:bidi="he-IL"/>
        </w:rPr>
        <w:t xml:space="preserve"> %</w:t>
      </w:r>
      <w:r w:rsidRPr="00D14F2F">
        <w:rPr>
          <w:sz w:val="24"/>
          <w:szCs w:val="24"/>
          <w:lang w:bidi="he-IL"/>
        </w:rPr>
        <w:t xml:space="preserve"> af de placebobehandlede vs. 28</w:t>
      </w:r>
      <w:r>
        <w:rPr>
          <w:sz w:val="24"/>
          <w:szCs w:val="24"/>
          <w:lang w:bidi="he-IL"/>
        </w:rPr>
        <w:t xml:space="preserve"> %</w:t>
      </w:r>
      <w:r w:rsidRPr="00D14F2F">
        <w:rPr>
          <w:sz w:val="24"/>
          <w:szCs w:val="24"/>
          <w:lang w:bidi="he-IL"/>
        </w:rPr>
        <w:t xml:space="preserve"> af de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</w:t>
      </w:r>
      <w:r w:rsidRPr="00D14F2F">
        <w:rPr>
          <w:sz w:val="24"/>
          <w:szCs w:val="24"/>
          <w:lang w:bidi="he-IL"/>
        </w:rPr>
        <w:t>behandlede i 2,4 år.</w:t>
      </w:r>
      <w:r w:rsidRPr="00D14F2F">
        <w:rPr>
          <w:color w:val="000000"/>
          <w:sz w:val="24"/>
          <w:szCs w:val="24"/>
        </w:rPr>
        <w:t xml:space="preserve"> For individer med 9 eller flere T2 læsioner ved baseline, blev konvertering til CDMS vist for 45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af de </w:t>
      </w:r>
      <w:r w:rsidRPr="00D14F2F">
        <w:rPr>
          <w:sz w:val="24"/>
          <w:szCs w:val="24"/>
          <w:lang w:bidi="he-IL"/>
        </w:rPr>
        <w:t xml:space="preserve">placebobehandlede </w:t>
      </w:r>
      <w:r w:rsidRPr="00D14F2F">
        <w:rPr>
          <w:color w:val="000000"/>
          <w:sz w:val="24"/>
          <w:szCs w:val="24"/>
        </w:rPr>
        <w:t>vs. 26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for de </w:t>
      </w:r>
      <w:proofErr w:type="spellStart"/>
      <w:r w:rsidRPr="00D14F2F">
        <w:rPr>
          <w:color w:val="000000"/>
          <w:sz w:val="24"/>
          <w:szCs w:val="24"/>
        </w:rPr>
        <w:t>glatirameracetatbehandlede</w:t>
      </w:r>
      <w:proofErr w:type="spellEnd"/>
      <w:r w:rsidRPr="00D14F2F">
        <w:rPr>
          <w:color w:val="000000"/>
          <w:sz w:val="24"/>
          <w:szCs w:val="24"/>
        </w:rPr>
        <w:t xml:space="preserve"> i 2,4 år. Indvirkningen af tidlig behandling med </w:t>
      </w:r>
      <w:proofErr w:type="spellStart"/>
      <w:r w:rsidRPr="00D14F2F">
        <w:rPr>
          <w:color w:val="000000"/>
          <w:sz w:val="24"/>
          <w:szCs w:val="24"/>
        </w:rPr>
        <w:lastRenderedPageBreak/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under </w:t>
      </w:r>
      <w:proofErr w:type="spellStart"/>
      <w:r w:rsidRPr="00D14F2F">
        <w:rPr>
          <w:color w:val="000000"/>
          <w:sz w:val="24"/>
          <w:szCs w:val="24"/>
        </w:rPr>
        <w:t>langtids</w:t>
      </w:r>
      <w:proofErr w:type="spellEnd"/>
      <w:r w:rsidRPr="00D14F2F">
        <w:rPr>
          <w:color w:val="000000"/>
          <w:sz w:val="24"/>
          <w:szCs w:val="24"/>
        </w:rPr>
        <w:t xml:space="preserve"> udvikling af sygdommen er imidlertid ukendt selv i disse højrisiko undergrupper, da forsøget hovedsagelig var designet til at fastsætte tiden til den 2. hændelse. I alle tilfælde bør behandling udelukkende overvejes til patienter, som er klassificeret i højrisikogruppen.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F50AE3" w:rsidRPr="00D14F2F" w:rsidRDefault="00F50AE3" w:rsidP="00F50AE3">
      <w:pPr>
        <w:ind w:left="855"/>
        <w:rPr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Den påviste effekt i den placebokontrollerede fase blev opretholdt i det langsigtede opfølgningsstudie på op til 5 år. Tidsprogressionen fra første kliniske hændelse til CDMS blev forlænget med tidligere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behandling sammenlignet med forsinket behandling, som blev afspejlet i en risikoreduktion på 41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med tidligere versus senere behandling (</w:t>
      </w:r>
      <w:proofErr w:type="spellStart"/>
      <w:r w:rsidRPr="00D14F2F">
        <w:rPr>
          <w:color w:val="000000"/>
          <w:sz w:val="24"/>
          <w:szCs w:val="24"/>
        </w:rPr>
        <w:t>Hazard</w:t>
      </w:r>
      <w:proofErr w:type="spellEnd"/>
      <w:r w:rsidRPr="00D14F2F">
        <w:rPr>
          <w:color w:val="000000"/>
          <w:sz w:val="24"/>
          <w:szCs w:val="24"/>
        </w:rPr>
        <w:t xml:space="preserve"> Ratio = 0,59; 95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 CI </w:t>
      </w:r>
      <w:r w:rsidRPr="00D14F2F">
        <w:rPr>
          <w:sz w:val="24"/>
          <w:szCs w:val="24"/>
        </w:rPr>
        <w:t xml:space="preserve">[0,44; 0,80], </w:t>
      </w:r>
      <w:proofErr w:type="spellStart"/>
      <w:r w:rsidRPr="00D14F2F">
        <w:rPr>
          <w:sz w:val="24"/>
          <w:szCs w:val="24"/>
        </w:rPr>
        <w:t>p-værdi</w:t>
      </w:r>
      <w:proofErr w:type="spellEnd"/>
      <w:r w:rsidRPr="00D14F2F">
        <w:rPr>
          <w:sz w:val="24"/>
          <w:szCs w:val="24"/>
        </w:rPr>
        <w:t>=0,0005). Andelen af personer i forsinket-start gruppen, som progredierede var højere (46,9</w:t>
      </w:r>
      <w:r>
        <w:rPr>
          <w:sz w:val="24"/>
          <w:szCs w:val="24"/>
        </w:rPr>
        <w:t xml:space="preserve"> %</w:t>
      </w:r>
      <w:r w:rsidRPr="00D14F2F">
        <w:rPr>
          <w:sz w:val="24"/>
          <w:szCs w:val="24"/>
        </w:rPr>
        <w:t>), sammenlignet med personerne i tidlig-start gruppen (32,9</w:t>
      </w:r>
      <w:r>
        <w:rPr>
          <w:sz w:val="24"/>
          <w:szCs w:val="24"/>
        </w:rPr>
        <w:t xml:space="preserve"> %</w:t>
      </w:r>
      <w:r w:rsidRPr="00D14F2F">
        <w:rPr>
          <w:sz w:val="24"/>
          <w:szCs w:val="24"/>
        </w:rPr>
        <w:t>).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  <w:r w:rsidRPr="00D14F2F">
        <w:rPr>
          <w:color w:val="000000"/>
          <w:sz w:val="24"/>
          <w:szCs w:val="24"/>
        </w:rPr>
        <w:t xml:space="preserve">En konsistent effekt til fordel for tidlig behandling frem for forsinket behandling over tid sås for det årlige antal af læsioner i hele forsøgsperioden i nye T1 </w:t>
      </w:r>
      <w:proofErr w:type="spellStart"/>
      <w:r w:rsidRPr="00D14F2F">
        <w:rPr>
          <w:color w:val="000000"/>
          <w:sz w:val="24"/>
          <w:szCs w:val="24"/>
        </w:rPr>
        <w:t>Gd</w:t>
      </w:r>
      <w:proofErr w:type="spellEnd"/>
      <w:r w:rsidRPr="00D14F2F">
        <w:rPr>
          <w:color w:val="000000"/>
          <w:sz w:val="24"/>
          <w:szCs w:val="24"/>
        </w:rPr>
        <w:t>-forstærkede læsioner (reduceret med 54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>, p &lt;0,0001), nye T2-læsioner (reduceret med 42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, p &lt;0,0001) og nye T1 </w:t>
      </w:r>
      <w:proofErr w:type="spellStart"/>
      <w:r w:rsidRPr="00D14F2F">
        <w:rPr>
          <w:color w:val="000000"/>
          <w:sz w:val="24"/>
          <w:szCs w:val="24"/>
        </w:rPr>
        <w:t>hypointense</w:t>
      </w:r>
      <w:proofErr w:type="spellEnd"/>
      <w:r w:rsidRPr="00D14F2F">
        <w:rPr>
          <w:color w:val="000000"/>
          <w:sz w:val="24"/>
          <w:szCs w:val="24"/>
        </w:rPr>
        <w:t xml:space="preserve"> læsioner (reduceret med 52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, p &lt;0,0001). En effekt på reduktioner til fordel for tidlig versus forsinket behandling blev også observeret for det samlede antal nye T1 </w:t>
      </w:r>
      <w:proofErr w:type="spellStart"/>
      <w:r w:rsidRPr="00D14F2F">
        <w:rPr>
          <w:color w:val="000000"/>
          <w:sz w:val="24"/>
          <w:szCs w:val="24"/>
        </w:rPr>
        <w:t>Gd</w:t>
      </w:r>
      <w:proofErr w:type="spellEnd"/>
      <w:r w:rsidRPr="00D14F2F">
        <w:rPr>
          <w:color w:val="000000"/>
          <w:sz w:val="24"/>
          <w:szCs w:val="24"/>
        </w:rPr>
        <w:t>-forstærkede læsioner (reduceret med 46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 xml:space="preserve">, p = 0,001), T1 </w:t>
      </w:r>
      <w:proofErr w:type="spellStart"/>
      <w:r w:rsidRPr="00D14F2F">
        <w:rPr>
          <w:color w:val="000000"/>
          <w:sz w:val="24"/>
          <w:szCs w:val="24"/>
        </w:rPr>
        <w:t>Gd</w:t>
      </w:r>
      <w:proofErr w:type="spellEnd"/>
      <w:r w:rsidRPr="00D14F2F">
        <w:rPr>
          <w:color w:val="000000"/>
          <w:sz w:val="24"/>
          <w:szCs w:val="24"/>
        </w:rPr>
        <w:t>-forstærket læsionsvolumen (en gennemsnitlig forskel på -0,06 ml, p &lt;0,001), og det samlede antal nye T1-hypointense læsioner (reduceret med 46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>, p &lt;0.001) målt over hele forsøgsperioden.</w:t>
      </w:r>
      <w:r w:rsidRPr="00D14F2F">
        <w:rPr>
          <w:color w:val="000000"/>
          <w:sz w:val="24"/>
          <w:szCs w:val="24"/>
        </w:rPr>
        <w:br/>
      </w:r>
      <w:r w:rsidRPr="00D14F2F">
        <w:rPr>
          <w:color w:val="000000"/>
          <w:sz w:val="24"/>
          <w:szCs w:val="24"/>
        </w:rPr>
        <w:br/>
        <w:t xml:space="preserve">Der blev ikke observeret nogen nævneværdige forskelle mellem tidlig start og forsinket start-kohorterne for hverken T1-hypointens læsionsvolumen eller hjerneatrofi over en periode på 5 år. En analyse af hjerneatrofi ved den sidst observerede værdi (justeret til behandlingseksponering) viste dog en reduktion til fordel for tidlig behandling med </w:t>
      </w:r>
      <w:proofErr w:type="spellStart"/>
      <w:r w:rsidRPr="00D14F2F">
        <w:rPr>
          <w:color w:val="000000"/>
          <w:sz w:val="24"/>
          <w:szCs w:val="24"/>
        </w:rPr>
        <w:t>glatirameracetat</w:t>
      </w:r>
      <w:proofErr w:type="spellEnd"/>
      <w:r w:rsidRPr="00D14F2F">
        <w:rPr>
          <w:color w:val="000000"/>
          <w:sz w:val="24"/>
          <w:szCs w:val="24"/>
        </w:rPr>
        <w:t xml:space="preserve"> (den gennemsnitlige forskel på procentvis ændring i hjernens volumen var 0,28</w:t>
      </w:r>
      <w:r>
        <w:rPr>
          <w:color w:val="000000"/>
          <w:sz w:val="24"/>
          <w:szCs w:val="24"/>
        </w:rPr>
        <w:t xml:space="preserve"> %</w:t>
      </w:r>
      <w:r w:rsidRPr="00D14F2F">
        <w:rPr>
          <w:color w:val="000000"/>
          <w:sz w:val="24"/>
          <w:szCs w:val="24"/>
        </w:rPr>
        <w:t>, p = 0,0209).</w:t>
      </w:r>
    </w:p>
    <w:p w:rsidR="00F50AE3" w:rsidRPr="00D14F2F" w:rsidRDefault="00F50AE3" w:rsidP="00F50AE3">
      <w:pPr>
        <w:ind w:left="855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5.2</w:t>
      </w:r>
      <w:r w:rsidRPr="009D7ACB">
        <w:rPr>
          <w:b/>
          <w:sz w:val="24"/>
          <w:szCs w:val="24"/>
        </w:rPr>
        <w:tab/>
      </w:r>
      <w:proofErr w:type="spellStart"/>
      <w:r w:rsidRPr="009D7ACB">
        <w:rPr>
          <w:b/>
          <w:sz w:val="24"/>
          <w:szCs w:val="24"/>
        </w:rPr>
        <w:t>Farmakokinetiske</w:t>
      </w:r>
      <w:proofErr w:type="spellEnd"/>
      <w:r w:rsidRPr="009D7ACB">
        <w:rPr>
          <w:b/>
          <w:sz w:val="24"/>
          <w:szCs w:val="24"/>
        </w:rPr>
        <w:t xml:space="preserve"> egenskaber</w:t>
      </w:r>
    </w:p>
    <w:p w:rsidR="00F50AE3" w:rsidRPr="00E20DED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proofErr w:type="spellStart"/>
      <w:r w:rsidRPr="009D7ACB">
        <w:rPr>
          <w:color w:val="000000"/>
          <w:sz w:val="24"/>
          <w:szCs w:val="24"/>
        </w:rPr>
        <w:t>Farmakokinetiske</w:t>
      </w:r>
      <w:proofErr w:type="spellEnd"/>
      <w:r w:rsidRPr="009D7ACB">
        <w:rPr>
          <w:color w:val="000000"/>
          <w:sz w:val="24"/>
          <w:szCs w:val="24"/>
        </w:rPr>
        <w:t xml:space="preserve"> forsøg er ikke udført på patienter. </w:t>
      </w:r>
      <w:r w:rsidRPr="009D7ACB">
        <w:rPr>
          <w:i/>
          <w:color w:val="000000"/>
          <w:sz w:val="24"/>
          <w:szCs w:val="24"/>
        </w:rPr>
        <w:t xml:space="preserve">In </w:t>
      </w:r>
      <w:proofErr w:type="spellStart"/>
      <w:r w:rsidRPr="009D7ACB">
        <w:rPr>
          <w:i/>
          <w:color w:val="000000"/>
          <w:sz w:val="24"/>
          <w:szCs w:val="24"/>
        </w:rPr>
        <w:t>vitro</w:t>
      </w:r>
      <w:proofErr w:type="spellEnd"/>
      <w:r w:rsidRPr="009D7ACB">
        <w:rPr>
          <w:color w:val="000000"/>
          <w:sz w:val="24"/>
          <w:szCs w:val="24"/>
        </w:rPr>
        <w:t xml:space="preserve"> data og begrænsede data fra raske frivillige antyder at efter subkutan administration af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>, bliver den aktive substans hurtigt absorberet, og en stor del af dosis bliver hurtigt nedbrudt til mindre fragmenter allerede i det subkutane væv.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5.3</w:t>
      </w:r>
      <w:r w:rsidRPr="009D7ACB">
        <w:rPr>
          <w:b/>
          <w:sz w:val="24"/>
          <w:szCs w:val="24"/>
        </w:rPr>
        <w:tab/>
      </w:r>
      <w:r w:rsidR="003C72BF">
        <w:rPr>
          <w:b/>
          <w:sz w:val="24"/>
          <w:szCs w:val="24"/>
        </w:rPr>
        <w:t>Non-</w:t>
      </w:r>
      <w:r w:rsidRPr="009D7ACB">
        <w:rPr>
          <w:b/>
          <w:sz w:val="24"/>
          <w:szCs w:val="24"/>
        </w:rPr>
        <w:t>kliniske sikkerhedsdata</w:t>
      </w:r>
    </w:p>
    <w:p w:rsidR="00B17940" w:rsidRPr="00A76639" w:rsidRDefault="00B17940" w:rsidP="00B17940">
      <w:pPr>
        <w:tabs>
          <w:tab w:val="left" w:pos="851"/>
        </w:tabs>
        <w:suppressAutoHyphens/>
        <w:ind w:left="855"/>
        <w:rPr>
          <w:color w:val="000000"/>
          <w:sz w:val="24"/>
          <w:szCs w:val="24"/>
        </w:rPr>
      </w:pPr>
      <w:r w:rsidRPr="00594F0A">
        <w:rPr>
          <w:color w:val="000000"/>
          <w:sz w:val="24"/>
          <w:szCs w:val="24"/>
        </w:rPr>
        <w:t>Præk</w:t>
      </w:r>
      <w:r w:rsidRPr="00594F0A">
        <w:rPr>
          <w:sz w:val="24"/>
          <w:szCs w:val="24"/>
        </w:rPr>
        <w:t>liniske data</w:t>
      </w:r>
      <w:r w:rsidRPr="0042011B">
        <w:rPr>
          <w:sz w:val="24"/>
          <w:szCs w:val="24"/>
        </w:rPr>
        <w:t xml:space="preserve"> viser ingen speciel risiko for mennesker vurderet ud fra konventionelle studier af sikkerhedsfarmakologi, toksicitet efter gentagne doser, genotoksicitet, </w:t>
      </w:r>
      <w:proofErr w:type="spellStart"/>
      <w:r w:rsidRPr="0042011B">
        <w:rPr>
          <w:sz w:val="24"/>
          <w:szCs w:val="24"/>
        </w:rPr>
        <w:t>karcinogenicitet</w:t>
      </w:r>
      <w:proofErr w:type="spellEnd"/>
      <w:r w:rsidRPr="0042011B">
        <w:rPr>
          <w:sz w:val="24"/>
          <w:szCs w:val="24"/>
        </w:rPr>
        <w:t xml:space="preserve"> samt reproduktions- og udviklingstoksicitet</w:t>
      </w:r>
      <w:r w:rsidRPr="00360D86">
        <w:rPr>
          <w:color w:val="000000"/>
          <w:sz w:val="24"/>
          <w:szCs w:val="24"/>
        </w:rPr>
        <w:t xml:space="preserve"> </w:t>
      </w:r>
      <w:r w:rsidRPr="00A76639">
        <w:rPr>
          <w:color w:val="000000"/>
          <w:sz w:val="24"/>
          <w:szCs w:val="24"/>
        </w:rPr>
        <w:t xml:space="preserve">ud over den information, der er inkluderet i andre dele af </w:t>
      </w:r>
      <w:r>
        <w:rPr>
          <w:color w:val="000000"/>
          <w:sz w:val="24"/>
          <w:szCs w:val="24"/>
        </w:rPr>
        <w:t>produktresuméet (</w:t>
      </w:r>
      <w:proofErr w:type="spellStart"/>
      <w:r w:rsidRPr="00A76639">
        <w:rPr>
          <w:color w:val="000000"/>
          <w:sz w:val="24"/>
          <w:szCs w:val="24"/>
        </w:rPr>
        <w:t>SmPC</w:t>
      </w:r>
      <w:proofErr w:type="spellEnd"/>
      <w:r>
        <w:rPr>
          <w:color w:val="000000"/>
          <w:sz w:val="24"/>
          <w:szCs w:val="24"/>
        </w:rPr>
        <w:t>)</w:t>
      </w:r>
      <w:r w:rsidRPr="00A76639">
        <w:rPr>
          <w:color w:val="000000"/>
          <w:sz w:val="24"/>
          <w:szCs w:val="24"/>
        </w:rPr>
        <w:t xml:space="preserve">. På grund af mangel på humane </w:t>
      </w:r>
      <w:proofErr w:type="spellStart"/>
      <w:r w:rsidRPr="00A76639">
        <w:rPr>
          <w:color w:val="000000"/>
          <w:sz w:val="24"/>
          <w:szCs w:val="24"/>
        </w:rPr>
        <w:t>farmakokinetiske</w:t>
      </w:r>
      <w:proofErr w:type="spellEnd"/>
      <w:r w:rsidRPr="00A76639">
        <w:rPr>
          <w:color w:val="000000"/>
          <w:sz w:val="24"/>
          <w:szCs w:val="24"/>
        </w:rPr>
        <w:t xml:space="preserve"> data kan grænserne for eksponering mellem mennesker og dyr ikke fastslås.</w:t>
      </w:r>
    </w:p>
    <w:p w:rsidR="00B17940" w:rsidRPr="00A76639" w:rsidRDefault="00B17940" w:rsidP="00B17940">
      <w:pPr>
        <w:tabs>
          <w:tab w:val="left" w:pos="851"/>
        </w:tabs>
        <w:suppressAutoHyphens/>
        <w:ind w:left="855"/>
        <w:rPr>
          <w:color w:val="000000"/>
          <w:sz w:val="24"/>
          <w:szCs w:val="24"/>
        </w:rPr>
      </w:pPr>
    </w:p>
    <w:p w:rsidR="00B17940" w:rsidRPr="00A76639" w:rsidRDefault="00B17940" w:rsidP="00B17940">
      <w:pPr>
        <w:tabs>
          <w:tab w:val="left" w:pos="851"/>
          <w:tab w:val="center" w:pos="4819"/>
          <w:tab w:val="right" w:pos="9638"/>
        </w:tabs>
        <w:suppressAutoHyphens/>
        <w:ind w:left="855"/>
        <w:rPr>
          <w:color w:val="000000"/>
          <w:sz w:val="24"/>
          <w:szCs w:val="24"/>
          <w:lang w:eastAsia="da-DK"/>
        </w:rPr>
      </w:pPr>
      <w:r w:rsidRPr="00A76639">
        <w:rPr>
          <w:color w:val="000000"/>
          <w:sz w:val="24"/>
          <w:szCs w:val="24"/>
          <w:lang w:eastAsia="da-DK"/>
        </w:rPr>
        <w:t xml:space="preserve">Hos et lille antal rotter og aber behandlet i minimum 6 måneder blev der rapporteret om aflejring af immunkomplekser i </w:t>
      </w:r>
      <w:proofErr w:type="spellStart"/>
      <w:r w:rsidRPr="00A76639">
        <w:rPr>
          <w:color w:val="000000"/>
          <w:sz w:val="24"/>
          <w:szCs w:val="24"/>
          <w:lang w:eastAsia="da-DK"/>
        </w:rPr>
        <w:t>glomeruli</w:t>
      </w:r>
      <w:proofErr w:type="spellEnd"/>
      <w:r w:rsidRPr="00A76639">
        <w:rPr>
          <w:color w:val="000000"/>
          <w:sz w:val="24"/>
          <w:szCs w:val="24"/>
          <w:lang w:eastAsia="da-DK"/>
        </w:rPr>
        <w:t xml:space="preserve"> i nyrerne. I et </w:t>
      </w:r>
      <w:proofErr w:type="gramStart"/>
      <w:r w:rsidRPr="00A76639">
        <w:rPr>
          <w:color w:val="000000"/>
          <w:sz w:val="24"/>
          <w:szCs w:val="24"/>
          <w:lang w:eastAsia="da-DK"/>
        </w:rPr>
        <w:t>2 årigt</w:t>
      </w:r>
      <w:proofErr w:type="gramEnd"/>
      <w:r w:rsidRPr="00A76639">
        <w:rPr>
          <w:color w:val="000000"/>
          <w:sz w:val="24"/>
          <w:szCs w:val="24"/>
          <w:lang w:eastAsia="da-DK"/>
        </w:rPr>
        <w:t xml:space="preserve"> rotteforsøg blev der ikke set tegn på aflejring af immunkomplekser i </w:t>
      </w:r>
      <w:proofErr w:type="spellStart"/>
      <w:r w:rsidRPr="00A76639">
        <w:rPr>
          <w:color w:val="000000"/>
          <w:sz w:val="24"/>
          <w:szCs w:val="24"/>
          <w:lang w:eastAsia="da-DK"/>
        </w:rPr>
        <w:t>nyreglomeroli</w:t>
      </w:r>
      <w:proofErr w:type="spellEnd"/>
      <w:r w:rsidRPr="00A76639">
        <w:rPr>
          <w:color w:val="000000"/>
          <w:sz w:val="24"/>
          <w:szCs w:val="24"/>
          <w:lang w:eastAsia="da-DK"/>
        </w:rPr>
        <w:t>.</w:t>
      </w:r>
    </w:p>
    <w:p w:rsidR="00B17940" w:rsidRPr="00A76639" w:rsidRDefault="00B17940" w:rsidP="00B17940">
      <w:pPr>
        <w:tabs>
          <w:tab w:val="left" w:pos="851"/>
          <w:tab w:val="center" w:pos="4819"/>
          <w:tab w:val="right" w:pos="9638"/>
        </w:tabs>
        <w:suppressAutoHyphens/>
        <w:ind w:left="855"/>
        <w:rPr>
          <w:color w:val="000000"/>
          <w:sz w:val="24"/>
          <w:szCs w:val="24"/>
          <w:lang w:eastAsia="da-DK"/>
        </w:rPr>
      </w:pPr>
    </w:p>
    <w:p w:rsidR="00B17940" w:rsidRPr="00A76639" w:rsidRDefault="00B17940" w:rsidP="00B17940">
      <w:pPr>
        <w:tabs>
          <w:tab w:val="left" w:pos="851"/>
          <w:tab w:val="center" w:pos="4819"/>
          <w:tab w:val="right" w:pos="9638"/>
        </w:tabs>
        <w:suppressAutoHyphens/>
        <w:ind w:left="855"/>
        <w:rPr>
          <w:color w:val="000000"/>
          <w:sz w:val="24"/>
          <w:szCs w:val="24"/>
          <w:lang w:eastAsia="da-DK"/>
        </w:rPr>
      </w:pPr>
      <w:r w:rsidRPr="00A76639">
        <w:rPr>
          <w:color w:val="000000"/>
          <w:sz w:val="24"/>
          <w:szCs w:val="24"/>
          <w:lang w:eastAsia="da-DK"/>
        </w:rPr>
        <w:t>Anafylaksi efter administration til sensibiliserede dyr (marsvin eller mus) er rapporteret. Relevansen af disse data i forhold til mennesker er ukendt.</w:t>
      </w:r>
    </w:p>
    <w:p w:rsidR="00B17940" w:rsidRPr="00A76639" w:rsidRDefault="00B17940" w:rsidP="00B17940">
      <w:pPr>
        <w:tabs>
          <w:tab w:val="left" w:pos="851"/>
          <w:tab w:val="center" w:pos="4819"/>
          <w:tab w:val="right" w:pos="9638"/>
        </w:tabs>
        <w:suppressAutoHyphens/>
        <w:ind w:left="855"/>
        <w:rPr>
          <w:color w:val="000000"/>
          <w:sz w:val="24"/>
          <w:szCs w:val="24"/>
          <w:lang w:eastAsia="da-DK"/>
        </w:rPr>
      </w:pPr>
    </w:p>
    <w:p w:rsidR="00B17940" w:rsidRPr="00E20DED" w:rsidRDefault="00B17940" w:rsidP="00B17940">
      <w:pPr>
        <w:tabs>
          <w:tab w:val="left" w:pos="851"/>
        </w:tabs>
        <w:rPr>
          <w:color w:val="000000"/>
          <w:sz w:val="24"/>
          <w:szCs w:val="24"/>
        </w:rPr>
      </w:pPr>
      <w:r w:rsidRPr="00A76639">
        <w:rPr>
          <w:color w:val="000000"/>
          <w:sz w:val="24"/>
          <w:szCs w:val="24"/>
        </w:rPr>
        <w:tab/>
        <w:t>Toksicitet på injektionsstedet var almindeligt ved gentagen administration hos dyr</w:t>
      </w:r>
      <w:r>
        <w:rPr>
          <w:color w:val="000000"/>
          <w:sz w:val="24"/>
          <w:szCs w:val="24"/>
        </w:rPr>
        <w:t>.</w:t>
      </w:r>
    </w:p>
    <w:p w:rsidR="00B17940" w:rsidRDefault="00B17940" w:rsidP="00B17940">
      <w:pPr>
        <w:tabs>
          <w:tab w:val="left" w:pos="851"/>
        </w:tabs>
        <w:ind w:left="851"/>
        <w:rPr>
          <w:sz w:val="24"/>
          <w:szCs w:val="24"/>
        </w:rPr>
      </w:pPr>
    </w:p>
    <w:p w:rsidR="00B17940" w:rsidRPr="00360D86" w:rsidRDefault="00B17940" w:rsidP="00B17940">
      <w:pPr>
        <w:tabs>
          <w:tab w:val="left" w:pos="851"/>
        </w:tabs>
        <w:ind w:left="851"/>
        <w:rPr>
          <w:sz w:val="24"/>
          <w:szCs w:val="24"/>
        </w:rPr>
      </w:pPr>
      <w:r>
        <w:rPr>
          <w:color w:val="000000"/>
        </w:rPr>
        <w:t>Ved subkutane doser ≥6 mg/kg/dag (2,83 gange den anbefalede maksimale daglige dosis til voksne mennesker på 60 kg baseret på mg/m</w:t>
      </w:r>
      <w:r>
        <w:rPr>
          <w:color w:val="000000"/>
          <w:vertAlign w:val="superscript"/>
        </w:rPr>
        <w:t>2</w:t>
      </w:r>
      <w:r>
        <w:rPr>
          <w:color w:val="000000"/>
        </w:rPr>
        <w:t>) blev der observeret en lille men statistisk signifikant reduktion i vægtøgning hos afkom i kuld hos rotter behandlet under graviditet og dieperiode i forhold til kontrolgruppe</w:t>
      </w:r>
      <w:r w:rsidRPr="00EB45A1">
        <w:rPr>
          <w:color w:val="000000"/>
        </w:rPr>
        <w:t xml:space="preserve">n. </w:t>
      </w:r>
      <w:r w:rsidRPr="00EB45A1">
        <w:rPr>
          <w:color w:val="222222"/>
          <w:sz w:val="24"/>
          <w:szCs w:val="24"/>
        </w:rPr>
        <w:t xml:space="preserve">Der blev ikke observeret andre </w:t>
      </w:r>
      <w:r w:rsidRPr="00C2613B">
        <w:rPr>
          <w:color w:val="222222"/>
          <w:sz w:val="24"/>
          <w:szCs w:val="24"/>
        </w:rPr>
        <w:t xml:space="preserve">signifikante </w:t>
      </w:r>
      <w:r w:rsidRPr="00690FCD">
        <w:rPr>
          <w:color w:val="222222"/>
          <w:sz w:val="24"/>
          <w:szCs w:val="24"/>
        </w:rPr>
        <w:t>effekter på væksten og udvikling</w:t>
      </w:r>
      <w:r w:rsidRPr="00EB45A1">
        <w:rPr>
          <w:color w:val="222222"/>
          <w:sz w:val="24"/>
          <w:szCs w:val="24"/>
        </w:rPr>
        <w:t>en hos afkommet.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6.</w:t>
      </w:r>
      <w:r w:rsidRPr="009D7ACB">
        <w:rPr>
          <w:b/>
          <w:sz w:val="24"/>
          <w:szCs w:val="24"/>
        </w:rPr>
        <w:tab/>
        <w:t>FARMACEUTISKE OPLYSNINGER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6.1</w:t>
      </w:r>
      <w:r w:rsidRPr="009D7ACB">
        <w:rPr>
          <w:b/>
          <w:sz w:val="24"/>
          <w:szCs w:val="24"/>
        </w:rPr>
        <w:tab/>
        <w:t>Hjælpestoffer</w:t>
      </w:r>
    </w:p>
    <w:p w:rsidR="00F50AE3" w:rsidRPr="00A76639" w:rsidRDefault="00F50AE3" w:rsidP="00F50AE3">
      <w:pPr>
        <w:tabs>
          <w:tab w:val="left" w:pos="851"/>
          <w:tab w:val="center" w:pos="4819"/>
          <w:tab w:val="right" w:pos="9638"/>
        </w:tabs>
        <w:suppressAutoHyphens/>
        <w:ind w:left="851"/>
        <w:rPr>
          <w:color w:val="000000"/>
          <w:sz w:val="24"/>
          <w:szCs w:val="24"/>
          <w:lang w:eastAsia="da-DK"/>
        </w:rPr>
      </w:pPr>
      <w:proofErr w:type="spellStart"/>
      <w:r w:rsidRPr="00A76639">
        <w:rPr>
          <w:color w:val="000000"/>
          <w:sz w:val="24"/>
          <w:szCs w:val="24"/>
          <w:lang w:eastAsia="da-DK"/>
        </w:rPr>
        <w:t>Mannitol</w:t>
      </w:r>
      <w:proofErr w:type="spellEnd"/>
    </w:p>
    <w:p w:rsidR="00F50AE3" w:rsidRPr="00E20DED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A76639">
        <w:rPr>
          <w:color w:val="000000"/>
          <w:sz w:val="24"/>
          <w:szCs w:val="24"/>
        </w:rPr>
        <w:t>Vand til injektionsvæsker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6.2</w:t>
      </w:r>
      <w:r w:rsidRPr="009D7ACB">
        <w:rPr>
          <w:b/>
          <w:sz w:val="24"/>
          <w:szCs w:val="24"/>
        </w:rPr>
        <w:tab/>
        <w:t>Uforligeligheder</w:t>
      </w:r>
    </w:p>
    <w:p w:rsidR="00B17940" w:rsidRPr="00D83B2E" w:rsidRDefault="00B17940" w:rsidP="00B17940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8870B9">
        <w:rPr>
          <w:sz w:val="24"/>
          <w:szCs w:val="24"/>
        </w:rPr>
        <w:t xml:space="preserve">Da der ikke foreligger studier af eventuelle </w:t>
      </w:r>
      <w:r>
        <w:rPr>
          <w:color w:val="000000"/>
          <w:sz w:val="24"/>
          <w:szCs w:val="24"/>
        </w:rPr>
        <w:t>uforligeligheder</w:t>
      </w:r>
      <w:r w:rsidRPr="009D7ACB">
        <w:rPr>
          <w:color w:val="000000"/>
          <w:sz w:val="24"/>
          <w:szCs w:val="24"/>
        </w:rPr>
        <w:t xml:space="preserve"> må </w:t>
      </w:r>
      <w:proofErr w:type="spellStart"/>
      <w:r w:rsidRPr="009D7ACB">
        <w:rPr>
          <w:color w:val="000000"/>
          <w:sz w:val="24"/>
          <w:szCs w:val="24"/>
        </w:rPr>
        <w:t>glatirameracetat</w:t>
      </w:r>
      <w:proofErr w:type="spellEnd"/>
      <w:r w:rsidRPr="009D7ACB">
        <w:rPr>
          <w:color w:val="000000"/>
          <w:sz w:val="24"/>
          <w:szCs w:val="24"/>
        </w:rPr>
        <w:t xml:space="preserve"> ikke blandes med andre lægemidler.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B17940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6.3</w:t>
      </w:r>
      <w:r w:rsidRPr="009D7ACB">
        <w:rPr>
          <w:b/>
          <w:sz w:val="24"/>
          <w:szCs w:val="24"/>
        </w:rPr>
        <w:tab/>
        <w:t>Opbevaringstid</w:t>
      </w:r>
    </w:p>
    <w:p w:rsidR="00F50AE3" w:rsidRDefault="00F50AE3" w:rsidP="00B17940">
      <w:pPr>
        <w:ind w:left="851"/>
        <w:rPr>
          <w:sz w:val="24"/>
          <w:szCs w:val="24"/>
        </w:rPr>
      </w:pPr>
      <w:r w:rsidRPr="009D7ACB">
        <w:rPr>
          <w:sz w:val="24"/>
          <w:szCs w:val="24"/>
        </w:rPr>
        <w:t>3 år.</w:t>
      </w:r>
    </w:p>
    <w:p w:rsidR="00F50AE3" w:rsidRPr="009D7ACB" w:rsidRDefault="00F50AE3" w:rsidP="00F50AE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6.4</w:t>
      </w:r>
      <w:r w:rsidRPr="009D7ACB">
        <w:rPr>
          <w:b/>
          <w:sz w:val="24"/>
          <w:szCs w:val="24"/>
        </w:rPr>
        <w:tab/>
        <w:t>Særlige opbevaringsforhold</w:t>
      </w:r>
    </w:p>
    <w:p w:rsidR="00F50AE3" w:rsidRPr="009D7ACB" w:rsidRDefault="00F50AE3" w:rsidP="00F50AE3">
      <w:pPr>
        <w:ind w:firstLine="855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Opbevares i den originale pakning for at beskytte mod lys.</w:t>
      </w:r>
    </w:p>
    <w:p w:rsidR="00F50AE3" w:rsidRPr="009D7ACB" w:rsidRDefault="00F50AE3" w:rsidP="00F50AE3">
      <w:pPr>
        <w:tabs>
          <w:tab w:val="left" w:pos="851"/>
        </w:tabs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ab/>
        <w:t>Opbevares i køleskab (2</w:t>
      </w:r>
      <w:r>
        <w:rPr>
          <w:color w:val="000000"/>
          <w:sz w:val="24"/>
          <w:szCs w:val="24"/>
        </w:rPr>
        <w:t xml:space="preserve"> °</w:t>
      </w:r>
      <w:r w:rsidRPr="009D7ACB">
        <w:rPr>
          <w:color w:val="000000"/>
          <w:sz w:val="24"/>
          <w:szCs w:val="24"/>
        </w:rPr>
        <w:t>C-8</w:t>
      </w:r>
      <w:r>
        <w:rPr>
          <w:color w:val="000000"/>
          <w:sz w:val="24"/>
          <w:szCs w:val="24"/>
        </w:rPr>
        <w:t xml:space="preserve"> °</w:t>
      </w:r>
      <w:r w:rsidRPr="009D7ACB">
        <w:rPr>
          <w:color w:val="000000"/>
          <w:sz w:val="24"/>
          <w:szCs w:val="24"/>
        </w:rPr>
        <w:t>C).</w:t>
      </w:r>
    </w:p>
    <w:p w:rsidR="00F50AE3" w:rsidRPr="009D7ACB" w:rsidRDefault="00F50AE3" w:rsidP="00F50AE3">
      <w:pPr>
        <w:tabs>
          <w:tab w:val="left" w:pos="851"/>
        </w:tabs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ab/>
        <w:t xml:space="preserve">Må ikke </w:t>
      </w:r>
      <w:r>
        <w:rPr>
          <w:color w:val="000000"/>
          <w:sz w:val="24"/>
          <w:szCs w:val="24"/>
        </w:rPr>
        <w:t>ned</w:t>
      </w:r>
      <w:r w:rsidRPr="009D7ACB">
        <w:rPr>
          <w:color w:val="000000"/>
          <w:sz w:val="24"/>
          <w:szCs w:val="24"/>
        </w:rPr>
        <w:t>fryses.</w:t>
      </w:r>
    </w:p>
    <w:p w:rsidR="00F50AE3" w:rsidRPr="009D7ACB" w:rsidRDefault="00F50AE3" w:rsidP="00F50AE3">
      <w:pPr>
        <w:tabs>
          <w:tab w:val="left" w:pos="851"/>
        </w:tabs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ab/>
      </w:r>
    </w:p>
    <w:p w:rsidR="00F50AE3" w:rsidRPr="009D7ACB" w:rsidRDefault="00F50AE3" w:rsidP="00F50AE3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Hvis de fyldte injektionssprøjter ikke kan opbevares i køleskab, kan de opbevares ved stuetemperatur (15</w:t>
      </w:r>
      <w:r>
        <w:rPr>
          <w:color w:val="000000"/>
          <w:sz w:val="24"/>
          <w:szCs w:val="24"/>
        </w:rPr>
        <w:t xml:space="preserve"> °</w:t>
      </w:r>
      <w:r w:rsidRPr="009D7ACB">
        <w:rPr>
          <w:color w:val="000000"/>
          <w:sz w:val="24"/>
          <w:szCs w:val="24"/>
        </w:rPr>
        <w:t>C-25</w:t>
      </w:r>
      <w:r>
        <w:rPr>
          <w:color w:val="000000"/>
          <w:sz w:val="24"/>
          <w:szCs w:val="24"/>
        </w:rPr>
        <w:t xml:space="preserve"> °C) e</w:t>
      </w:r>
      <w:r w:rsidRPr="009D7ACB">
        <w:rPr>
          <w:color w:val="000000"/>
          <w:sz w:val="24"/>
          <w:szCs w:val="24"/>
        </w:rPr>
        <w:t>n gang i op til 1 måned.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  <w:r w:rsidRPr="009D7ACB">
        <w:rPr>
          <w:color w:val="000000"/>
          <w:sz w:val="24"/>
          <w:szCs w:val="24"/>
        </w:rPr>
        <w:t xml:space="preserve">Hvis de fyldte injektionssprøjter ikke er anvendt efter </w:t>
      </w:r>
      <w:r>
        <w:rPr>
          <w:color w:val="000000"/>
          <w:sz w:val="24"/>
          <w:szCs w:val="24"/>
        </w:rPr>
        <w:t>1</w:t>
      </w:r>
      <w:r w:rsidRPr="009D7ACB">
        <w:rPr>
          <w:color w:val="000000"/>
          <w:sz w:val="24"/>
          <w:szCs w:val="24"/>
        </w:rPr>
        <w:t xml:space="preserve"> måned og stadig er i den originale pakning, skal de igen anbringes i køleskab (2</w:t>
      </w:r>
      <w:r>
        <w:rPr>
          <w:color w:val="000000"/>
          <w:sz w:val="24"/>
          <w:szCs w:val="24"/>
        </w:rPr>
        <w:t xml:space="preserve"> °</w:t>
      </w:r>
      <w:r w:rsidRPr="009D7ACB">
        <w:rPr>
          <w:color w:val="000000"/>
          <w:sz w:val="24"/>
          <w:szCs w:val="24"/>
        </w:rPr>
        <w:t>C-8</w:t>
      </w:r>
      <w:r>
        <w:rPr>
          <w:color w:val="000000"/>
          <w:sz w:val="24"/>
          <w:szCs w:val="24"/>
        </w:rPr>
        <w:t xml:space="preserve"> °C</w:t>
      </w:r>
      <w:r w:rsidRPr="009D7ACB">
        <w:rPr>
          <w:color w:val="000000"/>
          <w:sz w:val="24"/>
          <w:szCs w:val="24"/>
        </w:rPr>
        <w:t>).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6.5</w:t>
      </w:r>
      <w:r w:rsidRPr="009D7ACB">
        <w:rPr>
          <w:b/>
          <w:sz w:val="24"/>
          <w:szCs w:val="24"/>
        </w:rPr>
        <w:tab/>
        <w:t>Emballagetype og pakningsstørrelser</w:t>
      </w:r>
    </w:p>
    <w:p w:rsidR="00F50AE3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Beholderens lukkemekanisme består af en glassprøjte med</w:t>
      </w:r>
      <w:r>
        <w:rPr>
          <w:color w:val="000000"/>
          <w:sz w:val="24"/>
          <w:szCs w:val="24"/>
        </w:rPr>
        <w:t xml:space="preserve"> fastgjort nål til engangsbrug.</w:t>
      </w:r>
    </w:p>
    <w:p w:rsidR="00F50AE3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En stempel-stopper af gummi (</w:t>
      </w:r>
      <w:proofErr w:type="spellStart"/>
      <w:r w:rsidRPr="009D7ACB">
        <w:rPr>
          <w:color w:val="000000"/>
          <w:sz w:val="24"/>
          <w:szCs w:val="24"/>
        </w:rPr>
        <w:t>brombutyl</w:t>
      </w:r>
      <w:proofErr w:type="spellEnd"/>
      <w:r w:rsidRPr="009D7ACB">
        <w:rPr>
          <w:color w:val="000000"/>
          <w:sz w:val="24"/>
          <w:szCs w:val="24"/>
        </w:rPr>
        <w:t xml:space="preserve">, Type I) er tilpasset til lukning af beholderen og fungerer som et stempel </w:t>
      </w:r>
      <w:r>
        <w:rPr>
          <w:color w:val="000000"/>
          <w:sz w:val="24"/>
          <w:szCs w:val="24"/>
        </w:rPr>
        <w:t>under injektionen.</w:t>
      </w:r>
    </w:p>
    <w:p w:rsidR="00F50AE3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En stempel</w:t>
      </w:r>
      <w:r>
        <w:rPr>
          <w:color w:val="000000"/>
          <w:sz w:val="24"/>
          <w:szCs w:val="24"/>
        </w:rPr>
        <w:t>-</w:t>
      </w:r>
      <w:r w:rsidRPr="009D7ACB">
        <w:rPr>
          <w:color w:val="000000"/>
          <w:sz w:val="24"/>
          <w:szCs w:val="24"/>
        </w:rPr>
        <w:t xml:space="preserve">stang er </w:t>
      </w:r>
      <w:r>
        <w:rPr>
          <w:color w:val="000000"/>
          <w:sz w:val="24"/>
          <w:szCs w:val="24"/>
        </w:rPr>
        <w:t>skruet ind i stempel-stopperen.</w:t>
      </w:r>
    </w:p>
    <w:p w:rsidR="00F50AE3" w:rsidRPr="009D7ACB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Nålen er dækket af en kanylehætte.</w:t>
      </w:r>
    </w:p>
    <w:p w:rsidR="00F50AE3" w:rsidRPr="009D7ACB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Volumen af opløsningen i injektionssprøjten er 1,0 ml.</w:t>
      </w:r>
    </w:p>
    <w:p w:rsidR="00F50AE3" w:rsidRDefault="00F50AE3" w:rsidP="00F50AE3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6.6</w:t>
      </w:r>
      <w:r w:rsidRPr="009D7ACB">
        <w:rPr>
          <w:b/>
          <w:sz w:val="24"/>
          <w:szCs w:val="24"/>
        </w:rPr>
        <w:tab/>
        <w:t xml:space="preserve">Regler for </w:t>
      </w:r>
      <w:r w:rsidR="003C72BF">
        <w:rPr>
          <w:b/>
          <w:sz w:val="24"/>
          <w:szCs w:val="24"/>
        </w:rPr>
        <w:t>bortskaffelse</w:t>
      </w:r>
      <w:r w:rsidRPr="009D7ACB">
        <w:rPr>
          <w:b/>
          <w:sz w:val="24"/>
          <w:szCs w:val="24"/>
        </w:rPr>
        <w:t xml:space="preserve"> og anden håndtering</w:t>
      </w:r>
    </w:p>
    <w:p w:rsidR="00F50AE3" w:rsidRDefault="00F50AE3" w:rsidP="00F50AE3">
      <w:pPr>
        <w:ind w:left="851"/>
        <w:rPr>
          <w:color w:val="000000"/>
          <w:sz w:val="24"/>
          <w:szCs w:val="24"/>
        </w:rPr>
      </w:pPr>
      <w:r w:rsidRPr="009D7ACB">
        <w:rPr>
          <w:color w:val="000000"/>
          <w:sz w:val="24"/>
          <w:szCs w:val="24"/>
        </w:rPr>
        <w:t>Kun til engangsbrug.</w:t>
      </w:r>
    </w:p>
    <w:p w:rsidR="00F50AE3" w:rsidRDefault="00F50AE3" w:rsidP="00F50AE3">
      <w:pPr>
        <w:ind w:left="851"/>
        <w:rPr>
          <w:color w:val="000000"/>
          <w:sz w:val="24"/>
          <w:szCs w:val="24"/>
        </w:rPr>
      </w:pPr>
    </w:p>
    <w:p w:rsidR="00F50AE3" w:rsidRPr="009D7ACB" w:rsidRDefault="00F50AE3" w:rsidP="00F50AE3">
      <w:pPr>
        <w:ind w:left="851"/>
        <w:rPr>
          <w:sz w:val="24"/>
          <w:szCs w:val="24"/>
        </w:rPr>
      </w:pPr>
      <w:r w:rsidRPr="009D7ACB">
        <w:rPr>
          <w:sz w:val="24"/>
          <w:szCs w:val="24"/>
        </w:rPr>
        <w:t>Ikke anvendt lægemiddel samt affald heraf skal bortskaffes i henhold til lokale retningslinjer.</w:t>
      </w:r>
    </w:p>
    <w:p w:rsidR="00F50AE3" w:rsidRPr="009D7ACB" w:rsidRDefault="00F50AE3" w:rsidP="00F50AE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7.</w:t>
      </w:r>
      <w:r w:rsidRPr="009D7ACB">
        <w:rPr>
          <w:b/>
          <w:sz w:val="24"/>
          <w:szCs w:val="24"/>
        </w:rPr>
        <w:tab/>
        <w:t>INDEHAVER AF MARKEDSFØRINGSTILLADELSEN</w:t>
      </w:r>
    </w:p>
    <w:p w:rsidR="003F10CF" w:rsidRPr="003C72BF" w:rsidRDefault="003F10CF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3C72BF">
        <w:rPr>
          <w:spacing w:val="-3"/>
          <w:sz w:val="24"/>
          <w:szCs w:val="24"/>
        </w:rPr>
        <w:tab/>
      </w:r>
      <w:proofErr w:type="spellStart"/>
      <w:r w:rsidRPr="003C72BF">
        <w:rPr>
          <w:spacing w:val="-3"/>
          <w:sz w:val="24"/>
          <w:szCs w:val="24"/>
        </w:rPr>
        <w:t>Orifarm</w:t>
      </w:r>
      <w:proofErr w:type="spellEnd"/>
      <w:r w:rsidRPr="003C72BF">
        <w:rPr>
          <w:spacing w:val="-3"/>
          <w:sz w:val="24"/>
          <w:szCs w:val="24"/>
        </w:rPr>
        <w:t xml:space="preserve"> A/S</w:t>
      </w:r>
    </w:p>
    <w:p w:rsidR="003F10CF" w:rsidRPr="003C72BF" w:rsidRDefault="003F10CF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3C72BF">
        <w:rPr>
          <w:spacing w:val="-3"/>
          <w:sz w:val="24"/>
          <w:szCs w:val="24"/>
        </w:rPr>
        <w:tab/>
        <w:t>Energivej 15</w:t>
      </w:r>
    </w:p>
    <w:p w:rsidR="003F10CF" w:rsidRPr="003C72BF" w:rsidRDefault="003F10CF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3C72BF">
        <w:rPr>
          <w:spacing w:val="-3"/>
          <w:sz w:val="24"/>
          <w:szCs w:val="24"/>
        </w:rPr>
        <w:tab/>
        <w:t>5260 Odense S</w:t>
      </w:r>
    </w:p>
    <w:p w:rsidR="00F50AE3" w:rsidRPr="003C72BF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lastRenderedPageBreak/>
        <w:t>8.</w:t>
      </w:r>
      <w:r w:rsidRPr="009D7ACB">
        <w:rPr>
          <w:b/>
          <w:sz w:val="24"/>
          <w:szCs w:val="24"/>
        </w:rPr>
        <w:tab/>
        <w:t>MARKEDSFØRINGSTILLADELSESNUMMER (</w:t>
      </w:r>
      <w:r w:rsidR="003C72BF">
        <w:rPr>
          <w:b/>
          <w:sz w:val="24"/>
          <w:szCs w:val="24"/>
        </w:rPr>
        <w:t>-</w:t>
      </w:r>
      <w:r w:rsidRPr="009D7ACB">
        <w:rPr>
          <w:b/>
          <w:sz w:val="24"/>
          <w:szCs w:val="24"/>
        </w:rPr>
        <w:t>NUMRE)</w:t>
      </w:r>
    </w:p>
    <w:p w:rsidR="00F50AE3" w:rsidRPr="009D7ACB" w:rsidRDefault="003F10CF" w:rsidP="00F50AE3">
      <w:pPr>
        <w:tabs>
          <w:tab w:val="left" w:pos="851"/>
        </w:tabs>
        <w:ind w:left="851"/>
        <w:rPr>
          <w:sz w:val="24"/>
          <w:szCs w:val="24"/>
        </w:rPr>
      </w:pPr>
      <w:r w:rsidRPr="003F10CF">
        <w:rPr>
          <w:sz w:val="24"/>
          <w:szCs w:val="24"/>
        </w:rPr>
        <w:t>65348</w:t>
      </w:r>
    </w:p>
    <w:p w:rsidR="00F50AE3" w:rsidRPr="009D7ACB" w:rsidRDefault="00F50AE3" w:rsidP="00F50AE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9.</w:t>
      </w:r>
      <w:r w:rsidRPr="009D7ACB">
        <w:rPr>
          <w:b/>
          <w:sz w:val="24"/>
          <w:szCs w:val="24"/>
        </w:rPr>
        <w:tab/>
        <w:t>DATO FOR FØRSTE MARKEDSFØRINGSTILLADELSE</w:t>
      </w:r>
    </w:p>
    <w:p w:rsidR="00F50AE3" w:rsidRPr="009D7ACB" w:rsidRDefault="003F10CF" w:rsidP="00F50AE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31. maj 2021</w:t>
      </w:r>
    </w:p>
    <w:p w:rsidR="00F50AE3" w:rsidRPr="009D7ACB" w:rsidRDefault="00F50AE3" w:rsidP="00F50AE3">
      <w:pPr>
        <w:tabs>
          <w:tab w:val="left" w:pos="851"/>
        </w:tabs>
        <w:ind w:left="851"/>
        <w:rPr>
          <w:sz w:val="24"/>
          <w:szCs w:val="24"/>
        </w:rPr>
      </w:pPr>
    </w:p>
    <w:p w:rsidR="00F50AE3" w:rsidRPr="009D7ACB" w:rsidRDefault="00F50AE3" w:rsidP="00F50AE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D7ACB">
        <w:rPr>
          <w:b/>
          <w:sz w:val="24"/>
          <w:szCs w:val="24"/>
        </w:rPr>
        <w:t>10.</w:t>
      </w:r>
      <w:r w:rsidRPr="009D7ACB">
        <w:rPr>
          <w:b/>
          <w:sz w:val="24"/>
          <w:szCs w:val="24"/>
        </w:rPr>
        <w:tab/>
        <w:t>DATO FOR ÆNDRING AF TEKSTEN</w:t>
      </w:r>
    </w:p>
    <w:p w:rsidR="009260DE" w:rsidRPr="00F50AE3" w:rsidRDefault="006B712F" w:rsidP="003F10CF">
      <w:pPr>
        <w:tabs>
          <w:tab w:val="left" w:pos="851"/>
        </w:tabs>
        <w:ind w:left="851"/>
      </w:pPr>
      <w:r>
        <w:rPr>
          <w:sz w:val="24"/>
          <w:szCs w:val="24"/>
        </w:rPr>
        <w:t>20. februar 2025</w:t>
      </w:r>
    </w:p>
    <w:sectPr w:rsidR="009260DE" w:rsidRPr="00F50AE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AE3" w:rsidRDefault="00F50AE3">
      <w:r>
        <w:separator/>
      </w:r>
    </w:p>
  </w:endnote>
  <w:endnote w:type="continuationSeparator" w:id="0">
    <w:p w:rsidR="00F50AE3" w:rsidRDefault="00F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F10CF">
      <w:rPr>
        <w:i/>
        <w:noProof/>
        <w:sz w:val="18"/>
        <w:szCs w:val="18"/>
      </w:rPr>
      <w:t>Copemyl (Orifarm), injektionsvæske, opløsning i fyldt injektionssprøjte 20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AE3" w:rsidRDefault="00F50AE3">
      <w:r>
        <w:separator/>
      </w:r>
    </w:p>
  </w:footnote>
  <w:footnote w:type="continuationSeparator" w:id="0">
    <w:p w:rsidR="00F50AE3" w:rsidRDefault="00F5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19D0333"/>
    <w:multiLevelType w:val="hybridMultilevel"/>
    <w:tmpl w:val="4302F196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E3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15F25"/>
    <w:rsid w:val="003A29AE"/>
    <w:rsid w:val="003A32D7"/>
    <w:rsid w:val="003B4074"/>
    <w:rsid w:val="003C72BF"/>
    <w:rsid w:val="003C769A"/>
    <w:rsid w:val="003F10CF"/>
    <w:rsid w:val="003F1838"/>
    <w:rsid w:val="0045746C"/>
    <w:rsid w:val="004850E7"/>
    <w:rsid w:val="0049104B"/>
    <w:rsid w:val="004C2DD6"/>
    <w:rsid w:val="004E3B12"/>
    <w:rsid w:val="00532310"/>
    <w:rsid w:val="00534A24"/>
    <w:rsid w:val="00560ECC"/>
    <w:rsid w:val="00565F0F"/>
    <w:rsid w:val="00594A86"/>
    <w:rsid w:val="00596D86"/>
    <w:rsid w:val="00637F5A"/>
    <w:rsid w:val="006560B1"/>
    <w:rsid w:val="00666E78"/>
    <w:rsid w:val="006756DD"/>
    <w:rsid w:val="006B712F"/>
    <w:rsid w:val="00737275"/>
    <w:rsid w:val="00740EEC"/>
    <w:rsid w:val="0078011A"/>
    <w:rsid w:val="00782AF4"/>
    <w:rsid w:val="00790EE7"/>
    <w:rsid w:val="007B6649"/>
    <w:rsid w:val="0081546F"/>
    <w:rsid w:val="0082576E"/>
    <w:rsid w:val="0086238C"/>
    <w:rsid w:val="00907F75"/>
    <w:rsid w:val="009260DE"/>
    <w:rsid w:val="0093258A"/>
    <w:rsid w:val="009C7BA3"/>
    <w:rsid w:val="009D1F5A"/>
    <w:rsid w:val="00B003BF"/>
    <w:rsid w:val="00B17940"/>
    <w:rsid w:val="00B373D7"/>
    <w:rsid w:val="00B82E62"/>
    <w:rsid w:val="00C11825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B637E"/>
    <w:rsid w:val="00E108AA"/>
    <w:rsid w:val="00E31812"/>
    <w:rsid w:val="00E3749A"/>
    <w:rsid w:val="00E7437F"/>
    <w:rsid w:val="00E865B8"/>
    <w:rsid w:val="00EC0B9B"/>
    <w:rsid w:val="00ED5E9F"/>
    <w:rsid w:val="00F50AE3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145BC"/>
  <w15:chartTrackingRefBased/>
  <w15:docId w15:val="{CA5B6E7F-7ECC-407A-BBDB-4395303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50A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50AE3"/>
    <w:rPr>
      <w:sz w:val="23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unhideWhenUsed/>
    <w:rsid w:val="00F50A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50AE3"/>
    <w:rPr>
      <w:sz w:val="16"/>
      <w:szCs w:val="16"/>
      <w:lang w:eastAsia="en-US"/>
    </w:rPr>
  </w:style>
  <w:style w:type="paragraph" w:styleId="Brdtekst3">
    <w:name w:val="Body Text 3"/>
    <w:basedOn w:val="Normal"/>
    <w:link w:val="Brdtekst3Tegn"/>
    <w:uiPriority w:val="99"/>
    <w:rsid w:val="00F50A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50AE3"/>
    <w:rPr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rsid w:val="00F50AE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3343</Words>
  <Characters>22049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2025023444  - pkt. 4.6</dc:description>
  <cp:lastModifiedBy>Line Aaboe Würtz</cp:lastModifiedBy>
  <cp:revision>3</cp:revision>
  <cp:lastPrinted>2012-08-22T08:53:00Z</cp:lastPrinted>
  <dcterms:created xsi:type="dcterms:W3CDTF">2025-02-25T19:10:00Z</dcterms:created>
  <dcterms:modified xsi:type="dcterms:W3CDTF">2025-02-25T19:13:00Z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