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8AD" w:rsidRPr="008F49E1" w:rsidRDefault="006508AD" w:rsidP="006508AD">
      <w:pPr>
        <w:rPr>
          <w:sz w:val="24"/>
          <w:szCs w:val="24"/>
        </w:rPr>
      </w:pPr>
      <w:r w:rsidRPr="009260DE">
        <w:rPr>
          <w:noProof/>
          <w:sz w:val="24"/>
          <w:szCs w:val="24"/>
          <w:lang w:eastAsia="da-DK"/>
        </w:rPr>
        <w:drawing>
          <wp:anchor distT="0" distB="0" distL="114300" distR="114300" simplePos="0" relativeHeight="251659264" behindDoc="0" locked="0" layoutInCell="1" allowOverlap="1" wp14:anchorId="08DE8B04" wp14:editId="5C87DD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A1ADD" w:rsidRPr="003A1ADD" w:rsidRDefault="006508AD" w:rsidP="006508AD">
      <w:pPr>
        <w:pStyle w:val="Titel"/>
        <w:tabs>
          <w:tab w:val="right" w:pos="9356"/>
        </w:tabs>
        <w:jc w:val="left"/>
        <w:rPr>
          <w:szCs w:val="24"/>
        </w:rPr>
      </w:pPr>
      <w:r w:rsidRPr="00C84483">
        <w:rPr>
          <w:b w:val="0"/>
          <w:szCs w:val="24"/>
          <w:lang w:eastAsia="en-US"/>
        </w:rPr>
        <w:tab/>
      </w:r>
      <w:r w:rsidR="000B0D6C">
        <w:rPr>
          <w:szCs w:val="24"/>
        </w:rPr>
        <w:t xml:space="preserve">6. </w:t>
      </w:r>
      <w:r w:rsidR="00911B55">
        <w:rPr>
          <w:szCs w:val="24"/>
        </w:rPr>
        <w:t>marts</w:t>
      </w:r>
      <w:r w:rsidR="000B0D6C">
        <w:rPr>
          <w:szCs w:val="24"/>
        </w:rPr>
        <w:t xml:space="preserve"> 2025</w:t>
      </w:r>
    </w:p>
    <w:p w:rsidR="006508AD" w:rsidRDefault="006508AD" w:rsidP="006508AD">
      <w:pPr>
        <w:pStyle w:val="Titel"/>
        <w:jc w:val="left"/>
        <w:rPr>
          <w:b w:val="0"/>
          <w:szCs w:val="24"/>
        </w:rPr>
      </w:pPr>
    </w:p>
    <w:p w:rsidR="003B2B1B" w:rsidRPr="00C84483" w:rsidRDefault="003B2B1B" w:rsidP="006508AD">
      <w:pPr>
        <w:pStyle w:val="Titel"/>
        <w:jc w:val="left"/>
        <w:rPr>
          <w:b w:val="0"/>
          <w:szCs w:val="24"/>
        </w:rPr>
      </w:pPr>
    </w:p>
    <w:p w:rsidR="006508AD" w:rsidRPr="00C84483" w:rsidRDefault="006508AD" w:rsidP="006508AD">
      <w:pPr>
        <w:jc w:val="center"/>
        <w:rPr>
          <w:b/>
          <w:sz w:val="24"/>
          <w:szCs w:val="24"/>
        </w:rPr>
      </w:pPr>
      <w:r w:rsidRPr="00C84483">
        <w:rPr>
          <w:b/>
          <w:sz w:val="24"/>
          <w:szCs w:val="24"/>
        </w:rPr>
        <w:t>PRODUKTRESUMÉ</w:t>
      </w:r>
    </w:p>
    <w:p w:rsidR="006508AD" w:rsidRPr="00C84483" w:rsidRDefault="0034741C" w:rsidP="0034741C">
      <w:pPr>
        <w:tabs>
          <w:tab w:val="left" w:pos="410"/>
        </w:tabs>
        <w:rPr>
          <w:b/>
          <w:sz w:val="24"/>
          <w:szCs w:val="24"/>
        </w:rPr>
      </w:pPr>
      <w:r>
        <w:rPr>
          <w:b/>
          <w:sz w:val="24"/>
          <w:szCs w:val="24"/>
        </w:rPr>
        <w:tab/>
      </w:r>
    </w:p>
    <w:p w:rsidR="006508AD" w:rsidRDefault="006508AD" w:rsidP="006508AD">
      <w:pPr>
        <w:jc w:val="center"/>
        <w:rPr>
          <w:b/>
          <w:sz w:val="24"/>
          <w:szCs w:val="24"/>
        </w:rPr>
      </w:pPr>
      <w:r w:rsidRPr="00C84483">
        <w:rPr>
          <w:b/>
          <w:sz w:val="24"/>
          <w:szCs w:val="24"/>
        </w:rPr>
        <w:t>for</w:t>
      </w:r>
    </w:p>
    <w:p w:rsidR="006508AD" w:rsidRPr="00C84483" w:rsidRDefault="006508AD" w:rsidP="006508AD">
      <w:pPr>
        <w:jc w:val="center"/>
        <w:rPr>
          <w:b/>
          <w:sz w:val="24"/>
          <w:szCs w:val="24"/>
        </w:rPr>
      </w:pPr>
    </w:p>
    <w:p w:rsidR="006508AD" w:rsidRPr="00C84483" w:rsidRDefault="006508AD" w:rsidP="006508AD">
      <w:pPr>
        <w:jc w:val="center"/>
        <w:rPr>
          <w:b/>
          <w:sz w:val="24"/>
          <w:szCs w:val="24"/>
        </w:rPr>
      </w:pPr>
      <w:proofErr w:type="spellStart"/>
      <w:r>
        <w:rPr>
          <w:b/>
          <w:sz w:val="24"/>
          <w:szCs w:val="24"/>
        </w:rPr>
        <w:t>Copemyl</w:t>
      </w:r>
      <w:proofErr w:type="spellEnd"/>
      <w:r>
        <w:rPr>
          <w:b/>
          <w:sz w:val="24"/>
          <w:szCs w:val="24"/>
        </w:rPr>
        <w:t>, injektionsvæske, opløsning i fyldt injektionssprøjte 40 mg/ml</w:t>
      </w:r>
    </w:p>
    <w:p w:rsidR="006508AD" w:rsidRPr="00C84483" w:rsidRDefault="006508AD" w:rsidP="006508AD">
      <w:pPr>
        <w:jc w:val="both"/>
        <w:rPr>
          <w:sz w:val="24"/>
          <w:szCs w:val="24"/>
        </w:rPr>
      </w:pPr>
    </w:p>
    <w:p w:rsidR="006508AD" w:rsidRDefault="006508AD" w:rsidP="006508AD">
      <w:pPr>
        <w:jc w:val="both"/>
        <w:rPr>
          <w:sz w:val="24"/>
          <w:szCs w:val="24"/>
        </w:rPr>
      </w:pPr>
    </w:p>
    <w:p w:rsidR="006508AD" w:rsidRPr="00C84483" w:rsidRDefault="006508AD" w:rsidP="006508AD">
      <w:pPr>
        <w:jc w:val="both"/>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0.</w:t>
      </w:r>
      <w:r w:rsidRPr="00C84483">
        <w:rPr>
          <w:b/>
          <w:sz w:val="24"/>
          <w:szCs w:val="24"/>
        </w:rPr>
        <w:tab/>
        <w:t>D.SP.NR.</w:t>
      </w:r>
    </w:p>
    <w:p w:rsidR="006508AD" w:rsidRPr="00C84483" w:rsidRDefault="006508AD" w:rsidP="006508AD">
      <w:pPr>
        <w:tabs>
          <w:tab w:val="left" w:pos="851"/>
        </w:tabs>
        <w:ind w:left="851"/>
        <w:rPr>
          <w:sz w:val="24"/>
          <w:szCs w:val="24"/>
        </w:rPr>
      </w:pPr>
      <w:r>
        <w:rPr>
          <w:sz w:val="24"/>
          <w:szCs w:val="24"/>
        </w:rPr>
        <w:t>29422</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1.</w:t>
      </w:r>
      <w:r w:rsidRPr="00C84483">
        <w:rPr>
          <w:b/>
          <w:sz w:val="24"/>
          <w:szCs w:val="24"/>
        </w:rPr>
        <w:tab/>
        <w:t>LÆGEMIDLETS NAVN</w:t>
      </w:r>
    </w:p>
    <w:p w:rsidR="006508AD" w:rsidRPr="00C84483" w:rsidRDefault="006508AD" w:rsidP="006508AD">
      <w:pPr>
        <w:tabs>
          <w:tab w:val="left" w:pos="851"/>
        </w:tabs>
        <w:ind w:left="851"/>
        <w:rPr>
          <w:sz w:val="24"/>
          <w:szCs w:val="24"/>
        </w:rPr>
      </w:pPr>
      <w:proofErr w:type="spellStart"/>
      <w:r>
        <w:rPr>
          <w:sz w:val="24"/>
          <w:szCs w:val="24"/>
        </w:rPr>
        <w:t>Copemyl</w:t>
      </w:r>
      <w:proofErr w:type="spellEnd"/>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4024" w:rsidRDefault="00814024" w:rsidP="00814024">
      <w:pPr>
        <w:tabs>
          <w:tab w:val="left" w:pos="-720"/>
        </w:tabs>
        <w:suppressAutoHyphens/>
        <w:ind w:left="851"/>
        <w:rPr>
          <w:color w:val="000000"/>
          <w:sz w:val="24"/>
          <w:szCs w:val="24"/>
        </w:rPr>
      </w:pPr>
      <w:r>
        <w:rPr>
          <w:color w:val="000000"/>
          <w:sz w:val="24"/>
          <w:szCs w:val="24"/>
        </w:rPr>
        <w:t xml:space="preserve">1 ml injektionsvæske, opløsning indeholder 40 mg </w:t>
      </w:r>
      <w:proofErr w:type="spellStart"/>
      <w:r>
        <w:rPr>
          <w:color w:val="000000"/>
          <w:sz w:val="24"/>
          <w:szCs w:val="24"/>
        </w:rPr>
        <w:t>glatirameracetat</w:t>
      </w:r>
      <w:proofErr w:type="spellEnd"/>
      <w:r>
        <w:rPr>
          <w:color w:val="000000"/>
          <w:sz w:val="24"/>
          <w:szCs w:val="24"/>
        </w:rPr>
        <w:t xml:space="preserve">*, svarende til 36 mg </w:t>
      </w:r>
      <w:proofErr w:type="spellStart"/>
      <w:r>
        <w:rPr>
          <w:color w:val="000000"/>
          <w:sz w:val="24"/>
          <w:szCs w:val="24"/>
        </w:rPr>
        <w:t>glatiramer</w:t>
      </w:r>
      <w:proofErr w:type="spellEnd"/>
      <w:r>
        <w:rPr>
          <w:color w:val="000000"/>
          <w:sz w:val="24"/>
          <w:szCs w:val="24"/>
        </w:rPr>
        <w:t xml:space="preserve"> base pr. fyldt injektionssprøjte.</w:t>
      </w:r>
    </w:p>
    <w:p w:rsidR="00814024" w:rsidRDefault="00814024" w:rsidP="00814024">
      <w:pPr>
        <w:autoSpaceDE w:val="0"/>
        <w:autoSpaceDN w:val="0"/>
        <w:adjustRightInd w:val="0"/>
        <w:ind w:left="851"/>
        <w:rPr>
          <w:sz w:val="24"/>
          <w:szCs w:val="24"/>
        </w:rPr>
      </w:pPr>
    </w:p>
    <w:p w:rsidR="00814024" w:rsidRDefault="00814024" w:rsidP="00814024">
      <w:pPr>
        <w:tabs>
          <w:tab w:val="left" w:pos="851"/>
        </w:tabs>
        <w:suppressAutoHyphens/>
        <w:ind w:left="851"/>
        <w:rPr>
          <w:color w:val="000000"/>
          <w:sz w:val="24"/>
          <w:szCs w:val="24"/>
        </w:rPr>
      </w:pPr>
      <w:r>
        <w:rPr>
          <w:color w:val="000000"/>
          <w:sz w:val="24"/>
          <w:szCs w:val="24"/>
        </w:rPr>
        <w:t xml:space="preserve">* </w:t>
      </w:r>
      <w:proofErr w:type="spellStart"/>
      <w:r>
        <w:rPr>
          <w:color w:val="000000"/>
          <w:sz w:val="24"/>
          <w:szCs w:val="24"/>
        </w:rPr>
        <w:t>Glatirameracetat</w:t>
      </w:r>
      <w:proofErr w:type="spellEnd"/>
      <w:r>
        <w:rPr>
          <w:color w:val="000000"/>
          <w:sz w:val="24"/>
          <w:szCs w:val="24"/>
        </w:rPr>
        <w:t xml:space="preserve"> er et acetatsalt af syntetiske polypeptider og indeholder fire naturligt forekommende aminosyrer: L-</w:t>
      </w:r>
      <w:proofErr w:type="spellStart"/>
      <w:r>
        <w:rPr>
          <w:color w:val="000000"/>
          <w:sz w:val="24"/>
          <w:szCs w:val="24"/>
        </w:rPr>
        <w:t>glutaminsyre</w:t>
      </w:r>
      <w:proofErr w:type="spellEnd"/>
      <w:r>
        <w:rPr>
          <w:color w:val="000000"/>
          <w:sz w:val="24"/>
          <w:szCs w:val="24"/>
        </w:rPr>
        <w:t>, L-</w:t>
      </w:r>
      <w:proofErr w:type="spellStart"/>
      <w:r>
        <w:rPr>
          <w:color w:val="000000"/>
          <w:sz w:val="24"/>
          <w:szCs w:val="24"/>
        </w:rPr>
        <w:t>alanin</w:t>
      </w:r>
      <w:proofErr w:type="spellEnd"/>
      <w:r>
        <w:rPr>
          <w:color w:val="000000"/>
          <w:sz w:val="24"/>
          <w:szCs w:val="24"/>
        </w:rPr>
        <w:t>, L-</w:t>
      </w:r>
      <w:proofErr w:type="spellStart"/>
      <w:r>
        <w:rPr>
          <w:color w:val="000000"/>
          <w:sz w:val="24"/>
          <w:szCs w:val="24"/>
        </w:rPr>
        <w:t>tyrosin</w:t>
      </w:r>
      <w:proofErr w:type="spellEnd"/>
      <w:r>
        <w:rPr>
          <w:color w:val="000000"/>
          <w:sz w:val="24"/>
          <w:szCs w:val="24"/>
        </w:rPr>
        <w:t xml:space="preserve"> og L-lysin i molære fraktionsområder på henholdsvis 0,129-0,153, 0,392-0,462, </w:t>
      </w:r>
      <w:r w:rsidRPr="005D5D3A">
        <w:rPr>
          <w:sz w:val="24"/>
          <w:szCs w:val="24"/>
        </w:rPr>
        <w:t xml:space="preserve">0,086-0,100 og 0,300-0,374. </w:t>
      </w:r>
      <w:r>
        <w:rPr>
          <w:color w:val="000000"/>
          <w:sz w:val="24"/>
          <w:szCs w:val="24"/>
        </w:rPr>
        <w:t xml:space="preserve">Den gennemsnitlige </w:t>
      </w:r>
      <w:proofErr w:type="spellStart"/>
      <w:r>
        <w:rPr>
          <w:color w:val="000000"/>
          <w:sz w:val="24"/>
          <w:szCs w:val="24"/>
        </w:rPr>
        <w:t>molekylevægt</w:t>
      </w:r>
      <w:proofErr w:type="spellEnd"/>
      <w:r>
        <w:rPr>
          <w:color w:val="000000"/>
          <w:sz w:val="24"/>
          <w:szCs w:val="24"/>
        </w:rPr>
        <w:t xml:space="preserve"> af </w:t>
      </w:r>
      <w:proofErr w:type="spellStart"/>
      <w:r>
        <w:rPr>
          <w:color w:val="000000"/>
          <w:sz w:val="24"/>
          <w:szCs w:val="24"/>
        </w:rPr>
        <w:t>glatirameracetat</w:t>
      </w:r>
      <w:proofErr w:type="spellEnd"/>
      <w:r>
        <w:rPr>
          <w:color w:val="000000"/>
          <w:sz w:val="24"/>
          <w:szCs w:val="24"/>
        </w:rPr>
        <w:t xml:space="preserve"> ligger i området 5.000-9.000 </w:t>
      </w:r>
      <w:proofErr w:type="spellStart"/>
      <w:r>
        <w:rPr>
          <w:color w:val="000000"/>
          <w:sz w:val="24"/>
          <w:szCs w:val="24"/>
        </w:rPr>
        <w:t>dalton</w:t>
      </w:r>
      <w:proofErr w:type="spellEnd"/>
      <w:r>
        <w:rPr>
          <w:color w:val="000000"/>
          <w:sz w:val="24"/>
          <w:szCs w:val="24"/>
        </w:rPr>
        <w:t>.</w:t>
      </w:r>
    </w:p>
    <w:p w:rsidR="00814024" w:rsidRDefault="00814024" w:rsidP="00814024">
      <w:pPr>
        <w:tabs>
          <w:tab w:val="left" w:pos="851"/>
        </w:tabs>
        <w:suppressAutoHyphens/>
        <w:ind w:left="851"/>
        <w:rPr>
          <w:color w:val="000000"/>
          <w:sz w:val="24"/>
          <w:szCs w:val="24"/>
        </w:rPr>
      </w:pPr>
      <w:r>
        <w:rPr>
          <w:color w:val="222222"/>
          <w:sz w:val="24"/>
          <w:szCs w:val="24"/>
        </w:rPr>
        <w:t xml:space="preserve">På grund af den kompositionelle kompleksitet i sammensætningen kan et polypeptid ikke karakteriseres fuldstændigt, herunder aminosyresekvensen, </w:t>
      </w:r>
      <w:r>
        <w:rPr>
          <w:color w:val="000000"/>
          <w:sz w:val="24"/>
          <w:szCs w:val="24"/>
        </w:rPr>
        <w:t>selvom</w:t>
      </w:r>
      <w:r>
        <w:rPr>
          <w:color w:val="222222"/>
          <w:sz w:val="24"/>
          <w:szCs w:val="24"/>
        </w:rPr>
        <w:t xml:space="preserve"> den endelige </w:t>
      </w:r>
      <w:proofErr w:type="spellStart"/>
      <w:r>
        <w:rPr>
          <w:color w:val="222222"/>
          <w:sz w:val="24"/>
          <w:szCs w:val="24"/>
        </w:rPr>
        <w:t>glatirameracetatsammensætning</w:t>
      </w:r>
      <w:proofErr w:type="spellEnd"/>
      <w:r>
        <w:rPr>
          <w:color w:val="222222"/>
          <w:sz w:val="24"/>
          <w:szCs w:val="24"/>
        </w:rPr>
        <w:t xml:space="preserve"> ikke er helt tilfældig.</w:t>
      </w:r>
    </w:p>
    <w:p w:rsidR="00814024" w:rsidRDefault="00814024" w:rsidP="00814024">
      <w:pPr>
        <w:ind w:left="851"/>
        <w:rPr>
          <w:sz w:val="24"/>
          <w:szCs w:val="24"/>
        </w:rPr>
      </w:pPr>
    </w:p>
    <w:p w:rsidR="00814024" w:rsidRDefault="00814024" w:rsidP="00814024">
      <w:pPr>
        <w:tabs>
          <w:tab w:val="left" w:pos="567"/>
        </w:tabs>
        <w:spacing w:line="260" w:lineRule="exact"/>
        <w:ind w:left="851"/>
        <w:rPr>
          <w:sz w:val="24"/>
          <w:szCs w:val="24"/>
        </w:rPr>
      </w:pPr>
      <w:r>
        <w:rPr>
          <w:sz w:val="24"/>
          <w:szCs w:val="24"/>
        </w:rPr>
        <w:t>Alle hjælpestoffer er anført under pkt. 6.1.</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3.</w:t>
      </w:r>
      <w:r w:rsidRPr="00C84483">
        <w:rPr>
          <w:b/>
          <w:sz w:val="24"/>
          <w:szCs w:val="24"/>
        </w:rPr>
        <w:tab/>
        <w:t>LÆGEMIDDELFORM</w:t>
      </w:r>
    </w:p>
    <w:p w:rsidR="006508AD" w:rsidRPr="005D5D3A" w:rsidRDefault="006508AD" w:rsidP="006508AD">
      <w:pPr>
        <w:ind w:left="851"/>
        <w:rPr>
          <w:sz w:val="24"/>
          <w:szCs w:val="24"/>
        </w:rPr>
      </w:pPr>
      <w:r w:rsidRPr="001339C7">
        <w:rPr>
          <w:color w:val="000000"/>
          <w:sz w:val="24"/>
          <w:szCs w:val="24"/>
        </w:rPr>
        <w:t xml:space="preserve">Injektionsvæske, opløsning i fyldt injektionssprøjte </w:t>
      </w:r>
      <w:r>
        <w:rPr>
          <w:color w:val="000000"/>
          <w:sz w:val="24"/>
          <w:szCs w:val="24"/>
        </w:rPr>
        <w:t>(i</w:t>
      </w:r>
      <w:r w:rsidRPr="005D5D3A">
        <w:rPr>
          <w:sz w:val="24"/>
          <w:szCs w:val="24"/>
        </w:rPr>
        <w:t>njektionsvæske)</w:t>
      </w:r>
    </w:p>
    <w:p w:rsidR="006508AD" w:rsidRPr="001339C7" w:rsidRDefault="006508AD" w:rsidP="006508AD">
      <w:pPr>
        <w:tabs>
          <w:tab w:val="left" w:pos="851"/>
        </w:tabs>
        <w:suppressAutoHyphens/>
        <w:ind w:left="851"/>
        <w:rPr>
          <w:color w:val="000000"/>
          <w:sz w:val="24"/>
          <w:szCs w:val="24"/>
        </w:rPr>
      </w:pPr>
    </w:p>
    <w:p w:rsidR="006508AD" w:rsidRPr="001339C7" w:rsidRDefault="006508AD" w:rsidP="006508AD">
      <w:pPr>
        <w:ind w:left="851"/>
        <w:rPr>
          <w:color w:val="000000"/>
          <w:sz w:val="24"/>
          <w:szCs w:val="24"/>
        </w:rPr>
      </w:pPr>
      <w:r w:rsidRPr="001339C7">
        <w:rPr>
          <w:color w:val="000000"/>
          <w:sz w:val="24"/>
          <w:szCs w:val="24"/>
        </w:rPr>
        <w:t xml:space="preserve">Klar, farveløs til let </w:t>
      </w:r>
      <w:proofErr w:type="spellStart"/>
      <w:r w:rsidRPr="001339C7">
        <w:rPr>
          <w:color w:val="000000"/>
          <w:sz w:val="24"/>
          <w:szCs w:val="24"/>
        </w:rPr>
        <w:t>gul-brun</w:t>
      </w:r>
      <w:proofErr w:type="spellEnd"/>
      <w:r w:rsidRPr="001339C7">
        <w:rPr>
          <w:color w:val="000000"/>
          <w:sz w:val="24"/>
          <w:szCs w:val="24"/>
        </w:rPr>
        <w:t xml:space="preserve"> opløsning fri for synlige partikler.</w:t>
      </w:r>
    </w:p>
    <w:p w:rsidR="006508AD" w:rsidRPr="00D87FA2" w:rsidRDefault="006508AD" w:rsidP="006508AD">
      <w:pPr>
        <w:ind w:left="851"/>
        <w:rPr>
          <w:color w:val="000000"/>
          <w:sz w:val="24"/>
          <w:szCs w:val="24"/>
        </w:rPr>
      </w:pPr>
      <w:r w:rsidRPr="001339C7">
        <w:rPr>
          <w:color w:val="000000"/>
          <w:sz w:val="24"/>
          <w:szCs w:val="24"/>
        </w:rPr>
        <w:t xml:space="preserve">Opløsningen har en pH på 5,5-7,0 og en </w:t>
      </w:r>
      <w:proofErr w:type="spellStart"/>
      <w:r w:rsidRPr="001339C7">
        <w:rPr>
          <w:color w:val="000000"/>
          <w:sz w:val="24"/>
          <w:szCs w:val="24"/>
        </w:rPr>
        <w:t>osmolaritet</w:t>
      </w:r>
      <w:proofErr w:type="spellEnd"/>
      <w:r w:rsidRPr="001339C7">
        <w:rPr>
          <w:color w:val="000000"/>
          <w:sz w:val="24"/>
          <w:szCs w:val="24"/>
        </w:rPr>
        <w:t xml:space="preserve"> på ca. 300 </w:t>
      </w:r>
      <w:proofErr w:type="spellStart"/>
      <w:r w:rsidRPr="001339C7">
        <w:rPr>
          <w:color w:val="000000"/>
          <w:sz w:val="24"/>
          <w:szCs w:val="24"/>
        </w:rPr>
        <w:t>mOsmol</w:t>
      </w:r>
      <w:proofErr w:type="spellEnd"/>
      <w:r w:rsidRPr="001339C7">
        <w:rPr>
          <w:color w:val="000000"/>
          <w:sz w:val="24"/>
          <w:szCs w:val="24"/>
        </w:rPr>
        <w:t>/l.</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w:t>
      </w:r>
      <w:r w:rsidRPr="00C84483">
        <w:rPr>
          <w:b/>
          <w:sz w:val="24"/>
          <w:szCs w:val="24"/>
        </w:rPr>
        <w:tab/>
        <w:t>KLINISKE OPLYSNINGER</w:t>
      </w:r>
    </w:p>
    <w:p w:rsidR="006508AD" w:rsidRPr="00C84483" w:rsidRDefault="006508AD" w:rsidP="006508AD">
      <w:pPr>
        <w:tabs>
          <w:tab w:val="left" w:pos="851"/>
        </w:tabs>
        <w:ind w:left="851"/>
        <w:rPr>
          <w:b/>
          <w:sz w:val="24"/>
          <w:szCs w:val="24"/>
        </w:rPr>
      </w:pPr>
    </w:p>
    <w:p w:rsidR="006508AD" w:rsidRPr="00C84483" w:rsidRDefault="006508AD" w:rsidP="006508A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508AD" w:rsidRPr="0062641C" w:rsidRDefault="006508AD" w:rsidP="006508AD">
      <w:pPr>
        <w:ind w:left="851"/>
        <w:rPr>
          <w:sz w:val="24"/>
          <w:szCs w:val="24"/>
        </w:rPr>
      </w:pPr>
      <w:proofErr w:type="spellStart"/>
      <w:r w:rsidRPr="0062641C">
        <w:rPr>
          <w:sz w:val="24"/>
          <w:szCs w:val="24"/>
        </w:rPr>
        <w:t>Copemyl</w:t>
      </w:r>
      <w:proofErr w:type="spellEnd"/>
      <w:r w:rsidRPr="0062641C">
        <w:rPr>
          <w:sz w:val="24"/>
          <w:szCs w:val="24"/>
        </w:rPr>
        <w:t xml:space="preserve"> er indiceret til behandling af attakvise former for multipel </w:t>
      </w:r>
      <w:proofErr w:type="spellStart"/>
      <w:r w:rsidRPr="0062641C">
        <w:rPr>
          <w:sz w:val="24"/>
          <w:szCs w:val="24"/>
        </w:rPr>
        <w:t>sclerose</w:t>
      </w:r>
      <w:proofErr w:type="spellEnd"/>
      <w:r w:rsidRPr="0062641C">
        <w:rPr>
          <w:sz w:val="24"/>
          <w:szCs w:val="24"/>
        </w:rPr>
        <w:t xml:space="preserve"> (MS) (se pkt. 5.1 for vigtig information vedrørende den population, hvor effekten er vist). </w:t>
      </w:r>
    </w:p>
    <w:p w:rsidR="006508AD" w:rsidRPr="00C84483" w:rsidRDefault="006508AD" w:rsidP="006508AD">
      <w:pPr>
        <w:ind w:left="851"/>
        <w:rPr>
          <w:sz w:val="24"/>
          <w:szCs w:val="24"/>
        </w:rPr>
      </w:pPr>
      <w:proofErr w:type="spellStart"/>
      <w:r w:rsidRPr="0062641C">
        <w:rPr>
          <w:sz w:val="24"/>
          <w:szCs w:val="24"/>
        </w:rPr>
        <w:t>Glatirameracetat</w:t>
      </w:r>
      <w:proofErr w:type="spellEnd"/>
      <w:r w:rsidRPr="0062641C">
        <w:rPr>
          <w:sz w:val="24"/>
          <w:szCs w:val="24"/>
        </w:rPr>
        <w:t xml:space="preserve"> er ikke indiceret til primær eller sekundær progressiv MS.</w:t>
      </w:r>
    </w:p>
    <w:p w:rsidR="006508AD" w:rsidRDefault="006508AD" w:rsidP="00224A9E">
      <w:pPr>
        <w:rPr>
          <w:sz w:val="24"/>
          <w:szCs w:val="24"/>
        </w:rPr>
      </w:pPr>
    </w:p>
    <w:p w:rsidR="006A49D3" w:rsidRPr="00C84483" w:rsidRDefault="006A49D3" w:rsidP="00224A9E">
      <w:pPr>
        <w:rPr>
          <w:sz w:val="24"/>
          <w:szCs w:val="24"/>
        </w:rPr>
      </w:pPr>
    </w:p>
    <w:p w:rsidR="006508AD" w:rsidRPr="00224A9E" w:rsidRDefault="006508AD" w:rsidP="00224A9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3B2B1B">
        <w:rPr>
          <w:b/>
          <w:sz w:val="24"/>
          <w:szCs w:val="24"/>
        </w:rPr>
        <w:t>administration</w:t>
      </w:r>
    </w:p>
    <w:p w:rsidR="00814024" w:rsidRDefault="00814024" w:rsidP="00814024">
      <w:pPr>
        <w:ind w:left="851"/>
        <w:rPr>
          <w:color w:val="222222"/>
        </w:rPr>
      </w:pPr>
      <w:r>
        <w:rPr>
          <w:color w:val="222222"/>
        </w:rPr>
        <w:t xml:space="preserve">Initieringen af </w:t>
      </w:r>
      <w:proofErr w:type="spellStart"/>
      <w:r>
        <w:rPr>
          <w:color w:val="222222"/>
        </w:rPr>
        <w:t>glatirameracetatbehandling</w:t>
      </w:r>
      <w:proofErr w:type="spellEnd"/>
      <w:r>
        <w:rPr>
          <w:color w:val="222222"/>
        </w:rPr>
        <w:t xml:space="preserve"> bør overvåges af en neurolog eller en læge, der har erfaring med behandling af MS.</w:t>
      </w:r>
    </w:p>
    <w:p w:rsidR="00814024" w:rsidRDefault="00814024" w:rsidP="00814024">
      <w:pPr>
        <w:ind w:left="851"/>
        <w:rPr>
          <w:noProof/>
          <w:sz w:val="24"/>
          <w:szCs w:val="24"/>
        </w:rPr>
      </w:pPr>
    </w:p>
    <w:p w:rsidR="00814024" w:rsidRDefault="00814024" w:rsidP="00814024">
      <w:pPr>
        <w:ind w:left="851"/>
        <w:rPr>
          <w:b/>
          <w:noProof/>
          <w:sz w:val="24"/>
          <w:szCs w:val="24"/>
        </w:rPr>
      </w:pPr>
      <w:r>
        <w:rPr>
          <w:b/>
          <w:noProof/>
          <w:sz w:val="24"/>
          <w:szCs w:val="24"/>
        </w:rPr>
        <w:t>Dosering</w:t>
      </w:r>
    </w:p>
    <w:p w:rsidR="00814024" w:rsidRDefault="00814024" w:rsidP="00814024">
      <w:pPr>
        <w:ind w:left="851"/>
        <w:rPr>
          <w:sz w:val="24"/>
          <w:szCs w:val="24"/>
        </w:rPr>
      </w:pPr>
      <w:r>
        <w:rPr>
          <w:sz w:val="24"/>
          <w:szCs w:val="24"/>
        </w:rPr>
        <w:t xml:space="preserve">Den anbefalede dosis til voksne er 40 mg </w:t>
      </w:r>
      <w:proofErr w:type="spellStart"/>
      <w:r>
        <w:rPr>
          <w:sz w:val="24"/>
          <w:szCs w:val="24"/>
        </w:rPr>
        <w:t>glatirameracetat</w:t>
      </w:r>
      <w:proofErr w:type="spellEnd"/>
      <w:r>
        <w:rPr>
          <w:sz w:val="24"/>
          <w:szCs w:val="24"/>
        </w:rPr>
        <w:t xml:space="preserve"> (en fyldt injektionssprøjte) administreret som subkutan injektion tre gange ugentligt med mindst 48 timers mellemrum. </w:t>
      </w:r>
    </w:p>
    <w:p w:rsidR="00814024" w:rsidRDefault="00814024" w:rsidP="00814024">
      <w:pPr>
        <w:ind w:left="851"/>
        <w:rPr>
          <w:sz w:val="24"/>
          <w:szCs w:val="24"/>
        </w:rPr>
      </w:pPr>
      <w:r>
        <w:rPr>
          <w:sz w:val="24"/>
          <w:szCs w:val="24"/>
        </w:rPr>
        <w:t>På nuværende tidspunkt er det ikke fastlagt, hvor længe patienten skal behandles.</w:t>
      </w:r>
    </w:p>
    <w:p w:rsidR="00814024" w:rsidRDefault="00814024" w:rsidP="00814024">
      <w:pPr>
        <w:ind w:left="851"/>
        <w:rPr>
          <w:sz w:val="24"/>
          <w:szCs w:val="24"/>
        </w:rPr>
      </w:pPr>
      <w:r>
        <w:rPr>
          <w:sz w:val="24"/>
          <w:szCs w:val="24"/>
        </w:rPr>
        <w:t>Beslutning vedrørende langtidsbehandling bør tages på individuel basis af den behandlende læge.</w:t>
      </w:r>
    </w:p>
    <w:p w:rsidR="00814024" w:rsidRDefault="00814024" w:rsidP="00814024">
      <w:pPr>
        <w:ind w:left="851"/>
        <w:rPr>
          <w:sz w:val="24"/>
          <w:szCs w:val="24"/>
        </w:rPr>
      </w:pPr>
    </w:p>
    <w:p w:rsidR="00814024" w:rsidRDefault="00814024" w:rsidP="00814024">
      <w:pPr>
        <w:pStyle w:val="Brdtekst3"/>
        <w:tabs>
          <w:tab w:val="left" w:pos="851"/>
        </w:tabs>
        <w:spacing w:after="0"/>
        <w:ind w:left="851"/>
        <w:rPr>
          <w:i/>
          <w:color w:val="000000"/>
          <w:sz w:val="24"/>
          <w:szCs w:val="24"/>
          <w:u w:val="single"/>
        </w:rPr>
      </w:pPr>
      <w:r>
        <w:rPr>
          <w:i/>
          <w:color w:val="000000"/>
          <w:sz w:val="24"/>
          <w:szCs w:val="24"/>
        </w:rPr>
        <w:t>Nedsat nyrefunktion</w:t>
      </w:r>
      <w:r>
        <w:rPr>
          <w:i/>
          <w:color w:val="000000"/>
          <w:sz w:val="24"/>
          <w:szCs w:val="24"/>
          <w:u w:val="single"/>
        </w:rPr>
        <w:t xml:space="preserve"> </w:t>
      </w:r>
    </w:p>
    <w:p w:rsidR="00814024" w:rsidRDefault="00814024" w:rsidP="00814024">
      <w:pPr>
        <w:ind w:left="851"/>
        <w:rPr>
          <w:color w:val="000000"/>
          <w:sz w:val="24"/>
          <w:szCs w:val="24"/>
        </w:rPr>
      </w:pPr>
      <w:proofErr w:type="spellStart"/>
      <w:r>
        <w:rPr>
          <w:color w:val="000000"/>
          <w:sz w:val="24"/>
          <w:szCs w:val="24"/>
        </w:rPr>
        <w:t>Glatirameracetat</w:t>
      </w:r>
      <w:proofErr w:type="spellEnd"/>
      <w:r>
        <w:rPr>
          <w:color w:val="000000"/>
          <w:sz w:val="24"/>
          <w:szCs w:val="24"/>
        </w:rPr>
        <w:t xml:space="preserve"> er ikke undersøgt specifikt til anvendelse hos patienter med nedsat nyrefunktion (se pkt. 4.4).</w:t>
      </w:r>
    </w:p>
    <w:p w:rsidR="00814024" w:rsidRDefault="00814024" w:rsidP="00814024">
      <w:pPr>
        <w:ind w:left="851"/>
        <w:rPr>
          <w:sz w:val="24"/>
          <w:szCs w:val="24"/>
        </w:rPr>
      </w:pPr>
    </w:p>
    <w:p w:rsidR="00814024" w:rsidRDefault="00814024" w:rsidP="00814024">
      <w:pPr>
        <w:pStyle w:val="Brdtekst3"/>
        <w:tabs>
          <w:tab w:val="left" w:pos="851"/>
        </w:tabs>
        <w:spacing w:after="0"/>
        <w:ind w:left="851"/>
        <w:rPr>
          <w:i/>
          <w:color w:val="000000"/>
          <w:sz w:val="24"/>
          <w:szCs w:val="24"/>
        </w:rPr>
      </w:pPr>
      <w:r>
        <w:rPr>
          <w:i/>
          <w:color w:val="000000"/>
          <w:sz w:val="24"/>
          <w:szCs w:val="24"/>
        </w:rPr>
        <w:t xml:space="preserve">Ældre </w:t>
      </w:r>
    </w:p>
    <w:p w:rsidR="00814024" w:rsidRDefault="00814024" w:rsidP="00814024">
      <w:pPr>
        <w:pStyle w:val="Brdtekst3"/>
        <w:tabs>
          <w:tab w:val="left" w:pos="851"/>
        </w:tabs>
        <w:spacing w:after="0"/>
        <w:ind w:left="851"/>
        <w:rPr>
          <w:color w:val="000000"/>
          <w:sz w:val="24"/>
          <w:szCs w:val="24"/>
        </w:rPr>
      </w:pPr>
      <w:proofErr w:type="spellStart"/>
      <w:r>
        <w:rPr>
          <w:color w:val="000000"/>
          <w:sz w:val="24"/>
          <w:szCs w:val="24"/>
        </w:rPr>
        <w:t>Glatirameracetat</w:t>
      </w:r>
      <w:proofErr w:type="spellEnd"/>
      <w:r>
        <w:rPr>
          <w:color w:val="000000"/>
          <w:sz w:val="24"/>
          <w:szCs w:val="24"/>
        </w:rPr>
        <w:t xml:space="preserve"> er ikke undersøgt specifikt til anvendelse hos ældre</w:t>
      </w:r>
      <w:r w:rsidR="004C5F22">
        <w:rPr>
          <w:color w:val="000000"/>
          <w:sz w:val="24"/>
          <w:szCs w:val="24"/>
        </w:rPr>
        <w:t xml:space="preserve"> (se pkt. 4.4).</w:t>
      </w:r>
    </w:p>
    <w:p w:rsidR="00814024" w:rsidRDefault="00814024" w:rsidP="00814024">
      <w:pPr>
        <w:ind w:left="851"/>
        <w:rPr>
          <w:sz w:val="24"/>
          <w:szCs w:val="24"/>
        </w:rPr>
      </w:pPr>
    </w:p>
    <w:p w:rsidR="00814024" w:rsidRDefault="00814024" w:rsidP="00814024">
      <w:pPr>
        <w:ind w:left="851"/>
        <w:rPr>
          <w:noProof/>
          <w:sz w:val="24"/>
          <w:szCs w:val="24"/>
          <w:u w:val="single"/>
        </w:rPr>
      </w:pPr>
      <w:r>
        <w:rPr>
          <w:noProof/>
          <w:sz w:val="24"/>
          <w:szCs w:val="24"/>
          <w:u w:val="single"/>
        </w:rPr>
        <w:t>Pædiatrisk population</w:t>
      </w:r>
    </w:p>
    <w:p w:rsidR="00814024" w:rsidRDefault="00814024" w:rsidP="00814024">
      <w:pPr>
        <w:ind w:left="851"/>
        <w:rPr>
          <w:sz w:val="24"/>
          <w:szCs w:val="24"/>
        </w:rPr>
      </w:pPr>
      <w:r>
        <w:rPr>
          <w:color w:val="222222"/>
          <w:sz w:val="24"/>
          <w:szCs w:val="24"/>
        </w:rPr>
        <w:t xml:space="preserve">Sikkerhed og virkning af </w:t>
      </w:r>
      <w:proofErr w:type="spellStart"/>
      <w:r>
        <w:rPr>
          <w:color w:val="222222"/>
          <w:sz w:val="24"/>
          <w:szCs w:val="24"/>
        </w:rPr>
        <w:t>glatirameracetat</w:t>
      </w:r>
      <w:proofErr w:type="spellEnd"/>
      <w:r>
        <w:rPr>
          <w:color w:val="222222"/>
          <w:sz w:val="24"/>
          <w:szCs w:val="24"/>
        </w:rPr>
        <w:t xml:space="preserve"> hos børn og unge er ikke blevet fastslået.</w:t>
      </w:r>
      <w:r>
        <w:rPr>
          <w:color w:val="222222"/>
        </w:rPr>
        <w:t xml:space="preserve"> </w:t>
      </w:r>
      <w:r>
        <w:rPr>
          <w:sz w:val="24"/>
          <w:szCs w:val="24"/>
        </w:rPr>
        <w:t xml:space="preserve">Der er ikke tilstrækkelige data om anvendelse af </w:t>
      </w:r>
      <w:proofErr w:type="spellStart"/>
      <w:r>
        <w:rPr>
          <w:sz w:val="24"/>
          <w:szCs w:val="24"/>
        </w:rPr>
        <w:t>glatirameracetat</w:t>
      </w:r>
      <w:proofErr w:type="spellEnd"/>
      <w:r>
        <w:rPr>
          <w:sz w:val="24"/>
          <w:szCs w:val="24"/>
        </w:rPr>
        <w:t xml:space="preserve"> 40 mg/ml til børn og unge under 18 år til at danne grundlag for en anbefaling af behandling. </w:t>
      </w:r>
      <w:proofErr w:type="spellStart"/>
      <w:r>
        <w:rPr>
          <w:sz w:val="24"/>
          <w:szCs w:val="24"/>
        </w:rPr>
        <w:t>Glatirameracetat</w:t>
      </w:r>
      <w:proofErr w:type="spellEnd"/>
      <w:r>
        <w:rPr>
          <w:sz w:val="24"/>
          <w:szCs w:val="24"/>
        </w:rPr>
        <w:t xml:space="preserve"> 40 mg/ml bør derfor ikke anvendes til denne aldersgruppe.</w:t>
      </w:r>
    </w:p>
    <w:p w:rsidR="00814024" w:rsidRDefault="00814024" w:rsidP="00814024">
      <w:pPr>
        <w:ind w:left="851"/>
        <w:rPr>
          <w:sz w:val="24"/>
          <w:szCs w:val="24"/>
        </w:rPr>
      </w:pPr>
    </w:p>
    <w:p w:rsidR="00814024" w:rsidRDefault="00814024" w:rsidP="00814024">
      <w:pPr>
        <w:ind w:left="851"/>
        <w:rPr>
          <w:b/>
          <w:sz w:val="24"/>
          <w:szCs w:val="24"/>
        </w:rPr>
      </w:pPr>
      <w:r>
        <w:rPr>
          <w:b/>
          <w:sz w:val="24"/>
          <w:szCs w:val="24"/>
        </w:rPr>
        <w:t>Administration</w:t>
      </w:r>
    </w:p>
    <w:p w:rsidR="00814024" w:rsidRDefault="00814024" w:rsidP="00814024">
      <w:pPr>
        <w:pStyle w:val="Brdtekst3"/>
        <w:tabs>
          <w:tab w:val="left" w:pos="851"/>
        </w:tabs>
        <w:spacing w:after="0"/>
        <w:ind w:left="855"/>
        <w:rPr>
          <w:color w:val="000000"/>
          <w:sz w:val="24"/>
          <w:szCs w:val="24"/>
        </w:rPr>
      </w:pPr>
      <w:proofErr w:type="spellStart"/>
      <w:r>
        <w:rPr>
          <w:color w:val="000000"/>
          <w:sz w:val="24"/>
          <w:szCs w:val="24"/>
        </w:rPr>
        <w:t>Glatirameracetat</w:t>
      </w:r>
      <w:proofErr w:type="spellEnd"/>
      <w:r>
        <w:rPr>
          <w:color w:val="000000"/>
          <w:sz w:val="24"/>
          <w:szCs w:val="24"/>
        </w:rPr>
        <w:t xml:space="preserve"> er til subkutan anvendelse.</w:t>
      </w:r>
    </w:p>
    <w:p w:rsidR="00814024" w:rsidRDefault="00814024" w:rsidP="00814024">
      <w:pPr>
        <w:ind w:left="851"/>
        <w:rPr>
          <w:sz w:val="24"/>
          <w:szCs w:val="24"/>
        </w:rPr>
      </w:pPr>
    </w:p>
    <w:p w:rsidR="00814024" w:rsidRDefault="00814024" w:rsidP="00814024">
      <w:pPr>
        <w:ind w:left="851"/>
        <w:rPr>
          <w:sz w:val="24"/>
          <w:szCs w:val="24"/>
        </w:rPr>
      </w:pPr>
      <w:r>
        <w:rPr>
          <w:sz w:val="24"/>
          <w:szCs w:val="24"/>
        </w:rPr>
        <w:t>Patienterne bør instrueres i selv-injektionsteknik og bør overvåges af en sygeplejerske eller læge den første gang, de selv-injicerer, og i 30 minutter efter injektionen.</w:t>
      </w:r>
    </w:p>
    <w:p w:rsidR="00814024" w:rsidRDefault="00814024" w:rsidP="00814024">
      <w:pPr>
        <w:ind w:left="851"/>
        <w:rPr>
          <w:sz w:val="24"/>
          <w:szCs w:val="24"/>
        </w:rPr>
      </w:pPr>
    </w:p>
    <w:p w:rsidR="00814024" w:rsidRDefault="00814024" w:rsidP="00814024">
      <w:pPr>
        <w:ind w:left="851"/>
        <w:rPr>
          <w:sz w:val="24"/>
          <w:szCs w:val="24"/>
        </w:rPr>
      </w:pPr>
      <w:r>
        <w:rPr>
          <w:sz w:val="24"/>
          <w:szCs w:val="24"/>
        </w:rPr>
        <w:t>Der bør vælges et nyt sted for hver injektion for at reducere risikoen for irritation eller smerte på injektionsstedet. Steder til selv-injektion omfatter mave, arm, hofte og lår.</w:t>
      </w:r>
    </w:p>
    <w:p w:rsidR="00814024" w:rsidRDefault="00814024" w:rsidP="00814024">
      <w:pPr>
        <w:ind w:left="851"/>
        <w:rPr>
          <w:sz w:val="24"/>
          <w:szCs w:val="24"/>
        </w:rPr>
      </w:pPr>
    </w:p>
    <w:p w:rsidR="00814024" w:rsidRDefault="00814024" w:rsidP="00814024">
      <w:pPr>
        <w:pStyle w:val="Brdtekstindrykning3"/>
        <w:spacing w:after="0"/>
        <w:ind w:left="855"/>
        <w:rPr>
          <w:sz w:val="24"/>
          <w:szCs w:val="24"/>
        </w:rPr>
      </w:pPr>
      <w:r>
        <w:rPr>
          <w:sz w:val="24"/>
          <w:szCs w:val="24"/>
        </w:rPr>
        <w:t>Hvis patienten ønsker at foretage injektioner ved hjælp af en autoinjektor, er det muligt at bruge en My-</w:t>
      </w:r>
      <w:proofErr w:type="spellStart"/>
      <w:r>
        <w:rPr>
          <w:sz w:val="24"/>
          <w:szCs w:val="24"/>
        </w:rPr>
        <w:t>Ject</w:t>
      </w:r>
      <w:proofErr w:type="spellEnd"/>
      <w:r>
        <w:rPr>
          <w:sz w:val="24"/>
          <w:szCs w:val="24"/>
        </w:rPr>
        <w:t>-autoinjektor. My-</w:t>
      </w:r>
      <w:proofErr w:type="spellStart"/>
      <w:r>
        <w:rPr>
          <w:sz w:val="24"/>
          <w:szCs w:val="24"/>
        </w:rPr>
        <w:t>Ject</w:t>
      </w:r>
      <w:proofErr w:type="spellEnd"/>
      <w:r>
        <w:rPr>
          <w:sz w:val="24"/>
          <w:szCs w:val="24"/>
        </w:rPr>
        <w:t xml:space="preserve">-autoinjektoren er beregnet til </w:t>
      </w:r>
      <w:proofErr w:type="spellStart"/>
      <w:r>
        <w:rPr>
          <w:sz w:val="24"/>
          <w:szCs w:val="24"/>
        </w:rPr>
        <w:t>Copemyl</w:t>
      </w:r>
      <w:proofErr w:type="spellEnd"/>
      <w:r>
        <w:rPr>
          <w:sz w:val="24"/>
          <w:szCs w:val="24"/>
        </w:rPr>
        <w:t xml:space="preserve"> fyldte injektionssprøjter, og den er ikke testet i kombination med andre fyldte injektionssprøjter. My</w:t>
      </w:r>
      <w:r>
        <w:rPr>
          <w:sz w:val="24"/>
          <w:szCs w:val="24"/>
        </w:rPr>
        <w:noBreakHyphen/>
      </w:r>
      <w:proofErr w:type="spellStart"/>
      <w:r>
        <w:rPr>
          <w:sz w:val="24"/>
          <w:szCs w:val="24"/>
        </w:rPr>
        <w:t>Ject</w:t>
      </w:r>
      <w:proofErr w:type="spellEnd"/>
      <w:r>
        <w:rPr>
          <w:sz w:val="24"/>
          <w:szCs w:val="24"/>
        </w:rPr>
        <w:t>-autoinjektoren skal anvendes i henhold til den brugsanvisning, der følger med autoinjektoren.</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4.3</w:t>
      </w:r>
      <w:r w:rsidRPr="00C84483">
        <w:rPr>
          <w:b/>
          <w:sz w:val="24"/>
          <w:szCs w:val="24"/>
        </w:rPr>
        <w:tab/>
        <w:t>Kontraindikationer</w:t>
      </w:r>
    </w:p>
    <w:p w:rsidR="00814024" w:rsidRDefault="00814024" w:rsidP="00814024">
      <w:pPr>
        <w:ind w:left="851"/>
        <w:rPr>
          <w:sz w:val="24"/>
          <w:szCs w:val="24"/>
        </w:rPr>
      </w:pPr>
      <w:proofErr w:type="spellStart"/>
      <w:r>
        <w:rPr>
          <w:sz w:val="24"/>
          <w:szCs w:val="24"/>
        </w:rPr>
        <w:t>Glatirameracetat</w:t>
      </w:r>
      <w:proofErr w:type="spellEnd"/>
      <w:r>
        <w:rPr>
          <w:sz w:val="24"/>
          <w:szCs w:val="24"/>
        </w:rPr>
        <w:t xml:space="preserve"> er kontraindiceret ved:</w:t>
      </w:r>
    </w:p>
    <w:p w:rsidR="00814024" w:rsidRDefault="00814024" w:rsidP="00814024">
      <w:pPr>
        <w:numPr>
          <w:ilvl w:val="0"/>
          <w:numId w:val="8"/>
        </w:numPr>
        <w:ind w:left="1134" w:hanging="283"/>
        <w:contextualSpacing/>
        <w:rPr>
          <w:sz w:val="24"/>
          <w:szCs w:val="24"/>
          <w:lang w:eastAsia="en-GB"/>
        </w:rPr>
      </w:pPr>
      <w:r>
        <w:rPr>
          <w:sz w:val="24"/>
          <w:szCs w:val="24"/>
          <w:lang w:eastAsia="en-GB"/>
        </w:rPr>
        <w:t xml:space="preserve">Overfølsomhed over for det aktive stof </w:t>
      </w:r>
      <w:r>
        <w:t>(</w:t>
      </w:r>
      <w:proofErr w:type="spellStart"/>
      <w:r>
        <w:t>glatirameracetat</w:t>
      </w:r>
      <w:proofErr w:type="spellEnd"/>
      <w:r>
        <w:t xml:space="preserve">) </w:t>
      </w:r>
      <w:r>
        <w:rPr>
          <w:sz w:val="24"/>
          <w:szCs w:val="24"/>
          <w:lang w:eastAsia="en-GB"/>
        </w:rPr>
        <w:t>eller over for et eller flere af hjælpestofferne anført i pkt. 6.1.</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4024" w:rsidRDefault="00814024" w:rsidP="00814024">
      <w:pPr>
        <w:ind w:left="851"/>
        <w:rPr>
          <w:noProof/>
          <w:sz w:val="24"/>
          <w:szCs w:val="24"/>
        </w:rPr>
      </w:pPr>
      <w:r>
        <w:rPr>
          <w:noProof/>
          <w:sz w:val="24"/>
          <w:szCs w:val="24"/>
        </w:rPr>
        <w:t xml:space="preserve">Glatirameracetat bør kun administreres subkutant. Glatirameracetat bør ikke administreres intravenøst eller intramuskulært. </w:t>
      </w:r>
    </w:p>
    <w:p w:rsidR="00814024" w:rsidRDefault="00814024" w:rsidP="00814024">
      <w:pPr>
        <w:ind w:left="851"/>
        <w:rPr>
          <w:noProof/>
          <w:sz w:val="24"/>
          <w:szCs w:val="24"/>
        </w:rPr>
      </w:pPr>
    </w:p>
    <w:p w:rsidR="00911B55" w:rsidRDefault="00911B55" w:rsidP="00911B55">
      <w:pPr>
        <w:ind w:left="851"/>
        <w:rPr>
          <w:noProof/>
          <w:sz w:val="24"/>
          <w:szCs w:val="24"/>
        </w:rPr>
      </w:pPr>
      <w:r>
        <w:rPr>
          <w:noProof/>
          <w:sz w:val="24"/>
          <w:szCs w:val="24"/>
        </w:rPr>
        <w:t>Glatirameracetat kan forårsage reaktioner efter injektion samt anafylaktiske reaktioner (se pkt. 4.8):</w:t>
      </w:r>
    </w:p>
    <w:p w:rsidR="00911B55" w:rsidRDefault="00911B55" w:rsidP="00911B55">
      <w:pPr>
        <w:ind w:left="851"/>
        <w:rPr>
          <w:noProof/>
          <w:sz w:val="24"/>
          <w:szCs w:val="24"/>
        </w:rPr>
      </w:pPr>
    </w:p>
    <w:p w:rsidR="00911B55" w:rsidRDefault="00911B55" w:rsidP="00911B55">
      <w:pPr>
        <w:ind w:left="851"/>
        <w:rPr>
          <w:noProof/>
          <w:sz w:val="24"/>
          <w:szCs w:val="24"/>
          <w:u w:val="single"/>
        </w:rPr>
      </w:pPr>
      <w:r>
        <w:rPr>
          <w:noProof/>
          <w:sz w:val="24"/>
          <w:szCs w:val="24"/>
          <w:u w:val="single"/>
        </w:rPr>
        <w:t>Reaktioner efter injektion</w:t>
      </w:r>
    </w:p>
    <w:p w:rsidR="00911B55" w:rsidRDefault="00911B55" w:rsidP="00911B55">
      <w:pPr>
        <w:ind w:left="851"/>
        <w:rPr>
          <w:noProof/>
          <w:sz w:val="24"/>
          <w:szCs w:val="24"/>
        </w:rPr>
      </w:pPr>
      <w:r>
        <w:rPr>
          <w:noProof/>
          <w:sz w:val="24"/>
          <w:szCs w:val="24"/>
        </w:rPr>
        <w:t>Den behandlende læge bør forklare patienten, at en reaktion med mindst et af følgende symptomer kan forekomme inden for minutter efter en glatirameracetat injektion: vasodilation (rødmen), brystsmerter, dyspnø, palpitationer eller takykardi (se pkt. 4.8). De fleste af disse reaktioner er kortvarige og forsvinder spontant uden følger. Hvis en alvorlig bivirkning opstår, skal patienten straks stoppe glatirameracetat behandlingen og kontakte sin læge eller en vagthavende læge. Symptomatisk behandling kan initieres under opsyn af lægen.</w:t>
      </w:r>
    </w:p>
    <w:p w:rsidR="00911B55" w:rsidRDefault="00911B55" w:rsidP="00911B55">
      <w:pPr>
        <w:ind w:left="851"/>
        <w:rPr>
          <w:noProof/>
          <w:sz w:val="24"/>
          <w:szCs w:val="24"/>
        </w:rPr>
      </w:pPr>
    </w:p>
    <w:p w:rsidR="00911B55" w:rsidRDefault="00911B55" w:rsidP="00911B55">
      <w:pPr>
        <w:ind w:left="851"/>
        <w:rPr>
          <w:noProof/>
          <w:sz w:val="24"/>
          <w:szCs w:val="24"/>
        </w:rPr>
      </w:pPr>
      <w:r>
        <w:rPr>
          <w:noProof/>
          <w:sz w:val="24"/>
          <w:szCs w:val="24"/>
        </w:rPr>
        <w:t>Der er ingen evidens for, at specielle patientgrupper har særlig risiko for disse reaktioner. Alligevel bør der udvises forsigtighed, når glatirameracetat administreres til patienter, som tidligere har haft hjertesygdomme. Disse patienter bør følges regelmæssigt under behandlingen.</w:t>
      </w:r>
    </w:p>
    <w:p w:rsidR="00911B55" w:rsidRDefault="00911B55" w:rsidP="00911B55">
      <w:pPr>
        <w:ind w:left="851"/>
        <w:rPr>
          <w:noProof/>
          <w:sz w:val="24"/>
          <w:szCs w:val="24"/>
        </w:rPr>
      </w:pPr>
    </w:p>
    <w:p w:rsidR="00911B55" w:rsidRDefault="00911B55" w:rsidP="00911B55">
      <w:pPr>
        <w:ind w:left="851"/>
        <w:rPr>
          <w:noProof/>
          <w:sz w:val="24"/>
          <w:szCs w:val="24"/>
          <w:u w:val="single"/>
        </w:rPr>
      </w:pPr>
      <w:r>
        <w:rPr>
          <w:noProof/>
          <w:sz w:val="24"/>
          <w:szCs w:val="24"/>
          <w:u w:val="single"/>
        </w:rPr>
        <w:t>Anafylaktiske reaktioner</w:t>
      </w:r>
    </w:p>
    <w:p w:rsidR="00911B55" w:rsidRDefault="00911B55" w:rsidP="00911B55">
      <w:pPr>
        <w:ind w:left="851"/>
        <w:rPr>
          <w:noProof/>
          <w:sz w:val="24"/>
          <w:szCs w:val="24"/>
        </w:rPr>
      </w:pPr>
      <w:r>
        <w:rPr>
          <w:noProof/>
          <w:sz w:val="24"/>
          <w:szCs w:val="24"/>
        </w:rPr>
        <w:t>Anafylaktiske reaktioner kan forekomme efter administration af glatirameracetat, men også måneder eller år efter initiering af behandlingen (se pkt. 4.8). Tilfælde med dødelig udgang er rapporteret. Nogle tegn og symptomer på anafylaktiske reaktioner kan overlappe reaktioner efter injektioner.</w:t>
      </w:r>
    </w:p>
    <w:p w:rsidR="00911B55" w:rsidRDefault="00911B55" w:rsidP="00911B55">
      <w:pPr>
        <w:ind w:left="851"/>
        <w:rPr>
          <w:noProof/>
          <w:sz w:val="24"/>
          <w:szCs w:val="24"/>
        </w:rPr>
      </w:pPr>
    </w:p>
    <w:p w:rsidR="00911B55" w:rsidRDefault="00911B55" w:rsidP="00911B55">
      <w:pPr>
        <w:ind w:left="851"/>
        <w:rPr>
          <w:noProof/>
          <w:sz w:val="24"/>
          <w:szCs w:val="24"/>
        </w:rPr>
      </w:pPr>
      <w:r>
        <w:rPr>
          <w:noProof/>
          <w:sz w:val="24"/>
          <w:szCs w:val="24"/>
        </w:rPr>
        <w:t>Alle patienter, som får behandling med Copemyl, og omsorgspersoner bør informeres om de tegn og symptomer, der er specifikke for anafylaktiske reaktioner, og at de straks skal søge akut behandling, hvis de oplever disse symptomer (se pkt. 4.8).</w:t>
      </w:r>
    </w:p>
    <w:p w:rsidR="00911B55" w:rsidRDefault="00911B55" w:rsidP="00911B55">
      <w:pPr>
        <w:ind w:left="851"/>
        <w:rPr>
          <w:noProof/>
          <w:sz w:val="24"/>
          <w:szCs w:val="24"/>
        </w:rPr>
      </w:pPr>
    </w:p>
    <w:p w:rsidR="00911B55" w:rsidRDefault="00911B55" w:rsidP="00911B55">
      <w:pPr>
        <w:ind w:left="851"/>
        <w:rPr>
          <w:noProof/>
          <w:sz w:val="24"/>
          <w:szCs w:val="24"/>
        </w:rPr>
      </w:pPr>
      <w:r>
        <w:rPr>
          <w:noProof/>
          <w:sz w:val="24"/>
          <w:szCs w:val="24"/>
        </w:rPr>
        <w:t>Hvis der forekommer en anafylaktisk reaktion, skal behandling med Copemyl stoppes (se pkt. 4.3).</w:t>
      </w:r>
    </w:p>
    <w:p w:rsidR="00814024" w:rsidRDefault="00814024" w:rsidP="00814024">
      <w:pPr>
        <w:ind w:left="851"/>
        <w:rPr>
          <w:noProof/>
          <w:sz w:val="24"/>
          <w:szCs w:val="24"/>
        </w:rPr>
      </w:pPr>
    </w:p>
    <w:p w:rsidR="00814024" w:rsidRDefault="00814024" w:rsidP="00814024">
      <w:pPr>
        <w:ind w:left="851"/>
        <w:rPr>
          <w:noProof/>
          <w:sz w:val="24"/>
          <w:szCs w:val="24"/>
        </w:rPr>
      </w:pPr>
      <w:r>
        <w:rPr>
          <w:noProof/>
          <w:sz w:val="24"/>
          <w:szCs w:val="24"/>
        </w:rPr>
        <w:t xml:space="preserve">Glatirameracetat-reaktive antistoffer blev målt i patienters serum under daglig kronisk behandling med glatirameracetat. Maksimale niveauer blev opnået efter en gennemsnitlig behandlingsvarighed på 3-4 måneder og faldt derefter og stabiliserede sig lidt over </w:t>
      </w:r>
      <w:r>
        <w:rPr>
          <w:i/>
          <w:noProof/>
          <w:sz w:val="24"/>
          <w:szCs w:val="24"/>
        </w:rPr>
        <w:t>baseline</w:t>
      </w:r>
      <w:r>
        <w:rPr>
          <w:noProof/>
          <w:sz w:val="24"/>
          <w:szCs w:val="24"/>
        </w:rPr>
        <w:t>.</w:t>
      </w:r>
    </w:p>
    <w:p w:rsidR="00814024" w:rsidRDefault="00814024" w:rsidP="00814024">
      <w:pPr>
        <w:ind w:left="851"/>
        <w:rPr>
          <w:noProof/>
          <w:sz w:val="24"/>
          <w:szCs w:val="24"/>
        </w:rPr>
      </w:pPr>
    </w:p>
    <w:p w:rsidR="00814024" w:rsidRDefault="00814024" w:rsidP="00814024">
      <w:pPr>
        <w:ind w:left="851"/>
        <w:rPr>
          <w:noProof/>
          <w:sz w:val="24"/>
          <w:szCs w:val="24"/>
        </w:rPr>
      </w:pPr>
      <w:r>
        <w:rPr>
          <w:noProof/>
          <w:sz w:val="24"/>
          <w:szCs w:val="24"/>
        </w:rPr>
        <w:t>Der er ingen evidens for, at disse glatirameracetat-reaktive antistoffer virker neutraliserende, eller at deres dannelse påvirker den kliniske effekt af glatirameracetat.</w:t>
      </w:r>
    </w:p>
    <w:p w:rsidR="003B2B1B" w:rsidRDefault="003B2B1B" w:rsidP="00814024">
      <w:pPr>
        <w:ind w:left="851"/>
        <w:rPr>
          <w:noProof/>
          <w:sz w:val="24"/>
          <w:szCs w:val="24"/>
        </w:rPr>
      </w:pPr>
    </w:p>
    <w:p w:rsidR="003B2B1B" w:rsidRDefault="003B2B1B" w:rsidP="003B2B1B">
      <w:pPr>
        <w:ind w:left="851"/>
        <w:rPr>
          <w:noProof/>
          <w:sz w:val="24"/>
          <w:szCs w:val="24"/>
        </w:rPr>
      </w:pPr>
      <w:r>
        <w:rPr>
          <w:color w:val="000000"/>
          <w:sz w:val="24"/>
          <w:szCs w:val="24"/>
        </w:rPr>
        <w:t xml:space="preserve">Sjældne tilfælde af alvorlig leverskade (herunder hepatitis med gulsot, leversvigt og i enkeltstående tilfælde levertransplantation) er blevet observeret. Leverskade forekom inden for dage til år efter påbegyndt behandling med </w:t>
      </w:r>
      <w:proofErr w:type="spellStart"/>
      <w:r>
        <w:rPr>
          <w:color w:val="000000"/>
          <w:sz w:val="24"/>
          <w:szCs w:val="24"/>
        </w:rPr>
        <w:t>Copemyl</w:t>
      </w:r>
      <w:proofErr w:type="spellEnd"/>
      <w:r>
        <w:rPr>
          <w:color w:val="000000"/>
          <w:sz w:val="24"/>
          <w:szCs w:val="24"/>
        </w:rPr>
        <w:t xml:space="preserve">. De fleste tilfælde af svær leverskade ophørte ved </w:t>
      </w:r>
      <w:proofErr w:type="spellStart"/>
      <w:r>
        <w:rPr>
          <w:color w:val="000000"/>
          <w:sz w:val="24"/>
          <w:szCs w:val="24"/>
        </w:rPr>
        <w:t>seponering</w:t>
      </w:r>
      <w:proofErr w:type="spellEnd"/>
      <w:r>
        <w:rPr>
          <w:color w:val="000000"/>
          <w:sz w:val="24"/>
          <w:szCs w:val="24"/>
        </w:rPr>
        <w:t xml:space="preserve"> af behandlingen. I nogle tilfælde er disse reaktioner forekommet ved tilstedeværelse af overdrevent alkoholindtag, eksisterende eller tidligere leverskade samt anvendelse af andre potentielt </w:t>
      </w:r>
      <w:proofErr w:type="spellStart"/>
      <w:r>
        <w:rPr>
          <w:color w:val="000000"/>
          <w:sz w:val="24"/>
          <w:szCs w:val="24"/>
        </w:rPr>
        <w:t>hepatotoksiske</w:t>
      </w:r>
      <w:proofErr w:type="spellEnd"/>
      <w:r>
        <w:rPr>
          <w:color w:val="000000"/>
          <w:sz w:val="24"/>
          <w:szCs w:val="24"/>
        </w:rPr>
        <w:t xml:space="preserve"> lægemidler. Patienterne skal regelmæssigt overvåges for tegn på leverskade, og instrueres i straks at søge lægehjælp i tilfælde af symptomer på leverskade. I tilfælde af klinisk signifikant leverskade, skal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Copemyl</w:t>
      </w:r>
      <w:proofErr w:type="spellEnd"/>
      <w:r>
        <w:rPr>
          <w:color w:val="000000"/>
          <w:sz w:val="24"/>
          <w:szCs w:val="24"/>
        </w:rPr>
        <w:t xml:space="preserve"> overvejes.</w:t>
      </w:r>
    </w:p>
    <w:p w:rsidR="00814024" w:rsidRDefault="00814024" w:rsidP="00814024">
      <w:pPr>
        <w:ind w:left="851"/>
        <w:rPr>
          <w:noProof/>
          <w:sz w:val="24"/>
          <w:szCs w:val="24"/>
        </w:rPr>
      </w:pPr>
    </w:p>
    <w:p w:rsidR="00814024" w:rsidRDefault="00814024" w:rsidP="00814024">
      <w:pPr>
        <w:ind w:left="851"/>
        <w:rPr>
          <w:noProof/>
          <w:sz w:val="24"/>
          <w:szCs w:val="24"/>
        </w:rPr>
      </w:pPr>
      <w:r>
        <w:rPr>
          <w:noProof/>
          <w:sz w:val="24"/>
          <w:szCs w:val="24"/>
        </w:rPr>
        <w:t>Nyrefunktionen bør måles regelmæssigt hos patienter med nedsat nyrefunktion, imens de er i behandling med glatirameracetat. Selvom der ikke er evidens for glomerulær deposition af immunkomplekser hos patienter, kan muligheden ikke udelukkes.</w:t>
      </w:r>
    </w:p>
    <w:p w:rsidR="006508AD" w:rsidRPr="00C84483" w:rsidRDefault="006508AD" w:rsidP="006508AD">
      <w:pPr>
        <w:tabs>
          <w:tab w:val="left" w:pos="851"/>
        </w:tabs>
        <w:ind w:left="851"/>
        <w:rPr>
          <w:sz w:val="24"/>
          <w:szCs w:val="24"/>
        </w:rPr>
      </w:pPr>
    </w:p>
    <w:p w:rsidR="006508AD" w:rsidRPr="00C84483" w:rsidRDefault="006508AD" w:rsidP="00911B55">
      <w:pPr>
        <w:keepNext/>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6508AD" w:rsidRPr="00A37F6F" w:rsidRDefault="006508AD" w:rsidP="006508AD">
      <w:pPr>
        <w:ind w:left="851"/>
        <w:rPr>
          <w:noProof/>
          <w:sz w:val="24"/>
          <w:szCs w:val="24"/>
        </w:rPr>
      </w:pPr>
      <w:r w:rsidRPr="00A37F6F">
        <w:rPr>
          <w:noProof/>
          <w:sz w:val="24"/>
          <w:szCs w:val="24"/>
        </w:rPr>
        <w:t>Interaktion mellem glatirameracetat og andre lægemidler er ikke formelt undersøgt.</w:t>
      </w:r>
    </w:p>
    <w:p w:rsidR="006508AD" w:rsidRPr="00A37F6F" w:rsidRDefault="006508AD" w:rsidP="006508AD">
      <w:pPr>
        <w:ind w:left="851"/>
        <w:rPr>
          <w:noProof/>
          <w:sz w:val="24"/>
          <w:szCs w:val="24"/>
        </w:rPr>
      </w:pPr>
    </w:p>
    <w:p w:rsidR="006508AD" w:rsidRPr="00A37F6F" w:rsidRDefault="006508AD" w:rsidP="006508AD">
      <w:pPr>
        <w:ind w:left="851"/>
        <w:rPr>
          <w:noProof/>
          <w:sz w:val="24"/>
          <w:szCs w:val="24"/>
        </w:rPr>
      </w:pPr>
      <w:r w:rsidRPr="00A37F6F">
        <w:rPr>
          <w:color w:val="000000"/>
          <w:sz w:val="24"/>
          <w:szCs w:val="24"/>
        </w:rPr>
        <w:t>Der er ingen data vedrørende interaktion med interferon beta.</w:t>
      </w:r>
    </w:p>
    <w:p w:rsidR="006508AD" w:rsidRPr="00A37F6F" w:rsidRDefault="006508AD" w:rsidP="006508AD">
      <w:pPr>
        <w:ind w:left="851"/>
        <w:rPr>
          <w:i/>
          <w:noProof/>
          <w:sz w:val="24"/>
          <w:szCs w:val="24"/>
        </w:rPr>
      </w:pPr>
    </w:p>
    <w:p w:rsidR="006508AD" w:rsidRPr="00A37F6F" w:rsidRDefault="006508AD" w:rsidP="006508AD">
      <w:pPr>
        <w:ind w:left="851"/>
        <w:rPr>
          <w:color w:val="000000"/>
          <w:sz w:val="24"/>
          <w:szCs w:val="24"/>
        </w:rPr>
      </w:pPr>
      <w:r w:rsidRPr="00A37F6F">
        <w:rPr>
          <w:color w:val="000000"/>
          <w:sz w:val="24"/>
          <w:szCs w:val="24"/>
        </w:rPr>
        <w:t xml:space="preserve">En øget hyppighed af reaktioner omkring injektionsstedet er observeret hos patienter, som samtidigt får </w:t>
      </w:r>
      <w:proofErr w:type="spellStart"/>
      <w:r w:rsidRPr="00A37F6F">
        <w:rPr>
          <w:color w:val="000000"/>
          <w:sz w:val="24"/>
          <w:szCs w:val="24"/>
        </w:rPr>
        <w:t>kortikosteroider</w:t>
      </w:r>
      <w:proofErr w:type="spellEnd"/>
      <w:r w:rsidRPr="00A37F6F">
        <w:rPr>
          <w:color w:val="000000"/>
          <w:sz w:val="24"/>
          <w:szCs w:val="24"/>
        </w:rPr>
        <w:t>.</w:t>
      </w:r>
    </w:p>
    <w:p w:rsidR="006508AD" w:rsidRPr="00A37F6F" w:rsidRDefault="006508AD" w:rsidP="006508AD">
      <w:pPr>
        <w:ind w:left="851"/>
        <w:rPr>
          <w:color w:val="000000"/>
          <w:sz w:val="24"/>
          <w:szCs w:val="24"/>
        </w:rPr>
      </w:pPr>
    </w:p>
    <w:p w:rsidR="006508AD" w:rsidRPr="00C84483" w:rsidRDefault="006508AD" w:rsidP="006508AD">
      <w:pPr>
        <w:ind w:left="851"/>
        <w:rPr>
          <w:sz w:val="24"/>
          <w:szCs w:val="24"/>
        </w:rPr>
      </w:pPr>
      <w:r w:rsidRPr="00A37F6F">
        <w:rPr>
          <w:i/>
          <w:color w:val="000000"/>
          <w:sz w:val="24"/>
          <w:szCs w:val="24"/>
        </w:rPr>
        <w:t xml:space="preserve">In </w:t>
      </w:r>
      <w:proofErr w:type="spellStart"/>
      <w:r w:rsidRPr="00A37F6F">
        <w:rPr>
          <w:i/>
          <w:color w:val="000000"/>
          <w:sz w:val="24"/>
          <w:szCs w:val="24"/>
        </w:rPr>
        <w:t>vitro</w:t>
      </w:r>
      <w:proofErr w:type="spellEnd"/>
      <w:r w:rsidRPr="00A37F6F">
        <w:rPr>
          <w:color w:val="000000"/>
          <w:sz w:val="24"/>
          <w:szCs w:val="24"/>
        </w:rPr>
        <w:t xml:space="preserve"> undersøgelser tyder på, at </w:t>
      </w:r>
      <w:proofErr w:type="spellStart"/>
      <w:r w:rsidRPr="00A37F6F">
        <w:rPr>
          <w:color w:val="000000"/>
          <w:sz w:val="24"/>
          <w:szCs w:val="24"/>
        </w:rPr>
        <w:t>glatirameracetat</w:t>
      </w:r>
      <w:proofErr w:type="spellEnd"/>
      <w:r w:rsidRPr="00A37F6F">
        <w:rPr>
          <w:color w:val="000000"/>
          <w:sz w:val="24"/>
          <w:szCs w:val="24"/>
        </w:rPr>
        <w:t xml:space="preserve"> i blod er kraftigt bundet til plasmaproteiner, men ikke bliver fortrængt eller fortrænger </w:t>
      </w:r>
      <w:proofErr w:type="spellStart"/>
      <w:r w:rsidRPr="00A37F6F">
        <w:rPr>
          <w:color w:val="000000"/>
          <w:sz w:val="24"/>
          <w:szCs w:val="24"/>
        </w:rPr>
        <w:t>phenytoin</w:t>
      </w:r>
      <w:proofErr w:type="spellEnd"/>
      <w:r w:rsidRPr="00A37F6F">
        <w:rPr>
          <w:color w:val="000000"/>
          <w:sz w:val="24"/>
          <w:szCs w:val="24"/>
        </w:rPr>
        <w:t xml:space="preserve"> eller </w:t>
      </w:r>
      <w:proofErr w:type="spellStart"/>
      <w:r w:rsidRPr="00A37F6F">
        <w:rPr>
          <w:color w:val="000000"/>
          <w:sz w:val="24"/>
          <w:szCs w:val="24"/>
        </w:rPr>
        <w:t>carbamazepin</w:t>
      </w:r>
      <w:proofErr w:type="spellEnd"/>
      <w:r w:rsidRPr="00A37F6F">
        <w:rPr>
          <w:color w:val="000000"/>
          <w:sz w:val="24"/>
          <w:szCs w:val="24"/>
        </w:rPr>
        <w:t xml:space="preserve">. Da </w:t>
      </w:r>
      <w:proofErr w:type="spellStart"/>
      <w:r w:rsidRPr="00A37F6F">
        <w:rPr>
          <w:color w:val="000000"/>
          <w:sz w:val="24"/>
          <w:szCs w:val="24"/>
        </w:rPr>
        <w:t>glatirameracetat</w:t>
      </w:r>
      <w:proofErr w:type="spellEnd"/>
      <w:r w:rsidRPr="00A37F6F">
        <w:rPr>
          <w:color w:val="000000"/>
          <w:sz w:val="24"/>
          <w:szCs w:val="24"/>
        </w:rPr>
        <w:t xml:space="preserve"> imidlertid teoretisk har potentiale for at have effekt på fordelingen af proteinbundne stoffer, bør samtidig behandling med sådanne lægemidler monitoreres nøje.</w:t>
      </w:r>
    </w:p>
    <w:p w:rsidR="006508AD" w:rsidRPr="00C84483" w:rsidRDefault="006508AD" w:rsidP="006508AD">
      <w:pPr>
        <w:tabs>
          <w:tab w:val="left" w:pos="851"/>
        </w:tabs>
        <w:ind w:left="851"/>
        <w:rPr>
          <w:sz w:val="24"/>
          <w:szCs w:val="24"/>
        </w:rPr>
      </w:pPr>
    </w:p>
    <w:p w:rsidR="006508AD" w:rsidRPr="00224A9E" w:rsidRDefault="006508AD" w:rsidP="00224A9E">
      <w:pPr>
        <w:tabs>
          <w:tab w:val="left" w:pos="851"/>
        </w:tabs>
        <w:ind w:left="851" w:hanging="851"/>
        <w:rPr>
          <w:b/>
          <w:sz w:val="24"/>
          <w:szCs w:val="24"/>
        </w:rPr>
      </w:pPr>
      <w:r w:rsidRPr="00C84483">
        <w:rPr>
          <w:b/>
          <w:sz w:val="24"/>
          <w:szCs w:val="24"/>
        </w:rPr>
        <w:t>4.6</w:t>
      </w:r>
      <w:r w:rsidRPr="00C84483">
        <w:rPr>
          <w:b/>
          <w:sz w:val="24"/>
          <w:szCs w:val="24"/>
        </w:rPr>
        <w:tab/>
      </w:r>
      <w:r w:rsidR="003B2B1B">
        <w:rPr>
          <w:b/>
          <w:sz w:val="24"/>
          <w:szCs w:val="24"/>
        </w:rPr>
        <w:t>Fertilitet, g</w:t>
      </w:r>
      <w:r w:rsidRPr="00C84483">
        <w:rPr>
          <w:b/>
          <w:sz w:val="24"/>
          <w:szCs w:val="24"/>
        </w:rPr>
        <w:t>raviditet og amning</w:t>
      </w:r>
    </w:p>
    <w:p w:rsidR="00DD16DA" w:rsidRDefault="00DD16DA" w:rsidP="00DD16DA">
      <w:pPr>
        <w:tabs>
          <w:tab w:val="left" w:pos="851"/>
        </w:tabs>
        <w:ind w:left="851"/>
        <w:rPr>
          <w:sz w:val="24"/>
          <w:szCs w:val="24"/>
          <w:u w:val="single"/>
        </w:rPr>
      </w:pPr>
      <w:r>
        <w:rPr>
          <w:sz w:val="24"/>
          <w:szCs w:val="24"/>
          <w:u w:val="single"/>
        </w:rPr>
        <w:t>Graviditet</w:t>
      </w:r>
    </w:p>
    <w:p w:rsidR="00DD16DA" w:rsidRDefault="00DD16DA" w:rsidP="00DD16DA">
      <w:pPr>
        <w:ind w:left="851"/>
        <w:rPr>
          <w:color w:val="000000"/>
          <w:sz w:val="24"/>
          <w:szCs w:val="24"/>
        </w:rPr>
      </w:pPr>
      <w:r w:rsidRPr="00CA5CA5">
        <w:rPr>
          <w:color w:val="000000"/>
          <w:sz w:val="24"/>
          <w:szCs w:val="24"/>
        </w:rPr>
        <w:t xml:space="preserve">Data fra anvendelse af </w:t>
      </w:r>
      <w:proofErr w:type="spellStart"/>
      <w:r w:rsidRPr="00CA5CA5">
        <w:rPr>
          <w:color w:val="000000"/>
          <w:sz w:val="24"/>
          <w:szCs w:val="24"/>
        </w:rPr>
        <w:t>glatirameracetat</w:t>
      </w:r>
      <w:proofErr w:type="spellEnd"/>
      <w:r w:rsidRPr="00CA5CA5">
        <w:rPr>
          <w:color w:val="000000"/>
          <w:sz w:val="24"/>
          <w:szCs w:val="24"/>
        </w:rPr>
        <w:t xml:space="preserve"> hos et begrænset antal gravide kvinder (mellem 300 og 1000 graviditeter) </w:t>
      </w:r>
      <w:r>
        <w:rPr>
          <w:color w:val="000000"/>
          <w:sz w:val="24"/>
          <w:szCs w:val="24"/>
        </w:rPr>
        <w:t xml:space="preserve">indikerer ikke misdannelser eller </w:t>
      </w:r>
      <w:proofErr w:type="spellStart"/>
      <w:r>
        <w:rPr>
          <w:color w:val="000000"/>
          <w:sz w:val="24"/>
          <w:szCs w:val="24"/>
        </w:rPr>
        <w:t>føtal</w:t>
      </w:r>
      <w:proofErr w:type="spellEnd"/>
      <w:r>
        <w:rPr>
          <w:color w:val="000000"/>
          <w:sz w:val="24"/>
          <w:szCs w:val="24"/>
        </w:rPr>
        <w:t xml:space="preserve">/neonatal toksicitet. </w:t>
      </w:r>
    </w:p>
    <w:p w:rsidR="00DD16DA" w:rsidRDefault="00DD16DA" w:rsidP="00DD16DA">
      <w:pPr>
        <w:ind w:left="851"/>
        <w:rPr>
          <w:color w:val="000000"/>
          <w:sz w:val="24"/>
          <w:szCs w:val="24"/>
        </w:rPr>
      </w:pPr>
    </w:p>
    <w:p w:rsidR="00DD16DA" w:rsidRDefault="00DD16DA" w:rsidP="00DD16DA">
      <w:pPr>
        <w:ind w:left="851"/>
        <w:rPr>
          <w:color w:val="000000"/>
          <w:sz w:val="24"/>
          <w:szCs w:val="24"/>
        </w:rPr>
      </w:pPr>
      <w:r>
        <w:rPr>
          <w:color w:val="000000"/>
          <w:sz w:val="24"/>
          <w:szCs w:val="24"/>
        </w:rPr>
        <w:t>Dyreforsøg har ikke vist reproduktionstoksicitet (se pkt. 5.3).</w:t>
      </w:r>
    </w:p>
    <w:p w:rsidR="00DD16DA" w:rsidRDefault="00DD16DA" w:rsidP="00DD16DA">
      <w:pPr>
        <w:ind w:left="851"/>
        <w:rPr>
          <w:color w:val="000000"/>
          <w:sz w:val="24"/>
          <w:szCs w:val="24"/>
        </w:rPr>
      </w:pPr>
    </w:p>
    <w:p w:rsidR="00DD16DA" w:rsidRDefault="00DD16DA" w:rsidP="00DD16DA">
      <w:pPr>
        <w:ind w:left="851"/>
        <w:rPr>
          <w:color w:val="000000"/>
          <w:sz w:val="24"/>
          <w:szCs w:val="24"/>
        </w:rPr>
      </w:pPr>
      <w:r w:rsidRPr="00CA5CA5">
        <w:rPr>
          <w:color w:val="000000"/>
          <w:sz w:val="24"/>
          <w:szCs w:val="24"/>
        </w:rPr>
        <w:t xml:space="preserve">Anvendelse af </w:t>
      </w:r>
      <w:proofErr w:type="spellStart"/>
      <w:r>
        <w:rPr>
          <w:color w:val="000000"/>
          <w:sz w:val="24"/>
          <w:szCs w:val="24"/>
        </w:rPr>
        <w:t>Copemyl</w:t>
      </w:r>
      <w:proofErr w:type="spellEnd"/>
      <w:r w:rsidRPr="00CA5CA5">
        <w:rPr>
          <w:color w:val="000000"/>
          <w:sz w:val="24"/>
          <w:szCs w:val="24"/>
        </w:rPr>
        <w:t xml:space="preserve"> kan overvejes under graviditeten, hvis det er nødvendigt.</w:t>
      </w:r>
    </w:p>
    <w:p w:rsidR="00814024" w:rsidRDefault="00814024" w:rsidP="00814024">
      <w:pPr>
        <w:ind w:left="851"/>
        <w:rPr>
          <w:sz w:val="24"/>
          <w:szCs w:val="24"/>
        </w:rPr>
      </w:pPr>
    </w:p>
    <w:p w:rsidR="00814024" w:rsidRDefault="00814024" w:rsidP="00814024">
      <w:pPr>
        <w:ind w:left="851"/>
        <w:rPr>
          <w:color w:val="000000"/>
          <w:sz w:val="24"/>
          <w:szCs w:val="24"/>
          <w:u w:val="single"/>
        </w:rPr>
      </w:pPr>
      <w:r>
        <w:rPr>
          <w:color w:val="000000"/>
          <w:sz w:val="24"/>
          <w:szCs w:val="24"/>
          <w:u w:val="single"/>
        </w:rPr>
        <w:t>Amning</w:t>
      </w:r>
    </w:p>
    <w:p w:rsidR="00BB502A" w:rsidRDefault="00BB502A" w:rsidP="00BB502A">
      <w:pPr>
        <w:tabs>
          <w:tab w:val="left" w:pos="851"/>
        </w:tabs>
        <w:ind w:left="851" w:hanging="851"/>
        <w:rPr>
          <w:color w:val="000000"/>
          <w:sz w:val="24"/>
          <w:szCs w:val="24"/>
        </w:rPr>
      </w:pPr>
      <w:r>
        <w:rPr>
          <w:color w:val="000000"/>
        </w:rPr>
        <w:tab/>
      </w:r>
      <w:r>
        <w:rPr>
          <w:color w:val="000000"/>
          <w:sz w:val="24"/>
          <w:szCs w:val="24"/>
        </w:rPr>
        <w:t xml:space="preserve">De fysisk-kemiske egenskaber og lav oral absorption tyder på, at eksponering af </w:t>
      </w:r>
      <w:proofErr w:type="spellStart"/>
      <w:r>
        <w:rPr>
          <w:color w:val="000000"/>
          <w:sz w:val="24"/>
          <w:szCs w:val="24"/>
        </w:rPr>
        <w:t>glatirameracetat</w:t>
      </w:r>
      <w:proofErr w:type="spellEnd"/>
      <w:r>
        <w:rPr>
          <w:color w:val="000000"/>
          <w:sz w:val="24"/>
          <w:szCs w:val="24"/>
        </w:rPr>
        <w:t xml:space="preserve"> hos nyfødte/spædbørn via modermælken er ubetydelig. Et non-interventions- og retrospektivt studie med 60 spædbørn ammet af mødre, som blev eksponeret for </w:t>
      </w:r>
      <w:proofErr w:type="spellStart"/>
      <w:r>
        <w:rPr>
          <w:color w:val="000000"/>
          <w:sz w:val="24"/>
          <w:szCs w:val="24"/>
        </w:rPr>
        <w:t>glatirameracetat</w:t>
      </w:r>
      <w:proofErr w:type="spellEnd"/>
      <w:r>
        <w:rPr>
          <w:color w:val="000000"/>
          <w:sz w:val="24"/>
          <w:szCs w:val="24"/>
        </w:rPr>
        <w:t xml:space="preserve"> sammenlignet med 60 spædbørn ammet af mødre, som ikke fik sygdomsmodificerende behandling, samt begrænsede data efter markedsføring, viste ikke nogen skadelige virkninger af </w:t>
      </w:r>
      <w:proofErr w:type="spellStart"/>
      <w:r>
        <w:rPr>
          <w:color w:val="000000"/>
          <w:sz w:val="24"/>
          <w:szCs w:val="24"/>
        </w:rPr>
        <w:t>glatirameracetat</w:t>
      </w:r>
      <w:proofErr w:type="spellEnd"/>
      <w:r>
        <w:rPr>
          <w:color w:val="000000"/>
          <w:sz w:val="24"/>
          <w:szCs w:val="24"/>
        </w:rPr>
        <w:t>.</w:t>
      </w:r>
      <w:r>
        <w:rPr>
          <w:color w:val="000000"/>
          <w:sz w:val="24"/>
          <w:szCs w:val="24"/>
        </w:rPr>
        <w:br/>
      </w:r>
    </w:p>
    <w:p w:rsidR="00DD16DA" w:rsidRDefault="00DD16DA" w:rsidP="00DD16DA">
      <w:pPr>
        <w:tabs>
          <w:tab w:val="left" w:pos="851"/>
        </w:tabs>
        <w:ind w:left="851" w:hanging="851"/>
        <w:rPr>
          <w:color w:val="000000"/>
          <w:sz w:val="24"/>
          <w:szCs w:val="24"/>
        </w:rPr>
      </w:pPr>
      <w:r>
        <w:rPr>
          <w:color w:val="000000"/>
          <w:sz w:val="24"/>
          <w:szCs w:val="24"/>
        </w:rPr>
        <w:tab/>
      </w:r>
      <w:proofErr w:type="spellStart"/>
      <w:r>
        <w:rPr>
          <w:color w:val="000000"/>
          <w:sz w:val="24"/>
          <w:szCs w:val="24"/>
        </w:rPr>
        <w:t>Copemyl</w:t>
      </w:r>
      <w:proofErr w:type="spellEnd"/>
      <w:r>
        <w:rPr>
          <w:color w:val="000000"/>
          <w:sz w:val="24"/>
          <w:szCs w:val="24"/>
        </w:rPr>
        <w:t xml:space="preserve"> kan anvendes under amning.</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B2B1B">
        <w:rPr>
          <w:b/>
          <w:sz w:val="24"/>
          <w:szCs w:val="24"/>
        </w:rPr>
        <w:t xml:space="preserve">og </w:t>
      </w:r>
      <w:r w:rsidRPr="00C84483">
        <w:rPr>
          <w:b/>
          <w:sz w:val="24"/>
          <w:szCs w:val="24"/>
        </w:rPr>
        <w:t>betjene maskiner</w:t>
      </w:r>
    </w:p>
    <w:p w:rsidR="006508AD" w:rsidRDefault="006508AD" w:rsidP="006508AD">
      <w:pPr>
        <w:tabs>
          <w:tab w:val="left" w:pos="851"/>
        </w:tabs>
        <w:ind w:left="851"/>
        <w:rPr>
          <w:color w:val="000000"/>
          <w:sz w:val="24"/>
          <w:szCs w:val="24"/>
        </w:rPr>
      </w:pPr>
      <w:r>
        <w:rPr>
          <w:color w:val="000000"/>
          <w:sz w:val="24"/>
          <w:szCs w:val="24"/>
        </w:rPr>
        <w:t>Ikke mærkning.</w:t>
      </w:r>
    </w:p>
    <w:p w:rsidR="006508AD" w:rsidRPr="00C14B2F" w:rsidRDefault="006508AD" w:rsidP="006508AD">
      <w:pPr>
        <w:tabs>
          <w:tab w:val="left" w:pos="851"/>
        </w:tabs>
        <w:ind w:left="851"/>
        <w:rPr>
          <w:color w:val="000000"/>
          <w:sz w:val="24"/>
          <w:szCs w:val="24"/>
          <w:lang w:eastAsia="da-DK"/>
        </w:rPr>
      </w:pPr>
      <w:r w:rsidRPr="00C14B2F">
        <w:rPr>
          <w:color w:val="000000"/>
          <w:sz w:val="24"/>
          <w:szCs w:val="24"/>
        </w:rPr>
        <w:t>Der er ikke udført studier på evnen til at føre motorkøretøj eller betjene maskiner.</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4.8</w:t>
      </w:r>
      <w:r w:rsidRPr="00C84483">
        <w:rPr>
          <w:b/>
          <w:sz w:val="24"/>
          <w:szCs w:val="24"/>
        </w:rPr>
        <w:tab/>
        <w:t>Bivirkninger</w:t>
      </w:r>
    </w:p>
    <w:p w:rsidR="003B2B1B" w:rsidRDefault="003B2B1B" w:rsidP="003B2B1B">
      <w:pPr>
        <w:autoSpaceDE w:val="0"/>
        <w:autoSpaceDN w:val="0"/>
        <w:adjustRightInd w:val="0"/>
        <w:ind w:left="851"/>
        <w:rPr>
          <w:sz w:val="24"/>
          <w:szCs w:val="24"/>
        </w:rPr>
      </w:pPr>
      <w:r>
        <w:rPr>
          <w:sz w:val="24"/>
          <w:szCs w:val="24"/>
        </w:rPr>
        <w:t xml:space="preserve">Størstedelen af </w:t>
      </w:r>
      <w:proofErr w:type="spellStart"/>
      <w:r>
        <w:rPr>
          <w:color w:val="000000"/>
          <w:sz w:val="24"/>
          <w:szCs w:val="24"/>
        </w:rPr>
        <w:t>glatirameracetat</w:t>
      </w:r>
      <w:r>
        <w:rPr>
          <w:sz w:val="24"/>
          <w:szCs w:val="24"/>
        </w:rPr>
        <w:t>s</w:t>
      </w:r>
      <w:proofErr w:type="spellEnd"/>
      <w:r>
        <w:rPr>
          <w:sz w:val="24"/>
          <w:szCs w:val="24"/>
        </w:rPr>
        <w:t xml:space="preserve"> sikkerhedsdata blev indsamlet for </w:t>
      </w:r>
      <w:proofErr w:type="spellStart"/>
      <w:r>
        <w:rPr>
          <w:sz w:val="24"/>
          <w:szCs w:val="24"/>
        </w:rPr>
        <w:t>glatirameracetat</w:t>
      </w:r>
      <w:proofErr w:type="spellEnd"/>
      <w:r>
        <w:rPr>
          <w:sz w:val="24"/>
          <w:szCs w:val="24"/>
        </w:rPr>
        <w:t xml:space="preserve"> 20 mg/ml administreret som subkutan injektion en gang daglig. I dette afsnit præsenteres indsamlede sikkerhedsdata fra fire placebokontrollerede forsøg med </w:t>
      </w:r>
      <w:proofErr w:type="spellStart"/>
      <w:r>
        <w:rPr>
          <w:sz w:val="24"/>
          <w:szCs w:val="24"/>
        </w:rPr>
        <w:t>glatirameracetat</w:t>
      </w:r>
      <w:proofErr w:type="spellEnd"/>
      <w:r>
        <w:rPr>
          <w:sz w:val="24"/>
          <w:szCs w:val="24"/>
        </w:rPr>
        <w:t xml:space="preserve"> 20 mg/ml administreret en gang daglig og fra et placebokontrolleret forsøg med </w:t>
      </w:r>
      <w:proofErr w:type="spellStart"/>
      <w:r>
        <w:rPr>
          <w:sz w:val="24"/>
          <w:szCs w:val="24"/>
        </w:rPr>
        <w:t>glatirameracetat</w:t>
      </w:r>
      <w:proofErr w:type="spellEnd"/>
      <w:r>
        <w:rPr>
          <w:sz w:val="24"/>
          <w:szCs w:val="24"/>
        </w:rPr>
        <w:t xml:space="preserve"> 40 mg/ml administreret tre gange ugentligt. Der er ikke foretaget en direkte sammenligning af sikkerheden ved </w:t>
      </w:r>
      <w:proofErr w:type="spellStart"/>
      <w:r>
        <w:rPr>
          <w:sz w:val="24"/>
          <w:szCs w:val="24"/>
        </w:rPr>
        <w:t>glatirameracetat</w:t>
      </w:r>
      <w:proofErr w:type="spellEnd"/>
      <w:r>
        <w:rPr>
          <w:sz w:val="24"/>
          <w:szCs w:val="24"/>
        </w:rPr>
        <w:t xml:space="preserve"> 20 mg/ml (administreret daglig) og 40 mg/ml (administreret tre gange ugentligt) i samme studie.</w:t>
      </w:r>
    </w:p>
    <w:p w:rsidR="003B2B1B" w:rsidRDefault="003B2B1B" w:rsidP="003B2B1B">
      <w:pPr>
        <w:autoSpaceDE w:val="0"/>
        <w:autoSpaceDN w:val="0"/>
        <w:adjustRightInd w:val="0"/>
        <w:ind w:left="851"/>
        <w:rPr>
          <w:color w:val="000000"/>
          <w:sz w:val="24"/>
          <w:szCs w:val="24"/>
        </w:rPr>
      </w:pPr>
    </w:p>
    <w:p w:rsidR="003B2B1B" w:rsidRDefault="003B2B1B" w:rsidP="003B2B1B">
      <w:pPr>
        <w:autoSpaceDE w:val="0"/>
        <w:autoSpaceDN w:val="0"/>
        <w:adjustRightInd w:val="0"/>
        <w:ind w:left="851"/>
        <w:rPr>
          <w:sz w:val="24"/>
          <w:szCs w:val="24"/>
          <w:u w:val="single"/>
        </w:rPr>
      </w:pPr>
      <w:proofErr w:type="spellStart"/>
      <w:r>
        <w:rPr>
          <w:sz w:val="24"/>
          <w:szCs w:val="24"/>
          <w:u w:val="single"/>
        </w:rPr>
        <w:t>Glatirameracetat</w:t>
      </w:r>
      <w:proofErr w:type="spellEnd"/>
      <w:r>
        <w:rPr>
          <w:sz w:val="24"/>
          <w:szCs w:val="24"/>
          <w:u w:val="single"/>
        </w:rPr>
        <w:t xml:space="preserve"> 20 mg/ml (administreret en gang daglig)</w:t>
      </w:r>
    </w:p>
    <w:p w:rsidR="003B2B1B" w:rsidRDefault="003B2B1B" w:rsidP="003B2B1B">
      <w:pPr>
        <w:tabs>
          <w:tab w:val="left" w:pos="851"/>
        </w:tabs>
        <w:ind w:left="851"/>
        <w:rPr>
          <w:color w:val="000000"/>
          <w:sz w:val="24"/>
          <w:szCs w:val="24"/>
        </w:rPr>
      </w:pPr>
      <w:r>
        <w:rPr>
          <w:color w:val="000000"/>
          <w:sz w:val="24"/>
          <w:szCs w:val="24"/>
        </w:rPr>
        <w:t xml:space="preserve">I alle kliniske forsøg med </w:t>
      </w:r>
      <w:proofErr w:type="spellStart"/>
      <w:r>
        <w:rPr>
          <w:sz w:val="24"/>
          <w:szCs w:val="24"/>
        </w:rPr>
        <w:t>glatirameracetat</w:t>
      </w:r>
      <w:proofErr w:type="spellEnd"/>
      <w:r>
        <w:rPr>
          <w:sz w:val="24"/>
          <w:szCs w:val="24"/>
        </w:rPr>
        <w:t xml:space="preserve"> 20 mg/ml</w:t>
      </w:r>
      <w:r>
        <w:rPr>
          <w:color w:val="000000"/>
          <w:sz w:val="24"/>
          <w:szCs w:val="24"/>
        </w:rPr>
        <w:t xml:space="preserve"> var reaktioner på injektionsstedet observeret til at være den hyppigste bivirkning og blev rapporteret af størstedelen af patienter, som fik </w:t>
      </w:r>
      <w:proofErr w:type="spellStart"/>
      <w:r>
        <w:rPr>
          <w:color w:val="000000"/>
          <w:sz w:val="24"/>
          <w:szCs w:val="24"/>
        </w:rPr>
        <w:t>glatirameracetat</w:t>
      </w:r>
      <w:proofErr w:type="spellEnd"/>
      <w:r>
        <w:rPr>
          <w:color w:val="000000"/>
          <w:sz w:val="24"/>
          <w:szCs w:val="24"/>
        </w:rPr>
        <w:t xml:space="preserve">. I kontrollerede forsøg var antallet af patienter, som rapporterede disse reaktioner, mindst en gang, højere hos patienter, der fik </w:t>
      </w:r>
      <w:proofErr w:type="spellStart"/>
      <w:r>
        <w:rPr>
          <w:color w:val="000000"/>
          <w:sz w:val="24"/>
          <w:szCs w:val="24"/>
        </w:rPr>
        <w:t>glatirameracetat</w:t>
      </w:r>
      <w:proofErr w:type="spellEnd"/>
      <w:r>
        <w:rPr>
          <w:color w:val="000000"/>
          <w:sz w:val="24"/>
          <w:szCs w:val="24"/>
        </w:rPr>
        <w:t xml:space="preserve"> 20 mg/ml (70 %), end patienter der fik placeboinjektioner (37 %). De mest almindeligt </w:t>
      </w:r>
      <w:r>
        <w:rPr>
          <w:color w:val="000000"/>
          <w:sz w:val="24"/>
          <w:szCs w:val="24"/>
        </w:rPr>
        <w:lastRenderedPageBreak/>
        <w:t xml:space="preserve">rapporterede reaktioner på injektionsstedet identificeret i kliniske studier og ved erfaring efter markedsføring var </w:t>
      </w:r>
      <w:proofErr w:type="spellStart"/>
      <w:r>
        <w:rPr>
          <w:color w:val="000000"/>
          <w:sz w:val="24"/>
          <w:szCs w:val="24"/>
        </w:rPr>
        <w:t>erytem</w:t>
      </w:r>
      <w:proofErr w:type="spellEnd"/>
      <w:r>
        <w:rPr>
          <w:color w:val="000000"/>
          <w:sz w:val="24"/>
          <w:szCs w:val="24"/>
        </w:rPr>
        <w:t xml:space="preserve">, smerter, ansamling, kløe, ødemer, inflammation, hypersensitivitet samt sjældne tilfælde af </w:t>
      </w:r>
      <w:proofErr w:type="spellStart"/>
      <w:r>
        <w:rPr>
          <w:color w:val="000000"/>
          <w:sz w:val="24"/>
          <w:szCs w:val="24"/>
        </w:rPr>
        <w:t>lipoatrofi</w:t>
      </w:r>
      <w:proofErr w:type="spellEnd"/>
      <w:r>
        <w:rPr>
          <w:color w:val="000000"/>
          <w:sz w:val="24"/>
          <w:szCs w:val="24"/>
        </w:rPr>
        <w:t xml:space="preserve"> og hudnekrose.</w:t>
      </w:r>
    </w:p>
    <w:p w:rsidR="003B2B1B" w:rsidRDefault="003B2B1B" w:rsidP="003B2B1B">
      <w:pPr>
        <w:tabs>
          <w:tab w:val="left" w:pos="851"/>
        </w:tabs>
        <w:ind w:left="851"/>
        <w:rPr>
          <w:color w:val="000000"/>
          <w:sz w:val="24"/>
          <w:szCs w:val="24"/>
        </w:rPr>
      </w:pPr>
    </w:p>
    <w:p w:rsidR="003B2B1B" w:rsidRDefault="003B2B1B" w:rsidP="003B2B1B">
      <w:pPr>
        <w:tabs>
          <w:tab w:val="left" w:pos="851"/>
        </w:tabs>
        <w:ind w:left="851"/>
        <w:rPr>
          <w:color w:val="000000"/>
          <w:sz w:val="24"/>
          <w:szCs w:val="24"/>
        </w:rPr>
      </w:pPr>
      <w:r>
        <w:rPr>
          <w:color w:val="000000"/>
          <w:sz w:val="24"/>
          <w:szCs w:val="24"/>
        </w:rPr>
        <w:t xml:space="preserve">En reaktion med mindst et eller flere af følgende symptomer er beskrevet, som øjeblikkelige post-injektionsreaktioner: vasodilatation (rødme), brystsmerter, dyspnø, hjertebanken eller </w:t>
      </w:r>
      <w:proofErr w:type="spellStart"/>
      <w:r>
        <w:rPr>
          <w:color w:val="000000"/>
          <w:sz w:val="24"/>
          <w:szCs w:val="24"/>
        </w:rPr>
        <w:t>takykardi</w:t>
      </w:r>
      <w:proofErr w:type="spellEnd"/>
      <w:r>
        <w:rPr>
          <w:color w:val="000000"/>
          <w:sz w:val="24"/>
          <w:szCs w:val="24"/>
        </w:rPr>
        <w:t xml:space="preserve"> (se </w:t>
      </w:r>
      <w:proofErr w:type="spellStart"/>
      <w:r>
        <w:rPr>
          <w:color w:val="000000"/>
          <w:sz w:val="24"/>
          <w:szCs w:val="24"/>
        </w:rPr>
        <w:t>pkt</w:t>
      </w:r>
      <w:proofErr w:type="spellEnd"/>
      <w:r>
        <w:rPr>
          <w:color w:val="000000"/>
          <w:sz w:val="24"/>
          <w:szCs w:val="24"/>
        </w:rPr>
        <w:t xml:space="preserve"> 4.4). Denne reaktion kan forekomme inden for minutter efter </w:t>
      </w:r>
      <w:proofErr w:type="spellStart"/>
      <w:r>
        <w:rPr>
          <w:color w:val="000000"/>
          <w:sz w:val="24"/>
          <w:szCs w:val="24"/>
        </w:rPr>
        <w:t>glatirameracetat</w:t>
      </w:r>
      <w:proofErr w:type="spellEnd"/>
      <w:r>
        <w:rPr>
          <w:color w:val="000000"/>
          <w:sz w:val="24"/>
          <w:szCs w:val="24"/>
        </w:rPr>
        <w:t xml:space="preserve"> injektion. Mindst en komponent af denne øjeblikkelige post-injektionsreaktion blev rapporteret mindst en gang af 31 % af patienter, der fik </w:t>
      </w:r>
      <w:proofErr w:type="spellStart"/>
      <w:r>
        <w:rPr>
          <w:color w:val="000000"/>
          <w:sz w:val="24"/>
          <w:szCs w:val="24"/>
        </w:rPr>
        <w:t>glatirameracetat</w:t>
      </w:r>
      <w:proofErr w:type="spellEnd"/>
      <w:r>
        <w:rPr>
          <w:color w:val="000000"/>
          <w:sz w:val="24"/>
          <w:szCs w:val="24"/>
        </w:rPr>
        <w:t xml:space="preserve"> sammenlignet med 13 % af patienter, der fik placebo.</w:t>
      </w:r>
    </w:p>
    <w:p w:rsidR="003B2B1B" w:rsidRDefault="003B2B1B" w:rsidP="003B2B1B">
      <w:pPr>
        <w:ind w:left="851"/>
        <w:rPr>
          <w:i/>
          <w:noProof/>
          <w:sz w:val="24"/>
          <w:szCs w:val="24"/>
        </w:rPr>
      </w:pPr>
    </w:p>
    <w:p w:rsidR="003B2B1B" w:rsidRDefault="003B2B1B" w:rsidP="003B2B1B">
      <w:pPr>
        <w:tabs>
          <w:tab w:val="left" w:pos="851"/>
        </w:tabs>
        <w:ind w:left="851"/>
        <w:rPr>
          <w:noProof/>
          <w:sz w:val="24"/>
          <w:szCs w:val="24"/>
        </w:rPr>
      </w:pPr>
      <w:r>
        <w:rPr>
          <w:color w:val="000000"/>
          <w:sz w:val="24"/>
          <w:szCs w:val="24"/>
        </w:rPr>
        <w:t xml:space="preserve">Bivirkninger fra kliniske studier og erfaring efter markedsføring er vist i tabellen nedenunder. Data fra kliniske studier er taget fra 4 pivotale dobbeltblinde placebokontrollerede kliniske studier med i alt 512 patienter behandlet med </w:t>
      </w:r>
      <w:proofErr w:type="spellStart"/>
      <w:r>
        <w:rPr>
          <w:color w:val="000000"/>
          <w:sz w:val="24"/>
          <w:szCs w:val="24"/>
        </w:rPr>
        <w:t>glatirameracetat</w:t>
      </w:r>
      <w:proofErr w:type="spellEnd"/>
      <w:r>
        <w:rPr>
          <w:color w:val="000000"/>
          <w:sz w:val="24"/>
          <w:szCs w:val="24"/>
        </w:rPr>
        <w:t xml:space="preserve"> </w:t>
      </w:r>
      <w:r>
        <w:rPr>
          <w:sz w:val="24"/>
          <w:szCs w:val="24"/>
        </w:rPr>
        <w:t>20 mg/ml</w:t>
      </w:r>
      <w:r>
        <w:rPr>
          <w:color w:val="000000"/>
          <w:sz w:val="24"/>
          <w:szCs w:val="24"/>
        </w:rPr>
        <w:t xml:space="preserve"> og 509 patienter behandlet med placebo i op til 36 måneder. Tre kliniske studier i attakvis MS (RRMS) inkluderede i alt 269 patienter behandlet med </w:t>
      </w:r>
      <w:proofErr w:type="spellStart"/>
      <w:r>
        <w:rPr>
          <w:color w:val="000000"/>
          <w:sz w:val="24"/>
          <w:szCs w:val="24"/>
        </w:rPr>
        <w:t>glatirameracetat</w:t>
      </w:r>
      <w:proofErr w:type="spellEnd"/>
      <w:r>
        <w:rPr>
          <w:color w:val="000000"/>
          <w:sz w:val="24"/>
          <w:szCs w:val="24"/>
        </w:rPr>
        <w:t xml:space="preserve"> </w:t>
      </w:r>
      <w:r>
        <w:rPr>
          <w:sz w:val="24"/>
          <w:szCs w:val="24"/>
        </w:rPr>
        <w:t>20 mg/ml</w:t>
      </w:r>
      <w:r>
        <w:rPr>
          <w:color w:val="000000"/>
          <w:sz w:val="24"/>
          <w:szCs w:val="24"/>
        </w:rPr>
        <w:t xml:space="preserve"> og 271 patienter behandlet med placebo i op til 35 måneder. Det 4. kliniske studie hos patienter, som havde oplevet den første kliniske episode og som var vurderet til at være i høj risiko for udvikling af klinisk definitiv MS, inkluderede 243 patienter behandlet med </w:t>
      </w:r>
      <w:proofErr w:type="spellStart"/>
      <w:r>
        <w:rPr>
          <w:color w:val="000000"/>
          <w:sz w:val="24"/>
          <w:szCs w:val="24"/>
        </w:rPr>
        <w:t>glatirameracetat</w:t>
      </w:r>
      <w:proofErr w:type="spellEnd"/>
      <w:r>
        <w:rPr>
          <w:color w:val="000000"/>
          <w:sz w:val="24"/>
          <w:szCs w:val="24"/>
        </w:rPr>
        <w:t xml:space="preserve"> </w:t>
      </w:r>
      <w:r>
        <w:rPr>
          <w:sz w:val="24"/>
          <w:szCs w:val="24"/>
        </w:rPr>
        <w:t>20 mg/ml</w:t>
      </w:r>
      <w:r>
        <w:rPr>
          <w:color w:val="000000"/>
          <w:sz w:val="24"/>
          <w:szCs w:val="24"/>
        </w:rPr>
        <w:t xml:space="preserve"> og 238 patienter behandlet med placebo i op til 36 måneder. </w:t>
      </w:r>
    </w:p>
    <w:p w:rsidR="003B2B1B" w:rsidRDefault="003B2B1B" w:rsidP="003B2B1B">
      <w:pPr>
        <w:ind w:left="851"/>
        <w:rPr>
          <w:noProof/>
          <w:sz w:val="24"/>
          <w:szCs w:val="24"/>
        </w:rPr>
      </w:pPr>
    </w:p>
    <w:tbl>
      <w:tblPr>
        <w:tblW w:w="4961" w:type="pct"/>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291"/>
        <w:gridCol w:w="1556"/>
        <w:gridCol w:w="1586"/>
        <w:gridCol w:w="1691"/>
        <w:gridCol w:w="947"/>
        <w:gridCol w:w="1482"/>
      </w:tblGrid>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ind w:left="126"/>
              <w:rPr>
                <w:sz w:val="24"/>
                <w:szCs w:val="24"/>
                <w:lang w:val="en-US" w:eastAsia="en-GB"/>
              </w:rPr>
            </w:pPr>
            <w:r>
              <w:rPr>
                <w:sz w:val="24"/>
                <w:szCs w:val="24"/>
                <w:lang w:eastAsia="en-GB"/>
              </w:rPr>
              <w:br w:type="page"/>
            </w:r>
            <w:proofErr w:type="spellStart"/>
            <w:r>
              <w:rPr>
                <w:b/>
                <w:bCs/>
                <w:sz w:val="24"/>
                <w:szCs w:val="24"/>
                <w:lang w:val="en-US" w:eastAsia="en-GB"/>
              </w:rPr>
              <w:t>Systemorganklasse</w:t>
            </w:r>
            <w:proofErr w:type="spellEnd"/>
            <w:r>
              <w:rPr>
                <w:b/>
                <w:bCs/>
                <w:sz w:val="24"/>
                <w:szCs w:val="24"/>
                <w:lang w:val="en-US" w:eastAsia="en-GB"/>
              </w:rPr>
              <w:t xml:space="preserve"> </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ind w:left="46"/>
              <w:rPr>
                <w:sz w:val="24"/>
                <w:szCs w:val="24"/>
                <w:lang w:val="en-US" w:eastAsia="en-GB"/>
              </w:rPr>
            </w:pPr>
            <w:proofErr w:type="spellStart"/>
            <w:r>
              <w:rPr>
                <w:b/>
                <w:bCs/>
                <w:sz w:val="24"/>
                <w:szCs w:val="24"/>
                <w:lang w:val="en-US" w:eastAsia="en-GB"/>
              </w:rPr>
              <w:t>Meget</w:t>
            </w:r>
            <w:proofErr w:type="spellEnd"/>
            <w:r>
              <w:rPr>
                <w:b/>
                <w:bCs/>
                <w:sz w:val="24"/>
                <w:szCs w:val="24"/>
                <w:lang w:val="en-US" w:eastAsia="en-GB"/>
              </w:rPr>
              <w:t xml:space="preserve"> </w:t>
            </w:r>
            <w:proofErr w:type="spellStart"/>
            <w:r>
              <w:rPr>
                <w:b/>
                <w:bCs/>
                <w:sz w:val="24"/>
                <w:szCs w:val="24"/>
                <w:lang w:val="en-US" w:eastAsia="en-GB"/>
              </w:rPr>
              <w:t>almindelig</w:t>
            </w:r>
            <w:proofErr w:type="spellEnd"/>
          </w:p>
          <w:p w:rsidR="003B2B1B" w:rsidRDefault="003B2B1B">
            <w:pPr>
              <w:ind w:left="46"/>
              <w:rPr>
                <w:sz w:val="24"/>
                <w:szCs w:val="24"/>
                <w:lang w:val="en-US" w:eastAsia="en-GB"/>
              </w:rPr>
            </w:pPr>
            <w:r>
              <w:rPr>
                <w:b/>
                <w:bCs/>
                <w:sz w:val="24"/>
                <w:szCs w:val="24"/>
                <w:lang w:val="en-US" w:eastAsia="en-GB"/>
              </w:rPr>
              <w:t>(≥1/10)</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ind w:left="18"/>
              <w:rPr>
                <w:sz w:val="24"/>
                <w:szCs w:val="24"/>
                <w:lang w:val="en-US" w:eastAsia="en-GB"/>
              </w:rPr>
            </w:pPr>
            <w:proofErr w:type="spellStart"/>
            <w:r>
              <w:rPr>
                <w:b/>
                <w:bCs/>
                <w:sz w:val="24"/>
                <w:szCs w:val="24"/>
                <w:lang w:val="en-US" w:eastAsia="en-GB"/>
              </w:rPr>
              <w:t>Almindelig</w:t>
            </w:r>
            <w:proofErr w:type="spellEnd"/>
          </w:p>
          <w:p w:rsidR="003B2B1B" w:rsidRDefault="003B2B1B">
            <w:pPr>
              <w:ind w:left="18"/>
              <w:rPr>
                <w:sz w:val="24"/>
                <w:szCs w:val="24"/>
                <w:lang w:val="en-US" w:eastAsia="en-GB"/>
              </w:rPr>
            </w:pPr>
            <w:r>
              <w:rPr>
                <w:b/>
                <w:bCs/>
                <w:sz w:val="24"/>
                <w:szCs w:val="24"/>
                <w:lang w:val="en-US" w:eastAsia="en-GB"/>
              </w:rPr>
              <w:t>(≥1/100 til &lt; 1/10)</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ind w:left="6"/>
              <w:rPr>
                <w:sz w:val="24"/>
                <w:szCs w:val="24"/>
                <w:lang w:val="en-US" w:eastAsia="en-GB"/>
              </w:rPr>
            </w:pPr>
            <w:proofErr w:type="spellStart"/>
            <w:r>
              <w:rPr>
                <w:b/>
                <w:bCs/>
                <w:sz w:val="24"/>
                <w:szCs w:val="24"/>
                <w:lang w:val="en-US" w:eastAsia="en-GB"/>
              </w:rPr>
              <w:t>Ikke</w:t>
            </w:r>
            <w:proofErr w:type="spellEnd"/>
            <w:r>
              <w:rPr>
                <w:b/>
                <w:bCs/>
                <w:sz w:val="24"/>
                <w:szCs w:val="24"/>
                <w:lang w:val="en-US" w:eastAsia="en-GB"/>
              </w:rPr>
              <w:t xml:space="preserve"> </w:t>
            </w:r>
            <w:proofErr w:type="spellStart"/>
            <w:r>
              <w:rPr>
                <w:b/>
                <w:bCs/>
                <w:sz w:val="24"/>
                <w:szCs w:val="24"/>
                <w:lang w:val="en-US" w:eastAsia="en-GB"/>
              </w:rPr>
              <w:t>almindelig</w:t>
            </w:r>
            <w:proofErr w:type="spellEnd"/>
            <w:r>
              <w:rPr>
                <w:b/>
                <w:bCs/>
                <w:sz w:val="24"/>
                <w:szCs w:val="24"/>
                <w:lang w:val="en-US" w:eastAsia="en-GB"/>
              </w:rPr>
              <w:t xml:space="preserve"> </w:t>
            </w:r>
          </w:p>
          <w:p w:rsidR="003B2B1B" w:rsidRDefault="003B2B1B">
            <w:pPr>
              <w:ind w:left="6"/>
              <w:rPr>
                <w:sz w:val="24"/>
                <w:szCs w:val="24"/>
                <w:lang w:val="en-US" w:eastAsia="en-GB"/>
              </w:rPr>
            </w:pPr>
            <w:r>
              <w:rPr>
                <w:b/>
                <w:bCs/>
                <w:sz w:val="24"/>
                <w:szCs w:val="24"/>
                <w:lang w:val="en-US" w:eastAsia="en-GB"/>
              </w:rPr>
              <w:t>(≥1/1.000 til &lt;1/100)</w:t>
            </w:r>
          </w:p>
        </w:tc>
        <w:tc>
          <w:tcPr>
            <w:tcW w:w="999" w:type="dxa"/>
            <w:tcBorders>
              <w:top w:val="single" w:sz="4" w:space="0" w:color="auto"/>
              <w:left w:val="single" w:sz="4" w:space="0" w:color="auto"/>
              <w:bottom w:val="single" w:sz="4" w:space="0" w:color="auto"/>
              <w:right w:val="single" w:sz="4" w:space="0" w:color="auto"/>
            </w:tcBorders>
            <w:hideMark/>
          </w:tcPr>
          <w:p w:rsidR="003B2B1B" w:rsidRDefault="003B2B1B">
            <w:pPr>
              <w:ind w:right="208"/>
              <w:rPr>
                <w:b/>
                <w:bCs/>
              </w:rPr>
            </w:pPr>
            <w:r>
              <w:rPr>
                <w:b/>
                <w:bCs/>
              </w:rPr>
              <w:t>Sjælden</w:t>
            </w:r>
          </w:p>
          <w:p w:rsidR="003B2B1B" w:rsidRDefault="003B2B1B">
            <w:pPr>
              <w:ind w:left="6"/>
              <w:rPr>
                <w:b/>
                <w:bCs/>
                <w:sz w:val="24"/>
                <w:szCs w:val="24"/>
                <w:lang w:val="en-US" w:eastAsia="en-GB"/>
              </w:rPr>
            </w:pPr>
            <w:r>
              <w:rPr>
                <w:b/>
                <w:bCs/>
              </w:rPr>
              <w:t>(≥1/10.000 til &lt;1/1.000)</w:t>
            </w:r>
          </w:p>
        </w:tc>
        <w:tc>
          <w:tcPr>
            <w:tcW w:w="1569" w:type="dxa"/>
            <w:tcBorders>
              <w:top w:val="single" w:sz="4" w:space="0" w:color="auto"/>
              <w:left w:val="single" w:sz="4" w:space="0" w:color="auto"/>
              <w:bottom w:val="single" w:sz="4" w:space="0" w:color="auto"/>
              <w:right w:val="single" w:sz="4" w:space="0" w:color="auto"/>
            </w:tcBorders>
            <w:hideMark/>
          </w:tcPr>
          <w:p w:rsidR="003B2B1B" w:rsidRDefault="003B2B1B">
            <w:pPr>
              <w:ind w:left="6"/>
              <w:rPr>
                <w:b/>
                <w:bCs/>
                <w:sz w:val="24"/>
                <w:szCs w:val="24"/>
                <w:lang w:eastAsia="en-GB"/>
              </w:rPr>
            </w:pPr>
            <w:r>
              <w:rPr>
                <w:b/>
                <w:bCs/>
                <w:sz w:val="24"/>
                <w:szCs w:val="24"/>
                <w:lang w:eastAsia="en-GB"/>
              </w:rPr>
              <w:t xml:space="preserve">Ikke kendt </w:t>
            </w:r>
            <w:r>
              <w:rPr>
                <w:sz w:val="24"/>
                <w:szCs w:val="24"/>
                <w:lang w:eastAsia="en-GB"/>
              </w:rPr>
              <w:t xml:space="preserve">(kan ikke estimeres </w:t>
            </w:r>
            <w:r>
              <w:rPr>
                <w:rStyle w:val="trns-org-res"/>
              </w:rPr>
              <w:t>ud fra forhåndenværende data)</w:t>
            </w: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Infektioner og parasitære sygdomme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Infektion, influenza</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lang w:val="en-GB"/>
              </w:rPr>
            </w:pPr>
            <w:proofErr w:type="spellStart"/>
            <w:r>
              <w:rPr>
                <w:color w:val="000000"/>
                <w:sz w:val="24"/>
                <w:szCs w:val="24"/>
                <w:lang w:val="en-GB"/>
              </w:rPr>
              <w:t>Bronkitis</w:t>
            </w:r>
            <w:proofErr w:type="spellEnd"/>
            <w:r>
              <w:rPr>
                <w:color w:val="000000"/>
                <w:sz w:val="24"/>
                <w:szCs w:val="24"/>
                <w:lang w:val="en-GB"/>
              </w:rPr>
              <w:t xml:space="preserve">, gastroenteritis, herpes simplex, otitis media, rhinitis, </w:t>
            </w:r>
            <w:proofErr w:type="spellStart"/>
            <w:r>
              <w:rPr>
                <w:color w:val="000000"/>
                <w:sz w:val="24"/>
                <w:szCs w:val="24"/>
                <w:lang w:val="en-GB"/>
              </w:rPr>
              <w:t>tand</w:t>
            </w:r>
            <w:proofErr w:type="spellEnd"/>
            <w:r>
              <w:rPr>
                <w:color w:val="000000"/>
                <w:sz w:val="24"/>
                <w:szCs w:val="24"/>
                <w:lang w:val="en-GB"/>
              </w:rPr>
              <w:t xml:space="preserve"> </w:t>
            </w:r>
            <w:proofErr w:type="spellStart"/>
            <w:r>
              <w:rPr>
                <w:color w:val="000000"/>
                <w:sz w:val="24"/>
                <w:szCs w:val="24"/>
                <w:lang w:val="en-GB"/>
              </w:rPr>
              <w:t>absces</w:t>
            </w:r>
            <w:proofErr w:type="spellEnd"/>
            <w:r>
              <w:rPr>
                <w:color w:val="000000"/>
                <w:sz w:val="24"/>
                <w:szCs w:val="24"/>
                <w:lang w:val="en-GB"/>
              </w:rPr>
              <w:t>, vaginal candidiasis*</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lang w:val="en-GB"/>
              </w:rPr>
            </w:pPr>
            <w:proofErr w:type="spellStart"/>
            <w:r>
              <w:rPr>
                <w:color w:val="000000"/>
                <w:sz w:val="24"/>
                <w:szCs w:val="24"/>
                <w:lang w:val="en-GB"/>
              </w:rPr>
              <w:t>Absces</w:t>
            </w:r>
            <w:proofErr w:type="spellEnd"/>
            <w:r>
              <w:rPr>
                <w:color w:val="000000"/>
                <w:sz w:val="24"/>
                <w:szCs w:val="24"/>
                <w:lang w:val="en-GB"/>
              </w:rPr>
              <w:t xml:space="preserve">, cellulitis, </w:t>
            </w:r>
            <w:proofErr w:type="spellStart"/>
            <w:r>
              <w:rPr>
                <w:color w:val="000000"/>
                <w:sz w:val="24"/>
                <w:szCs w:val="24"/>
                <w:lang w:val="en-GB"/>
              </w:rPr>
              <w:t>bylder</w:t>
            </w:r>
            <w:proofErr w:type="spellEnd"/>
            <w:r>
              <w:rPr>
                <w:color w:val="000000"/>
                <w:sz w:val="24"/>
                <w:szCs w:val="24"/>
                <w:lang w:val="en-GB"/>
              </w:rPr>
              <w:t>, herpes zoster, pyelonephritis</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lang w:val="en-GB"/>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lang w:val="en-GB"/>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Benigne, maligne og uspecificerede tumorer (inkl. cyster og polypper)</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gramStart"/>
            <w:r>
              <w:rPr>
                <w:color w:val="000000"/>
                <w:sz w:val="24"/>
                <w:szCs w:val="24"/>
              </w:rPr>
              <w:t xml:space="preserve">Benign </w:t>
            </w:r>
            <w:proofErr w:type="spellStart"/>
            <w:r>
              <w:rPr>
                <w:color w:val="000000"/>
                <w:sz w:val="24"/>
                <w:szCs w:val="24"/>
              </w:rPr>
              <w:t>neoplasma</w:t>
            </w:r>
            <w:proofErr w:type="spellEnd"/>
            <w:proofErr w:type="gramEnd"/>
            <w:r>
              <w:rPr>
                <w:color w:val="000000"/>
                <w:sz w:val="24"/>
                <w:szCs w:val="24"/>
              </w:rPr>
              <w:t xml:space="preserve"> af hud, </w:t>
            </w:r>
            <w:proofErr w:type="spellStart"/>
            <w:r>
              <w:rPr>
                <w:color w:val="000000"/>
                <w:sz w:val="24"/>
                <w:szCs w:val="24"/>
              </w:rPr>
              <w:t>neoplasma</w:t>
            </w:r>
            <w:proofErr w:type="spellEnd"/>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Hudcancer</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Blod og lymfesystem</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spellStart"/>
            <w:r>
              <w:rPr>
                <w:color w:val="000000"/>
                <w:sz w:val="24"/>
                <w:szCs w:val="24"/>
              </w:rPr>
              <w:t>Lymfeadenopati</w:t>
            </w:r>
            <w:proofErr w:type="spellEnd"/>
            <w:r>
              <w:rPr>
                <w:color w:val="000000"/>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Leukocytose, </w:t>
            </w:r>
            <w:proofErr w:type="spellStart"/>
            <w:r>
              <w:rPr>
                <w:color w:val="000000"/>
                <w:sz w:val="24"/>
                <w:szCs w:val="24"/>
              </w:rPr>
              <w:t>leukopeni</w:t>
            </w:r>
            <w:proofErr w:type="spellEnd"/>
            <w:r>
              <w:rPr>
                <w:color w:val="000000"/>
                <w:sz w:val="24"/>
                <w:szCs w:val="24"/>
              </w:rPr>
              <w:t xml:space="preserve">, </w:t>
            </w:r>
            <w:proofErr w:type="spellStart"/>
            <w:r>
              <w:rPr>
                <w:color w:val="000000"/>
                <w:sz w:val="24"/>
                <w:szCs w:val="24"/>
              </w:rPr>
              <w:t>splenomegali</w:t>
            </w:r>
            <w:proofErr w:type="spellEnd"/>
            <w:r>
              <w:rPr>
                <w:color w:val="000000"/>
                <w:sz w:val="24"/>
                <w:szCs w:val="24"/>
              </w:rPr>
              <w:t xml:space="preserve">, </w:t>
            </w:r>
            <w:proofErr w:type="spellStart"/>
            <w:r>
              <w:rPr>
                <w:color w:val="000000"/>
                <w:sz w:val="24"/>
                <w:szCs w:val="24"/>
              </w:rPr>
              <w:t>thrombocytopeni</w:t>
            </w:r>
            <w:proofErr w:type="spellEnd"/>
            <w:r>
              <w:rPr>
                <w:color w:val="000000"/>
                <w:sz w:val="24"/>
                <w:szCs w:val="24"/>
              </w:rPr>
              <w:t xml:space="preserve">, </w:t>
            </w:r>
            <w:proofErr w:type="spellStart"/>
            <w:r>
              <w:rPr>
                <w:color w:val="000000"/>
                <w:sz w:val="24"/>
                <w:szCs w:val="24"/>
              </w:rPr>
              <w:t>abnormal</w:t>
            </w:r>
            <w:proofErr w:type="spellEnd"/>
            <w:r>
              <w:rPr>
                <w:color w:val="000000"/>
                <w:sz w:val="24"/>
                <w:szCs w:val="24"/>
              </w:rPr>
              <w:t xml:space="preserve"> lymfocyt morfologi</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lastRenderedPageBreak/>
              <w:t>Immunsystemet</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Hypersensitivitet</w:t>
            </w:r>
          </w:p>
        </w:tc>
        <w:tc>
          <w:tcPr>
            <w:tcW w:w="1792" w:type="dxa"/>
            <w:tcBorders>
              <w:top w:val="single" w:sz="4" w:space="0" w:color="auto"/>
              <w:left w:val="single" w:sz="4" w:space="0" w:color="auto"/>
              <w:bottom w:val="single" w:sz="4" w:space="0" w:color="auto"/>
              <w:right w:val="single" w:sz="4" w:space="0" w:color="auto"/>
            </w:tcBorders>
          </w:tcPr>
          <w:p w:rsidR="003B2B1B" w:rsidRDefault="00911B55">
            <w:pPr>
              <w:suppressAutoHyphens/>
              <w:ind w:left="6"/>
              <w:rPr>
                <w:color w:val="000000"/>
                <w:sz w:val="24"/>
                <w:szCs w:val="24"/>
              </w:rPr>
            </w:pPr>
            <w:proofErr w:type="spellStart"/>
            <w:r>
              <w:rPr>
                <w:color w:val="000000"/>
                <w:sz w:val="24"/>
                <w:szCs w:val="24"/>
              </w:rPr>
              <w:t>Anafylaktisk</w:t>
            </w:r>
            <w:proofErr w:type="spellEnd"/>
            <w:r>
              <w:rPr>
                <w:color w:val="000000"/>
                <w:sz w:val="24"/>
                <w:szCs w:val="24"/>
              </w:rPr>
              <w:t xml:space="preserve"> reaktion</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Det endokrine system</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rPr>
                <w:sz w:val="20"/>
                <w:lang w:eastAsia="da-DK"/>
              </w:rPr>
            </w:pP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Struma, </w:t>
            </w:r>
            <w:proofErr w:type="spellStart"/>
            <w:r>
              <w:rPr>
                <w:color w:val="000000"/>
                <w:sz w:val="24"/>
                <w:szCs w:val="24"/>
              </w:rPr>
              <w:t>hyperthyroidisme</w:t>
            </w:r>
            <w:proofErr w:type="spellEnd"/>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Metabolisme og ernæring</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Anoreksi, vægtforøgelse*</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Alkoholintolerance, urinsyregigt, </w:t>
            </w:r>
            <w:proofErr w:type="spellStart"/>
            <w:r>
              <w:rPr>
                <w:color w:val="000000"/>
                <w:sz w:val="24"/>
                <w:szCs w:val="24"/>
              </w:rPr>
              <w:t>hyperlipidæmi</w:t>
            </w:r>
            <w:proofErr w:type="spellEnd"/>
            <w:r>
              <w:rPr>
                <w:color w:val="000000"/>
                <w:sz w:val="24"/>
                <w:szCs w:val="24"/>
              </w:rPr>
              <w:t xml:space="preserve">, forhøjet natrium i blodet, nedsat serum- ferritin </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Psykiske forstyrrelser</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Angst*, depression</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Nervøsitet</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Anormale drømme, forvirring, eufori, hallucinationer, fjendtlighed, maniske reaktioner, personligheds</w:t>
            </w:r>
            <w:r>
              <w:rPr>
                <w:color w:val="000000"/>
                <w:sz w:val="24"/>
                <w:szCs w:val="24"/>
              </w:rPr>
              <w:softHyphen/>
              <w:t>forstyrrelser, selvmordsforsøg</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Nervesystemet</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Hovedpine</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spellStart"/>
            <w:r>
              <w:rPr>
                <w:color w:val="000000"/>
                <w:sz w:val="24"/>
                <w:szCs w:val="24"/>
              </w:rPr>
              <w:t>Dysgeusi</w:t>
            </w:r>
            <w:proofErr w:type="spellEnd"/>
            <w:r>
              <w:rPr>
                <w:color w:val="000000"/>
                <w:sz w:val="24"/>
                <w:szCs w:val="24"/>
              </w:rPr>
              <w:t xml:space="preserve">, </w:t>
            </w:r>
            <w:proofErr w:type="spellStart"/>
            <w:r>
              <w:rPr>
                <w:color w:val="000000"/>
                <w:sz w:val="24"/>
                <w:szCs w:val="24"/>
              </w:rPr>
              <w:t>hypertoni</w:t>
            </w:r>
            <w:proofErr w:type="spellEnd"/>
            <w:r>
              <w:rPr>
                <w:color w:val="000000"/>
                <w:sz w:val="24"/>
                <w:szCs w:val="24"/>
              </w:rPr>
              <w:t xml:space="preserve">, migræne, taleforstyrrelser, synkope, </w:t>
            </w:r>
            <w:proofErr w:type="spellStart"/>
            <w:r>
              <w:rPr>
                <w:color w:val="000000"/>
                <w:sz w:val="24"/>
                <w:szCs w:val="24"/>
              </w:rPr>
              <w:t>tremor</w:t>
            </w:r>
            <w:proofErr w:type="spellEnd"/>
            <w:r>
              <w:rPr>
                <w:color w:val="000000"/>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proofErr w:type="spellStart"/>
            <w:r>
              <w:rPr>
                <w:color w:val="000000"/>
                <w:sz w:val="24"/>
                <w:szCs w:val="24"/>
              </w:rPr>
              <w:t>Karpal</w:t>
            </w:r>
            <w:proofErr w:type="spellEnd"/>
            <w:r>
              <w:rPr>
                <w:color w:val="000000"/>
                <w:sz w:val="24"/>
                <w:szCs w:val="24"/>
              </w:rPr>
              <w:t xml:space="preserve"> tunnel syndrom, kognitive forstyrrelser, kramper, </w:t>
            </w:r>
            <w:proofErr w:type="spellStart"/>
            <w:r>
              <w:rPr>
                <w:color w:val="000000"/>
                <w:sz w:val="24"/>
                <w:szCs w:val="24"/>
              </w:rPr>
              <w:t>dysgrafi</w:t>
            </w:r>
            <w:proofErr w:type="spellEnd"/>
            <w:r>
              <w:rPr>
                <w:color w:val="000000"/>
                <w:sz w:val="24"/>
                <w:szCs w:val="24"/>
              </w:rPr>
              <w:t xml:space="preserve">, </w:t>
            </w:r>
            <w:proofErr w:type="spellStart"/>
            <w:r>
              <w:rPr>
                <w:color w:val="000000"/>
                <w:sz w:val="24"/>
                <w:szCs w:val="24"/>
              </w:rPr>
              <w:t>dyslexi</w:t>
            </w:r>
            <w:proofErr w:type="spellEnd"/>
            <w:r>
              <w:rPr>
                <w:color w:val="000000"/>
                <w:sz w:val="24"/>
                <w:szCs w:val="24"/>
              </w:rPr>
              <w:t xml:space="preserve">, </w:t>
            </w:r>
            <w:proofErr w:type="spellStart"/>
            <w:r>
              <w:rPr>
                <w:color w:val="000000"/>
                <w:sz w:val="24"/>
                <w:szCs w:val="24"/>
              </w:rPr>
              <w:t>dystoni</w:t>
            </w:r>
            <w:proofErr w:type="spellEnd"/>
            <w:r>
              <w:rPr>
                <w:color w:val="000000"/>
                <w:sz w:val="24"/>
                <w:szCs w:val="24"/>
              </w:rPr>
              <w:t xml:space="preserve">, motor dysfunktion, muskeltrækninger, </w:t>
            </w:r>
            <w:proofErr w:type="spellStart"/>
            <w:r>
              <w:rPr>
                <w:color w:val="000000"/>
                <w:sz w:val="24"/>
                <w:szCs w:val="24"/>
              </w:rPr>
              <w:t>neuritis</w:t>
            </w:r>
            <w:proofErr w:type="spellEnd"/>
            <w:r>
              <w:rPr>
                <w:color w:val="000000"/>
                <w:sz w:val="24"/>
                <w:szCs w:val="24"/>
              </w:rPr>
              <w:t xml:space="preserve">, </w:t>
            </w:r>
            <w:proofErr w:type="spellStart"/>
            <w:r>
              <w:rPr>
                <w:color w:val="000000"/>
                <w:sz w:val="24"/>
                <w:szCs w:val="24"/>
              </w:rPr>
              <w:t>neuromuskulær</w:t>
            </w:r>
            <w:proofErr w:type="spellEnd"/>
            <w:r>
              <w:rPr>
                <w:color w:val="000000"/>
                <w:sz w:val="24"/>
                <w:szCs w:val="24"/>
              </w:rPr>
              <w:t xml:space="preserve"> blokade, nystagmus, paralyse, nervelammelse i lægmuskulaturen, sløvhed, synsfeltsdefekt</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Øjne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spellStart"/>
            <w:r>
              <w:rPr>
                <w:color w:val="000000"/>
                <w:sz w:val="24"/>
                <w:szCs w:val="24"/>
              </w:rPr>
              <w:t>Diplopia</w:t>
            </w:r>
            <w:proofErr w:type="spellEnd"/>
            <w:r>
              <w:rPr>
                <w:color w:val="000000"/>
                <w:sz w:val="24"/>
                <w:szCs w:val="24"/>
              </w:rPr>
              <w:t>, øjenlidelser*</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Katarakt, hornhindelæsion, tørre øjne, </w:t>
            </w:r>
            <w:r>
              <w:rPr>
                <w:color w:val="000000"/>
                <w:sz w:val="24"/>
                <w:szCs w:val="24"/>
              </w:rPr>
              <w:lastRenderedPageBreak/>
              <w:t xml:space="preserve">blødning i øjet, </w:t>
            </w:r>
            <w:proofErr w:type="spellStart"/>
            <w:r>
              <w:rPr>
                <w:color w:val="000000"/>
                <w:sz w:val="24"/>
                <w:szCs w:val="24"/>
              </w:rPr>
              <w:t>nedsynkning</w:t>
            </w:r>
            <w:proofErr w:type="spellEnd"/>
            <w:r>
              <w:rPr>
                <w:color w:val="000000"/>
                <w:sz w:val="24"/>
                <w:szCs w:val="24"/>
              </w:rPr>
              <w:t xml:space="preserve"> af øjenlåget, </w:t>
            </w:r>
            <w:proofErr w:type="spellStart"/>
            <w:r>
              <w:rPr>
                <w:color w:val="000000"/>
                <w:sz w:val="24"/>
                <w:szCs w:val="24"/>
              </w:rPr>
              <w:t>mydriasis</w:t>
            </w:r>
            <w:proofErr w:type="spellEnd"/>
            <w:r>
              <w:rPr>
                <w:color w:val="000000"/>
                <w:sz w:val="24"/>
                <w:szCs w:val="24"/>
              </w:rPr>
              <w:t>, optisk atrofi</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Øre og labyrint</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Ørelidelser</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999" w:type="dxa"/>
            <w:tcBorders>
              <w:top w:val="single" w:sz="4" w:space="0" w:color="auto"/>
              <w:left w:val="single" w:sz="4" w:space="0" w:color="auto"/>
              <w:bottom w:val="single" w:sz="4" w:space="0" w:color="auto"/>
              <w:right w:val="single" w:sz="4" w:space="0" w:color="auto"/>
            </w:tcBorders>
          </w:tcPr>
          <w:p w:rsidR="003B2B1B" w:rsidRDefault="003B2B1B">
            <w:pPr>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Hjerte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spellStart"/>
            <w:r>
              <w:rPr>
                <w:color w:val="000000"/>
                <w:sz w:val="24"/>
                <w:szCs w:val="24"/>
              </w:rPr>
              <w:t>Palpitationer</w:t>
            </w:r>
            <w:proofErr w:type="spellEnd"/>
            <w:r>
              <w:rPr>
                <w:color w:val="000000"/>
                <w:sz w:val="24"/>
                <w:szCs w:val="24"/>
              </w:rPr>
              <w:t xml:space="preserve">*, </w:t>
            </w:r>
            <w:proofErr w:type="spellStart"/>
            <w:r>
              <w:rPr>
                <w:color w:val="000000"/>
                <w:sz w:val="24"/>
                <w:szCs w:val="24"/>
              </w:rPr>
              <w:t>takykardi</w:t>
            </w:r>
            <w:proofErr w:type="spellEnd"/>
            <w:r>
              <w:rPr>
                <w:color w:val="000000"/>
                <w:sz w:val="24"/>
                <w:szCs w:val="24"/>
              </w:rPr>
              <w:t>*</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Ekstra </w:t>
            </w:r>
            <w:proofErr w:type="spellStart"/>
            <w:r>
              <w:rPr>
                <w:color w:val="000000"/>
                <w:sz w:val="24"/>
                <w:szCs w:val="24"/>
              </w:rPr>
              <w:t>systoler</w:t>
            </w:r>
            <w:proofErr w:type="spellEnd"/>
            <w:r>
              <w:rPr>
                <w:color w:val="000000"/>
                <w:sz w:val="24"/>
                <w:szCs w:val="24"/>
              </w:rPr>
              <w:t xml:space="preserve">, sinus bradykardi, </w:t>
            </w:r>
            <w:proofErr w:type="spellStart"/>
            <w:r>
              <w:rPr>
                <w:color w:val="000000"/>
                <w:sz w:val="24"/>
                <w:szCs w:val="24"/>
              </w:rPr>
              <w:t>paroxysmal</w:t>
            </w:r>
            <w:proofErr w:type="spellEnd"/>
            <w:r>
              <w:rPr>
                <w:color w:val="000000"/>
                <w:sz w:val="24"/>
                <w:szCs w:val="24"/>
              </w:rPr>
              <w:t xml:space="preserve"> </w:t>
            </w:r>
            <w:proofErr w:type="spellStart"/>
            <w:r>
              <w:rPr>
                <w:color w:val="000000"/>
                <w:sz w:val="24"/>
                <w:szCs w:val="24"/>
              </w:rPr>
              <w:t>takykardi</w:t>
            </w:r>
            <w:proofErr w:type="spellEnd"/>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proofErr w:type="spellStart"/>
            <w:r>
              <w:rPr>
                <w:color w:val="000000"/>
                <w:sz w:val="24"/>
                <w:szCs w:val="24"/>
              </w:rPr>
              <w:t>Vaskulære</w:t>
            </w:r>
            <w:proofErr w:type="spellEnd"/>
            <w:r>
              <w:rPr>
                <w:color w:val="000000"/>
                <w:sz w:val="24"/>
                <w:szCs w:val="24"/>
              </w:rPr>
              <w:t xml:space="preserve"> sygdomme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Vasodilatation*</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Åreknuder</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 xml:space="preserve">Luftveje, thorax og </w:t>
            </w:r>
            <w:proofErr w:type="spellStart"/>
            <w:r>
              <w:rPr>
                <w:color w:val="000000"/>
                <w:sz w:val="24"/>
                <w:szCs w:val="24"/>
              </w:rPr>
              <w:t>mediastinum</w:t>
            </w:r>
            <w:proofErr w:type="spellEnd"/>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Dyspnø*</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 xml:space="preserve">Hoste, sæsonbetinget </w:t>
            </w:r>
            <w:proofErr w:type="spellStart"/>
            <w:r>
              <w:rPr>
                <w:color w:val="000000"/>
                <w:sz w:val="24"/>
                <w:szCs w:val="24"/>
              </w:rPr>
              <w:t>rhinitis</w:t>
            </w:r>
            <w:proofErr w:type="spellEnd"/>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Apnø, </w:t>
            </w:r>
            <w:proofErr w:type="spellStart"/>
            <w:r>
              <w:rPr>
                <w:color w:val="000000"/>
                <w:sz w:val="24"/>
                <w:szCs w:val="24"/>
              </w:rPr>
              <w:t>epistaksis</w:t>
            </w:r>
            <w:proofErr w:type="spellEnd"/>
            <w:r>
              <w:rPr>
                <w:color w:val="000000"/>
                <w:sz w:val="24"/>
                <w:szCs w:val="24"/>
              </w:rPr>
              <w:t xml:space="preserve">, hyperventilation, </w:t>
            </w:r>
            <w:proofErr w:type="spellStart"/>
            <w:r>
              <w:rPr>
                <w:color w:val="000000"/>
                <w:sz w:val="24"/>
                <w:szCs w:val="24"/>
              </w:rPr>
              <w:t>laryngospasmer</w:t>
            </w:r>
            <w:proofErr w:type="spellEnd"/>
            <w:r>
              <w:rPr>
                <w:color w:val="000000"/>
                <w:sz w:val="24"/>
                <w:szCs w:val="24"/>
              </w:rPr>
              <w:t>, lungelidelser, kvælningsfornem</w:t>
            </w:r>
            <w:r>
              <w:rPr>
                <w:color w:val="000000"/>
                <w:sz w:val="24"/>
                <w:szCs w:val="24"/>
              </w:rPr>
              <w:softHyphen/>
              <w:t>melse</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Mave-tarm-kanalen</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Kvalme*</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proofErr w:type="spellStart"/>
            <w:r>
              <w:rPr>
                <w:color w:val="000000"/>
                <w:sz w:val="24"/>
                <w:szCs w:val="24"/>
              </w:rPr>
              <w:t>Rektale</w:t>
            </w:r>
            <w:proofErr w:type="spellEnd"/>
            <w:r>
              <w:rPr>
                <w:color w:val="000000"/>
                <w:sz w:val="24"/>
                <w:szCs w:val="24"/>
              </w:rPr>
              <w:t xml:space="preserve"> lidelser, obstipation, karies, dyspepsi, </w:t>
            </w:r>
            <w:proofErr w:type="spellStart"/>
            <w:r>
              <w:rPr>
                <w:color w:val="000000"/>
                <w:sz w:val="24"/>
                <w:szCs w:val="24"/>
              </w:rPr>
              <w:t>dysfagi</w:t>
            </w:r>
            <w:proofErr w:type="spellEnd"/>
            <w:r>
              <w:rPr>
                <w:color w:val="000000"/>
                <w:sz w:val="24"/>
                <w:szCs w:val="24"/>
              </w:rPr>
              <w:t>, fækal inkontinens, opkastning*</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Colitis, </w:t>
            </w:r>
            <w:proofErr w:type="spellStart"/>
            <w:r>
              <w:rPr>
                <w:color w:val="000000"/>
                <w:sz w:val="24"/>
                <w:szCs w:val="24"/>
              </w:rPr>
              <w:t>colonisk</w:t>
            </w:r>
            <w:proofErr w:type="spellEnd"/>
            <w:r>
              <w:rPr>
                <w:color w:val="000000"/>
                <w:sz w:val="24"/>
                <w:szCs w:val="24"/>
              </w:rPr>
              <w:t xml:space="preserve"> polyp, </w:t>
            </w:r>
            <w:proofErr w:type="spellStart"/>
            <w:r>
              <w:rPr>
                <w:color w:val="000000"/>
                <w:sz w:val="24"/>
                <w:szCs w:val="24"/>
              </w:rPr>
              <w:t>enterocolitis</w:t>
            </w:r>
            <w:proofErr w:type="spellEnd"/>
            <w:r>
              <w:rPr>
                <w:color w:val="000000"/>
                <w:sz w:val="24"/>
                <w:szCs w:val="24"/>
              </w:rPr>
              <w:t xml:space="preserve">, opstød, sår i spiserøret, </w:t>
            </w:r>
            <w:proofErr w:type="spellStart"/>
            <w:r>
              <w:rPr>
                <w:color w:val="000000"/>
                <w:sz w:val="24"/>
                <w:szCs w:val="24"/>
              </w:rPr>
              <w:t>periodontitis</w:t>
            </w:r>
            <w:proofErr w:type="spellEnd"/>
            <w:r>
              <w:rPr>
                <w:color w:val="000000"/>
                <w:sz w:val="24"/>
                <w:szCs w:val="24"/>
              </w:rPr>
              <w:t xml:space="preserve">, </w:t>
            </w:r>
            <w:proofErr w:type="spellStart"/>
            <w:r>
              <w:rPr>
                <w:color w:val="000000"/>
                <w:sz w:val="24"/>
                <w:szCs w:val="24"/>
              </w:rPr>
              <w:t>rektal</w:t>
            </w:r>
            <w:proofErr w:type="spellEnd"/>
            <w:r>
              <w:rPr>
                <w:color w:val="000000"/>
                <w:sz w:val="24"/>
                <w:szCs w:val="24"/>
              </w:rPr>
              <w:t xml:space="preserve"> blødning, forstørrelse af spytkirtlen</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Lever og galdeveje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Anormale leverfunktionstests</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proofErr w:type="spellStart"/>
            <w:r>
              <w:rPr>
                <w:color w:val="000000"/>
                <w:sz w:val="24"/>
                <w:szCs w:val="24"/>
              </w:rPr>
              <w:t>Cholelithiatis</w:t>
            </w:r>
            <w:proofErr w:type="spellEnd"/>
            <w:r>
              <w:rPr>
                <w:color w:val="000000"/>
                <w:sz w:val="24"/>
                <w:szCs w:val="24"/>
              </w:rPr>
              <w:t xml:space="preserve">, </w:t>
            </w:r>
            <w:proofErr w:type="spellStart"/>
            <w:r>
              <w:rPr>
                <w:color w:val="000000"/>
                <w:sz w:val="24"/>
                <w:szCs w:val="24"/>
              </w:rPr>
              <w:t>hepatomegali</w:t>
            </w:r>
            <w:proofErr w:type="spellEnd"/>
          </w:p>
        </w:tc>
        <w:tc>
          <w:tcPr>
            <w:tcW w:w="999"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Toksisk hepatitis, leverskade</w:t>
            </w:r>
          </w:p>
        </w:tc>
        <w:tc>
          <w:tcPr>
            <w:tcW w:w="1569"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Leversvigt</w:t>
            </w:r>
            <w:bookmarkStart w:id="0" w:name="_Hlk78983353"/>
            <w:bookmarkStart w:id="1" w:name="_Hlk83736460"/>
            <w:r>
              <w:rPr>
                <w:sz w:val="24"/>
                <w:szCs w:val="24"/>
                <w:vertAlign w:val="superscript"/>
              </w:rPr>
              <w:t>#</w:t>
            </w:r>
            <w:bookmarkEnd w:id="0"/>
            <w:bookmarkEnd w:id="1"/>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t>Hud og subkutane væv</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Hududslæt*</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 xml:space="preserve">Blodudtrædning, </w:t>
            </w:r>
            <w:proofErr w:type="spellStart"/>
            <w:r>
              <w:rPr>
                <w:color w:val="000000"/>
                <w:sz w:val="24"/>
                <w:szCs w:val="24"/>
              </w:rPr>
              <w:t>hyperhidrose</w:t>
            </w:r>
            <w:proofErr w:type="spellEnd"/>
            <w:r>
              <w:rPr>
                <w:color w:val="000000"/>
                <w:sz w:val="24"/>
                <w:szCs w:val="24"/>
              </w:rPr>
              <w:t xml:space="preserve">, kløe, hudlidelser*, </w:t>
            </w:r>
            <w:proofErr w:type="spellStart"/>
            <w:r>
              <w:rPr>
                <w:color w:val="000000"/>
                <w:sz w:val="24"/>
                <w:szCs w:val="24"/>
              </w:rPr>
              <w:t>urticaria</w:t>
            </w:r>
            <w:proofErr w:type="spellEnd"/>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proofErr w:type="spellStart"/>
            <w:r>
              <w:rPr>
                <w:color w:val="000000"/>
                <w:sz w:val="24"/>
                <w:szCs w:val="24"/>
              </w:rPr>
              <w:t>Angioødem</w:t>
            </w:r>
            <w:proofErr w:type="spellEnd"/>
            <w:r>
              <w:rPr>
                <w:color w:val="000000"/>
                <w:sz w:val="24"/>
                <w:szCs w:val="24"/>
              </w:rPr>
              <w:t xml:space="preserve">, kontakt </w:t>
            </w:r>
            <w:proofErr w:type="spellStart"/>
            <w:r>
              <w:rPr>
                <w:color w:val="000000"/>
                <w:sz w:val="24"/>
                <w:szCs w:val="24"/>
              </w:rPr>
              <w:t>dermatitis</w:t>
            </w:r>
            <w:proofErr w:type="spellEnd"/>
            <w:r>
              <w:rPr>
                <w:color w:val="000000"/>
                <w:sz w:val="24"/>
                <w:szCs w:val="24"/>
              </w:rPr>
              <w:t xml:space="preserve">, </w:t>
            </w:r>
            <w:proofErr w:type="spellStart"/>
            <w:r>
              <w:rPr>
                <w:color w:val="000000"/>
                <w:sz w:val="24"/>
                <w:szCs w:val="24"/>
              </w:rPr>
              <w:t>erythema</w:t>
            </w:r>
            <w:proofErr w:type="spellEnd"/>
            <w:r>
              <w:rPr>
                <w:color w:val="000000"/>
                <w:sz w:val="24"/>
                <w:szCs w:val="24"/>
              </w:rPr>
              <w:t xml:space="preserve"> </w:t>
            </w:r>
            <w:proofErr w:type="spellStart"/>
            <w:r>
              <w:rPr>
                <w:color w:val="000000"/>
                <w:sz w:val="24"/>
                <w:szCs w:val="24"/>
              </w:rPr>
              <w:t>nodosum</w:t>
            </w:r>
            <w:proofErr w:type="spellEnd"/>
            <w:r>
              <w:rPr>
                <w:color w:val="000000"/>
                <w:sz w:val="24"/>
                <w:szCs w:val="24"/>
              </w:rPr>
              <w:t>, knuder i huden</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Knogler, led, muskler og bindevæv</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proofErr w:type="spellStart"/>
            <w:r>
              <w:rPr>
                <w:color w:val="000000"/>
                <w:sz w:val="24"/>
                <w:szCs w:val="24"/>
              </w:rPr>
              <w:t>Artralgi</w:t>
            </w:r>
            <w:proofErr w:type="spellEnd"/>
            <w:r>
              <w:rPr>
                <w:color w:val="000000"/>
                <w:sz w:val="24"/>
                <w:szCs w:val="24"/>
              </w:rPr>
              <w:t>, rygsmerter</w:t>
            </w:r>
            <w:r>
              <w:rPr>
                <w:color w:val="000000"/>
                <w:sz w:val="24"/>
                <w:szCs w:val="24"/>
                <w:vertAlign w:val="superscript"/>
              </w:rPr>
              <w:t>*</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Nakkesmerter</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proofErr w:type="spellStart"/>
            <w:r>
              <w:rPr>
                <w:color w:val="000000"/>
                <w:sz w:val="24"/>
                <w:szCs w:val="24"/>
              </w:rPr>
              <w:t>Arthritis</w:t>
            </w:r>
            <w:proofErr w:type="spellEnd"/>
            <w:r>
              <w:rPr>
                <w:color w:val="000000"/>
                <w:sz w:val="24"/>
                <w:szCs w:val="24"/>
              </w:rPr>
              <w:t xml:space="preserve">, </w:t>
            </w:r>
            <w:proofErr w:type="spellStart"/>
            <w:r>
              <w:rPr>
                <w:color w:val="000000"/>
                <w:sz w:val="24"/>
                <w:szCs w:val="24"/>
              </w:rPr>
              <w:t>bursitis</w:t>
            </w:r>
            <w:proofErr w:type="spellEnd"/>
            <w:r>
              <w:rPr>
                <w:color w:val="000000"/>
                <w:sz w:val="24"/>
                <w:szCs w:val="24"/>
              </w:rPr>
              <w:t xml:space="preserve">, flankesmerter, muskelatrofi, </w:t>
            </w:r>
            <w:proofErr w:type="spellStart"/>
            <w:r>
              <w:rPr>
                <w:color w:val="000000"/>
                <w:sz w:val="24"/>
                <w:szCs w:val="24"/>
              </w:rPr>
              <w:t>osteoarthrit</w:t>
            </w:r>
            <w:proofErr w:type="spellEnd"/>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lang w:eastAsia="da-DK"/>
              </w:rPr>
            </w:pPr>
            <w:r>
              <w:rPr>
                <w:color w:val="000000"/>
                <w:sz w:val="24"/>
                <w:szCs w:val="24"/>
              </w:rPr>
              <w:lastRenderedPageBreak/>
              <w:t>Nyrer og urinveje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lang w:eastAsia="da-DK"/>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Stærk vandladningstrang, hyppig vandladning, urinretention</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Hæmaturi, </w:t>
            </w:r>
            <w:proofErr w:type="spellStart"/>
            <w:r>
              <w:rPr>
                <w:color w:val="000000"/>
                <w:sz w:val="24"/>
                <w:szCs w:val="24"/>
              </w:rPr>
              <w:t>nefrolithiasis</w:t>
            </w:r>
            <w:proofErr w:type="spellEnd"/>
            <w:r>
              <w:rPr>
                <w:color w:val="000000"/>
                <w:sz w:val="24"/>
                <w:szCs w:val="24"/>
              </w:rPr>
              <w:t>, urinvejslidelser, urin anormaliteter</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Det reproduktive system og mammae</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rPr>
                <w:color w:val="000000"/>
                <w:sz w:val="24"/>
                <w:szCs w:val="24"/>
              </w:rPr>
            </w:pP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rPr>
                <w:sz w:val="20"/>
                <w:lang w:eastAsia="da-DK"/>
              </w:rPr>
            </w:pP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Brystforstørrelse, </w:t>
            </w:r>
            <w:proofErr w:type="spellStart"/>
            <w:r>
              <w:rPr>
                <w:color w:val="000000"/>
                <w:sz w:val="24"/>
                <w:szCs w:val="24"/>
              </w:rPr>
              <w:t>erektil</w:t>
            </w:r>
            <w:proofErr w:type="spellEnd"/>
            <w:r>
              <w:rPr>
                <w:color w:val="000000"/>
                <w:sz w:val="24"/>
                <w:szCs w:val="24"/>
              </w:rPr>
              <w:t xml:space="preserve"> dysfunktion, pelvisk prolaps, </w:t>
            </w:r>
            <w:proofErr w:type="spellStart"/>
            <w:r>
              <w:rPr>
                <w:color w:val="000000"/>
                <w:sz w:val="24"/>
                <w:szCs w:val="24"/>
              </w:rPr>
              <w:t>priapisme</w:t>
            </w:r>
            <w:proofErr w:type="spellEnd"/>
            <w:r>
              <w:rPr>
                <w:color w:val="000000"/>
                <w:sz w:val="24"/>
                <w:szCs w:val="24"/>
              </w:rPr>
              <w:t xml:space="preserve">, prostata lidelser, unormalt </w:t>
            </w:r>
            <w:proofErr w:type="spellStart"/>
            <w:r>
              <w:rPr>
                <w:color w:val="000000"/>
                <w:sz w:val="24"/>
                <w:szCs w:val="24"/>
              </w:rPr>
              <w:t>cervix</w:t>
            </w:r>
            <w:proofErr w:type="spellEnd"/>
            <w:r>
              <w:rPr>
                <w:color w:val="000000"/>
                <w:sz w:val="24"/>
                <w:szCs w:val="24"/>
              </w:rPr>
              <w:t xml:space="preserve"> </w:t>
            </w:r>
            <w:proofErr w:type="spellStart"/>
            <w:r>
              <w:rPr>
                <w:color w:val="000000"/>
                <w:sz w:val="24"/>
                <w:szCs w:val="24"/>
              </w:rPr>
              <w:t>smear</w:t>
            </w:r>
            <w:proofErr w:type="spellEnd"/>
            <w:r>
              <w:rPr>
                <w:color w:val="000000"/>
                <w:sz w:val="24"/>
                <w:szCs w:val="24"/>
              </w:rPr>
              <w:t xml:space="preserve">, testikel lidelser, vaginal blødning, </w:t>
            </w:r>
            <w:proofErr w:type="spellStart"/>
            <w:r>
              <w:rPr>
                <w:color w:val="000000"/>
                <w:sz w:val="24"/>
                <w:szCs w:val="24"/>
              </w:rPr>
              <w:t>vulvovaginale</w:t>
            </w:r>
            <w:proofErr w:type="spellEnd"/>
            <w:r>
              <w:rPr>
                <w:color w:val="000000"/>
                <w:sz w:val="24"/>
                <w:szCs w:val="24"/>
              </w:rPr>
              <w:t xml:space="preserve"> lidelser</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26"/>
              <w:rPr>
                <w:color w:val="000000"/>
                <w:sz w:val="24"/>
                <w:szCs w:val="24"/>
              </w:rPr>
            </w:pPr>
            <w:r>
              <w:rPr>
                <w:color w:val="000000"/>
                <w:sz w:val="24"/>
                <w:szCs w:val="24"/>
              </w:rPr>
              <w:t>Almene symptomer og reaktioner på administrations</w:t>
            </w:r>
            <w:r>
              <w:rPr>
                <w:color w:val="000000"/>
                <w:sz w:val="24"/>
                <w:szCs w:val="24"/>
              </w:rPr>
              <w:softHyphen/>
              <w:t>stedet</w:t>
            </w:r>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46"/>
              <w:rPr>
                <w:color w:val="000000"/>
                <w:sz w:val="24"/>
                <w:szCs w:val="24"/>
              </w:rPr>
            </w:pPr>
            <w:r>
              <w:rPr>
                <w:color w:val="000000"/>
                <w:sz w:val="24"/>
                <w:szCs w:val="24"/>
              </w:rPr>
              <w:t>Asteni, brystsmerter*, reaktioner på injektionsstedet</w:t>
            </w:r>
            <w:r>
              <w:rPr>
                <w:color w:val="000000"/>
                <w:sz w:val="24"/>
                <w:szCs w:val="24"/>
                <w:vertAlign w:val="superscript"/>
              </w:rPr>
              <w:t>*</w:t>
            </w:r>
            <w:r>
              <w:rPr>
                <w:color w:val="000000"/>
                <w:sz w:val="24"/>
                <w:szCs w:val="24"/>
              </w:rPr>
              <w:t>§, smerter</w:t>
            </w:r>
            <w:r>
              <w:rPr>
                <w:color w:val="000000"/>
                <w:sz w:val="24"/>
                <w:szCs w:val="24"/>
                <w:vertAlign w:val="superscript"/>
              </w:rPr>
              <w:t>*</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18"/>
              <w:rPr>
                <w:color w:val="000000"/>
                <w:sz w:val="24"/>
                <w:szCs w:val="24"/>
              </w:rPr>
            </w:pPr>
            <w:r>
              <w:rPr>
                <w:color w:val="000000"/>
                <w:sz w:val="24"/>
                <w:szCs w:val="24"/>
              </w:rPr>
              <w:t>Kulderystelser</w:t>
            </w:r>
            <w:r>
              <w:rPr>
                <w:color w:val="000000"/>
                <w:sz w:val="24"/>
                <w:szCs w:val="24"/>
                <w:vertAlign w:val="superscript"/>
              </w:rPr>
              <w:t>*</w:t>
            </w:r>
            <w:r>
              <w:rPr>
                <w:color w:val="000000"/>
                <w:sz w:val="24"/>
                <w:szCs w:val="24"/>
              </w:rPr>
              <w:t>, ansigtsødem</w:t>
            </w:r>
            <w:r>
              <w:rPr>
                <w:color w:val="000000"/>
                <w:sz w:val="24"/>
                <w:szCs w:val="24"/>
                <w:vertAlign w:val="superscript"/>
              </w:rPr>
              <w:t>*</w:t>
            </w:r>
            <w:r>
              <w:rPr>
                <w:color w:val="000000"/>
                <w:sz w:val="24"/>
                <w:szCs w:val="24"/>
              </w:rPr>
              <w:t>, atrofi på injektionsstedet</w:t>
            </w:r>
            <w:r>
              <w:rPr>
                <w:color w:val="000000"/>
                <w:sz w:val="24"/>
                <w:szCs w:val="24"/>
                <w:vertAlign w:val="superscript"/>
              </w:rPr>
              <w:t>♣</w:t>
            </w:r>
            <w:r>
              <w:rPr>
                <w:color w:val="000000"/>
                <w:sz w:val="24"/>
                <w:szCs w:val="24"/>
              </w:rPr>
              <w:t>, lokale reaktioner</w:t>
            </w:r>
            <w:r>
              <w:rPr>
                <w:color w:val="000000"/>
                <w:sz w:val="24"/>
                <w:szCs w:val="24"/>
                <w:vertAlign w:val="superscript"/>
              </w:rPr>
              <w:t>*</w:t>
            </w:r>
            <w:r>
              <w:rPr>
                <w:color w:val="000000"/>
                <w:sz w:val="24"/>
                <w:szCs w:val="24"/>
              </w:rPr>
              <w:t xml:space="preserve">, periferalt ødem, ødem, </w:t>
            </w:r>
            <w:proofErr w:type="spellStart"/>
            <w:r>
              <w:rPr>
                <w:color w:val="000000"/>
                <w:sz w:val="24"/>
                <w:szCs w:val="24"/>
              </w:rPr>
              <w:t>pyrexi</w:t>
            </w:r>
            <w:proofErr w:type="spellEnd"/>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suppressAutoHyphens/>
              <w:ind w:left="6"/>
              <w:rPr>
                <w:color w:val="000000"/>
                <w:sz w:val="24"/>
                <w:szCs w:val="24"/>
              </w:rPr>
            </w:pPr>
            <w:r>
              <w:rPr>
                <w:color w:val="000000"/>
                <w:sz w:val="24"/>
                <w:szCs w:val="24"/>
              </w:rPr>
              <w:t xml:space="preserve">Cyster, tømmermænds-lignende fornemmelse, </w:t>
            </w:r>
            <w:proofErr w:type="spellStart"/>
            <w:r>
              <w:rPr>
                <w:color w:val="000000"/>
                <w:sz w:val="24"/>
                <w:szCs w:val="24"/>
              </w:rPr>
              <w:t>hypotermi</w:t>
            </w:r>
            <w:proofErr w:type="spellEnd"/>
            <w:r>
              <w:rPr>
                <w:color w:val="000000"/>
                <w:sz w:val="24"/>
                <w:szCs w:val="24"/>
              </w:rPr>
              <w:t>, øjeblikkelige post-injektionsreaktioner, inflammation, nekrose på injektionsstedet, lidelser i slimhinderne</w:t>
            </w:r>
          </w:p>
        </w:tc>
        <w:tc>
          <w:tcPr>
            <w:tcW w:w="99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suppressAutoHyphens/>
              <w:ind w:left="6"/>
              <w:rPr>
                <w:color w:val="000000"/>
                <w:sz w:val="24"/>
                <w:szCs w:val="24"/>
              </w:rPr>
            </w:pPr>
          </w:p>
        </w:tc>
      </w:tr>
      <w:tr w:rsidR="003B2B1B" w:rsidTr="003B2B1B">
        <w:trPr>
          <w:tblCellSpacing w:w="0" w:type="dxa"/>
        </w:trPr>
        <w:tc>
          <w:tcPr>
            <w:tcW w:w="1865" w:type="dxa"/>
            <w:tcBorders>
              <w:top w:val="single" w:sz="4" w:space="0" w:color="auto"/>
              <w:left w:val="single" w:sz="4" w:space="0" w:color="auto"/>
              <w:bottom w:val="single" w:sz="4" w:space="0" w:color="auto"/>
              <w:right w:val="single" w:sz="4" w:space="0" w:color="auto"/>
            </w:tcBorders>
            <w:hideMark/>
          </w:tcPr>
          <w:p w:rsidR="003B2B1B" w:rsidRDefault="003B2B1B">
            <w:pPr>
              <w:ind w:left="126"/>
              <w:rPr>
                <w:sz w:val="24"/>
                <w:szCs w:val="24"/>
                <w:lang w:val="en-US" w:eastAsia="en-GB"/>
              </w:rPr>
            </w:pPr>
            <w:proofErr w:type="spellStart"/>
            <w:r>
              <w:rPr>
                <w:sz w:val="24"/>
                <w:szCs w:val="24"/>
                <w:lang w:val="en-US" w:eastAsia="en-GB"/>
              </w:rPr>
              <w:t>Traumer</w:t>
            </w:r>
            <w:proofErr w:type="spellEnd"/>
            <w:r>
              <w:rPr>
                <w:sz w:val="24"/>
                <w:szCs w:val="24"/>
                <w:lang w:val="en-US" w:eastAsia="en-GB"/>
              </w:rPr>
              <w:t xml:space="preserve">, </w:t>
            </w:r>
            <w:proofErr w:type="spellStart"/>
            <w:r>
              <w:rPr>
                <w:sz w:val="24"/>
                <w:szCs w:val="24"/>
                <w:lang w:val="en-US" w:eastAsia="en-GB"/>
              </w:rPr>
              <w:t>forgiftninger</w:t>
            </w:r>
            <w:proofErr w:type="spellEnd"/>
            <w:r>
              <w:rPr>
                <w:sz w:val="24"/>
                <w:szCs w:val="24"/>
                <w:lang w:val="en-US" w:eastAsia="en-GB"/>
              </w:rPr>
              <w:t xml:space="preserve"> </w:t>
            </w:r>
            <w:proofErr w:type="spellStart"/>
            <w:r>
              <w:rPr>
                <w:sz w:val="24"/>
                <w:szCs w:val="24"/>
                <w:lang w:val="en-US" w:eastAsia="en-GB"/>
              </w:rPr>
              <w:t>og</w:t>
            </w:r>
            <w:proofErr w:type="spellEnd"/>
            <w:r>
              <w:rPr>
                <w:sz w:val="24"/>
                <w:szCs w:val="24"/>
                <w:lang w:val="en-US" w:eastAsia="en-GB"/>
              </w:rPr>
              <w:t xml:space="preserve"> </w:t>
            </w:r>
            <w:proofErr w:type="spellStart"/>
            <w:r>
              <w:rPr>
                <w:sz w:val="24"/>
                <w:szCs w:val="24"/>
                <w:lang w:val="en-US" w:eastAsia="en-GB"/>
              </w:rPr>
              <w:t>behandlingskomplikationer</w:t>
            </w:r>
            <w:proofErr w:type="spellEnd"/>
          </w:p>
        </w:tc>
        <w:tc>
          <w:tcPr>
            <w:tcW w:w="1648" w:type="dxa"/>
            <w:tcBorders>
              <w:top w:val="single" w:sz="4" w:space="0" w:color="auto"/>
              <w:left w:val="single" w:sz="4" w:space="0" w:color="auto"/>
              <w:bottom w:val="single" w:sz="4" w:space="0" w:color="auto"/>
              <w:right w:val="single" w:sz="4" w:space="0" w:color="auto"/>
            </w:tcBorders>
            <w:hideMark/>
          </w:tcPr>
          <w:p w:rsidR="003B2B1B" w:rsidRDefault="003B2B1B">
            <w:pPr>
              <w:ind w:left="46"/>
              <w:rPr>
                <w:sz w:val="24"/>
                <w:szCs w:val="24"/>
                <w:lang w:val="en-US" w:eastAsia="en-GB"/>
              </w:rPr>
            </w:pPr>
            <w:r>
              <w:rPr>
                <w:sz w:val="24"/>
                <w:szCs w:val="24"/>
                <w:lang w:val="en-US" w:eastAsia="en-GB"/>
              </w:rPr>
              <w:t> </w:t>
            </w:r>
          </w:p>
          <w:p w:rsidR="003B2B1B" w:rsidRDefault="003B2B1B">
            <w:pPr>
              <w:ind w:left="46"/>
              <w:rPr>
                <w:sz w:val="24"/>
                <w:szCs w:val="24"/>
                <w:lang w:val="en-US" w:eastAsia="en-GB"/>
              </w:rPr>
            </w:pPr>
            <w:r>
              <w:rPr>
                <w:sz w:val="24"/>
                <w:szCs w:val="24"/>
                <w:lang w:val="en-US" w:eastAsia="en-GB"/>
              </w:rPr>
              <w:t> </w:t>
            </w:r>
          </w:p>
        </w:tc>
        <w:tc>
          <w:tcPr>
            <w:tcW w:w="1680" w:type="dxa"/>
            <w:tcBorders>
              <w:top w:val="single" w:sz="4" w:space="0" w:color="auto"/>
              <w:left w:val="single" w:sz="4" w:space="0" w:color="auto"/>
              <w:bottom w:val="single" w:sz="4" w:space="0" w:color="auto"/>
              <w:right w:val="single" w:sz="4" w:space="0" w:color="auto"/>
            </w:tcBorders>
            <w:hideMark/>
          </w:tcPr>
          <w:p w:rsidR="003B2B1B" w:rsidRDefault="003B2B1B">
            <w:pPr>
              <w:ind w:left="18"/>
              <w:rPr>
                <w:sz w:val="24"/>
                <w:szCs w:val="24"/>
                <w:lang w:val="en-US" w:eastAsia="en-GB"/>
              </w:rPr>
            </w:pPr>
            <w:r>
              <w:rPr>
                <w:sz w:val="24"/>
                <w:szCs w:val="24"/>
                <w:lang w:val="en-US" w:eastAsia="en-GB"/>
              </w:rPr>
              <w:t> </w:t>
            </w:r>
          </w:p>
          <w:p w:rsidR="003B2B1B" w:rsidRDefault="003B2B1B">
            <w:pPr>
              <w:ind w:left="18"/>
              <w:rPr>
                <w:sz w:val="24"/>
                <w:szCs w:val="24"/>
                <w:lang w:val="en-US" w:eastAsia="en-GB"/>
              </w:rPr>
            </w:pPr>
            <w:r>
              <w:rPr>
                <w:sz w:val="24"/>
                <w:szCs w:val="24"/>
                <w:lang w:val="en-US" w:eastAsia="en-GB"/>
              </w:rPr>
              <w:t> </w:t>
            </w:r>
          </w:p>
        </w:tc>
        <w:tc>
          <w:tcPr>
            <w:tcW w:w="1792" w:type="dxa"/>
            <w:tcBorders>
              <w:top w:val="single" w:sz="4" w:space="0" w:color="auto"/>
              <w:left w:val="single" w:sz="4" w:space="0" w:color="auto"/>
              <w:bottom w:val="single" w:sz="4" w:space="0" w:color="auto"/>
              <w:right w:val="single" w:sz="4" w:space="0" w:color="auto"/>
            </w:tcBorders>
            <w:hideMark/>
          </w:tcPr>
          <w:p w:rsidR="003B2B1B" w:rsidRDefault="003B2B1B">
            <w:pPr>
              <w:ind w:left="6"/>
              <w:rPr>
                <w:sz w:val="24"/>
                <w:szCs w:val="24"/>
                <w:lang w:val="en-US" w:eastAsia="en-GB"/>
              </w:rPr>
            </w:pPr>
            <w:r>
              <w:rPr>
                <w:sz w:val="24"/>
                <w:szCs w:val="24"/>
                <w:lang w:val="en-US" w:eastAsia="en-GB"/>
              </w:rPr>
              <w:t xml:space="preserve">Post vaccinations </w:t>
            </w:r>
            <w:proofErr w:type="spellStart"/>
            <w:r>
              <w:rPr>
                <w:sz w:val="24"/>
                <w:szCs w:val="24"/>
                <w:lang w:val="en-US" w:eastAsia="en-GB"/>
              </w:rPr>
              <w:t>syndrom</w:t>
            </w:r>
            <w:proofErr w:type="spellEnd"/>
          </w:p>
        </w:tc>
        <w:tc>
          <w:tcPr>
            <w:tcW w:w="999" w:type="dxa"/>
            <w:tcBorders>
              <w:top w:val="single" w:sz="4" w:space="0" w:color="auto"/>
              <w:left w:val="single" w:sz="4" w:space="0" w:color="auto"/>
              <w:bottom w:val="single" w:sz="4" w:space="0" w:color="auto"/>
              <w:right w:val="single" w:sz="4" w:space="0" w:color="auto"/>
            </w:tcBorders>
          </w:tcPr>
          <w:p w:rsidR="003B2B1B" w:rsidRDefault="003B2B1B">
            <w:pPr>
              <w:ind w:left="6"/>
              <w:rPr>
                <w:sz w:val="24"/>
                <w:szCs w:val="24"/>
                <w:lang w:val="en-US" w:eastAsia="en-GB"/>
              </w:rPr>
            </w:pPr>
          </w:p>
        </w:tc>
        <w:tc>
          <w:tcPr>
            <w:tcW w:w="1569" w:type="dxa"/>
            <w:tcBorders>
              <w:top w:val="single" w:sz="4" w:space="0" w:color="auto"/>
              <w:left w:val="single" w:sz="4" w:space="0" w:color="auto"/>
              <w:bottom w:val="single" w:sz="4" w:space="0" w:color="auto"/>
              <w:right w:val="single" w:sz="4" w:space="0" w:color="auto"/>
            </w:tcBorders>
          </w:tcPr>
          <w:p w:rsidR="003B2B1B" w:rsidRDefault="003B2B1B">
            <w:pPr>
              <w:ind w:left="6"/>
              <w:rPr>
                <w:sz w:val="24"/>
                <w:szCs w:val="24"/>
                <w:lang w:val="en-US" w:eastAsia="en-GB"/>
              </w:rPr>
            </w:pPr>
          </w:p>
        </w:tc>
      </w:tr>
    </w:tbl>
    <w:p w:rsidR="003B2B1B" w:rsidRDefault="003B2B1B" w:rsidP="003B2B1B">
      <w:pPr>
        <w:ind w:left="851"/>
        <w:rPr>
          <w:i/>
          <w:noProof/>
          <w:sz w:val="22"/>
          <w:szCs w:val="22"/>
        </w:rPr>
      </w:pPr>
    </w:p>
    <w:p w:rsidR="003B2B1B" w:rsidRDefault="003B2B1B" w:rsidP="003B2B1B">
      <w:pPr>
        <w:ind w:left="851"/>
        <w:rPr>
          <w:color w:val="000000"/>
          <w:sz w:val="22"/>
          <w:szCs w:val="22"/>
          <w:lang w:eastAsia="da-DK"/>
        </w:rPr>
      </w:pPr>
      <w:r>
        <w:rPr>
          <w:color w:val="000000"/>
          <w:sz w:val="22"/>
          <w:szCs w:val="22"/>
          <w:lang w:eastAsia="da-DK"/>
        </w:rPr>
        <w:t>*</w:t>
      </w:r>
      <w:r>
        <w:rPr>
          <w:color w:val="000000"/>
          <w:sz w:val="22"/>
          <w:szCs w:val="22"/>
          <w:lang w:eastAsia="da-DK"/>
        </w:rPr>
        <w:tab/>
        <w:t xml:space="preserve">Mere end 2 % (&gt; 2/100) højere forekomst i den gruppe der fik </w:t>
      </w:r>
      <w:proofErr w:type="spellStart"/>
      <w:r>
        <w:rPr>
          <w:color w:val="000000"/>
          <w:sz w:val="22"/>
          <w:szCs w:val="22"/>
        </w:rPr>
        <w:t>glatirameracetat</w:t>
      </w:r>
      <w:proofErr w:type="spellEnd"/>
      <w:r>
        <w:rPr>
          <w:color w:val="000000"/>
          <w:sz w:val="22"/>
          <w:szCs w:val="22"/>
        </w:rPr>
        <w:t>-</w:t>
      </w:r>
      <w:r>
        <w:rPr>
          <w:color w:val="000000"/>
          <w:sz w:val="22"/>
          <w:szCs w:val="22"/>
          <w:lang w:eastAsia="da-DK"/>
        </w:rPr>
        <w:t>behandling end i placebogruppen. Bivirkninger uden * symbolet repræsenterer en forskel på mindre end eller lig med 2 %.</w:t>
      </w:r>
    </w:p>
    <w:p w:rsidR="003B2B1B" w:rsidRDefault="003B2B1B" w:rsidP="003B2B1B">
      <w:pPr>
        <w:ind w:left="851"/>
        <w:rPr>
          <w:color w:val="000000"/>
          <w:sz w:val="22"/>
          <w:szCs w:val="22"/>
          <w:lang w:eastAsia="da-DK"/>
        </w:rPr>
      </w:pPr>
    </w:p>
    <w:p w:rsidR="003B2B1B" w:rsidRDefault="003B2B1B" w:rsidP="003B2B1B">
      <w:pPr>
        <w:ind w:left="851"/>
        <w:rPr>
          <w:color w:val="000000"/>
          <w:sz w:val="22"/>
          <w:szCs w:val="22"/>
          <w:lang w:eastAsia="da-DK"/>
        </w:rPr>
      </w:pPr>
      <w:r>
        <w:rPr>
          <w:color w:val="000000"/>
          <w:sz w:val="22"/>
          <w:szCs w:val="22"/>
          <w:lang w:eastAsia="da-DK"/>
        </w:rPr>
        <w:t xml:space="preserve">§ </w:t>
      </w:r>
      <w:r>
        <w:rPr>
          <w:color w:val="000000"/>
          <w:sz w:val="22"/>
          <w:szCs w:val="22"/>
          <w:lang w:eastAsia="da-DK"/>
        </w:rPr>
        <w:tab/>
        <w:t>Termen ”Reaktioner på administrationsstedet” (forskellige slags) omfatter alle bivirkninger, som opstår på injektionsstedet undtagen atrofi på injektionsstedet samt nekrose på injektionsstedet, som er anført separat i tabellen.</w:t>
      </w:r>
    </w:p>
    <w:p w:rsidR="003B2B1B" w:rsidRDefault="003B2B1B" w:rsidP="003B2B1B">
      <w:pPr>
        <w:ind w:left="851"/>
        <w:rPr>
          <w:color w:val="000000"/>
          <w:sz w:val="22"/>
          <w:szCs w:val="22"/>
          <w:lang w:eastAsia="da-DK"/>
        </w:rPr>
      </w:pPr>
    </w:p>
    <w:p w:rsidR="003B2B1B" w:rsidRDefault="003B2B1B" w:rsidP="003B2B1B">
      <w:pPr>
        <w:ind w:left="851"/>
        <w:rPr>
          <w:color w:val="000000"/>
          <w:sz w:val="22"/>
          <w:szCs w:val="22"/>
          <w:lang w:eastAsia="da-DK"/>
        </w:rPr>
      </w:pPr>
      <w:r>
        <w:rPr>
          <w:color w:val="000000"/>
          <w:sz w:val="22"/>
          <w:szCs w:val="22"/>
          <w:vertAlign w:val="superscript"/>
          <w:lang w:eastAsia="da-DK"/>
        </w:rPr>
        <w:t xml:space="preserve">♣ </w:t>
      </w:r>
      <w:r>
        <w:rPr>
          <w:color w:val="000000"/>
          <w:sz w:val="22"/>
          <w:szCs w:val="22"/>
          <w:vertAlign w:val="superscript"/>
          <w:lang w:eastAsia="da-DK"/>
        </w:rPr>
        <w:tab/>
      </w:r>
      <w:r>
        <w:rPr>
          <w:color w:val="000000"/>
          <w:sz w:val="22"/>
          <w:szCs w:val="22"/>
          <w:lang w:eastAsia="da-DK"/>
        </w:rPr>
        <w:t xml:space="preserve">Omfatter termer som relaterer til lokaliseret </w:t>
      </w:r>
      <w:proofErr w:type="spellStart"/>
      <w:r>
        <w:rPr>
          <w:color w:val="000000"/>
          <w:sz w:val="22"/>
          <w:szCs w:val="22"/>
          <w:lang w:eastAsia="da-DK"/>
        </w:rPr>
        <w:t>lipoatrofi</w:t>
      </w:r>
      <w:proofErr w:type="spellEnd"/>
      <w:r>
        <w:rPr>
          <w:color w:val="000000"/>
          <w:sz w:val="22"/>
          <w:szCs w:val="22"/>
          <w:lang w:eastAsia="da-DK"/>
        </w:rPr>
        <w:t xml:space="preserve"> på injektionsstedet.</w:t>
      </w:r>
    </w:p>
    <w:p w:rsidR="003B2B1B" w:rsidRDefault="003B2B1B" w:rsidP="003B2B1B">
      <w:pPr>
        <w:ind w:left="851"/>
        <w:rPr>
          <w:color w:val="000000"/>
          <w:sz w:val="24"/>
          <w:szCs w:val="24"/>
          <w:lang w:eastAsia="da-DK"/>
        </w:rPr>
      </w:pPr>
    </w:p>
    <w:p w:rsidR="003B2B1B" w:rsidRDefault="003B2B1B" w:rsidP="003B2B1B">
      <w:pPr>
        <w:tabs>
          <w:tab w:val="left" w:pos="740"/>
        </w:tabs>
        <w:ind w:right="-20"/>
      </w:pPr>
      <w:r>
        <w:rPr>
          <w:bCs/>
        </w:rPr>
        <w:tab/>
        <w:t>#</w:t>
      </w:r>
      <w:r>
        <w:rPr>
          <w:bCs/>
        </w:rPr>
        <w:tab/>
      </w:r>
      <w:r>
        <w:t>Der er blevet rapporteret få tilfælde med levertransplantation.</w:t>
      </w:r>
    </w:p>
    <w:p w:rsidR="003B2B1B" w:rsidRDefault="003B2B1B" w:rsidP="003B2B1B">
      <w:pPr>
        <w:autoSpaceDE w:val="0"/>
        <w:autoSpaceDN w:val="0"/>
        <w:adjustRightInd w:val="0"/>
        <w:ind w:left="851"/>
        <w:rPr>
          <w:noProof/>
          <w:sz w:val="24"/>
          <w:szCs w:val="24"/>
        </w:rPr>
      </w:pPr>
    </w:p>
    <w:p w:rsidR="003B2B1B" w:rsidRDefault="003B2B1B" w:rsidP="003B2B1B">
      <w:pPr>
        <w:autoSpaceDE w:val="0"/>
        <w:autoSpaceDN w:val="0"/>
        <w:adjustRightInd w:val="0"/>
        <w:ind w:left="851"/>
        <w:rPr>
          <w:noProof/>
          <w:sz w:val="24"/>
          <w:szCs w:val="24"/>
        </w:rPr>
      </w:pPr>
      <w:r>
        <w:rPr>
          <w:noProof/>
          <w:sz w:val="24"/>
          <w:szCs w:val="24"/>
        </w:rPr>
        <w:lastRenderedPageBreak/>
        <w:t xml:space="preserve">I det fjerde studie nævnt ovenfor blev der efter den placebokontrollerede fase lavet en åben behandlingsfase. Der blev i det åbne opfølgningsstudiet i en periode på op til 5 år ikke observeret nogen ændring i den kendte risikoprofil for </w:t>
      </w:r>
      <w:proofErr w:type="spellStart"/>
      <w:r>
        <w:rPr>
          <w:color w:val="000000"/>
          <w:sz w:val="24"/>
          <w:szCs w:val="24"/>
        </w:rPr>
        <w:t>glatirameracetat</w:t>
      </w:r>
      <w:proofErr w:type="spellEnd"/>
      <w:r>
        <w:rPr>
          <w:color w:val="000000"/>
          <w:sz w:val="24"/>
          <w:szCs w:val="24"/>
        </w:rPr>
        <w:t xml:space="preserve"> </w:t>
      </w:r>
      <w:r>
        <w:rPr>
          <w:sz w:val="24"/>
          <w:szCs w:val="24"/>
        </w:rPr>
        <w:t>20 mg/ml</w:t>
      </w:r>
      <w:r>
        <w:rPr>
          <w:noProof/>
          <w:sz w:val="24"/>
          <w:szCs w:val="24"/>
        </w:rPr>
        <w:t>.</w:t>
      </w:r>
    </w:p>
    <w:p w:rsidR="003B2B1B" w:rsidRDefault="003B2B1B" w:rsidP="00911B55">
      <w:pPr>
        <w:autoSpaceDE w:val="0"/>
        <w:autoSpaceDN w:val="0"/>
        <w:adjustRightInd w:val="0"/>
        <w:rPr>
          <w:noProof/>
          <w:sz w:val="24"/>
          <w:szCs w:val="24"/>
        </w:rPr>
      </w:pPr>
    </w:p>
    <w:p w:rsidR="003B2B1B" w:rsidRDefault="003B2B1B" w:rsidP="003B2B1B">
      <w:pPr>
        <w:ind w:left="851"/>
        <w:rPr>
          <w:sz w:val="24"/>
          <w:szCs w:val="24"/>
          <w:u w:val="single"/>
        </w:rPr>
      </w:pPr>
      <w:proofErr w:type="spellStart"/>
      <w:r>
        <w:rPr>
          <w:color w:val="000000"/>
          <w:sz w:val="24"/>
          <w:szCs w:val="24"/>
          <w:u w:val="single"/>
        </w:rPr>
        <w:t>Glatirameracetat</w:t>
      </w:r>
      <w:proofErr w:type="spellEnd"/>
      <w:r>
        <w:rPr>
          <w:sz w:val="24"/>
          <w:szCs w:val="24"/>
          <w:u w:val="single"/>
        </w:rPr>
        <w:t xml:space="preserve"> 40 mg/ml (administreret tre gange om ugen)</w:t>
      </w:r>
    </w:p>
    <w:p w:rsidR="003B2B1B" w:rsidRDefault="003B2B1B" w:rsidP="003B2B1B">
      <w:pPr>
        <w:ind w:left="851"/>
        <w:rPr>
          <w:sz w:val="24"/>
          <w:szCs w:val="24"/>
        </w:rPr>
      </w:pPr>
      <w:r>
        <w:rPr>
          <w:sz w:val="24"/>
          <w:szCs w:val="24"/>
        </w:rPr>
        <w:t xml:space="preserve">Sikkerheden af </w:t>
      </w:r>
      <w:proofErr w:type="spellStart"/>
      <w:r>
        <w:rPr>
          <w:color w:val="000000"/>
          <w:sz w:val="24"/>
          <w:szCs w:val="24"/>
        </w:rPr>
        <w:t>glatirameracetat</w:t>
      </w:r>
      <w:proofErr w:type="spellEnd"/>
      <w:r>
        <w:rPr>
          <w:sz w:val="24"/>
          <w:szCs w:val="24"/>
        </w:rPr>
        <w:t xml:space="preserve"> 40 mg/ml blev vurderet på basis af på et dobbeltblindt, placebokontrolleret klinisk studie med patienter med RRMS, hvor i alt 943 patienter blev behandlet med </w:t>
      </w:r>
      <w:proofErr w:type="spellStart"/>
      <w:r>
        <w:rPr>
          <w:color w:val="000000"/>
          <w:sz w:val="24"/>
          <w:szCs w:val="24"/>
        </w:rPr>
        <w:t>glatirameracetat</w:t>
      </w:r>
      <w:proofErr w:type="spellEnd"/>
      <w:r>
        <w:rPr>
          <w:sz w:val="24"/>
          <w:szCs w:val="24"/>
        </w:rPr>
        <w:t xml:space="preserve"> 40 mg/ml tre gange om ugen, og 461 patienter blev behandlet med placebo i 12 måneder.</w:t>
      </w:r>
    </w:p>
    <w:p w:rsidR="003B2B1B" w:rsidRDefault="003B2B1B" w:rsidP="003B2B1B">
      <w:pPr>
        <w:ind w:left="851"/>
        <w:rPr>
          <w:sz w:val="24"/>
          <w:szCs w:val="24"/>
        </w:rPr>
      </w:pPr>
    </w:p>
    <w:p w:rsidR="003B2B1B" w:rsidRDefault="003B2B1B" w:rsidP="003B2B1B">
      <w:pPr>
        <w:ind w:left="851"/>
        <w:rPr>
          <w:sz w:val="24"/>
          <w:szCs w:val="24"/>
        </w:rPr>
      </w:pPr>
      <w:r>
        <w:rPr>
          <w:sz w:val="24"/>
          <w:szCs w:val="24"/>
        </w:rPr>
        <w:t xml:space="preserve">Generelt var de bivirkninger, der blev observeret hos patienter i behandling med </w:t>
      </w:r>
      <w:proofErr w:type="spellStart"/>
      <w:r>
        <w:rPr>
          <w:color w:val="000000"/>
          <w:sz w:val="24"/>
          <w:szCs w:val="24"/>
        </w:rPr>
        <w:t>glatirameracetat</w:t>
      </w:r>
      <w:proofErr w:type="spellEnd"/>
      <w:r>
        <w:rPr>
          <w:sz w:val="24"/>
          <w:szCs w:val="24"/>
        </w:rPr>
        <w:t xml:space="preserve"> 40 mg/ml, administreret tre gange om ugen, de samme bivirkninger, der allerede var kendte og registrerede for </w:t>
      </w:r>
      <w:proofErr w:type="spellStart"/>
      <w:r>
        <w:rPr>
          <w:color w:val="000000"/>
          <w:sz w:val="24"/>
          <w:szCs w:val="24"/>
        </w:rPr>
        <w:t>glatirameracetat</w:t>
      </w:r>
      <w:proofErr w:type="spellEnd"/>
      <w:r>
        <w:rPr>
          <w:sz w:val="24"/>
          <w:szCs w:val="24"/>
        </w:rPr>
        <w:t xml:space="preserve"> 20 mg/ml administreret daglig.  Især blev bivirkninger på injektionsstedet (</w:t>
      </w:r>
      <w:proofErr w:type="spellStart"/>
      <w:r>
        <w:rPr>
          <w:i/>
          <w:sz w:val="24"/>
          <w:szCs w:val="24"/>
        </w:rPr>
        <w:t>injection</w:t>
      </w:r>
      <w:proofErr w:type="spellEnd"/>
      <w:r>
        <w:rPr>
          <w:i/>
          <w:sz w:val="24"/>
          <w:szCs w:val="24"/>
        </w:rPr>
        <w:t xml:space="preserve"> site </w:t>
      </w:r>
      <w:proofErr w:type="spellStart"/>
      <w:r>
        <w:rPr>
          <w:i/>
          <w:sz w:val="24"/>
          <w:szCs w:val="24"/>
        </w:rPr>
        <w:t>reactions</w:t>
      </w:r>
      <w:proofErr w:type="spellEnd"/>
      <w:r>
        <w:rPr>
          <w:i/>
          <w:sz w:val="24"/>
          <w:szCs w:val="24"/>
        </w:rPr>
        <w:t>, ISR</w:t>
      </w:r>
      <w:r>
        <w:rPr>
          <w:sz w:val="24"/>
          <w:szCs w:val="24"/>
        </w:rPr>
        <w:t>) og øjeblikkelige postinjektionsreaktioner (</w:t>
      </w:r>
      <w:proofErr w:type="spellStart"/>
      <w:r>
        <w:rPr>
          <w:i/>
          <w:sz w:val="24"/>
          <w:szCs w:val="24"/>
        </w:rPr>
        <w:t>immediate</w:t>
      </w:r>
      <w:proofErr w:type="spellEnd"/>
      <w:r>
        <w:rPr>
          <w:i/>
          <w:sz w:val="24"/>
          <w:szCs w:val="24"/>
        </w:rPr>
        <w:t xml:space="preserve"> post </w:t>
      </w:r>
      <w:proofErr w:type="spellStart"/>
      <w:r>
        <w:rPr>
          <w:i/>
          <w:sz w:val="24"/>
          <w:szCs w:val="24"/>
        </w:rPr>
        <w:t>injection</w:t>
      </w:r>
      <w:proofErr w:type="spellEnd"/>
      <w:r>
        <w:rPr>
          <w:i/>
          <w:sz w:val="24"/>
          <w:szCs w:val="24"/>
        </w:rPr>
        <w:t xml:space="preserve"> </w:t>
      </w:r>
      <w:proofErr w:type="spellStart"/>
      <w:r>
        <w:rPr>
          <w:i/>
          <w:sz w:val="24"/>
          <w:szCs w:val="24"/>
        </w:rPr>
        <w:t>reactions</w:t>
      </w:r>
      <w:proofErr w:type="spellEnd"/>
      <w:r>
        <w:rPr>
          <w:i/>
          <w:sz w:val="24"/>
          <w:szCs w:val="24"/>
        </w:rPr>
        <w:t>, IPIR</w:t>
      </w:r>
      <w:r>
        <w:rPr>
          <w:sz w:val="24"/>
          <w:szCs w:val="24"/>
        </w:rPr>
        <w:t xml:space="preserve">) rapporteret med en mindre hyppighed for </w:t>
      </w:r>
      <w:proofErr w:type="spellStart"/>
      <w:r>
        <w:rPr>
          <w:color w:val="000000"/>
          <w:sz w:val="24"/>
          <w:szCs w:val="24"/>
        </w:rPr>
        <w:t>glatirameracetat</w:t>
      </w:r>
      <w:proofErr w:type="spellEnd"/>
      <w:r>
        <w:rPr>
          <w:sz w:val="24"/>
          <w:szCs w:val="24"/>
        </w:rPr>
        <w:t xml:space="preserve"> 40 mg/ml administreret tre gange om ugen, end for </w:t>
      </w:r>
      <w:proofErr w:type="spellStart"/>
      <w:r>
        <w:rPr>
          <w:color w:val="000000"/>
          <w:sz w:val="24"/>
          <w:szCs w:val="24"/>
        </w:rPr>
        <w:t>glatirameracetat</w:t>
      </w:r>
      <w:proofErr w:type="spellEnd"/>
      <w:r>
        <w:rPr>
          <w:sz w:val="24"/>
          <w:szCs w:val="24"/>
        </w:rPr>
        <w:t xml:space="preserve"> 20 mg/ml administreret daglig (35,5 % vs. 70 % for </w:t>
      </w:r>
      <w:proofErr w:type="spellStart"/>
      <w:r>
        <w:rPr>
          <w:sz w:val="24"/>
          <w:szCs w:val="24"/>
        </w:rPr>
        <w:t>ISR’er</w:t>
      </w:r>
      <w:proofErr w:type="spellEnd"/>
      <w:r>
        <w:rPr>
          <w:sz w:val="24"/>
          <w:szCs w:val="24"/>
        </w:rPr>
        <w:t xml:space="preserve"> og 7,8 % vs. 31 % for </w:t>
      </w:r>
      <w:proofErr w:type="spellStart"/>
      <w:r>
        <w:rPr>
          <w:sz w:val="24"/>
          <w:szCs w:val="24"/>
        </w:rPr>
        <w:t>IPIR’er</w:t>
      </w:r>
      <w:proofErr w:type="spellEnd"/>
      <w:r>
        <w:rPr>
          <w:sz w:val="24"/>
          <w:szCs w:val="24"/>
        </w:rPr>
        <w:t>).</w:t>
      </w:r>
    </w:p>
    <w:p w:rsidR="003B2B1B" w:rsidRDefault="003B2B1B" w:rsidP="003B2B1B">
      <w:pPr>
        <w:ind w:left="851"/>
        <w:rPr>
          <w:sz w:val="24"/>
          <w:szCs w:val="24"/>
        </w:rPr>
      </w:pPr>
    </w:p>
    <w:p w:rsidR="003B2B1B" w:rsidRDefault="003B2B1B" w:rsidP="003B2B1B">
      <w:pPr>
        <w:ind w:left="851"/>
        <w:rPr>
          <w:sz w:val="24"/>
          <w:szCs w:val="24"/>
        </w:rPr>
      </w:pPr>
      <w:r>
        <w:rPr>
          <w:sz w:val="24"/>
          <w:szCs w:val="24"/>
        </w:rPr>
        <w:t xml:space="preserve">Reaktioner på injektionsstedet blev rapporteret hos 36 % af patienterne, der fik </w:t>
      </w:r>
      <w:proofErr w:type="spellStart"/>
      <w:r>
        <w:rPr>
          <w:color w:val="000000"/>
          <w:sz w:val="24"/>
          <w:szCs w:val="24"/>
        </w:rPr>
        <w:t>glatirameracetat</w:t>
      </w:r>
      <w:proofErr w:type="spellEnd"/>
      <w:r>
        <w:rPr>
          <w:sz w:val="24"/>
          <w:szCs w:val="24"/>
        </w:rPr>
        <w:t xml:space="preserve"> 40 mg/ml, sammenlignet med 5 %, der fik placebo. Øjeblikkelig postinjektionsreaktion blev rapporteret hos 8 % af de patienter, der fik </w:t>
      </w:r>
      <w:proofErr w:type="spellStart"/>
      <w:r>
        <w:rPr>
          <w:color w:val="000000"/>
          <w:sz w:val="24"/>
          <w:szCs w:val="24"/>
        </w:rPr>
        <w:t>glatirameracetat</w:t>
      </w:r>
      <w:proofErr w:type="spellEnd"/>
      <w:r>
        <w:rPr>
          <w:sz w:val="24"/>
          <w:szCs w:val="24"/>
        </w:rPr>
        <w:t xml:space="preserve"> 40 mg/ml, sammenlignet med 2 %, der fik placebo.</w:t>
      </w:r>
    </w:p>
    <w:p w:rsidR="003B2B1B" w:rsidRDefault="003B2B1B" w:rsidP="003B2B1B">
      <w:pPr>
        <w:ind w:left="851"/>
        <w:rPr>
          <w:sz w:val="24"/>
          <w:szCs w:val="24"/>
        </w:rPr>
      </w:pPr>
    </w:p>
    <w:p w:rsidR="00911B55" w:rsidRPr="00911B55" w:rsidRDefault="00911B55" w:rsidP="00911B55">
      <w:pPr>
        <w:ind w:left="851"/>
        <w:rPr>
          <w:sz w:val="24"/>
          <w:szCs w:val="24"/>
          <w:u w:val="single"/>
        </w:rPr>
      </w:pPr>
      <w:r>
        <w:rPr>
          <w:sz w:val="24"/>
          <w:szCs w:val="24"/>
          <w:u w:val="single"/>
        </w:rPr>
        <w:t>Beskrivelse af udvalgte bivirkninger</w:t>
      </w:r>
    </w:p>
    <w:p w:rsidR="00911B55" w:rsidRPr="00911B55" w:rsidRDefault="00911B55" w:rsidP="00911B55">
      <w:pPr>
        <w:numPr>
          <w:ilvl w:val="0"/>
          <w:numId w:val="10"/>
        </w:numPr>
        <w:autoSpaceDE w:val="0"/>
        <w:autoSpaceDN w:val="0"/>
        <w:adjustRightInd w:val="0"/>
        <w:ind w:left="1134" w:hanging="283"/>
        <w:rPr>
          <w:sz w:val="24"/>
          <w:szCs w:val="24"/>
        </w:rPr>
      </w:pPr>
      <w:proofErr w:type="spellStart"/>
      <w:r w:rsidRPr="00911B55">
        <w:rPr>
          <w:sz w:val="24"/>
          <w:szCs w:val="24"/>
        </w:rPr>
        <w:t>Anafylaktiske</w:t>
      </w:r>
      <w:proofErr w:type="spellEnd"/>
      <w:r w:rsidRPr="00911B55">
        <w:rPr>
          <w:sz w:val="24"/>
          <w:szCs w:val="24"/>
        </w:rPr>
        <w:t xml:space="preserve"> reaktioner kan forekomme kort efter administration af </w:t>
      </w:r>
      <w:proofErr w:type="spellStart"/>
      <w:r w:rsidRPr="00911B55">
        <w:rPr>
          <w:sz w:val="24"/>
          <w:szCs w:val="24"/>
        </w:rPr>
        <w:t>glatirameracetat</w:t>
      </w:r>
      <w:proofErr w:type="spellEnd"/>
      <w:r w:rsidRPr="00911B55">
        <w:rPr>
          <w:sz w:val="24"/>
          <w:szCs w:val="24"/>
        </w:rPr>
        <w:t>, men også måneder eller år efter initiering af behandlingen (se pkt. 4.4).</w:t>
      </w:r>
    </w:p>
    <w:p w:rsidR="003B2B1B" w:rsidRDefault="003B2B1B" w:rsidP="003B2B1B">
      <w:pPr>
        <w:numPr>
          <w:ilvl w:val="0"/>
          <w:numId w:val="10"/>
        </w:numPr>
        <w:autoSpaceDE w:val="0"/>
        <w:autoSpaceDN w:val="0"/>
        <w:adjustRightInd w:val="0"/>
        <w:ind w:left="1134" w:hanging="283"/>
        <w:rPr>
          <w:sz w:val="24"/>
          <w:szCs w:val="24"/>
        </w:rPr>
      </w:pPr>
      <w:r>
        <w:rPr>
          <w:sz w:val="24"/>
          <w:szCs w:val="24"/>
        </w:rPr>
        <w:t>Der blev ikke rapporteret nekrose på injektionsstedet.</w:t>
      </w:r>
    </w:p>
    <w:p w:rsidR="003B2B1B" w:rsidRDefault="003B2B1B" w:rsidP="003B2B1B">
      <w:pPr>
        <w:numPr>
          <w:ilvl w:val="0"/>
          <w:numId w:val="10"/>
        </w:numPr>
        <w:autoSpaceDE w:val="0"/>
        <w:autoSpaceDN w:val="0"/>
        <w:adjustRightInd w:val="0"/>
        <w:ind w:left="1134" w:hanging="283"/>
        <w:rPr>
          <w:sz w:val="24"/>
          <w:szCs w:val="24"/>
        </w:rPr>
      </w:pPr>
      <w:proofErr w:type="spellStart"/>
      <w:r>
        <w:rPr>
          <w:sz w:val="24"/>
          <w:szCs w:val="24"/>
        </w:rPr>
        <w:t>Huderytem</w:t>
      </w:r>
      <w:proofErr w:type="spellEnd"/>
      <w:r>
        <w:rPr>
          <w:sz w:val="24"/>
          <w:szCs w:val="24"/>
        </w:rPr>
        <w:t xml:space="preserve"> og smerter i ekstremiteterne, som ikke er registreret for </w:t>
      </w:r>
      <w:proofErr w:type="spellStart"/>
      <w:r>
        <w:rPr>
          <w:color w:val="000000"/>
          <w:sz w:val="24"/>
          <w:szCs w:val="24"/>
        </w:rPr>
        <w:t>glatirameracetat</w:t>
      </w:r>
      <w:proofErr w:type="spellEnd"/>
      <w:r>
        <w:rPr>
          <w:sz w:val="24"/>
          <w:szCs w:val="24"/>
        </w:rPr>
        <w:t xml:space="preserve"> 20 mg/ml, blev rapporteret hos 2,1 % af patienterne, der fik </w:t>
      </w:r>
      <w:proofErr w:type="spellStart"/>
      <w:r>
        <w:rPr>
          <w:color w:val="000000"/>
          <w:sz w:val="24"/>
          <w:szCs w:val="24"/>
        </w:rPr>
        <w:t>glatirameracetat</w:t>
      </w:r>
      <w:proofErr w:type="spellEnd"/>
      <w:r>
        <w:rPr>
          <w:sz w:val="24"/>
          <w:szCs w:val="24"/>
        </w:rPr>
        <w:t xml:space="preserve"> 40 mg/ml (almindelig</w:t>
      </w:r>
      <w:r>
        <w:rPr>
          <w:noProof/>
          <w:sz w:val="24"/>
          <w:szCs w:val="24"/>
        </w:rPr>
        <w:t xml:space="preserve">: </w:t>
      </w:r>
      <w:r>
        <w:rPr>
          <w:noProof/>
          <w:sz w:val="24"/>
          <w:szCs w:val="24"/>
        </w:rPr>
        <w:sym w:font="Symbol" w:char="F0B3"/>
      </w:r>
      <w:r>
        <w:rPr>
          <w:noProof/>
          <w:sz w:val="24"/>
          <w:szCs w:val="24"/>
        </w:rPr>
        <w:t> 1/100 til &lt; 1/10)</w:t>
      </w:r>
      <w:r>
        <w:rPr>
          <w:sz w:val="24"/>
          <w:szCs w:val="24"/>
        </w:rPr>
        <w:t>.</w:t>
      </w:r>
    </w:p>
    <w:p w:rsidR="003B2B1B" w:rsidRDefault="003B2B1B" w:rsidP="003B2B1B">
      <w:pPr>
        <w:numPr>
          <w:ilvl w:val="0"/>
          <w:numId w:val="10"/>
        </w:numPr>
        <w:autoSpaceDE w:val="0"/>
        <w:autoSpaceDN w:val="0"/>
        <w:adjustRightInd w:val="0"/>
        <w:ind w:left="1134" w:hanging="283"/>
        <w:rPr>
          <w:sz w:val="24"/>
          <w:szCs w:val="24"/>
        </w:rPr>
      </w:pPr>
      <w:r>
        <w:rPr>
          <w:sz w:val="24"/>
          <w:szCs w:val="24"/>
        </w:rPr>
        <w:t xml:space="preserve">Både lægemiddelinduceret leverskade og toksisk hepatitis blev rapporteret hos en patient (0,1 %), der fik </w:t>
      </w:r>
      <w:proofErr w:type="spellStart"/>
      <w:r>
        <w:rPr>
          <w:color w:val="000000"/>
          <w:sz w:val="24"/>
          <w:szCs w:val="24"/>
        </w:rPr>
        <w:t>glatirameracetat</w:t>
      </w:r>
      <w:proofErr w:type="spellEnd"/>
      <w:r>
        <w:rPr>
          <w:sz w:val="24"/>
          <w:szCs w:val="24"/>
        </w:rPr>
        <w:t xml:space="preserve"> 40 mg/ml (ikke almindelig</w:t>
      </w:r>
      <w:r>
        <w:rPr>
          <w:noProof/>
          <w:sz w:val="24"/>
          <w:szCs w:val="24"/>
        </w:rPr>
        <w:t xml:space="preserve">: </w:t>
      </w:r>
      <w:r>
        <w:rPr>
          <w:noProof/>
          <w:sz w:val="24"/>
          <w:szCs w:val="24"/>
        </w:rPr>
        <w:sym w:font="Symbol" w:char="F0B3"/>
      </w:r>
      <w:r>
        <w:rPr>
          <w:noProof/>
          <w:sz w:val="24"/>
          <w:szCs w:val="24"/>
        </w:rPr>
        <w:t> 1/1.000 til &lt; 1/100</w:t>
      </w:r>
      <w:r>
        <w:rPr>
          <w:sz w:val="24"/>
          <w:szCs w:val="24"/>
        </w:rPr>
        <w:t>).</w:t>
      </w:r>
    </w:p>
    <w:p w:rsidR="00814024" w:rsidRDefault="00814024" w:rsidP="00814024">
      <w:pPr>
        <w:ind w:left="1134" w:hanging="283"/>
        <w:rPr>
          <w:i/>
          <w:noProof/>
          <w:sz w:val="24"/>
          <w:szCs w:val="24"/>
        </w:rPr>
      </w:pPr>
    </w:p>
    <w:p w:rsidR="00814024" w:rsidRDefault="00814024" w:rsidP="00814024">
      <w:pPr>
        <w:autoSpaceDE w:val="0"/>
        <w:autoSpaceDN w:val="0"/>
        <w:adjustRightInd w:val="0"/>
        <w:ind w:left="851"/>
        <w:rPr>
          <w:sz w:val="24"/>
          <w:szCs w:val="24"/>
          <w:u w:val="single"/>
        </w:rPr>
      </w:pPr>
      <w:r>
        <w:rPr>
          <w:noProof/>
          <w:sz w:val="24"/>
          <w:szCs w:val="24"/>
          <w:u w:val="single"/>
        </w:rPr>
        <w:t>Indberetning af formodede bivirkninger</w:t>
      </w:r>
    </w:p>
    <w:p w:rsidR="00814024" w:rsidRDefault="00814024" w:rsidP="00814024">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6A49D3">
        <w:rPr>
          <w:sz w:val="24"/>
          <w:szCs w:val="24"/>
        </w:rPr>
        <w:t>S</w:t>
      </w:r>
      <w:r>
        <w:rPr>
          <w:noProof/>
          <w:sz w:val="24"/>
          <w:szCs w:val="24"/>
        </w:rPr>
        <w:t>undhedsperson</w:t>
      </w:r>
      <w:r w:rsidR="006A49D3">
        <w:rPr>
          <w:noProof/>
          <w:sz w:val="24"/>
          <w:szCs w:val="24"/>
        </w:rPr>
        <w:t>er</w:t>
      </w:r>
      <w:r>
        <w:rPr>
          <w:noProof/>
          <w:sz w:val="24"/>
          <w:szCs w:val="24"/>
        </w:rPr>
        <w:t xml:space="preserve"> anmodes om at indberette alle formodede bivirkninger via: </w:t>
      </w:r>
    </w:p>
    <w:p w:rsidR="00814024" w:rsidRDefault="00814024" w:rsidP="00814024">
      <w:pPr>
        <w:autoSpaceDE w:val="0"/>
        <w:autoSpaceDN w:val="0"/>
        <w:adjustRightInd w:val="0"/>
        <w:ind w:left="851"/>
        <w:rPr>
          <w:noProof/>
          <w:sz w:val="24"/>
          <w:szCs w:val="24"/>
        </w:rPr>
      </w:pPr>
    </w:p>
    <w:p w:rsidR="00814024" w:rsidRDefault="00814024" w:rsidP="00814024">
      <w:pPr>
        <w:autoSpaceDE w:val="0"/>
        <w:autoSpaceDN w:val="0"/>
        <w:adjustRightInd w:val="0"/>
        <w:ind w:left="851"/>
        <w:rPr>
          <w:sz w:val="24"/>
          <w:szCs w:val="24"/>
          <w:lang w:eastAsia="da-DK"/>
        </w:rPr>
      </w:pPr>
      <w:r>
        <w:rPr>
          <w:sz w:val="24"/>
          <w:szCs w:val="24"/>
        </w:rPr>
        <w:t>Lægemiddelstyrelsen</w:t>
      </w:r>
    </w:p>
    <w:p w:rsidR="00814024" w:rsidRDefault="00814024" w:rsidP="00814024">
      <w:pPr>
        <w:widowControl w:val="0"/>
        <w:tabs>
          <w:tab w:val="left" w:pos="567"/>
          <w:tab w:val="left" w:pos="851"/>
          <w:tab w:val="center" w:pos="4320"/>
          <w:tab w:val="right" w:pos="8640"/>
        </w:tabs>
        <w:ind w:left="851"/>
        <w:rPr>
          <w:sz w:val="24"/>
          <w:szCs w:val="24"/>
        </w:rPr>
      </w:pPr>
      <w:r>
        <w:rPr>
          <w:sz w:val="24"/>
          <w:szCs w:val="24"/>
        </w:rPr>
        <w:t>Axel Heides Gade 1</w:t>
      </w:r>
    </w:p>
    <w:p w:rsidR="00814024" w:rsidRDefault="00814024" w:rsidP="00814024">
      <w:pPr>
        <w:widowControl w:val="0"/>
        <w:tabs>
          <w:tab w:val="left" w:pos="567"/>
          <w:tab w:val="left" w:pos="851"/>
          <w:tab w:val="center" w:pos="4320"/>
          <w:tab w:val="right" w:pos="8640"/>
        </w:tabs>
        <w:ind w:left="851"/>
        <w:rPr>
          <w:sz w:val="24"/>
          <w:szCs w:val="24"/>
        </w:rPr>
      </w:pPr>
      <w:r>
        <w:rPr>
          <w:sz w:val="24"/>
          <w:szCs w:val="24"/>
        </w:rPr>
        <w:t>DK-2300 København S</w:t>
      </w:r>
    </w:p>
    <w:p w:rsidR="00814024" w:rsidRPr="008F7F1B" w:rsidRDefault="00814024" w:rsidP="00814024">
      <w:pPr>
        <w:widowControl w:val="0"/>
        <w:tabs>
          <w:tab w:val="left" w:pos="567"/>
          <w:tab w:val="left" w:pos="851"/>
          <w:tab w:val="center" w:pos="4320"/>
          <w:tab w:val="right" w:pos="8640"/>
        </w:tabs>
        <w:ind w:left="851"/>
        <w:rPr>
          <w:sz w:val="24"/>
          <w:szCs w:val="24"/>
        </w:rPr>
      </w:pPr>
      <w:r w:rsidRPr="008F7F1B">
        <w:rPr>
          <w:sz w:val="24"/>
          <w:szCs w:val="24"/>
        </w:rPr>
        <w:t xml:space="preserve">Websted: </w:t>
      </w:r>
      <w:hyperlink r:id="rId8" w:history="1">
        <w:r w:rsidRPr="008F7F1B">
          <w:rPr>
            <w:rStyle w:val="Hyperlink"/>
            <w:color w:val="0000FF"/>
            <w:sz w:val="24"/>
            <w:szCs w:val="24"/>
          </w:rPr>
          <w:t>www.meldenbivirkning.dk</w:t>
        </w:r>
      </w:hyperlink>
    </w:p>
    <w:p w:rsidR="006508AD" w:rsidRPr="008F7F1B" w:rsidRDefault="006508AD" w:rsidP="006508AD">
      <w:pPr>
        <w:pStyle w:val="Sidehoved"/>
        <w:tabs>
          <w:tab w:val="left" w:pos="851"/>
        </w:tabs>
        <w:ind w:left="851"/>
        <w:rPr>
          <w:szCs w:val="24"/>
        </w:rPr>
      </w:pPr>
    </w:p>
    <w:p w:rsidR="006508AD" w:rsidRPr="008F7F1B" w:rsidRDefault="006508AD" w:rsidP="006508AD">
      <w:pPr>
        <w:tabs>
          <w:tab w:val="left" w:pos="851"/>
        </w:tabs>
        <w:ind w:left="851" w:hanging="851"/>
        <w:rPr>
          <w:b/>
          <w:sz w:val="24"/>
          <w:szCs w:val="24"/>
        </w:rPr>
      </w:pPr>
      <w:r w:rsidRPr="008F7F1B">
        <w:rPr>
          <w:b/>
          <w:sz w:val="24"/>
          <w:szCs w:val="24"/>
        </w:rPr>
        <w:t>4.9</w:t>
      </w:r>
      <w:r w:rsidRPr="008F7F1B">
        <w:rPr>
          <w:b/>
          <w:sz w:val="24"/>
          <w:szCs w:val="24"/>
        </w:rPr>
        <w:tab/>
        <w:t>Overdosering</w:t>
      </w:r>
    </w:p>
    <w:p w:rsidR="00814024" w:rsidRPr="008F7F1B" w:rsidRDefault="00814024" w:rsidP="00814024">
      <w:pPr>
        <w:suppressAutoHyphens/>
        <w:ind w:left="851"/>
        <w:rPr>
          <w:sz w:val="24"/>
          <w:szCs w:val="24"/>
          <w:u w:val="single"/>
        </w:rPr>
      </w:pPr>
      <w:r w:rsidRPr="008F7F1B">
        <w:rPr>
          <w:sz w:val="24"/>
          <w:szCs w:val="24"/>
          <w:u w:val="single"/>
        </w:rPr>
        <w:t>Symptomer</w:t>
      </w:r>
    </w:p>
    <w:p w:rsidR="00814024" w:rsidRDefault="00814024" w:rsidP="00814024">
      <w:pPr>
        <w:suppressAutoHyphens/>
        <w:ind w:left="851"/>
        <w:rPr>
          <w:sz w:val="24"/>
          <w:szCs w:val="24"/>
        </w:rPr>
      </w:pPr>
      <w:r>
        <w:rPr>
          <w:sz w:val="24"/>
          <w:szCs w:val="24"/>
        </w:rPr>
        <w:t xml:space="preserve">Der er rapporteret om få tilfælde af overdosering med </w:t>
      </w:r>
      <w:proofErr w:type="spellStart"/>
      <w:r>
        <w:rPr>
          <w:color w:val="000000"/>
          <w:sz w:val="24"/>
          <w:szCs w:val="24"/>
        </w:rPr>
        <w:t>glatirameracetat</w:t>
      </w:r>
      <w:proofErr w:type="spellEnd"/>
      <w:r>
        <w:rPr>
          <w:sz w:val="24"/>
          <w:szCs w:val="24"/>
        </w:rPr>
        <w:t xml:space="preserve"> (op til 300 mg </w:t>
      </w:r>
      <w:proofErr w:type="spellStart"/>
      <w:r>
        <w:rPr>
          <w:sz w:val="24"/>
          <w:szCs w:val="24"/>
        </w:rPr>
        <w:t>glatirameracetat</w:t>
      </w:r>
      <w:proofErr w:type="spellEnd"/>
      <w:r>
        <w:rPr>
          <w:sz w:val="24"/>
          <w:szCs w:val="24"/>
        </w:rPr>
        <w:t>). I forbindelse med disse tilfælde blev der ikke set andre utilsigtede hændelse end de nævnte i pkt. 4.8.</w:t>
      </w:r>
    </w:p>
    <w:p w:rsidR="00814024" w:rsidRDefault="00814024" w:rsidP="00814024">
      <w:pPr>
        <w:suppressAutoHyphens/>
        <w:ind w:left="851"/>
        <w:rPr>
          <w:sz w:val="24"/>
          <w:szCs w:val="24"/>
        </w:rPr>
      </w:pPr>
    </w:p>
    <w:p w:rsidR="00814024" w:rsidRDefault="00814024" w:rsidP="00814024">
      <w:pPr>
        <w:suppressAutoHyphens/>
        <w:ind w:left="851"/>
        <w:rPr>
          <w:sz w:val="24"/>
          <w:szCs w:val="24"/>
          <w:u w:val="single"/>
        </w:rPr>
      </w:pPr>
      <w:r>
        <w:rPr>
          <w:sz w:val="24"/>
          <w:szCs w:val="24"/>
          <w:u w:val="single"/>
        </w:rPr>
        <w:lastRenderedPageBreak/>
        <w:t>Behandling</w:t>
      </w:r>
    </w:p>
    <w:p w:rsidR="00814024" w:rsidRDefault="00814024" w:rsidP="00814024">
      <w:pPr>
        <w:suppressAutoHyphens/>
        <w:ind w:left="851"/>
        <w:rPr>
          <w:sz w:val="24"/>
          <w:szCs w:val="24"/>
        </w:rPr>
      </w:pPr>
      <w:r>
        <w:rPr>
          <w:sz w:val="24"/>
          <w:szCs w:val="24"/>
        </w:rPr>
        <w:t>I tilfælde af overdosering, bør patienten overvåges, og hensigtsmæssig symptomatisk og understøttende behandling initieres.</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4.10</w:t>
      </w:r>
      <w:r w:rsidRPr="00C84483">
        <w:rPr>
          <w:b/>
          <w:sz w:val="24"/>
          <w:szCs w:val="24"/>
        </w:rPr>
        <w:tab/>
        <w:t>Udlevering</w:t>
      </w:r>
    </w:p>
    <w:p w:rsidR="006508AD" w:rsidRPr="00C84483" w:rsidRDefault="006508AD" w:rsidP="006508AD">
      <w:pPr>
        <w:tabs>
          <w:tab w:val="left" w:pos="851"/>
        </w:tabs>
        <w:ind w:left="851"/>
        <w:rPr>
          <w:sz w:val="24"/>
          <w:szCs w:val="24"/>
        </w:rPr>
      </w:pPr>
      <w:r>
        <w:rPr>
          <w:sz w:val="24"/>
          <w:szCs w:val="24"/>
        </w:rPr>
        <w:t>BEGR (kun til sygehuse)</w:t>
      </w:r>
    </w:p>
    <w:p w:rsidR="006508AD" w:rsidRPr="00C84483" w:rsidRDefault="006508AD" w:rsidP="006508AD">
      <w:pPr>
        <w:tabs>
          <w:tab w:val="left" w:pos="851"/>
        </w:tabs>
        <w:ind w:left="851"/>
        <w:rPr>
          <w:sz w:val="24"/>
          <w:szCs w:val="24"/>
        </w:rPr>
      </w:pPr>
    </w:p>
    <w:p w:rsidR="00DD16DA" w:rsidRPr="00C84483" w:rsidRDefault="00DD16DA" w:rsidP="00911B55">
      <w:pPr>
        <w:tabs>
          <w:tab w:val="left" w:pos="851"/>
        </w:tabs>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508AD" w:rsidRPr="005D5D3A" w:rsidRDefault="006508AD" w:rsidP="001A155F">
      <w:pPr>
        <w:suppressAutoHyphens/>
        <w:rPr>
          <w:sz w:val="24"/>
          <w:szCs w:val="24"/>
        </w:rPr>
      </w:pPr>
    </w:p>
    <w:p w:rsidR="006508AD" w:rsidRDefault="006508AD" w:rsidP="00224A9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A155F" w:rsidRDefault="001A155F" w:rsidP="001A155F">
      <w:pPr>
        <w:tabs>
          <w:tab w:val="left" w:pos="851"/>
        </w:tabs>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Andre </w:t>
      </w:r>
      <w:bookmarkStart w:id="2" w:name="_Hlk22714788"/>
      <w:proofErr w:type="spellStart"/>
      <w:r>
        <w:rPr>
          <w:sz w:val="24"/>
          <w:szCs w:val="24"/>
        </w:rPr>
        <w:t>immunstimulanter</w:t>
      </w:r>
      <w:bookmarkEnd w:id="2"/>
      <w:proofErr w:type="spellEnd"/>
      <w:r>
        <w:rPr>
          <w:sz w:val="24"/>
          <w:szCs w:val="24"/>
        </w:rPr>
        <w:t>, ATC-kode: L03AX13.</w:t>
      </w:r>
    </w:p>
    <w:p w:rsidR="001A155F" w:rsidRPr="00224A9E" w:rsidRDefault="001A155F" w:rsidP="00224A9E">
      <w:pPr>
        <w:tabs>
          <w:tab w:val="num" w:pos="851"/>
        </w:tabs>
        <w:ind w:left="851" w:hanging="851"/>
        <w:rPr>
          <w:b/>
          <w:sz w:val="24"/>
          <w:szCs w:val="24"/>
        </w:rPr>
      </w:pPr>
    </w:p>
    <w:p w:rsidR="00814024" w:rsidRDefault="00814024" w:rsidP="00814024">
      <w:pPr>
        <w:suppressAutoHyphens/>
        <w:ind w:left="851"/>
        <w:rPr>
          <w:bCs/>
          <w:noProof/>
          <w:sz w:val="24"/>
          <w:szCs w:val="24"/>
          <w:u w:val="single"/>
        </w:rPr>
      </w:pPr>
      <w:r>
        <w:rPr>
          <w:bCs/>
          <w:noProof/>
          <w:sz w:val="24"/>
          <w:szCs w:val="24"/>
          <w:u w:val="single"/>
        </w:rPr>
        <w:t>Virkningsmekanisme</w:t>
      </w:r>
    </w:p>
    <w:p w:rsidR="00814024" w:rsidRDefault="00814024" w:rsidP="00814024">
      <w:pPr>
        <w:suppressAutoHyphens/>
        <w:ind w:left="855"/>
        <w:rPr>
          <w:color w:val="000000"/>
          <w:sz w:val="24"/>
          <w:szCs w:val="24"/>
        </w:rPr>
      </w:pPr>
      <w:r>
        <w:rPr>
          <w:color w:val="000000"/>
          <w:sz w:val="24"/>
          <w:szCs w:val="24"/>
        </w:rPr>
        <w:t xml:space="preserve">Virkningsmekanismen for </w:t>
      </w:r>
      <w:proofErr w:type="spellStart"/>
      <w:r>
        <w:rPr>
          <w:color w:val="000000"/>
          <w:sz w:val="24"/>
          <w:szCs w:val="24"/>
        </w:rPr>
        <w:t>glatirameracetats</w:t>
      </w:r>
      <w:proofErr w:type="spellEnd"/>
      <w:r>
        <w:rPr>
          <w:color w:val="000000"/>
          <w:sz w:val="24"/>
          <w:szCs w:val="24"/>
        </w:rPr>
        <w:t xml:space="preserve"> terapeutiske effekt på de attakvise former af MS er ikke fuldt klarlagt. Det menes at virke ved modulering af immunprocesser.</w:t>
      </w:r>
    </w:p>
    <w:p w:rsidR="00814024" w:rsidRDefault="00814024" w:rsidP="00814024">
      <w:pPr>
        <w:ind w:left="851"/>
        <w:rPr>
          <w:sz w:val="24"/>
          <w:szCs w:val="24"/>
        </w:rPr>
      </w:pPr>
      <w:r>
        <w:rPr>
          <w:color w:val="222222"/>
          <w:sz w:val="24"/>
          <w:szCs w:val="24"/>
        </w:rPr>
        <w:t xml:space="preserve">Studier i dyr og hos MS-patienter antyder, at </w:t>
      </w:r>
      <w:proofErr w:type="spellStart"/>
      <w:r>
        <w:rPr>
          <w:color w:val="222222"/>
          <w:sz w:val="24"/>
          <w:szCs w:val="24"/>
        </w:rPr>
        <w:t>glatirameracetat</w:t>
      </w:r>
      <w:proofErr w:type="spellEnd"/>
      <w:r>
        <w:rPr>
          <w:color w:val="222222"/>
          <w:sz w:val="24"/>
          <w:szCs w:val="24"/>
        </w:rPr>
        <w:t xml:space="preserve"> virker på </w:t>
      </w:r>
      <w:proofErr w:type="spellStart"/>
      <w:r>
        <w:rPr>
          <w:color w:val="222222"/>
          <w:sz w:val="24"/>
          <w:szCs w:val="24"/>
        </w:rPr>
        <w:t>innate</w:t>
      </w:r>
      <w:proofErr w:type="spellEnd"/>
      <w:r>
        <w:rPr>
          <w:color w:val="222222"/>
          <w:sz w:val="24"/>
          <w:szCs w:val="24"/>
        </w:rPr>
        <w:t xml:space="preserve"> immunceller, herunder </w:t>
      </w:r>
      <w:proofErr w:type="spellStart"/>
      <w:r>
        <w:rPr>
          <w:color w:val="222222"/>
          <w:sz w:val="24"/>
          <w:szCs w:val="24"/>
        </w:rPr>
        <w:t>monocytter</w:t>
      </w:r>
      <w:proofErr w:type="spellEnd"/>
      <w:r>
        <w:rPr>
          <w:color w:val="222222"/>
          <w:sz w:val="24"/>
          <w:szCs w:val="24"/>
        </w:rPr>
        <w:t xml:space="preserve">, dendritter og B-celler ved at modulere adaptive funktioner i B- og T-celler og derved inducerer antiinflammatorisk og regulatorisk cytokinsekretion. Hvorvidt den terapeutiske effekt er medieret ved de cellulære virkninger beskrevet ovenfor, er ikke kendt, da </w:t>
      </w:r>
      <w:proofErr w:type="spellStart"/>
      <w:r>
        <w:rPr>
          <w:color w:val="222222"/>
          <w:sz w:val="24"/>
          <w:szCs w:val="24"/>
        </w:rPr>
        <w:t>patofysiologien</w:t>
      </w:r>
      <w:proofErr w:type="spellEnd"/>
      <w:r>
        <w:rPr>
          <w:color w:val="222222"/>
          <w:sz w:val="24"/>
          <w:szCs w:val="24"/>
        </w:rPr>
        <w:t xml:space="preserve"> for MS kun er delvist forstået.</w:t>
      </w:r>
    </w:p>
    <w:p w:rsidR="00814024" w:rsidRDefault="00814024" w:rsidP="00814024">
      <w:pPr>
        <w:ind w:left="851"/>
        <w:rPr>
          <w:sz w:val="24"/>
          <w:szCs w:val="24"/>
        </w:rPr>
      </w:pPr>
    </w:p>
    <w:p w:rsidR="00814024" w:rsidRDefault="00814024" w:rsidP="00814024">
      <w:pPr>
        <w:ind w:firstLine="855"/>
        <w:rPr>
          <w:sz w:val="24"/>
          <w:szCs w:val="24"/>
          <w:u w:val="single"/>
        </w:rPr>
      </w:pPr>
      <w:r>
        <w:rPr>
          <w:sz w:val="24"/>
          <w:szCs w:val="24"/>
          <w:u w:val="single"/>
        </w:rPr>
        <w:t>Klinisk virkning og sikkerhed</w:t>
      </w:r>
    </w:p>
    <w:p w:rsidR="00814024" w:rsidRDefault="00814024" w:rsidP="00814024">
      <w:pPr>
        <w:ind w:left="851"/>
        <w:rPr>
          <w:i/>
          <w:sz w:val="24"/>
          <w:szCs w:val="24"/>
        </w:rPr>
      </w:pPr>
      <w:r>
        <w:rPr>
          <w:i/>
          <w:sz w:val="24"/>
          <w:szCs w:val="24"/>
        </w:rPr>
        <w:t xml:space="preserve">Attakvis multipel </w:t>
      </w:r>
      <w:proofErr w:type="spellStart"/>
      <w:r>
        <w:rPr>
          <w:i/>
          <w:sz w:val="24"/>
          <w:szCs w:val="24"/>
        </w:rPr>
        <w:t>sclerose</w:t>
      </w:r>
      <w:proofErr w:type="spellEnd"/>
    </w:p>
    <w:p w:rsidR="00814024" w:rsidRDefault="00814024" w:rsidP="00814024">
      <w:pPr>
        <w:ind w:left="851"/>
        <w:rPr>
          <w:sz w:val="24"/>
          <w:szCs w:val="24"/>
        </w:rPr>
      </w:pPr>
      <w:r>
        <w:rPr>
          <w:sz w:val="24"/>
          <w:szCs w:val="24"/>
        </w:rPr>
        <w:t xml:space="preserve">Evidens, der støtter virkningen af en injektion med </w:t>
      </w:r>
      <w:proofErr w:type="spellStart"/>
      <w:r w:rsidRPr="005D5D3A">
        <w:rPr>
          <w:sz w:val="24"/>
          <w:szCs w:val="24"/>
        </w:rPr>
        <w:t>glatirameracetat</w:t>
      </w:r>
      <w:proofErr w:type="spellEnd"/>
      <w:r>
        <w:rPr>
          <w:sz w:val="24"/>
          <w:szCs w:val="24"/>
        </w:rPr>
        <w:t xml:space="preserve"> 40 mg/ml, som injiceres subkutant tre gange om ugen, til at reducere attakhyppigheden, stammer fra et 12</w:t>
      </w:r>
      <w:r>
        <w:rPr>
          <w:sz w:val="24"/>
          <w:szCs w:val="24"/>
        </w:rPr>
        <w:noBreakHyphen/>
        <w:t xml:space="preserve">måneders, placebokontrolleret studie. </w:t>
      </w:r>
    </w:p>
    <w:p w:rsidR="00814024" w:rsidRDefault="00814024" w:rsidP="00814024">
      <w:pPr>
        <w:ind w:left="851"/>
        <w:rPr>
          <w:sz w:val="24"/>
          <w:szCs w:val="24"/>
        </w:rPr>
      </w:pPr>
    </w:p>
    <w:p w:rsidR="00814024" w:rsidRDefault="00814024" w:rsidP="00814024">
      <w:pPr>
        <w:ind w:left="851"/>
        <w:rPr>
          <w:sz w:val="24"/>
          <w:szCs w:val="24"/>
        </w:rPr>
      </w:pPr>
      <w:r>
        <w:rPr>
          <w:sz w:val="24"/>
          <w:szCs w:val="24"/>
        </w:rPr>
        <w:t xml:space="preserve">I de pivotale kliniske studier blev attakvis multipel </w:t>
      </w:r>
      <w:proofErr w:type="spellStart"/>
      <w:r>
        <w:rPr>
          <w:sz w:val="24"/>
          <w:szCs w:val="24"/>
        </w:rPr>
        <w:t>sclerose</w:t>
      </w:r>
      <w:proofErr w:type="spellEnd"/>
      <w:r>
        <w:rPr>
          <w:sz w:val="24"/>
          <w:szCs w:val="24"/>
        </w:rPr>
        <w:t xml:space="preserve"> karakteriseret ved enten mindst ét dokumenteret attak i løbet af de sidste 12 måneder, eller mindst to dokumenterede attakker i løbet af de sidste 24 måneder, eller et dokumenteret attak mellem de sidste 12 til 24 måneder, med mindst én dokumenteret, T1-gadolinium-forstærket læsion på MR-scanning udført inden for de sidste 12 måneder.</w:t>
      </w:r>
    </w:p>
    <w:p w:rsidR="00814024" w:rsidRDefault="00814024" w:rsidP="00814024">
      <w:pPr>
        <w:ind w:left="851"/>
        <w:rPr>
          <w:sz w:val="24"/>
          <w:szCs w:val="24"/>
        </w:rPr>
      </w:pPr>
    </w:p>
    <w:p w:rsidR="00814024" w:rsidRDefault="00814024" w:rsidP="00814024">
      <w:pPr>
        <w:ind w:left="851"/>
        <w:rPr>
          <w:sz w:val="24"/>
          <w:szCs w:val="24"/>
        </w:rPr>
      </w:pPr>
      <w:r>
        <w:rPr>
          <w:sz w:val="24"/>
          <w:szCs w:val="24"/>
        </w:rPr>
        <w:t xml:space="preserve">Det primære mål er det totale antal bekræftede attakker. Sekundære </w:t>
      </w:r>
      <w:proofErr w:type="gramStart"/>
      <w:r>
        <w:rPr>
          <w:sz w:val="24"/>
          <w:szCs w:val="24"/>
        </w:rPr>
        <w:t>MRI mål</w:t>
      </w:r>
      <w:proofErr w:type="gramEnd"/>
      <w:r>
        <w:rPr>
          <w:sz w:val="24"/>
          <w:szCs w:val="24"/>
        </w:rPr>
        <w:t xml:space="preserve"> omfattede det kumulative antal af nye/forstørrede T2</w:t>
      </w:r>
      <w:r>
        <w:rPr>
          <w:sz w:val="24"/>
          <w:szCs w:val="24"/>
        </w:rPr>
        <w:noBreakHyphen/>
        <w:t>læsioner, og det kumulative antal forstærkede læsioner på T1</w:t>
      </w:r>
      <w:r>
        <w:rPr>
          <w:sz w:val="24"/>
          <w:szCs w:val="24"/>
        </w:rPr>
        <w:noBreakHyphen/>
        <w:t>vægtede billeder, både målt efter 6 og 12 måneder.</w:t>
      </w:r>
    </w:p>
    <w:p w:rsidR="00814024" w:rsidRDefault="00814024" w:rsidP="00814024">
      <w:pPr>
        <w:ind w:left="851"/>
        <w:rPr>
          <w:sz w:val="24"/>
          <w:szCs w:val="24"/>
        </w:rPr>
      </w:pPr>
    </w:p>
    <w:p w:rsidR="00814024" w:rsidRDefault="00814024" w:rsidP="00814024">
      <w:pPr>
        <w:ind w:left="851"/>
        <w:rPr>
          <w:bCs/>
          <w:sz w:val="24"/>
          <w:szCs w:val="24"/>
        </w:rPr>
      </w:pPr>
      <w:r>
        <w:rPr>
          <w:sz w:val="24"/>
          <w:szCs w:val="24"/>
        </w:rPr>
        <w:t xml:space="preserve">I alt 1.404 patienter blev randomiseret i forholdet 2:1 til enten at få </w:t>
      </w:r>
      <w:proofErr w:type="spellStart"/>
      <w:r w:rsidRPr="005D5D3A">
        <w:rPr>
          <w:sz w:val="24"/>
          <w:szCs w:val="24"/>
        </w:rPr>
        <w:t>glatirameracetat</w:t>
      </w:r>
      <w:proofErr w:type="spellEnd"/>
      <w:r>
        <w:rPr>
          <w:sz w:val="24"/>
          <w:szCs w:val="24"/>
        </w:rPr>
        <w:t xml:space="preserve"> 40 mg/ml (n=943) eller placebo (n=461).</w:t>
      </w:r>
      <w:r>
        <w:rPr>
          <w:bCs/>
          <w:sz w:val="24"/>
          <w:szCs w:val="24"/>
        </w:rPr>
        <w:t xml:space="preserve"> Begge behandlingsgrupper var sammenlignelige hvad angår </w:t>
      </w:r>
      <w:r>
        <w:rPr>
          <w:bCs/>
          <w:i/>
          <w:sz w:val="24"/>
          <w:szCs w:val="24"/>
        </w:rPr>
        <w:t>baseline</w:t>
      </w:r>
      <w:r>
        <w:rPr>
          <w:bCs/>
          <w:sz w:val="24"/>
          <w:szCs w:val="24"/>
        </w:rPr>
        <w:t>-demografi, MS</w:t>
      </w:r>
      <w:r>
        <w:rPr>
          <w:bCs/>
          <w:sz w:val="24"/>
          <w:szCs w:val="24"/>
        </w:rPr>
        <w:noBreakHyphen/>
        <w:t>sygdomskarakteristika og MR</w:t>
      </w:r>
      <w:r>
        <w:rPr>
          <w:bCs/>
          <w:sz w:val="24"/>
          <w:szCs w:val="24"/>
        </w:rPr>
        <w:noBreakHyphen/>
        <w:t>scanningsparametre. Patienterne havde en median på 2,0 attakker i de 2 år før screeningen.</w:t>
      </w:r>
    </w:p>
    <w:p w:rsidR="00814024" w:rsidRDefault="00814024" w:rsidP="00814024">
      <w:pPr>
        <w:ind w:left="851"/>
        <w:rPr>
          <w:bCs/>
          <w:sz w:val="24"/>
          <w:szCs w:val="24"/>
        </w:rPr>
      </w:pPr>
    </w:p>
    <w:p w:rsidR="00814024" w:rsidRDefault="00814024" w:rsidP="00814024">
      <w:pPr>
        <w:ind w:left="851"/>
        <w:rPr>
          <w:bCs/>
          <w:sz w:val="24"/>
          <w:szCs w:val="24"/>
        </w:rPr>
      </w:pPr>
      <w:r>
        <w:rPr>
          <w:bCs/>
          <w:sz w:val="24"/>
          <w:szCs w:val="24"/>
        </w:rPr>
        <w:t xml:space="preserve">Sammenlignet med placebo havde patienterne i behandling med </w:t>
      </w:r>
      <w:proofErr w:type="spellStart"/>
      <w:r w:rsidRPr="005D5D3A">
        <w:rPr>
          <w:sz w:val="24"/>
          <w:szCs w:val="24"/>
        </w:rPr>
        <w:t>glatirameracetat</w:t>
      </w:r>
      <w:proofErr w:type="spellEnd"/>
      <w:r>
        <w:rPr>
          <w:bCs/>
          <w:sz w:val="24"/>
          <w:szCs w:val="24"/>
        </w:rPr>
        <w:t xml:space="preserve"> 40 mg/ml tre gange om ugen en meningsfyldt og statistisk signifikant reduktion i primære og sekundære mål, hvilket stemmer overens med virkningen af behandling med </w:t>
      </w:r>
      <w:proofErr w:type="spellStart"/>
      <w:r w:rsidRPr="005D5D3A">
        <w:rPr>
          <w:sz w:val="24"/>
          <w:szCs w:val="24"/>
        </w:rPr>
        <w:t>glatirameracetat</w:t>
      </w:r>
      <w:proofErr w:type="spellEnd"/>
      <w:r>
        <w:rPr>
          <w:sz w:val="24"/>
          <w:szCs w:val="24"/>
        </w:rPr>
        <w:t xml:space="preserve"> 20 mg/ml administreret dagligt.</w:t>
      </w:r>
    </w:p>
    <w:p w:rsidR="00814024" w:rsidRDefault="00814024" w:rsidP="00814024">
      <w:pPr>
        <w:ind w:left="851"/>
        <w:rPr>
          <w:sz w:val="24"/>
          <w:szCs w:val="24"/>
        </w:rPr>
      </w:pPr>
    </w:p>
    <w:p w:rsidR="00814024" w:rsidRDefault="00814024" w:rsidP="00814024">
      <w:pPr>
        <w:ind w:left="851"/>
        <w:rPr>
          <w:sz w:val="24"/>
          <w:szCs w:val="24"/>
        </w:rPr>
      </w:pPr>
      <w:r>
        <w:rPr>
          <w:sz w:val="24"/>
          <w:szCs w:val="24"/>
        </w:rPr>
        <w:t>Følgende tabel viser værdierne for primære og sekundære mål for intention-to-</w:t>
      </w:r>
      <w:proofErr w:type="spellStart"/>
      <w:r>
        <w:rPr>
          <w:sz w:val="24"/>
          <w:szCs w:val="24"/>
        </w:rPr>
        <w:t>treat</w:t>
      </w:r>
      <w:proofErr w:type="spellEnd"/>
      <w:r>
        <w:rPr>
          <w:sz w:val="24"/>
          <w:szCs w:val="24"/>
        </w:rPr>
        <w:t>-populationen:</w:t>
      </w:r>
    </w:p>
    <w:p w:rsidR="00814024" w:rsidRDefault="00814024" w:rsidP="00814024">
      <w:pPr>
        <w:suppressAutoHyphens/>
        <w:ind w:left="851"/>
        <w:rPr>
          <w:bCs/>
          <w:noProof/>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1731"/>
        <w:gridCol w:w="1855"/>
        <w:gridCol w:w="1370"/>
      </w:tblGrid>
      <w:tr w:rsidR="00814024" w:rsidTr="00814024">
        <w:trPr>
          <w:tblHeader/>
        </w:trPr>
        <w:tc>
          <w:tcPr>
            <w:tcW w:w="4217" w:type="dxa"/>
            <w:vMerge w:val="restart"/>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63"/>
              <w:rPr>
                <w:sz w:val="24"/>
                <w:szCs w:val="24"/>
                <w:lang w:eastAsia="en-GB"/>
              </w:rPr>
            </w:pPr>
            <w:r>
              <w:rPr>
                <w:b/>
                <w:bCs/>
                <w:sz w:val="24"/>
                <w:szCs w:val="24"/>
              </w:rPr>
              <w:lastRenderedPageBreak/>
              <w:t>Mål</w:t>
            </w:r>
          </w:p>
        </w:tc>
        <w:tc>
          <w:tcPr>
            <w:tcW w:w="3586" w:type="dxa"/>
            <w:gridSpan w:val="2"/>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147"/>
              <w:rPr>
                <w:b/>
                <w:sz w:val="24"/>
                <w:szCs w:val="24"/>
                <w:lang w:eastAsia="en-GB"/>
              </w:rPr>
            </w:pPr>
            <w:r>
              <w:rPr>
                <w:b/>
                <w:sz w:val="24"/>
                <w:szCs w:val="24"/>
              </w:rPr>
              <w:t>Justerede gennemsnitlige estimater</w:t>
            </w:r>
          </w:p>
        </w:tc>
        <w:tc>
          <w:tcPr>
            <w:tcW w:w="1370" w:type="dxa"/>
            <w:vMerge w:val="restart"/>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80"/>
              <w:rPr>
                <w:sz w:val="24"/>
                <w:szCs w:val="24"/>
                <w:lang w:val="en-US" w:eastAsia="en-GB"/>
              </w:rPr>
            </w:pPr>
            <w:r>
              <w:rPr>
                <w:b/>
                <w:bCs/>
                <w:sz w:val="24"/>
                <w:szCs w:val="24"/>
                <w:lang w:val="en-US"/>
              </w:rPr>
              <w:t>P-</w:t>
            </w:r>
            <w:proofErr w:type="spellStart"/>
            <w:r>
              <w:rPr>
                <w:b/>
                <w:bCs/>
                <w:sz w:val="24"/>
                <w:szCs w:val="24"/>
                <w:lang w:val="en-US"/>
              </w:rPr>
              <w:t>værdi</w:t>
            </w:r>
            <w:proofErr w:type="spellEnd"/>
          </w:p>
        </w:tc>
      </w:tr>
      <w:tr w:rsidR="00814024" w:rsidTr="00814024">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4024" w:rsidRDefault="00814024">
            <w:pPr>
              <w:rPr>
                <w:sz w:val="24"/>
                <w:szCs w:val="24"/>
                <w:lang w:eastAsia="en-GB"/>
              </w:rPr>
            </w:pP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147"/>
              <w:rPr>
                <w:b/>
                <w:bCs/>
                <w:sz w:val="24"/>
                <w:szCs w:val="24"/>
              </w:rPr>
            </w:pPr>
            <w:r>
              <w:rPr>
                <w:b/>
                <w:bCs/>
                <w:sz w:val="24"/>
                <w:szCs w:val="24"/>
              </w:rPr>
              <w:t>GA (40 mg/ml)</w:t>
            </w:r>
          </w:p>
          <w:p w:rsidR="00814024" w:rsidRDefault="00814024">
            <w:pPr>
              <w:ind w:left="147"/>
              <w:rPr>
                <w:sz w:val="24"/>
                <w:szCs w:val="24"/>
                <w:lang w:eastAsia="en-GB"/>
              </w:rPr>
            </w:pPr>
            <w:r>
              <w:rPr>
                <w:b/>
                <w:bCs/>
                <w:sz w:val="24"/>
                <w:szCs w:val="24"/>
              </w:rPr>
              <w:t>(N=943)</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147"/>
              <w:rPr>
                <w:b/>
                <w:bCs/>
                <w:sz w:val="24"/>
                <w:szCs w:val="24"/>
              </w:rPr>
            </w:pPr>
            <w:r>
              <w:rPr>
                <w:b/>
                <w:bCs/>
                <w:sz w:val="24"/>
                <w:szCs w:val="24"/>
              </w:rPr>
              <w:t>Placebo</w:t>
            </w:r>
          </w:p>
          <w:p w:rsidR="00814024" w:rsidRDefault="00814024">
            <w:pPr>
              <w:ind w:left="147"/>
              <w:rPr>
                <w:sz w:val="24"/>
                <w:szCs w:val="24"/>
                <w:lang w:eastAsia="en-GB"/>
              </w:rPr>
            </w:pPr>
            <w:r>
              <w:rPr>
                <w:b/>
                <w:bCs/>
                <w:sz w:val="24"/>
                <w:szCs w:val="24"/>
              </w:rPr>
              <w:t>(N=461)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14024" w:rsidRDefault="00814024">
            <w:pPr>
              <w:rPr>
                <w:sz w:val="24"/>
                <w:szCs w:val="24"/>
                <w:lang w:val="en-US" w:eastAsia="en-GB"/>
              </w:rPr>
            </w:pP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63"/>
              <w:rPr>
                <w:sz w:val="24"/>
                <w:szCs w:val="24"/>
                <w:lang w:eastAsia="en-GB"/>
              </w:rPr>
            </w:pPr>
            <w:r>
              <w:rPr>
                <w:sz w:val="24"/>
                <w:szCs w:val="24"/>
              </w:rPr>
              <w:t>Årlig attak rate (ARR)</w:t>
            </w: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0,331</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0,505</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80"/>
              <w:rPr>
                <w:sz w:val="24"/>
                <w:szCs w:val="24"/>
                <w:lang w:val="en-US" w:eastAsia="en-GB"/>
              </w:rPr>
            </w:pPr>
            <w:r>
              <w:rPr>
                <w:sz w:val="24"/>
                <w:szCs w:val="24"/>
                <w:lang w:val="en-US"/>
              </w:rPr>
              <w:t>p&lt;0,0001</w:t>
            </w: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63"/>
              <w:rPr>
                <w:sz w:val="24"/>
                <w:szCs w:val="24"/>
              </w:rPr>
            </w:pPr>
            <w:r>
              <w:rPr>
                <w:sz w:val="24"/>
                <w:szCs w:val="24"/>
              </w:rPr>
              <w:t>Absolut risikoforskel*</w:t>
            </w:r>
          </w:p>
          <w:p w:rsidR="00814024" w:rsidRDefault="00814024">
            <w:pPr>
              <w:ind w:left="63"/>
              <w:rPr>
                <w:sz w:val="24"/>
                <w:szCs w:val="24"/>
                <w:lang w:eastAsia="en-GB"/>
              </w:rPr>
            </w:pPr>
            <w:r>
              <w:rPr>
                <w:sz w:val="24"/>
                <w:szCs w:val="24"/>
              </w:rPr>
              <w:t>(95% konfidensintervaller)</w:t>
            </w:r>
          </w:p>
        </w:tc>
        <w:tc>
          <w:tcPr>
            <w:tcW w:w="3586" w:type="dxa"/>
            <w:gridSpan w:val="2"/>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147"/>
              <w:rPr>
                <w:sz w:val="24"/>
                <w:szCs w:val="24"/>
                <w:lang w:eastAsia="en-GB"/>
              </w:rPr>
            </w:pPr>
            <w:r>
              <w:rPr>
                <w:sz w:val="24"/>
                <w:szCs w:val="24"/>
              </w:rPr>
              <w:t>-0,174 [-0,2841 til -0,0639]</w:t>
            </w:r>
          </w:p>
        </w:tc>
        <w:tc>
          <w:tcPr>
            <w:tcW w:w="1370" w:type="dxa"/>
            <w:tcBorders>
              <w:top w:val="single" w:sz="4" w:space="0" w:color="000000"/>
              <w:left w:val="single" w:sz="4" w:space="0" w:color="000000"/>
              <w:bottom w:val="single" w:sz="4" w:space="0" w:color="000000"/>
              <w:right w:val="single" w:sz="4" w:space="0" w:color="000000"/>
            </w:tcBorders>
            <w:vAlign w:val="center"/>
          </w:tcPr>
          <w:p w:rsidR="00814024" w:rsidRDefault="00814024">
            <w:pPr>
              <w:ind w:left="180"/>
              <w:rPr>
                <w:sz w:val="24"/>
                <w:szCs w:val="24"/>
                <w:lang w:val="en-US" w:eastAsia="en-GB"/>
              </w:rPr>
            </w:pP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63"/>
              <w:rPr>
                <w:sz w:val="24"/>
                <w:szCs w:val="24"/>
                <w:lang w:eastAsia="en-GB"/>
              </w:rPr>
            </w:pPr>
            <w:r>
              <w:rPr>
                <w:sz w:val="24"/>
                <w:szCs w:val="24"/>
              </w:rPr>
              <w:t xml:space="preserve">Kumulativt antal </w:t>
            </w:r>
            <w:r>
              <w:rPr>
                <w:sz w:val="24"/>
                <w:szCs w:val="24"/>
              </w:rPr>
              <w:br w:type="page"/>
              <w:t>nye/forstørrede T2</w:t>
            </w:r>
            <w:r>
              <w:rPr>
                <w:sz w:val="24"/>
                <w:szCs w:val="24"/>
              </w:rPr>
              <w:noBreakHyphen/>
              <w:t>læsioner efter 6 og 12 måneder</w:t>
            </w: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3.650</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5.592</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80"/>
              <w:rPr>
                <w:sz w:val="24"/>
                <w:szCs w:val="24"/>
                <w:lang w:val="en-US" w:eastAsia="en-GB"/>
              </w:rPr>
            </w:pPr>
            <w:r>
              <w:rPr>
                <w:sz w:val="24"/>
                <w:szCs w:val="24"/>
                <w:lang w:val="en-US"/>
              </w:rPr>
              <w:t>p&lt;0,0001</w:t>
            </w: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63"/>
              <w:rPr>
                <w:sz w:val="24"/>
                <w:szCs w:val="24"/>
                <w:lang w:eastAsia="en-GB"/>
              </w:rPr>
            </w:pPr>
            <w:r>
              <w:rPr>
                <w:sz w:val="24"/>
                <w:szCs w:val="24"/>
              </w:rPr>
              <w:t>Rate ratio** (95% konfidensintervaller)</w:t>
            </w:r>
          </w:p>
        </w:tc>
        <w:tc>
          <w:tcPr>
            <w:tcW w:w="3586" w:type="dxa"/>
            <w:gridSpan w:val="2"/>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rPr>
              <w:t>0,653 [0,546 til 0,780]</w:t>
            </w:r>
          </w:p>
        </w:tc>
        <w:tc>
          <w:tcPr>
            <w:tcW w:w="1370" w:type="dxa"/>
            <w:tcBorders>
              <w:top w:val="single" w:sz="4" w:space="0" w:color="000000"/>
              <w:left w:val="single" w:sz="4" w:space="0" w:color="000000"/>
              <w:bottom w:val="single" w:sz="4" w:space="0" w:color="000000"/>
              <w:right w:val="single" w:sz="4" w:space="0" w:color="000000"/>
            </w:tcBorders>
            <w:vAlign w:val="center"/>
          </w:tcPr>
          <w:p w:rsidR="00814024" w:rsidRDefault="00814024">
            <w:pPr>
              <w:ind w:left="180"/>
              <w:rPr>
                <w:sz w:val="24"/>
                <w:szCs w:val="24"/>
                <w:lang w:val="en-US" w:eastAsia="en-GB"/>
              </w:rPr>
            </w:pP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autoSpaceDE w:val="0"/>
              <w:autoSpaceDN w:val="0"/>
              <w:adjustRightInd w:val="0"/>
              <w:ind w:left="63"/>
              <w:rPr>
                <w:sz w:val="24"/>
                <w:szCs w:val="24"/>
                <w:lang w:eastAsia="en-GB"/>
              </w:rPr>
            </w:pPr>
            <w:r>
              <w:rPr>
                <w:sz w:val="24"/>
                <w:szCs w:val="24"/>
              </w:rPr>
              <w:t>Kumulativt antal forstærkede læsioner på T1</w:t>
            </w:r>
            <w:r>
              <w:rPr>
                <w:sz w:val="24"/>
                <w:szCs w:val="24"/>
              </w:rPr>
              <w:noBreakHyphen/>
              <w:t>vægtede billeder efter 6 og 12 måneder</w:t>
            </w:r>
          </w:p>
        </w:tc>
        <w:tc>
          <w:tcPr>
            <w:tcW w:w="1731"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0,905</w:t>
            </w:r>
          </w:p>
        </w:tc>
        <w:tc>
          <w:tcPr>
            <w:tcW w:w="1855"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lang w:eastAsia="en-GB"/>
              </w:rPr>
              <w:t>1.639</w:t>
            </w:r>
          </w:p>
        </w:tc>
        <w:tc>
          <w:tcPr>
            <w:tcW w:w="1370"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80"/>
              <w:rPr>
                <w:sz w:val="24"/>
                <w:szCs w:val="24"/>
                <w:lang w:val="en-US" w:eastAsia="en-GB"/>
              </w:rPr>
            </w:pPr>
            <w:r>
              <w:rPr>
                <w:sz w:val="24"/>
                <w:szCs w:val="24"/>
                <w:lang w:val="en-US"/>
              </w:rPr>
              <w:t>p&lt;0,0001</w:t>
            </w:r>
          </w:p>
        </w:tc>
      </w:tr>
      <w:tr w:rsidR="00814024" w:rsidTr="00814024">
        <w:tc>
          <w:tcPr>
            <w:tcW w:w="4217" w:type="dxa"/>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63"/>
              <w:rPr>
                <w:sz w:val="24"/>
                <w:szCs w:val="24"/>
                <w:lang w:eastAsia="en-GB"/>
              </w:rPr>
            </w:pPr>
            <w:r>
              <w:rPr>
                <w:sz w:val="24"/>
                <w:szCs w:val="24"/>
              </w:rPr>
              <w:t xml:space="preserve">Rate ratio** (95% konfidensintervaller) </w:t>
            </w:r>
          </w:p>
        </w:tc>
        <w:tc>
          <w:tcPr>
            <w:tcW w:w="3586" w:type="dxa"/>
            <w:gridSpan w:val="2"/>
            <w:tcBorders>
              <w:top w:val="single" w:sz="4" w:space="0" w:color="000000"/>
              <w:left w:val="single" w:sz="4" w:space="0" w:color="000000"/>
              <w:bottom w:val="single" w:sz="4" w:space="0" w:color="000000"/>
              <w:right w:val="single" w:sz="4" w:space="0" w:color="000000"/>
            </w:tcBorders>
            <w:vAlign w:val="center"/>
            <w:hideMark/>
          </w:tcPr>
          <w:p w:rsidR="00814024" w:rsidRDefault="00814024">
            <w:pPr>
              <w:ind w:left="147"/>
              <w:rPr>
                <w:sz w:val="24"/>
                <w:szCs w:val="24"/>
                <w:lang w:eastAsia="en-GB"/>
              </w:rPr>
            </w:pPr>
            <w:r>
              <w:rPr>
                <w:sz w:val="24"/>
                <w:szCs w:val="24"/>
              </w:rPr>
              <w:t>0,552 [0,436 til 0,699]</w:t>
            </w:r>
          </w:p>
        </w:tc>
        <w:tc>
          <w:tcPr>
            <w:tcW w:w="1370" w:type="dxa"/>
            <w:tcBorders>
              <w:top w:val="single" w:sz="4" w:space="0" w:color="000000"/>
              <w:left w:val="single" w:sz="4" w:space="0" w:color="000000"/>
              <w:bottom w:val="single" w:sz="4" w:space="0" w:color="000000"/>
              <w:right w:val="single" w:sz="4" w:space="0" w:color="000000"/>
            </w:tcBorders>
            <w:vAlign w:val="center"/>
          </w:tcPr>
          <w:p w:rsidR="00814024" w:rsidRDefault="00814024">
            <w:pPr>
              <w:ind w:left="180"/>
              <w:rPr>
                <w:sz w:val="24"/>
                <w:szCs w:val="24"/>
                <w:lang w:val="en-US" w:eastAsia="en-GB"/>
              </w:rPr>
            </w:pPr>
          </w:p>
        </w:tc>
      </w:tr>
    </w:tbl>
    <w:p w:rsidR="00814024" w:rsidRDefault="00814024" w:rsidP="00814024">
      <w:pPr>
        <w:tabs>
          <w:tab w:val="left" w:pos="1304"/>
        </w:tabs>
        <w:ind w:left="851"/>
        <w:rPr>
          <w:sz w:val="24"/>
          <w:szCs w:val="24"/>
        </w:rPr>
      </w:pPr>
      <w:r>
        <w:rPr>
          <w:sz w:val="24"/>
          <w:szCs w:val="24"/>
        </w:rPr>
        <w:t>*Absolut risikoforskel er defineret som forskellen mellem den justerede, gennemsnitlige ARR for GA 40 mg tre gange om ugen, og den justerede, gennemsnitlige ARR for placebo.</w:t>
      </w:r>
    </w:p>
    <w:p w:rsidR="00814024" w:rsidRDefault="00814024" w:rsidP="00814024">
      <w:pPr>
        <w:tabs>
          <w:tab w:val="left" w:pos="1304"/>
        </w:tabs>
        <w:ind w:left="851"/>
        <w:rPr>
          <w:sz w:val="24"/>
          <w:szCs w:val="24"/>
        </w:rPr>
      </w:pPr>
      <w:r>
        <w:rPr>
          <w:sz w:val="24"/>
          <w:szCs w:val="24"/>
        </w:rPr>
        <w:t>** Rate ratio er defineret som forholdet mellem GA 40 mg tre gange om ugen og justerede gennemsnitsrater for placebo.</w:t>
      </w:r>
    </w:p>
    <w:p w:rsidR="00814024" w:rsidRDefault="00814024" w:rsidP="00814024">
      <w:pPr>
        <w:ind w:left="851"/>
        <w:rPr>
          <w:sz w:val="24"/>
          <w:szCs w:val="24"/>
        </w:rPr>
      </w:pPr>
    </w:p>
    <w:p w:rsidR="00814024" w:rsidRDefault="00814024" w:rsidP="00814024">
      <w:pPr>
        <w:suppressAutoHyphens/>
        <w:ind w:left="851"/>
        <w:rPr>
          <w:bCs/>
          <w:noProof/>
          <w:sz w:val="24"/>
          <w:szCs w:val="24"/>
        </w:rPr>
      </w:pPr>
      <w:r>
        <w:rPr>
          <w:bCs/>
          <w:noProof/>
          <w:sz w:val="24"/>
          <w:szCs w:val="24"/>
        </w:rPr>
        <w:t xml:space="preserve">En direkte sammenligning af virkning og sikkerhed for </w:t>
      </w:r>
      <w:proofErr w:type="spellStart"/>
      <w:r w:rsidRPr="005D5D3A">
        <w:rPr>
          <w:sz w:val="24"/>
          <w:szCs w:val="24"/>
        </w:rPr>
        <w:t>glatirameracetat</w:t>
      </w:r>
      <w:proofErr w:type="spellEnd"/>
      <w:r>
        <w:rPr>
          <w:bCs/>
          <w:noProof/>
          <w:sz w:val="24"/>
          <w:szCs w:val="24"/>
        </w:rPr>
        <w:t xml:space="preserve"> 20 mg/ml (administreret dagligt) og 40 mg/ml (administreret tre gange om ugen) i det samme studie er ikke blevet udført.</w:t>
      </w:r>
    </w:p>
    <w:p w:rsidR="00814024" w:rsidRDefault="00814024" w:rsidP="00814024">
      <w:pPr>
        <w:suppressAutoHyphens/>
        <w:ind w:left="851"/>
        <w:rPr>
          <w:bCs/>
          <w:noProof/>
          <w:sz w:val="24"/>
          <w:szCs w:val="24"/>
        </w:rPr>
      </w:pPr>
    </w:p>
    <w:p w:rsidR="00814024" w:rsidRDefault="00814024" w:rsidP="00814024">
      <w:pPr>
        <w:suppressAutoHyphens/>
        <w:ind w:left="851"/>
        <w:rPr>
          <w:color w:val="222222"/>
          <w:sz w:val="24"/>
          <w:szCs w:val="24"/>
        </w:rPr>
      </w:pPr>
      <w:proofErr w:type="spellStart"/>
      <w:r>
        <w:rPr>
          <w:color w:val="222222"/>
          <w:sz w:val="24"/>
          <w:szCs w:val="24"/>
        </w:rPr>
        <w:t>Glatirameracetat</w:t>
      </w:r>
      <w:proofErr w:type="spellEnd"/>
      <w:r>
        <w:rPr>
          <w:color w:val="222222"/>
          <w:sz w:val="24"/>
          <w:szCs w:val="24"/>
        </w:rPr>
        <w:t xml:space="preserve"> 40 mg/ml: Andelen af patienter med </w:t>
      </w:r>
      <w:r>
        <w:rPr>
          <w:sz w:val="24"/>
          <w:szCs w:val="24"/>
        </w:rPr>
        <w:t>invaliditets</w:t>
      </w:r>
      <w:r>
        <w:rPr>
          <w:color w:val="000000"/>
          <w:sz w:val="24"/>
          <w:szCs w:val="24"/>
        </w:rPr>
        <w:t>progression</w:t>
      </w:r>
      <w:r>
        <w:rPr>
          <w:color w:val="222222"/>
          <w:sz w:val="24"/>
          <w:szCs w:val="24"/>
        </w:rPr>
        <w:t xml:space="preserve"> bekræftet i 3 måneder (CDP) var et </w:t>
      </w:r>
      <w:proofErr w:type="spellStart"/>
      <w:r>
        <w:rPr>
          <w:color w:val="000000"/>
          <w:sz w:val="24"/>
          <w:szCs w:val="24"/>
        </w:rPr>
        <w:t>eksplorativt</w:t>
      </w:r>
      <w:proofErr w:type="spellEnd"/>
      <w:r>
        <w:rPr>
          <w:color w:val="000000"/>
          <w:sz w:val="24"/>
          <w:szCs w:val="24"/>
        </w:rPr>
        <w:t xml:space="preserve"> effektmål </w:t>
      </w:r>
      <w:r>
        <w:rPr>
          <w:color w:val="222222"/>
          <w:sz w:val="24"/>
          <w:szCs w:val="24"/>
        </w:rPr>
        <w:t xml:space="preserve">i et 12 måneders placebokontrolleret studie (GALA). </w:t>
      </w:r>
      <w:r>
        <w:rPr>
          <w:color w:val="000000"/>
          <w:sz w:val="24"/>
          <w:szCs w:val="24"/>
        </w:rPr>
        <w:t>Henholdsvis 3 % og 3,5 % placebo- og</w:t>
      </w:r>
      <w:r>
        <w:rPr>
          <w:color w:val="222222"/>
          <w:sz w:val="24"/>
          <w:szCs w:val="24"/>
        </w:rPr>
        <w:t xml:space="preserve"> </w:t>
      </w:r>
      <w:proofErr w:type="spellStart"/>
      <w:r>
        <w:rPr>
          <w:color w:val="222222"/>
          <w:sz w:val="24"/>
          <w:szCs w:val="24"/>
        </w:rPr>
        <w:t>glatiramer</w:t>
      </w:r>
      <w:proofErr w:type="spellEnd"/>
      <w:r>
        <w:rPr>
          <w:color w:val="222222"/>
          <w:sz w:val="24"/>
          <w:szCs w:val="24"/>
        </w:rPr>
        <w:t xml:space="preserve">-behandlede patienter oplevede 3 måneders CDP (odds ratio, OR [95 % CI]: 1,182 [0,661; 2,117] (p = 0,5726)). Inklusiv den åbne forlængelse af studiet (op til 7 år) var tiden for 6 måneders CDP et </w:t>
      </w:r>
      <w:proofErr w:type="spellStart"/>
      <w:r>
        <w:rPr>
          <w:color w:val="000000"/>
          <w:sz w:val="24"/>
          <w:szCs w:val="24"/>
        </w:rPr>
        <w:t>eksplorativt</w:t>
      </w:r>
      <w:proofErr w:type="spellEnd"/>
      <w:r>
        <w:rPr>
          <w:color w:val="000000"/>
          <w:sz w:val="24"/>
          <w:szCs w:val="24"/>
        </w:rPr>
        <w:t xml:space="preserve"> effektmål</w:t>
      </w:r>
      <w:r>
        <w:rPr>
          <w:color w:val="222222"/>
          <w:sz w:val="24"/>
          <w:szCs w:val="24"/>
        </w:rPr>
        <w:t xml:space="preserve">. </w:t>
      </w:r>
      <w:proofErr w:type="spellStart"/>
      <w:r>
        <w:rPr>
          <w:color w:val="222222"/>
          <w:sz w:val="24"/>
          <w:szCs w:val="24"/>
        </w:rPr>
        <w:t>Hazard</w:t>
      </w:r>
      <w:proofErr w:type="spellEnd"/>
      <w:r>
        <w:rPr>
          <w:color w:val="222222"/>
          <w:sz w:val="24"/>
          <w:szCs w:val="24"/>
        </w:rPr>
        <w:t xml:space="preserve"> ratio (HR) [95 % CI] for </w:t>
      </w:r>
      <w:r>
        <w:rPr>
          <w:i/>
          <w:iCs/>
          <w:color w:val="000000"/>
          <w:sz w:val="24"/>
          <w:szCs w:val="24"/>
        </w:rPr>
        <w:t>intent-to-</w:t>
      </w:r>
      <w:proofErr w:type="spellStart"/>
      <w:r>
        <w:rPr>
          <w:i/>
          <w:iCs/>
          <w:color w:val="000000"/>
          <w:sz w:val="24"/>
          <w:szCs w:val="24"/>
        </w:rPr>
        <w:t>treat</w:t>
      </w:r>
      <w:proofErr w:type="spellEnd"/>
      <w:r>
        <w:rPr>
          <w:color w:val="000000"/>
          <w:sz w:val="24"/>
          <w:szCs w:val="24"/>
        </w:rPr>
        <w:t>-kohorten</w:t>
      </w:r>
      <w:r>
        <w:rPr>
          <w:color w:val="222222"/>
          <w:sz w:val="24"/>
          <w:szCs w:val="24"/>
        </w:rPr>
        <w:t xml:space="preserve">, der sammenlignede gruppen, som tidligt </w:t>
      </w:r>
      <w:r>
        <w:rPr>
          <w:color w:val="000000"/>
          <w:sz w:val="24"/>
          <w:szCs w:val="24"/>
        </w:rPr>
        <w:t>blev sat i behandling med</w:t>
      </w:r>
      <w:r>
        <w:rPr>
          <w:color w:val="222222"/>
          <w:sz w:val="24"/>
          <w:szCs w:val="24"/>
        </w:rPr>
        <w:t xml:space="preserve"> </w:t>
      </w:r>
      <w:proofErr w:type="spellStart"/>
      <w:r>
        <w:rPr>
          <w:color w:val="222222"/>
          <w:sz w:val="24"/>
          <w:szCs w:val="24"/>
        </w:rPr>
        <w:t>glatiramer</w:t>
      </w:r>
      <w:proofErr w:type="spellEnd"/>
      <w:r>
        <w:rPr>
          <w:color w:val="222222"/>
          <w:sz w:val="24"/>
          <w:szCs w:val="24"/>
        </w:rPr>
        <w:t xml:space="preserve"> med gruppen, som blev sat i behandling senere var 0,892 [0,688; 1,157] (p = 0,3898). </w:t>
      </w:r>
    </w:p>
    <w:p w:rsidR="00814024" w:rsidRDefault="00814024" w:rsidP="00814024">
      <w:pPr>
        <w:suppressAutoHyphens/>
        <w:ind w:left="851"/>
        <w:rPr>
          <w:bCs/>
          <w:noProof/>
          <w:sz w:val="24"/>
          <w:szCs w:val="24"/>
        </w:rPr>
      </w:pPr>
    </w:p>
    <w:p w:rsidR="00814024" w:rsidRDefault="00814024" w:rsidP="00814024">
      <w:pPr>
        <w:suppressAutoHyphens/>
        <w:ind w:left="851"/>
        <w:rPr>
          <w:bCs/>
          <w:noProof/>
          <w:sz w:val="24"/>
          <w:szCs w:val="24"/>
        </w:rPr>
      </w:pPr>
      <w:r>
        <w:rPr>
          <w:bCs/>
          <w:noProof/>
          <w:sz w:val="24"/>
          <w:szCs w:val="24"/>
        </w:rPr>
        <w:t xml:space="preserve">Der er i øjeblikket ingen evidens for anvendelse af </w:t>
      </w:r>
      <w:proofErr w:type="spellStart"/>
      <w:r w:rsidRPr="005D5D3A">
        <w:rPr>
          <w:sz w:val="24"/>
          <w:szCs w:val="24"/>
        </w:rPr>
        <w:t>glatirameracetat</w:t>
      </w:r>
      <w:proofErr w:type="spellEnd"/>
      <w:r>
        <w:rPr>
          <w:bCs/>
          <w:noProof/>
          <w:sz w:val="24"/>
          <w:szCs w:val="24"/>
        </w:rPr>
        <w:t xml:space="preserve"> hos patienter med primær eller progressiv sekundær sygdom.</w:t>
      </w:r>
    </w:p>
    <w:p w:rsidR="006508AD" w:rsidRPr="00770F83" w:rsidRDefault="006508AD" w:rsidP="006508AD">
      <w:pPr>
        <w:suppressAutoHyphens/>
        <w:ind w:left="851"/>
        <w:rPr>
          <w:bCs/>
          <w:noProof/>
          <w:sz w:val="24"/>
          <w:szCs w:val="24"/>
        </w:rPr>
      </w:pPr>
    </w:p>
    <w:p w:rsidR="006508AD" w:rsidRPr="00C84483" w:rsidRDefault="006508AD" w:rsidP="006508A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508AD" w:rsidRPr="00C84483" w:rsidRDefault="006508AD" w:rsidP="006508AD">
      <w:pPr>
        <w:numPr>
          <w:ilvl w:val="12"/>
          <w:numId w:val="0"/>
        </w:numPr>
        <w:ind w:left="851" w:right="11"/>
        <w:rPr>
          <w:sz w:val="24"/>
          <w:szCs w:val="24"/>
        </w:rPr>
      </w:pPr>
      <w:r w:rsidRPr="003A44C8">
        <w:rPr>
          <w:sz w:val="24"/>
          <w:szCs w:val="24"/>
        </w:rPr>
        <w:t xml:space="preserve">Der er ikke udført </w:t>
      </w:r>
      <w:proofErr w:type="spellStart"/>
      <w:r w:rsidRPr="003A44C8">
        <w:rPr>
          <w:sz w:val="24"/>
          <w:szCs w:val="24"/>
        </w:rPr>
        <w:t>farmakokinetiske</w:t>
      </w:r>
      <w:proofErr w:type="spellEnd"/>
      <w:r w:rsidRPr="003A44C8">
        <w:rPr>
          <w:sz w:val="24"/>
          <w:szCs w:val="24"/>
        </w:rPr>
        <w:t xml:space="preserve"> forsøg på patienter</w:t>
      </w:r>
      <w:r w:rsidRPr="003A44C8">
        <w:rPr>
          <w:i/>
          <w:sz w:val="24"/>
          <w:szCs w:val="24"/>
        </w:rPr>
        <w:t xml:space="preserve">. In </w:t>
      </w:r>
      <w:proofErr w:type="spellStart"/>
      <w:r w:rsidRPr="003A44C8">
        <w:rPr>
          <w:i/>
          <w:sz w:val="24"/>
          <w:szCs w:val="24"/>
        </w:rPr>
        <w:t>vitro</w:t>
      </w:r>
      <w:proofErr w:type="spellEnd"/>
      <w:r w:rsidRPr="003A44C8">
        <w:rPr>
          <w:sz w:val="24"/>
          <w:szCs w:val="24"/>
        </w:rPr>
        <w:t xml:space="preserve"> data og begrænsede data fra raske frivillige antyder, at efter subkutan administration af </w:t>
      </w:r>
      <w:proofErr w:type="spellStart"/>
      <w:r w:rsidRPr="003A44C8">
        <w:rPr>
          <w:sz w:val="24"/>
          <w:szCs w:val="24"/>
        </w:rPr>
        <w:t>glatirameracetat</w:t>
      </w:r>
      <w:proofErr w:type="spellEnd"/>
      <w:r w:rsidRPr="003A44C8">
        <w:rPr>
          <w:sz w:val="24"/>
          <w:szCs w:val="24"/>
        </w:rPr>
        <w:t>, bliver den aktive substans hurtigt absorberet og en stor del af dosis bliver hurtigt nedbrudt til mindre fragmenter allerede i det subkutane væv</w:t>
      </w:r>
      <w:r>
        <w:rPr>
          <w:sz w:val="24"/>
          <w:szCs w:val="24"/>
        </w:rPr>
        <w:t>.</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5.3</w:t>
      </w:r>
      <w:r w:rsidRPr="00C84483">
        <w:rPr>
          <w:b/>
          <w:sz w:val="24"/>
          <w:szCs w:val="24"/>
        </w:rPr>
        <w:tab/>
      </w:r>
      <w:r w:rsidR="001A155F">
        <w:rPr>
          <w:b/>
          <w:sz w:val="24"/>
          <w:szCs w:val="24"/>
        </w:rPr>
        <w:t>Non-</w:t>
      </w:r>
      <w:r w:rsidRPr="00C84483">
        <w:rPr>
          <w:b/>
          <w:sz w:val="24"/>
          <w:szCs w:val="24"/>
        </w:rPr>
        <w:t>kliniske sikkerhedsdata</w:t>
      </w:r>
    </w:p>
    <w:p w:rsidR="00814024" w:rsidRDefault="00814024" w:rsidP="00814024">
      <w:pPr>
        <w:numPr>
          <w:ilvl w:val="12"/>
          <w:numId w:val="0"/>
        </w:numPr>
        <w:ind w:left="851" w:right="11"/>
        <w:rPr>
          <w:sz w:val="24"/>
          <w:szCs w:val="24"/>
        </w:rPr>
      </w:pPr>
      <w:r>
        <w:rPr>
          <w:sz w:val="24"/>
          <w:szCs w:val="24"/>
        </w:rPr>
        <w:t xml:space="preserve">Non-kliniske data viser ingen speciel risiko for mennesker vurderet ud fra konventionelle studier af sikkerhedsfarmakologi, toksicitet efter gentagne doser, genotoksicitet, </w:t>
      </w:r>
      <w:proofErr w:type="spellStart"/>
      <w:r>
        <w:rPr>
          <w:sz w:val="24"/>
          <w:szCs w:val="24"/>
        </w:rPr>
        <w:t>karcinogent</w:t>
      </w:r>
      <w:proofErr w:type="spellEnd"/>
      <w:r>
        <w:rPr>
          <w:sz w:val="24"/>
          <w:szCs w:val="24"/>
        </w:rPr>
        <w:t xml:space="preserve"> potentiale samt reproduktions- og udviklingstoksicitet</w:t>
      </w:r>
      <w:r>
        <w:rPr>
          <w:color w:val="000000"/>
          <w:sz w:val="24"/>
          <w:szCs w:val="24"/>
        </w:rPr>
        <w:t xml:space="preserve"> ud over den information, der er inkluderet i andre dele af produktresuméet (</w:t>
      </w:r>
      <w:proofErr w:type="spellStart"/>
      <w:r>
        <w:rPr>
          <w:color w:val="000000"/>
          <w:sz w:val="24"/>
          <w:szCs w:val="24"/>
        </w:rPr>
        <w:t>SmPC</w:t>
      </w:r>
      <w:proofErr w:type="spellEnd"/>
      <w:r>
        <w:rPr>
          <w:color w:val="000000"/>
          <w:sz w:val="24"/>
          <w:szCs w:val="24"/>
        </w:rPr>
        <w:t>)</w:t>
      </w:r>
      <w:r>
        <w:rPr>
          <w:sz w:val="24"/>
          <w:szCs w:val="24"/>
        </w:rPr>
        <w:t xml:space="preserve">. På grund af mangel på humane </w:t>
      </w:r>
      <w:proofErr w:type="spellStart"/>
      <w:r>
        <w:rPr>
          <w:sz w:val="24"/>
          <w:szCs w:val="24"/>
        </w:rPr>
        <w:t>farmakokinetiske</w:t>
      </w:r>
      <w:proofErr w:type="spellEnd"/>
      <w:r>
        <w:rPr>
          <w:sz w:val="24"/>
          <w:szCs w:val="24"/>
        </w:rPr>
        <w:t xml:space="preserve"> data kan grænserne for eksponering mellem mennesker og dyr ikke fastslås.</w:t>
      </w:r>
    </w:p>
    <w:p w:rsidR="00814024" w:rsidRDefault="00814024" w:rsidP="00814024">
      <w:pPr>
        <w:numPr>
          <w:ilvl w:val="12"/>
          <w:numId w:val="0"/>
        </w:numPr>
        <w:ind w:left="851" w:right="11"/>
        <w:rPr>
          <w:sz w:val="24"/>
          <w:szCs w:val="24"/>
        </w:rPr>
      </w:pPr>
    </w:p>
    <w:p w:rsidR="00814024" w:rsidRDefault="00814024" w:rsidP="00814024">
      <w:pPr>
        <w:numPr>
          <w:ilvl w:val="12"/>
          <w:numId w:val="0"/>
        </w:numPr>
        <w:ind w:left="851" w:right="11"/>
        <w:rPr>
          <w:sz w:val="24"/>
          <w:szCs w:val="24"/>
        </w:rPr>
      </w:pPr>
      <w:r>
        <w:rPr>
          <w:sz w:val="24"/>
          <w:szCs w:val="24"/>
        </w:rPr>
        <w:lastRenderedPageBreak/>
        <w:t xml:space="preserve">Hos et lille antal rotter og aber behandlet i minimum 6 måneder blev der rapporteret om aflejring af immunkomplekser i </w:t>
      </w:r>
      <w:proofErr w:type="spellStart"/>
      <w:r>
        <w:rPr>
          <w:sz w:val="24"/>
          <w:szCs w:val="24"/>
        </w:rPr>
        <w:t>glomeruli</w:t>
      </w:r>
      <w:proofErr w:type="spellEnd"/>
      <w:r>
        <w:rPr>
          <w:sz w:val="24"/>
          <w:szCs w:val="24"/>
        </w:rPr>
        <w:t xml:space="preserve"> i nyrerne. I et 2 års rotteforsøg blev der ikke set tegn på aflejring af immunkomplekser i </w:t>
      </w:r>
      <w:proofErr w:type="spellStart"/>
      <w:r>
        <w:rPr>
          <w:sz w:val="24"/>
          <w:szCs w:val="24"/>
        </w:rPr>
        <w:t>nyreglomeruli</w:t>
      </w:r>
      <w:proofErr w:type="spellEnd"/>
      <w:r>
        <w:rPr>
          <w:sz w:val="24"/>
          <w:szCs w:val="24"/>
        </w:rPr>
        <w:t>.</w:t>
      </w:r>
    </w:p>
    <w:p w:rsidR="00814024" w:rsidRDefault="00814024" w:rsidP="00814024">
      <w:pPr>
        <w:numPr>
          <w:ilvl w:val="12"/>
          <w:numId w:val="0"/>
        </w:numPr>
        <w:ind w:left="851" w:right="11"/>
        <w:rPr>
          <w:sz w:val="24"/>
          <w:szCs w:val="24"/>
        </w:rPr>
      </w:pPr>
    </w:p>
    <w:p w:rsidR="00814024" w:rsidRDefault="00814024" w:rsidP="00814024">
      <w:pPr>
        <w:numPr>
          <w:ilvl w:val="12"/>
          <w:numId w:val="0"/>
        </w:numPr>
        <w:ind w:left="851" w:right="11"/>
        <w:rPr>
          <w:sz w:val="24"/>
          <w:szCs w:val="24"/>
        </w:rPr>
      </w:pPr>
      <w:r>
        <w:rPr>
          <w:sz w:val="24"/>
          <w:szCs w:val="24"/>
        </w:rPr>
        <w:t>Anafylaksi efter administration til sensibiliserede dyr (marsvin eller mus) er rapporteret. Relevansen af disse data i forhold til mennesker er ukendt.</w:t>
      </w:r>
    </w:p>
    <w:p w:rsidR="00814024" w:rsidRDefault="00814024" w:rsidP="00814024">
      <w:pPr>
        <w:numPr>
          <w:ilvl w:val="12"/>
          <w:numId w:val="0"/>
        </w:numPr>
        <w:ind w:left="851" w:right="11"/>
        <w:rPr>
          <w:sz w:val="24"/>
          <w:szCs w:val="24"/>
        </w:rPr>
      </w:pPr>
    </w:p>
    <w:p w:rsidR="00814024" w:rsidRDefault="00814024" w:rsidP="00814024">
      <w:pPr>
        <w:numPr>
          <w:ilvl w:val="12"/>
          <w:numId w:val="0"/>
        </w:numPr>
        <w:ind w:left="851" w:right="11"/>
        <w:rPr>
          <w:sz w:val="24"/>
          <w:szCs w:val="24"/>
        </w:rPr>
      </w:pPr>
      <w:r>
        <w:rPr>
          <w:sz w:val="24"/>
          <w:szCs w:val="24"/>
        </w:rPr>
        <w:t>Toksicitet på injektionsstedet var almindeligt ved gentagen administration hos dyr.</w:t>
      </w:r>
    </w:p>
    <w:p w:rsidR="00814024" w:rsidRDefault="00814024" w:rsidP="00814024">
      <w:pPr>
        <w:tabs>
          <w:tab w:val="left" w:pos="851"/>
        </w:tabs>
        <w:ind w:left="851"/>
        <w:rPr>
          <w:sz w:val="24"/>
          <w:szCs w:val="24"/>
        </w:rPr>
      </w:pPr>
    </w:p>
    <w:p w:rsidR="00814024" w:rsidRDefault="00814024" w:rsidP="00814024">
      <w:pPr>
        <w:tabs>
          <w:tab w:val="left" w:pos="851"/>
        </w:tabs>
        <w:ind w:left="851"/>
        <w:rPr>
          <w:sz w:val="24"/>
          <w:szCs w:val="24"/>
        </w:rPr>
      </w:pPr>
      <w:r>
        <w:rPr>
          <w:color w:val="000000"/>
        </w:rPr>
        <w:t>Ved subkutane doser ≥6 mg/kg/dag (2,83 gange den anbefalede maksimale daglige dosis til voksne mennesker på 60 kg baseret på mg/m</w:t>
      </w:r>
      <w:r>
        <w:rPr>
          <w:color w:val="000000"/>
          <w:vertAlign w:val="superscript"/>
        </w:rPr>
        <w:t>2</w:t>
      </w:r>
      <w:r>
        <w:rPr>
          <w:color w:val="000000"/>
        </w:rPr>
        <w:t xml:space="preserve">) blev der observeret en lille men statistisk signifikant reduktion i vægtøgning hos afkom i kuld hos rotter behandlet under graviditet og dieperiode i forhold til kontrolgruppen. </w:t>
      </w:r>
      <w:r>
        <w:rPr>
          <w:color w:val="222222"/>
          <w:sz w:val="24"/>
          <w:szCs w:val="24"/>
        </w:rPr>
        <w:t>Der blev ikke observeret andre signifikante effekter på væksten og udviklingen hos afkommet.</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508AD" w:rsidRPr="00BA09F1"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6.1</w:t>
      </w:r>
      <w:r w:rsidRPr="00C84483">
        <w:rPr>
          <w:b/>
          <w:sz w:val="24"/>
          <w:szCs w:val="24"/>
        </w:rPr>
        <w:tab/>
        <w:t>Hjælpestoffer</w:t>
      </w:r>
    </w:p>
    <w:p w:rsidR="006508AD" w:rsidRPr="005D5D3A" w:rsidRDefault="006508AD" w:rsidP="006508AD">
      <w:pPr>
        <w:ind w:left="851"/>
        <w:rPr>
          <w:sz w:val="24"/>
          <w:szCs w:val="24"/>
        </w:rPr>
      </w:pPr>
      <w:proofErr w:type="spellStart"/>
      <w:r w:rsidRPr="005D5D3A">
        <w:rPr>
          <w:sz w:val="24"/>
          <w:szCs w:val="24"/>
        </w:rPr>
        <w:t>Mannitol</w:t>
      </w:r>
      <w:proofErr w:type="spellEnd"/>
    </w:p>
    <w:p w:rsidR="006508AD" w:rsidRPr="005D5D3A" w:rsidRDefault="006508AD" w:rsidP="006508AD">
      <w:pPr>
        <w:ind w:left="851"/>
        <w:rPr>
          <w:sz w:val="24"/>
          <w:szCs w:val="24"/>
        </w:rPr>
      </w:pPr>
      <w:r w:rsidRPr="005D5D3A">
        <w:rPr>
          <w:sz w:val="24"/>
          <w:szCs w:val="24"/>
        </w:rPr>
        <w:t>Vand til injektionsvæsker</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6.2</w:t>
      </w:r>
      <w:r w:rsidRPr="00C84483">
        <w:rPr>
          <w:b/>
          <w:sz w:val="24"/>
          <w:szCs w:val="24"/>
        </w:rPr>
        <w:tab/>
        <w:t>Uforligeligheder</w:t>
      </w:r>
    </w:p>
    <w:p w:rsidR="006508AD" w:rsidRPr="00C84483" w:rsidRDefault="006508AD" w:rsidP="006508AD">
      <w:pPr>
        <w:ind w:left="851"/>
        <w:rPr>
          <w:sz w:val="24"/>
          <w:szCs w:val="24"/>
        </w:rPr>
      </w:pPr>
      <w:r w:rsidRPr="008870B9">
        <w:rPr>
          <w:sz w:val="24"/>
          <w:szCs w:val="24"/>
        </w:rPr>
        <w:t>Da der ikke foreligger studier af eventuelle uforligeligheder, må dette lægemiddel ikke blandes med andre lægemidler.</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6.3</w:t>
      </w:r>
      <w:r w:rsidRPr="00C84483">
        <w:rPr>
          <w:b/>
          <w:sz w:val="24"/>
          <w:szCs w:val="24"/>
        </w:rPr>
        <w:tab/>
        <w:t>Opbevaringstid</w:t>
      </w:r>
    </w:p>
    <w:p w:rsidR="006508AD" w:rsidRPr="00C84483" w:rsidRDefault="006508AD" w:rsidP="006508AD">
      <w:pPr>
        <w:tabs>
          <w:tab w:val="left" w:pos="851"/>
        </w:tabs>
        <w:ind w:left="851" w:hanging="851"/>
        <w:rPr>
          <w:sz w:val="24"/>
          <w:szCs w:val="24"/>
        </w:rPr>
      </w:pPr>
      <w:r w:rsidRPr="00C84483">
        <w:rPr>
          <w:sz w:val="24"/>
          <w:szCs w:val="24"/>
        </w:rPr>
        <w:tab/>
      </w:r>
      <w:r>
        <w:rPr>
          <w:sz w:val="24"/>
          <w:szCs w:val="24"/>
        </w:rPr>
        <w:t>3 år.</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508AD" w:rsidRPr="00D94C40" w:rsidRDefault="006508AD" w:rsidP="006508AD">
      <w:pPr>
        <w:ind w:left="851"/>
        <w:rPr>
          <w:sz w:val="24"/>
          <w:szCs w:val="24"/>
        </w:rPr>
      </w:pPr>
      <w:r w:rsidRPr="00D94C40">
        <w:rPr>
          <w:sz w:val="24"/>
          <w:szCs w:val="24"/>
        </w:rPr>
        <w:t>Opbevares i den originale pakning for at beskytte mod lys.</w:t>
      </w:r>
    </w:p>
    <w:p w:rsidR="006508AD" w:rsidRPr="00D94C40" w:rsidRDefault="006508AD" w:rsidP="006508AD">
      <w:pPr>
        <w:ind w:left="851"/>
        <w:rPr>
          <w:sz w:val="24"/>
          <w:szCs w:val="24"/>
        </w:rPr>
      </w:pPr>
    </w:p>
    <w:p w:rsidR="006508AD" w:rsidRPr="00D94C40" w:rsidRDefault="006508AD" w:rsidP="006508AD">
      <w:pPr>
        <w:ind w:left="851"/>
        <w:rPr>
          <w:sz w:val="24"/>
          <w:szCs w:val="24"/>
        </w:rPr>
      </w:pPr>
      <w:r w:rsidRPr="00D94C40">
        <w:rPr>
          <w:sz w:val="24"/>
          <w:szCs w:val="24"/>
        </w:rPr>
        <w:t>Opbevares i køleskab (2 °C-8 °C).</w:t>
      </w:r>
    </w:p>
    <w:p w:rsidR="006508AD" w:rsidRPr="00D94C40" w:rsidRDefault="006508AD" w:rsidP="006508AD">
      <w:pPr>
        <w:ind w:left="851"/>
        <w:rPr>
          <w:sz w:val="24"/>
          <w:szCs w:val="24"/>
        </w:rPr>
      </w:pPr>
      <w:r w:rsidRPr="00D94C40">
        <w:rPr>
          <w:sz w:val="24"/>
          <w:szCs w:val="24"/>
        </w:rPr>
        <w:t>Må ikke nedfryses.</w:t>
      </w:r>
    </w:p>
    <w:p w:rsidR="006508AD" w:rsidRPr="00D94C40" w:rsidRDefault="006508AD" w:rsidP="006508AD">
      <w:pPr>
        <w:ind w:left="851"/>
        <w:rPr>
          <w:sz w:val="24"/>
          <w:szCs w:val="24"/>
        </w:rPr>
      </w:pPr>
      <w:r w:rsidRPr="00D94C40">
        <w:rPr>
          <w:sz w:val="24"/>
          <w:szCs w:val="24"/>
        </w:rPr>
        <w:tab/>
      </w:r>
    </w:p>
    <w:p w:rsidR="006508AD" w:rsidRPr="00D94C40" w:rsidRDefault="006508AD" w:rsidP="006508AD">
      <w:pPr>
        <w:ind w:left="851"/>
        <w:rPr>
          <w:sz w:val="24"/>
          <w:szCs w:val="24"/>
        </w:rPr>
      </w:pPr>
      <w:r w:rsidRPr="00D94C40">
        <w:rPr>
          <w:sz w:val="24"/>
          <w:szCs w:val="24"/>
        </w:rPr>
        <w:t>Hvis de fyldte injektionssprøjter ikke kan opbevares i køleskab, kan de opbevares ved stuetemperatur (15</w:t>
      </w:r>
      <w:r>
        <w:rPr>
          <w:sz w:val="24"/>
          <w:szCs w:val="24"/>
        </w:rPr>
        <w:t xml:space="preserve"> </w:t>
      </w:r>
      <w:r w:rsidRPr="00D94C40">
        <w:rPr>
          <w:sz w:val="24"/>
          <w:szCs w:val="24"/>
        </w:rPr>
        <w:t>°C-25</w:t>
      </w:r>
      <w:r>
        <w:rPr>
          <w:sz w:val="24"/>
          <w:szCs w:val="24"/>
        </w:rPr>
        <w:t xml:space="preserve"> </w:t>
      </w:r>
      <w:r w:rsidRPr="00D94C40">
        <w:rPr>
          <w:sz w:val="24"/>
          <w:szCs w:val="24"/>
        </w:rPr>
        <w:t>°C) én gang i op til 1 måned.</w:t>
      </w:r>
    </w:p>
    <w:p w:rsidR="006508AD" w:rsidRPr="00C84483" w:rsidRDefault="006508AD" w:rsidP="006508AD">
      <w:pPr>
        <w:ind w:left="851"/>
        <w:rPr>
          <w:sz w:val="24"/>
          <w:szCs w:val="24"/>
        </w:rPr>
      </w:pPr>
      <w:r w:rsidRPr="00D94C40">
        <w:rPr>
          <w:sz w:val="24"/>
          <w:szCs w:val="24"/>
        </w:rPr>
        <w:t>Hvis de fyldte injektionssprøjter ikke er anvendt efter 1 måned og stadig er i den originale pakning, skal de igen anbringes i køleskab (2</w:t>
      </w:r>
      <w:r>
        <w:rPr>
          <w:sz w:val="24"/>
          <w:szCs w:val="24"/>
        </w:rPr>
        <w:t xml:space="preserve"> </w:t>
      </w:r>
      <w:r w:rsidRPr="00D94C40">
        <w:rPr>
          <w:sz w:val="24"/>
          <w:szCs w:val="24"/>
        </w:rPr>
        <w:t>°C-</w:t>
      </w:r>
      <w:r>
        <w:rPr>
          <w:sz w:val="24"/>
          <w:szCs w:val="24"/>
        </w:rPr>
        <w:t xml:space="preserve"> </w:t>
      </w:r>
      <w:r w:rsidRPr="00D94C40">
        <w:rPr>
          <w:sz w:val="24"/>
          <w:szCs w:val="24"/>
        </w:rPr>
        <w:t>8°C).</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508AD" w:rsidRPr="00E47D93" w:rsidRDefault="006508AD" w:rsidP="006508AD">
      <w:pPr>
        <w:ind w:left="851"/>
        <w:rPr>
          <w:sz w:val="24"/>
          <w:szCs w:val="24"/>
        </w:rPr>
      </w:pPr>
      <w:r w:rsidRPr="00E47D93">
        <w:rPr>
          <w:sz w:val="24"/>
          <w:szCs w:val="24"/>
        </w:rPr>
        <w:t>Beholderens lukkemekanisme består af en glassprøjte med fastgjort nål til engangsbrug.</w:t>
      </w:r>
    </w:p>
    <w:p w:rsidR="006508AD" w:rsidRPr="00E47D93" w:rsidRDefault="006508AD" w:rsidP="006508AD">
      <w:pPr>
        <w:ind w:left="851"/>
        <w:rPr>
          <w:sz w:val="24"/>
          <w:szCs w:val="24"/>
        </w:rPr>
      </w:pPr>
      <w:r w:rsidRPr="00E47D93">
        <w:rPr>
          <w:sz w:val="24"/>
          <w:szCs w:val="24"/>
        </w:rPr>
        <w:t>En stempel-stopper af gummi (</w:t>
      </w:r>
      <w:proofErr w:type="spellStart"/>
      <w:r w:rsidRPr="00E47D93">
        <w:rPr>
          <w:sz w:val="24"/>
          <w:szCs w:val="24"/>
        </w:rPr>
        <w:t>brombutyl</w:t>
      </w:r>
      <w:proofErr w:type="spellEnd"/>
      <w:r w:rsidRPr="00E47D93">
        <w:rPr>
          <w:sz w:val="24"/>
          <w:szCs w:val="24"/>
        </w:rPr>
        <w:t>, Type I) er tilpasset til lukning af beholderen og fungerer som et stempel under injektionen. En stempel-stang er skruet ind i stempel-stopperen. Nålen er dækket af en kanylehætte.</w:t>
      </w:r>
    </w:p>
    <w:p w:rsidR="006508AD" w:rsidRPr="00E47D93" w:rsidRDefault="006508AD" w:rsidP="006508AD">
      <w:pPr>
        <w:ind w:left="851"/>
        <w:rPr>
          <w:sz w:val="24"/>
          <w:szCs w:val="24"/>
        </w:rPr>
      </w:pPr>
    </w:p>
    <w:p w:rsidR="006508AD" w:rsidRPr="00E47D93" w:rsidRDefault="006508AD" w:rsidP="006508AD">
      <w:pPr>
        <w:ind w:left="851"/>
        <w:rPr>
          <w:sz w:val="24"/>
          <w:szCs w:val="24"/>
        </w:rPr>
      </w:pPr>
      <w:r w:rsidRPr="00E47D93">
        <w:rPr>
          <w:sz w:val="24"/>
          <w:szCs w:val="24"/>
        </w:rPr>
        <w:t>Volumen af opløsningen i injektionssprøjten er 1,0 ml.</w:t>
      </w:r>
    </w:p>
    <w:p w:rsidR="006508AD" w:rsidRDefault="006508AD" w:rsidP="006508AD">
      <w:pPr>
        <w:suppressAutoHyphens/>
        <w:ind w:left="851"/>
        <w:rPr>
          <w:sz w:val="24"/>
          <w:szCs w:val="24"/>
        </w:rPr>
      </w:pPr>
    </w:p>
    <w:p w:rsidR="006508AD" w:rsidRPr="00E47D93" w:rsidRDefault="006508AD" w:rsidP="006508AD">
      <w:pPr>
        <w:suppressAutoHyphens/>
        <w:ind w:left="851"/>
        <w:rPr>
          <w:sz w:val="24"/>
          <w:szCs w:val="24"/>
        </w:rPr>
      </w:pPr>
      <w:r>
        <w:rPr>
          <w:sz w:val="24"/>
          <w:szCs w:val="24"/>
        </w:rPr>
        <w:t xml:space="preserve">Pakningsstørrelser: </w:t>
      </w:r>
      <w:r w:rsidRPr="00E47D93">
        <w:rPr>
          <w:sz w:val="24"/>
          <w:szCs w:val="24"/>
        </w:rPr>
        <w:t>3</w:t>
      </w:r>
      <w:r>
        <w:rPr>
          <w:sz w:val="24"/>
          <w:szCs w:val="24"/>
        </w:rPr>
        <w:t>, 12 og 36 (3×12)</w:t>
      </w:r>
      <w:r w:rsidRPr="00E47D93">
        <w:rPr>
          <w:sz w:val="24"/>
          <w:szCs w:val="24"/>
        </w:rPr>
        <w:t xml:space="preserve"> fyldte injektionssprøjter</w:t>
      </w:r>
      <w:r>
        <w:rPr>
          <w:sz w:val="24"/>
          <w:szCs w:val="24"/>
        </w:rPr>
        <w:t>.</w:t>
      </w:r>
    </w:p>
    <w:p w:rsidR="006508AD" w:rsidRPr="00C84483" w:rsidRDefault="006508AD" w:rsidP="006508AD">
      <w:pPr>
        <w:suppressAutoHyphens/>
        <w:ind w:left="851"/>
        <w:rPr>
          <w:sz w:val="24"/>
          <w:szCs w:val="24"/>
        </w:rPr>
      </w:pPr>
      <w:r w:rsidRPr="00E47D93">
        <w:rPr>
          <w:sz w:val="24"/>
          <w:szCs w:val="24"/>
        </w:rPr>
        <w:t>Ikke alle pakningsstørrelser er nødvendigvis markedsført.</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1A155F">
        <w:rPr>
          <w:b/>
          <w:sz w:val="24"/>
          <w:szCs w:val="24"/>
        </w:rPr>
        <w:t>bortskaffelse</w:t>
      </w:r>
      <w:r w:rsidRPr="00C84483">
        <w:rPr>
          <w:b/>
          <w:sz w:val="24"/>
          <w:szCs w:val="24"/>
        </w:rPr>
        <w:t xml:space="preserve"> og anden håndtering</w:t>
      </w:r>
    </w:p>
    <w:p w:rsidR="006508AD" w:rsidRDefault="006508AD" w:rsidP="006508AD">
      <w:pPr>
        <w:suppressAutoHyphens/>
        <w:ind w:left="851"/>
        <w:rPr>
          <w:sz w:val="24"/>
          <w:szCs w:val="24"/>
        </w:rPr>
      </w:pPr>
      <w:r w:rsidRPr="005E38A9">
        <w:rPr>
          <w:sz w:val="24"/>
          <w:szCs w:val="24"/>
        </w:rPr>
        <w:t>Kun til engangsbrug.</w:t>
      </w:r>
    </w:p>
    <w:p w:rsidR="006508AD" w:rsidRPr="005E38A9" w:rsidRDefault="006508AD" w:rsidP="006508AD">
      <w:pPr>
        <w:suppressAutoHyphens/>
        <w:ind w:left="851"/>
        <w:rPr>
          <w:sz w:val="24"/>
          <w:szCs w:val="24"/>
        </w:rPr>
      </w:pPr>
    </w:p>
    <w:p w:rsidR="006508AD" w:rsidRPr="00C84483" w:rsidRDefault="006508AD" w:rsidP="006508AD">
      <w:pPr>
        <w:suppressAutoHyphens/>
        <w:ind w:left="851"/>
        <w:rPr>
          <w:sz w:val="24"/>
          <w:szCs w:val="24"/>
        </w:rPr>
      </w:pPr>
      <w:r w:rsidRPr="005E38A9">
        <w:rPr>
          <w:sz w:val="24"/>
          <w:szCs w:val="24"/>
        </w:rPr>
        <w:t>Ikke anvendt lægemiddel samt affald heraf skal bortskaffes i henhold til lokale retningslinjer.</w:t>
      </w:r>
    </w:p>
    <w:p w:rsidR="006A49D3" w:rsidRPr="00C84483" w:rsidRDefault="006A49D3" w:rsidP="00DD16DA">
      <w:pPr>
        <w:tabs>
          <w:tab w:val="left" w:pos="851"/>
        </w:tabs>
        <w:jc w:val="both"/>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425DE" w:rsidRPr="0034741C" w:rsidRDefault="008425DE" w:rsidP="008425DE">
      <w:pPr>
        <w:suppressAutoHyphens/>
        <w:ind w:firstLine="851"/>
        <w:rPr>
          <w:sz w:val="24"/>
          <w:szCs w:val="24"/>
        </w:rPr>
      </w:pPr>
      <w:proofErr w:type="spellStart"/>
      <w:r w:rsidRPr="0034741C">
        <w:rPr>
          <w:sz w:val="24"/>
          <w:szCs w:val="24"/>
        </w:rPr>
        <w:t>Viatris</w:t>
      </w:r>
      <w:proofErr w:type="spellEnd"/>
      <w:r w:rsidRPr="0034741C">
        <w:rPr>
          <w:sz w:val="24"/>
          <w:szCs w:val="24"/>
        </w:rPr>
        <w:t xml:space="preserve"> Limited</w:t>
      </w:r>
    </w:p>
    <w:p w:rsidR="008425DE" w:rsidRPr="0034741C" w:rsidRDefault="008425DE" w:rsidP="008425DE">
      <w:pPr>
        <w:suppressAutoHyphens/>
        <w:ind w:firstLine="851"/>
        <w:rPr>
          <w:sz w:val="24"/>
          <w:szCs w:val="24"/>
        </w:rPr>
      </w:pPr>
      <w:proofErr w:type="spellStart"/>
      <w:r w:rsidRPr="0034741C">
        <w:rPr>
          <w:sz w:val="24"/>
          <w:szCs w:val="24"/>
        </w:rPr>
        <w:t>Damastown</w:t>
      </w:r>
      <w:proofErr w:type="spellEnd"/>
      <w:r w:rsidRPr="0034741C">
        <w:rPr>
          <w:sz w:val="24"/>
          <w:szCs w:val="24"/>
        </w:rPr>
        <w:t xml:space="preserve"> Industrial Park</w:t>
      </w:r>
    </w:p>
    <w:p w:rsidR="008425DE" w:rsidRPr="0034741C" w:rsidRDefault="008425DE" w:rsidP="008425DE">
      <w:pPr>
        <w:suppressAutoHyphens/>
        <w:ind w:firstLine="851"/>
        <w:rPr>
          <w:sz w:val="24"/>
          <w:szCs w:val="24"/>
        </w:rPr>
      </w:pPr>
      <w:proofErr w:type="spellStart"/>
      <w:r w:rsidRPr="0034741C">
        <w:rPr>
          <w:sz w:val="24"/>
          <w:szCs w:val="24"/>
        </w:rPr>
        <w:t>Mulhuddart</w:t>
      </w:r>
      <w:proofErr w:type="spellEnd"/>
    </w:p>
    <w:p w:rsidR="008425DE" w:rsidRPr="00583A15" w:rsidRDefault="008425DE" w:rsidP="008425DE">
      <w:pPr>
        <w:suppressAutoHyphens/>
        <w:ind w:firstLine="851"/>
        <w:rPr>
          <w:sz w:val="24"/>
          <w:szCs w:val="24"/>
        </w:rPr>
      </w:pPr>
      <w:r w:rsidRPr="00583A15">
        <w:rPr>
          <w:sz w:val="24"/>
          <w:szCs w:val="24"/>
        </w:rPr>
        <w:t>Dublin 15</w:t>
      </w:r>
    </w:p>
    <w:p w:rsidR="008425DE" w:rsidRPr="00583A15" w:rsidRDefault="008425DE" w:rsidP="008425DE">
      <w:pPr>
        <w:suppressAutoHyphens/>
        <w:ind w:firstLine="851"/>
        <w:rPr>
          <w:sz w:val="24"/>
          <w:szCs w:val="24"/>
        </w:rPr>
      </w:pPr>
      <w:r w:rsidRPr="00583A15">
        <w:rPr>
          <w:sz w:val="24"/>
          <w:szCs w:val="24"/>
        </w:rPr>
        <w:t>Dublin</w:t>
      </w:r>
    </w:p>
    <w:p w:rsidR="006508AD" w:rsidRDefault="008425DE" w:rsidP="008425DE">
      <w:pPr>
        <w:suppressAutoHyphens/>
        <w:ind w:firstLine="851"/>
        <w:rPr>
          <w:sz w:val="24"/>
          <w:szCs w:val="24"/>
        </w:rPr>
      </w:pPr>
      <w:r w:rsidRPr="00583A15">
        <w:rPr>
          <w:sz w:val="24"/>
          <w:szCs w:val="24"/>
        </w:rPr>
        <w:t>Irland</w:t>
      </w:r>
    </w:p>
    <w:p w:rsidR="006A49D3" w:rsidRDefault="006A49D3" w:rsidP="006A49D3">
      <w:pPr>
        <w:ind w:left="851"/>
        <w:rPr>
          <w:sz w:val="24"/>
          <w:szCs w:val="24"/>
        </w:rPr>
      </w:pPr>
    </w:p>
    <w:p w:rsidR="006A49D3" w:rsidRDefault="006A49D3" w:rsidP="006A49D3">
      <w:pPr>
        <w:suppressAutoHyphens/>
        <w:ind w:left="851"/>
        <w:rPr>
          <w:sz w:val="24"/>
          <w:szCs w:val="24"/>
        </w:rPr>
      </w:pPr>
      <w:r>
        <w:rPr>
          <w:b/>
          <w:sz w:val="24"/>
          <w:szCs w:val="24"/>
        </w:rPr>
        <w:t>Repræsentant</w:t>
      </w:r>
    </w:p>
    <w:p w:rsidR="006A49D3" w:rsidRPr="00CF5E53" w:rsidRDefault="006A49D3" w:rsidP="006A49D3">
      <w:pPr>
        <w:suppressAutoHyphens/>
        <w:ind w:left="851"/>
        <w:rPr>
          <w:sz w:val="24"/>
          <w:szCs w:val="24"/>
        </w:rPr>
      </w:pPr>
      <w:proofErr w:type="spellStart"/>
      <w:r w:rsidRPr="00CF5E53">
        <w:rPr>
          <w:sz w:val="24"/>
          <w:szCs w:val="24"/>
        </w:rPr>
        <w:t>Viatris</w:t>
      </w:r>
      <w:proofErr w:type="spellEnd"/>
      <w:r w:rsidRPr="00CF5E53">
        <w:rPr>
          <w:sz w:val="24"/>
          <w:szCs w:val="24"/>
        </w:rPr>
        <w:t xml:space="preserve"> ApS</w:t>
      </w:r>
    </w:p>
    <w:p w:rsidR="006A49D3" w:rsidRPr="00CF5E53" w:rsidRDefault="006A49D3" w:rsidP="006A49D3">
      <w:pPr>
        <w:suppressAutoHyphens/>
        <w:ind w:left="851"/>
        <w:rPr>
          <w:sz w:val="24"/>
          <w:szCs w:val="24"/>
        </w:rPr>
      </w:pPr>
      <w:r w:rsidRPr="00CF5E53">
        <w:rPr>
          <w:sz w:val="24"/>
          <w:szCs w:val="24"/>
        </w:rPr>
        <w:t>Borupvang 1</w:t>
      </w:r>
    </w:p>
    <w:p w:rsidR="006A49D3" w:rsidRDefault="006A49D3" w:rsidP="006A49D3">
      <w:pPr>
        <w:ind w:left="851"/>
        <w:rPr>
          <w:sz w:val="24"/>
          <w:szCs w:val="24"/>
        </w:rPr>
      </w:pPr>
      <w:r w:rsidRPr="00CF5E53">
        <w:rPr>
          <w:sz w:val="24"/>
          <w:szCs w:val="24"/>
        </w:rPr>
        <w:t>2750 Ballerup</w:t>
      </w:r>
    </w:p>
    <w:p w:rsidR="006A49D3" w:rsidRPr="00C84483" w:rsidRDefault="006A49D3" w:rsidP="006A49D3">
      <w:pPr>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A155F">
        <w:rPr>
          <w:b/>
          <w:sz w:val="24"/>
          <w:szCs w:val="24"/>
        </w:rPr>
        <w:t>-</w:t>
      </w:r>
      <w:r w:rsidRPr="00C84483">
        <w:rPr>
          <w:b/>
          <w:sz w:val="24"/>
          <w:szCs w:val="24"/>
        </w:rPr>
        <w:t>NUMRE)</w:t>
      </w:r>
    </w:p>
    <w:p w:rsidR="006508AD" w:rsidRPr="00C84483" w:rsidRDefault="006508AD" w:rsidP="006508AD">
      <w:pPr>
        <w:tabs>
          <w:tab w:val="left" w:pos="851"/>
        </w:tabs>
        <w:ind w:left="851"/>
        <w:rPr>
          <w:sz w:val="24"/>
          <w:szCs w:val="24"/>
        </w:rPr>
      </w:pPr>
      <w:r>
        <w:rPr>
          <w:sz w:val="24"/>
          <w:szCs w:val="24"/>
        </w:rPr>
        <w:t>57826</w:t>
      </w:r>
    </w:p>
    <w:p w:rsidR="006508AD" w:rsidRPr="00C84483" w:rsidRDefault="006508AD" w:rsidP="006508AD">
      <w:pPr>
        <w:tabs>
          <w:tab w:val="left" w:pos="851"/>
        </w:tabs>
        <w:ind w:left="851"/>
        <w:jc w:val="both"/>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508AD" w:rsidRPr="00C84483" w:rsidRDefault="006508AD" w:rsidP="006508AD">
      <w:pPr>
        <w:tabs>
          <w:tab w:val="left" w:pos="851"/>
        </w:tabs>
        <w:ind w:left="851"/>
        <w:rPr>
          <w:sz w:val="24"/>
          <w:szCs w:val="24"/>
        </w:rPr>
      </w:pPr>
      <w:r>
        <w:rPr>
          <w:sz w:val="24"/>
          <w:szCs w:val="24"/>
        </w:rPr>
        <w:t>21. juni 2016 (injektionsvæske, opløsning i fyldt injektionssprøjte 20 mg/ml)</w:t>
      </w:r>
    </w:p>
    <w:p w:rsidR="006508AD" w:rsidRPr="00C84483" w:rsidRDefault="006508AD" w:rsidP="006508AD">
      <w:pPr>
        <w:tabs>
          <w:tab w:val="left" w:pos="851"/>
        </w:tabs>
        <w:ind w:left="851"/>
        <w:rPr>
          <w:sz w:val="24"/>
          <w:szCs w:val="24"/>
        </w:rPr>
      </w:pPr>
    </w:p>
    <w:p w:rsidR="006508AD" w:rsidRPr="00C84483" w:rsidRDefault="006508AD" w:rsidP="006508A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508AD" w:rsidRPr="00C84483" w:rsidRDefault="000B0D6C" w:rsidP="006508AD">
      <w:pPr>
        <w:tabs>
          <w:tab w:val="left" w:pos="851"/>
        </w:tabs>
        <w:ind w:left="851"/>
        <w:rPr>
          <w:sz w:val="24"/>
          <w:szCs w:val="24"/>
        </w:rPr>
      </w:pPr>
      <w:r>
        <w:rPr>
          <w:sz w:val="24"/>
          <w:szCs w:val="24"/>
        </w:rPr>
        <w:t xml:space="preserve">6. </w:t>
      </w:r>
      <w:r w:rsidR="00911B55">
        <w:rPr>
          <w:sz w:val="24"/>
          <w:szCs w:val="24"/>
        </w:rPr>
        <w:t>marts</w:t>
      </w:r>
      <w:bookmarkStart w:id="3" w:name="_GoBack"/>
      <w:bookmarkEnd w:id="3"/>
      <w:r>
        <w:rPr>
          <w:sz w:val="24"/>
          <w:szCs w:val="24"/>
        </w:rPr>
        <w:t xml:space="preserve"> 2025</w:t>
      </w:r>
    </w:p>
    <w:p w:rsidR="006508AD" w:rsidRPr="00B0689B" w:rsidRDefault="006508AD" w:rsidP="006508AD"/>
    <w:p w:rsidR="006508AD" w:rsidRPr="006176EB" w:rsidRDefault="006508AD" w:rsidP="006508AD"/>
    <w:p w:rsidR="009260DE" w:rsidRPr="006508AD" w:rsidRDefault="009260DE" w:rsidP="006508AD"/>
    <w:sectPr w:rsidR="009260DE" w:rsidRPr="006508A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8AD" w:rsidRDefault="006508AD">
      <w:r>
        <w:separator/>
      </w:r>
    </w:p>
  </w:endnote>
  <w:endnote w:type="continuationSeparator" w:id="0">
    <w:p w:rsidR="006508AD" w:rsidRDefault="0065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14024">
      <w:rPr>
        <w:i/>
        <w:noProof/>
        <w:sz w:val="18"/>
        <w:szCs w:val="18"/>
      </w:rPr>
      <w:t>Copemyl, injektionsvæske, opløsning i fyldt injektionssprøjte 40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8AD" w:rsidRDefault="006508AD">
      <w:r>
        <w:separator/>
      </w:r>
    </w:p>
  </w:footnote>
  <w:footnote w:type="continuationSeparator" w:id="0">
    <w:p w:rsidR="006508AD" w:rsidRDefault="00650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B09F3"/>
    <w:multiLevelType w:val="hybridMultilevel"/>
    <w:tmpl w:val="A10E098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6612AC"/>
    <w:multiLevelType w:val="hybridMultilevel"/>
    <w:tmpl w:val="29924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2"/>
  </w:num>
  <w:num w:numId="9">
    <w:abstractNumId w:val="0"/>
  </w:num>
  <w:num w:numId="10">
    <w:abstractNumId w:val="0"/>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AD"/>
    <w:rsid w:val="000259B9"/>
    <w:rsid w:val="00041491"/>
    <w:rsid w:val="00050D16"/>
    <w:rsid w:val="00074F2A"/>
    <w:rsid w:val="000A1CA8"/>
    <w:rsid w:val="000A466B"/>
    <w:rsid w:val="000B058C"/>
    <w:rsid w:val="000B0D6C"/>
    <w:rsid w:val="000E4EE6"/>
    <w:rsid w:val="001454E2"/>
    <w:rsid w:val="001A155F"/>
    <w:rsid w:val="001F37A4"/>
    <w:rsid w:val="00206CE8"/>
    <w:rsid w:val="0021526C"/>
    <w:rsid w:val="00224A9E"/>
    <w:rsid w:val="00283A2B"/>
    <w:rsid w:val="002B30AD"/>
    <w:rsid w:val="002C2C01"/>
    <w:rsid w:val="00311D48"/>
    <w:rsid w:val="00327890"/>
    <w:rsid w:val="0034741C"/>
    <w:rsid w:val="003636FB"/>
    <w:rsid w:val="003A1ADD"/>
    <w:rsid w:val="003A29AE"/>
    <w:rsid w:val="003A32D7"/>
    <w:rsid w:val="003B2B1B"/>
    <w:rsid w:val="003B4074"/>
    <w:rsid w:val="003C769A"/>
    <w:rsid w:val="003F1838"/>
    <w:rsid w:val="004067CC"/>
    <w:rsid w:val="0045746C"/>
    <w:rsid w:val="0047733E"/>
    <w:rsid w:val="0049104B"/>
    <w:rsid w:val="004C5F22"/>
    <w:rsid w:val="004E3B12"/>
    <w:rsid w:val="00532310"/>
    <w:rsid w:val="00560ECC"/>
    <w:rsid w:val="00565F0F"/>
    <w:rsid w:val="00594A86"/>
    <w:rsid w:val="00596D86"/>
    <w:rsid w:val="005B073E"/>
    <w:rsid w:val="005D5D3A"/>
    <w:rsid w:val="00617787"/>
    <w:rsid w:val="00627623"/>
    <w:rsid w:val="00637F5A"/>
    <w:rsid w:val="006508AD"/>
    <w:rsid w:val="006560B1"/>
    <w:rsid w:val="006756DD"/>
    <w:rsid w:val="006A49D3"/>
    <w:rsid w:val="00737275"/>
    <w:rsid w:val="00740EEC"/>
    <w:rsid w:val="0078011A"/>
    <w:rsid w:val="00782AF4"/>
    <w:rsid w:val="00790EE7"/>
    <w:rsid w:val="007B6649"/>
    <w:rsid w:val="007D7B38"/>
    <w:rsid w:val="007F32FE"/>
    <w:rsid w:val="00814024"/>
    <w:rsid w:val="0081546F"/>
    <w:rsid w:val="0082576E"/>
    <w:rsid w:val="008425DE"/>
    <w:rsid w:val="00847501"/>
    <w:rsid w:val="008F7F1B"/>
    <w:rsid w:val="00907F75"/>
    <w:rsid w:val="00911B55"/>
    <w:rsid w:val="009123A9"/>
    <w:rsid w:val="009260DE"/>
    <w:rsid w:val="0093258A"/>
    <w:rsid w:val="009C7BA3"/>
    <w:rsid w:val="009D1F5A"/>
    <w:rsid w:val="009E1DD3"/>
    <w:rsid w:val="00A43C3E"/>
    <w:rsid w:val="00A641E0"/>
    <w:rsid w:val="00AF37E0"/>
    <w:rsid w:val="00B003BF"/>
    <w:rsid w:val="00B373D7"/>
    <w:rsid w:val="00BB502A"/>
    <w:rsid w:val="00BC53CA"/>
    <w:rsid w:val="00C36276"/>
    <w:rsid w:val="00C42586"/>
    <w:rsid w:val="00C60CCD"/>
    <w:rsid w:val="00C84483"/>
    <w:rsid w:val="00C95551"/>
    <w:rsid w:val="00CB20D7"/>
    <w:rsid w:val="00D020B0"/>
    <w:rsid w:val="00D11748"/>
    <w:rsid w:val="00D228DD"/>
    <w:rsid w:val="00D366CF"/>
    <w:rsid w:val="00DB6AFE"/>
    <w:rsid w:val="00DC794E"/>
    <w:rsid w:val="00DD16DA"/>
    <w:rsid w:val="00E108AA"/>
    <w:rsid w:val="00E31812"/>
    <w:rsid w:val="00E3749A"/>
    <w:rsid w:val="00E7437F"/>
    <w:rsid w:val="00E865B8"/>
    <w:rsid w:val="00EC0B9B"/>
    <w:rsid w:val="00ED5E9F"/>
    <w:rsid w:val="00F10E1F"/>
    <w:rsid w:val="00F25A3B"/>
    <w:rsid w:val="00F66D4F"/>
    <w:rsid w:val="00FB6D01"/>
    <w:rsid w:val="00FC2F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5EFF"/>
  <w15:chartTrackingRefBased/>
  <w15:docId w15:val="{F8F4E3A3-AA3A-4CB4-847E-DF6F5983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uiPriority w:val="99"/>
    <w:semiHidden/>
    <w:unhideWhenUsed/>
    <w:rsid w:val="00814024"/>
    <w:pPr>
      <w:spacing w:after="120"/>
    </w:pPr>
    <w:rPr>
      <w:sz w:val="16"/>
      <w:szCs w:val="16"/>
    </w:rPr>
  </w:style>
  <w:style w:type="character" w:customStyle="1" w:styleId="Brdtekst3Tegn">
    <w:name w:val="Brødtekst 3 Tegn"/>
    <w:basedOn w:val="Standardskrifttypeiafsnit"/>
    <w:link w:val="Brdtekst3"/>
    <w:uiPriority w:val="99"/>
    <w:semiHidden/>
    <w:rsid w:val="00814024"/>
    <w:rPr>
      <w:sz w:val="16"/>
      <w:szCs w:val="16"/>
      <w:lang w:eastAsia="en-US"/>
    </w:rPr>
  </w:style>
  <w:style w:type="paragraph" w:styleId="Brdtekstindrykning3">
    <w:name w:val="Body Text Indent 3"/>
    <w:basedOn w:val="Normal"/>
    <w:link w:val="Brdtekstindrykning3Tegn"/>
    <w:uiPriority w:val="99"/>
    <w:semiHidden/>
    <w:unhideWhenUsed/>
    <w:rsid w:val="00814024"/>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14024"/>
    <w:rPr>
      <w:sz w:val="16"/>
      <w:szCs w:val="16"/>
      <w:lang w:eastAsia="en-US"/>
    </w:rPr>
  </w:style>
  <w:style w:type="character" w:styleId="Hyperlink">
    <w:name w:val="Hyperlink"/>
    <w:basedOn w:val="Standardskrifttypeiafsnit"/>
    <w:uiPriority w:val="99"/>
    <w:semiHidden/>
    <w:unhideWhenUsed/>
    <w:rsid w:val="00814024"/>
    <w:rPr>
      <w:color w:val="0563C1" w:themeColor="hyperlink"/>
      <w:u w:val="single"/>
    </w:rPr>
  </w:style>
  <w:style w:type="character" w:customStyle="1" w:styleId="trns-org-res">
    <w:name w:val="trns-org-res"/>
    <w:basedOn w:val="Standardskrifttypeiafsnit"/>
    <w:rsid w:val="003B2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20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534721">
      <w:bodyDiv w:val="1"/>
      <w:marLeft w:val="0"/>
      <w:marRight w:val="0"/>
      <w:marTop w:val="0"/>
      <w:marBottom w:val="0"/>
      <w:divBdr>
        <w:top w:val="none" w:sz="0" w:space="0" w:color="auto"/>
        <w:left w:val="none" w:sz="0" w:space="0" w:color="auto"/>
        <w:bottom w:val="none" w:sz="0" w:space="0" w:color="auto"/>
        <w:right w:val="none" w:sz="0" w:space="0" w:color="auto"/>
      </w:divBdr>
    </w:div>
    <w:div w:id="205919521">
      <w:bodyDiv w:val="1"/>
      <w:marLeft w:val="0"/>
      <w:marRight w:val="0"/>
      <w:marTop w:val="0"/>
      <w:marBottom w:val="0"/>
      <w:divBdr>
        <w:top w:val="none" w:sz="0" w:space="0" w:color="auto"/>
        <w:left w:val="none" w:sz="0" w:space="0" w:color="auto"/>
        <w:bottom w:val="none" w:sz="0" w:space="0" w:color="auto"/>
        <w:right w:val="none" w:sz="0" w:space="0" w:color="auto"/>
      </w:divBdr>
    </w:div>
    <w:div w:id="419106571">
      <w:bodyDiv w:val="1"/>
      <w:marLeft w:val="0"/>
      <w:marRight w:val="0"/>
      <w:marTop w:val="0"/>
      <w:marBottom w:val="0"/>
      <w:divBdr>
        <w:top w:val="none" w:sz="0" w:space="0" w:color="auto"/>
        <w:left w:val="none" w:sz="0" w:space="0" w:color="auto"/>
        <w:bottom w:val="none" w:sz="0" w:space="0" w:color="auto"/>
        <w:right w:val="none" w:sz="0" w:space="0" w:color="auto"/>
      </w:divBdr>
    </w:div>
    <w:div w:id="536554072">
      <w:bodyDiv w:val="1"/>
      <w:marLeft w:val="0"/>
      <w:marRight w:val="0"/>
      <w:marTop w:val="0"/>
      <w:marBottom w:val="0"/>
      <w:divBdr>
        <w:top w:val="none" w:sz="0" w:space="0" w:color="auto"/>
        <w:left w:val="none" w:sz="0" w:space="0" w:color="auto"/>
        <w:bottom w:val="none" w:sz="0" w:space="0" w:color="auto"/>
        <w:right w:val="none" w:sz="0" w:space="0" w:color="auto"/>
      </w:divBdr>
    </w:div>
    <w:div w:id="609513843">
      <w:bodyDiv w:val="1"/>
      <w:marLeft w:val="0"/>
      <w:marRight w:val="0"/>
      <w:marTop w:val="0"/>
      <w:marBottom w:val="0"/>
      <w:divBdr>
        <w:top w:val="none" w:sz="0" w:space="0" w:color="auto"/>
        <w:left w:val="none" w:sz="0" w:space="0" w:color="auto"/>
        <w:bottom w:val="none" w:sz="0" w:space="0" w:color="auto"/>
        <w:right w:val="none" w:sz="0" w:space="0" w:color="auto"/>
      </w:divBdr>
    </w:div>
    <w:div w:id="637539310">
      <w:bodyDiv w:val="1"/>
      <w:marLeft w:val="0"/>
      <w:marRight w:val="0"/>
      <w:marTop w:val="0"/>
      <w:marBottom w:val="0"/>
      <w:divBdr>
        <w:top w:val="none" w:sz="0" w:space="0" w:color="auto"/>
        <w:left w:val="none" w:sz="0" w:space="0" w:color="auto"/>
        <w:bottom w:val="none" w:sz="0" w:space="0" w:color="auto"/>
        <w:right w:val="none" w:sz="0" w:space="0" w:color="auto"/>
      </w:divBdr>
    </w:div>
    <w:div w:id="826827544">
      <w:bodyDiv w:val="1"/>
      <w:marLeft w:val="0"/>
      <w:marRight w:val="0"/>
      <w:marTop w:val="0"/>
      <w:marBottom w:val="0"/>
      <w:divBdr>
        <w:top w:val="none" w:sz="0" w:space="0" w:color="auto"/>
        <w:left w:val="none" w:sz="0" w:space="0" w:color="auto"/>
        <w:bottom w:val="none" w:sz="0" w:space="0" w:color="auto"/>
        <w:right w:val="none" w:sz="0" w:space="0" w:color="auto"/>
      </w:divBdr>
    </w:div>
    <w:div w:id="913052281">
      <w:bodyDiv w:val="1"/>
      <w:marLeft w:val="0"/>
      <w:marRight w:val="0"/>
      <w:marTop w:val="0"/>
      <w:marBottom w:val="0"/>
      <w:divBdr>
        <w:top w:val="none" w:sz="0" w:space="0" w:color="auto"/>
        <w:left w:val="none" w:sz="0" w:space="0" w:color="auto"/>
        <w:bottom w:val="none" w:sz="0" w:space="0" w:color="auto"/>
        <w:right w:val="none" w:sz="0" w:space="0" w:color="auto"/>
      </w:divBdr>
    </w:div>
    <w:div w:id="943616787">
      <w:bodyDiv w:val="1"/>
      <w:marLeft w:val="0"/>
      <w:marRight w:val="0"/>
      <w:marTop w:val="0"/>
      <w:marBottom w:val="0"/>
      <w:divBdr>
        <w:top w:val="none" w:sz="0" w:space="0" w:color="auto"/>
        <w:left w:val="none" w:sz="0" w:space="0" w:color="auto"/>
        <w:bottom w:val="none" w:sz="0" w:space="0" w:color="auto"/>
        <w:right w:val="none" w:sz="0" w:space="0" w:color="auto"/>
      </w:divBdr>
    </w:div>
    <w:div w:id="1244297609">
      <w:bodyDiv w:val="1"/>
      <w:marLeft w:val="0"/>
      <w:marRight w:val="0"/>
      <w:marTop w:val="0"/>
      <w:marBottom w:val="0"/>
      <w:divBdr>
        <w:top w:val="none" w:sz="0" w:space="0" w:color="auto"/>
        <w:left w:val="none" w:sz="0" w:space="0" w:color="auto"/>
        <w:bottom w:val="none" w:sz="0" w:space="0" w:color="auto"/>
        <w:right w:val="none" w:sz="0" w:space="0" w:color="auto"/>
      </w:divBdr>
    </w:div>
    <w:div w:id="1278876772">
      <w:bodyDiv w:val="1"/>
      <w:marLeft w:val="0"/>
      <w:marRight w:val="0"/>
      <w:marTop w:val="0"/>
      <w:marBottom w:val="0"/>
      <w:divBdr>
        <w:top w:val="none" w:sz="0" w:space="0" w:color="auto"/>
        <w:left w:val="none" w:sz="0" w:space="0" w:color="auto"/>
        <w:bottom w:val="none" w:sz="0" w:space="0" w:color="auto"/>
        <w:right w:val="none" w:sz="0" w:space="0" w:color="auto"/>
      </w:divBdr>
    </w:div>
    <w:div w:id="1477532145">
      <w:bodyDiv w:val="1"/>
      <w:marLeft w:val="0"/>
      <w:marRight w:val="0"/>
      <w:marTop w:val="0"/>
      <w:marBottom w:val="0"/>
      <w:divBdr>
        <w:top w:val="none" w:sz="0" w:space="0" w:color="auto"/>
        <w:left w:val="none" w:sz="0" w:space="0" w:color="auto"/>
        <w:bottom w:val="none" w:sz="0" w:space="0" w:color="auto"/>
        <w:right w:val="none" w:sz="0" w:space="0" w:color="auto"/>
      </w:divBdr>
    </w:div>
    <w:div w:id="1525678606">
      <w:bodyDiv w:val="1"/>
      <w:marLeft w:val="0"/>
      <w:marRight w:val="0"/>
      <w:marTop w:val="0"/>
      <w:marBottom w:val="0"/>
      <w:divBdr>
        <w:top w:val="none" w:sz="0" w:space="0" w:color="auto"/>
        <w:left w:val="none" w:sz="0" w:space="0" w:color="auto"/>
        <w:bottom w:val="none" w:sz="0" w:space="0" w:color="auto"/>
        <w:right w:val="none" w:sz="0" w:space="0" w:color="auto"/>
      </w:divBdr>
    </w:div>
    <w:div w:id="1552500812">
      <w:bodyDiv w:val="1"/>
      <w:marLeft w:val="0"/>
      <w:marRight w:val="0"/>
      <w:marTop w:val="0"/>
      <w:marBottom w:val="0"/>
      <w:divBdr>
        <w:top w:val="none" w:sz="0" w:space="0" w:color="auto"/>
        <w:left w:val="none" w:sz="0" w:space="0" w:color="auto"/>
        <w:bottom w:val="none" w:sz="0" w:space="0" w:color="auto"/>
        <w:right w:val="none" w:sz="0" w:space="0" w:color="auto"/>
      </w:divBdr>
    </w:div>
    <w:div w:id="1622151989">
      <w:bodyDiv w:val="1"/>
      <w:marLeft w:val="0"/>
      <w:marRight w:val="0"/>
      <w:marTop w:val="0"/>
      <w:marBottom w:val="0"/>
      <w:divBdr>
        <w:top w:val="none" w:sz="0" w:space="0" w:color="auto"/>
        <w:left w:val="none" w:sz="0" w:space="0" w:color="auto"/>
        <w:bottom w:val="none" w:sz="0" w:space="0" w:color="auto"/>
        <w:right w:val="none" w:sz="0" w:space="0" w:color="auto"/>
      </w:divBdr>
    </w:div>
    <w:div w:id="1627466347">
      <w:bodyDiv w:val="1"/>
      <w:marLeft w:val="0"/>
      <w:marRight w:val="0"/>
      <w:marTop w:val="0"/>
      <w:marBottom w:val="0"/>
      <w:divBdr>
        <w:top w:val="none" w:sz="0" w:space="0" w:color="auto"/>
        <w:left w:val="none" w:sz="0" w:space="0" w:color="auto"/>
        <w:bottom w:val="none" w:sz="0" w:space="0" w:color="auto"/>
        <w:right w:val="none" w:sz="0" w:space="0" w:color="auto"/>
      </w:divBdr>
    </w:div>
    <w:div w:id="1945530186">
      <w:bodyDiv w:val="1"/>
      <w:marLeft w:val="0"/>
      <w:marRight w:val="0"/>
      <w:marTop w:val="0"/>
      <w:marBottom w:val="0"/>
      <w:divBdr>
        <w:top w:val="none" w:sz="0" w:space="0" w:color="auto"/>
        <w:left w:val="none" w:sz="0" w:space="0" w:color="auto"/>
        <w:bottom w:val="none" w:sz="0" w:space="0" w:color="auto"/>
        <w:right w:val="none" w:sz="0" w:space="0" w:color="auto"/>
      </w:divBdr>
    </w:div>
    <w:div w:id="20632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3371</Words>
  <Characters>22509</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2024111006_x000d_
SPC pkt. 4.4 og 4.8</dc:description>
  <cp:lastModifiedBy>Victoria Alexsandra Ringgaard</cp:lastModifiedBy>
  <cp:revision>3</cp:revision>
  <cp:lastPrinted>2012-08-22T08:53:00Z</cp:lastPrinted>
  <dcterms:created xsi:type="dcterms:W3CDTF">2025-02-28T15:51:00Z</dcterms:created>
  <dcterms:modified xsi:type="dcterms:W3CDTF">2025-02-28T15:56:00Z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