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8E2" w:rsidRDefault="006768E2" w:rsidP="006768E2">
      <w:pPr>
        <w:pStyle w:val="Titel"/>
        <w:tabs>
          <w:tab w:val="left" w:pos="7938"/>
        </w:tabs>
        <w:jc w:val="left"/>
        <w:rPr>
          <w:spacing w:val="-3"/>
        </w:rPr>
      </w:pPr>
      <w:bookmarkStart w:id="0" w:name="_GoBack"/>
      <w:bookmarkEnd w:id="0"/>
      <w:r>
        <w:rPr>
          <w:noProof/>
        </w:rPr>
        <w:drawing>
          <wp:inline distT="0" distB="0" distL="0" distR="0" wp14:anchorId="13F47B1A" wp14:editId="2523576F">
            <wp:extent cx="2463800" cy="69215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6768E2" w:rsidRPr="0027658E" w:rsidRDefault="0056199E" w:rsidP="0056199E">
      <w:pPr>
        <w:tabs>
          <w:tab w:val="left" w:pos="0"/>
          <w:tab w:val="right" w:pos="9638"/>
        </w:tabs>
        <w:rPr>
          <w:b/>
          <w:spacing w:val="-3"/>
          <w:sz w:val="24"/>
          <w:szCs w:val="24"/>
        </w:rPr>
      </w:pPr>
      <w:r>
        <w:rPr>
          <w:b/>
          <w:spacing w:val="-3"/>
          <w:sz w:val="24"/>
          <w:szCs w:val="24"/>
        </w:rPr>
        <w:tab/>
      </w:r>
      <w:r w:rsidR="008D6008">
        <w:rPr>
          <w:b/>
          <w:spacing w:val="-3"/>
          <w:sz w:val="24"/>
          <w:szCs w:val="24"/>
        </w:rPr>
        <w:t>1</w:t>
      </w:r>
      <w:r w:rsidR="0086582F">
        <w:rPr>
          <w:b/>
          <w:spacing w:val="-3"/>
          <w:sz w:val="24"/>
          <w:szCs w:val="24"/>
        </w:rPr>
        <w:t>4</w:t>
      </w:r>
      <w:r>
        <w:rPr>
          <w:b/>
          <w:spacing w:val="-3"/>
          <w:sz w:val="24"/>
          <w:szCs w:val="24"/>
        </w:rPr>
        <w:t xml:space="preserve">. </w:t>
      </w:r>
      <w:r w:rsidR="008D6008">
        <w:rPr>
          <w:b/>
          <w:spacing w:val="-3"/>
          <w:sz w:val="24"/>
          <w:szCs w:val="24"/>
        </w:rPr>
        <w:t>juni</w:t>
      </w:r>
      <w:r>
        <w:rPr>
          <w:b/>
          <w:spacing w:val="-3"/>
          <w:sz w:val="24"/>
          <w:szCs w:val="24"/>
        </w:rPr>
        <w:t xml:space="preserve"> 202</w:t>
      </w:r>
      <w:r w:rsidR="008D6008">
        <w:rPr>
          <w:b/>
          <w:spacing w:val="-3"/>
          <w:sz w:val="24"/>
          <w:szCs w:val="24"/>
        </w:rPr>
        <w:t>4</w:t>
      </w:r>
    </w:p>
    <w:p w:rsidR="006768E2" w:rsidRPr="00D24A67" w:rsidRDefault="006768E2" w:rsidP="00BD7E83">
      <w:pPr>
        <w:pStyle w:val="Overskrift1"/>
        <w:tabs>
          <w:tab w:val="left" w:pos="367"/>
        </w:tabs>
        <w:rPr>
          <w:rFonts w:ascii="Times New Roman" w:hAnsi="Times New Roman"/>
          <w:sz w:val="24"/>
          <w:szCs w:val="24"/>
        </w:rPr>
      </w:pPr>
    </w:p>
    <w:p w:rsidR="00386B0B" w:rsidRPr="00EC0B9B" w:rsidRDefault="00386B0B" w:rsidP="00386B0B">
      <w:pPr>
        <w:jc w:val="center"/>
        <w:rPr>
          <w:b/>
          <w:sz w:val="24"/>
          <w:szCs w:val="24"/>
        </w:rPr>
      </w:pPr>
      <w:r w:rsidRPr="00EC0B9B">
        <w:rPr>
          <w:b/>
          <w:sz w:val="24"/>
          <w:szCs w:val="24"/>
        </w:rPr>
        <w:t>PRODUKTRESUMÉ</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rPr>
          <w:b/>
          <w:spacing w:val="-3"/>
        </w:rPr>
      </w:pPr>
    </w:p>
    <w:p w:rsidR="006768E2" w:rsidRDefault="006768E2" w:rsidP="006768E2">
      <w:pPr>
        <w:tabs>
          <w:tab w:val="left" w:pos="576"/>
          <w:tab w:val="center" w:pos="4536"/>
          <w:tab w:val="center" w:pos="4819"/>
        </w:tabs>
        <w:rPr>
          <w:b/>
          <w:spacing w:val="-3"/>
        </w:rPr>
      </w:pPr>
      <w:r>
        <w:rPr>
          <w:b/>
          <w:spacing w:val="-3"/>
        </w:rPr>
        <w:tab/>
      </w:r>
      <w:r>
        <w:rPr>
          <w:b/>
          <w:spacing w:val="-3"/>
        </w:rPr>
        <w:tab/>
      </w:r>
      <w:r>
        <w:rPr>
          <w:b/>
          <w:spacing w:val="-3"/>
        </w:rPr>
        <w:tab/>
        <w:t>for</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rPr>
          <w:b/>
          <w:spacing w:val="-3"/>
        </w:rPr>
      </w:pPr>
    </w:p>
    <w:p w:rsidR="006768E2" w:rsidRDefault="006768E2" w:rsidP="006768E2">
      <w:pPr>
        <w:tabs>
          <w:tab w:val="center" w:pos="4536"/>
        </w:tabs>
        <w:jc w:val="center"/>
        <w:rPr>
          <w:spacing w:val="-3"/>
        </w:rPr>
      </w:pPr>
      <w:proofErr w:type="spellStart"/>
      <w:r>
        <w:rPr>
          <w:b/>
          <w:spacing w:val="-3"/>
        </w:rPr>
        <w:t>Cordarone</w:t>
      </w:r>
      <w:proofErr w:type="spellEnd"/>
      <w:r>
        <w:rPr>
          <w:b/>
          <w:spacing w:val="-3"/>
        </w:rPr>
        <w:t>, tabletter</w:t>
      </w:r>
      <w:r w:rsidR="00386B0B">
        <w:rPr>
          <w:b/>
          <w:spacing w:val="-3"/>
        </w:rPr>
        <w:t xml:space="preserve"> (</w:t>
      </w:r>
      <w:proofErr w:type="spellStart"/>
      <w:r w:rsidR="00386B0B">
        <w:rPr>
          <w:b/>
          <w:spacing w:val="-3"/>
        </w:rPr>
        <w:t>Orifarm</w:t>
      </w:r>
      <w:proofErr w:type="spellEnd"/>
      <w:r w:rsidR="00386B0B">
        <w:rPr>
          <w:b/>
          <w:spacing w:val="-3"/>
        </w:rPr>
        <w:t>)</w:t>
      </w: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6768E2" w:rsidRDefault="006768E2"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3"/>
        </w:rPr>
      </w:pPr>
    </w:p>
    <w:p w:rsidR="006768E2" w:rsidRDefault="006768E2" w:rsidP="006768E2">
      <w:pPr>
        <w:numPr>
          <w:ilvl w:val="0"/>
          <w:numId w:val="6"/>
        </w:numPr>
        <w:tabs>
          <w:tab w:val="clear" w:pos="855"/>
          <w:tab w:val="left" w:pos="851"/>
        </w:tabs>
        <w:jc w:val="both"/>
        <w:rPr>
          <w:b/>
        </w:rPr>
      </w:pPr>
      <w:r>
        <w:rPr>
          <w:b/>
        </w:rPr>
        <w:t>D.SP.NR.</w:t>
      </w:r>
    </w:p>
    <w:p w:rsidR="006768E2" w:rsidRDefault="006768E2" w:rsidP="006768E2">
      <w:pPr>
        <w:tabs>
          <w:tab w:val="left" w:pos="0"/>
          <w:tab w:val="left" w:pos="851"/>
        </w:tabs>
        <w:ind w:left="850" w:hanging="850"/>
        <w:jc w:val="both"/>
        <w:rPr>
          <w:spacing w:val="-3"/>
        </w:rPr>
      </w:pPr>
      <w:r>
        <w:rPr>
          <w:spacing w:val="-3"/>
        </w:rPr>
        <w:tab/>
        <w:t>6236</w:t>
      </w: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LÆGEMIDLETS NAVN</w:t>
      </w:r>
    </w:p>
    <w:p w:rsidR="006768E2" w:rsidRDefault="006768E2" w:rsidP="006768E2">
      <w:pPr>
        <w:tabs>
          <w:tab w:val="left" w:pos="0"/>
          <w:tab w:val="left" w:pos="851"/>
        </w:tabs>
        <w:ind w:left="850" w:hanging="850"/>
        <w:jc w:val="both"/>
        <w:rPr>
          <w:spacing w:val="-3"/>
        </w:rPr>
      </w:pPr>
      <w:r>
        <w:rPr>
          <w:spacing w:val="-3"/>
        </w:rPr>
        <w:tab/>
      </w:r>
      <w:proofErr w:type="spellStart"/>
      <w:r>
        <w:rPr>
          <w:spacing w:val="-3"/>
        </w:rPr>
        <w:t>Cordarone</w:t>
      </w:r>
      <w:proofErr w:type="spellEnd"/>
      <w:r>
        <w:rPr>
          <w:spacing w:val="-3"/>
        </w:rPr>
        <w:t xml:space="preserve"> </w:t>
      </w: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KVALITATIV OG KVANTITATIV SAMMENSÆTNING</w:t>
      </w:r>
    </w:p>
    <w:p w:rsidR="006768E2" w:rsidRPr="009B0456" w:rsidRDefault="006768E2" w:rsidP="006768E2">
      <w:pPr>
        <w:tabs>
          <w:tab w:val="left" w:pos="0"/>
          <w:tab w:val="left" w:pos="851"/>
        </w:tabs>
        <w:ind w:left="850" w:hanging="850"/>
        <w:jc w:val="both"/>
        <w:rPr>
          <w:spacing w:val="-3"/>
        </w:rPr>
      </w:pPr>
      <w:r>
        <w:rPr>
          <w:spacing w:val="-3"/>
        </w:rPr>
        <w:tab/>
      </w:r>
      <w:proofErr w:type="spellStart"/>
      <w:r w:rsidRPr="009B0456">
        <w:rPr>
          <w:spacing w:val="-3"/>
        </w:rPr>
        <w:t>Amiodaronhydrochlorid</w:t>
      </w:r>
      <w:proofErr w:type="spellEnd"/>
      <w:r w:rsidRPr="009B0456">
        <w:rPr>
          <w:spacing w:val="-3"/>
        </w:rPr>
        <w:t xml:space="preserve"> 100 mg</w:t>
      </w:r>
    </w:p>
    <w:p w:rsidR="006768E2" w:rsidRDefault="006768E2" w:rsidP="006768E2">
      <w:pPr>
        <w:tabs>
          <w:tab w:val="left" w:pos="0"/>
          <w:tab w:val="left" w:pos="851"/>
        </w:tabs>
        <w:ind w:left="850" w:hanging="850"/>
        <w:jc w:val="both"/>
        <w:rPr>
          <w:spacing w:val="-3"/>
        </w:rPr>
      </w:pPr>
      <w:r w:rsidRPr="009B0456">
        <w:rPr>
          <w:spacing w:val="-3"/>
        </w:rPr>
        <w:tab/>
      </w:r>
    </w:p>
    <w:p w:rsidR="006768E2" w:rsidRDefault="006768E2" w:rsidP="006768E2">
      <w:pPr>
        <w:tabs>
          <w:tab w:val="left" w:pos="0"/>
          <w:tab w:val="left" w:pos="851"/>
        </w:tabs>
        <w:ind w:left="850" w:hanging="850"/>
        <w:jc w:val="both"/>
        <w:rPr>
          <w:spacing w:val="-3"/>
        </w:rPr>
      </w:pPr>
      <w:r>
        <w:rPr>
          <w:spacing w:val="-3"/>
        </w:rPr>
        <w:tab/>
        <w:t>Hjælpestof, som behandleren skal være opmærksom på:</w:t>
      </w:r>
    </w:p>
    <w:p w:rsidR="006768E2" w:rsidRDefault="006768E2" w:rsidP="006768E2">
      <w:pPr>
        <w:tabs>
          <w:tab w:val="left" w:pos="0"/>
          <w:tab w:val="left" w:pos="851"/>
        </w:tabs>
        <w:ind w:left="850" w:hanging="850"/>
        <w:jc w:val="both"/>
        <w:rPr>
          <w:spacing w:val="-3"/>
        </w:rPr>
      </w:pPr>
      <w:r>
        <w:rPr>
          <w:spacing w:val="-3"/>
        </w:rPr>
        <w:tab/>
        <w:t xml:space="preserve">Indeholder </w:t>
      </w:r>
      <w:proofErr w:type="spellStart"/>
      <w:r w:rsidR="0027658E">
        <w:rPr>
          <w:spacing w:val="-3"/>
        </w:rPr>
        <w:t>l</w:t>
      </w:r>
      <w:r w:rsidR="0027658E" w:rsidRPr="002E03F7">
        <w:rPr>
          <w:spacing w:val="-3"/>
        </w:rPr>
        <w:t>actosemonohydrat</w:t>
      </w:r>
      <w:proofErr w:type="spellEnd"/>
      <w:r>
        <w:rPr>
          <w:spacing w:val="-3"/>
        </w:rPr>
        <w:t>.</w:t>
      </w:r>
    </w:p>
    <w:p w:rsidR="006768E2" w:rsidRDefault="006768E2" w:rsidP="006768E2">
      <w:pPr>
        <w:tabs>
          <w:tab w:val="left" w:pos="0"/>
          <w:tab w:val="left" w:pos="851"/>
        </w:tabs>
        <w:ind w:left="850" w:hanging="850"/>
        <w:jc w:val="both"/>
        <w:rPr>
          <w:spacing w:val="-3"/>
        </w:rPr>
      </w:pPr>
    </w:p>
    <w:p w:rsidR="006768E2" w:rsidRPr="009B0456" w:rsidRDefault="006768E2" w:rsidP="006768E2">
      <w:pPr>
        <w:tabs>
          <w:tab w:val="left" w:pos="0"/>
          <w:tab w:val="left" w:pos="851"/>
        </w:tabs>
        <w:ind w:left="850" w:hanging="850"/>
        <w:jc w:val="both"/>
        <w:rPr>
          <w:spacing w:val="-3"/>
        </w:rPr>
      </w:pPr>
      <w:r>
        <w:rPr>
          <w:spacing w:val="-3"/>
        </w:rPr>
        <w:tab/>
      </w:r>
      <w:r w:rsidRPr="009B0456">
        <w:rPr>
          <w:spacing w:val="-3"/>
        </w:rPr>
        <w:t>Alle hjælpestoffer er anført under pkt. 6.1.</w:t>
      </w:r>
    </w:p>
    <w:p w:rsidR="006768E2" w:rsidRDefault="006768E2" w:rsidP="006768E2">
      <w:pPr>
        <w:tabs>
          <w:tab w:val="left" w:pos="0"/>
          <w:tab w:val="left" w:pos="851"/>
        </w:tabs>
        <w:ind w:left="850" w:hanging="850"/>
        <w:jc w:val="both"/>
        <w:rPr>
          <w:spacing w:val="-3"/>
        </w:rPr>
      </w:pPr>
    </w:p>
    <w:p w:rsidR="006768E2" w:rsidRDefault="006768E2" w:rsidP="006768E2">
      <w:pPr>
        <w:numPr>
          <w:ilvl w:val="0"/>
          <w:numId w:val="6"/>
        </w:numPr>
        <w:jc w:val="both"/>
        <w:rPr>
          <w:b/>
        </w:rPr>
      </w:pPr>
      <w:r>
        <w:rPr>
          <w:b/>
        </w:rPr>
        <w:t>LÆGEMIDDELFORM</w:t>
      </w:r>
    </w:p>
    <w:p w:rsidR="006768E2" w:rsidRDefault="006768E2" w:rsidP="00386B0B">
      <w:pPr>
        <w:tabs>
          <w:tab w:val="left" w:pos="0"/>
          <w:tab w:val="left" w:pos="851"/>
        </w:tabs>
        <w:ind w:left="850" w:hanging="850"/>
        <w:jc w:val="both"/>
        <w:rPr>
          <w:spacing w:val="-3"/>
        </w:rPr>
      </w:pPr>
      <w:r>
        <w:rPr>
          <w:spacing w:val="-3"/>
        </w:rPr>
        <w:tab/>
        <w:t>Tabletter.</w:t>
      </w:r>
      <w:r w:rsidR="00386B0B">
        <w:rPr>
          <w:spacing w:val="-3"/>
        </w:rPr>
        <w:t xml:space="preserve"> (</w:t>
      </w:r>
      <w:proofErr w:type="spellStart"/>
      <w:r w:rsidR="00386B0B">
        <w:rPr>
          <w:spacing w:val="-3"/>
        </w:rPr>
        <w:t>Orifarm</w:t>
      </w:r>
      <w:proofErr w:type="spellEnd"/>
      <w:r w:rsidR="00386B0B">
        <w:rPr>
          <w:spacing w:val="-3"/>
        </w:rPr>
        <w:t>)</w:t>
      </w:r>
    </w:p>
    <w:p w:rsidR="006768E2" w:rsidRDefault="006768E2" w:rsidP="006768E2">
      <w:pPr>
        <w:tabs>
          <w:tab w:val="left" w:pos="0"/>
          <w:tab w:val="left" w:pos="851"/>
        </w:tabs>
        <w:jc w:val="both"/>
        <w:rPr>
          <w:spacing w:val="-3"/>
        </w:rPr>
      </w:pPr>
    </w:p>
    <w:p w:rsidR="006768E2" w:rsidRDefault="006768E2" w:rsidP="006768E2">
      <w:pPr>
        <w:tabs>
          <w:tab w:val="left" w:pos="0"/>
          <w:tab w:val="left" w:pos="851"/>
        </w:tabs>
        <w:jc w:val="both"/>
        <w:rPr>
          <w:spacing w:val="-3"/>
        </w:rPr>
      </w:pPr>
    </w:p>
    <w:p w:rsidR="006768E2" w:rsidRDefault="006768E2" w:rsidP="006768E2">
      <w:pPr>
        <w:numPr>
          <w:ilvl w:val="0"/>
          <w:numId w:val="6"/>
        </w:numPr>
        <w:jc w:val="both"/>
        <w:rPr>
          <w:b/>
        </w:rPr>
      </w:pPr>
      <w:r>
        <w:rPr>
          <w:b/>
        </w:rPr>
        <w:t>KLINISKE OPLYSNINGER</w:t>
      </w:r>
    </w:p>
    <w:p w:rsidR="006768E2" w:rsidRDefault="006768E2" w:rsidP="006768E2">
      <w:pPr>
        <w:tabs>
          <w:tab w:val="left" w:pos="0"/>
          <w:tab w:val="left" w:pos="851"/>
        </w:tabs>
        <w:jc w:val="both"/>
        <w:rPr>
          <w:spacing w:val="-3"/>
        </w:rPr>
      </w:pPr>
    </w:p>
    <w:p w:rsidR="006768E2" w:rsidRDefault="006768E2" w:rsidP="006768E2">
      <w:pPr>
        <w:numPr>
          <w:ilvl w:val="1"/>
          <w:numId w:val="6"/>
        </w:numPr>
        <w:jc w:val="both"/>
        <w:rPr>
          <w:b/>
          <w:u w:val="single"/>
        </w:rPr>
      </w:pPr>
      <w:r>
        <w:rPr>
          <w:b/>
        </w:rPr>
        <w:t>Terapeutiske indikationer</w:t>
      </w:r>
    </w:p>
    <w:p w:rsidR="006768E2" w:rsidRDefault="006768E2" w:rsidP="006768E2">
      <w:pPr>
        <w:tabs>
          <w:tab w:val="left" w:pos="851"/>
        </w:tabs>
        <w:ind w:left="851"/>
        <w:jc w:val="both"/>
        <w:rPr>
          <w:spacing w:val="-3"/>
        </w:rPr>
      </w:pPr>
      <w:r>
        <w:rPr>
          <w:spacing w:val="-3"/>
        </w:rPr>
        <w:t xml:space="preserve">Forebyggelse og behandling af </w:t>
      </w:r>
      <w:proofErr w:type="spellStart"/>
      <w:r>
        <w:rPr>
          <w:spacing w:val="-3"/>
        </w:rPr>
        <w:t>supraventrikulære</w:t>
      </w:r>
      <w:proofErr w:type="spellEnd"/>
      <w:r>
        <w:rPr>
          <w:spacing w:val="-3"/>
        </w:rPr>
        <w:t xml:space="preserve"> og </w:t>
      </w:r>
      <w:proofErr w:type="spellStart"/>
      <w:r>
        <w:rPr>
          <w:spacing w:val="-3"/>
        </w:rPr>
        <w:t>ventri</w:t>
      </w:r>
      <w:r>
        <w:rPr>
          <w:spacing w:val="-3"/>
        </w:rPr>
        <w:softHyphen/>
        <w:t>kulære</w:t>
      </w:r>
      <w:proofErr w:type="spellEnd"/>
      <w:r>
        <w:rPr>
          <w:spacing w:val="-3"/>
        </w:rPr>
        <w:t xml:space="preserve"> </w:t>
      </w:r>
      <w:proofErr w:type="spellStart"/>
      <w:r>
        <w:rPr>
          <w:spacing w:val="-3"/>
        </w:rPr>
        <w:t>takyarytmier</w:t>
      </w:r>
      <w:proofErr w:type="spellEnd"/>
      <w:r>
        <w:rPr>
          <w:spacing w:val="-3"/>
        </w:rPr>
        <w:t xml:space="preserve">, hvor andre </w:t>
      </w:r>
      <w:proofErr w:type="spellStart"/>
      <w:r>
        <w:rPr>
          <w:spacing w:val="-3"/>
        </w:rPr>
        <w:t>antiarytmika</w:t>
      </w:r>
      <w:proofErr w:type="spellEnd"/>
      <w:r>
        <w:rPr>
          <w:spacing w:val="-3"/>
        </w:rPr>
        <w:t xml:space="preserve"> har utilstræk</w:t>
      </w:r>
      <w:r>
        <w:rPr>
          <w:spacing w:val="-3"/>
        </w:rPr>
        <w:softHyphen/>
        <w:t>kelig effekt.</w:t>
      </w:r>
    </w:p>
    <w:p w:rsidR="006768E2" w:rsidRPr="00EC7909" w:rsidRDefault="006768E2" w:rsidP="006768E2">
      <w:pPr>
        <w:tabs>
          <w:tab w:val="left" w:pos="0"/>
          <w:tab w:val="left" w:pos="851"/>
        </w:tabs>
        <w:ind w:left="850" w:hanging="850"/>
        <w:jc w:val="both"/>
        <w:rPr>
          <w:b/>
          <w:spacing w:val="-3"/>
        </w:rPr>
      </w:pPr>
    </w:p>
    <w:p w:rsidR="006768E2" w:rsidRDefault="006768E2" w:rsidP="006768E2">
      <w:pPr>
        <w:numPr>
          <w:ilvl w:val="1"/>
          <w:numId w:val="10"/>
        </w:numPr>
        <w:tabs>
          <w:tab w:val="left" w:pos="0"/>
        </w:tabs>
        <w:jc w:val="both"/>
        <w:rPr>
          <w:spacing w:val="-3"/>
        </w:rPr>
      </w:pPr>
      <w:r w:rsidRPr="00EC7909">
        <w:rPr>
          <w:b/>
          <w:spacing w:val="-3"/>
        </w:rPr>
        <w:t>Dosering og indgivelsesmåde</w:t>
      </w:r>
    </w:p>
    <w:p w:rsidR="006768E2" w:rsidRPr="00FA3431" w:rsidRDefault="006768E2" w:rsidP="006768E2">
      <w:pPr>
        <w:tabs>
          <w:tab w:val="left" w:pos="851"/>
        </w:tabs>
        <w:ind w:left="851"/>
        <w:rPr>
          <w:spacing w:val="-3"/>
          <w:u w:val="single"/>
        </w:rPr>
      </w:pPr>
      <w:r w:rsidRPr="00FA3431">
        <w:rPr>
          <w:spacing w:val="-3"/>
          <w:u w:val="single"/>
        </w:rPr>
        <w:t>Generelt:</w:t>
      </w:r>
    </w:p>
    <w:p w:rsidR="006768E2" w:rsidRPr="00D13518" w:rsidRDefault="006768E2" w:rsidP="006768E2">
      <w:pPr>
        <w:tabs>
          <w:tab w:val="left" w:pos="851"/>
        </w:tabs>
        <w:ind w:left="851"/>
        <w:rPr>
          <w:spacing w:val="-3"/>
        </w:rPr>
      </w:pPr>
      <w:r w:rsidRPr="00D13518">
        <w:rPr>
          <w:spacing w:val="-3"/>
        </w:rPr>
        <w:t xml:space="preserve">Behandling med </w:t>
      </w:r>
      <w:proofErr w:type="spellStart"/>
      <w:r w:rsidRPr="00D13518">
        <w:rPr>
          <w:spacing w:val="-3"/>
        </w:rPr>
        <w:t>amiodaronhydrochlorid</w:t>
      </w:r>
      <w:proofErr w:type="spellEnd"/>
      <w:r w:rsidRPr="00D13518">
        <w:rPr>
          <w:spacing w:val="-3"/>
        </w:rPr>
        <w:t xml:space="preserve"> bør kun initieres og monitoreres på hospital eller af speciallæge i kardiologi.</w:t>
      </w:r>
    </w:p>
    <w:p w:rsidR="006768E2" w:rsidRPr="00D13518" w:rsidRDefault="006768E2" w:rsidP="006768E2">
      <w:pPr>
        <w:tabs>
          <w:tab w:val="left" w:pos="851"/>
        </w:tabs>
        <w:ind w:left="851"/>
        <w:rPr>
          <w:spacing w:val="-3"/>
        </w:rPr>
      </w:pPr>
      <w:r w:rsidRPr="00D13518">
        <w:rPr>
          <w:spacing w:val="-3"/>
        </w:rPr>
        <w:t xml:space="preserve">På grund af den sene indtræden af virkningen er en høj initialdosis nødvendig, indtil det nødvendige </w:t>
      </w:r>
      <w:proofErr w:type="spellStart"/>
      <w:r w:rsidRPr="00D13518">
        <w:rPr>
          <w:spacing w:val="-3"/>
        </w:rPr>
        <w:t>amiodaronniveau</w:t>
      </w:r>
      <w:proofErr w:type="spellEnd"/>
      <w:r w:rsidRPr="00D13518">
        <w:rPr>
          <w:spacing w:val="-3"/>
        </w:rPr>
        <w:t xml:space="preserve"> er opnået i vævet.</w:t>
      </w:r>
    </w:p>
    <w:p w:rsidR="006768E2" w:rsidRPr="00DA6C6A" w:rsidRDefault="006768E2" w:rsidP="006768E2">
      <w:pPr>
        <w:tabs>
          <w:tab w:val="left" w:pos="851"/>
        </w:tabs>
        <w:ind w:left="851"/>
        <w:rPr>
          <w:spacing w:val="-3"/>
        </w:rPr>
      </w:pPr>
      <w:r w:rsidRPr="00D13518">
        <w:rPr>
          <w:spacing w:val="-3"/>
        </w:rPr>
        <w:t>Det er vigtigt at patienten kontrolleres jævnligt for at sikre, at man opdager kliniske karakteristika for</w:t>
      </w:r>
      <w:r w:rsidRPr="00DA6C6A">
        <w:rPr>
          <w:spacing w:val="-3"/>
        </w:rPr>
        <w:t>bundet med overdreven dosering og at doseringen justeres derefter.</w:t>
      </w:r>
    </w:p>
    <w:p w:rsidR="006768E2" w:rsidRPr="00BD7E83" w:rsidRDefault="006768E2" w:rsidP="00BD7E83">
      <w:pPr>
        <w:tabs>
          <w:tab w:val="left" w:pos="851"/>
        </w:tabs>
        <w:ind w:left="851"/>
      </w:pPr>
      <w:r w:rsidRPr="00463A2D">
        <w:t xml:space="preserve">Da føde øger hastigheden og graden af absorptionen af </w:t>
      </w:r>
      <w:proofErr w:type="spellStart"/>
      <w:r w:rsidRPr="00463A2D">
        <w:t>amiodaronhydrochlorid</w:t>
      </w:r>
      <w:proofErr w:type="spellEnd"/>
      <w:r w:rsidRPr="00463A2D">
        <w:t>, bør det tages på samme tidspunkt afpasset i forhold til målt</w:t>
      </w:r>
      <w:r w:rsidRPr="00462B0C">
        <w:t>i</w:t>
      </w:r>
      <w:r w:rsidRPr="00766250">
        <w:t>derne.</w:t>
      </w:r>
    </w:p>
    <w:p w:rsidR="006768E2" w:rsidRDefault="006768E2" w:rsidP="006768E2">
      <w:pPr>
        <w:tabs>
          <w:tab w:val="left" w:pos="851"/>
        </w:tabs>
        <w:ind w:left="851"/>
        <w:rPr>
          <w:spacing w:val="-3"/>
          <w:u w:val="single"/>
        </w:rPr>
      </w:pPr>
    </w:p>
    <w:p w:rsidR="006768E2" w:rsidRPr="005C6862" w:rsidRDefault="006768E2" w:rsidP="006768E2">
      <w:pPr>
        <w:tabs>
          <w:tab w:val="left" w:pos="851"/>
        </w:tabs>
        <w:ind w:left="851"/>
        <w:rPr>
          <w:spacing w:val="-3"/>
          <w:u w:val="single"/>
        </w:rPr>
      </w:pPr>
      <w:r w:rsidRPr="005C6862">
        <w:rPr>
          <w:spacing w:val="-3"/>
          <w:u w:val="single"/>
        </w:rPr>
        <w:t>Voksne:</w:t>
      </w:r>
    </w:p>
    <w:p w:rsidR="006768E2" w:rsidRPr="005C6862" w:rsidRDefault="006768E2" w:rsidP="006768E2">
      <w:pPr>
        <w:tabs>
          <w:tab w:val="left" w:pos="851"/>
        </w:tabs>
        <w:ind w:left="851"/>
      </w:pPr>
      <w:r w:rsidRPr="005C6862">
        <w:t>Det er specielt vigtigt at den lavest mulige effektive dosis anvendes i alle tilfælde, og at dosis baseres på patientens individuelle respons og velbefindende. Følgende dosering er sædvanligvis effektiv.</w:t>
      </w:r>
    </w:p>
    <w:p w:rsidR="006768E2" w:rsidRDefault="006768E2" w:rsidP="006768E2">
      <w:pPr>
        <w:tabs>
          <w:tab w:val="left" w:pos="851"/>
        </w:tabs>
      </w:pPr>
      <w:r>
        <w:lastRenderedPageBreak/>
        <w:tab/>
      </w:r>
    </w:p>
    <w:p w:rsidR="006768E2" w:rsidRPr="004E0B12" w:rsidRDefault="006768E2" w:rsidP="00BD7E83">
      <w:pPr>
        <w:keepNext/>
        <w:tabs>
          <w:tab w:val="left" w:pos="851"/>
        </w:tabs>
        <w:rPr>
          <w:i/>
        </w:rPr>
      </w:pPr>
      <w:r>
        <w:tab/>
      </w:r>
      <w:r w:rsidRPr="004E0B12">
        <w:rPr>
          <w:i/>
        </w:rPr>
        <w:t>Initial stabilisering:</w:t>
      </w:r>
    </w:p>
    <w:p w:rsidR="006768E2" w:rsidRPr="005C6862" w:rsidRDefault="006768E2" w:rsidP="006768E2">
      <w:pPr>
        <w:tabs>
          <w:tab w:val="left" w:pos="851"/>
        </w:tabs>
        <w:ind w:left="851"/>
      </w:pPr>
      <w:r w:rsidRPr="005C6862">
        <w:t>Behandlingen bør starte med 200 mg 3 gange daglig i en uge. Derefter reduceres dosis til 200 mg 2 gange daglig i endnu en uge.</w:t>
      </w:r>
    </w:p>
    <w:p w:rsidR="006768E2" w:rsidRPr="005C6862" w:rsidRDefault="006768E2" w:rsidP="006768E2">
      <w:pPr>
        <w:tabs>
          <w:tab w:val="left" w:pos="851"/>
        </w:tabs>
        <w:ind w:left="851"/>
      </w:pPr>
      <w:r w:rsidRPr="005C6862">
        <w:tab/>
      </w:r>
    </w:p>
    <w:p w:rsidR="006768E2" w:rsidRPr="004E0B12" w:rsidRDefault="006768E2" w:rsidP="006768E2">
      <w:pPr>
        <w:tabs>
          <w:tab w:val="left" w:pos="851"/>
        </w:tabs>
        <w:ind w:left="851"/>
        <w:rPr>
          <w:i/>
        </w:rPr>
      </w:pPr>
      <w:r w:rsidRPr="004E0B12">
        <w:rPr>
          <w:i/>
        </w:rPr>
        <w:t>Vedligeholdelsesdosis:</w:t>
      </w:r>
    </w:p>
    <w:p w:rsidR="006768E2" w:rsidRPr="005C6862" w:rsidRDefault="006768E2" w:rsidP="006768E2">
      <w:pPr>
        <w:tabs>
          <w:tab w:val="left" w:pos="851"/>
        </w:tabs>
        <w:ind w:left="851"/>
      </w:pPr>
      <w:r w:rsidRPr="005C6862">
        <w:t xml:space="preserve">Dosis reduceres til en enkelt daglig dosis på 200 mg, eller lavere hvis det er hensigtsmæssigt. Tabletterne på 100 mg kan anvendes til fastsættelse af den lavest mulige effektive daglige dosis til kontrol med </w:t>
      </w:r>
      <w:proofErr w:type="spellStart"/>
      <w:r w:rsidRPr="005C6862">
        <w:t>arytmier</w:t>
      </w:r>
      <w:proofErr w:type="spellEnd"/>
      <w:r w:rsidRPr="005C6862">
        <w:t>. I sjældne tilfælde kan vedligeholdelsesdosis overstige 200 mg. Vedligeholdelsesdosis bør jævnligt revurderes, specielt hvis den overstiger 200 mg.</w:t>
      </w:r>
    </w:p>
    <w:p w:rsidR="006768E2" w:rsidRPr="005C6862" w:rsidRDefault="006768E2" w:rsidP="006768E2">
      <w:pPr>
        <w:tabs>
          <w:tab w:val="left" w:pos="851"/>
        </w:tabs>
        <w:ind w:left="851"/>
      </w:pPr>
    </w:p>
    <w:p w:rsidR="006768E2" w:rsidRPr="005C6862" w:rsidRDefault="006768E2" w:rsidP="006768E2">
      <w:pPr>
        <w:tabs>
          <w:tab w:val="left" w:pos="851"/>
        </w:tabs>
        <w:ind w:left="851"/>
      </w:pPr>
      <w:r w:rsidRPr="004E0B12">
        <w:rPr>
          <w:i/>
        </w:rPr>
        <w:t>Skift fra intravenøs til oral behandling</w:t>
      </w:r>
      <w:r w:rsidRPr="005C6862">
        <w:t>:</w:t>
      </w:r>
    </w:p>
    <w:p w:rsidR="006768E2" w:rsidRPr="005C6862" w:rsidRDefault="006768E2" w:rsidP="006768E2">
      <w:pPr>
        <w:tabs>
          <w:tab w:val="left" w:pos="851"/>
        </w:tabs>
        <w:ind w:left="851"/>
      </w:pPr>
      <w:r w:rsidRPr="005C6862">
        <w:t xml:space="preserve">Så snart der er opnået tilstrækkelig respons med intravenøs behandling, bør samtidig behandling med peroral </w:t>
      </w:r>
      <w:proofErr w:type="spellStart"/>
      <w:r w:rsidRPr="005C6862">
        <w:t>amiodaron</w:t>
      </w:r>
      <w:proofErr w:type="spellEnd"/>
      <w:r w:rsidRPr="005C6862">
        <w:t xml:space="preserve"> startes med sædvanlig initialdosis (200 mg tre gange daglig). Behandlingen med intravenøs </w:t>
      </w:r>
      <w:proofErr w:type="spellStart"/>
      <w:r w:rsidRPr="005C6862">
        <w:t>amiodaron</w:t>
      </w:r>
      <w:proofErr w:type="spellEnd"/>
      <w:r w:rsidRPr="005C6862">
        <w:t xml:space="preserve"> skal derefter nedtrappes gradvist.</w:t>
      </w:r>
    </w:p>
    <w:p w:rsidR="006768E2" w:rsidRPr="005C6862" w:rsidRDefault="006768E2" w:rsidP="006768E2">
      <w:pPr>
        <w:tabs>
          <w:tab w:val="left" w:pos="851"/>
        </w:tabs>
        <w:ind w:left="851"/>
        <w:rPr>
          <w:i/>
        </w:rPr>
      </w:pPr>
    </w:p>
    <w:p w:rsidR="006768E2" w:rsidRPr="005C6862" w:rsidRDefault="006768E2" w:rsidP="006768E2">
      <w:pPr>
        <w:tabs>
          <w:tab w:val="left" w:pos="851"/>
        </w:tabs>
        <w:ind w:left="851"/>
        <w:rPr>
          <w:u w:val="single"/>
        </w:rPr>
      </w:pPr>
      <w:r w:rsidRPr="005C6862">
        <w:rPr>
          <w:u w:val="single"/>
        </w:rPr>
        <w:t>Ældre:</w:t>
      </w:r>
    </w:p>
    <w:p w:rsidR="006768E2" w:rsidRPr="005D2AC2" w:rsidRDefault="006768E2" w:rsidP="006768E2">
      <w:pPr>
        <w:tabs>
          <w:tab w:val="left" w:pos="851"/>
        </w:tabs>
        <w:ind w:left="851"/>
      </w:pPr>
      <w:r w:rsidRPr="005C6862">
        <w:t>Det er vigtigt at den lavest mulige effektive dosis anvendes. Der er ingen doku</w:t>
      </w:r>
      <w:r w:rsidRPr="005C6862">
        <w:softHyphen/>
        <w:t xml:space="preserve">mentation for at ældres doseringsbehov er anderledes. Der kan dog være større risiko for bradykardi og overledningsforstyrrelser, hvis der gives en for stor dosis. Kontrol af </w:t>
      </w:r>
      <w:proofErr w:type="spellStart"/>
      <w:r w:rsidRPr="005C6862">
        <w:t>thyr</w:t>
      </w:r>
      <w:r>
        <w:t>o</w:t>
      </w:r>
      <w:r w:rsidRPr="005D2AC2">
        <w:t>ideafunkt</w:t>
      </w:r>
      <w:r w:rsidRPr="00692F46">
        <w:t>i</w:t>
      </w:r>
      <w:r w:rsidRPr="00AB0109">
        <w:t>o</w:t>
      </w:r>
      <w:r w:rsidRPr="005D2AC2">
        <w:t>nen</w:t>
      </w:r>
      <w:proofErr w:type="spellEnd"/>
      <w:r w:rsidRPr="005D2AC2">
        <w:t xml:space="preserve"> bør prioriteres højt (se pkt.4.3 Kontraindikationer og pkt.4.8 Bivirkninger)</w:t>
      </w:r>
    </w:p>
    <w:p w:rsidR="006768E2" w:rsidRPr="005D2AC2" w:rsidRDefault="006768E2" w:rsidP="006768E2">
      <w:pPr>
        <w:tabs>
          <w:tab w:val="left" w:pos="851"/>
        </w:tabs>
        <w:ind w:left="851"/>
        <w:rPr>
          <w:i/>
        </w:rPr>
      </w:pPr>
    </w:p>
    <w:p w:rsidR="006768E2" w:rsidRPr="00307261" w:rsidRDefault="006768E2" w:rsidP="006768E2">
      <w:pPr>
        <w:tabs>
          <w:tab w:val="left" w:pos="851"/>
          <w:tab w:val="left" w:pos="5000"/>
          <w:tab w:val="left" w:pos="6680"/>
        </w:tabs>
        <w:ind w:left="851" w:hanging="851"/>
        <w:jc w:val="both"/>
        <w:rPr>
          <w:u w:val="single"/>
        </w:rPr>
      </w:pPr>
      <w:r w:rsidRPr="00692F46">
        <w:rPr>
          <w:i/>
        </w:rPr>
        <w:tab/>
      </w:r>
      <w:r w:rsidRPr="00307261">
        <w:rPr>
          <w:u w:val="single"/>
        </w:rPr>
        <w:t xml:space="preserve">Pædiatriske patienter: </w:t>
      </w:r>
    </w:p>
    <w:p w:rsidR="006768E2" w:rsidRPr="00753345" w:rsidRDefault="006768E2" w:rsidP="006768E2">
      <w:pPr>
        <w:tabs>
          <w:tab w:val="left" w:pos="0"/>
          <w:tab w:val="left" w:pos="851"/>
        </w:tabs>
        <w:ind w:left="850" w:hanging="850"/>
        <w:jc w:val="both"/>
        <w:rPr>
          <w:spacing w:val="-3"/>
        </w:rPr>
      </w:pPr>
      <w:r w:rsidRPr="00307261">
        <w:tab/>
        <w:t xml:space="preserve">Sikkerheden og virkningen af </w:t>
      </w:r>
      <w:proofErr w:type="spellStart"/>
      <w:r w:rsidRPr="00307261">
        <w:t>amiodaron</w:t>
      </w:r>
      <w:proofErr w:type="spellEnd"/>
      <w:r w:rsidRPr="00307261">
        <w:t xml:space="preserve"> hos børn er ikke fastlagt. </w:t>
      </w:r>
      <w:r>
        <w:t xml:space="preserve">Derfor er anvendelse af </w:t>
      </w:r>
      <w:proofErr w:type="spellStart"/>
      <w:r>
        <w:t>amiodaron</w:t>
      </w:r>
      <w:proofErr w:type="spellEnd"/>
      <w:r>
        <w:t xml:space="preserve"> til børn ikke anbefalelsesværdig. </w:t>
      </w:r>
      <w:r w:rsidRPr="00753345">
        <w:t>Tilgængelige data er beskrevet i pkt. 5.1 og 5.2</w:t>
      </w:r>
    </w:p>
    <w:p w:rsidR="006768E2" w:rsidRPr="00692F46" w:rsidRDefault="006768E2" w:rsidP="006768E2">
      <w:pPr>
        <w:tabs>
          <w:tab w:val="left" w:pos="0"/>
          <w:tab w:val="left" w:pos="851"/>
        </w:tabs>
        <w:jc w:val="both"/>
        <w:rPr>
          <w:spacing w:val="-3"/>
        </w:rPr>
      </w:pPr>
    </w:p>
    <w:p w:rsidR="006768E2" w:rsidRPr="00307261" w:rsidRDefault="006768E2" w:rsidP="006768E2">
      <w:pPr>
        <w:numPr>
          <w:ilvl w:val="1"/>
          <w:numId w:val="10"/>
        </w:numPr>
        <w:jc w:val="both"/>
        <w:rPr>
          <w:b/>
        </w:rPr>
      </w:pPr>
      <w:r w:rsidRPr="00307261">
        <w:rPr>
          <w:b/>
        </w:rPr>
        <w:t>Kontraindikationer</w:t>
      </w:r>
    </w:p>
    <w:p w:rsidR="006768E2" w:rsidRPr="009B0456" w:rsidRDefault="006768E2" w:rsidP="006768E2">
      <w:pPr>
        <w:ind w:left="851"/>
        <w:rPr>
          <w:spacing w:val="-3"/>
        </w:rPr>
      </w:pPr>
      <w:r w:rsidRPr="009B0456">
        <w:rPr>
          <w:spacing w:val="-3"/>
        </w:rPr>
        <w:t xml:space="preserve">Overfølsomhed over for </w:t>
      </w:r>
      <w:proofErr w:type="spellStart"/>
      <w:r w:rsidRPr="00733795">
        <w:rPr>
          <w:spacing w:val="-3"/>
        </w:rPr>
        <w:t>amiodaron</w:t>
      </w:r>
      <w:proofErr w:type="spellEnd"/>
      <w:r w:rsidRPr="00733795">
        <w:rPr>
          <w:spacing w:val="-3"/>
        </w:rPr>
        <w:t xml:space="preserve">, </w:t>
      </w:r>
      <w:proofErr w:type="spellStart"/>
      <w:r w:rsidRPr="00733795">
        <w:rPr>
          <w:spacing w:val="-3"/>
        </w:rPr>
        <w:t>iod</w:t>
      </w:r>
      <w:proofErr w:type="spellEnd"/>
      <w:r w:rsidRPr="009B0456">
        <w:rPr>
          <w:spacing w:val="-3"/>
        </w:rPr>
        <w:t xml:space="preserve"> eller over for et eller flere af hjælpestofferne anført i pkt. 6.1 </w:t>
      </w:r>
    </w:p>
    <w:p w:rsidR="006768E2" w:rsidRPr="009B0456" w:rsidRDefault="006768E2" w:rsidP="006768E2">
      <w:pPr>
        <w:ind w:left="851"/>
        <w:rPr>
          <w:spacing w:val="-3"/>
        </w:rPr>
      </w:pPr>
      <w:r w:rsidRPr="009B0456">
        <w:rPr>
          <w:spacing w:val="-3"/>
        </w:rPr>
        <w:t xml:space="preserve">Sinusbradykardi, </w:t>
      </w:r>
      <w:proofErr w:type="spellStart"/>
      <w:r w:rsidRPr="009B0456">
        <w:rPr>
          <w:spacing w:val="-3"/>
        </w:rPr>
        <w:t>sinoatrialt</w:t>
      </w:r>
      <w:proofErr w:type="spellEnd"/>
      <w:r w:rsidRPr="009B0456">
        <w:rPr>
          <w:spacing w:val="-3"/>
        </w:rPr>
        <w:t xml:space="preserve"> blok og syg sinus syndrom, medmindre patienten har pacemaker (risiko for sinusarrest).</w:t>
      </w:r>
    </w:p>
    <w:p w:rsidR="006768E2" w:rsidRPr="009B0456" w:rsidRDefault="006768E2" w:rsidP="006768E2">
      <w:pPr>
        <w:ind w:left="851"/>
        <w:rPr>
          <w:spacing w:val="-3"/>
        </w:rPr>
      </w:pPr>
      <w:r w:rsidRPr="009B0456">
        <w:rPr>
          <w:spacing w:val="-3"/>
        </w:rPr>
        <w:t xml:space="preserve">Alvorlige </w:t>
      </w:r>
      <w:proofErr w:type="spellStart"/>
      <w:r w:rsidRPr="009B0456">
        <w:rPr>
          <w:spacing w:val="-3"/>
        </w:rPr>
        <w:t>atrioventrikulære</w:t>
      </w:r>
      <w:proofErr w:type="spellEnd"/>
      <w:r w:rsidRPr="009B0456">
        <w:rPr>
          <w:spacing w:val="-3"/>
        </w:rPr>
        <w:t xml:space="preserve"> overledningsforstyrrelser, medmindre patienten har pacemaker.</w:t>
      </w:r>
    </w:p>
    <w:p w:rsidR="006768E2" w:rsidRPr="009B0456" w:rsidRDefault="006768E2" w:rsidP="006768E2">
      <w:pPr>
        <w:ind w:left="851"/>
        <w:rPr>
          <w:spacing w:val="-3"/>
        </w:rPr>
      </w:pPr>
      <w:r w:rsidRPr="009B0456">
        <w:rPr>
          <w:spacing w:val="-3"/>
        </w:rPr>
        <w:t xml:space="preserve">Kombinationsterapi med lægemidler, som kan udløse </w:t>
      </w:r>
      <w:proofErr w:type="spellStart"/>
      <w:r w:rsidRPr="009B0456">
        <w:rPr>
          <w:i/>
          <w:spacing w:val="-3"/>
        </w:rPr>
        <w:t>torsade</w:t>
      </w:r>
      <w:proofErr w:type="spellEnd"/>
      <w:r w:rsidRPr="009B0456">
        <w:rPr>
          <w:i/>
          <w:spacing w:val="-3"/>
        </w:rPr>
        <w:t xml:space="preserve"> de pointes</w:t>
      </w:r>
      <w:r w:rsidRPr="009B0456">
        <w:rPr>
          <w:spacing w:val="-3"/>
        </w:rPr>
        <w:t xml:space="preserve"> (se pkt. 4.5).</w:t>
      </w:r>
    </w:p>
    <w:p w:rsidR="006768E2" w:rsidRPr="009B0456" w:rsidRDefault="006768E2" w:rsidP="006768E2">
      <w:pPr>
        <w:ind w:left="851"/>
        <w:rPr>
          <w:spacing w:val="-3"/>
        </w:rPr>
      </w:pPr>
      <w:proofErr w:type="spellStart"/>
      <w:r w:rsidRPr="009B0456">
        <w:rPr>
          <w:spacing w:val="-3"/>
        </w:rPr>
        <w:t>Thyroideadysfunktion</w:t>
      </w:r>
      <w:proofErr w:type="spellEnd"/>
      <w:r w:rsidRPr="009B0456">
        <w:rPr>
          <w:spacing w:val="-3"/>
        </w:rPr>
        <w:t>.</w:t>
      </w:r>
    </w:p>
    <w:p w:rsidR="006768E2" w:rsidRPr="009B0456" w:rsidRDefault="006768E2" w:rsidP="006768E2">
      <w:pPr>
        <w:ind w:left="851"/>
        <w:rPr>
          <w:spacing w:val="-3"/>
        </w:rPr>
      </w:pPr>
      <w:r w:rsidRPr="009B0456">
        <w:rPr>
          <w:spacing w:val="-3"/>
        </w:rPr>
        <w:t xml:space="preserve">Graviditet undtagen under særlige omstændigheder (se pkt. 4.6). </w:t>
      </w:r>
    </w:p>
    <w:p w:rsidR="006768E2" w:rsidRPr="009B0456" w:rsidRDefault="006768E2" w:rsidP="006768E2">
      <w:pPr>
        <w:ind w:left="851"/>
      </w:pPr>
      <w:r w:rsidRPr="009B0456">
        <w:rPr>
          <w:spacing w:val="-3"/>
        </w:rPr>
        <w:t>Amning (se pkt. 4.6).</w:t>
      </w:r>
    </w:p>
    <w:p w:rsidR="006768E2" w:rsidRPr="009B0456" w:rsidRDefault="006768E2" w:rsidP="006768E2">
      <w:pPr>
        <w:ind w:left="851"/>
      </w:pPr>
      <w:r w:rsidRPr="009B0456">
        <w:rPr>
          <w:spacing w:val="-3"/>
        </w:rPr>
        <w:t xml:space="preserve">Samtidig behandling med </w:t>
      </w:r>
      <w:proofErr w:type="spellStart"/>
      <w:r w:rsidRPr="009B0456">
        <w:rPr>
          <w:spacing w:val="-3"/>
        </w:rPr>
        <w:t>monoaminoxidasehæmmere</w:t>
      </w:r>
      <w:proofErr w:type="spellEnd"/>
      <w:r w:rsidRPr="009B0456">
        <w:rPr>
          <w:spacing w:val="-3"/>
        </w:rPr>
        <w:t>.</w:t>
      </w:r>
    </w:p>
    <w:p w:rsidR="006768E2" w:rsidRPr="00307261" w:rsidRDefault="006768E2" w:rsidP="006768E2">
      <w:pPr>
        <w:tabs>
          <w:tab w:val="left" w:pos="0"/>
          <w:tab w:val="left" w:pos="851"/>
        </w:tabs>
        <w:jc w:val="both"/>
        <w:rPr>
          <w:spacing w:val="-3"/>
        </w:rPr>
      </w:pPr>
    </w:p>
    <w:p w:rsidR="006768E2" w:rsidRPr="009B0456" w:rsidRDefault="006768E2" w:rsidP="006768E2">
      <w:pPr>
        <w:numPr>
          <w:ilvl w:val="1"/>
          <w:numId w:val="10"/>
        </w:numPr>
        <w:jc w:val="both"/>
        <w:rPr>
          <w:b/>
        </w:rPr>
      </w:pPr>
      <w:r w:rsidRPr="009B0456">
        <w:rPr>
          <w:b/>
        </w:rPr>
        <w:t>Særlige advarsler og forsigtighedsregler vedrørende brugen</w:t>
      </w:r>
    </w:p>
    <w:p w:rsidR="00BD7E83" w:rsidRPr="00B06EB1" w:rsidRDefault="00BD7E83" w:rsidP="00BD7E83">
      <w:pPr>
        <w:pStyle w:val="Brdtekst"/>
        <w:ind w:left="851" w:right="267"/>
        <w:rPr>
          <w:sz w:val="24"/>
          <w:szCs w:val="24"/>
        </w:rPr>
      </w:pPr>
      <w:r w:rsidRPr="00B06EB1">
        <w:rPr>
          <w:sz w:val="24"/>
          <w:szCs w:val="24"/>
        </w:rPr>
        <w:t xml:space="preserve">Al </w:t>
      </w:r>
      <w:r w:rsidRPr="00B06EB1">
        <w:rPr>
          <w:spacing w:val="-4"/>
          <w:sz w:val="24"/>
          <w:szCs w:val="24"/>
        </w:rPr>
        <w:t xml:space="preserve">information </w:t>
      </w:r>
      <w:r w:rsidRPr="00B06EB1">
        <w:rPr>
          <w:sz w:val="24"/>
          <w:szCs w:val="24"/>
        </w:rPr>
        <w:t xml:space="preserve">om </w:t>
      </w:r>
      <w:r w:rsidRPr="00B06EB1">
        <w:rPr>
          <w:spacing w:val="-4"/>
          <w:sz w:val="24"/>
          <w:szCs w:val="24"/>
        </w:rPr>
        <w:t xml:space="preserve">præparatet, </w:t>
      </w:r>
      <w:r w:rsidRPr="00B06EB1">
        <w:rPr>
          <w:spacing w:val="-3"/>
          <w:sz w:val="24"/>
          <w:szCs w:val="24"/>
        </w:rPr>
        <w:t xml:space="preserve">mundtlig såvel </w:t>
      </w:r>
      <w:r w:rsidRPr="00B06EB1">
        <w:rPr>
          <w:sz w:val="24"/>
          <w:szCs w:val="24"/>
        </w:rPr>
        <w:t xml:space="preserve">som </w:t>
      </w:r>
      <w:r w:rsidRPr="00B06EB1">
        <w:rPr>
          <w:spacing w:val="-4"/>
          <w:sz w:val="24"/>
          <w:szCs w:val="24"/>
        </w:rPr>
        <w:t xml:space="preserve">skriftlig, </w:t>
      </w:r>
      <w:r w:rsidRPr="00B06EB1">
        <w:rPr>
          <w:spacing w:val="-3"/>
          <w:sz w:val="24"/>
          <w:szCs w:val="24"/>
        </w:rPr>
        <w:t xml:space="preserve">skal </w:t>
      </w:r>
      <w:r w:rsidRPr="00B06EB1">
        <w:rPr>
          <w:spacing w:val="-4"/>
          <w:sz w:val="24"/>
          <w:szCs w:val="24"/>
        </w:rPr>
        <w:t xml:space="preserve">indeholde oplysninger </w:t>
      </w:r>
      <w:r w:rsidRPr="00B06EB1">
        <w:rPr>
          <w:sz w:val="24"/>
          <w:szCs w:val="24"/>
        </w:rPr>
        <w:t xml:space="preserve">om, at </w:t>
      </w:r>
      <w:r w:rsidRPr="00B06EB1">
        <w:rPr>
          <w:spacing w:val="-3"/>
          <w:sz w:val="24"/>
          <w:szCs w:val="24"/>
        </w:rPr>
        <w:t xml:space="preserve">præparatet </w:t>
      </w:r>
      <w:r w:rsidRPr="00B06EB1">
        <w:rPr>
          <w:sz w:val="24"/>
          <w:szCs w:val="24"/>
        </w:rPr>
        <w:t xml:space="preserve">på </w:t>
      </w:r>
      <w:r w:rsidRPr="00B06EB1">
        <w:rPr>
          <w:spacing w:val="-3"/>
          <w:sz w:val="24"/>
          <w:szCs w:val="24"/>
        </w:rPr>
        <w:t xml:space="preserve">grund </w:t>
      </w:r>
      <w:r w:rsidRPr="00B06EB1">
        <w:rPr>
          <w:sz w:val="24"/>
          <w:szCs w:val="24"/>
        </w:rPr>
        <w:t xml:space="preserve">af </w:t>
      </w:r>
      <w:r w:rsidRPr="00B06EB1">
        <w:rPr>
          <w:spacing w:val="-3"/>
          <w:sz w:val="24"/>
          <w:szCs w:val="24"/>
        </w:rPr>
        <w:t xml:space="preserve">hyppige </w:t>
      </w:r>
      <w:r w:rsidRPr="00B06EB1">
        <w:rPr>
          <w:sz w:val="24"/>
          <w:szCs w:val="24"/>
        </w:rPr>
        <w:t xml:space="preserve">og </w:t>
      </w:r>
      <w:r w:rsidRPr="00B06EB1">
        <w:rPr>
          <w:spacing w:val="-4"/>
          <w:sz w:val="24"/>
          <w:szCs w:val="24"/>
        </w:rPr>
        <w:t xml:space="preserve">alvorlige bivirkninger </w:t>
      </w:r>
      <w:r w:rsidRPr="00B06EB1">
        <w:rPr>
          <w:sz w:val="24"/>
          <w:szCs w:val="24"/>
        </w:rPr>
        <w:t xml:space="preserve">kun bør </w:t>
      </w:r>
      <w:r w:rsidRPr="00B06EB1">
        <w:rPr>
          <w:spacing w:val="-4"/>
          <w:sz w:val="24"/>
          <w:szCs w:val="24"/>
        </w:rPr>
        <w:t xml:space="preserve">anvendes, </w:t>
      </w:r>
      <w:r w:rsidRPr="00B06EB1">
        <w:rPr>
          <w:spacing w:val="-3"/>
          <w:sz w:val="24"/>
          <w:szCs w:val="24"/>
        </w:rPr>
        <w:t xml:space="preserve">hvor andre </w:t>
      </w:r>
      <w:proofErr w:type="spellStart"/>
      <w:r w:rsidRPr="00B06EB1">
        <w:rPr>
          <w:spacing w:val="-3"/>
          <w:sz w:val="24"/>
          <w:szCs w:val="24"/>
        </w:rPr>
        <w:t>antiarytmika</w:t>
      </w:r>
      <w:proofErr w:type="spellEnd"/>
      <w:r w:rsidRPr="00B06EB1">
        <w:rPr>
          <w:spacing w:val="-3"/>
          <w:sz w:val="24"/>
          <w:szCs w:val="24"/>
        </w:rPr>
        <w:t xml:space="preserve"> har </w:t>
      </w:r>
      <w:r w:rsidRPr="00B06EB1">
        <w:rPr>
          <w:spacing w:val="-4"/>
          <w:sz w:val="24"/>
          <w:szCs w:val="24"/>
        </w:rPr>
        <w:t xml:space="preserve">utilstrækkelig </w:t>
      </w:r>
      <w:r w:rsidRPr="00B06EB1">
        <w:rPr>
          <w:spacing w:val="-3"/>
          <w:sz w:val="24"/>
          <w:szCs w:val="24"/>
        </w:rPr>
        <w:t xml:space="preserve">effekt, </w:t>
      </w:r>
      <w:r w:rsidRPr="00B06EB1">
        <w:rPr>
          <w:sz w:val="24"/>
          <w:szCs w:val="24"/>
        </w:rPr>
        <w:t xml:space="preserve">og at </w:t>
      </w:r>
      <w:r w:rsidRPr="00B06EB1">
        <w:rPr>
          <w:spacing w:val="-4"/>
          <w:sz w:val="24"/>
          <w:szCs w:val="24"/>
        </w:rPr>
        <w:t xml:space="preserve">patienterne </w:t>
      </w:r>
      <w:r w:rsidRPr="00B06EB1">
        <w:rPr>
          <w:spacing w:val="-3"/>
          <w:sz w:val="24"/>
          <w:szCs w:val="24"/>
        </w:rPr>
        <w:t xml:space="preserve">under </w:t>
      </w:r>
      <w:r w:rsidRPr="00B06EB1">
        <w:rPr>
          <w:spacing w:val="-4"/>
          <w:sz w:val="24"/>
          <w:szCs w:val="24"/>
        </w:rPr>
        <w:t xml:space="preserve">behandlingen </w:t>
      </w:r>
      <w:r w:rsidRPr="00B06EB1">
        <w:rPr>
          <w:spacing w:val="-3"/>
          <w:sz w:val="24"/>
          <w:szCs w:val="24"/>
        </w:rPr>
        <w:t xml:space="preserve">nøje </w:t>
      </w:r>
      <w:r w:rsidRPr="00B06EB1">
        <w:rPr>
          <w:sz w:val="24"/>
          <w:szCs w:val="24"/>
        </w:rPr>
        <w:t xml:space="preserve">bør </w:t>
      </w:r>
      <w:r w:rsidRPr="00B06EB1">
        <w:rPr>
          <w:spacing w:val="-3"/>
          <w:sz w:val="24"/>
          <w:szCs w:val="24"/>
        </w:rPr>
        <w:t xml:space="preserve">følges </w:t>
      </w:r>
      <w:r w:rsidRPr="00B06EB1">
        <w:rPr>
          <w:spacing w:val="-2"/>
          <w:sz w:val="24"/>
          <w:szCs w:val="24"/>
        </w:rPr>
        <w:t xml:space="preserve">med </w:t>
      </w:r>
      <w:r w:rsidRPr="00B06EB1">
        <w:rPr>
          <w:spacing w:val="-4"/>
          <w:sz w:val="24"/>
          <w:szCs w:val="24"/>
        </w:rPr>
        <w:t xml:space="preserve">undersøgelser </w:t>
      </w:r>
      <w:r w:rsidRPr="00B06EB1">
        <w:rPr>
          <w:spacing w:val="-3"/>
          <w:sz w:val="24"/>
          <w:szCs w:val="24"/>
        </w:rPr>
        <w:t xml:space="preserve">for </w:t>
      </w:r>
      <w:r w:rsidRPr="00B06EB1">
        <w:rPr>
          <w:spacing w:val="-4"/>
          <w:sz w:val="24"/>
          <w:szCs w:val="24"/>
        </w:rPr>
        <w:t xml:space="preserve">bivirkninger </w:t>
      </w:r>
      <w:r w:rsidRPr="00B06EB1">
        <w:rPr>
          <w:spacing w:val="-3"/>
          <w:sz w:val="24"/>
          <w:szCs w:val="24"/>
        </w:rPr>
        <w:t xml:space="preserve">fra lunger, </w:t>
      </w:r>
      <w:proofErr w:type="spellStart"/>
      <w:r w:rsidRPr="00B06EB1">
        <w:rPr>
          <w:spacing w:val="-4"/>
          <w:sz w:val="24"/>
          <w:szCs w:val="24"/>
        </w:rPr>
        <w:t>thyroidea</w:t>
      </w:r>
      <w:proofErr w:type="spellEnd"/>
      <w:r w:rsidRPr="00B06EB1">
        <w:rPr>
          <w:spacing w:val="-4"/>
          <w:sz w:val="24"/>
          <w:szCs w:val="24"/>
        </w:rPr>
        <w:t xml:space="preserve"> </w:t>
      </w:r>
      <w:r w:rsidRPr="00B06EB1">
        <w:rPr>
          <w:sz w:val="24"/>
          <w:szCs w:val="24"/>
        </w:rPr>
        <w:t xml:space="preserve">og </w:t>
      </w:r>
      <w:r w:rsidRPr="00B06EB1">
        <w:rPr>
          <w:spacing w:val="-3"/>
          <w:sz w:val="24"/>
          <w:szCs w:val="24"/>
        </w:rPr>
        <w:t>lever.</w:t>
      </w:r>
    </w:p>
    <w:p w:rsidR="00BD7E83" w:rsidRPr="00BD7E83" w:rsidRDefault="00BD7E83" w:rsidP="00BD7E83">
      <w:pPr>
        <w:pStyle w:val="Brdtekst"/>
        <w:ind w:left="851" w:right="434"/>
        <w:rPr>
          <w:sz w:val="24"/>
          <w:szCs w:val="24"/>
        </w:rPr>
      </w:pPr>
      <w:r w:rsidRPr="00B06EB1">
        <w:rPr>
          <w:spacing w:val="-4"/>
          <w:sz w:val="24"/>
          <w:szCs w:val="24"/>
        </w:rPr>
        <w:t xml:space="preserve">Præparatet </w:t>
      </w:r>
      <w:r w:rsidRPr="00B06EB1">
        <w:rPr>
          <w:spacing w:val="-3"/>
          <w:sz w:val="24"/>
          <w:szCs w:val="24"/>
        </w:rPr>
        <w:t xml:space="preserve">kan </w:t>
      </w:r>
      <w:r w:rsidRPr="00B06EB1">
        <w:rPr>
          <w:spacing w:val="-4"/>
          <w:sz w:val="24"/>
          <w:szCs w:val="24"/>
        </w:rPr>
        <w:t xml:space="preserve">anvendes </w:t>
      </w:r>
      <w:r w:rsidRPr="00B06EB1">
        <w:rPr>
          <w:spacing w:val="-3"/>
          <w:sz w:val="24"/>
          <w:szCs w:val="24"/>
        </w:rPr>
        <w:t xml:space="preserve">til gravide ved </w:t>
      </w:r>
      <w:r w:rsidRPr="00B06EB1">
        <w:rPr>
          <w:spacing w:val="-4"/>
          <w:sz w:val="24"/>
          <w:szCs w:val="24"/>
        </w:rPr>
        <w:t xml:space="preserve">livstruende </w:t>
      </w:r>
      <w:r w:rsidRPr="00B06EB1">
        <w:rPr>
          <w:sz w:val="24"/>
          <w:szCs w:val="24"/>
        </w:rPr>
        <w:t xml:space="preserve">og </w:t>
      </w:r>
      <w:r w:rsidRPr="00B06EB1">
        <w:rPr>
          <w:spacing w:val="-4"/>
          <w:sz w:val="24"/>
          <w:szCs w:val="24"/>
        </w:rPr>
        <w:t xml:space="preserve">svangerskabstruende </w:t>
      </w:r>
      <w:proofErr w:type="spellStart"/>
      <w:r w:rsidRPr="00B06EB1">
        <w:rPr>
          <w:spacing w:val="-4"/>
          <w:sz w:val="24"/>
          <w:szCs w:val="24"/>
        </w:rPr>
        <w:t>arytmier</w:t>
      </w:r>
      <w:proofErr w:type="spellEnd"/>
      <w:r w:rsidRPr="00B06EB1">
        <w:rPr>
          <w:spacing w:val="-4"/>
          <w:sz w:val="24"/>
          <w:szCs w:val="24"/>
        </w:rPr>
        <w:t xml:space="preserve">. </w:t>
      </w:r>
      <w:r w:rsidRPr="00B06EB1">
        <w:rPr>
          <w:spacing w:val="-3"/>
          <w:sz w:val="24"/>
          <w:szCs w:val="24"/>
        </w:rPr>
        <w:t xml:space="preserve">Det nyfødte barn bør </w:t>
      </w:r>
      <w:r w:rsidRPr="00B06EB1">
        <w:rPr>
          <w:spacing w:val="-4"/>
          <w:sz w:val="24"/>
          <w:szCs w:val="24"/>
        </w:rPr>
        <w:t xml:space="preserve">kontrolleres </w:t>
      </w:r>
      <w:r w:rsidRPr="00B06EB1">
        <w:rPr>
          <w:sz w:val="24"/>
          <w:szCs w:val="24"/>
        </w:rPr>
        <w:t xml:space="preserve">nøje </w:t>
      </w:r>
      <w:r w:rsidRPr="00B06EB1">
        <w:rPr>
          <w:spacing w:val="-3"/>
          <w:sz w:val="24"/>
          <w:szCs w:val="24"/>
        </w:rPr>
        <w:t xml:space="preserve">for </w:t>
      </w:r>
      <w:proofErr w:type="spellStart"/>
      <w:r w:rsidRPr="00B06EB1">
        <w:rPr>
          <w:spacing w:val="-4"/>
          <w:sz w:val="24"/>
          <w:szCs w:val="24"/>
        </w:rPr>
        <w:t>thyroideadysfunktion</w:t>
      </w:r>
      <w:proofErr w:type="spellEnd"/>
      <w:r w:rsidRPr="00B06EB1">
        <w:rPr>
          <w:spacing w:val="-4"/>
          <w:sz w:val="24"/>
          <w:szCs w:val="24"/>
        </w:rPr>
        <w:t>.</w:t>
      </w:r>
    </w:p>
    <w:p w:rsidR="00BD7E83" w:rsidRDefault="00BD7E83" w:rsidP="00BD7E83">
      <w:pPr>
        <w:rPr>
          <w:b/>
          <w:szCs w:val="24"/>
        </w:rPr>
      </w:pPr>
    </w:p>
    <w:p w:rsidR="00BD7E83" w:rsidRPr="00BD7E83" w:rsidRDefault="00BD7E83" w:rsidP="00BD7E83">
      <w:pPr>
        <w:ind w:firstLine="851"/>
        <w:rPr>
          <w:b/>
          <w:szCs w:val="24"/>
        </w:rPr>
      </w:pPr>
      <w:r w:rsidRPr="00BD7E83">
        <w:rPr>
          <w:b/>
          <w:szCs w:val="24"/>
        </w:rPr>
        <w:t>Særlige advarsler</w:t>
      </w:r>
    </w:p>
    <w:p w:rsidR="00BD7E83" w:rsidRPr="00B06EB1" w:rsidRDefault="00BD7E83" w:rsidP="00BD7E83">
      <w:pPr>
        <w:ind w:left="851"/>
        <w:rPr>
          <w:i/>
          <w:szCs w:val="24"/>
        </w:rPr>
      </w:pPr>
      <w:r w:rsidRPr="00B06EB1">
        <w:rPr>
          <w:i/>
          <w:szCs w:val="24"/>
        </w:rPr>
        <w:t>Hjertesygdomme (se pkt. 4.8):</w:t>
      </w:r>
    </w:p>
    <w:p w:rsidR="00BD7E83" w:rsidRPr="00B06EB1" w:rsidRDefault="00BD7E83" w:rsidP="00BD7E83">
      <w:pPr>
        <w:pStyle w:val="Brdtekst"/>
        <w:spacing w:after="0"/>
        <w:ind w:left="851" w:right="481"/>
        <w:rPr>
          <w:sz w:val="24"/>
          <w:szCs w:val="24"/>
        </w:rPr>
      </w:pPr>
      <w:proofErr w:type="spellStart"/>
      <w:r w:rsidRPr="00B06EB1">
        <w:rPr>
          <w:sz w:val="24"/>
          <w:szCs w:val="24"/>
        </w:rPr>
        <w:t>Amiodarons</w:t>
      </w:r>
      <w:proofErr w:type="spellEnd"/>
      <w:r w:rsidRPr="00B06EB1">
        <w:rPr>
          <w:sz w:val="24"/>
          <w:szCs w:val="24"/>
        </w:rPr>
        <w:t xml:space="preserve"> farmakologiske virkning udløser ekg-forandringer såsom QT-forlængelse (forbundet med forlænget </w:t>
      </w:r>
      <w:proofErr w:type="spellStart"/>
      <w:r w:rsidRPr="00B06EB1">
        <w:rPr>
          <w:sz w:val="24"/>
          <w:szCs w:val="24"/>
        </w:rPr>
        <w:t>repolarisering</w:t>
      </w:r>
      <w:proofErr w:type="spellEnd"/>
      <w:r w:rsidRPr="00B06EB1">
        <w:rPr>
          <w:sz w:val="24"/>
          <w:szCs w:val="24"/>
        </w:rPr>
        <w:t>) eventuelt med udvikling af U-takker. Disse forandringer er dog ikke tegn på toksicitet. Hos ældre kan hjertefrekvensen falde markant.</w:t>
      </w:r>
    </w:p>
    <w:p w:rsidR="00BD7E83" w:rsidRPr="00B06EB1" w:rsidRDefault="00BD7E83" w:rsidP="00BD7E83">
      <w:pPr>
        <w:pStyle w:val="Brdtekst"/>
        <w:spacing w:after="0"/>
        <w:rPr>
          <w:sz w:val="24"/>
          <w:szCs w:val="24"/>
        </w:rPr>
      </w:pPr>
    </w:p>
    <w:p w:rsidR="00BD7E83" w:rsidRPr="00B06EB1" w:rsidRDefault="00BD7E83" w:rsidP="00BD7E83">
      <w:pPr>
        <w:pStyle w:val="Brdtekst"/>
        <w:spacing w:before="1" w:after="0"/>
        <w:ind w:left="851" w:right="280"/>
        <w:rPr>
          <w:sz w:val="24"/>
          <w:szCs w:val="24"/>
        </w:rPr>
      </w:pPr>
      <w:r w:rsidRPr="00B06EB1">
        <w:rPr>
          <w:sz w:val="24"/>
          <w:szCs w:val="24"/>
        </w:rPr>
        <w:t xml:space="preserve">Behandlingen bør seponeres, hvis der opstår 2. eller 3. grads AV-blok, </w:t>
      </w:r>
      <w:proofErr w:type="spellStart"/>
      <w:r w:rsidRPr="00B06EB1">
        <w:rPr>
          <w:sz w:val="24"/>
          <w:szCs w:val="24"/>
        </w:rPr>
        <w:t>sinoatrialt</w:t>
      </w:r>
      <w:proofErr w:type="spellEnd"/>
      <w:r w:rsidRPr="00B06EB1">
        <w:rPr>
          <w:sz w:val="24"/>
          <w:szCs w:val="24"/>
        </w:rPr>
        <w:t xml:space="preserve"> blok eller </w:t>
      </w:r>
      <w:proofErr w:type="spellStart"/>
      <w:r w:rsidRPr="00B06EB1">
        <w:rPr>
          <w:sz w:val="24"/>
          <w:szCs w:val="24"/>
        </w:rPr>
        <w:t>bifascikulært</w:t>
      </w:r>
      <w:proofErr w:type="spellEnd"/>
      <w:r w:rsidRPr="00B06EB1">
        <w:rPr>
          <w:sz w:val="24"/>
          <w:szCs w:val="24"/>
        </w:rPr>
        <w:t xml:space="preserve"> blok.</w:t>
      </w:r>
    </w:p>
    <w:p w:rsidR="00BD7E83" w:rsidRPr="00B06EB1" w:rsidRDefault="00BD7E83" w:rsidP="00BD7E83">
      <w:pPr>
        <w:pStyle w:val="Brdtekst"/>
        <w:spacing w:before="11" w:after="0"/>
        <w:ind w:left="851"/>
        <w:rPr>
          <w:sz w:val="24"/>
          <w:szCs w:val="24"/>
        </w:rPr>
      </w:pPr>
    </w:p>
    <w:p w:rsidR="00BD7E83" w:rsidRPr="00B06EB1" w:rsidRDefault="00BD7E83" w:rsidP="00BD7E83">
      <w:pPr>
        <w:pStyle w:val="Brdtekst"/>
        <w:spacing w:after="0"/>
        <w:ind w:left="851" w:right="301"/>
        <w:rPr>
          <w:sz w:val="24"/>
          <w:szCs w:val="24"/>
        </w:rPr>
      </w:pPr>
      <w:r w:rsidRPr="00B06EB1">
        <w:rPr>
          <w:sz w:val="24"/>
          <w:szCs w:val="24"/>
        </w:rPr>
        <w:t xml:space="preserve">Der er rapporteret debut af </w:t>
      </w:r>
      <w:proofErr w:type="spellStart"/>
      <w:r w:rsidRPr="00B06EB1">
        <w:rPr>
          <w:sz w:val="24"/>
          <w:szCs w:val="24"/>
        </w:rPr>
        <w:t>arytmi</w:t>
      </w:r>
      <w:proofErr w:type="spellEnd"/>
      <w:r w:rsidRPr="00B06EB1">
        <w:rPr>
          <w:sz w:val="24"/>
          <w:szCs w:val="24"/>
        </w:rPr>
        <w:t xml:space="preserve"> eller forværring af behandlet </w:t>
      </w:r>
      <w:proofErr w:type="spellStart"/>
      <w:r w:rsidRPr="00B06EB1">
        <w:rPr>
          <w:sz w:val="24"/>
          <w:szCs w:val="24"/>
        </w:rPr>
        <w:t>arytmi</w:t>
      </w:r>
      <w:proofErr w:type="spellEnd"/>
      <w:r w:rsidRPr="00B06EB1">
        <w:rPr>
          <w:sz w:val="24"/>
          <w:szCs w:val="24"/>
        </w:rPr>
        <w:t xml:space="preserve">, undertiden med dødelig udgang. Det er vigtigt, men vanskeligt at skelne mellem manglende virkning af lægemidlet og en </w:t>
      </w:r>
      <w:proofErr w:type="spellStart"/>
      <w:r w:rsidRPr="00B06EB1">
        <w:rPr>
          <w:sz w:val="24"/>
          <w:szCs w:val="24"/>
        </w:rPr>
        <w:t>proarytmisk</w:t>
      </w:r>
      <w:proofErr w:type="spellEnd"/>
      <w:r w:rsidRPr="00B06EB1">
        <w:rPr>
          <w:sz w:val="24"/>
          <w:szCs w:val="24"/>
        </w:rPr>
        <w:t xml:space="preserve"> virkning, uanset om denne er forbundet med forværring af hjertesygdommen. </w:t>
      </w:r>
      <w:proofErr w:type="spellStart"/>
      <w:r w:rsidRPr="00B06EB1">
        <w:rPr>
          <w:sz w:val="24"/>
          <w:szCs w:val="24"/>
        </w:rPr>
        <w:t>Proarytmiske</w:t>
      </w:r>
      <w:proofErr w:type="spellEnd"/>
      <w:r w:rsidRPr="00B06EB1">
        <w:rPr>
          <w:sz w:val="24"/>
          <w:szCs w:val="24"/>
        </w:rPr>
        <w:t xml:space="preserve"> virkninger rapporteres sjældnere for </w:t>
      </w:r>
      <w:proofErr w:type="spellStart"/>
      <w:r w:rsidRPr="00B06EB1">
        <w:rPr>
          <w:sz w:val="24"/>
          <w:szCs w:val="24"/>
        </w:rPr>
        <w:t>amiodaron</w:t>
      </w:r>
      <w:proofErr w:type="spellEnd"/>
      <w:r w:rsidRPr="00B06EB1">
        <w:rPr>
          <w:sz w:val="24"/>
          <w:szCs w:val="24"/>
        </w:rPr>
        <w:t xml:space="preserve"> end for andre </w:t>
      </w:r>
      <w:proofErr w:type="spellStart"/>
      <w:r w:rsidRPr="00B06EB1">
        <w:rPr>
          <w:sz w:val="24"/>
          <w:szCs w:val="24"/>
        </w:rPr>
        <w:t>antiarytmiske</w:t>
      </w:r>
      <w:proofErr w:type="spellEnd"/>
      <w:r w:rsidRPr="00B06EB1">
        <w:rPr>
          <w:sz w:val="24"/>
          <w:szCs w:val="24"/>
        </w:rPr>
        <w:t xml:space="preserve"> midler, og de forekommer generelt i forbindelse med QT-forlængende faktorer såsom lægemiddelinteraktioner og/eller elektrolytforstyrrelser </w:t>
      </w:r>
      <w:r w:rsidRPr="00B06EB1">
        <w:rPr>
          <w:i/>
          <w:sz w:val="24"/>
          <w:szCs w:val="24"/>
        </w:rPr>
        <w:t>(</w:t>
      </w:r>
      <w:r w:rsidRPr="00B06EB1">
        <w:rPr>
          <w:sz w:val="24"/>
          <w:szCs w:val="24"/>
        </w:rPr>
        <w:t xml:space="preserve">se pkt. 4.5 og 4.8). På trods af QT-interval forlængelse udviser </w:t>
      </w:r>
      <w:proofErr w:type="spellStart"/>
      <w:r w:rsidRPr="00B06EB1">
        <w:rPr>
          <w:sz w:val="24"/>
          <w:szCs w:val="24"/>
        </w:rPr>
        <w:t>amiodaron</w:t>
      </w:r>
      <w:proofErr w:type="spellEnd"/>
      <w:r w:rsidRPr="00B06EB1">
        <w:rPr>
          <w:sz w:val="24"/>
          <w:szCs w:val="24"/>
        </w:rPr>
        <w:t xml:space="preserve"> lav </w:t>
      </w:r>
      <w:proofErr w:type="spellStart"/>
      <w:r w:rsidRPr="00B06EB1">
        <w:rPr>
          <w:sz w:val="24"/>
          <w:szCs w:val="24"/>
        </w:rPr>
        <w:t>torsadogen</w:t>
      </w:r>
      <w:proofErr w:type="spellEnd"/>
      <w:r w:rsidRPr="00B06EB1">
        <w:rPr>
          <w:sz w:val="24"/>
          <w:szCs w:val="24"/>
        </w:rPr>
        <w:t xml:space="preserve"> aktivitet.</w:t>
      </w:r>
    </w:p>
    <w:p w:rsidR="00BD7E83" w:rsidRPr="00B06EB1" w:rsidRDefault="00BD7E83" w:rsidP="00BD7E83">
      <w:pPr>
        <w:pStyle w:val="Brdtekst"/>
        <w:spacing w:before="1"/>
        <w:ind w:left="851"/>
        <w:rPr>
          <w:sz w:val="24"/>
          <w:szCs w:val="24"/>
        </w:rPr>
      </w:pPr>
    </w:p>
    <w:p w:rsidR="00BD7E83" w:rsidRPr="00B06EB1" w:rsidRDefault="00BD7E83" w:rsidP="00BD7E83">
      <w:pPr>
        <w:ind w:left="851"/>
        <w:jc w:val="both"/>
        <w:rPr>
          <w:i/>
          <w:szCs w:val="24"/>
        </w:rPr>
      </w:pPr>
      <w:r w:rsidRPr="00B06EB1">
        <w:rPr>
          <w:i/>
          <w:szCs w:val="24"/>
        </w:rPr>
        <w:t>Svær bradykardi og hjerteblok (se pkt. 4.5)</w:t>
      </w:r>
    </w:p>
    <w:p w:rsidR="00BD7E83" w:rsidRPr="00B06EB1" w:rsidRDefault="00BD7E83" w:rsidP="00BD7E83">
      <w:pPr>
        <w:ind w:left="851"/>
        <w:jc w:val="both"/>
        <w:rPr>
          <w:iCs/>
          <w:szCs w:val="24"/>
        </w:rPr>
      </w:pPr>
      <w:r w:rsidRPr="00B06EB1">
        <w:rPr>
          <w:iCs/>
          <w:szCs w:val="24"/>
        </w:rPr>
        <w:t xml:space="preserve">Der er set livstruende tilfælde af svær bradykardi og hjerteblok ved anvendelse af regimer, der indeholder </w:t>
      </w:r>
      <w:proofErr w:type="spellStart"/>
      <w:r w:rsidRPr="00B06EB1">
        <w:rPr>
          <w:iCs/>
          <w:szCs w:val="24"/>
        </w:rPr>
        <w:t>sofosbuvir</w:t>
      </w:r>
      <w:proofErr w:type="spellEnd"/>
      <w:r w:rsidRPr="00B06EB1">
        <w:rPr>
          <w:iCs/>
          <w:szCs w:val="24"/>
        </w:rPr>
        <w:t xml:space="preserve">, i kombination med </w:t>
      </w:r>
      <w:proofErr w:type="spellStart"/>
      <w:r w:rsidRPr="00B06EB1">
        <w:rPr>
          <w:iCs/>
          <w:szCs w:val="24"/>
        </w:rPr>
        <w:t>amiodaron</w:t>
      </w:r>
      <w:proofErr w:type="spellEnd"/>
      <w:r w:rsidRPr="00B06EB1">
        <w:rPr>
          <w:iCs/>
          <w:szCs w:val="24"/>
        </w:rPr>
        <w:t>. Bradykardi er generelt forekommet inden for timer til dage, men tilfælde med længere tid til indtræden er blevet set for det meste op til 2 uger efter påbegyndelse af HCV-behandling.</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proofErr w:type="spellStart"/>
      <w:r w:rsidRPr="00B06EB1">
        <w:rPr>
          <w:iCs/>
          <w:szCs w:val="24"/>
        </w:rPr>
        <w:t>Amiodaron</w:t>
      </w:r>
      <w:proofErr w:type="spellEnd"/>
      <w:r w:rsidRPr="00B06EB1">
        <w:rPr>
          <w:iCs/>
          <w:szCs w:val="24"/>
        </w:rPr>
        <w:t xml:space="preserve"> bør kun anvendes til patienter i behandling med </w:t>
      </w:r>
      <w:proofErr w:type="spellStart"/>
      <w:r w:rsidRPr="00B06EB1">
        <w:rPr>
          <w:iCs/>
          <w:szCs w:val="24"/>
        </w:rPr>
        <w:t>sofosbuvir</w:t>
      </w:r>
      <w:proofErr w:type="spellEnd"/>
      <w:r w:rsidRPr="00B06EB1">
        <w:rPr>
          <w:iCs/>
          <w:szCs w:val="24"/>
        </w:rPr>
        <w:t xml:space="preserve">, når andre </w:t>
      </w:r>
      <w:proofErr w:type="spellStart"/>
      <w:r w:rsidRPr="00B06EB1">
        <w:rPr>
          <w:iCs/>
          <w:szCs w:val="24"/>
        </w:rPr>
        <w:t>antiarytmika</w:t>
      </w:r>
      <w:proofErr w:type="spellEnd"/>
      <w:r w:rsidRPr="00B06EB1">
        <w:rPr>
          <w:iCs/>
          <w:szCs w:val="24"/>
        </w:rPr>
        <w:t xml:space="preserve"> ikke tolereres eller er kontraindicerede.</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Hvis samtidig brug af </w:t>
      </w:r>
      <w:proofErr w:type="spellStart"/>
      <w:r w:rsidRPr="00B06EB1">
        <w:rPr>
          <w:iCs/>
          <w:szCs w:val="24"/>
        </w:rPr>
        <w:t>amiodaron</w:t>
      </w:r>
      <w:proofErr w:type="spellEnd"/>
      <w:r w:rsidRPr="00B06EB1">
        <w:rPr>
          <w:iCs/>
          <w:szCs w:val="24"/>
        </w:rPr>
        <w:t xml:space="preserve"> findes nødvendig, anbefales det, at patienter undergår hjertemonitorering under indlæggelse på hospitalet i de første 48 timer med samtidig administration, hvorefter hjertefrekvensen bør monitoreres i klinisk ambulatorium eller ved selvmonitorering dagligt i mindst de første to behandlingsuger.</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På grund af </w:t>
      </w:r>
      <w:proofErr w:type="spellStart"/>
      <w:r w:rsidRPr="00B06EB1">
        <w:rPr>
          <w:iCs/>
          <w:szCs w:val="24"/>
        </w:rPr>
        <w:t>amiodarons</w:t>
      </w:r>
      <w:proofErr w:type="spellEnd"/>
      <w:r w:rsidRPr="00B06EB1">
        <w:rPr>
          <w:iCs/>
          <w:szCs w:val="24"/>
        </w:rPr>
        <w:t xml:space="preserve"> lange halveringstid skal hjertemonitorering også udføres som beskrevet ovenfor hos patienter, som inden for de seneste par måneder har stoppet behandling med </w:t>
      </w:r>
      <w:proofErr w:type="spellStart"/>
      <w:r w:rsidRPr="00B06EB1">
        <w:rPr>
          <w:iCs/>
          <w:szCs w:val="24"/>
        </w:rPr>
        <w:t>amiodaron</w:t>
      </w:r>
      <w:proofErr w:type="spellEnd"/>
      <w:r w:rsidRPr="00B06EB1">
        <w:rPr>
          <w:iCs/>
          <w:szCs w:val="24"/>
        </w:rPr>
        <w:t xml:space="preserve">, og som skal sættes i behandling med </w:t>
      </w:r>
      <w:proofErr w:type="spellStart"/>
      <w:r w:rsidRPr="00B06EB1">
        <w:rPr>
          <w:iCs/>
          <w:szCs w:val="24"/>
        </w:rPr>
        <w:t>sofosbuvir</w:t>
      </w:r>
      <w:proofErr w:type="spellEnd"/>
      <w:r w:rsidRPr="00B06EB1">
        <w:rPr>
          <w:iCs/>
          <w:szCs w:val="24"/>
        </w:rPr>
        <w:t>.</w:t>
      </w:r>
    </w:p>
    <w:p w:rsidR="00BD7E83" w:rsidRPr="00B06EB1" w:rsidRDefault="00BD7E83" w:rsidP="00BD7E83">
      <w:pPr>
        <w:ind w:left="851"/>
        <w:jc w:val="both"/>
        <w:rPr>
          <w:iCs/>
          <w:szCs w:val="24"/>
        </w:rPr>
      </w:pPr>
    </w:p>
    <w:p w:rsidR="00BD7E83" w:rsidRPr="00B06EB1" w:rsidRDefault="00BD7E83" w:rsidP="00BD7E83">
      <w:pPr>
        <w:ind w:left="851"/>
        <w:jc w:val="both"/>
        <w:rPr>
          <w:iCs/>
          <w:szCs w:val="24"/>
        </w:rPr>
      </w:pPr>
      <w:r w:rsidRPr="00B06EB1">
        <w:rPr>
          <w:iCs/>
          <w:szCs w:val="24"/>
        </w:rPr>
        <w:t xml:space="preserve">Alle patienter med samtidig eller nylig brug af </w:t>
      </w:r>
      <w:proofErr w:type="spellStart"/>
      <w:r w:rsidRPr="00B06EB1">
        <w:rPr>
          <w:iCs/>
          <w:szCs w:val="24"/>
        </w:rPr>
        <w:t>amiodaron</w:t>
      </w:r>
      <w:proofErr w:type="spellEnd"/>
      <w:r w:rsidRPr="00B06EB1">
        <w:rPr>
          <w:iCs/>
          <w:szCs w:val="24"/>
        </w:rPr>
        <w:t xml:space="preserve"> skal advares om symptomerne på bradykardi og hjerteblok og informeres om øjeblikkeligt at søge lægehjælp, hvis symptomerne opstår.</w:t>
      </w:r>
    </w:p>
    <w:p w:rsidR="00BD7E83" w:rsidRPr="00B06EB1" w:rsidRDefault="00BD7E83" w:rsidP="00BD7E83">
      <w:pPr>
        <w:pStyle w:val="Brdtekst"/>
        <w:ind w:left="851"/>
        <w:rPr>
          <w:sz w:val="24"/>
          <w:szCs w:val="24"/>
        </w:rPr>
      </w:pPr>
    </w:p>
    <w:p w:rsidR="00BD7E83" w:rsidRPr="00B06EB1" w:rsidRDefault="00BD7E83" w:rsidP="00BD7E83">
      <w:pPr>
        <w:ind w:left="851"/>
        <w:jc w:val="both"/>
        <w:rPr>
          <w:i/>
          <w:szCs w:val="24"/>
        </w:rPr>
      </w:pPr>
      <w:r w:rsidRPr="00B06EB1">
        <w:rPr>
          <w:i/>
          <w:szCs w:val="24"/>
        </w:rPr>
        <w:t>Transplantatdysfunktion efter hjertetransplantation</w:t>
      </w:r>
    </w:p>
    <w:p w:rsidR="00BD7E83" w:rsidRPr="00B06EB1" w:rsidRDefault="00BD7E83" w:rsidP="00BD7E83">
      <w:pPr>
        <w:pStyle w:val="Brdtekst"/>
        <w:spacing w:after="0"/>
        <w:ind w:left="851" w:right="346"/>
        <w:jc w:val="both"/>
        <w:rPr>
          <w:sz w:val="24"/>
          <w:szCs w:val="24"/>
        </w:rPr>
      </w:pPr>
      <w:r w:rsidRPr="00B06EB1">
        <w:rPr>
          <w:sz w:val="24"/>
          <w:szCs w:val="24"/>
        </w:rPr>
        <w:t xml:space="preserve">I retrospektive studier er brug af </w:t>
      </w:r>
      <w:proofErr w:type="spellStart"/>
      <w:r w:rsidRPr="00B06EB1">
        <w:rPr>
          <w:sz w:val="24"/>
          <w:szCs w:val="24"/>
        </w:rPr>
        <w:t>amiodaron</w:t>
      </w:r>
      <w:proofErr w:type="spellEnd"/>
      <w:r w:rsidRPr="00B06EB1">
        <w:rPr>
          <w:sz w:val="24"/>
          <w:szCs w:val="24"/>
        </w:rPr>
        <w:t xml:space="preserve"> til transplantatmodtagere før hjertetransplantation blevet associeret med en øget risiko for transplantatdysfunktion.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300"/>
        <w:rPr>
          <w:sz w:val="24"/>
          <w:szCs w:val="24"/>
        </w:rPr>
      </w:pPr>
      <w:r w:rsidRPr="00B06EB1">
        <w:rPr>
          <w:sz w:val="24"/>
          <w:szCs w:val="24"/>
        </w:rPr>
        <w:t>Transplantatdysfunktion er en livstruende komplikation ved hjertetransplantationer, som viser sig ved dysfunktion af højre, venstre eller begge ventrikler i løbet af de første 24 timer efter transplantationen og som ikke har nogen sekundær årsag (se pkt. 4.8). Transplantatdysfunktion kan i alvorlige tilfælde være irreversibel.</w:t>
      </w:r>
    </w:p>
    <w:p w:rsidR="00BD7E83" w:rsidRPr="00B06EB1" w:rsidRDefault="00BD7E83" w:rsidP="00BD7E83">
      <w:pPr>
        <w:pStyle w:val="Brdtekst"/>
        <w:spacing w:before="1" w:after="0"/>
        <w:ind w:left="851"/>
        <w:rPr>
          <w:sz w:val="24"/>
          <w:szCs w:val="24"/>
        </w:rPr>
      </w:pPr>
    </w:p>
    <w:p w:rsidR="00BD7E83" w:rsidRDefault="00BD7E83" w:rsidP="00BD7E83">
      <w:pPr>
        <w:pStyle w:val="Brdtekst"/>
        <w:spacing w:after="0"/>
        <w:ind w:left="851" w:right="278"/>
        <w:jc w:val="both"/>
        <w:rPr>
          <w:sz w:val="24"/>
          <w:szCs w:val="24"/>
        </w:rPr>
      </w:pPr>
      <w:r w:rsidRPr="00B06EB1">
        <w:rPr>
          <w:sz w:val="24"/>
          <w:szCs w:val="24"/>
        </w:rPr>
        <w:t xml:space="preserve">Hos patienter, som står på venteliste til en hjertetransplantation, bør det overvejes at anvende et alternativt </w:t>
      </w:r>
      <w:proofErr w:type="spellStart"/>
      <w:r w:rsidRPr="00B06EB1">
        <w:rPr>
          <w:sz w:val="24"/>
          <w:szCs w:val="24"/>
        </w:rPr>
        <w:t>antiarytmisk</w:t>
      </w:r>
      <w:proofErr w:type="spellEnd"/>
      <w:r w:rsidRPr="00B06EB1">
        <w:rPr>
          <w:sz w:val="24"/>
          <w:szCs w:val="24"/>
        </w:rPr>
        <w:t xml:space="preserve"> lægemiddel så tidligt som muligt forud for transplantation.</w:t>
      </w:r>
    </w:p>
    <w:p w:rsidR="00BD7E83" w:rsidRPr="00B06EB1" w:rsidRDefault="00BD7E83" w:rsidP="00BD7E83">
      <w:pPr>
        <w:pStyle w:val="Brdtekst"/>
        <w:spacing w:after="0"/>
        <w:ind w:left="851" w:right="278"/>
        <w:jc w:val="both"/>
        <w:rPr>
          <w:sz w:val="24"/>
          <w:szCs w:val="24"/>
        </w:rPr>
      </w:pPr>
    </w:p>
    <w:p w:rsidR="00BD7E83" w:rsidRPr="00B06EB1" w:rsidRDefault="00BD7E83" w:rsidP="00BD7E83">
      <w:pPr>
        <w:keepNext/>
        <w:ind w:left="851"/>
        <w:rPr>
          <w:i/>
          <w:szCs w:val="24"/>
        </w:rPr>
      </w:pPr>
      <w:proofErr w:type="spellStart"/>
      <w:r w:rsidRPr="00B06EB1">
        <w:rPr>
          <w:i/>
          <w:szCs w:val="24"/>
        </w:rPr>
        <w:t>Hypertyreose</w:t>
      </w:r>
      <w:proofErr w:type="spellEnd"/>
      <w:r w:rsidRPr="00B06EB1">
        <w:rPr>
          <w:i/>
          <w:szCs w:val="24"/>
        </w:rPr>
        <w:t xml:space="preserve"> (se pkt. 4.4.2 og 4.8)</w:t>
      </w:r>
      <w:r>
        <w:rPr>
          <w:i/>
          <w:szCs w:val="24"/>
        </w:rPr>
        <w:t>:</w:t>
      </w:r>
    </w:p>
    <w:p w:rsidR="00BD7E83" w:rsidRDefault="00BD7E83" w:rsidP="00BD7E83">
      <w:pPr>
        <w:keepNext/>
        <w:ind w:left="851"/>
        <w:rPr>
          <w:szCs w:val="24"/>
        </w:rPr>
      </w:pPr>
      <w:proofErr w:type="spellStart"/>
      <w:r w:rsidRPr="00B06EB1">
        <w:rPr>
          <w:szCs w:val="24"/>
        </w:rPr>
        <w:t>Hypertyreose</w:t>
      </w:r>
      <w:proofErr w:type="spellEnd"/>
      <w:r w:rsidRPr="00B06EB1">
        <w:rPr>
          <w:szCs w:val="24"/>
        </w:rPr>
        <w:t xml:space="preserve"> kan forekomme under behandlingen med </w:t>
      </w:r>
      <w:proofErr w:type="spellStart"/>
      <w:r w:rsidRPr="00B06EB1">
        <w:rPr>
          <w:szCs w:val="24"/>
        </w:rPr>
        <w:t>amiodaron</w:t>
      </w:r>
      <w:proofErr w:type="spellEnd"/>
      <w:r w:rsidRPr="00B06EB1">
        <w:rPr>
          <w:szCs w:val="24"/>
        </w:rPr>
        <w:t xml:space="preserve"> og indtil flere måneder efter </w:t>
      </w:r>
      <w:proofErr w:type="spellStart"/>
      <w:r w:rsidRPr="00B06EB1">
        <w:rPr>
          <w:szCs w:val="24"/>
        </w:rPr>
        <w:t>seponering</w:t>
      </w:r>
      <w:proofErr w:type="spellEnd"/>
      <w:r w:rsidRPr="00B06EB1">
        <w:rPr>
          <w:szCs w:val="24"/>
        </w:rPr>
        <w:t xml:space="preserve">. Lægen bør fatte mistanke ved kliniske træk, sædvanligvis af let karakter, som </w:t>
      </w:r>
      <w:r w:rsidRPr="00B06EB1">
        <w:rPr>
          <w:szCs w:val="24"/>
        </w:rPr>
        <w:lastRenderedPageBreak/>
        <w:t xml:space="preserve">vægttab, begyndende </w:t>
      </w:r>
      <w:proofErr w:type="spellStart"/>
      <w:r w:rsidRPr="00B06EB1">
        <w:rPr>
          <w:szCs w:val="24"/>
        </w:rPr>
        <w:t>arytmi</w:t>
      </w:r>
      <w:proofErr w:type="spellEnd"/>
      <w:r w:rsidRPr="00B06EB1">
        <w:rPr>
          <w:szCs w:val="24"/>
        </w:rPr>
        <w:t>, angina pectoris og kongestiv hjerteinsufficiens. Diagnosen understøttes af et klart fald i ultrasensitiv serum TSH (</w:t>
      </w:r>
      <w:proofErr w:type="spellStart"/>
      <w:r w:rsidRPr="00B06EB1">
        <w:rPr>
          <w:szCs w:val="24"/>
        </w:rPr>
        <w:t>usTSH</w:t>
      </w:r>
      <w:proofErr w:type="spellEnd"/>
      <w:r w:rsidRPr="00B06EB1">
        <w:rPr>
          <w:szCs w:val="24"/>
        </w:rPr>
        <w:t xml:space="preserve">), i hvilket tilfælde </w:t>
      </w:r>
      <w:proofErr w:type="spellStart"/>
      <w:r w:rsidRPr="00B06EB1">
        <w:rPr>
          <w:szCs w:val="24"/>
        </w:rPr>
        <w:t>amiodaron</w:t>
      </w:r>
      <w:proofErr w:type="spellEnd"/>
      <w:r w:rsidRPr="00B06EB1">
        <w:rPr>
          <w:szCs w:val="24"/>
        </w:rPr>
        <w:t xml:space="preserve"> skal seponeres. Sædvanligvis opnås bedring i løbet af nogle måneder efter ophør med behandlingen, idet klinisk bedring indtræffer før normalisering af </w:t>
      </w:r>
      <w:proofErr w:type="spellStart"/>
      <w:r w:rsidRPr="00B06EB1">
        <w:rPr>
          <w:szCs w:val="24"/>
        </w:rPr>
        <w:t>thyroidea</w:t>
      </w:r>
      <w:proofErr w:type="spellEnd"/>
      <w:r w:rsidRPr="00B06EB1">
        <w:rPr>
          <w:szCs w:val="24"/>
        </w:rPr>
        <w:t xml:space="preserve">-funktionsprøver. Alvorlige tilfælde, til tider fatale, kræver akut medicinsk behandling. Behandlingen skal tilpasses det enkelte tilfælde og kan bestå af: </w:t>
      </w:r>
      <w:proofErr w:type="spellStart"/>
      <w:r w:rsidRPr="00B06EB1">
        <w:rPr>
          <w:szCs w:val="24"/>
        </w:rPr>
        <w:t>antithyroide</w:t>
      </w:r>
      <w:proofErr w:type="spellEnd"/>
      <w:r w:rsidRPr="00B06EB1">
        <w:rPr>
          <w:szCs w:val="24"/>
        </w:rPr>
        <w:t xml:space="preserve"> lægemidler (der ikke altid udviser effekt), behandling med </w:t>
      </w:r>
      <w:proofErr w:type="spellStart"/>
      <w:r w:rsidRPr="00B06EB1">
        <w:rPr>
          <w:szCs w:val="24"/>
        </w:rPr>
        <w:t>kortikosteroider</w:t>
      </w:r>
      <w:proofErr w:type="spellEnd"/>
      <w:r w:rsidRPr="00B06EB1">
        <w:rPr>
          <w:szCs w:val="24"/>
        </w:rPr>
        <w:t xml:space="preserve"> og betablokkere.</w:t>
      </w:r>
    </w:p>
    <w:p w:rsidR="00BD7E83" w:rsidRPr="00BD7E83" w:rsidRDefault="00BD7E83" w:rsidP="00BD7E83">
      <w:pPr>
        <w:keepNext/>
        <w:ind w:left="851"/>
        <w:rPr>
          <w:szCs w:val="24"/>
        </w:rPr>
      </w:pPr>
    </w:p>
    <w:p w:rsidR="00BD7E83" w:rsidRPr="00B06EB1" w:rsidRDefault="00BD7E83" w:rsidP="00BD7E83">
      <w:pPr>
        <w:keepNext/>
        <w:ind w:left="851"/>
        <w:rPr>
          <w:i/>
          <w:szCs w:val="24"/>
        </w:rPr>
      </w:pPr>
      <w:r w:rsidRPr="00B06EB1">
        <w:rPr>
          <w:i/>
          <w:szCs w:val="24"/>
        </w:rPr>
        <w:t>Lungesygdomme (se pkt. 4.8):</w:t>
      </w:r>
    </w:p>
    <w:p w:rsidR="00BD7E83" w:rsidRPr="00B06EB1" w:rsidRDefault="00BD7E83" w:rsidP="00BD7E83">
      <w:pPr>
        <w:pStyle w:val="Brdtekst"/>
        <w:spacing w:after="0"/>
        <w:ind w:left="851" w:right="281"/>
        <w:rPr>
          <w:sz w:val="24"/>
          <w:szCs w:val="24"/>
        </w:rPr>
      </w:pPr>
      <w:r w:rsidRPr="00B06EB1">
        <w:rPr>
          <w:sz w:val="24"/>
          <w:szCs w:val="24"/>
        </w:rPr>
        <w:t xml:space="preserve">Eventuel dyspnø eller hoste uden ekspektorat kan skyldes lungetoksicitet såsom </w:t>
      </w:r>
      <w:proofErr w:type="spellStart"/>
      <w:r w:rsidRPr="00B06EB1">
        <w:rPr>
          <w:sz w:val="24"/>
          <w:szCs w:val="24"/>
        </w:rPr>
        <w:t>interstitiel</w:t>
      </w:r>
      <w:proofErr w:type="spellEnd"/>
      <w:r w:rsidRPr="00B06EB1">
        <w:rPr>
          <w:sz w:val="24"/>
          <w:szCs w:val="24"/>
        </w:rPr>
        <w:t xml:space="preserve"> pneumonitis. Ved mistanke om denne diagnose skal der tages røntgen af thorax hos patienter, der udvikler </w:t>
      </w:r>
      <w:proofErr w:type="spellStart"/>
      <w:r w:rsidRPr="00B06EB1">
        <w:rPr>
          <w:sz w:val="24"/>
          <w:szCs w:val="24"/>
        </w:rPr>
        <w:t>funktionsdyspnø</w:t>
      </w:r>
      <w:proofErr w:type="spellEnd"/>
      <w:r w:rsidRPr="00B06EB1">
        <w:rPr>
          <w:sz w:val="24"/>
          <w:szCs w:val="24"/>
        </w:rPr>
        <w:t xml:space="preserve">, enten isoleret eller forbundet med generelt nedsat helbredstilstand (træthed, vægttab, feber). Behandlingen med </w:t>
      </w:r>
      <w:proofErr w:type="spellStart"/>
      <w:r w:rsidRPr="00B06EB1">
        <w:rPr>
          <w:sz w:val="24"/>
          <w:szCs w:val="24"/>
        </w:rPr>
        <w:t>amiodaron</w:t>
      </w:r>
      <w:proofErr w:type="spellEnd"/>
      <w:r w:rsidRPr="00B06EB1">
        <w:rPr>
          <w:sz w:val="24"/>
          <w:szCs w:val="24"/>
        </w:rPr>
        <w:t xml:space="preserve"> bør revurderes, idet </w:t>
      </w:r>
      <w:proofErr w:type="spellStart"/>
      <w:r w:rsidRPr="00B06EB1">
        <w:rPr>
          <w:sz w:val="24"/>
          <w:szCs w:val="24"/>
        </w:rPr>
        <w:t>interstitiel</w:t>
      </w:r>
      <w:proofErr w:type="spellEnd"/>
      <w:r w:rsidRPr="00B06EB1">
        <w:rPr>
          <w:sz w:val="24"/>
          <w:szCs w:val="24"/>
        </w:rPr>
        <w:t xml:space="preserve"> pneumonitis generelt er reversibel efter tidlig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 xml:space="preserve"> (de kliniske tegn forsvinder sædvanligvis i løbet af 3-4 uger, og langsommere forbedring af røntgenbilleder og lungefunktion ses over flere måneder) og </w:t>
      </w:r>
      <w:proofErr w:type="spellStart"/>
      <w:r w:rsidRPr="00B06EB1">
        <w:rPr>
          <w:sz w:val="24"/>
          <w:szCs w:val="24"/>
        </w:rPr>
        <w:t>kortikosteroidbehandling</w:t>
      </w:r>
      <w:proofErr w:type="spellEnd"/>
      <w:r w:rsidRPr="00B06EB1">
        <w:rPr>
          <w:sz w:val="24"/>
          <w:szCs w:val="24"/>
        </w:rPr>
        <w:t xml:space="preserve"> bør overvejes.</w:t>
      </w:r>
    </w:p>
    <w:p w:rsidR="00BD7E83" w:rsidRPr="00B06EB1" w:rsidRDefault="00BD7E83" w:rsidP="00BD7E83">
      <w:pPr>
        <w:pStyle w:val="Brdtekst"/>
        <w:spacing w:before="1" w:after="0"/>
        <w:ind w:left="851"/>
        <w:rPr>
          <w:sz w:val="24"/>
          <w:szCs w:val="24"/>
        </w:rPr>
      </w:pPr>
    </w:p>
    <w:p w:rsidR="00BD7E83" w:rsidRPr="00B06EB1" w:rsidRDefault="00BD7E83" w:rsidP="00BD7E83">
      <w:pPr>
        <w:pStyle w:val="Brdtekst"/>
        <w:spacing w:after="0"/>
        <w:ind w:left="851" w:right="272"/>
        <w:rPr>
          <w:sz w:val="24"/>
          <w:szCs w:val="24"/>
        </w:rPr>
      </w:pPr>
      <w:r w:rsidRPr="00B06EB1">
        <w:rPr>
          <w:sz w:val="24"/>
          <w:szCs w:val="24"/>
        </w:rPr>
        <w:t>Der er observeret yderst sjældne tilfælde af alvorlige respiratoriske komplikationer, sommetider dødelige, sædvanligvis i perioden umiddelbart efter operation (</w:t>
      </w:r>
      <w:proofErr w:type="spellStart"/>
      <w:r w:rsidRPr="00B06EB1">
        <w:rPr>
          <w:sz w:val="24"/>
          <w:szCs w:val="24"/>
        </w:rPr>
        <w:t>shocklunge</w:t>
      </w:r>
      <w:proofErr w:type="spellEnd"/>
      <w:r w:rsidRPr="00B06EB1">
        <w:rPr>
          <w:sz w:val="24"/>
          <w:szCs w:val="24"/>
        </w:rPr>
        <w:t xml:space="preserve"> - akut </w:t>
      </w:r>
      <w:proofErr w:type="spellStart"/>
      <w:r w:rsidRPr="00B06EB1">
        <w:rPr>
          <w:i/>
          <w:sz w:val="24"/>
          <w:szCs w:val="24"/>
        </w:rPr>
        <w:t>adult</w:t>
      </w:r>
      <w:proofErr w:type="spellEnd"/>
      <w:r w:rsidRPr="00B06EB1">
        <w:rPr>
          <w:i/>
          <w:sz w:val="24"/>
          <w:szCs w:val="24"/>
        </w:rPr>
        <w:t xml:space="preserve"> </w:t>
      </w:r>
      <w:proofErr w:type="spellStart"/>
      <w:r w:rsidRPr="00B06EB1">
        <w:rPr>
          <w:i/>
          <w:sz w:val="24"/>
          <w:szCs w:val="24"/>
        </w:rPr>
        <w:t>respiratory</w:t>
      </w:r>
      <w:proofErr w:type="spellEnd"/>
      <w:r w:rsidRPr="00B06EB1">
        <w:rPr>
          <w:i/>
          <w:sz w:val="24"/>
          <w:szCs w:val="24"/>
        </w:rPr>
        <w:t xml:space="preserve"> </w:t>
      </w:r>
      <w:proofErr w:type="spellStart"/>
      <w:r w:rsidRPr="00B06EB1">
        <w:rPr>
          <w:i/>
          <w:sz w:val="24"/>
          <w:szCs w:val="24"/>
        </w:rPr>
        <w:t>distress</w:t>
      </w:r>
      <w:proofErr w:type="spellEnd"/>
      <w:r w:rsidRPr="00B06EB1">
        <w:rPr>
          <w:i/>
          <w:sz w:val="24"/>
          <w:szCs w:val="24"/>
        </w:rPr>
        <w:t xml:space="preserve"> </w:t>
      </w:r>
      <w:proofErr w:type="spellStart"/>
      <w:r w:rsidRPr="00B06EB1">
        <w:rPr>
          <w:i/>
          <w:sz w:val="24"/>
          <w:szCs w:val="24"/>
        </w:rPr>
        <w:t>syndrome</w:t>
      </w:r>
      <w:proofErr w:type="spellEnd"/>
      <w:r w:rsidRPr="00B06EB1">
        <w:rPr>
          <w:sz w:val="24"/>
          <w:szCs w:val="24"/>
        </w:rPr>
        <w:t>), og der kan muligvis være tale om interaktion med høj oxygenkoncentration (se pkt. 4.5 og 4.8).</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Leversygdomme (se pkt. 4.8):</w:t>
      </w:r>
    </w:p>
    <w:p w:rsidR="00BD7E83" w:rsidRPr="00B06EB1" w:rsidRDefault="00BD7E83" w:rsidP="00BD7E83">
      <w:pPr>
        <w:pStyle w:val="Brdtekst"/>
        <w:ind w:left="851" w:right="414"/>
        <w:rPr>
          <w:sz w:val="24"/>
          <w:szCs w:val="24"/>
        </w:rPr>
      </w:pPr>
      <w:r w:rsidRPr="00B06EB1">
        <w:rPr>
          <w:sz w:val="24"/>
          <w:szCs w:val="24"/>
        </w:rPr>
        <w:t>Nøje overvågning af leverfunktionen (</w:t>
      </w:r>
      <w:proofErr w:type="spellStart"/>
      <w:r w:rsidRPr="00B06EB1">
        <w:rPr>
          <w:sz w:val="24"/>
          <w:szCs w:val="24"/>
        </w:rPr>
        <w:t>aminotransferaser</w:t>
      </w:r>
      <w:proofErr w:type="spellEnd"/>
      <w:r w:rsidRPr="00B06EB1">
        <w:rPr>
          <w:sz w:val="24"/>
          <w:szCs w:val="24"/>
        </w:rPr>
        <w:t xml:space="preserve">) anbefales øjeblikkeligt efter behandlingen med </w:t>
      </w:r>
      <w:proofErr w:type="spellStart"/>
      <w:r w:rsidRPr="00B06EB1">
        <w:rPr>
          <w:sz w:val="24"/>
          <w:szCs w:val="24"/>
        </w:rPr>
        <w:t>amiodaron</w:t>
      </w:r>
      <w:proofErr w:type="spellEnd"/>
      <w:r w:rsidRPr="00B06EB1">
        <w:rPr>
          <w:sz w:val="24"/>
          <w:szCs w:val="24"/>
        </w:rPr>
        <w:t xml:space="preserve"> er påbegyndt og regelmæssigt under behandlingen. Akutte leversygdomme (herunder svær levercelleinsufficiens eller leversvigt, undertiden dødeligt) samt kroniske leversygdomme kan forekomme ved anvendelse af orale og intravenøse formuleringer, og inden for de første 24 timer af </w:t>
      </w:r>
      <w:proofErr w:type="spellStart"/>
      <w:r w:rsidRPr="00B06EB1">
        <w:rPr>
          <w:sz w:val="24"/>
          <w:szCs w:val="24"/>
        </w:rPr>
        <w:t>i.v</w:t>
      </w:r>
      <w:proofErr w:type="spellEnd"/>
      <w:r w:rsidRPr="00B06EB1">
        <w:rPr>
          <w:sz w:val="24"/>
          <w:szCs w:val="24"/>
        </w:rPr>
        <w:t xml:space="preserve">. </w:t>
      </w:r>
      <w:proofErr w:type="spellStart"/>
      <w:r w:rsidRPr="00B06EB1">
        <w:rPr>
          <w:sz w:val="24"/>
          <w:szCs w:val="24"/>
        </w:rPr>
        <w:t>amiodaron</w:t>
      </w:r>
      <w:proofErr w:type="spellEnd"/>
      <w:r w:rsidRPr="00B06EB1">
        <w:rPr>
          <w:sz w:val="24"/>
          <w:szCs w:val="24"/>
        </w:rPr>
        <w:t xml:space="preserve">. Derfor bør </w:t>
      </w:r>
      <w:proofErr w:type="spellStart"/>
      <w:r w:rsidRPr="00B06EB1">
        <w:rPr>
          <w:sz w:val="24"/>
          <w:szCs w:val="24"/>
        </w:rPr>
        <w:t>amiodarondoser</w:t>
      </w:r>
      <w:proofErr w:type="spellEnd"/>
      <w:r w:rsidRPr="00B06EB1">
        <w:rPr>
          <w:sz w:val="24"/>
          <w:szCs w:val="24"/>
        </w:rPr>
        <w:t xml:space="preserve"> reduceres eller behandlingen seponeres, hvis </w:t>
      </w:r>
      <w:proofErr w:type="spellStart"/>
      <w:r w:rsidRPr="00B06EB1">
        <w:rPr>
          <w:sz w:val="24"/>
          <w:szCs w:val="24"/>
        </w:rPr>
        <w:t>transaminotransferaserne</w:t>
      </w:r>
      <w:proofErr w:type="spellEnd"/>
      <w:r w:rsidRPr="00B06EB1">
        <w:rPr>
          <w:sz w:val="24"/>
          <w:szCs w:val="24"/>
        </w:rPr>
        <w:t xml:space="preserve"> stiger til mere end 3 gange normalværdierne.</w:t>
      </w:r>
    </w:p>
    <w:p w:rsidR="00BD7E83" w:rsidRPr="00B06EB1" w:rsidRDefault="00BD7E83" w:rsidP="00BD7E83">
      <w:pPr>
        <w:pStyle w:val="Brdtekst"/>
        <w:spacing w:after="0"/>
        <w:ind w:left="851" w:right="267"/>
        <w:rPr>
          <w:sz w:val="24"/>
          <w:szCs w:val="24"/>
        </w:rPr>
      </w:pPr>
      <w:r w:rsidRPr="00B06EB1">
        <w:rPr>
          <w:sz w:val="24"/>
          <w:szCs w:val="24"/>
        </w:rPr>
        <w:t xml:space="preserve">Kliniske og biologiske tegn på kronisk leversygdom forårsaget af </w:t>
      </w:r>
      <w:proofErr w:type="spellStart"/>
      <w:r w:rsidRPr="00B06EB1">
        <w:rPr>
          <w:sz w:val="24"/>
          <w:szCs w:val="24"/>
        </w:rPr>
        <w:t>amiodaron</w:t>
      </w:r>
      <w:proofErr w:type="spellEnd"/>
      <w:r w:rsidRPr="00B06EB1">
        <w:rPr>
          <w:sz w:val="24"/>
          <w:szCs w:val="24"/>
        </w:rPr>
        <w:t>-tabletter (</w:t>
      </w:r>
      <w:proofErr w:type="spellStart"/>
      <w:r w:rsidRPr="00B06EB1">
        <w:rPr>
          <w:sz w:val="24"/>
          <w:szCs w:val="24"/>
        </w:rPr>
        <w:t>hepatomegali</w:t>
      </w:r>
      <w:proofErr w:type="spellEnd"/>
      <w:r w:rsidRPr="00B06EB1">
        <w:rPr>
          <w:sz w:val="24"/>
          <w:szCs w:val="24"/>
        </w:rPr>
        <w:t xml:space="preserve">, </w:t>
      </w:r>
      <w:proofErr w:type="spellStart"/>
      <w:r w:rsidRPr="00B06EB1">
        <w:rPr>
          <w:sz w:val="24"/>
          <w:szCs w:val="24"/>
        </w:rPr>
        <w:t>aminotransferaser</w:t>
      </w:r>
      <w:proofErr w:type="spellEnd"/>
      <w:r w:rsidRPr="00B06EB1">
        <w:rPr>
          <w:sz w:val="24"/>
          <w:szCs w:val="24"/>
        </w:rPr>
        <w:t xml:space="preserve"> forhøjet til 5 gange normalværdierne) kan være minimale og reversible, men fatale tilfælde er dog rapporteret.</w:t>
      </w:r>
    </w:p>
    <w:p w:rsidR="00BD7E83" w:rsidRPr="00B06EB1" w:rsidRDefault="00BD7E83" w:rsidP="00BD7E83">
      <w:pPr>
        <w:pStyle w:val="Brdtekst"/>
        <w:spacing w:after="0"/>
        <w:ind w:left="851"/>
        <w:rPr>
          <w:sz w:val="24"/>
          <w:szCs w:val="24"/>
        </w:rPr>
      </w:pPr>
    </w:p>
    <w:p w:rsidR="00BD7E83" w:rsidRPr="00B06EB1" w:rsidRDefault="00BD7E83" w:rsidP="00BD7E83">
      <w:pPr>
        <w:spacing w:before="1"/>
        <w:ind w:left="851"/>
        <w:rPr>
          <w:i/>
          <w:szCs w:val="24"/>
        </w:rPr>
      </w:pPr>
      <w:proofErr w:type="spellStart"/>
      <w:r w:rsidRPr="00B06EB1">
        <w:rPr>
          <w:i/>
          <w:szCs w:val="24"/>
        </w:rPr>
        <w:t>Neuromuskulære</w:t>
      </w:r>
      <w:proofErr w:type="spellEnd"/>
      <w:r w:rsidRPr="00B06EB1">
        <w:rPr>
          <w:i/>
          <w:szCs w:val="24"/>
        </w:rPr>
        <w:t xml:space="preserve"> sygdomme (se pkt. 4.8):</w:t>
      </w:r>
    </w:p>
    <w:p w:rsidR="00BD7E83" w:rsidRPr="00B06EB1" w:rsidRDefault="00BD7E83" w:rsidP="00BD7E83">
      <w:pPr>
        <w:pStyle w:val="Brdtekst"/>
        <w:spacing w:after="0"/>
        <w:ind w:left="851" w:right="327"/>
        <w:rPr>
          <w:sz w:val="24"/>
          <w:szCs w:val="24"/>
        </w:rPr>
      </w:pPr>
      <w:proofErr w:type="spellStart"/>
      <w:r w:rsidRPr="00B06EB1">
        <w:rPr>
          <w:sz w:val="24"/>
          <w:szCs w:val="24"/>
        </w:rPr>
        <w:t>Amiodaron</w:t>
      </w:r>
      <w:proofErr w:type="spellEnd"/>
      <w:r w:rsidRPr="00B06EB1">
        <w:rPr>
          <w:sz w:val="24"/>
          <w:szCs w:val="24"/>
        </w:rPr>
        <w:t xml:space="preserve"> kan forårsage perifer sensomotorisk </w:t>
      </w:r>
      <w:proofErr w:type="spellStart"/>
      <w:r w:rsidRPr="00B06EB1">
        <w:rPr>
          <w:sz w:val="24"/>
          <w:szCs w:val="24"/>
        </w:rPr>
        <w:t>neuropati</w:t>
      </w:r>
      <w:proofErr w:type="spellEnd"/>
      <w:r w:rsidRPr="00B06EB1">
        <w:rPr>
          <w:sz w:val="24"/>
          <w:szCs w:val="24"/>
        </w:rPr>
        <w:t xml:space="preserve"> og/eller </w:t>
      </w:r>
      <w:proofErr w:type="spellStart"/>
      <w:r w:rsidRPr="00B06EB1">
        <w:rPr>
          <w:sz w:val="24"/>
          <w:szCs w:val="24"/>
        </w:rPr>
        <w:t>myopati</w:t>
      </w:r>
      <w:proofErr w:type="spellEnd"/>
      <w:r w:rsidRPr="00B06EB1">
        <w:rPr>
          <w:sz w:val="24"/>
          <w:szCs w:val="24"/>
        </w:rPr>
        <w:t xml:space="preserve">. Bedring opnås sædvanligvis i løbet af flere måneder efter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 men kan undertiden være ufuldstændig.</w:t>
      </w:r>
    </w:p>
    <w:p w:rsidR="00BD7E83" w:rsidRPr="00B06EB1" w:rsidRDefault="00BD7E83" w:rsidP="00BD7E83">
      <w:pPr>
        <w:pStyle w:val="Brdtekst"/>
        <w:spacing w:before="11" w:after="0"/>
        <w:ind w:left="851"/>
        <w:rPr>
          <w:sz w:val="24"/>
          <w:szCs w:val="24"/>
        </w:rPr>
      </w:pPr>
    </w:p>
    <w:p w:rsidR="00BD7E83" w:rsidRPr="00B06EB1" w:rsidRDefault="00BD7E83" w:rsidP="00BD7E83">
      <w:pPr>
        <w:ind w:left="851"/>
        <w:rPr>
          <w:i/>
          <w:szCs w:val="24"/>
        </w:rPr>
      </w:pPr>
      <w:r w:rsidRPr="00B06EB1">
        <w:rPr>
          <w:i/>
          <w:szCs w:val="24"/>
        </w:rPr>
        <w:t>Øjensygdomme (se pkt. 4.8):</w:t>
      </w:r>
    </w:p>
    <w:p w:rsidR="00BD7E83" w:rsidRPr="00B06EB1" w:rsidRDefault="00BD7E83" w:rsidP="00BD7E83">
      <w:pPr>
        <w:pStyle w:val="Brdtekst"/>
        <w:spacing w:after="0"/>
        <w:ind w:left="851" w:right="506"/>
        <w:rPr>
          <w:sz w:val="24"/>
          <w:szCs w:val="24"/>
        </w:rPr>
      </w:pPr>
      <w:r w:rsidRPr="00B06EB1">
        <w:rPr>
          <w:sz w:val="24"/>
          <w:szCs w:val="24"/>
        </w:rPr>
        <w:t xml:space="preserve">Der bør omgående udføres en komplet oftalmologisk undersøgelse med </w:t>
      </w:r>
      <w:proofErr w:type="spellStart"/>
      <w:r w:rsidRPr="00B06EB1">
        <w:rPr>
          <w:sz w:val="24"/>
          <w:szCs w:val="24"/>
        </w:rPr>
        <w:t>fundoskopi</w:t>
      </w:r>
      <w:proofErr w:type="spellEnd"/>
      <w:r w:rsidRPr="00B06EB1">
        <w:rPr>
          <w:sz w:val="24"/>
          <w:szCs w:val="24"/>
        </w:rPr>
        <w:t xml:space="preserve">, hvis der opstår uskarpt eller nedsat syn. I tilfælde af optisk </w:t>
      </w:r>
      <w:proofErr w:type="spellStart"/>
      <w:r w:rsidRPr="00B06EB1">
        <w:rPr>
          <w:sz w:val="24"/>
          <w:szCs w:val="24"/>
        </w:rPr>
        <w:t>neuropati</w:t>
      </w:r>
      <w:proofErr w:type="spellEnd"/>
      <w:r w:rsidRPr="00B06EB1">
        <w:rPr>
          <w:sz w:val="24"/>
          <w:szCs w:val="24"/>
        </w:rPr>
        <w:t xml:space="preserve"> og/eller optisk </w:t>
      </w:r>
      <w:proofErr w:type="spellStart"/>
      <w:r w:rsidRPr="00B06EB1">
        <w:rPr>
          <w:sz w:val="24"/>
          <w:szCs w:val="24"/>
        </w:rPr>
        <w:t>neuritis</w:t>
      </w:r>
      <w:proofErr w:type="spellEnd"/>
      <w:r w:rsidRPr="00B06EB1">
        <w:rPr>
          <w:sz w:val="24"/>
          <w:szCs w:val="24"/>
        </w:rPr>
        <w:t xml:space="preserve"> skal </w:t>
      </w:r>
      <w:proofErr w:type="spellStart"/>
      <w:r w:rsidRPr="00B06EB1">
        <w:rPr>
          <w:sz w:val="24"/>
          <w:szCs w:val="24"/>
        </w:rPr>
        <w:t>amiodaron</w:t>
      </w:r>
      <w:proofErr w:type="spellEnd"/>
      <w:r w:rsidRPr="00B06EB1">
        <w:rPr>
          <w:sz w:val="24"/>
          <w:szCs w:val="24"/>
        </w:rPr>
        <w:t xml:space="preserve"> seponeres på grund af muligheden for at udvikle blindhed.</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 xml:space="preserve">Alvorlige </w:t>
      </w:r>
      <w:proofErr w:type="spellStart"/>
      <w:r w:rsidRPr="00B06EB1">
        <w:rPr>
          <w:i/>
          <w:szCs w:val="24"/>
        </w:rPr>
        <w:t>bulløse</w:t>
      </w:r>
      <w:proofErr w:type="spellEnd"/>
      <w:r w:rsidRPr="00B06EB1">
        <w:rPr>
          <w:i/>
          <w:szCs w:val="24"/>
        </w:rPr>
        <w:t xml:space="preserve"> reaktioner (se pkt. 4.8):</w:t>
      </w:r>
    </w:p>
    <w:p w:rsidR="00BD7E83" w:rsidRPr="00B06EB1" w:rsidRDefault="00BD7E83" w:rsidP="00BD7E83">
      <w:pPr>
        <w:pStyle w:val="Brdtekst"/>
        <w:spacing w:after="0"/>
        <w:ind w:left="851"/>
        <w:rPr>
          <w:sz w:val="24"/>
          <w:szCs w:val="24"/>
        </w:rPr>
      </w:pPr>
      <w:r w:rsidRPr="00B06EB1">
        <w:rPr>
          <w:sz w:val="24"/>
          <w:szCs w:val="24"/>
        </w:rPr>
        <w:t xml:space="preserve">Livstruende eller endda fatale hudreaktioner: Stevens-Johnsons syndrom (SJS), toksisk </w:t>
      </w:r>
      <w:proofErr w:type="spellStart"/>
      <w:r w:rsidRPr="00B06EB1">
        <w:rPr>
          <w:sz w:val="24"/>
          <w:szCs w:val="24"/>
        </w:rPr>
        <w:t>epidermal</w:t>
      </w:r>
      <w:proofErr w:type="spellEnd"/>
      <w:r w:rsidRPr="00B06EB1">
        <w:rPr>
          <w:sz w:val="24"/>
          <w:szCs w:val="24"/>
        </w:rPr>
        <w:t xml:space="preserve"> </w:t>
      </w:r>
      <w:proofErr w:type="spellStart"/>
      <w:r w:rsidRPr="00B06EB1">
        <w:rPr>
          <w:sz w:val="24"/>
          <w:szCs w:val="24"/>
        </w:rPr>
        <w:t>nekrolyse</w:t>
      </w:r>
      <w:proofErr w:type="spellEnd"/>
      <w:r w:rsidRPr="00B06EB1">
        <w:rPr>
          <w:sz w:val="24"/>
          <w:szCs w:val="24"/>
        </w:rPr>
        <w:t xml:space="preserve"> (TEN). Hvis symptomer eller tegn på SJS, TEN (f.eks. progressivt</w:t>
      </w:r>
      <w:r>
        <w:rPr>
          <w:sz w:val="24"/>
          <w:szCs w:val="24"/>
        </w:rPr>
        <w:t xml:space="preserve"> </w:t>
      </w:r>
      <w:r w:rsidRPr="00B06EB1">
        <w:rPr>
          <w:sz w:val="24"/>
          <w:szCs w:val="24"/>
        </w:rPr>
        <w:t xml:space="preserve">hududslæt ofte med blærer eller slimhindelæsioner) er til stede, skal </w:t>
      </w:r>
      <w:proofErr w:type="spellStart"/>
      <w:r w:rsidRPr="00B06EB1">
        <w:rPr>
          <w:sz w:val="24"/>
          <w:szCs w:val="24"/>
        </w:rPr>
        <w:t>amiodaronbehandlingen</w:t>
      </w:r>
      <w:proofErr w:type="spellEnd"/>
      <w:r w:rsidRPr="00B06EB1">
        <w:rPr>
          <w:sz w:val="24"/>
          <w:szCs w:val="24"/>
        </w:rPr>
        <w:t xml:space="preserve"> straks seponeres.</w:t>
      </w:r>
    </w:p>
    <w:p w:rsidR="00BD7E83" w:rsidRPr="00B06EB1" w:rsidRDefault="00BD7E83" w:rsidP="00BD7E83">
      <w:pPr>
        <w:pStyle w:val="Brdtekst"/>
        <w:spacing w:before="5" w:after="0"/>
        <w:ind w:left="851"/>
        <w:rPr>
          <w:sz w:val="24"/>
          <w:szCs w:val="24"/>
        </w:rPr>
      </w:pPr>
    </w:p>
    <w:p w:rsidR="00BD7E83" w:rsidRPr="00BD7E83" w:rsidRDefault="00BD7E83" w:rsidP="00BD7E83">
      <w:pPr>
        <w:ind w:firstLine="851"/>
        <w:rPr>
          <w:b/>
        </w:rPr>
      </w:pPr>
      <w:r w:rsidRPr="00BD7E83">
        <w:rPr>
          <w:b/>
        </w:rPr>
        <w:lastRenderedPageBreak/>
        <w:t>Særlige</w:t>
      </w:r>
      <w:r w:rsidRPr="00BD7E83">
        <w:rPr>
          <w:b/>
          <w:spacing w:val="-2"/>
        </w:rPr>
        <w:t xml:space="preserve"> </w:t>
      </w:r>
      <w:r w:rsidRPr="00BD7E83">
        <w:rPr>
          <w:b/>
        </w:rPr>
        <w:t>forsigtighedsregler</w:t>
      </w:r>
      <w:r w:rsidRPr="00BD7E83">
        <w:rPr>
          <w:b/>
        </w:rPr>
        <w:fldChar w:fldCharType="begin"/>
      </w:r>
      <w:r w:rsidRPr="00BD7E83">
        <w:rPr>
          <w:b/>
        </w:rPr>
        <w:instrText xml:space="preserve"> DOCVARIABLE vault_nd_631a1de8-6218-4630-b3d2-e0e5fee5f589 \* MERGEFORMAT </w:instrText>
      </w:r>
      <w:r w:rsidRPr="00BD7E83">
        <w:rPr>
          <w:b/>
        </w:rPr>
        <w:fldChar w:fldCharType="separate"/>
      </w:r>
      <w:r w:rsidRPr="00BD7E83">
        <w:rPr>
          <w:b/>
        </w:rPr>
        <w:t xml:space="preserve"> </w:t>
      </w:r>
      <w:r w:rsidRPr="00BD7E83">
        <w:rPr>
          <w:b/>
        </w:rPr>
        <w:fldChar w:fldCharType="end"/>
      </w:r>
    </w:p>
    <w:p w:rsidR="00BD7E83" w:rsidRPr="00B06EB1" w:rsidRDefault="00BD7E83" w:rsidP="00BD7E83">
      <w:pPr>
        <w:pStyle w:val="Brdtekst"/>
        <w:spacing w:after="0"/>
        <w:ind w:left="851" w:right="581"/>
        <w:rPr>
          <w:sz w:val="24"/>
          <w:szCs w:val="24"/>
        </w:rPr>
      </w:pPr>
      <w:r w:rsidRPr="00B06EB1">
        <w:rPr>
          <w:sz w:val="24"/>
          <w:szCs w:val="24"/>
        </w:rPr>
        <w:t>Eftersom bivirkninger (se pkt. 4.8) normalt er dosisrelaterede, bør den mindste effektive vedligeholdelsesdosis gives.</w:t>
      </w:r>
    </w:p>
    <w:p w:rsidR="00BD7E83" w:rsidRPr="00B06EB1" w:rsidRDefault="00BD7E83" w:rsidP="00BD7E83">
      <w:pPr>
        <w:pStyle w:val="Brdtekst"/>
        <w:spacing w:before="8" w:after="0"/>
        <w:ind w:left="851"/>
        <w:rPr>
          <w:sz w:val="24"/>
          <w:szCs w:val="24"/>
        </w:rPr>
      </w:pPr>
    </w:p>
    <w:p w:rsidR="00BD7E83" w:rsidRPr="00B06EB1" w:rsidRDefault="00BD7E83" w:rsidP="00BD7E83">
      <w:pPr>
        <w:spacing w:before="1"/>
        <w:ind w:left="851"/>
        <w:rPr>
          <w:i/>
          <w:szCs w:val="24"/>
        </w:rPr>
      </w:pPr>
      <w:r w:rsidRPr="00B06EB1">
        <w:rPr>
          <w:i/>
          <w:szCs w:val="24"/>
        </w:rPr>
        <w:t>Solbeskyttelse:</w:t>
      </w:r>
    </w:p>
    <w:p w:rsidR="00BD7E83" w:rsidRPr="00B06EB1" w:rsidRDefault="00BD7E83" w:rsidP="00BD7E83">
      <w:pPr>
        <w:pStyle w:val="Brdtekst"/>
        <w:spacing w:after="0"/>
        <w:ind w:left="851" w:right="340"/>
        <w:rPr>
          <w:sz w:val="24"/>
          <w:szCs w:val="24"/>
        </w:rPr>
      </w:pPr>
      <w:r w:rsidRPr="00B06EB1">
        <w:rPr>
          <w:sz w:val="24"/>
          <w:szCs w:val="24"/>
        </w:rPr>
        <w:t>Patienterne skal informeres om, at de under behandlingen bør undgå solen og anvende solbeskyttelsesmidler (se pkt. 4.8).</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Monitorering (se pkt. 4.4.1 og 4.8):</w:t>
      </w:r>
    </w:p>
    <w:p w:rsidR="00BD7E83" w:rsidRPr="00B06EB1" w:rsidRDefault="00BD7E83" w:rsidP="00BD7E83">
      <w:pPr>
        <w:pStyle w:val="Brdtekst"/>
        <w:spacing w:after="0"/>
        <w:ind w:left="851" w:right="334"/>
        <w:rPr>
          <w:sz w:val="24"/>
          <w:szCs w:val="24"/>
        </w:rPr>
      </w:pPr>
      <w:r w:rsidRPr="00B06EB1">
        <w:rPr>
          <w:sz w:val="24"/>
          <w:szCs w:val="24"/>
        </w:rPr>
        <w:t xml:space="preserve">Det anbefales før start på behandling med </w:t>
      </w:r>
      <w:proofErr w:type="spellStart"/>
      <w:r w:rsidRPr="00B06EB1">
        <w:rPr>
          <w:sz w:val="24"/>
          <w:szCs w:val="24"/>
        </w:rPr>
        <w:t>amiodaron</w:t>
      </w:r>
      <w:proofErr w:type="spellEnd"/>
      <w:r w:rsidRPr="00B06EB1">
        <w:rPr>
          <w:sz w:val="24"/>
          <w:szCs w:val="24"/>
        </w:rPr>
        <w:t xml:space="preserve"> at udføre ekg og bestemme serumkalium. Monitorering af </w:t>
      </w:r>
      <w:proofErr w:type="spellStart"/>
      <w:r w:rsidRPr="00B06EB1">
        <w:rPr>
          <w:sz w:val="24"/>
          <w:szCs w:val="24"/>
        </w:rPr>
        <w:t>aminotransferaser</w:t>
      </w:r>
      <w:proofErr w:type="spellEnd"/>
      <w:r w:rsidRPr="00B06EB1">
        <w:rPr>
          <w:sz w:val="24"/>
          <w:szCs w:val="24"/>
        </w:rPr>
        <w:t xml:space="preserve"> (se pkt. 4.4.1) og ekg anbefales under behandlingen.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302"/>
        <w:rPr>
          <w:sz w:val="24"/>
          <w:szCs w:val="24"/>
        </w:rPr>
      </w:pPr>
      <w:r w:rsidRPr="00B06EB1">
        <w:rPr>
          <w:sz w:val="24"/>
          <w:szCs w:val="24"/>
        </w:rPr>
        <w:t xml:space="preserve">Da </w:t>
      </w:r>
      <w:proofErr w:type="spellStart"/>
      <w:r w:rsidRPr="00B06EB1">
        <w:rPr>
          <w:sz w:val="24"/>
          <w:szCs w:val="24"/>
        </w:rPr>
        <w:t>amiodaron</w:t>
      </w:r>
      <w:proofErr w:type="spellEnd"/>
      <w:r w:rsidRPr="00B06EB1">
        <w:rPr>
          <w:sz w:val="24"/>
          <w:szCs w:val="24"/>
        </w:rPr>
        <w:t xml:space="preserve"> kan give </w:t>
      </w:r>
      <w:proofErr w:type="spellStart"/>
      <w:r w:rsidRPr="00B06EB1">
        <w:rPr>
          <w:sz w:val="24"/>
          <w:szCs w:val="24"/>
        </w:rPr>
        <w:t>hypotyreose</w:t>
      </w:r>
      <w:proofErr w:type="spellEnd"/>
      <w:r w:rsidRPr="00B06EB1">
        <w:rPr>
          <w:sz w:val="24"/>
          <w:szCs w:val="24"/>
        </w:rPr>
        <w:t xml:space="preserve"> eller </w:t>
      </w:r>
      <w:proofErr w:type="spellStart"/>
      <w:r w:rsidRPr="00B06EB1">
        <w:rPr>
          <w:sz w:val="24"/>
          <w:szCs w:val="24"/>
        </w:rPr>
        <w:t>hypertyreose</w:t>
      </w:r>
      <w:proofErr w:type="spellEnd"/>
      <w:r w:rsidRPr="00B06EB1">
        <w:rPr>
          <w:sz w:val="24"/>
          <w:szCs w:val="24"/>
        </w:rPr>
        <w:t xml:space="preserve">, især hos patienter med </w:t>
      </w:r>
      <w:proofErr w:type="spellStart"/>
      <w:r w:rsidRPr="00B06EB1">
        <w:rPr>
          <w:sz w:val="24"/>
          <w:szCs w:val="24"/>
        </w:rPr>
        <w:t>thyroidealidelser</w:t>
      </w:r>
      <w:proofErr w:type="spellEnd"/>
      <w:r w:rsidRPr="00B06EB1">
        <w:rPr>
          <w:sz w:val="24"/>
          <w:szCs w:val="24"/>
        </w:rPr>
        <w:t xml:space="preserve"> i personlig anamnese, anbefales endvidere klinisk og biologisk (</w:t>
      </w:r>
      <w:proofErr w:type="spellStart"/>
      <w:r w:rsidRPr="00B06EB1">
        <w:rPr>
          <w:sz w:val="24"/>
          <w:szCs w:val="24"/>
        </w:rPr>
        <w:t>usTSH</w:t>
      </w:r>
      <w:proofErr w:type="spellEnd"/>
      <w:r w:rsidRPr="00B06EB1">
        <w:rPr>
          <w:sz w:val="24"/>
          <w:szCs w:val="24"/>
        </w:rPr>
        <w:t xml:space="preserve">) monitorering før start på behandling med </w:t>
      </w:r>
      <w:proofErr w:type="spellStart"/>
      <w:r w:rsidRPr="00B06EB1">
        <w:rPr>
          <w:sz w:val="24"/>
          <w:szCs w:val="24"/>
        </w:rPr>
        <w:t>amiodaron</w:t>
      </w:r>
      <w:proofErr w:type="spellEnd"/>
      <w:r w:rsidRPr="00B06EB1">
        <w:rPr>
          <w:sz w:val="24"/>
          <w:szCs w:val="24"/>
        </w:rPr>
        <w:t xml:space="preserve">. Monitoreringen bør udføres under behandlingen og i flere måneder efter </w:t>
      </w:r>
      <w:proofErr w:type="spellStart"/>
      <w:r w:rsidRPr="00B06EB1">
        <w:rPr>
          <w:sz w:val="24"/>
          <w:szCs w:val="24"/>
        </w:rPr>
        <w:t>seponering</w:t>
      </w:r>
      <w:proofErr w:type="spellEnd"/>
      <w:r w:rsidRPr="00B06EB1">
        <w:rPr>
          <w:sz w:val="24"/>
          <w:szCs w:val="24"/>
        </w:rPr>
        <w:t xml:space="preserve"> deraf. Ved mistanke om </w:t>
      </w:r>
      <w:proofErr w:type="spellStart"/>
      <w:r w:rsidRPr="00B06EB1">
        <w:rPr>
          <w:sz w:val="24"/>
          <w:szCs w:val="24"/>
        </w:rPr>
        <w:t>thyroidea</w:t>
      </w:r>
      <w:proofErr w:type="spellEnd"/>
      <w:r w:rsidR="003C0AC1">
        <w:rPr>
          <w:sz w:val="24"/>
          <w:szCs w:val="24"/>
        </w:rPr>
        <w:t>-</w:t>
      </w:r>
      <w:r w:rsidRPr="00B06EB1">
        <w:rPr>
          <w:sz w:val="24"/>
          <w:szCs w:val="24"/>
        </w:rPr>
        <w:t>dysfunktion, skal serum-</w:t>
      </w:r>
      <w:proofErr w:type="spellStart"/>
      <w:r w:rsidRPr="00B06EB1">
        <w:rPr>
          <w:sz w:val="24"/>
          <w:szCs w:val="24"/>
        </w:rPr>
        <w:t>usTSH</w:t>
      </w:r>
      <w:proofErr w:type="spellEnd"/>
      <w:r w:rsidRPr="00B06EB1">
        <w:rPr>
          <w:sz w:val="24"/>
          <w:szCs w:val="24"/>
        </w:rPr>
        <w:t xml:space="preserve"> bestemmes.</w:t>
      </w:r>
    </w:p>
    <w:p w:rsidR="00BD7E83" w:rsidRPr="00B06EB1" w:rsidRDefault="00BD7E83" w:rsidP="00BD7E83">
      <w:pPr>
        <w:pStyle w:val="Brdtekst"/>
        <w:spacing w:before="1" w:after="0"/>
        <w:ind w:left="851" w:right="360"/>
        <w:jc w:val="both"/>
        <w:rPr>
          <w:sz w:val="24"/>
          <w:szCs w:val="24"/>
        </w:rPr>
      </w:pPr>
      <w:r w:rsidRPr="00B06EB1">
        <w:rPr>
          <w:sz w:val="24"/>
          <w:szCs w:val="24"/>
        </w:rPr>
        <w:t xml:space="preserve">Særligt i forbindelse med kronisk administration af </w:t>
      </w:r>
      <w:proofErr w:type="spellStart"/>
      <w:r w:rsidRPr="00B06EB1">
        <w:rPr>
          <w:sz w:val="24"/>
          <w:szCs w:val="24"/>
        </w:rPr>
        <w:t>antiarytmika</w:t>
      </w:r>
      <w:proofErr w:type="spellEnd"/>
      <w:r w:rsidRPr="00B06EB1">
        <w:rPr>
          <w:sz w:val="24"/>
          <w:szCs w:val="24"/>
        </w:rPr>
        <w:t xml:space="preserve"> er der rapporteret tilfælde af øget </w:t>
      </w:r>
      <w:proofErr w:type="spellStart"/>
      <w:r w:rsidRPr="00B06EB1">
        <w:rPr>
          <w:sz w:val="24"/>
          <w:szCs w:val="24"/>
        </w:rPr>
        <w:t>ventrikulær</w:t>
      </w:r>
      <w:proofErr w:type="spellEnd"/>
      <w:r w:rsidRPr="00B06EB1">
        <w:rPr>
          <w:sz w:val="24"/>
          <w:szCs w:val="24"/>
        </w:rPr>
        <w:t xml:space="preserve"> defibrillation og/eller </w:t>
      </w:r>
      <w:proofErr w:type="spellStart"/>
      <w:r w:rsidRPr="00B06EB1">
        <w:rPr>
          <w:sz w:val="24"/>
          <w:szCs w:val="24"/>
        </w:rPr>
        <w:t>pacingtærskel</w:t>
      </w:r>
      <w:proofErr w:type="spellEnd"/>
      <w:r w:rsidRPr="00B06EB1">
        <w:rPr>
          <w:sz w:val="24"/>
          <w:szCs w:val="24"/>
        </w:rPr>
        <w:t xml:space="preserve"> for pacemaker eller en implanteret elektrisk </w:t>
      </w:r>
      <w:proofErr w:type="spellStart"/>
      <w:r w:rsidRPr="00B06EB1">
        <w:rPr>
          <w:sz w:val="24"/>
          <w:szCs w:val="24"/>
        </w:rPr>
        <w:t>defibrilliationsenhed</w:t>
      </w:r>
      <w:proofErr w:type="spellEnd"/>
      <w:r w:rsidRPr="00B06EB1">
        <w:rPr>
          <w:sz w:val="24"/>
          <w:szCs w:val="24"/>
        </w:rPr>
        <w:t xml:space="preserve">, hvilket potentielt kan påvirke disse enheders ydeevne. Derfor anbefales det, at der udføres gentagen kontrol af enhedens funktion før og under </w:t>
      </w:r>
      <w:proofErr w:type="spellStart"/>
      <w:r w:rsidRPr="00B06EB1">
        <w:rPr>
          <w:sz w:val="24"/>
          <w:szCs w:val="24"/>
        </w:rPr>
        <w:t>amiodaronbehandling</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proofErr w:type="spellStart"/>
      <w:r w:rsidRPr="00B06EB1">
        <w:rPr>
          <w:i/>
          <w:szCs w:val="24"/>
        </w:rPr>
        <w:t>Thyroide</w:t>
      </w:r>
      <w:proofErr w:type="spellEnd"/>
      <w:r w:rsidRPr="00B06EB1">
        <w:rPr>
          <w:i/>
          <w:szCs w:val="24"/>
        </w:rPr>
        <w:t xml:space="preserve"> anomalier (se pkt. 4.8):</w:t>
      </w:r>
    </w:p>
    <w:p w:rsidR="00BD7E83" w:rsidRPr="00B06EB1" w:rsidRDefault="00BD7E83" w:rsidP="00BD7E83">
      <w:pPr>
        <w:pStyle w:val="Brdtekst"/>
        <w:spacing w:after="0"/>
        <w:ind w:left="851" w:right="274"/>
        <w:rPr>
          <w:sz w:val="24"/>
          <w:szCs w:val="24"/>
        </w:rPr>
      </w:pPr>
      <w:proofErr w:type="spellStart"/>
      <w:r w:rsidRPr="00B06EB1">
        <w:rPr>
          <w:sz w:val="24"/>
          <w:szCs w:val="24"/>
        </w:rPr>
        <w:t>Amiodaron</w:t>
      </w:r>
      <w:proofErr w:type="spellEnd"/>
      <w:r w:rsidRPr="00B06EB1">
        <w:rPr>
          <w:sz w:val="24"/>
          <w:szCs w:val="24"/>
        </w:rPr>
        <w:t xml:space="preserve"> indeholder </w:t>
      </w:r>
      <w:proofErr w:type="spellStart"/>
      <w:r w:rsidRPr="00B06EB1">
        <w:rPr>
          <w:sz w:val="24"/>
          <w:szCs w:val="24"/>
        </w:rPr>
        <w:t>iod</w:t>
      </w:r>
      <w:proofErr w:type="spellEnd"/>
      <w:r w:rsidRPr="00B06EB1">
        <w:rPr>
          <w:sz w:val="24"/>
          <w:szCs w:val="24"/>
        </w:rPr>
        <w:t xml:space="preserve"> og kan derfor påvirke optagelsen af </w:t>
      </w:r>
      <w:proofErr w:type="spellStart"/>
      <w:r w:rsidRPr="00B06EB1">
        <w:rPr>
          <w:sz w:val="24"/>
          <w:szCs w:val="24"/>
        </w:rPr>
        <w:t>radioiod</w:t>
      </w:r>
      <w:proofErr w:type="spellEnd"/>
      <w:r w:rsidRPr="00B06EB1">
        <w:rPr>
          <w:sz w:val="24"/>
          <w:szCs w:val="24"/>
        </w:rPr>
        <w:t xml:space="preserve">. Imidlertid vil test af </w:t>
      </w:r>
      <w:proofErr w:type="spellStart"/>
      <w:r w:rsidRPr="00B06EB1">
        <w:rPr>
          <w:sz w:val="24"/>
          <w:szCs w:val="24"/>
        </w:rPr>
        <w:t>thyroideafunktionen</w:t>
      </w:r>
      <w:proofErr w:type="spellEnd"/>
      <w:r w:rsidRPr="00B06EB1">
        <w:rPr>
          <w:sz w:val="24"/>
          <w:szCs w:val="24"/>
        </w:rPr>
        <w:t xml:space="preserve"> (frit T3, frit T4, </w:t>
      </w:r>
      <w:proofErr w:type="spellStart"/>
      <w:r w:rsidRPr="00B06EB1">
        <w:rPr>
          <w:sz w:val="24"/>
          <w:szCs w:val="24"/>
        </w:rPr>
        <w:t>usTSH</w:t>
      </w:r>
      <w:proofErr w:type="spellEnd"/>
      <w:r w:rsidRPr="00B06EB1">
        <w:rPr>
          <w:sz w:val="24"/>
          <w:szCs w:val="24"/>
        </w:rPr>
        <w:t xml:space="preserve">) forblive uforandret. </w:t>
      </w:r>
      <w:proofErr w:type="spellStart"/>
      <w:r w:rsidRPr="00B06EB1">
        <w:rPr>
          <w:sz w:val="24"/>
          <w:szCs w:val="24"/>
        </w:rPr>
        <w:t>Amiodaron</w:t>
      </w:r>
      <w:proofErr w:type="spellEnd"/>
      <w:r w:rsidRPr="00B06EB1">
        <w:rPr>
          <w:sz w:val="24"/>
          <w:szCs w:val="24"/>
        </w:rPr>
        <w:t xml:space="preserve"> hæmmer den perifere omdannelse af </w:t>
      </w:r>
      <w:proofErr w:type="spellStart"/>
      <w:r w:rsidRPr="00B06EB1">
        <w:rPr>
          <w:sz w:val="24"/>
          <w:szCs w:val="24"/>
        </w:rPr>
        <w:t>thyroxin</w:t>
      </w:r>
      <w:proofErr w:type="spellEnd"/>
      <w:r w:rsidRPr="00B06EB1">
        <w:rPr>
          <w:sz w:val="24"/>
          <w:szCs w:val="24"/>
        </w:rPr>
        <w:t xml:space="preserve"> (T4) til </w:t>
      </w:r>
      <w:proofErr w:type="spellStart"/>
      <w:r w:rsidRPr="00B06EB1">
        <w:rPr>
          <w:sz w:val="24"/>
          <w:szCs w:val="24"/>
        </w:rPr>
        <w:t>tri-iodthyronin</w:t>
      </w:r>
      <w:proofErr w:type="spellEnd"/>
      <w:r w:rsidRPr="00B06EB1">
        <w:rPr>
          <w:sz w:val="24"/>
          <w:szCs w:val="24"/>
        </w:rPr>
        <w:t xml:space="preserve"> (T3) og kan forårsage isolerede biokemiske forandringer (forøgelse af frit T4 i serum, og lettere nedsat eller endda normal frit T3 i serum) hos patienter med klinisk </w:t>
      </w:r>
      <w:proofErr w:type="spellStart"/>
      <w:r w:rsidRPr="00B06EB1">
        <w:rPr>
          <w:sz w:val="24"/>
          <w:szCs w:val="24"/>
        </w:rPr>
        <w:t>euthyroidisme</w:t>
      </w:r>
      <w:proofErr w:type="spellEnd"/>
      <w:r w:rsidRPr="00B06EB1">
        <w:rPr>
          <w:sz w:val="24"/>
          <w:szCs w:val="24"/>
        </w:rPr>
        <w:t xml:space="preserve">. I sådanne tilfælde er der ingen grund til at seponere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ight="393"/>
        <w:rPr>
          <w:sz w:val="24"/>
          <w:szCs w:val="24"/>
        </w:rPr>
      </w:pPr>
      <w:r w:rsidRPr="00B06EB1">
        <w:rPr>
          <w:sz w:val="24"/>
          <w:szCs w:val="24"/>
        </w:rPr>
        <w:t xml:space="preserve">Der bør opstå mistanke om </w:t>
      </w:r>
      <w:proofErr w:type="spellStart"/>
      <w:r w:rsidRPr="00B06EB1">
        <w:rPr>
          <w:sz w:val="24"/>
          <w:szCs w:val="24"/>
        </w:rPr>
        <w:t>hypotyreose</w:t>
      </w:r>
      <w:proofErr w:type="spellEnd"/>
      <w:r w:rsidRPr="00B06EB1">
        <w:rPr>
          <w:sz w:val="24"/>
          <w:szCs w:val="24"/>
        </w:rPr>
        <w:t>, hvis der forekommer følgende sædvanligvis lette kliniske tegn: vægtøgning, kulde intolerance, reduceret aktivitet, voldsom bradykardi. Diagnosen understøttes af en klar stigning i serum-</w:t>
      </w:r>
      <w:proofErr w:type="spellStart"/>
      <w:r w:rsidRPr="00B06EB1">
        <w:rPr>
          <w:sz w:val="24"/>
          <w:szCs w:val="24"/>
        </w:rPr>
        <w:t>usTSH</w:t>
      </w:r>
      <w:proofErr w:type="spellEnd"/>
      <w:r w:rsidRPr="00B06EB1">
        <w:rPr>
          <w:sz w:val="24"/>
          <w:szCs w:val="24"/>
        </w:rPr>
        <w:t xml:space="preserve">. </w:t>
      </w:r>
      <w:proofErr w:type="spellStart"/>
      <w:r w:rsidRPr="00B06EB1">
        <w:rPr>
          <w:sz w:val="24"/>
          <w:szCs w:val="24"/>
        </w:rPr>
        <w:t>Euthyroidisme</w:t>
      </w:r>
      <w:proofErr w:type="spellEnd"/>
      <w:r w:rsidRPr="00B06EB1">
        <w:rPr>
          <w:sz w:val="24"/>
          <w:szCs w:val="24"/>
        </w:rPr>
        <w:t xml:space="preserve"> opnås sædvanligvis i løbet af 1-3 måneder efter indstilling af behandlingen. I livstruende situationer kan behandlingen med </w:t>
      </w:r>
      <w:proofErr w:type="spellStart"/>
      <w:r w:rsidRPr="00B06EB1">
        <w:rPr>
          <w:sz w:val="24"/>
          <w:szCs w:val="24"/>
        </w:rPr>
        <w:t>amiodaron</w:t>
      </w:r>
      <w:proofErr w:type="spellEnd"/>
      <w:r w:rsidRPr="00B06EB1">
        <w:rPr>
          <w:sz w:val="24"/>
          <w:szCs w:val="24"/>
        </w:rPr>
        <w:t xml:space="preserve"> fortsættes i kombination med L-</w:t>
      </w:r>
      <w:proofErr w:type="spellStart"/>
      <w:r w:rsidRPr="00B06EB1">
        <w:rPr>
          <w:sz w:val="24"/>
          <w:szCs w:val="24"/>
        </w:rPr>
        <w:t>thyroxin</w:t>
      </w:r>
      <w:proofErr w:type="spellEnd"/>
      <w:r w:rsidRPr="00B06EB1">
        <w:rPr>
          <w:sz w:val="24"/>
          <w:szCs w:val="24"/>
        </w:rPr>
        <w:t>. Dosis af L-</w:t>
      </w:r>
      <w:proofErr w:type="spellStart"/>
      <w:r w:rsidRPr="00B06EB1">
        <w:rPr>
          <w:sz w:val="24"/>
          <w:szCs w:val="24"/>
        </w:rPr>
        <w:t>thyroxin</w:t>
      </w:r>
      <w:proofErr w:type="spellEnd"/>
      <w:r w:rsidRPr="00B06EB1">
        <w:rPr>
          <w:sz w:val="24"/>
          <w:szCs w:val="24"/>
        </w:rPr>
        <w:t xml:space="preserve"> justeres i henhold til TSH-niveauet.</w:t>
      </w:r>
    </w:p>
    <w:p w:rsidR="00BD7E83" w:rsidRPr="00B06EB1" w:rsidRDefault="00BD7E83" w:rsidP="00BD7E83">
      <w:pPr>
        <w:pStyle w:val="Brdtekst"/>
        <w:spacing w:after="0"/>
        <w:ind w:left="851"/>
        <w:rPr>
          <w:sz w:val="24"/>
          <w:szCs w:val="24"/>
        </w:rPr>
      </w:pPr>
    </w:p>
    <w:p w:rsidR="00BD7E83" w:rsidRPr="00B06EB1" w:rsidRDefault="00BD7E83" w:rsidP="00BD7E83">
      <w:pPr>
        <w:ind w:left="851"/>
        <w:jc w:val="both"/>
        <w:rPr>
          <w:i/>
          <w:szCs w:val="24"/>
        </w:rPr>
      </w:pPr>
      <w:r w:rsidRPr="00B06EB1">
        <w:rPr>
          <w:i/>
          <w:szCs w:val="24"/>
        </w:rPr>
        <w:t>Pædiatrisk population;</w:t>
      </w:r>
    </w:p>
    <w:p w:rsidR="00BD7E83" w:rsidRPr="00B06EB1" w:rsidRDefault="00BD7E83" w:rsidP="00BD7E83">
      <w:pPr>
        <w:pStyle w:val="Brdtekst"/>
        <w:spacing w:before="1" w:after="0"/>
        <w:ind w:left="851" w:right="528"/>
        <w:rPr>
          <w:sz w:val="24"/>
          <w:szCs w:val="24"/>
        </w:rPr>
      </w:pPr>
      <w:r w:rsidRPr="00B06EB1">
        <w:rPr>
          <w:sz w:val="24"/>
          <w:szCs w:val="24"/>
        </w:rPr>
        <w:t xml:space="preserve">Sikkerhed og effekt af </w:t>
      </w:r>
      <w:proofErr w:type="spellStart"/>
      <w:r w:rsidRPr="00B06EB1">
        <w:rPr>
          <w:sz w:val="24"/>
          <w:szCs w:val="24"/>
        </w:rPr>
        <w:t>amiodaron</w:t>
      </w:r>
      <w:proofErr w:type="spellEnd"/>
      <w:r w:rsidRPr="00B06EB1">
        <w:rPr>
          <w:sz w:val="24"/>
          <w:szCs w:val="24"/>
        </w:rPr>
        <w:t xml:space="preserve"> er ikke undersøgt i pædiatriske patienter. Derfor er anvendelse af </w:t>
      </w:r>
      <w:proofErr w:type="spellStart"/>
      <w:r w:rsidRPr="00B06EB1">
        <w:rPr>
          <w:sz w:val="24"/>
          <w:szCs w:val="24"/>
        </w:rPr>
        <w:t>amiodaron</w:t>
      </w:r>
      <w:proofErr w:type="spellEnd"/>
      <w:r w:rsidRPr="00B06EB1">
        <w:rPr>
          <w:sz w:val="24"/>
          <w:szCs w:val="24"/>
        </w:rPr>
        <w:t xml:space="preserve"> til børn ikke anbefalelsesværdig.</w:t>
      </w:r>
    </w:p>
    <w:p w:rsidR="00BD7E83" w:rsidRPr="00B06EB1" w:rsidRDefault="00BD7E83" w:rsidP="00BD7E83">
      <w:pPr>
        <w:pStyle w:val="Brdtekst"/>
        <w:spacing w:after="0"/>
        <w:ind w:left="851"/>
        <w:rPr>
          <w:sz w:val="24"/>
          <w:szCs w:val="24"/>
        </w:rPr>
      </w:pPr>
    </w:p>
    <w:p w:rsidR="00BD7E83" w:rsidRPr="00B06EB1" w:rsidRDefault="00BD7E83" w:rsidP="00BD7E83">
      <w:pPr>
        <w:ind w:left="851"/>
        <w:jc w:val="both"/>
        <w:rPr>
          <w:i/>
          <w:szCs w:val="24"/>
        </w:rPr>
      </w:pPr>
      <w:r w:rsidRPr="00B06EB1">
        <w:rPr>
          <w:i/>
          <w:szCs w:val="24"/>
        </w:rPr>
        <w:t>Anæstesi (se pkt. 4.5 og 4.8):</w:t>
      </w:r>
    </w:p>
    <w:p w:rsidR="00BD7E83" w:rsidRPr="00B06EB1" w:rsidRDefault="00BD7E83" w:rsidP="00BD7E83">
      <w:pPr>
        <w:pStyle w:val="Brdtekst"/>
        <w:spacing w:after="0"/>
        <w:ind w:left="851"/>
        <w:jc w:val="both"/>
        <w:rPr>
          <w:sz w:val="24"/>
          <w:szCs w:val="24"/>
        </w:rPr>
      </w:pPr>
      <w:r w:rsidRPr="00B06EB1">
        <w:rPr>
          <w:sz w:val="24"/>
          <w:szCs w:val="24"/>
        </w:rPr>
        <w:t xml:space="preserve">Før kirurgi skal anæstesiologen oplyses om, at patienten tager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Alkohol:</w:t>
      </w:r>
    </w:p>
    <w:p w:rsidR="00BD7E83" w:rsidRPr="00B06EB1" w:rsidRDefault="00BD7E83" w:rsidP="00BD7E83">
      <w:pPr>
        <w:pStyle w:val="Brdtekst"/>
        <w:ind w:left="851"/>
        <w:rPr>
          <w:sz w:val="24"/>
          <w:szCs w:val="24"/>
        </w:rPr>
      </w:pPr>
      <w:r w:rsidRPr="00B06EB1">
        <w:rPr>
          <w:sz w:val="24"/>
          <w:szCs w:val="24"/>
        </w:rPr>
        <w:t xml:space="preserve">Patienterne tilrådes at moderere deres forbrug under behandlingen med </w:t>
      </w:r>
      <w:proofErr w:type="spellStart"/>
      <w:r w:rsidRPr="00B06EB1">
        <w:rPr>
          <w:sz w:val="24"/>
          <w:szCs w:val="24"/>
        </w:rPr>
        <w:t>amiodaron</w:t>
      </w:r>
      <w:proofErr w:type="spellEnd"/>
      <w:r>
        <w:rPr>
          <w:sz w:val="24"/>
          <w:szCs w:val="24"/>
        </w:rPr>
        <w:t xml:space="preserve"> </w:t>
      </w:r>
      <w:proofErr w:type="spellStart"/>
      <w:r w:rsidRPr="00B06EB1">
        <w:rPr>
          <w:sz w:val="24"/>
          <w:szCs w:val="24"/>
        </w:rPr>
        <w:t>hydrochlorid</w:t>
      </w:r>
      <w:proofErr w:type="spellEnd"/>
      <w:r w:rsidRPr="00B06EB1">
        <w:rPr>
          <w:sz w:val="24"/>
          <w:szCs w:val="24"/>
        </w:rPr>
        <w:t>, selvom der i litteraturen ikke er rapporteret en forstærkning af alkohols skadelige effekt på leveren.</w:t>
      </w:r>
    </w:p>
    <w:p w:rsidR="00BD7E83" w:rsidRPr="00B06EB1" w:rsidRDefault="00BD7E83" w:rsidP="00BD7E83">
      <w:pPr>
        <w:pStyle w:val="Brdtekst"/>
        <w:spacing w:before="1" w:after="0"/>
        <w:ind w:left="851"/>
        <w:rPr>
          <w:sz w:val="24"/>
          <w:szCs w:val="24"/>
        </w:rPr>
      </w:pPr>
    </w:p>
    <w:p w:rsidR="00BD7E83" w:rsidRPr="00B06EB1" w:rsidRDefault="00BD7E83" w:rsidP="00BD7E83">
      <w:pPr>
        <w:keepNext/>
        <w:ind w:left="851"/>
        <w:rPr>
          <w:i/>
          <w:szCs w:val="24"/>
        </w:rPr>
      </w:pPr>
      <w:r w:rsidRPr="00B06EB1">
        <w:rPr>
          <w:i/>
          <w:szCs w:val="24"/>
        </w:rPr>
        <w:lastRenderedPageBreak/>
        <w:t xml:space="preserve">Indeholder </w:t>
      </w:r>
      <w:proofErr w:type="spellStart"/>
      <w:r w:rsidRPr="00B06EB1">
        <w:rPr>
          <w:i/>
          <w:szCs w:val="24"/>
        </w:rPr>
        <w:t>lactose</w:t>
      </w:r>
      <w:proofErr w:type="spellEnd"/>
      <w:r w:rsidRPr="00B06EB1">
        <w:rPr>
          <w:i/>
          <w:szCs w:val="24"/>
        </w:rPr>
        <w:t>:</w:t>
      </w:r>
    </w:p>
    <w:p w:rsidR="00BD7E83" w:rsidRPr="00B06EB1" w:rsidRDefault="00BD7E83" w:rsidP="00BD7E83">
      <w:pPr>
        <w:pStyle w:val="Brdtekst"/>
        <w:spacing w:after="0"/>
        <w:ind w:left="851" w:right="308"/>
        <w:rPr>
          <w:sz w:val="24"/>
          <w:szCs w:val="24"/>
        </w:rPr>
      </w:pPr>
      <w:r w:rsidRPr="00B06EB1">
        <w:rPr>
          <w:sz w:val="24"/>
          <w:szCs w:val="24"/>
        </w:rPr>
        <w:t xml:space="preserve">Bør ikke anvendes til patienter med hereditær </w:t>
      </w:r>
      <w:proofErr w:type="spellStart"/>
      <w:r w:rsidRPr="00B06EB1">
        <w:rPr>
          <w:sz w:val="24"/>
          <w:szCs w:val="24"/>
        </w:rPr>
        <w:t>galactoseintolerans</w:t>
      </w:r>
      <w:proofErr w:type="spellEnd"/>
      <w:r w:rsidRPr="00B06EB1">
        <w:rPr>
          <w:sz w:val="24"/>
          <w:szCs w:val="24"/>
        </w:rPr>
        <w:t xml:space="preserve">, total </w:t>
      </w:r>
      <w:proofErr w:type="spellStart"/>
      <w:r w:rsidRPr="00B06EB1">
        <w:rPr>
          <w:sz w:val="24"/>
          <w:szCs w:val="24"/>
        </w:rPr>
        <w:t>lactasemangel</w:t>
      </w:r>
      <w:proofErr w:type="spellEnd"/>
      <w:r w:rsidRPr="00B06EB1">
        <w:rPr>
          <w:sz w:val="24"/>
          <w:szCs w:val="24"/>
        </w:rPr>
        <w:t xml:space="preserve"> eller </w:t>
      </w:r>
      <w:proofErr w:type="spellStart"/>
      <w:r w:rsidRPr="00B06EB1">
        <w:rPr>
          <w:sz w:val="24"/>
          <w:szCs w:val="24"/>
        </w:rPr>
        <w:t>glucose</w:t>
      </w:r>
      <w:proofErr w:type="spellEnd"/>
      <w:r w:rsidRPr="00B06EB1">
        <w:rPr>
          <w:sz w:val="24"/>
          <w:szCs w:val="24"/>
        </w:rPr>
        <w:t>/</w:t>
      </w:r>
      <w:proofErr w:type="spellStart"/>
      <w:r w:rsidRPr="00B06EB1">
        <w:rPr>
          <w:sz w:val="24"/>
          <w:szCs w:val="24"/>
        </w:rPr>
        <w:t>galactasemalabsorption</w:t>
      </w:r>
      <w:proofErr w:type="spellEnd"/>
      <w:r w:rsidRPr="00B06EB1">
        <w:rPr>
          <w:sz w:val="24"/>
          <w:szCs w:val="24"/>
        </w:rPr>
        <w:t>.</w:t>
      </w:r>
    </w:p>
    <w:p w:rsidR="00BD7E83" w:rsidRPr="006255D2" w:rsidRDefault="00BD7E83" w:rsidP="00BD7E83">
      <w:pPr>
        <w:tabs>
          <w:tab w:val="left" w:pos="0"/>
          <w:tab w:val="left" w:pos="851"/>
        </w:tabs>
        <w:rPr>
          <w:spacing w:val="-3"/>
        </w:rPr>
      </w:pPr>
    </w:p>
    <w:p w:rsidR="00BD7E83" w:rsidRPr="009B0456" w:rsidRDefault="00BD7E83" w:rsidP="00BD7E83">
      <w:pPr>
        <w:numPr>
          <w:ilvl w:val="1"/>
          <w:numId w:val="10"/>
        </w:numPr>
        <w:jc w:val="both"/>
        <w:rPr>
          <w:b/>
        </w:rPr>
      </w:pPr>
      <w:r w:rsidRPr="009B0456">
        <w:rPr>
          <w:b/>
        </w:rPr>
        <w:t>Interaktion med andre lægemidler og andre former for interaktion</w:t>
      </w:r>
    </w:p>
    <w:p w:rsidR="00BD7E83" w:rsidRPr="00B06EB1" w:rsidRDefault="00BD7E83" w:rsidP="00BD7E83">
      <w:pPr>
        <w:pStyle w:val="Brdtekst"/>
        <w:ind w:left="851"/>
        <w:rPr>
          <w:sz w:val="24"/>
          <w:szCs w:val="24"/>
        </w:rPr>
      </w:pPr>
      <w:proofErr w:type="spellStart"/>
      <w:r w:rsidRPr="00B06EB1">
        <w:rPr>
          <w:sz w:val="24"/>
          <w:szCs w:val="24"/>
          <w:u w:val="single"/>
        </w:rPr>
        <w:t>Farmakodynamiske</w:t>
      </w:r>
      <w:proofErr w:type="spellEnd"/>
      <w:r w:rsidRPr="00B06EB1">
        <w:rPr>
          <w:sz w:val="24"/>
          <w:szCs w:val="24"/>
          <w:u w:val="single"/>
        </w:rPr>
        <w:t xml:space="preserve"> interaktioner</w:t>
      </w:r>
    </w:p>
    <w:p w:rsidR="00BD7E83" w:rsidRPr="00B06EB1" w:rsidRDefault="00BD7E83" w:rsidP="00BD7E83">
      <w:pPr>
        <w:ind w:left="851"/>
        <w:rPr>
          <w:i/>
          <w:szCs w:val="24"/>
        </w:rPr>
      </w:pPr>
      <w:r w:rsidRPr="00B06EB1">
        <w:rPr>
          <w:i/>
          <w:szCs w:val="24"/>
        </w:rPr>
        <w:t xml:space="preserve">Lægemidler, der kan inducere </w:t>
      </w:r>
      <w:proofErr w:type="spellStart"/>
      <w:r w:rsidRPr="00B06EB1">
        <w:rPr>
          <w:i/>
          <w:szCs w:val="24"/>
        </w:rPr>
        <w:t>torsade</w:t>
      </w:r>
      <w:proofErr w:type="spellEnd"/>
      <w:r w:rsidRPr="00B06EB1">
        <w:rPr>
          <w:i/>
          <w:szCs w:val="24"/>
        </w:rPr>
        <w:t xml:space="preserve"> de pointes</w:t>
      </w:r>
    </w:p>
    <w:p w:rsidR="00BD7E83" w:rsidRPr="00B06EB1" w:rsidRDefault="00BD7E83" w:rsidP="00BD7E83">
      <w:pPr>
        <w:pStyle w:val="Brdtekst"/>
        <w:ind w:left="851" w:right="534"/>
        <w:rPr>
          <w:sz w:val="24"/>
          <w:szCs w:val="24"/>
        </w:rPr>
      </w:pPr>
      <w:r w:rsidRPr="00B06EB1">
        <w:rPr>
          <w:sz w:val="24"/>
          <w:szCs w:val="24"/>
        </w:rPr>
        <w:t xml:space="preserve">Kombinationsterapi med lægemidler, der kan </w:t>
      </w:r>
      <w:proofErr w:type="gramStart"/>
      <w:r w:rsidRPr="00B06EB1">
        <w:rPr>
          <w:sz w:val="24"/>
          <w:szCs w:val="24"/>
        </w:rPr>
        <w:t>inducerer</w:t>
      </w:r>
      <w:proofErr w:type="gramEnd"/>
      <w:r w:rsidRPr="00B06EB1">
        <w:rPr>
          <w:sz w:val="24"/>
          <w:szCs w:val="24"/>
        </w:rPr>
        <w:t xml:space="preserve"> </w:t>
      </w:r>
      <w:proofErr w:type="spellStart"/>
      <w:r w:rsidRPr="00B06EB1">
        <w:rPr>
          <w:i/>
          <w:sz w:val="24"/>
          <w:szCs w:val="24"/>
        </w:rPr>
        <w:t>torsade</w:t>
      </w:r>
      <w:proofErr w:type="spellEnd"/>
      <w:r w:rsidRPr="00B06EB1">
        <w:rPr>
          <w:i/>
          <w:sz w:val="24"/>
          <w:szCs w:val="24"/>
        </w:rPr>
        <w:t xml:space="preserve"> de pointes </w:t>
      </w:r>
      <w:r w:rsidRPr="00B06EB1">
        <w:rPr>
          <w:sz w:val="24"/>
          <w:szCs w:val="24"/>
        </w:rPr>
        <w:t>er kontraindiceret (se pkt. 4.3) f.eks.:</w:t>
      </w:r>
    </w:p>
    <w:p w:rsidR="00BD7E83" w:rsidRPr="00B06EB1" w:rsidRDefault="00BD7E83" w:rsidP="00BD7E83">
      <w:pPr>
        <w:pStyle w:val="Listeafsnit"/>
        <w:numPr>
          <w:ilvl w:val="0"/>
          <w:numId w:val="15"/>
        </w:numPr>
        <w:tabs>
          <w:tab w:val="left" w:pos="1246"/>
        </w:tabs>
        <w:spacing w:before="2" w:line="240" w:lineRule="auto"/>
        <w:ind w:left="851" w:firstLine="0"/>
        <w:rPr>
          <w:sz w:val="24"/>
          <w:szCs w:val="24"/>
          <w:lang w:val="da-DK"/>
        </w:rPr>
      </w:pPr>
      <w:r w:rsidRPr="00B06EB1">
        <w:rPr>
          <w:sz w:val="24"/>
          <w:szCs w:val="24"/>
          <w:lang w:val="da-DK"/>
        </w:rPr>
        <w:t xml:space="preserve">Klasse IA </w:t>
      </w:r>
      <w:proofErr w:type="spellStart"/>
      <w:r w:rsidRPr="00B06EB1">
        <w:rPr>
          <w:sz w:val="24"/>
          <w:szCs w:val="24"/>
          <w:lang w:val="da-DK"/>
        </w:rPr>
        <w:t>antiarytmika</w:t>
      </w:r>
      <w:proofErr w:type="spellEnd"/>
      <w:r w:rsidRPr="00B06EB1">
        <w:rPr>
          <w:sz w:val="24"/>
          <w:szCs w:val="24"/>
          <w:lang w:val="da-DK"/>
        </w:rPr>
        <w:t>, f.eks.</w:t>
      </w:r>
      <w:r w:rsidRPr="00B06EB1">
        <w:rPr>
          <w:spacing w:val="1"/>
          <w:sz w:val="24"/>
          <w:szCs w:val="24"/>
          <w:lang w:val="da-DK"/>
        </w:rPr>
        <w:t xml:space="preserve"> </w:t>
      </w:r>
      <w:proofErr w:type="spellStart"/>
      <w:r w:rsidRPr="00B06EB1">
        <w:rPr>
          <w:sz w:val="24"/>
          <w:szCs w:val="24"/>
          <w:lang w:val="da-DK"/>
        </w:rPr>
        <w:t>chinidin</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Klasse III </w:t>
      </w:r>
      <w:proofErr w:type="spellStart"/>
      <w:r w:rsidRPr="00B06EB1">
        <w:rPr>
          <w:sz w:val="24"/>
          <w:szCs w:val="24"/>
          <w:lang w:val="da-DK"/>
        </w:rPr>
        <w:t>antiarytmika</w:t>
      </w:r>
      <w:proofErr w:type="spellEnd"/>
      <w:r w:rsidRPr="00B06EB1">
        <w:rPr>
          <w:sz w:val="24"/>
          <w:szCs w:val="24"/>
          <w:lang w:val="da-DK"/>
        </w:rPr>
        <w:t>, f.eks.</w:t>
      </w:r>
      <w:r w:rsidRPr="00B06EB1">
        <w:rPr>
          <w:spacing w:val="-1"/>
          <w:sz w:val="24"/>
          <w:szCs w:val="24"/>
          <w:lang w:val="da-DK"/>
        </w:rPr>
        <w:t xml:space="preserve"> </w:t>
      </w:r>
      <w:proofErr w:type="spellStart"/>
      <w:r w:rsidRPr="00B06EB1">
        <w:rPr>
          <w:sz w:val="24"/>
          <w:szCs w:val="24"/>
          <w:lang w:val="da-DK"/>
        </w:rPr>
        <w:t>sotalol</w:t>
      </w:r>
      <w:proofErr w:type="spellEnd"/>
    </w:p>
    <w:p w:rsidR="00BD7E83" w:rsidRPr="00B06EB1" w:rsidRDefault="00BD7E83" w:rsidP="00BD7E83">
      <w:pPr>
        <w:pStyle w:val="Listeafsnit"/>
        <w:numPr>
          <w:ilvl w:val="0"/>
          <w:numId w:val="15"/>
        </w:numPr>
        <w:tabs>
          <w:tab w:val="left" w:pos="1246"/>
        </w:tabs>
        <w:spacing w:before="1" w:line="240" w:lineRule="auto"/>
        <w:ind w:left="851" w:firstLine="0"/>
        <w:rPr>
          <w:sz w:val="24"/>
          <w:szCs w:val="24"/>
        </w:rPr>
      </w:pPr>
      <w:r w:rsidRPr="00B06EB1">
        <w:rPr>
          <w:sz w:val="24"/>
          <w:szCs w:val="24"/>
        </w:rPr>
        <w:t>Bepridil</w:t>
      </w:r>
      <w:r w:rsidR="00A07637">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Ikke-antiarytmika</w:t>
      </w:r>
      <w:proofErr w:type="spellEnd"/>
      <w:r w:rsidRPr="00B06EB1">
        <w:rPr>
          <w:sz w:val="24"/>
          <w:szCs w:val="24"/>
        </w:rPr>
        <w:t xml:space="preserve"> </w:t>
      </w:r>
      <w:proofErr w:type="spellStart"/>
      <w:r w:rsidRPr="00B06EB1">
        <w:rPr>
          <w:sz w:val="24"/>
          <w:szCs w:val="24"/>
        </w:rPr>
        <w:t>såsom</w:t>
      </w:r>
      <w:proofErr w:type="spellEnd"/>
      <w:r w:rsidRPr="00B06EB1">
        <w:rPr>
          <w:spacing w:val="-1"/>
          <w:sz w:val="24"/>
          <w:szCs w:val="24"/>
        </w:rPr>
        <w:t xml:space="preserve"> </w:t>
      </w:r>
      <w:proofErr w:type="spellStart"/>
      <w:r w:rsidRPr="00B06EB1">
        <w:rPr>
          <w:sz w:val="24"/>
          <w:szCs w:val="24"/>
        </w:rPr>
        <w:t>vincamin</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Visse</w:t>
      </w:r>
      <w:proofErr w:type="spellEnd"/>
      <w:r w:rsidRPr="00B06EB1">
        <w:rPr>
          <w:sz w:val="24"/>
          <w:szCs w:val="24"/>
        </w:rPr>
        <w:t xml:space="preserve"> </w:t>
      </w:r>
      <w:proofErr w:type="spellStart"/>
      <w:r w:rsidRPr="00B06EB1">
        <w:rPr>
          <w:sz w:val="24"/>
          <w:szCs w:val="24"/>
        </w:rPr>
        <w:t>neuroleptiske</w:t>
      </w:r>
      <w:proofErr w:type="spellEnd"/>
      <w:r w:rsidRPr="00B06EB1">
        <w:rPr>
          <w:spacing w:val="-2"/>
          <w:sz w:val="24"/>
          <w:szCs w:val="24"/>
        </w:rPr>
        <w:t xml:space="preserve"> </w:t>
      </w:r>
      <w:proofErr w:type="spellStart"/>
      <w:r w:rsidRPr="00B06EB1">
        <w:rPr>
          <w:sz w:val="24"/>
          <w:szCs w:val="24"/>
        </w:rPr>
        <w:t>stoffer</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Cisaprid</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Intravenøs</w:t>
      </w:r>
      <w:proofErr w:type="spellEnd"/>
      <w:r w:rsidRPr="00B06EB1">
        <w:rPr>
          <w:sz w:val="24"/>
          <w:szCs w:val="24"/>
        </w:rPr>
        <w:t xml:space="preserve"> erythromycin, co-</w:t>
      </w:r>
      <w:proofErr w:type="spellStart"/>
      <w:r w:rsidRPr="00B06EB1">
        <w:rPr>
          <w:sz w:val="24"/>
          <w:szCs w:val="24"/>
        </w:rPr>
        <w:t>trimoxazol</w:t>
      </w:r>
      <w:proofErr w:type="spellEnd"/>
      <w:r w:rsidRPr="00B06EB1">
        <w:rPr>
          <w:sz w:val="24"/>
          <w:szCs w:val="24"/>
        </w:rPr>
        <w:t xml:space="preserve"> </w:t>
      </w:r>
      <w:proofErr w:type="spellStart"/>
      <w:r w:rsidRPr="00B06EB1">
        <w:rPr>
          <w:sz w:val="24"/>
          <w:szCs w:val="24"/>
        </w:rPr>
        <w:t>eller</w:t>
      </w:r>
      <w:proofErr w:type="spellEnd"/>
      <w:r w:rsidRPr="00B06EB1">
        <w:rPr>
          <w:sz w:val="24"/>
          <w:szCs w:val="24"/>
        </w:rPr>
        <w:t xml:space="preserve"> </w:t>
      </w:r>
      <w:proofErr w:type="spellStart"/>
      <w:r w:rsidRPr="00B06EB1">
        <w:rPr>
          <w:sz w:val="24"/>
          <w:szCs w:val="24"/>
        </w:rPr>
        <w:t>pentamidin</w:t>
      </w:r>
      <w:proofErr w:type="spellEnd"/>
      <w:r w:rsidRPr="00B06EB1">
        <w:rPr>
          <w:spacing w:val="-2"/>
          <w:sz w:val="24"/>
          <w:szCs w:val="24"/>
        </w:rPr>
        <w:t xml:space="preserve"> </w:t>
      </w:r>
      <w:proofErr w:type="spellStart"/>
      <w:r w:rsidRPr="00B06EB1">
        <w:rPr>
          <w:sz w:val="24"/>
          <w:szCs w:val="24"/>
        </w:rPr>
        <w:t>injektion</w:t>
      </w:r>
      <w:proofErr w:type="spellEnd"/>
      <w:r w:rsidRPr="00B06EB1">
        <w:rPr>
          <w:sz w:val="24"/>
          <w:szCs w:val="24"/>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rPr>
      </w:pPr>
      <w:proofErr w:type="spellStart"/>
      <w:r w:rsidRPr="00B06EB1">
        <w:rPr>
          <w:sz w:val="24"/>
          <w:szCs w:val="24"/>
        </w:rPr>
        <w:t>Antipsykotika</w:t>
      </w:r>
      <w:proofErr w:type="spellEnd"/>
      <w:r w:rsidRPr="00B06EB1">
        <w:rPr>
          <w:sz w:val="24"/>
          <w:szCs w:val="24"/>
        </w:rPr>
        <w:t xml:space="preserve">, </w:t>
      </w:r>
      <w:proofErr w:type="spellStart"/>
      <w:r w:rsidRPr="00B06EB1">
        <w:rPr>
          <w:sz w:val="24"/>
          <w:szCs w:val="24"/>
        </w:rPr>
        <w:t>f.eks</w:t>
      </w:r>
      <w:proofErr w:type="spellEnd"/>
      <w:r w:rsidRPr="00B06EB1">
        <w:rPr>
          <w:sz w:val="24"/>
          <w:szCs w:val="24"/>
        </w:rPr>
        <w:t xml:space="preserve">. </w:t>
      </w:r>
      <w:proofErr w:type="spellStart"/>
      <w:r w:rsidRPr="00B06EB1">
        <w:rPr>
          <w:sz w:val="24"/>
          <w:szCs w:val="24"/>
        </w:rPr>
        <w:t>chlorpromazin</w:t>
      </w:r>
      <w:proofErr w:type="spellEnd"/>
      <w:r w:rsidRPr="00B06EB1">
        <w:rPr>
          <w:sz w:val="24"/>
          <w:szCs w:val="24"/>
        </w:rPr>
        <w:t xml:space="preserve">, </w:t>
      </w:r>
      <w:proofErr w:type="spellStart"/>
      <w:r w:rsidRPr="00B06EB1">
        <w:rPr>
          <w:sz w:val="24"/>
          <w:szCs w:val="24"/>
        </w:rPr>
        <w:t>thioridazin</w:t>
      </w:r>
      <w:proofErr w:type="spellEnd"/>
      <w:r w:rsidRPr="00B06EB1">
        <w:rPr>
          <w:sz w:val="24"/>
          <w:szCs w:val="24"/>
        </w:rPr>
        <w:t xml:space="preserve">, </w:t>
      </w:r>
      <w:proofErr w:type="spellStart"/>
      <w:r w:rsidRPr="00B06EB1">
        <w:rPr>
          <w:sz w:val="24"/>
          <w:szCs w:val="24"/>
        </w:rPr>
        <w:t>pimozid</w:t>
      </w:r>
      <w:proofErr w:type="spellEnd"/>
      <w:r w:rsidRPr="00B06EB1">
        <w:rPr>
          <w:sz w:val="24"/>
          <w:szCs w:val="24"/>
        </w:rPr>
        <w:t>,</w:t>
      </w:r>
      <w:r w:rsidRPr="00B06EB1">
        <w:rPr>
          <w:spacing w:val="-2"/>
          <w:sz w:val="24"/>
          <w:szCs w:val="24"/>
        </w:rPr>
        <w:t xml:space="preserve"> </w:t>
      </w:r>
      <w:r w:rsidRPr="00B06EB1">
        <w:rPr>
          <w:sz w:val="24"/>
          <w:szCs w:val="24"/>
        </w:rPr>
        <w:t>haloperidol.</w:t>
      </w:r>
    </w:p>
    <w:p w:rsidR="00BD7E83" w:rsidRPr="00B06EB1" w:rsidRDefault="00BD7E83" w:rsidP="00BD7E83">
      <w:pPr>
        <w:pStyle w:val="Listeafsnit"/>
        <w:numPr>
          <w:ilvl w:val="0"/>
          <w:numId w:val="15"/>
        </w:numPr>
        <w:tabs>
          <w:tab w:val="left" w:pos="1246"/>
        </w:tabs>
        <w:spacing w:before="1" w:line="240" w:lineRule="auto"/>
        <w:ind w:left="851" w:firstLine="0"/>
        <w:rPr>
          <w:sz w:val="24"/>
          <w:szCs w:val="24"/>
          <w:lang w:val="da-DK"/>
        </w:rPr>
      </w:pPr>
      <w:proofErr w:type="spellStart"/>
      <w:r w:rsidRPr="00B06EB1">
        <w:rPr>
          <w:sz w:val="24"/>
          <w:szCs w:val="24"/>
          <w:lang w:val="da-DK"/>
        </w:rPr>
        <w:t>Lithium</w:t>
      </w:r>
      <w:proofErr w:type="spellEnd"/>
      <w:r w:rsidRPr="00B06EB1">
        <w:rPr>
          <w:sz w:val="24"/>
          <w:szCs w:val="24"/>
          <w:lang w:val="da-DK"/>
        </w:rPr>
        <w:t xml:space="preserve"> og tricykliske </w:t>
      </w:r>
      <w:proofErr w:type="spellStart"/>
      <w:r w:rsidRPr="00B06EB1">
        <w:rPr>
          <w:sz w:val="24"/>
          <w:szCs w:val="24"/>
          <w:lang w:val="da-DK"/>
        </w:rPr>
        <w:t>antidepressiva</w:t>
      </w:r>
      <w:proofErr w:type="spellEnd"/>
      <w:r w:rsidRPr="00B06EB1">
        <w:rPr>
          <w:sz w:val="24"/>
          <w:szCs w:val="24"/>
          <w:lang w:val="da-DK"/>
        </w:rPr>
        <w:t xml:space="preserve">, f.eks. </w:t>
      </w:r>
      <w:proofErr w:type="spellStart"/>
      <w:r w:rsidRPr="00B06EB1">
        <w:rPr>
          <w:sz w:val="24"/>
          <w:szCs w:val="24"/>
          <w:lang w:val="da-DK"/>
        </w:rPr>
        <w:t>doxepin</w:t>
      </w:r>
      <w:proofErr w:type="spellEnd"/>
      <w:r w:rsidRPr="00B06EB1">
        <w:rPr>
          <w:sz w:val="24"/>
          <w:szCs w:val="24"/>
          <w:lang w:val="da-DK"/>
        </w:rPr>
        <w:t xml:space="preserve">, </w:t>
      </w:r>
      <w:proofErr w:type="spellStart"/>
      <w:r w:rsidRPr="00B06EB1">
        <w:rPr>
          <w:sz w:val="24"/>
          <w:szCs w:val="24"/>
          <w:lang w:val="da-DK"/>
        </w:rPr>
        <w:t>maprotilin</w:t>
      </w:r>
      <w:proofErr w:type="spellEnd"/>
      <w:r w:rsidRPr="00B06EB1">
        <w:rPr>
          <w:sz w:val="24"/>
          <w:szCs w:val="24"/>
          <w:lang w:val="da-DK"/>
        </w:rPr>
        <w:t>,</w:t>
      </w:r>
      <w:r w:rsidRPr="00B06EB1">
        <w:rPr>
          <w:spacing w:val="-6"/>
          <w:sz w:val="24"/>
          <w:szCs w:val="24"/>
          <w:lang w:val="da-DK"/>
        </w:rPr>
        <w:t xml:space="preserve"> </w:t>
      </w:r>
      <w:proofErr w:type="spellStart"/>
      <w:r w:rsidRPr="00B06EB1">
        <w:rPr>
          <w:sz w:val="24"/>
          <w:szCs w:val="24"/>
          <w:lang w:val="da-DK"/>
        </w:rPr>
        <w:t>amitriptylin</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Visse antihistaminer, f.eks. </w:t>
      </w:r>
      <w:proofErr w:type="spellStart"/>
      <w:r w:rsidRPr="00B06EB1">
        <w:rPr>
          <w:sz w:val="24"/>
          <w:szCs w:val="24"/>
          <w:lang w:val="da-DK"/>
        </w:rPr>
        <w:t>terfenadin</w:t>
      </w:r>
      <w:proofErr w:type="spellEnd"/>
      <w:r w:rsidRPr="00B06EB1">
        <w:rPr>
          <w:sz w:val="24"/>
          <w:szCs w:val="24"/>
          <w:lang w:val="da-DK"/>
        </w:rPr>
        <w:t>,</w:t>
      </w:r>
      <w:r w:rsidRPr="00B06EB1">
        <w:rPr>
          <w:spacing w:val="-1"/>
          <w:sz w:val="24"/>
          <w:szCs w:val="24"/>
          <w:lang w:val="da-DK"/>
        </w:rPr>
        <w:t xml:space="preserve"> </w:t>
      </w:r>
      <w:proofErr w:type="spellStart"/>
      <w:r w:rsidRPr="00B06EB1">
        <w:rPr>
          <w:sz w:val="24"/>
          <w:szCs w:val="24"/>
          <w:lang w:val="da-DK"/>
        </w:rPr>
        <w:t>mizolastin</w:t>
      </w:r>
      <w:proofErr w:type="spellEnd"/>
      <w:r w:rsidRPr="00B06EB1">
        <w:rPr>
          <w:sz w:val="24"/>
          <w:szCs w:val="24"/>
          <w:lang w:val="da-DK"/>
        </w:rPr>
        <w:t>.</w:t>
      </w:r>
    </w:p>
    <w:p w:rsidR="00BD7E83" w:rsidRPr="00D24A67" w:rsidRDefault="00BD7E83" w:rsidP="00BD7E83">
      <w:pPr>
        <w:pStyle w:val="Listeafsnit"/>
        <w:numPr>
          <w:ilvl w:val="0"/>
          <w:numId w:val="15"/>
        </w:numPr>
        <w:tabs>
          <w:tab w:val="left" w:pos="1246"/>
        </w:tabs>
        <w:spacing w:line="240" w:lineRule="auto"/>
        <w:ind w:left="851" w:firstLine="0"/>
        <w:rPr>
          <w:sz w:val="24"/>
          <w:szCs w:val="24"/>
          <w:lang w:val="es-ES"/>
        </w:rPr>
      </w:pPr>
      <w:r w:rsidRPr="00D24A67">
        <w:rPr>
          <w:sz w:val="24"/>
          <w:szCs w:val="24"/>
          <w:lang w:val="es-ES"/>
        </w:rPr>
        <w:t>Antimalaria midler, f.eks. chinin, mefloquin,</w:t>
      </w:r>
      <w:r w:rsidRPr="00D24A67">
        <w:rPr>
          <w:spacing w:val="-1"/>
          <w:sz w:val="24"/>
          <w:szCs w:val="24"/>
          <w:lang w:val="es-ES"/>
        </w:rPr>
        <w:t xml:space="preserve"> </w:t>
      </w:r>
      <w:r w:rsidRPr="00D24A67">
        <w:rPr>
          <w:sz w:val="24"/>
          <w:szCs w:val="24"/>
          <w:lang w:val="es-ES"/>
        </w:rPr>
        <w:t>chloroquin.</w:t>
      </w:r>
    </w:p>
    <w:p w:rsidR="00BD7E83" w:rsidRPr="00D24A67" w:rsidRDefault="00BD7E83" w:rsidP="00BD7E83">
      <w:pPr>
        <w:ind w:left="851"/>
        <w:rPr>
          <w:i/>
          <w:szCs w:val="24"/>
          <w:lang w:val="es-ES"/>
        </w:rPr>
      </w:pPr>
    </w:p>
    <w:p w:rsidR="00BD7E83" w:rsidRPr="00B06EB1" w:rsidRDefault="00BD7E83" w:rsidP="00BD7E83">
      <w:pPr>
        <w:ind w:left="851"/>
        <w:rPr>
          <w:i/>
          <w:szCs w:val="24"/>
        </w:rPr>
      </w:pPr>
      <w:r w:rsidRPr="00B06EB1">
        <w:rPr>
          <w:i/>
          <w:szCs w:val="24"/>
        </w:rPr>
        <w:t>Lægemidler, der kan inducere QT-forlængelse</w:t>
      </w:r>
    </w:p>
    <w:p w:rsidR="00BD7E83" w:rsidRPr="00B06EB1" w:rsidRDefault="00BD7E83" w:rsidP="00BD7E83">
      <w:pPr>
        <w:pStyle w:val="Brdtekst"/>
        <w:spacing w:after="0"/>
        <w:ind w:left="851" w:right="580"/>
        <w:rPr>
          <w:sz w:val="24"/>
          <w:szCs w:val="24"/>
        </w:rPr>
      </w:pPr>
      <w:r w:rsidRPr="00B06EB1">
        <w:rPr>
          <w:sz w:val="24"/>
          <w:szCs w:val="24"/>
        </w:rPr>
        <w:t xml:space="preserve">Kombinationsterapi med lægemidler, der kan forlænge QT intervallet skal baseres på en omhyggelig afvejning af potentielle risici og fordele for hver patient, da risikoen for </w:t>
      </w:r>
      <w:proofErr w:type="spellStart"/>
      <w:r w:rsidRPr="00B06EB1">
        <w:rPr>
          <w:i/>
          <w:sz w:val="24"/>
          <w:szCs w:val="24"/>
        </w:rPr>
        <w:t>torsade</w:t>
      </w:r>
      <w:proofErr w:type="spellEnd"/>
      <w:r w:rsidRPr="00B06EB1">
        <w:rPr>
          <w:i/>
          <w:sz w:val="24"/>
          <w:szCs w:val="24"/>
        </w:rPr>
        <w:t xml:space="preserve"> de pointes </w:t>
      </w:r>
      <w:r w:rsidRPr="00B06EB1">
        <w:rPr>
          <w:sz w:val="24"/>
          <w:szCs w:val="24"/>
        </w:rPr>
        <w:t>kan være øget (se pkt. 4.4.1) og patienter skal monitoreres for QT-forlængelser.</w:t>
      </w:r>
    </w:p>
    <w:p w:rsidR="00BD7E83" w:rsidRPr="00B06EB1" w:rsidRDefault="00BD7E83" w:rsidP="00BD7E83">
      <w:pPr>
        <w:pStyle w:val="Brdtekst"/>
        <w:spacing w:before="1" w:after="0"/>
        <w:ind w:left="851"/>
        <w:rPr>
          <w:sz w:val="24"/>
          <w:szCs w:val="24"/>
        </w:rPr>
      </w:pPr>
    </w:p>
    <w:p w:rsidR="00BD7E83" w:rsidRPr="00B06EB1" w:rsidRDefault="00BD7E83" w:rsidP="00BD7E83">
      <w:pPr>
        <w:pStyle w:val="Brdtekst"/>
        <w:spacing w:after="0"/>
        <w:ind w:left="851"/>
        <w:rPr>
          <w:sz w:val="24"/>
          <w:szCs w:val="24"/>
        </w:rPr>
      </w:pPr>
      <w:proofErr w:type="spellStart"/>
      <w:r w:rsidRPr="00B06EB1">
        <w:rPr>
          <w:sz w:val="24"/>
          <w:szCs w:val="24"/>
        </w:rPr>
        <w:t>Fluoroquinoloner</w:t>
      </w:r>
      <w:proofErr w:type="spellEnd"/>
      <w:r w:rsidRPr="00B06EB1">
        <w:rPr>
          <w:sz w:val="24"/>
          <w:szCs w:val="24"/>
        </w:rPr>
        <w:t xml:space="preserve"> bør undgås hos patienter, der får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ind w:left="851" w:right="339"/>
        <w:rPr>
          <w:i/>
          <w:szCs w:val="24"/>
        </w:rPr>
      </w:pPr>
      <w:r w:rsidRPr="00B06EB1">
        <w:rPr>
          <w:i/>
          <w:szCs w:val="24"/>
        </w:rPr>
        <w:t xml:space="preserve">Lægemidler, der sænker hjertefrekvensen, der forårsager </w:t>
      </w:r>
      <w:proofErr w:type="spellStart"/>
      <w:r w:rsidRPr="00B06EB1">
        <w:rPr>
          <w:i/>
          <w:szCs w:val="24"/>
        </w:rPr>
        <w:t>automaticitet</w:t>
      </w:r>
      <w:proofErr w:type="spellEnd"/>
      <w:r w:rsidRPr="00B06EB1">
        <w:rPr>
          <w:i/>
          <w:szCs w:val="24"/>
        </w:rPr>
        <w:t xml:space="preserve"> eller overledningsforstyrrelser</w:t>
      </w:r>
    </w:p>
    <w:p w:rsidR="00BD7E83" w:rsidRPr="00B06EB1" w:rsidRDefault="00BD7E83" w:rsidP="00BD7E83">
      <w:pPr>
        <w:pStyle w:val="Brdtekst"/>
        <w:ind w:left="851"/>
        <w:rPr>
          <w:sz w:val="24"/>
          <w:szCs w:val="24"/>
        </w:rPr>
      </w:pPr>
      <w:r w:rsidRPr="00B06EB1">
        <w:rPr>
          <w:sz w:val="24"/>
          <w:szCs w:val="24"/>
        </w:rPr>
        <w:t>Kombinationsterapi med følgende lægemidler kan ikke anbefales:</w:t>
      </w:r>
    </w:p>
    <w:p w:rsidR="00BD7E83" w:rsidRPr="00B06EB1" w:rsidRDefault="00BD7E83" w:rsidP="00BD7E83">
      <w:pPr>
        <w:pStyle w:val="Listeafsnit"/>
        <w:numPr>
          <w:ilvl w:val="0"/>
          <w:numId w:val="15"/>
        </w:numPr>
        <w:tabs>
          <w:tab w:val="left" w:pos="1134"/>
        </w:tabs>
        <w:spacing w:before="4" w:line="240" w:lineRule="auto"/>
        <w:ind w:left="1134" w:right="490" w:hanging="283"/>
        <w:rPr>
          <w:sz w:val="24"/>
          <w:szCs w:val="24"/>
          <w:lang w:val="da-DK"/>
        </w:rPr>
      </w:pPr>
      <w:r w:rsidRPr="00B06EB1">
        <w:rPr>
          <w:sz w:val="24"/>
          <w:szCs w:val="24"/>
          <w:lang w:val="da-DK"/>
        </w:rPr>
        <w:t>Beta-</w:t>
      </w:r>
      <w:proofErr w:type="spellStart"/>
      <w:r w:rsidRPr="00B06EB1">
        <w:rPr>
          <w:sz w:val="24"/>
          <w:szCs w:val="24"/>
          <w:lang w:val="da-DK"/>
        </w:rPr>
        <w:t>blokkere</w:t>
      </w:r>
      <w:proofErr w:type="spellEnd"/>
      <w:r w:rsidRPr="00B06EB1">
        <w:rPr>
          <w:sz w:val="24"/>
          <w:szCs w:val="24"/>
          <w:lang w:val="da-DK"/>
        </w:rPr>
        <w:t xml:space="preserve"> og hjertefrekvenssænkende calciumantagonister (</w:t>
      </w:r>
      <w:proofErr w:type="spellStart"/>
      <w:r w:rsidRPr="00B06EB1">
        <w:rPr>
          <w:sz w:val="24"/>
          <w:szCs w:val="24"/>
          <w:lang w:val="da-DK"/>
        </w:rPr>
        <w:t>verapamil</w:t>
      </w:r>
      <w:proofErr w:type="spellEnd"/>
      <w:r w:rsidRPr="00B06EB1">
        <w:rPr>
          <w:sz w:val="24"/>
          <w:szCs w:val="24"/>
          <w:lang w:val="da-DK"/>
        </w:rPr>
        <w:t xml:space="preserve">, </w:t>
      </w:r>
      <w:proofErr w:type="spellStart"/>
      <w:r w:rsidRPr="00B06EB1">
        <w:rPr>
          <w:sz w:val="24"/>
          <w:szCs w:val="24"/>
          <w:lang w:val="da-DK"/>
        </w:rPr>
        <w:t>diltiazem</w:t>
      </w:r>
      <w:proofErr w:type="spellEnd"/>
      <w:r w:rsidRPr="00B06EB1">
        <w:rPr>
          <w:sz w:val="24"/>
          <w:szCs w:val="24"/>
          <w:lang w:val="da-DK"/>
        </w:rPr>
        <w:t xml:space="preserve">), da der kan opstå </w:t>
      </w:r>
      <w:proofErr w:type="spellStart"/>
      <w:r w:rsidRPr="00B06EB1">
        <w:rPr>
          <w:sz w:val="24"/>
          <w:szCs w:val="24"/>
          <w:lang w:val="da-DK"/>
        </w:rPr>
        <w:t>automaticitet</w:t>
      </w:r>
      <w:proofErr w:type="spellEnd"/>
      <w:r w:rsidRPr="00B06EB1">
        <w:rPr>
          <w:sz w:val="24"/>
          <w:szCs w:val="24"/>
          <w:lang w:val="da-DK"/>
        </w:rPr>
        <w:t xml:space="preserve"> (voldsom bradykardi) og</w:t>
      </w:r>
      <w:r w:rsidRPr="00B06EB1">
        <w:rPr>
          <w:spacing w:val="-9"/>
          <w:sz w:val="24"/>
          <w:szCs w:val="24"/>
          <w:lang w:val="da-DK"/>
        </w:rPr>
        <w:t xml:space="preserve"> </w:t>
      </w:r>
      <w:r w:rsidRPr="00B06EB1">
        <w:rPr>
          <w:sz w:val="24"/>
          <w:szCs w:val="24"/>
          <w:lang w:val="da-DK"/>
        </w:rPr>
        <w:t>overledningsforstyrrelser.</w:t>
      </w:r>
    </w:p>
    <w:p w:rsidR="00BD7E83" w:rsidRPr="00B06EB1" w:rsidRDefault="00BD7E83" w:rsidP="00BD7E83">
      <w:pPr>
        <w:pStyle w:val="Brdtekst"/>
        <w:ind w:left="851"/>
        <w:rPr>
          <w:sz w:val="24"/>
          <w:szCs w:val="24"/>
        </w:rPr>
      </w:pPr>
    </w:p>
    <w:p w:rsidR="00BD7E83" w:rsidRPr="00B06EB1" w:rsidRDefault="00BD7E83" w:rsidP="00BD7E83">
      <w:pPr>
        <w:spacing w:before="1"/>
        <w:ind w:left="851"/>
        <w:rPr>
          <w:i/>
          <w:szCs w:val="24"/>
        </w:rPr>
      </w:pPr>
      <w:r w:rsidRPr="00B06EB1">
        <w:rPr>
          <w:i/>
          <w:szCs w:val="24"/>
        </w:rPr>
        <w:t xml:space="preserve">Lægemidler, som kan inducere </w:t>
      </w:r>
      <w:proofErr w:type="spellStart"/>
      <w:r w:rsidRPr="00B06EB1">
        <w:rPr>
          <w:i/>
          <w:szCs w:val="24"/>
        </w:rPr>
        <w:t>hypokaliæmi</w:t>
      </w:r>
      <w:proofErr w:type="spellEnd"/>
      <w:r w:rsidRPr="00B06EB1">
        <w:rPr>
          <w:i/>
          <w:szCs w:val="24"/>
        </w:rPr>
        <w:t>:</w:t>
      </w:r>
    </w:p>
    <w:p w:rsidR="00BD7E83" w:rsidRPr="00B06EB1" w:rsidRDefault="00BD7E83" w:rsidP="00BD7E83">
      <w:pPr>
        <w:pStyle w:val="Brdtekst"/>
        <w:ind w:left="851"/>
        <w:rPr>
          <w:sz w:val="24"/>
          <w:szCs w:val="24"/>
        </w:rPr>
      </w:pPr>
      <w:r w:rsidRPr="00B06EB1">
        <w:rPr>
          <w:sz w:val="24"/>
          <w:szCs w:val="24"/>
        </w:rPr>
        <w:t>Kombinationsterapi med følgende lægemidler kan ikke anbefales:</w:t>
      </w:r>
    </w:p>
    <w:p w:rsidR="00BD7E83" w:rsidRPr="00216AB6" w:rsidRDefault="00BD7E83" w:rsidP="00BD7E83">
      <w:pPr>
        <w:pStyle w:val="Listeafsnit"/>
        <w:numPr>
          <w:ilvl w:val="0"/>
          <w:numId w:val="15"/>
        </w:numPr>
        <w:tabs>
          <w:tab w:val="left" w:pos="1276"/>
        </w:tabs>
        <w:spacing w:before="4" w:line="240" w:lineRule="auto"/>
        <w:ind w:left="1276" w:right="344" w:hanging="425"/>
        <w:rPr>
          <w:sz w:val="24"/>
          <w:szCs w:val="24"/>
          <w:lang w:val="da-DK"/>
        </w:rPr>
      </w:pPr>
      <w:r w:rsidRPr="00B06EB1">
        <w:rPr>
          <w:sz w:val="24"/>
          <w:szCs w:val="24"/>
          <w:lang w:val="da-DK"/>
        </w:rPr>
        <w:t xml:space="preserve">Stimulerende </w:t>
      </w:r>
      <w:proofErr w:type="spellStart"/>
      <w:r w:rsidRPr="00B06EB1">
        <w:rPr>
          <w:sz w:val="24"/>
          <w:szCs w:val="24"/>
          <w:lang w:val="da-DK"/>
        </w:rPr>
        <w:t>laksantia</w:t>
      </w:r>
      <w:proofErr w:type="spellEnd"/>
      <w:r w:rsidRPr="00B06EB1">
        <w:rPr>
          <w:sz w:val="24"/>
          <w:szCs w:val="24"/>
          <w:lang w:val="da-DK"/>
        </w:rPr>
        <w:t xml:space="preserve">, som kan give </w:t>
      </w:r>
      <w:proofErr w:type="spellStart"/>
      <w:r w:rsidRPr="00B06EB1">
        <w:rPr>
          <w:sz w:val="24"/>
          <w:szCs w:val="24"/>
          <w:lang w:val="da-DK"/>
        </w:rPr>
        <w:t>hypokaliæmi</w:t>
      </w:r>
      <w:proofErr w:type="spellEnd"/>
      <w:r w:rsidRPr="00B06EB1">
        <w:rPr>
          <w:sz w:val="24"/>
          <w:szCs w:val="24"/>
          <w:lang w:val="da-DK"/>
        </w:rPr>
        <w:t xml:space="preserve">, hvorved risikoen for </w:t>
      </w:r>
      <w:proofErr w:type="spellStart"/>
      <w:r w:rsidRPr="00B06EB1">
        <w:rPr>
          <w:i/>
          <w:sz w:val="24"/>
          <w:szCs w:val="24"/>
          <w:lang w:val="da-DK"/>
        </w:rPr>
        <w:t>torsade</w:t>
      </w:r>
      <w:proofErr w:type="spellEnd"/>
      <w:r w:rsidRPr="00B06EB1">
        <w:rPr>
          <w:i/>
          <w:sz w:val="24"/>
          <w:szCs w:val="24"/>
          <w:lang w:val="da-DK"/>
        </w:rPr>
        <w:t xml:space="preserve"> de pointes </w:t>
      </w:r>
      <w:r w:rsidRPr="00B06EB1">
        <w:rPr>
          <w:sz w:val="24"/>
          <w:szCs w:val="24"/>
          <w:lang w:val="da-DK"/>
        </w:rPr>
        <w:t xml:space="preserve">øges. </w:t>
      </w:r>
      <w:r w:rsidRPr="00216AB6">
        <w:rPr>
          <w:sz w:val="24"/>
          <w:szCs w:val="24"/>
          <w:lang w:val="da-DK"/>
        </w:rPr>
        <w:t xml:space="preserve">Andre former for </w:t>
      </w:r>
      <w:proofErr w:type="spellStart"/>
      <w:r w:rsidRPr="00216AB6">
        <w:rPr>
          <w:sz w:val="24"/>
          <w:szCs w:val="24"/>
          <w:lang w:val="da-DK"/>
        </w:rPr>
        <w:t>laksantia</w:t>
      </w:r>
      <w:proofErr w:type="spellEnd"/>
      <w:r w:rsidRPr="00216AB6">
        <w:rPr>
          <w:sz w:val="24"/>
          <w:szCs w:val="24"/>
          <w:lang w:val="da-DK"/>
        </w:rPr>
        <w:t xml:space="preserve"> bør anvendes i</w:t>
      </w:r>
      <w:r w:rsidRPr="00216AB6">
        <w:rPr>
          <w:spacing w:val="-5"/>
          <w:sz w:val="24"/>
          <w:szCs w:val="24"/>
          <w:lang w:val="da-DK"/>
        </w:rPr>
        <w:t xml:space="preserve"> </w:t>
      </w:r>
      <w:r w:rsidRPr="00216AB6">
        <w:rPr>
          <w:sz w:val="24"/>
          <w:szCs w:val="24"/>
          <w:lang w:val="da-DK"/>
        </w:rPr>
        <w:t>stedet.</w:t>
      </w:r>
    </w:p>
    <w:p w:rsidR="00BD7E83" w:rsidRPr="00B06EB1" w:rsidRDefault="00BD7E83" w:rsidP="00BD7E83">
      <w:pPr>
        <w:pStyle w:val="Brdtekst"/>
        <w:spacing w:before="1"/>
        <w:ind w:left="851"/>
        <w:rPr>
          <w:sz w:val="24"/>
          <w:szCs w:val="24"/>
        </w:rPr>
      </w:pPr>
    </w:p>
    <w:p w:rsidR="00BD7E83" w:rsidRPr="00B06EB1" w:rsidRDefault="00BD7E83" w:rsidP="00BD7E83">
      <w:pPr>
        <w:pStyle w:val="Brdtekst"/>
        <w:ind w:left="851" w:right="326"/>
        <w:rPr>
          <w:sz w:val="24"/>
          <w:szCs w:val="24"/>
        </w:rPr>
      </w:pPr>
      <w:r w:rsidRPr="00B06EB1">
        <w:rPr>
          <w:sz w:val="24"/>
          <w:szCs w:val="24"/>
          <w:u w:val="single"/>
        </w:rPr>
        <w:t xml:space="preserve">Der skal udvises forsigtighed, når følgende lægemidler anvendes i kombination med </w:t>
      </w:r>
      <w:proofErr w:type="spellStart"/>
      <w:r w:rsidRPr="00B06EB1">
        <w:rPr>
          <w:sz w:val="24"/>
          <w:szCs w:val="24"/>
          <w:u w:val="single"/>
        </w:rPr>
        <w:t>Cordarone</w:t>
      </w:r>
      <w:proofErr w:type="spellEnd"/>
      <w:r w:rsidRPr="00B06EB1">
        <w:rPr>
          <w:sz w:val="24"/>
          <w:szCs w:val="24"/>
          <w:u w:val="single"/>
        </w:rPr>
        <w:t>:</w:t>
      </w:r>
    </w:p>
    <w:p w:rsidR="00BD7E83" w:rsidRPr="00B06EB1" w:rsidRDefault="00BD7E83" w:rsidP="00BD7E83">
      <w:pPr>
        <w:pStyle w:val="Listeafsnit"/>
        <w:numPr>
          <w:ilvl w:val="0"/>
          <w:numId w:val="15"/>
        </w:numPr>
        <w:tabs>
          <w:tab w:val="left" w:pos="1246"/>
        </w:tabs>
        <w:spacing w:before="2" w:line="240" w:lineRule="auto"/>
        <w:ind w:left="851" w:firstLine="0"/>
        <w:rPr>
          <w:sz w:val="24"/>
          <w:szCs w:val="24"/>
          <w:lang w:val="da-DK"/>
        </w:rPr>
      </w:pPr>
      <w:proofErr w:type="spellStart"/>
      <w:r w:rsidRPr="00B06EB1">
        <w:rPr>
          <w:sz w:val="24"/>
          <w:szCs w:val="24"/>
          <w:lang w:val="da-DK"/>
        </w:rPr>
        <w:t>Diuretika</w:t>
      </w:r>
      <w:proofErr w:type="spellEnd"/>
      <w:r w:rsidRPr="00B06EB1">
        <w:rPr>
          <w:sz w:val="24"/>
          <w:szCs w:val="24"/>
          <w:lang w:val="da-DK"/>
        </w:rPr>
        <w:t xml:space="preserve">, der inducerer </w:t>
      </w:r>
      <w:proofErr w:type="spellStart"/>
      <w:r w:rsidRPr="00B06EB1">
        <w:rPr>
          <w:sz w:val="24"/>
          <w:szCs w:val="24"/>
          <w:lang w:val="da-DK"/>
        </w:rPr>
        <w:t>hypokaliæmi</w:t>
      </w:r>
      <w:proofErr w:type="spellEnd"/>
      <w:r w:rsidRPr="00B06EB1">
        <w:rPr>
          <w:sz w:val="24"/>
          <w:szCs w:val="24"/>
          <w:lang w:val="da-DK"/>
        </w:rPr>
        <w:t>, enten alene eller i</w:t>
      </w:r>
      <w:r w:rsidRPr="00B06EB1">
        <w:rPr>
          <w:spacing w:val="-3"/>
          <w:sz w:val="24"/>
          <w:szCs w:val="24"/>
          <w:lang w:val="da-DK"/>
        </w:rPr>
        <w:t xml:space="preserve"> </w:t>
      </w:r>
      <w:r w:rsidRPr="00B06EB1">
        <w:rPr>
          <w:sz w:val="24"/>
          <w:szCs w:val="24"/>
          <w:lang w:val="da-DK"/>
        </w:rPr>
        <w:t>kombinationer.</w:t>
      </w:r>
    </w:p>
    <w:p w:rsidR="00BD7E83" w:rsidRPr="00B06EB1" w:rsidRDefault="00BD7E83" w:rsidP="00BD7E83">
      <w:pPr>
        <w:pStyle w:val="Listeafsnit"/>
        <w:numPr>
          <w:ilvl w:val="0"/>
          <w:numId w:val="15"/>
        </w:numPr>
        <w:tabs>
          <w:tab w:val="left" w:pos="1246"/>
        </w:tabs>
        <w:spacing w:line="240" w:lineRule="auto"/>
        <w:ind w:left="851" w:firstLine="0"/>
        <w:rPr>
          <w:sz w:val="24"/>
          <w:szCs w:val="24"/>
          <w:lang w:val="da-DK"/>
        </w:rPr>
      </w:pPr>
      <w:r w:rsidRPr="00B06EB1">
        <w:rPr>
          <w:sz w:val="24"/>
          <w:szCs w:val="24"/>
          <w:lang w:val="da-DK"/>
        </w:rPr>
        <w:t xml:space="preserve">Systemiske </w:t>
      </w:r>
      <w:proofErr w:type="spellStart"/>
      <w:r w:rsidRPr="00B06EB1">
        <w:rPr>
          <w:sz w:val="24"/>
          <w:szCs w:val="24"/>
          <w:lang w:val="da-DK"/>
        </w:rPr>
        <w:t>kortikosteroider</w:t>
      </w:r>
      <w:proofErr w:type="spellEnd"/>
      <w:r w:rsidRPr="00B06EB1">
        <w:rPr>
          <w:sz w:val="24"/>
          <w:szCs w:val="24"/>
          <w:lang w:val="da-DK"/>
        </w:rPr>
        <w:t xml:space="preserve"> (</w:t>
      </w:r>
      <w:proofErr w:type="spellStart"/>
      <w:r w:rsidRPr="00B06EB1">
        <w:rPr>
          <w:sz w:val="24"/>
          <w:szCs w:val="24"/>
          <w:lang w:val="da-DK"/>
        </w:rPr>
        <w:t>gluko</w:t>
      </w:r>
      <w:proofErr w:type="spellEnd"/>
      <w:r w:rsidRPr="00B06EB1">
        <w:rPr>
          <w:sz w:val="24"/>
          <w:szCs w:val="24"/>
          <w:lang w:val="da-DK"/>
        </w:rPr>
        <w:t>-/</w:t>
      </w:r>
      <w:proofErr w:type="spellStart"/>
      <w:r w:rsidRPr="00B06EB1">
        <w:rPr>
          <w:sz w:val="24"/>
          <w:szCs w:val="24"/>
          <w:lang w:val="da-DK"/>
        </w:rPr>
        <w:t>mineralo</w:t>
      </w:r>
      <w:proofErr w:type="spellEnd"/>
      <w:r w:rsidRPr="00B06EB1">
        <w:rPr>
          <w:sz w:val="24"/>
          <w:szCs w:val="24"/>
          <w:lang w:val="da-DK"/>
        </w:rPr>
        <w:t>-),</w:t>
      </w:r>
      <w:r w:rsidRPr="00B06EB1">
        <w:rPr>
          <w:spacing w:val="-2"/>
          <w:sz w:val="24"/>
          <w:szCs w:val="24"/>
          <w:lang w:val="da-DK"/>
        </w:rPr>
        <w:t xml:space="preserve"> </w:t>
      </w:r>
      <w:proofErr w:type="spellStart"/>
      <w:r w:rsidRPr="00B06EB1">
        <w:rPr>
          <w:sz w:val="24"/>
          <w:szCs w:val="24"/>
          <w:lang w:val="da-DK"/>
        </w:rPr>
        <w:t>tetracosactid</w:t>
      </w:r>
      <w:proofErr w:type="spellEnd"/>
      <w:r w:rsidRPr="00B06EB1">
        <w:rPr>
          <w:sz w:val="24"/>
          <w:szCs w:val="24"/>
          <w:lang w:val="da-DK"/>
        </w:rPr>
        <w:t>.</w:t>
      </w:r>
    </w:p>
    <w:p w:rsidR="00BD7E83" w:rsidRPr="00B06EB1" w:rsidRDefault="00BD7E83" w:rsidP="00BD7E83">
      <w:pPr>
        <w:pStyle w:val="Listeafsnit"/>
        <w:numPr>
          <w:ilvl w:val="0"/>
          <w:numId w:val="15"/>
        </w:numPr>
        <w:tabs>
          <w:tab w:val="left" w:pos="1246"/>
        </w:tabs>
        <w:spacing w:before="1" w:line="240" w:lineRule="auto"/>
        <w:ind w:left="851" w:firstLine="0"/>
        <w:rPr>
          <w:sz w:val="24"/>
          <w:szCs w:val="24"/>
        </w:rPr>
      </w:pPr>
      <w:r w:rsidRPr="00B06EB1">
        <w:rPr>
          <w:sz w:val="24"/>
          <w:szCs w:val="24"/>
        </w:rPr>
        <w:t>Amphotericin B</w:t>
      </w:r>
      <w:r w:rsidRPr="00B06EB1">
        <w:rPr>
          <w:spacing w:val="-3"/>
          <w:sz w:val="24"/>
          <w:szCs w:val="24"/>
        </w:rPr>
        <w:t xml:space="preserve"> </w:t>
      </w:r>
      <w:r w:rsidRPr="00B06EB1">
        <w:rPr>
          <w:sz w:val="24"/>
          <w:szCs w:val="24"/>
        </w:rPr>
        <w:t>(</w:t>
      </w:r>
      <w:proofErr w:type="spellStart"/>
      <w:r w:rsidRPr="00B06EB1">
        <w:rPr>
          <w:sz w:val="24"/>
          <w:szCs w:val="24"/>
        </w:rPr>
        <w:t>i.v.</w:t>
      </w:r>
      <w:proofErr w:type="spellEnd"/>
      <w:r w:rsidRPr="00B06EB1">
        <w:rPr>
          <w:sz w:val="24"/>
          <w:szCs w:val="24"/>
        </w:rPr>
        <w:t>).</w:t>
      </w:r>
    </w:p>
    <w:p w:rsidR="00BD7E83" w:rsidRPr="00B06EB1" w:rsidRDefault="00BD7E83" w:rsidP="00BD7E83">
      <w:pPr>
        <w:pStyle w:val="Brdtekst"/>
        <w:spacing w:before="77" w:after="0"/>
        <w:ind w:left="851" w:right="340"/>
        <w:rPr>
          <w:sz w:val="24"/>
          <w:szCs w:val="24"/>
        </w:rPr>
      </w:pPr>
      <w:r w:rsidRPr="00B06EB1">
        <w:rPr>
          <w:sz w:val="24"/>
          <w:szCs w:val="24"/>
        </w:rPr>
        <w:lastRenderedPageBreak/>
        <w:t xml:space="preserve">Det er nødvendigt at forebygge </w:t>
      </w:r>
      <w:proofErr w:type="spellStart"/>
      <w:r w:rsidRPr="00B06EB1">
        <w:rPr>
          <w:sz w:val="24"/>
          <w:szCs w:val="24"/>
        </w:rPr>
        <w:t>hypokaliæmi</w:t>
      </w:r>
      <w:proofErr w:type="spellEnd"/>
      <w:r w:rsidRPr="00B06EB1">
        <w:rPr>
          <w:sz w:val="24"/>
          <w:szCs w:val="24"/>
        </w:rPr>
        <w:t xml:space="preserve"> (og om nødvendigt at korrigere for </w:t>
      </w:r>
      <w:proofErr w:type="spellStart"/>
      <w:r w:rsidRPr="00B06EB1">
        <w:rPr>
          <w:sz w:val="24"/>
          <w:szCs w:val="24"/>
        </w:rPr>
        <w:t>hypokaliæmi</w:t>
      </w:r>
      <w:proofErr w:type="spellEnd"/>
      <w:r w:rsidRPr="00B06EB1">
        <w:rPr>
          <w:sz w:val="24"/>
          <w:szCs w:val="24"/>
        </w:rPr>
        <w:t xml:space="preserve">), QT-intervallet skal overvåges, og i tilfælde af </w:t>
      </w:r>
      <w:proofErr w:type="spellStart"/>
      <w:r w:rsidRPr="00B06EB1">
        <w:rPr>
          <w:i/>
          <w:sz w:val="24"/>
          <w:szCs w:val="24"/>
        </w:rPr>
        <w:t>torsade</w:t>
      </w:r>
      <w:proofErr w:type="spellEnd"/>
      <w:r w:rsidRPr="00B06EB1">
        <w:rPr>
          <w:i/>
          <w:sz w:val="24"/>
          <w:szCs w:val="24"/>
        </w:rPr>
        <w:t xml:space="preserve"> de pointes </w:t>
      </w:r>
      <w:r w:rsidRPr="00B06EB1">
        <w:rPr>
          <w:sz w:val="24"/>
          <w:szCs w:val="24"/>
        </w:rPr>
        <w:t xml:space="preserve">må der ikke gives </w:t>
      </w:r>
      <w:proofErr w:type="spellStart"/>
      <w:r w:rsidRPr="00B06EB1">
        <w:rPr>
          <w:sz w:val="24"/>
          <w:szCs w:val="24"/>
        </w:rPr>
        <w:t>antiarytmika</w:t>
      </w:r>
      <w:proofErr w:type="spellEnd"/>
      <w:r w:rsidRPr="00B06EB1">
        <w:rPr>
          <w:sz w:val="24"/>
          <w:szCs w:val="24"/>
        </w:rPr>
        <w:t xml:space="preserve"> (i stedet indledes </w:t>
      </w:r>
      <w:proofErr w:type="spellStart"/>
      <w:r w:rsidRPr="00B06EB1">
        <w:rPr>
          <w:sz w:val="24"/>
          <w:szCs w:val="24"/>
        </w:rPr>
        <w:t>ventrikulær</w:t>
      </w:r>
      <w:proofErr w:type="spellEnd"/>
      <w:r w:rsidRPr="00B06EB1">
        <w:rPr>
          <w:sz w:val="24"/>
          <w:szCs w:val="24"/>
        </w:rPr>
        <w:t xml:space="preserve"> </w:t>
      </w:r>
      <w:proofErr w:type="spellStart"/>
      <w:r w:rsidRPr="00B06EB1">
        <w:rPr>
          <w:sz w:val="24"/>
          <w:szCs w:val="24"/>
        </w:rPr>
        <w:t>pacing</w:t>
      </w:r>
      <w:proofErr w:type="spellEnd"/>
      <w:r w:rsidRPr="00B06EB1">
        <w:rPr>
          <w:sz w:val="24"/>
          <w:szCs w:val="24"/>
        </w:rPr>
        <w:t xml:space="preserve">, og eventuelt gives magnesium </w:t>
      </w:r>
      <w:proofErr w:type="spellStart"/>
      <w:r w:rsidRPr="00B06EB1">
        <w:rPr>
          <w:sz w:val="24"/>
          <w:szCs w:val="24"/>
        </w:rPr>
        <w:t>i.v</w:t>
      </w:r>
      <w:proofErr w:type="spellEnd"/>
      <w:r w:rsidRPr="00B06EB1">
        <w:rPr>
          <w:sz w:val="24"/>
          <w:szCs w:val="24"/>
        </w:rPr>
        <w:t>.).</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Generel anæstesi (se pkt. 4.4 og pkt. 4.8):</w:t>
      </w:r>
    </w:p>
    <w:p w:rsidR="00BD7E83" w:rsidRPr="00B06EB1" w:rsidRDefault="00BD7E83" w:rsidP="00BD7E83">
      <w:pPr>
        <w:pStyle w:val="Brdtekst"/>
        <w:spacing w:after="0"/>
        <w:ind w:left="851" w:right="314"/>
        <w:rPr>
          <w:sz w:val="24"/>
          <w:szCs w:val="24"/>
        </w:rPr>
      </w:pPr>
      <w:r w:rsidRPr="00B06EB1">
        <w:rPr>
          <w:sz w:val="24"/>
          <w:szCs w:val="24"/>
        </w:rPr>
        <w:t>Der er rapporteret potentielt alvorlige komplikationer hos patienter under generel anæstesi: bradykardi (reagerer ikke på atropin), hypotension, overledningsforstyrrelser, nedsat slagvolumen.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461"/>
        <w:rPr>
          <w:sz w:val="24"/>
          <w:szCs w:val="24"/>
        </w:rPr>
      </w:pPr>
      <w:r w:rsidRPr="00B06EB1">
        <w:rPr>
          <w:sz w:val="24"/>
          <w:szCs w:val="24"/>
        </w:rPr>
        <w:t>Der er observeret enkelte tilfælde af alvorlige vejrtrækningsproblemer (</w:t>
      </w:r>
      <w:proofErr w:type="spellStart"/>
      <w:r w:rsidRPr="00B06EB1">
        <w:rPr>
          <w:sz w:val="24"/>
          <w:szCs w:val="24"/>
        </w:rPr>
        <w:t>shocklunge</w:t>
      </w:r>
      <w:proofErr w:type="spellEnd"/>
      <w:r w:rsidRPr="00B06EB1">
        <w:rPr>
          <w:sz w:val="24"/>
          <w:szCs w:val="24"/>
        </w:rPr>
        <w:t xml:space="preserve"> - akut </w:t>
      </w:r>
      <w:proofErr w:type="spellStart"/>
      <w:r w:rsidRPr="00B06EB1">
        <w:rPr>
          <w:i/>
          <w:sz w:val="24"/>
          <w:szCs w:val="24"/>
        </w:rPr>
        <w:t>adult</w:t>
      </w:r>
      <w:proofErr w:type="spellEnd"/>
      <w:r w:rsidRPr="00B06EB1">
        <w:rPr>
          <w:i/>
          <w:sz w:val="24"/>
          <w:szCs w:val="24"/>
        </w:rPr>
        <w:t xml:space="preserve"> </w:t>
      </w:r>
      <w:proofErr w:type="spellStart"/>
      <w:r w:rsidRPr="00B06EB1">
        <w:rPr>
          <w:i/>
          <w:sz w:val="24"/>
          <w:szCs w:val="24"/>
        </w:rPr>
        <w:t>respiratory</w:t>
      </w:r>
      <w:proofErr w:type="spellEnd"/>
      <w:r w:rsidRPr="00B06EB1">
        <w:rPr>
          <w:i/>
          <w:sz w:val="24"/>
          <w:szCs w:val="24"/>
        </w:rPr>
        <w:t xml:space="preserve"> </w:t>
      </w:r>
      <w:proofErr w:type="spellStart"/>
      <w:r w:rsidRPr="00B06EB1">
        <w:rPr>
          <w:i/>
          <w:sz w:val="24"/>
          <w:szCs w:val="24"/>
        </w:rPr>
        <w:t>distress</w:t>
      </w:r>
      <w:proofErr w:type="spellEnd"/>
      <w:r w:rsidRPr="00B06EB1">
        <w:rPr>
          <w:i/>
          <w:sz w:val="24"/>
          <w:szCs w:val="24"/>
        </w:rPr>
        <w:t xml:space="preserve"> </w:t>
      </w:r>
      <w:proofErr w:type="spellStart"/>
      <w:r w:rsidRPr="00B06EB1">
        <w:rPr>
          <w:i/>
          <w:sz w:val="24"/>
          <w:szCs w:val="24"/>
        </w:rPr>
        <w:t>syndrome</w:t>
      </w:r>
      <w:proofErr w:type="spellEnd"/>
      <w:r w:rsidRPr="00B06EB1">
        <w:rPr>
          <w:sz w:val="24"/>
          <w:szCs w:val="24"/>
        </w:rPr>
        <w:t>), hvoraf nogle dødelige, sædvanligvis i perioden umiddelbart efter operation. Der kan muligvis være tale om interaktion med høj oxygenkoncentration.</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Pr>
          <w:sz w:val="24"/>
          <w:szCs w:val="24"/>
        </w:rPr>
      </w:pPr>
      <w:proofErr w:type="spellStart"/>
      <w:r w:rsidRPr="00B06EB1">
        <w:rPr>
          <w:sz w:val="24"/>
          <w:szCs w:val="24"/>
          <w:u w:val="single"/>
        </w:rPr>
        <w:t>Cordarones</w:t>
      </w:r>
      <w:proofErr w:type="spellEnd"/>
      <w:r w:rsidRPr="00B06EB1">
        <w:rPr>
          <w:sz w:val="24"/>
          <w:szCs w:val="24"/>
          <w:u w:val="single"/>
        </w:rPr>
        <w:t xml:space="preserve"> interaktion med andre lægemidler</w:t>
      </w:r>
    </w:p>
    <w:p w:rsidR="00BD7E83" w:rsidRPr="00B06EB1" w:rsidRDefault="00BD7E83" w:rsidP="00BD7E83">
      <w:pPr>
        <w:pStyle w:val="Brdtekst"/>
        <w:spacing w:after="0"/>
        <w:ind w:left="851" w:right="412"/>
        <w:rPr>
          <w:sz w:val="24"/>
          <w:szCs w:val="24"/>
        </w:rPr>
      </w:pPr>
      <w:proofErr w:type="spellStart"/>
      <w:r w:rsidRPr="00B06EB1">
        <w:rPr>
          <w:sz w:val="24"/>
          <w:szCs w:val="24"/>
        </w:rPr>
        <w:t>Amiodaron</w:t>
      </w:r>
      <w:proofErr w:type="spellEnd"/>
      <w:r w:rsidRPr="00B06EB1">
        <w:rPr>
          <w:sz w:val="24"/>
          <w:szCs w:val="24"/>
        </w:rPr>
        <w:t xml:space="preserve"> og/eller dennes metabolit, </w:t>
      </w:r>
      <w:proofErr w:type="spellStart"/>
      <w:r w:rsidRPr="00B06EB1">
        <w:rPr>
          <w:sz w:val="24"/>
          <w:szCs w:val="24"/>
        </w:rPr>
        <w:t>desethylamiodaron</w:t>
      </w:r>
      <w:proofErr w:type="spellEnd"/>
      <w:r w:rsidRPr="00B06EB1">
        <w:rPr>
          <w:sz w:val="24"/>
          <w:szCs w:val="24"/>
        </w:rPr>
        <w:t>, hæmmer CYP1A1, CYP1A2, CYP3A4, CYP2C9, CYP2D6 og P-</w:t>
      </w:r>
      <w:proofErr w:type="spellStart"/>
      <w:r w:rsidRPr="00B06EB1">
        <w:rPr>
          <w:sz w:val="24"/>
          <w:szCs w:val="24"/>
        </w:rPr>
        <w:t>glycoprotein</w:t>
      </w:r>
      <w:proofErr w:type="spellEnd"/>
      <w:r w:rsidRPr="00B06EB1">
        <w:rPr>
          <w:sz w:val="24"/>
          <w:szCs w:val="24"/>
        </w:rPr>
        <w:t xml:space="preserve"> og kan øge eksponering af deres substrater.</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before="1" w:after="0"/>
        <w:ind w:left="851" w:right="262"/>
        <w:rPr>
          <w:sz w:val="24"/>
          <w:szCs w:val="24"/>
        </w:rPr>
      </w:pPr>
      <w:r w:rsidRPr="00B06EB1">
        <w:rPr>
          <w:sz w:val="24"/>
          <w:szCs w:val="24"/>
        </w:rPr>
        <w:t xml:space="preserve">Der er observeret interaktioner, mange måneder efter behandling med </w:t>
      </w:r>
      <w:proofErr w:type="spellStart"/>
      <w:r w:rsidRPr="00B06EB1">
        <w:rPr>
          <w:sz w:val="24"/>
          <w:szCs w:val="24"/>
        </w:rPr>
        <w:t>amiodaron</w:t>
      </w:r>
      <w:proofErr w:type="spellEnd"/>
      <w:r w:rsidRPr="00B06EB1">
        <w:rPr>
          <w:sz w:val="24"/>
          <w:szCs w:val="24"/>
        </w:rPr>
        <w:t xml:space="preserve"> er stoppet på grund af </w:t>
      </w:r>
      <w:proofErr w:type="spellStart"/>
      <w:r w:rsidRPr="00B06EB1">
        <w:rPr>
          <w:sz w:val="24"/>
          <w:szCs w:val="24"/>
        </w:rPr>
        <w:t>amiodarons</w:t>
      </w:r>
      <w:proofErr w:type="spellEnd"/>
      <w:r w:rsidRPr="00B06EB1">
        <w:rPr>
          <w:sz w:val="24"/>
          <w:szCs w:val="24"/>
        </w:rPr>
        <w:t xml:space="preserve"> lange halveringstid.</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P-</w:t>
      </w:r>
      <w:proofErr w:type="spellStart"/>
      <w:r w:rsidRPr="00B06EB1">
        <w:rPr>
          <w:i/>
          <w:szCs w:val="24"/>
        </w:rPr>
        <w:t>glucoprotein</w:t>
      </w:r>
      <w:proofErr w:type="spellEnd"/>
      <w:r w:rsidRPr="00B06EB1">
        <w:rPr>
          <w:i/>
          <w:szCs w:val="24"/>
        </w:rPr>
        <w:t xml:space="preserve"> (P-gp):</w:t>
      </w:r>
    </w:p>
    <w:p w:rsidR="00BD7E83" w:rsidRPr="00B06EB1" w:rsidRDefault="00BD7E83" w:rsidP="00BD7E83">
      <w:pPr>
        <w:pStyle w:val="Brdtekst"/>
        <w:spacing w:after="0"/>
        <w:ind w:left="851" w:right="457"/>
        <w:rPr>
          <w:sz w:val="24"/>
          <w:szCs w:val="24"/>
        </w:rPr>
      </w:pPr>
      <w:proofErr w:type="spellStart"/>
      <w:r w:rsidRPr="00B06EB1">
        <w:rPr>
          <w:sz w:val="24"/>
          <w:szCs w:val="24"/>
        </w:rPr>
        <w:t>Amiodaron</w:t>
      </w:r>
      <w:proofErr w:type="spellEnd"/>
      <w:r w:rsidRPr="00B06EB1">
        <w:rPr>
          <w:sz w:val="24"/>
          <w:szCs w:val="24"/>
        </w:rPr>
        <w:t xml:space="preserve"> hæmmer P-gp. Samtidig administration med lægemidler, der </w:t>
      </w:r>
      <w:proofErr w:type="spellStart"/>
      <w:r w:rsidRPr="00B06EB1">
        <w:rPr>
          <w:sz w:val="24"/>
          <w:szCs w:val="24"/>
        </w:rPr>
        <w:t>metaboliseres</w:t>
      </w:r>
      <w:proofErr w:type="spellEnd"/>
      <w:r w:rsidRPr="00B06EB1">
        <w:rPr>
          <w:sz w:val="24"/>
          <w:szCs w:val="24"/>
        </w:rPr>
        <w:t xml:space="preserve"> af P-gp, forventes at resultere i en øgning af deres eksponering.</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r w:rsidRPr="00B06EB1">
        <w:rPr>
          <w:i/>
          <w:szCs w:val="24"/>
        </w:rPr>
        <w:t>Digitalis:</w:t>
      </w:r>
    </w:p>
    <w:p w:rsidR="00BD7E83" w:rsidRPr="00B06EB1" w:rsidRDefault="00BD7E83" w:rsidP="00BD7E83">
      <w:pPr>
        <w:pStyle w:val="Brdtekst"/>
        <w:spacing w:after="0"/>
        <w:ind w:left="851" w:right="273"/>
        <w:rPr>
          <w:sz w:val="24"/>
          <w:szCs w:val="24"/>
        </w:rPr>
      </w:pPr>
      <w:proofErr w:type="spellStart"/>
      <w:r w:rsidRPr="00B06EB1">
        <w:rPr>
          <w:sz w:val="24"/>
          <w:szCs w:val="24"/>
        </w:rPr>
        <w:t>Automaticitetsforstyrrelser</w:t>
      </w:r>
      <w:proofErr w:type="spellEnd"/>
      <w:r w:rsidRPr="00B06EB1">
        <w:rPr>
          <w:sz w:val="24"/>
          <w:szCs w:val="24"/>
        </w:rPr>
        <w:t xml:space="preserve"> (voldsom bradykardi) og </w:t>
      </w:r>
      <w:proofErr w:type="spellStart"/>
      <w:r w:rsidRPr="00B06EB1">
        <w:rPr>
          <w:sz w:val="24"/>
          <w:szCs w:val="24"/>
        </w:rPr>
        <w:t>atrioventrikulær</w:t>
      </w:r>
      <w:proofErr w:type="spellEnd"/>
      <w:r w:rsidRPr="00B06EB1">
        <w:rPr>
          <w:sz w:val="24"/>
          <w:szCs w:val="24"/>
        </w:rPr>
        <w:t xml:space="preserve"> overledning (</w:t>
      </w:r>
      <w:proofErr w:type="spellStart"/>
      <w:r w:rsidRPr="00B06EB1">
        <w:rPr>
          <w:sz w:val="24"/>
          <w:szCs w:val="24"/>
        </w:rPr>
        <w:t>synergistisk</w:t>
      </w:r>
      <w:proofErr w:type="spellEnd"/>
      <w:r w:rsidRPr="00B06EB1">
        <w:rPr>
          <w:sz w:val="24"/>
          <w:szCs w:val="24"/>
        </w:rPr>
        <w:t xml:space="preserve"> effekt) kan forekomme, ligesom der kan opstå en stigning i </w:t>
      </w:r>
      <w:proofErr w:type="spellStart"/>
      <w:r w:rsidRPr="00B06EB1">
        <w:rPr>
          <w:sz w:val="24"/>
          <w:szCs w:val="24"/>
        </w:rPr>
        <w:t>plasmadigoxinkoncentrationer</w:t>
      </w:r>
      <w:proofErr w:type="spellEnd"/>
      <w:r w:rsidRPr="00B06EB1">
        <w:rPr>
          <w:sz w:val="24"/>
          <w:szCs w:val="24"/>
        </w:rPr>
        <w:t xml:space="preserve"> på grund af et fald i </w:t>
      </w:r>
      <w:proofErr w:type="spellStart"/>
      <w:r w:rsidRPr="00B06EB1">
        <w:rPr>
          <w:sz w:val="24"/>
          <w:szCs w:val="24"/>
        </w:rPr>
        <w:t>clearance</w:t>
      </w:r>
      <w:proofErr w:type="spellEnd"/>
      <w:r w:rsidRPr="00B06EB1">
        <w:rPr>
          <w:sz w:val="24"/>
          <w:szCs w:val="24"/>
        </w:rPr>
        <w:t xml:space="preserve"> af </w:t>
      </w:r>
      <w:proofErr w:type="spellStart"/>
      <w:r w:rsidRPr="00B06EB1">
        <w:rPr>
          <w:sz w:val="24"/>
          <w:szCs w:val="24"/>
        </w:rPr>
        <w:t>digoxin</w:t>
      </w:r>
      <w:proofErr w:type="spellEnd"/>
      <w:r w:rsidRPr="00B06EB1">
        <w:rPr>
          <w:sz w:val="24"/>
          <w:szCs w:val="24"/>
        </w:rPr>
        <w:t>.</w:t>
      </w:r>
    </w:p>
    <w:p w:rsidR="00BD7E83" w:rsidRPr="00B06EB1" w:rsidRDefault="00BD7E83" w:rsidP="00BD7E83">
      <w:pPr>
        <w:pStyle w:val="Brdtekst"/>
        <w:spacing w:after="0"/>
        <w:ind w:left="851" w:right="327"/>
        <w:rPr>
          <w:sz w:val="24"/>
          <w:szCs w:val="24"/>
        </w:rPr>
      </w:pPr>
      <w:r w:rsidRPr="00B06EB1">
        <w:rPr>
          <w:sz w:val="24"/>
          <w:szCs w:val="24"/>
        </w:rPr>
        <w:t xml:space="preserve">Ekg og plasmakoncentrationen af </w:t>
      </w:r>
      <w:proofErr w:type="spellStart"/>
      <w:r w:rsidRPr="00B06EB1">
        <w:rPr>
          <w:sz w:val="24"/>
          <w:szCs w:val="24"/>
        </w:rPr>
        <w:t>digoxin</w:t>
      </w:r>
      <w:proofErr w:type="spellEnd"/>
      <w:r w:rsidRPr="00B06EB1">
        <w:rPr>
          <w:sz w:val="24"/>
          <w:szCs w:val="24"/>
        </w:rPr>
        <w:t xml:space="preserve"> bør overvåges, og patienterne bør observeres for kliniske tegn på digitalistoksicitet. Dosisjustering af digitalisbehandlingen kan være nødvendig.</w:t>
      </w:r>
    </w:p>
    <w:p w:rsidR="00BD7E83" w:rsidRPr="00B06EB1" w:rsidRDefault="00BD7E83" w:rsidP="00BD7E83">
      <w:pPr>
        <w:pStyle w:val="Brdtekst"/>
        <w:spacing w:after="0"/>
        <w:ind w:left="851"/>
        <w:rPr>
          <w:sz w:val="24"/>
          <w:szCs w:val="24"/>
        </w:rPr>
      </w:pPr>
    </w:p>
    <w:p w:rsidR="00BD7E83" w:rsidRPr="00B06EB1" w:rsidRDefault="00BD7E83" w:rsidP="00BD7E83">
      <w:pPr>
        <w:ind w:left="851"/>
        <w:rPr>
          <w:i/>
          <w:szCs w:val="24"/>
        </w:rPr>
      </w:pPr>
      <w:proofErr w:type="spellStart"/>
      <w:r w:rsidRPr="00B06EB1">
        <w:rPr>
          <w:i/>
          <w:szCs w:val="24"/>
        </w:rPr>
        <w:t>Dabigatran</w:t>
      </w:r>
      <w:proofErr w:type="spellEnd"/>
      <w:r w:rsidRPr="00B06EB1">
        <w:rPr>
          <w:i/>
          <w:szCs w:val="24"/>
        </w:rPr>
        <w:t>:</w:t>
      </w:r>
    </w:p>
    <w:p w:rsidR="00BD7E83" w:rsidRPr="00B06EB1" w:rsidRDefault="00BD7E83" w:rsidP="00BD7E83">
      <w:pPr>
        <w:pStyle w:val="Brdtekst"/>
        <w:spacing w:after="0"/>
        <w:ind w:left="851" w:right="653"/>
        <w:rPr>
          <w:sz w:val="24"/>
          <w:szCs w:val="24"/>
        </w:rPr>
      </w:pPr>
      <w:r w:rsidRPr="00B06EB1">
        <w:rPr>
          <w:sz w:val="24"/>
          <w:szCs w:val="24"/>
        </w:rPr>
        <w:t xml:space="preserve">Der skal udvises forsigtighed, når </w:t>
      </w:r>
      <w:proofErr w:type="spellStart"/>
      <w:r w:rsidRPr="00B06EB1">
        <w:rPr>
          <w:sz w:val="24"/>
          <w:szCs w:val="24"/>
        </w:rPr>
        <w:t>amiodaron</w:t>
      </w:r>
      <w:proofErr w:type="spellEnd"/>
      <w:r w:rsidRPr="00B06EB1">
        <w:rPr>
          <w:sz w:val="24"/>
          <w:szCs w:val="24"/>
        </w:rPr>
        <w:t xml:space="preserve"> administreres samtidig med </w:t>
      </w:r>
      <w:proofErr w:type="spellStart"/>
      <w:r w:rsidRPr="00B06EB1">
        <w:rPr>
          <w:sz w:val="24"/>
          <w:szCs w:val="24"/>
        </w:rPr>
        <w:t>dabigatran</w:t>
      </w:r>
      <w:proofErr w:type="spellEnd"/>
      <w:r w:rsidRPr="00B06EB1">
        <w:rPr>
          <w:sz w:val="24"/>
          <w:szCs w:val="24"/>
        </w:rPr>
        <w:t xml:space="preserve"> på grund af risikoen for blødninger. Dosisjustering af </w:t>
      </w:r>
      <w:proofErr w:type="spellStart"/>
      <w:r w:rsidRPr="00B06EB1">
        <w:rPr>
          <w:sz w:val="24"/>
          <w:szCs w:val="24"/>
        </w:rPr>
        <w:t>dabigatran</w:t>
      </w:r>
      <w:proofErr w:type="spellEnd"/>
      <w:r w:rsidRPr="00B06EB1">
        <w:rPr>
          <w:sz w:val="24"/>
          <w:szCs w:val="24"/>
        </w:rPr>
        <w:t xml:space="preserve"> kan være nødvendig.</w:t>
      </w:r>
    </w:p>
    <w:p w:rsidR="00BD7E83" w:rsidRPr="00B06EB1" w:rsidRDefault="00BD7E83" w:rsidP="00BD7E83">
      <w:pPr>
        <w:pStyle w:val="Brdtekst"/>
        <w:spacing w:after="0"/>
        <w:ind w:left="851"/>
        <w:rPr>
          <w:sz w:val="24"/>
          <w:szCs w:val="24"/>
        </w:rPr>
      </w:pPr>
    </w:p>
    <w:p w:rsidR="00BD7E83" w:rsidRPr="00B06EB1" w:rsidRDefault="00BD7E83" w:rsidP="00BD7E83">
      <w:pPr>
        <w:spacing w:before="1"/>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CYP 2C9:</w:t>
      </w:r>
    </w:p>
    <w:p w:rsidR="00BD7E83" w:rsidRPr="00B06EB1" w:rsidRDefault="00BD7E83" w:rsidP="00BD7E83">
      <w:pPr>
        <w:pStyle w:val="Brdtekst"/>
        <w:spacing w:after="0"/>
        <w:ind w:left="851" w:right="261"/>
        <w:rPr>
          <w:sz w:val="24"/>
          <w:szCs w:val="24"/>
        </w:rPr>
      </w:pPr>
      <w:proofErr w:type="spellStart"/>
      <w:r w:rsidRPr="00B06EB1">
        <w:rPr>
          <w:sz w:val="24"/>
          <w:szCs w:val="24"/>
        </w:rPr>
        <w:t>Amiodaron</w:t>
      </w:r>
      <w:proofErr w:type="spellEnd"/>
      <w:r w:rsidRPr="00B06EB1">
        <w:rPr>
          <w:sz w:val="24"/>
          <w:szCs w:val="24"/>
        </w:rPr>
        <w:t xml:space="preserve"> forøger koncentrationen af stoffer, der </w:t>
      </w:r>
      <w:proofErr w:type="spellStart"/>
      <w:r w:rsidRPr="00B06EB1">
        <w:rPr>
          <w:sz w:val="24"/>
          <w:szCs w:val="24"/>
        </w:rPr>
        <w:t>metaboliseres</w:t>
      </w:r>
      <w:proofErr w:type="spellEnd"/>
      <w:r w:rsidRPr="00B06EB1">
        <w:rPr>
          <w:sz w:val="24"/>
          <w:szCs w:val="24"/>
        </w:rPr>
        <w:t xml:space="preserve"> af CYP 2C9 såsom </w:t>
      </w:r>
      <w:proofErr w:type="spellStart"/>
      <w:r w:rsidRPr="00B06EB1">
        <w:rPr>
          <w:sz w:val="24"/>
          <w:szCs w:val="24"/>
        </w:rPr>
        <w:t>warfarin</w:t>
      </w:r>
      <w:proofErr w:type="spellEnd"/>
      <w:r w:rsidRPr="00B06EB1">
        <w:rPr>
          <w:sz w:val="24"/>
          <w:szCs w:val="24"/>
        </w:rPr>
        <w:t xml:space="preserve"> og </w:t>
      </w:r>
      <w:proofErr w:type="spellStart"/>
      <w:r w:rsidRPr="00B06EB1">
        <w:rPr>
          <w:sz w:val="24"/>
          <w:szCs w:val="24"/>
        </w:rPr>
        <w:t>phenytoin</w:t>
      </w:r>
      <w:proofErr w:type="spellEnd"/>
      <w:r w:rsidRPr="00B06EB1">
        <w:rPr>
          <w:sz w:val="24"/>
          <w:szCs w:val="24"/>
        </w:rPr>
        <w:t xml:space="preserve"> ved at hæmme </w:t>
      </w:r>
      <w:proofErr w:type="spellStart"/>
      <w:r w:rsidRPr="00B06EB1">
        <w:rPr>
          <w:sz w:val="24"/>
          <w:szCs w:val="24"/>
        </w:rPr>
        <w:t>cytochrom</w:t>
      </w:r>
      <w:proofErr w:type="spellEnd"/>
      <w:r w:rsidRPr="00B06EB1">
        <w:rPr>
          <w:sz w:val="24"/>
          <w:szCs w:val="24"/>
        </w:rPr>
        <w:t xml:space="preserve"> P450 2C9.</w:t>
      </w:r>
    </w:p>
    <w:p w:rsidR="00BD7E83" w:rsidRPr="00B06EB1" w:rsidRDefault="00BD7E83" w:rsidP="00BD7E83">
      <w:pPr>
        <w:pStyle w:val="Brdtekst"/>
        <w:spacing w:before="11" w:after="0"/>
        <w:ind w:left="851"/>
        <w:rPr>
          <w:sz w:val="24"/>
          <w:szCs w:val="24"/>
        </w:rPr>
      </w:pPr>
    </w:p>
    <w:p w:rsidR="00BD7E83" w:rsidRPr="00B06EB1" w:rsidRDefault="00BD7E83" w:rsidP="00BD7E83">
      <w:pPr>
        <w:ind w:left="851"/>
        <w:rPr>
          <w:i/>
          <w:szCs w:val="24"/>
        </w:rPr>
      </w:pPr>
      <w:proofErr w:type="spellStart"/>
      <w:r w:rsidRPr="00B06EB1">
        <w:rPr>
          <w:i/>
          <w:szCs w:val="24"/>
        </w:rPr>
        <w:t>Warfarin</w:t>
      </w:r>
      <w:proofErr w:type="spellEnd"/>
      <w:r w:rsidRPr="00B06EB1">
        <w:rPr>
          <w:i/>
          <w:szCs w:val="24"/>
        </w:rPr>
        <w:t>:</w:t>
      </w:r>
    </w:p>
    <w:p w:rsidR="00BD7E83" w:rsidRDefault="00BD7E83" w:rsidP="00BD7E83">
      <w:pPr>
        <w:pStyle w:val="Brdtekst"/>
        <w:spacing w:after="0"/>
        <w:ind w:left="851" w:right="355"/>
        <w:rPr>
          <w:sz w:val="24"/>
          <w:szCs w:val="24"/>
        </w:rPr>
      </w:pPr>
      <w:r w:rsidRPr="00B06EB1">
        <w:rPr>
          <w:sz w:val="24"/>
          <w:szCs w:val="24"/>
        </w:rPr>
        <w:t xml:space="preserve">Kombinationen af </w:t>
      </w:r>
      <w:proofErr w:type="spellStart"/>
      <w:r w:rsidRPr="00B06EB1">
        <w:rPr>
          <w:sz w:val="24"/>
          <w:szCs w:val="24"/>
        </w:rPr>
        <w:t>warfarin</w:t>
      </w:r>
      <w:proofErr w:type="spellEnd"/>
      <w:r w:rsidRPr="00B06EB1">
        <w:rPr>
          <w:sz w:val="24"/>
          <w:szCs w:val="24"/>
        </w:rPr>
        <w:t xml:space="preserve"> og </w:t>
      </w:r>
      <w:proofErr w:type="spellStart"/>
      <w:r w:rsidRPr="00B06EB1">
        <w:rPr>
          <w:sz w:val="24"/>
          <w:szCs w:val="24"/>
        </w:rPr>
        <w:t>amiodaron</w:t>
      </w:r>
      <w:proofErr w:type="spellEnd"/>
      <w:r w:rsidRPr="00B06EB1">
        <w:rPr>
          <w:sz w:val="24"/>
          <w:szCs w:val="24"/>
        </w:rPr>
        <w:t xml:space="preserve"> kan forstærke effekten af perorale </w:t>
      </w:r>
      <w:proofErr w:type="spellStart"/>
      <w:r w:rsidRPr="00B06EB1">
        <w:rPr>
          <w:sz w:val="24"/>
          <w:szCs w:val="24"/>
        </w:rPr>
        <w:t>antikoagulantia</w:t>
      </w:r>
      <w:proofErr w:type="spellEnd"/>
      <w:r w:rsidRPr="00B06EB1">
        <w:rPr>
          <w:sz w:val="24"/>
          <w:szCs w:val="24"/>
        </w:rPr>
        <w:t xml:space="preserve"> og dermed forøge blødningsrisikoen. Det er nødvendigt at monitorere </w:t>
      </w:r>
      <w:proofErr w:type="spellStart"/>
      <w:r w:rsidRPr="00B06EB1">
        <w:rPr>
          <w:sz w:val="24"/>
          <w:szCs w:val="24"/>
        </w:rPr>
        <w:t>protrombinniveauet</w:t>
      </w:r>
      <w:proofErr w:type="spellEnd"/>
      <w:r w:rsidRPr="00B06EB1">
        <w:rPr>
          <w:sz w:val="24"/>
          <w:szCs w:val="24"/>
        </w:rPr>
        <w:t xml:space="preserve"> mere regelmæssigt og justere dosis af perorale </w:t>
      </w:r>
      <w:proofErr w:type="spellStart"/>
      <w:r w:rsidRPr="00B06EB1">
        <w:rPr>
          <w:sz w:val="24"/>
          <w:szCs w:val="24"/>
        </w:rPr>
        <w:t>antikoagulantia</w:t>
      </w:r>
      <w:proofErr w:type="spellEnd"/>
      <w:r w:rsidRPr="00B06EB1">
        <w:rPr>
          <w:sz w:val="24"/>
          <w:szCs w:val="24"/>
        </w:rPr>
        <w:t xml:space="preserve"> såvel under behandlingen som efter </w:t>
      </w:r>
      <w:proofErr w:type="spellStart"/>
      <w:r w:rsidRPr="00B06EB1">
        <w:rPr>
          <w:sz w:val="24"/>
          <w:szCs w:val="24"/>
        </w:rPr>
        <w:t>seponering</w:t>
      </w:r>
      <w:proofErr w:type="spellEnd"/>
      <w:r w:rsidRPr="00B06EB1">
        <w:rPr>
          <w:sz w:val="24"/>
          <w:szCs w:val="24"/>
        </w:rPr>
        <w:t xml:space="preserve"> af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before="1" w:after="0"/>
        <w:rPr>
          <w:sz w:val="24"/>
          <w:szCs w:val="24"/>
        </w:rPr>
      </w:pPr>
    </w:p>
    <w:p w:rsidR="00BD7E83" w:rsidRPr="00B06EB1" w:rsidRDefault="00BD7E83" w:rsidP="00BD7E83">
      <w:pPr>
        <w:keepNext/>
        <w:ind w:left="851"/>
        <w:rPr>
          <w:i/>
          <w:szCs w:val="24"/>
        </w:rPr>
      </w:pPr>
      <w:proofErr w:type="spellStart"/>
      <w:r w:rsidRPr="00B06EB1">
        <w:rPr>
          <w:i/>
          <w:szCs w:val="24"/>
        </w:rPr>
        <w:lastRenderedPageBreak/>
        <w:t>Phenytoin</w:t>
      </w:r>
      <w:proofErr w:type="spellEnd"/>
      <w:r w:rsidRPr="00B06EB1">
        <w:rPr>
          <w:i/>
          <w:szCs w:val="24"/>
        </w:rPr>
        <w:t>:</w:t>
      </w:r>
    </w:p>
    <w:p w:rsidR="00BD7E83" w:rsidRPr="00B06EB1" w:rsidRDefault="00BD7E83" w:rsidP="00BD7E83">
      <w:pPr>
        <w:pStyle w:val="Brdtekst"/>
        <w:spacing w:after="0"/>
        <w:ind w:left="851" w:right="313"/>
        <w:rPr>
          <w:sz w:val="24"/>
          <w:szCs w:val="24"/>
        </w:rPr>
      </w:pPr>
      <w:r w:rsidRPr="00B06EB1">
        <w:rPr>
          <w:sz w:val="24"/>
          <w:szCs w:val="24"/>
        </w:rPr>
        <w:t xml:space="preserve">Kombinationen af </w:t>
      </w:r>
      <w:proofErr w:type="spellStart"/>
      <w:r w:rsidRPr="00B06EB1">
        <w:rPr>
          <w:sz w:val="24"/>
          <w:szCs w:val="24"/>
        </w:rPr>
        <w:t>phenytoin</w:t>
      </w:r>
      <w:proofErr w:type="spellEnd"/>
      <w:r w:rsidRPr="00B06EB1">
        <w:rPr>
          <w:sz w:val="24"/>
          <w:szCs w:val="24"/>
        </w:rPr>
        <w:t xml:space="preserve"> og </w:t>
      </w:r>
      <w:proofErr w:type="spellStart"/>
      <w:r w:rsidRPr="00B06EB1">
        <w:rPr>
          <w:sz w:val="24"/>
          <w:szCs w:val="24"/>
        </w:rPr>
        <w:t>amiodaron</w:t>
      </w:r>
      <w:proofErr w:type="spellEnd"/>
      <w:r w:rsidRPr="00B06EB1">
        <w:rPr>
          <w:sz w:val="24"/>
          <w:szCs w:val="24"/>
        </w:rPr>
        <w:t xml:space="preserve"> kan føre til overdosering med </w:t>
      </w:r>
      <w:proofErr w:type="spellStart"/>
      <w:r w:rsidRPr="00B06EB1">
        <w:rPr>
          <w:sz w:val="24"/>
          <w:szCs w:val="24"/>
        </w:rPr>
        <w:t>phenytoin</w:t>
      </w:r>
      <w:proofErr w:type="spellEnd"/>
      <w:r w:rsidRPr="00B06EB1">
        <w:rPr>
          <w:sz w:val="24"/>
          <w:szCs w:val="24"/>
        </w:rPr>
        <w:t>, resulterende i neurologiske symptomer. Klinisk overvågning skal udføres, og doseringen a</w:t>
      </w:r>
      <w:r>
        <w:rPr>
          <w:sz w:val="24"/>
          <w:szCs w:val="24"/>
        </w:rPr>
        <w:t xml:space="preserve">f </w:t>
      </w:r>
      <w:proofErr w:type="spellStart"/>
      <w:r w:rsidRPr="00B06EB1">
        <w:rPr>
          <w:sz w:val="24"/>
          <w:szCs w:val="24"/>
        </w:rPr>
        <w:t>phenytoin</w:t>
      </w:r>
      <w:proofErr w:type="spellEnd"/>
      <w:r w:rsidRPr="00B06EB1">
        <w:rPr>
          <w:sz w:val="24"/>
          <w:szCs w:val="24"/>
        </w:rPr>
        <w:t xml:space="preserve"> bør reduceres, så snart der opstår tegn på overdosering. Endvidere skal der bestemmes </w:t>
      </w:r>
      <w:proofErr w:type="spellStart"/>
      <w:r w:rsidRPr="00B06EB1">
        <w:rPr>
          <w:sz w:val="24"/>
          <w:szCs w:val="24"/>
        </w:rPr>
        <w:t>plasmaphenytoin</w:t>
      </w:r>
      <w:proofErr w:type="spellEnd"/>
      <w:r w:rsidRPr="00B06EB1">
        <w:rPr>
          <w:sz w:val="24"/>
          <w:szCs w:val="24"/>
        </w:rPr>
        <w:t>.</w:t>
      </w:r>
    </w:p>
    <w:p w:rsidR="00BD7E83" w:rsidRPr="00B06EB1" w:rsidRDefault="00BD7E83" w:rsidP="00BD7E83">
      <w:pPr>
        <w:pStyle w:val="Brdtekst"/>
        <w:spacing w:before="1" w:after="0"/>
        <w:ind w:left="851"/>
        <w:rPr>
          <w:sz w:val="24"/>
          <w:szCs w:val="24"/>
        </w:rPr>
      </w:pPr>
    </w:p>
    <w:p w:rsidR="00BD7E83" w:rsidRPr="00B06EB1" w:rsidRDefault="00BD7E83" w:rsidP="00BD7E83">
      <w:pPr>
        <w:ind w:left="851"/>
        <w:rPr>
          <w:i/>
          <w:szCs w:val="24"/>
        </w:rPr>
      </w:pPr>
      <w:r w:rsidRPr="00B06EB1">
        <w:rPr>
          <w:i/>
          <w:szCs w:val="24"/>
        </w:rPr>
        <w:t xml:space="preserve">Lægemidler, der </w:t>
      </w:r>
      <w:proofErr w:type="spellStart"/>
      <w:r w:rsidRPr="00B06EB1">
        <w:rPr>
          <w:i/>
          <w:szCs w:val="24"/>
        </w:rPr>
        <w:t>metaboliseres</w:t>
      </w:r>
      <w:proofErr w:type="spellEnd"/>
      <w:r w:rsidRPr="00B06EB1">
        <w:rPr>
          <w:i/>
          <w:szCs w:val="24"/>
        </w:rPr>
        <w:t xml:space="preserve"> af CYP2D6:</w:t>
      </w:r>
    </w:p>
    <w:p w:rsidR="00BD7E83" w:rsidRPr="00B06EB1" w:rsidRDefault="00BD7E83" w:rsidP="00BD7E83">
      <w:pPr>
        <w:pStyle w:val="Brdtekst"/>
        <w:spacing w:after="0"/>
        <w:ind w:left="851"/>
        <w:rPr>
          <w:i/>
          <w:sz w:val="24"/>
          <w:szCs w:val="24"/>
        </w:rPr>
      </w:pPr>
    </w:p>
    <w:p w:rsidR="00BD7E83" w:rsidRPr="00B06EB1" w:rsidRDefault="00BD7E83" w:rsidP="00BD7E83">
      <w:pPr>
        <w:ind w:left="851"/>
        <w:rPr>
          <w:i/>
          <w:szCs w:val="24"/>
        </w:rPr>
      </w:pPr>
      <w:proofErr w:type="spellStart"/>
      <w:r w:rsidRPr="00B06EB1">
        <w:rPr>
          <w:i/>
          <w:szCs w:val="24"/>
        </w:rPr>
        <w:t>Flecainid</w:t>
      </w:r>
      <w:proofErr w:type="spellEnd"/>
      <w:r w:rsidRPr="00B06EB1">
        <w:rPr>
          <w:i/>
          <w:szCs w:val="24"/>
        </w:rPr>
        <w:t>:</w:t>
      </w:r>
    </w:p>
    <w:p w:rsidR="00BD7E83" w:rsidRPr="00B06EB1" w:rsidRDefault="00BD7E83" w:rsidP="00BD7E83">
      <w:pPr>
        <w:pStyle w:val="Brdtekst"/>
        <w:spacing w:after="0"/>
        <w:ind w:left="851" w:right="267"/>
        <w:rPr>
          <w:sz w:val="24"/>
          <w:szCs w:val="24"/>
        </w:rPr>
      </w:pPr>
      <w:proofErr w:type="spellStart"/>
      <w:r w:rsidRPr="00B06EB1">
        <w:rPr>
          <w:sz w:val="24"/>
          <w:szCs w:val="24"/>
        </w:rPr>
        <w:t>Amiodaron</w:t>
      </w:r>
      <w:proofErr w:type="spellEnd"/>
      <w:r w:rsidRPr="00B06EB1">
        <w:rPr>
          <w:sz w:val="24"/>
          <w:szCs w:val="24"/>
        </w:rPr>
        <w:t xml:space="preserve"> forøger </w:t>
      </w:r>
      <w:proofErr w:type="spellStart"/>
      <w:r w:rsidRPr="00B06EB1">
        <w:rPr>
          <w:sz w:val="24"/>
          <w:szCs w:val="24"/>
        </w:rPr>
        <w:t>flecainidkoncentrationen</w:t>
      </w:r>
      <w:proofErr w:type="spellEnd"/>
      <w:r w:rsidRPr="00B06EB1">
        <w:rPr>
          <w:sz w:val="24"/>
          <w:szCs w:val="24"/>
        </w:rPr>
        <w:t xml:space="preserve"> i plasma ved at hæmme </w:t>
      </w:r>
      <w:proofErr w:type="spellStart"/>
      <w:r w:rsidRPr="00B06EB1">
        <w:rPr>
          <w:sz w:val="24"/>
          <w:szCs w:val="24"/>
        </w:rPr>
        <w:t>cytochrom</w:t>
      </w:r>
      <w:proofErr w:type="spellEnd"/>
      <w:r w:rsidRPr="00B06EB1">
        <w:rPr>
          <w:sz w:val="24"/>
          <w:szCs w:val="24"/>
        </w:rPr>
        <w:t xml:space="preserve"> CYP 2D6. </w:t>
      </w:r>
      <w:proofErr w:type="spellStart"/>
      <w:r w:rsidRPr="00B06EB1">
        <w:rPr>
          <w:sz w:val="24"/>
          <w:szCs w:val="24"/>
        </w:rPr>
        <w:t>Flecainiddoseringen</w:t>
      </w:r>
      <w:proofErr w:type="spellEnd"/>
      <w:r w:rsidRPr="00B06EB1">
        <w:rPr>
          <w:sz w:val="24"/>
          <w:szCs w:val="24"/>
        </w:rPr>
        <w:t xml:space="preserve"> bør derfor justeres.</w:t>
      </w:r>
    </w:p>
    <w:p w:rsidR="00BD7E83" w:rsidRPr="00B06EB1" w:rsidRDefault="00BD7E83" w:rsidP="00BD7E83">
      <w:pPr>
        <w:pStyle w:val="Brdtekst"/>
        <w:ind w:left="851"/>
        <w:rPr>
          <w:sz w:val="24"/>
          <w:szCs w:val="24"/>
        </w:rPr>
      </w:pPr>
    </w:p>
    <w:p w:rsidR="00BD7E83" w:rsidRPr="00B06EB1" w:rsidRDefault="00BD7E83" w:rsidP="00BD7E83">
      <w:pPr>
        <w:ind w:left="851"/>
        <w:rPr>
          <w:i/>
          <w:szCs w:val="24"/>
        </w:rPr>
      </w:pPr>
      <w:r w:rsidRPr="00B06EB1">
        <w:rPr>
          <w:i/>
          <w:szCs w:val="24"/>
        </w:rPr>
        <w:t>CYPP450 3A4-substrater:</w:t>
      </w:r>
    </w:p>
    <w:p w:rsidR="00BD7E83" w:rsidRPr="00B06EB1" w:rsidRDefault="00BD7E83" w:rsidP="00BD7E83">
      <w:pPr>
        <w:pStyle w:val="Brdtekst"/>
        <w:ind w:left="851" w:right="400"/>
        <w:rPr>
          <w:sz w:val="24"/>
          <w:szCs w:val="24"/>
        </w:rPr>
      </w:pPr>
      <w:r w:rsidRPr="00B06EB1">
        <w:rPr>
          <w:sz w:val="24"/>
          <w:szCs w:val="24"/>
        </w:rPr>
        <w:t xml:space="preserve">Ved samtidig administration af sådanne lægemiddelstoffer og </w:t>
      </w:r>
      <w:proofErr w:type="spellStart"/>
      <w:r w:rsidRPr="00B06EB1">
        <w:rPr>
          <w:sz w:val="24"/>
          <w:szCs w:val="24"/>
        </w:rPr>
        <w:t>amiodaron</w:t>
      </w:r>
      <w:proofErr w:type="spellEnd"/>
      <w:r w:rsidRPr="00B06EB1">
        <w:rPr>
          <w:sz w:val="24"/>
          <w:szCs w:val="24"/>
        </w:rPr>
        <w:t>, der hæmmer CYP 3A4, kan der opstå forhøjede plasmakoncentrationer med mulig øgning af deres toksicitet:</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r w:rsidRPr="00B06EB1">
        <w:rPr>
          <w:sz w:val="24"/>
          <w:szCs w:val="24"/>
        </w:rPr>
        <w:t>Ciclosporin:</w:t>
      </w:r>
    </w:p>
    <w:p w:rsidR="00BD7E83" w:rsidRPr="00B06EB1" w:rsidRDefault="00BD7E83" w:rsidP="00BD7E83">
      <w:pPr>
        <w:pStyle w:val="Brdtekst"/>
        <w:ind w:left="1276" w:right="559"/>
        <w:rPr>
          <w:sz w:val="24"/>
          <w:szCs w:val="24"/>
        </w:rPr>
      </w:pPr>
      <w:r w:rsidRPr="00B06EB1">
        <w:rPr>
          <w:sz w:val="24"/>
          <w:szCs w:val="24"/>
        </w:rPr>
        <w:t xml:space="preserve">I kombination med </w:t>
      </w:r>
      <w:proofErr w:type="spellStart"/>
      <w:r w:rsidRPr="00B06EB1">
        <w:rPr>
          <w:sz w:val="24"/>
          <w:szCs w:val="24"/>
        </w:rPr>
        <w:t>amiodaron</w:t>
      </w:r>
      <w:proofErr w:type="spellEnd"/>
      <w:r w:rsidRPr="00B06EB1">
        <w:rPr>
          <w:sz w:val="24"/>
          <w:szCs w:val="24"/>
        </w:rPr>
        <w:t xml:space="preserve"> kan plasmakoncentrationen af </w:t>
      </w:r>
      <w:proofErr w:type="spellStart"/>
      <w:r w:rsidRPr="00B06EB1">
        <w:rPr>
          <w:sz w:val="24"/>
          <w:szCs w:val="24"/>
        </w:rPr>
        <w:t>ciclosporin</w:t>
      </w:r>
      <w:proofErr w:type="spellEnd"/>
      <w:r w:rsidRPr="00B06EB1">
        <w:rPr>
          <w:sz w:val="24"/>
          <w:szCs w:val="24"/>
        </w:rPr>
        <w:t xml:space="preserve"> øges, og der bør tages højde for dette ved doseringen.</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r w:rsidRPr="00B06EB1">
        <w:rPr>
          <w:sz w:val="24"/>
          <w:szCs w:val="24"/>
        </w:rPr>
        <w:t>Fentanyl:</w:t>
      </w:r>
    </w:p>
    <w:p w:rsidR="00BD7E83" w:rsidRPr="00B06EB1" w:rsidRDefault="00BD7E83" w:rsidP="00BD7E83">
      <w:pPr>
        <w:pStyle w:val="Brdtekst"/>
        <w:spacing w:before="1"/>
        <w:ind w:left="1276" w:right="432"/>
        <w:rPr>
          <w:sz w:val="24"/>
          <w:szCs w:val="24"/>
        </w:rPr>
      </w:pPr>
      <w:r w:rsidRPr="00B06EB1">
        <w:rPr>
          <w:sz w:val="24"/>
          <w:szCs w:val="24"/>
        </w:rPr>
        <w:t xml:space="preserve">I kombination med </w:t>
      </w:r>
      <w:proofErr w:type="spellStart"/>
      <w:r w:rsidRPr="00B06EB1">
        <w:rPr>
          <w:sz w:val="24"/>
          <w:szCs w:val="24"/>
        </w:rPr>
        <w:t>amiodaron</w:t>
      </w:r>
      <w:proofErr w:type="spellEnd"/>
      <w:r w:rsidRPr="00B06EB1">
        <w:rPr>
          <w:sz w:val="24"/>
          <w:szCs w:val="24"/>
        </w:rPr>
        <w:t xml:space="preserve"> kan fentanyls farmakologiske virkning forstærkes og risikoen for </w:t>
      </w:r>
      <w:proofErr w:type="spellStart"/>
      <w:r w:rsidRPr="00B06EB1">
        <w:rPr>
          <w:sz w:val="24"/>
          <w:szCs w:val="24"/>
        </w:rPr>
        <w:t>toxicitet</w:t>
      </w:r>
      <w:proofErr w:type="spellEnd"/>
      <w:r w:rsidRPr="00B06EB1">
        <w:rPr>
          <w:sz w:val="24"/>
          <w:szCs w:val="24"/>
        </w:rPr>
        <w:t xml:space="preserve"> forøges.</w:t>
      </w:r>
    </w:p>
    <w:p w:rsidR="00BD7E83" w:rsidRPr="00B06EB1" w:rsidRDefault="00BD7E83" w:rsidP="00BD7E83">
      <w:pPr>
        <w:pStyle w:val="Listeafsnit"/>
        <w:numPr>
          <w:ilvl w:val="0"/>
          <w:numId w:val="16"/>
        </w:numPr>
        <w:tabs>
          <w:tab w:val="left" w:pos="1246"/>
        </w:tabs>
        <w:spacing w:line="240" w:lineRule="auto"/>
        <w:ind w:left="851" w:firstLine="0"/>
        <w:rPr>
          <w:sz w:val="24"/>
          <w:szCs w:val="24"/>
        </w:rPr>
      </w:pPr>
      <w:proofErr w:type="spellStart"/>
      <w:r w:rsidRPr="00B06EB1">
        <w:rPr>
          <w:sz w:val="24"/>
          <w:szCs w:val="24"/>
        </w:rPr>
        <w:t>Statiner</w:t>
      </w:r>
      <w:proofErr w:type="spellEnd"/>
      <w:r w:rsidRPr="00B06EB1">
        <w:rPr>
          <w:sz w:val="24"/>
          <w:szCs w:val="24"/>
        </w:rPr>
        <w:t>:</w:t>
      </w:r>
    </w:p>
    <w:p w:rsidR="00BD7E83" w:rsidRPr="00B06EB1" w:rsidRDefault="00BD7E83" w:rsidP="00BD7E83">
      <w:pPr>
        <w:pStyle w:val="Brdtekst"/>
        <w:ind w:left="1276" w:right="412"/>
        <w:rPr>
          <w:sz w:val="24"/>
          <w:szCs w:val="24"/>
        </w:rPr>
      </w:pPr>
      <w:r w:rsidRPr="00B06EB1">
        <w:rPr>
          <w:sz w:val="24"/>
          <w:szCs w:val="24"/>
        </w:rPr>
        <w:t xml:space="preserve">Der er øget risiko for muskulær toksicitet (f.eks. </w:t>
      </w:r>
      <w:proofErr w:type="spellStart"/>
      <w:r w:rsidRPr="00B06EB1">
        <w:rPr>
          <w:sz w:val="24"/>
          <w:szCs w:val="24"/>
        </w:rPr>
        <w:t>rhabdomyolyse</w:t>
      </w:r>
      <w:proofErr w:type="spellEnd"/>
      <w:r w:rsidRPr="00B06EB1">
        <w:rPr>
          <w:sz w:val="24"/>
          <w:szCs w:val="24"/>
        </w:rPr>
        <w:t xml:space="preserve">) ved samtidig administration af </w:t>
      </w:r>
      <w:proofErr w:type="spellStart"/>
      <w:r w:rsidRPr="00B06EB1">
        <w:rPr>
          <w:sz w:val="24"/>
          <w:szCs w:val="24"/>
        </w:rPr>
        <w:t>amiodaron</w:t>
      </w:r>
      <w:proofErr w:type="spellEnd"/>
      <w:r w:rsidRPr="00B06EB1">
        <w:rPr>
          <w:sz w:val="24"/>
          <w:szCs w:val="24"/>
        </w:rPr>
        <w:t xml:space="preserve"> og </w:t>
      </w:r>
      <w:proofErr w:type="spellStart"/>
      <w:r w:rsidRPr="00B06EB1">
        <w:rPr>
          <w:sz w:val="24"/>
          <w:szCs w:val="24"/>
        </w:rPr>
        <w:t>statiner</w:t>
      </w:r>
      <w:proofErr w:type="spellEnd"/>
      <w:r w:rsidRPr="00B06EB1">
        <w:rPr>
          <w:sz w:val="24"/>
          <w:szCs w:val="24"/>
        </w:rPr>
        <w:t xml:space="preserve">, der </w:t>
      </w:r>
      <w:proofErr w:type="spellStart"/>
      <w:r w:rsidRPr="00B06EB1">
        <w:rPr>
          <w:sz w:val="24"/>
          <w:szCs w:val="24"/>
        </w:rPr>
        <w:t>metaboliseres</w:t>
      </w:r>
      <w:proofErr w:type="spellEnd"/>
      <w:r w:rsidRPr="00B06EB1">
        <w:rPr>
          <w:sz w:val="24"/>
          <w:szCs w:val="24"/>
        </w:rPr>
        <w:t xml:space="preserve"> af CYP 3A4 såsom </w:t>
      </w:r>
      <w:proofErr w:type="spellStart"/>
      <w:r w:rsidRPr="00B06EB1">
        <w:rPr>
          <w:sz w:val="24"/>
          <w:szCs w:val="24"/>
        </w:rPr>
        <w:t>simvastatin</w:t>
      </w:r>
      <w:proofErr w:type="spellEnd"/>
      <w:r w:rsidRPr="00B06EB1">
        <w:rPr>
          <w:sz w:val="24"/>
          <w:szCs w:val="24"/>
        </w:rPr>
        <w:t xml:space="preserve">, </w:t>
      </w:r>
      <w:proofErr w:type="spellStart"/>
      <w:r w:rsidRPr="00B06EB1">
        <w:rPr>
          <w:sz w:val="24"/>
          <w:szCs w:val="24"/>
        </w:rPr>
        <w:t>atorvastatin</w:t>
      </w:r>
      <w:proofErr w:type="spellEnd"/>
      <w:r w:rsidRPr="00B06EB1">
        <w:rPr>
          <w:sz w:val="24"/>
          <w:szCs w:val="24"/>
        </w:rPr>
        <w:t xml:space="preserve"> og</w:t>
      </w:r>
      <w:r w:rsidRPr="00B06EB1">
        <w:rPr>
          <w:spacing w:val="-4"/>
          <w:sz w:val="24"/>
          <w:szCs w:val="24"/>
        </w:rPr>
        <w:t xml:space="preserve"> </w:t>
      </w:r>
      <w:proofErr w:type="spellStart"/>
      <w:r w:rsidRPr="00B06EB1">
        <w:rPr>
          <w:sz w:val="24"/>
          <w:szCs w:val="24"/>
        </w:rPr>
        <w:t>lovastatin</w:t>
      </w:r>
      <w:proofErr w:type="spellEnd"/>
      <w:r w:rsidRPr="00B06EB1">
        <w:rPr>
          <w:sz w:val="24"/>
          <w:szCs w:val="24"/>
        </w:rPr>
        <w:t>.</w:t>
      </w:r>
    </w:p>
    <w:p w:rsidR="00BD7E83" w:rsidRPr="00B06EB1" w:rsidRDefault="00BD7E83" w:rsidP="00BD7E83">
      <w:pPr>
        <w:pStyle w:val="Brdtekst"/>
        <w:ind w:left="1276" w:right="420"/>
        <w:rPr>
          <w:sz w:val="24"/>
          <w:szCs w:val="24"/>
        </w:rPr>
      </w:pPr>
      <w:r w:rsidRPr="00B06EB1">
        <w:rPr>
          <w:sz w:val="24"/>
          <w:szCs w:val="24"/>
        </w:rPr>
        <w:t xml:space="preserve">Det anbefales at anvende et </w:t>
      </w:r>
      <w:proofErr w:type="spellStart"/>
      <w:r w:rsidRPr="00B06EB1">
        <w:rPr>
          <w:sz w:val="24"/>
          <w:szCs w:val="24"/>
        </w:rPr>
        <w:t>statin</w:t>
      </w:r>
      <w:proofErr w:type="spellEnd"/>
      <w:r w:rsidRPr="00B06EB1">
        <w:rPr>
          <w:sz w:val="24"/>
          <w:szCs w:val="24"/>
        </w:rPr>
        <w:t xml:space="preserve"> der ikke </w:t>
      </w:r>
      <w:proofErr w:type="spellStart"/>
      <w:r w:rsidRPr="00B06EB1">
        <w:rPr>
          <w:sz w:val="24"/>
          <w:szCs w:val="24"/>
        </w:rPr>
        <w:t>metaboliseres</w:t>
      </w:r>
      <w:proofErr w:type="spellEnd"/>
      <w:r w:rsidRPr="00B06EB1">
        <w:rPr>
          <w:sz w:val="24"/>
          <w:szCs w:val="24"/>
        </w:rPr>
        <w:t xml:space="preserve"> af CYP 3A4 ved samtidig behandling med</w:t>
      </w:r>
      <w:r w:rsidRPr="00B06EB1">
        <w:rPr>
          <w:spacing w:val="-3"/>
          <w:sz w:val="24"/>
          <w:szCs w:val="24"/>
        </w:rPr>
        <w:t xml:space="preserve">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Listeafsnit"/>
        <w:numPr>
          <w:ilvl w:val="0"/>
          <w:numId w:val="16"/>
        </w:numPr>
        <w:tabs>
          <w:tab w:val="left" w:pos="1246"/>
        </w:tabs>
        <w:spacing w:line="240" w:lineRule="auto"/>
        <w:ind w:left="851" w:firstLine="0"/>
        <w:rPr>
          <w:sz w:val="24"/>
          <w:szCs w:val="24"/>
          <w:lang w:val="da-DK"/>
        </w:rPr>
      </w:pPr>
      <w:r w:rsidRPr="00B06EB1">
        <w:rPr>
          <w:sz w:val="24"/>
          <w:szCs w:val="24"/>
          <w:lang w:val="da-DK"/>
        </w:rPr>
        <w:t xml:space="preserve">Andre lægemidler, der </w:t>
      </w:r>
      <w:proofErr w:type="spellStart"/>
      <w:r w:rsidRPr="00B06EB1">
        <w:rPr>
          <w:sz w:val="24"/>
          <w:szCs w:val="24"/>
          <w:lang w:val="da-DK"/>
        </w:rPr>
        <w:t>metaboliseres</w:t>
      </w:r>
      <w:proofErr w:type="spellEnd"/>
      <w:r w:rsidRPr="00B06EB1">
        <w:rPr>
          <w:sz w:val="24"/>
          <w:szCs w:val="24"/>
          <w:lang w:val="da-DK"/>
        </w:rPr>
        <w:t xml:space="preserve"> af CYP</w:t>
      </w:r>
      <w:r w:rsidRPr="00B06EB1">
        <w:rPr>
          <w:spacing w:val="-1"/>
          <w:sz w:val="24"/>
          <w:szCs w:val="24"/>
          <w:lang w:val="da-DK"/>
        </w:rPr>
        <w:t xml:space="preserve"> </w:t>
      </w:r>
      <w:r w:rsidRPr="00B06EB1">
        <w:rPr>
          <w:sz w:val="24"/>
          <w:szCs w:val="24"/>
          <w:lang w:val="da-DK"/>
        </w:rPr>
        <w:t>3A4:</w:t>
      </w:r>
    </w:p>
    <w:p w:rsidR="00BD7E83" w:rsidRPr="00B06EB1" w:rsidRDefault="00BD7E83" w:rsidP="00BD7E83">
      <w:pPr>
        <w:pStyle w:val="Brdtekst"/>
        <w:spacing w:after="0"/>
        <w:ind w:left="1276" w:right="319"/>
        <w:rPr>
          <w:sz w:val="24"/>
          <w:szCs w:val="24"/>
        </w:rPr>
      </w:pPr>
      <w:proofErr w:type="spellStart"/>
      <w:r w:rsidRPr="00B06EB1">
        <w:rPr>
          <w:sz w:val="24"/>
          <w:szCs w:val="24"/>
        </w:rPr>
        <w:t>Lidocain</w:t>
      </w:r>
      <w:proofErr w:type="spellEnd"/>
      <w:r w:rsidRPr="00B06EB1">
        <w:rPr>
          <w:sz w:val="24"/>
          <w:szCs w:val="24"/>
        </w:rPr>
        <w:t>,</w:t>
      </w:r>
      <w:r w:rsidR="003206F7">
        <w:rPr>
          <w:sz w:val="24"/>
          <w:szCs w:val="24"/>
        </w:rPr>
        <w:t xml:space="preserve"> </w:t>
      </w:r>
      <w:proofErr w:type="spellStart"/>
      <w:r w:rsidR="003206F7">
        <w:rPr>
          <w:sz w:val="24"/>
          <w:szCs w:val="24"/>
        </w:rPr>
        <w:t>sirolimus</w:t>
      </w:r>
      <w:proofErr w:type="spellEnd"/>
      <w:r w:rsidR="00422E45">
        <w:rPr>
          <w:sz w:val="24"/>
          <w:szCs w:val="24"/>
        </w:rPr>
        <w:t>,</w:t>
      </w:r>
      <w:r w:rsidRPr="00B06EB1">
        <w:rPr>
          <w:sz w:val="24"/>
          <w:szCs w:val="24"/>
        </w:rPr>
        <w:t xml:space="preserve"> </w:t>
      </w:r>
      <w:proofErr w:type="spellStart"/>
      <w:r w:rsidRPr="00B06EB1">
        <w:rPr>
          <w:sz w:val="24"/>
          <w:szCs w:val="24"/>
        </w:rPr>
        <w:t>tacrolimus</w:t>
      </w:r>
      <w:proofErr w:type="spellEnd"/>
      <w:r w:rsidRPr="00B06EB1">
        <w:rPr>
          <w:sz w:val="24"/>
          <w:szCs w:val="24"/>
        </w:rPr>
        <w:t xml:space="preserve">, </w:t>
      </w:r>
      <w:proofErr w:type="spellStart"/>
      <w:r w:rsidRPr="00B06EB1">
        <w:rPr>
          <w:sz w:val="24"/>
          <w:szCs w:val="24"/>
        </w:rPr>
        <w:t>sildenafil</w:t>
      </w:r>
      <w:proofErr w:type="spellEnd"/>
      <w:r w:rsidRPr="00B06EB1">
        <w:rPr>
          <w:sz w:val="24"/>
          <w:szCs w:val="24"/>
        </w:rPr>
        <w:t xml:space="preserve">, </w:t>
      </w:r>
      <w:proofErr w:type="spellStart"/>
      <w:r w:rsidRPr="00B06EB1">
        <w:rPr>
          <w:sz w:val="24"/>
          <w:szCs w:val="24"/>
        </w:rPr>
        <w:t>midazolam</w:t>
      </w:r>
      <w:proofErr w:type="spellEnd"/>
      <w:r w:rsidRPr="00B06EB1">
        <w:rPr>
          <w:sz w:val="24"/>
          <w:szCs w:val="24"/>
        </w:rPr>
        <w:t xml:space="preserve">, </w:t>
      </w:r>
      <w:proofErr w:type="spellStart"/>
      <w:r w:rsidRPr="00B06EB1">
        <w:rPr>
          <w:sz w:val="24"/>
          <w:szCs w:val="24"/>
        </w:rPr>
        <w:t>triazolam</w:t>
      </w:r>
      <w:proofErr w:type="spellEnd"/>
      <w:r w:rsidRPr="00B06EB1">
        <w:rPr>
          <w:sz w:val="24"/>
          <w:szCs w:val="24"/>
        </w:rPr>
        <w:t xml:space="preserve">, </w:t>
      </w:r>
      <w:proofErr w:type="spellStart"/>
      <w:r w:rsidRPr="00B06EB1">
        <w:rPr>
          <w:sz w:val="24"/>
          <w:szCs w:val="24"/>
        </w:rPr>
        <w:t>dihydroergotamin</w:t>
      </w:r>
      <w:proofErr w:type="spellEnd"/>
      <w:r w:rsidRPr="00B06EB1">
        <w:rPr>
          <w:sz w:val="24"/>
          <w:szCs w:val="24"/>
        </w:rPr>
        <w:t xml:space="preserve">, </w:t>
      </w:r>
      <w:proofErr w:type="spellStart"/>
      <w:r w:rsidRPr="00B06EB1">
        <w:rPr>
          <w:sz w:val="24"/>
          <w:szCs w:val="24"/>
        </w:rPr>
        <w:t>ergotamin</w:t>
      </w:r>
      <w:proofErr w:type="spellEnd"/>
      <w:r w:rsidRPr="00B06EB1">
        <w:rPr>
          <w:sz w:val="24"/>
          <w:szCs w:val="24"/>
        </w:rPr>
        <w:t xml:space="preserve"> og </w:t>
      </w:r>
      <w:proofErr w:type="spellStart"/>
      <w:r w:rsidRPr="00B06EB1">
        <w:rPr>
          <w:sz w:val="24"/>
          <w:szCs w:val="24"/>
        </w:rPr>
        <w:t>colchicin</w:t>
      </w:r>
      <w:proofErr w:type="spellEnd"/>
      <w:r w:rsidRPr="00B06EB1">
        <w:rPr>
          <w:sz w:val="24"/>
          <w:szCs w:val="24"/>
        </w:rPr>
        <w:t>.</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Pr>
          <w:sz w:val="24"/>
          <w:szCs w:val="24"/>
        </w:rPr>
      </w:pPr>
      <w:r w:rsidRPr="00B06EB1">
        <w:rPr>
          <w:sz w:val="24"/>
          <w:szCs w:val="24"/>
          <w:u w:val="single"/>
        </w:rPr>
        <w:t>Andre lægemidlers interaktion med</w:t>
      </w:r>
      <w:r w:rsidRPr="00B06EB1">
        <w:rPr>
          <w:spacing w:val="-10"/>
          <w:sz w:val="24"/>
          <w:szCs w:val="24"/>
          <w:u w:val="single"/>
        </w:rPr>
        <w:t xml:space="preserve"> </w:t>
      </w:r>
      <w:proofErr w:type="spellStart"/>
      <w:r w:rsidRPr="00B06EB1">
        <w:rPr>
          <w:sz w:val="24"/>
          <w:szCs w:val="24"/>
          <w:u w:val="single"/>
        </w:rPr>
        <w:t>Cordarone</w:t>
      </w:r>
      <w:proofErr w:type="spellEnd"/>
    </w:p>
    <w:p w:rsidR="00BD7E83" w:rsidRPr="00B06EB1" w:rsidRDefault="00BD7E83" w:rsidP="00BD7E83">
      <w:pPr>
        <w:pStyle w:val="Brdtekst"/>
        <w:spacing w:after="0"/>
        <w:ind w:left="851" w:right="279"/>
        <w:rPr>
          <w:sz w:val="24"/>
          <w:szCs w:val="24"/>
        </w:rPr>
      </w:pPr>
      <w:r w:rsidRPr="00B06EB1">
        <w:rPr>
          <w:sz w:val="24"/>
          <w:szCs w:val="24"/>
        </w:rPr>
        <w:t xml:space="preserve">CYP3A4 </w:t>
      </w:r>
      <w:proofErr w:type="spellStart"/>
      <w:r w:rsidRPr="00B06EB1">
        <w:rPr>
          <w:sz w:val="24"/>
          <w:szCs w:val="24"/>
        </w:rPr>
        <w:t>hæmmere</w:t>
      </w:r>
      <w:proofErr w:type="spellEnd"/>
      <w:r w:rsidRPr="00B06EB1">
        <w:rPr>
          <w:sz w:val="24"/>
          <w:szCs w:val="24"/>
        </w:rPr>
        <w:t xml:space="preserve"> og CYP2C8 </w:t>
      </w:r>
      <w:proofErr w:type="spellStart"/>
      <w:r w:rsidRPr="00B06EB1">
        <w:rPr>
          <w:sz w:val="24"/>
          <w:szCs w:val="24"/>
        </w:rPr>
        <w:t>hæmmere</w:t>
      </w:r>
      <w:proofErr w:type="spellEnd"/>
      <w:r w:rsidRPr="00B06EB1">
        <w:rPr>
          <w:sz w:val="24"/>
          <w:szCs w:val="24"/>
        </w:rPr>
        <w:t xml:space="preserve"> kan have potentiale til at hæmme metabolismen af </w:t>
      </w:r>
      <w:proofErr w:type="spellStart"/>
      <w:r w:rsidRPr="00B06EB1">
        <w:rPr>
          <w:sz w:val="24"/>
          <w:szCs w:val="24"/>
        </w:rPr>
        <w:t>amiodaron</w:t>
      </w:r>
      <w:proofErr w:type="spellEnd"/>
      <w:r w:rsidRPr="00B06EB1">
        <w:rPr>
          <w:sz w:val="24"/>
          <w:szCs w:val="24"/>
        </w:rPr>
        <w:t xml:space="preserve"> og derved øge dens</w:t>
      </w:r>
      <w:r w:rsidRPr="00B06EB1">
        <w:rPr>
          <w:spacing w:val="-2"/>
          <w:sz w:val="24"/>
          <w:szCs w:val="24"/>
        </w:rPr>
        <w:t xml:space="preserve"> </w:t>
      </w:r>
      <w:r w:rsidRPr="00B06EB1">
        <w:rPr>
          <w:sz w:val="24"/>
          <w:szCs w:val="24"/>
        </w:rPr>
        <w:t>eksponering.</w:t>
      </w:r>
    </w:p>
    <w:p w:rsidR="00BD7E83" w:rsidRPr="00B06EB1" w:rsidRDefault="00BD7E83" w:rsidP="00BD7E83">
      <w:pPr>
        <w:pStyle w:val="Brdtekst"/>
        <w:spacing w:after="0"/>
        <w:ind w:left="851"/>
        <w:rPr>
          <w:sz w:val="24"/>
          <w:szCs w:val="24"/>
        </w:rPr>
      </w:pPr>
    </w:p>
    <w:p w:rsidR="00BD7E83" w:rsidRPr="00B06EB1" w:rsidRDefault="00BD7E83" w:rsidP="00BD7E83">
      <w:pPr>
        <w:pStyle w:val="Brdtekst"/>
        <w:spacing w:after="0"/>
        <w:ind w:left="851" w:right="434"/>
        <w:rPr>
          <w:sz w:val="24"/>
          <w:szCs w:val="24"/>
        </w:rPr>
      </w:pPr>
      <w:r w:rsidRPr="00B06EB1">
        <w:rPr>
          <w:sz w:val="24"/>
          <w:szCs w:val="24"/>
        </w:rPr>
        <w:t xml:space="preserve">Det anbefales at undgå CYP 3A4 </w:t>
      </w:r>
      <w:proofErr w:type="spellStart"/>
      <w:r w:rsidRPr="00B06EB1">
        <w:rPr>
          <w:sz w:val="24"/>
          <w:szCs w:val="24"/>
        </w:rPr>
        <w:t>hæmmere</w:t>
      </w:r>
      <w:proofErr w:type="spellEnd"/>
      <w:r w:rsidRPr="00B06EB1">
        <w:rPr>
          <w:sz w:val="24"/>
          <w:szCs w:val="24"/>
        </w:rPr>
        <w:t xml:space="preserve"> (f.eks. grapefrugtjuice og visse lægemidler) under behandling med </w:t>
      </w:r>
      <w:proofErr w:type="spellStart"/>
      <w:r w:rsidRPr="00B06EB1">
        <w:rPr>
          <w:sz w:val="24"/>
          <w:szCs w:val="24"/>
        </w:rPr>
        <w:t>amiodaron</w:t>
      </w:r>
      <w:proofErr w:type="spellEnd"/>
      <w:r w:rsidRPr="00B06EB1">
        <w:rPr>
          <w:sz w:val="24"/>
          <w:szCs w:val="24"/>
        </w:rPr>
        <w:t>.</w:t>
      </w:r>
    </w:p>
    <w:p w:rsidR="00BD7E83" w:rsidRPr="00B06EB1" w:rsidRDefault="00BD7E83" w:rsidP="00BD7E83">
      <w:pPr>
        <w:pStyle w:val="Brdtekst"/>
        <w:spacing w:after="0"/>
        <w:ind w:left="851" w:right="434"/>
        <w:rPr>
          <w:sz w:val="24"/>
          <w:szCs w:val="24"/>
        </w:rPr>
      </w:pPr>
    </w:p>
    <w:p w:rsidR="00BD7E83" w:rsidRPr="00B06EB1" w:rsidRDefault="00BD7E83" w:rsidP="00BD7E83">
      <w:pPr>
        <w:pStyle w:val="Brdtekst"/>
        <w:spacing w:before="9" w:after="0"/>
        <w:ind w:left="851"/>
        <w:rPr>
          <w:sz w:val="24"/>
          <w:szCs w:val="24"/>
        </w:rPr>
      </w:pPr>
      <w:r w:rsidRPr="00B06EB1">
        <w:rPr>
          <w:sz w:val="24"/>
          <w:szCs w:val="24"/>
        </w:rPr>
        <w:t xml:space="preserve">Samtidig administration af </w:t>
      </w:r>
      <w:proofErr w:type="spellStart"/>
      <w:r w:rsidRPr="00B06EB1">
        <w:rPr>
          <w:sz w:val="24"/>
          <w:szCs w:val="24"/>
        </w:rPr>
        <w:t>amiodaron</w:t>
      </w:r>
      <w:proofErr w:type="spellEnd"/>
      <w:r w:rsidRPr="00B06EB1">
        <w:rPr>
          <w:sz w:val="24"/>
          <w:szCs w:val="24"/>
        </w:rPr>
        <w:t xml:space="preserve"> med et regime indeholdende </w:t>
      </w:r>
      <w:proofErr w:type="spellStart"/>
      <w:r w:rsidRPr="00B06EB1">
        <w:rPr>
          <w:sz w:val="24"/>
          <w:szCs w:val="24"/>
        </w:rPr>
        <w:t>sofosbuvir</w:t>
      </w:r>
      <w:proofErr w:type="spellEnd"/>
      <w:r w:rsidRPr="00B06EB1">
        <w:rPr>
          <w:sz w:val="24"/>
          <w:szCs w:val="24"/>
        </w:rPr>
        <w:t xml:space="preserve"> kan medføre alvorlig symptomatisk bradykardi.</w:t>
      </w:r>
    </w:p>
    <w:p w:rsidR="00BD7E83" w:rsidRPr="00B06EB1" w:rsidRDefault="00BD7E83" w:rsidP="00BD7E83">
      <w:pPr>
        <w:pStyle w:val="Brdtekst"/>
        <w:spacing w:before="9" w:after="0"/>
        <w:ind w:left="851"/>
        <w:rPr>
          <w:sz w:val="24"/>
          <w:szCs w:val="24"/>
        </w:rPr>
      </w:pPr>
    </w:p>
    <w:p w:rsidR="00BD7E83" w:rsidRDefault="00BD7E83" w:rsidP="00BD7E83">
      <w:pPr>
        <w:pStyle w:val="Brdtekst"/>
        <w:spacing w:before="9" w:after="0"/>
        <w:ind w:left="851"/>
        <w:rPr>
          <w:sz w:val="24"/>
          <w:szCs w:val="24"/>
        </w:rPr>
      </w:pPr>
      <w:r w:rsidRPr="00B06EB1">
        <w:rPr>
          <w:sz w:val="24"/>
          <w:szCs w:val="24"/>
        </w:rPr>
        <w:t xml:space="preserve">Bør kun anvendes, hvis der ikke er andre behandlingsmuligheder. Tæt overvågning anbefales, hvis </w:t>
      </w:r>
      <w:proofErr w:type="spellStart"/>
      <w:r w:rsidRPr="00B06EB1">
        <w:rPr>
          <w:sz w:val="24"/>
          <w:szCs w:val="24"/>
        </w:rPr>
        <w:t>amiodaron</w:t>
      </w:r>
      <w:proofErr w:type="spellEnd"/>
      <w:r w:rsidRPr="00B06EB1">
        <w:rPr>
          <w:sz w:val="24"/>
          <w:szCs w:val="24"/>
        </w:rPr>
        <w:t xml:space="preserve"> administreres med </w:t>
      </w:r>
      <w:proofErr w:type="spellStart"/>
      <w:r w:rsidRPr="00B06EB1">
        <w:rPr>
          <w:sz w:val="24"/>
          <w:szCs w:val="24"/>
        </w:rPr>
        <w:t>sofosbuvir</w:t>
      </w:r>
      <w:proofErr w:type="spellEnd"/>
      <w:r w:rsidRPr="00B06EB1">
        <w:rPr>
          <w:sz w:val="24"/>
          <w:szCs w:val="24"/>
        </w:rPr>
        <w:t xml:space="preserve"> (se pkt. 4.4 og 4.8).</w:t>
      </w:r>
    </w:p>
    <w:p w:rsidR="00BD7E83" w:rsidRPr="00BD7E83" w:rsidRDefault="00BD7E83" w:rsidP="00BD7E83">
      <w:pPr>
        <w:pStyle w:val="Brdtekst"/>
        <w:spacing w:before="9" w:after="0"/>
        <w:ind w:left="851"/>
        <w:rPr>
          <w:sz w:val="24"/>
          <w:szCs w:val="24"/>
        </w:rPr>
      </w:pPr>
    </w:p>
    <w:p w:rsidR="006768E2" w:rsidRPr="007F0493" w:rsidRDefault="006768E2" w:rsidP="006768E2">
      <w:pPr>
        <w:numPr>
          <w:ilvl w:val="1"/>
          <w:numId w:val="10"/>
        </w:numPr>
        <w:rPr>
          <w:b/>
          <w:noProof/>
          <w:spacing w:val="-3"/>
        </w:rPr>
      </w:pPr>
      <w:r w:rsidRPr="005C6862">
        <w:rPr>
          <w:b/>
        </w:rPr>
        <w:t>Graviditet og amning</w:t>
      </w:r>
      <w:r w:rsidRPr="005C6862">
        <w:rPr>
          <w:b/>
          <w:spacing w:val="-3"/>
        </w:rPr>
        <w:br/>
      </w:r>
      <w:r w:rsidRPr="007F7F05">
        <w:t>Graviditet:</w:t>
      </w:r>
    </w:p>
    <w:p w:rsidR="006768E2" w:rsidRPr="00167569" w:rsidRDefault="006768E2" w:rsidP="006768E2">
      <w:pPr>
        <w:tabs>
          <w:tab w:val="left" w:pos="851"/>
        </w:tabs>
        <w:ind w:left="851"/>
        <w:rPr>
          <w:noProof/>
          <w:spacing w:val="-3"/>
        </w:rPr>
      </w:pPr>
      <w:r w:rsidRPr="00DD5607">
        <w:rPr>
          <w:noProof/>
          <w:spacing w:val="-3"/>
        </w:rPr>
        <w:t>Amiodaronhydrochlorid er kontraindiceret under graviditet, pga. effekterne på fos</w:t>
      </w:r>
      <w:r w:rsidRPr="00167569">
        <w:rPr>
          <w:noProof/>
          <w:spacing w:val="-3"/>
        </w:rPr>
        <w:t xml:space="preserve">trets skjoldbruskkirtel, med mindre fordelene for moderen opvejer risikoerne for fostret. </w:t>
      </w:r>
    </w:p>
    <w:p w:rsidR="006768E2" w:rsidRDefault="006768E2" w:rsidP="006768E2">
      <w:pPr>
        <w:tabs>
          <w:tab w:val="left" w:pos="0"/>
          <w:tab w:val="left" w:pos="71"/>
        </w:tabs>
        <w:rPr>
          <w:noProof/>
          <w:spacing w:val="-3"/>
        </w:rPr>
      </w:pPr>
    </w:p>
    <w:p w:rsidR="006768E2" w:rsidRPr="002D0FC4" w:rsidRDefault="006768E2" w:rsidP="006768E2">
      <w:pPr>
        <w:ind w:firstLine="851"/>
      </w:pPr>
      <w:r w:rsidRPr="002D0FC4">
        <w:t xml:space="preserve">Amning: </w:t>
      </w:r>
    </w:p>
    <w:p w:rsidR="006768E2" w:rsidRPr="006A68A5" w:rsidRDefault="006768E2" w:rsidP="006768E2">
      <w:pPr>
        <w:tabs>
          <w:tab w:val="left" w:pos="0"/>
          <w:tab w:val="left" w:pos="851"/>
        </w:tabs>
        <w:ind w:left="855"/>
        <w:rPr>
          <w:noProof/>
          <w:spacing w:val="-3"/>
        </w:rPr>
      </w:pPr>
      <w:proofErr w:type="spellStart"/>
      <w:r w:rsidRPr="002D0FC4">
        <w:t>Amiodaronhydrochlorid</w:t>
      </w:r>
      <w:proofErr w:type="spellEnd"/>
      <w:r w:rsidRPr="002D0FC4">
        <w:t xml:space="preserve"> er kontraindiceret under amning, da det udskilles i modermælk i tilstrækkelig koncentration til at give alvorlige skader på barnet.</w:t>
      </w:r>
    </w:p>
    <w:p w:rsidR="006768E2" w:rsidRPr="003161A7" w:rsidRDefault="006768E2" w:rsidP="006768E2">
      <w:pPr>
        <w:tabs>
          <w:tab w:val="left" w:pos="0"/>
          <w:tab w:val="left" w:pos="851"/>
        </w:tabs>
        <w:ind w:left="855"/>
        <w:rPr>
          <w:noProof/>
          <w:spacing w:val="-3"/>
        </w:rPr>
      </w:pPr>
    </w:p>
    <w:p w:rsidR="006768E2" w:rsidRPr="00555004" w:rsidRDefault="006768E2" w:rsidP="006768E2">
      <w:pPr>
        <w:numPr>
          <w:ilvl w:val="1"/>
          <w:numId w:val="10"/>
        </w:numPr>
        <w:jc w:val="both"/>
        <w:rPr>
          <w:b/>
        </w:rPr>
      </w:pPr>
      <w:r w:rsidRPr="00555004">
        <w:rPr>
          <w:b/>
        </w:rPr>
        <w:t xml:space="preserve">Virkninger på evnen til at føre motorkøretøj </w:t>
      </w:r>
      <w:r>
        <w:rPr>
          <w:b/>
        </w:rPr>
        <w:t>og</w:t>
      </w:r>
      <w:r w:rsidRPr="00555004">
        <w:rPr>
          <w:b/>
        </w:rPr>
        <w:t xml:space="preserve"> betjene maskiner</w:t>
      </w:r>
    </w:p>
    <w:p w:rsidR="006768E2" w:rsidRPr="007F0493" w:rsidRDefault="006768E2" w:rsidP="006768E2">
      <w:pPr>
        <w:ind w:left="855"/>
      </w:pPr>
      <w:r w:rsidRPr="00555004">
        <w:t xml:space="preserve">Ikke mærkning. </w:t>
      </w:r>
      <w:proofErr w:type="spellStart"/>
      <w:r w:rsidRPr="00555004">
        <w:t>Cordarone</w:t>
      </w:r>
      <w:proofErr w:type="spellEnd"/>
      <w:r w:rsidRPr="00555004">
        <w:t xml:space="preserve"> påvirker ikke eller kun i ubetydelig grad evnen til at føre m</w:t>
      </w:r>
      <w:r w:rsidRPr="00CE5720">
        <w:t>o</w:t>
      </w:r>
      <w:r w:rsidRPr="00940D10">
        <w:t>torkøretøj eller betje</w:t>
      </w:r>
      <w:r>
        <w:t>n</w:t>
      </w:r>
      <w:r w:rsidRPr="007F0493">
        <w:t>e maskiner.</w:t>
      </w:r>
    </w:p>
    <w:p w:rsidR="006768E2" w:rsidRPr="00167569" w:rsidRDefault="006768E2" w:rsidP="006768E2">
      <w:pPr>
        <w:ind w:left="855"/>
      </w:pPr>
      <w:proofErr w:type="spellStart"/>
      <w:r w:rsidRPr="00DD5607">
        <w:t>Amiodaron</w:t>
      </w:r>
      <w:proofErr w:type="spellEnd"/>
      <w:r w:rsidRPr="00DD5607">
        <w:t xml:space="preserve"> forårsager ofte aflejringer på </w:t>
      </w:r>
      <w:proofErr w:type="spellStart"/>
      <w:r w:rsidRPr="00DD5607">
        <w:t>cornea</w:t>
      </w:r>
      <w:proofErr w:type="spellEnd"/>
      <w:r w:rsidRPr="00DD5607">
        <w:t>. Patiente</w:t>
      </w:r>
      <w:r>
        <w:t>r</w:t>
      </w:r>
      <w:r w:rsidRPr="00DD5607">
        <w:t xml:space="preserve"> bør ad</w:t>
      </w:r>
      <w:r w:rsidRPr="00167569">
        <w:t>vares om at de i sådanne tilfælde kan blive blændet af andre bilers lys ved kørsel i mørke.</w:t>
      </w:r>
    </w:p>
    <w:p w:rsidR="006768E2" w:rsidRPr="00167569" w:rsidRDefault="006768E2" w:rsidP="006768E2">
      <w:pPr>
        <w:tabs>
          <w:tab w:val="left" w:pos="0"/>
          <w:tab w:val="left" w:pos="851"/>
        </w:tabs>
        <w:jc w:val="both"/>
        <w:rPr>
          <w:spacing w:val="-3"/>
        </w:rPr>
      </w:pPr>
    </w:p>
    <w:p w:rsidR="006768E2" w:rsidRPr="00BD7E83" w:rsidRDefault="006768E2" w:rsidP="00BD7E83">
      <w:pPr>
        <w:numPr>
          <w:ilvl w:val="1"/>
          <w:numId w:val="10"/>
        </w:numPr>
        <w:jc w:val="both"/>
        <w:rPr>
          <w:b/>
        </w:rPr>
      </w:pPr>
      <w:r w:rsidRPr="002D0FC4">
        <w:rPr>
          <w:b/>
        </w:rPr>
        <w:t>Bivirkninger</w:t>
      </w:r>
    </w:p>
    <w:p w:rsidR="00BD7E83" w:rsidRPr="00555004" w:rsidRDefault="00BD7E83" w:rsidP="00BD7E83">
      <w:pPr>
        <w:ind w:left="851"/>
      </w:pPr>
      <w:r w:rsidRPr="002D0FC4">
        <w:t xml:space="preserve">Mikroaflejringer i </w:t>
      </w:r>
      <w:proofErr w:type="spellStart"/>
      <w:r w:rsidRPr="002D0FC4">
        <w:t>cornea</w:t>
      </w:r>
      <w:proofErr w:type="spellEnd"/>
      <w:r w:rsidRPr="002D0FC4">
        <w:t xml:space="preserve"> kan påvises hos næsten alle patienter, der behandles med </w:t>
      </w:r>
      <w:proofErr w:type="spellStart"/>
      <w:r w:rsidRPr="002D0FC4">
        <w:t>Cor</w:t>
      </w:r>
      <w:r w:rsidRPr="00734015">
        <w:t>d</w:t>
      </w:r>
      <w:r w:rsidRPr="006A68A5">
        <w:t>arone</w:t>
      </w:r>
      <w:proofErr w:type="spellEnd"/>
      <w:r w:rsidRPr="006A68A5">
        <w:t xml:space="preserve">, men ellers ses bivirkninger hos 30-40% af patienterne. </w:t>
      </w:r>
      <w:proofErr w:type="spellStart"/>
      <w:r w:rsidRPr="006A68A5">
        <w:t>Cordarone</w:t>
      </w:r>
      <w:proofErr w:type="spellEnd"/>
      <w:r w:rsidRPr="006A68A5">
        <w:t xml:space="preserve"> kan forårsage al</w:t>
      </w:r>
      <w:r w:rsidRPr="003161A7">
        <w:t>vorlige bivirkninger på lunger, lever, skjoldbruskkirtel, hud og det perifere nervesystem. Da disse reaktioner kan være forsinkede, bør patienter under langtidsbehandling overvåges n</w:t>
      </w:r>
      <w:r w:rsidRPr="00555004">
        <w:t>øje.</w:t>
      </w:r>
    </w:p>
    <w:p w:rsidR="00BD7E83" w:rsidRPr="00940D10" w:rsidRDefault="00BD7E83" w:rsidP="00BD7E83">
      <w:pPr>
        <w:tabs>
          <w:tab w:val="left" w:pos="567"/>
          <w:tab w:val="left" w:pos="851"/>
          <w:tab w:val="left" w:pos="1418"/>
          <w:tab w:val="left" w:pos="5000"/>
          <w:tab w:val="left" w:pos="6680"/>
        </w:tabs>
      </w:pPr>
      <w:r w:rsidRPr="00940D10">
        <w:tab/>
      </w:r>
      <w:r w:rsidRPr="00940D10">
        <w:tab/>
      </w:r>
      <w:r w:rsidRPr="00940D10">
        <w:tab/>
      </w:r>
    </w:p>
    <w:tbl>
      <w:tblPr>
        <w:tblW w:w="907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4538"/>
      </w:tblGrid>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Blod og lymfesystem</w:t>
            </w: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000"/>
                <w:tab w:val="left" w:pos="6680"/>
              </w:tabs>
              <w:rPr>
                <w:szCs w:val="24"/>
              </w:rPr>
            </w:pPr>
            <w:proofErr w:type="spellStart"/>
            <w:r w:rsidRPr="009B0456">
              <w:rPr>
                <w:szCs w:val="24"/>
              </w:rPr>
              <w:t>Hæmolytisk</w:t>
            </w:r>
            <w:proofErr w:type="spellEnd"/>
            <w:r w:rsidRPr="009B0456">
              <w:rPr>
                <w:szCs w:val="24"/>
              </w:rPr>
              <w:t xml:space="preserve"> anæmi, </w:t>
            </w:r>
            <w:proofErr w:type="spellStart"/>
            <w:r w:rsidRPr="009B0456">
              <w:rPr>
                <w:szCs w:val="24"/>
              </w:rPr>
              <w:t>aplastisk</w:t>
            </w:r>
            <w:proofErr w:type="spellEnd"/>
            <w:r w:rsidRPr="009B0456">
              <w:rPr>
                <w:szCs w:val="24"/>
              </w:rPr>
              <w:t xml:space="preserve"> anæmi, </w:t>
            </w:r>
            <w:proofErr w:type="spellStart"/>
            <w:r w:rsidRPr="009B0456">
              <w:rPr>
                <w:szCs w:val="24"/>
              </w:rPr>
              <w:t>trombocytopeni</w:t>
            </w:r>
            <w:proofErr w:type="spellEnd"/>
            <w:r w:rsidRPr="009B0456">
              <w:rPr>
                <w:szCs w:val="24"/>
              </w:rPr>
              <w:t>.</w:t>
            </w:r>
          </w:p>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Leukopeni</w:t>
            </w:r>
            <w:proofErr w:type="spellEnd"/>
            <w:r w:rsidRPr="009B0456">
              <w:rPr>
                <w:szCs w:val="24"/>
              </w:rPr>
              <w:t xml:space="preserve">, </w:t>
            </w:r>
            <w:proofErr w:type="spellStart"/>
            <w:r w:rsidRPr="009B0456">
              <w:rPr>
                <w:szCs w:val="24"/>
              </w:rPr>
              <w:t>pancytopeni</w:t>
            </w:r>
            <w:proofErr w:type="spellEnd"/>
            <w:r w:rsidRPr="009B0456">
              <w:rPr>
                <w:szCs w:val="24"/>
              </w:rPr>
              <w:t xml:space="preserve">, </w:t>
            </w:r>
            <w:proofErr w:type="spellStart"/>
            <w:r w:rsidRPr="009B0456">
              <w:rPr>
                <w:szCs w:val="24"/>
              </w:rPr>
              <w:t>granulom</w:t>
            </w:r>
            <w:proofErr w:type="spellEnd"/>
            <w:r w:rsidRPr="009B0456">
              <w:rPr>
                <w:szCs w:val="24"/>
              </w:rPr>
              <w:t xml:space="preserve"> herunder </w:t>
            </w:r>
            <w:proofErr w:type="spellStart"/>
            <w:r w:rsidRPr="009B0456">
              <w:rPr>
                <w:szCs w:val="24"/>
              </w:rPr>
              <w:t>knoglemarvsgranulom</w:t>
            </w:r>
            <w:proofErr w:type="spellEnd"/>
            <w:r w:rsidRPr="009B0456">
              <w:rPr>
                <w:szCs w:val="24"/>
              </w:rPr>
              <w:t>,</w:t>
            </w:r>
            <w:r w:rsidRPr="009B0456">
              <w:t xml:space="preserve"> </w:t>
            </w:r>
            <w:proofErr w:type="spellStart"/>
            <w:r w:rsidRPr="009B0456">
              <w:rPr>
                <w:szCs w:val="24"/>
              </w:rPr>
              <w:t>neutropeni</w:t>
            </w:r>
            <w:proofErr w:type="spellEnd"/>
            <w:r w:rsidRPr="009B0456">
              <w:rPr>
                <w:szCs w:val="24"/>
              </w:rPr>
              <w:t xml:space="preserve">, </w:t>
            </w:r>
            <w:proofErr w:type="spellStart"/>
            <w:r w:rsidRPr="009B0456">
              <w:rPr>
                <w:szCs w:val="24"/>
              </w:rPr>
              <w:t>agranulocytose</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t>Immunsystemet</w:t>
            </w: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Angioneurotisk</w:t>
            </w:r>
            <w:proofErr w:type="spellEnd"/>
            <w:r w:rsidRPr="009B0456">
              <w:rPr>
                <w:szCs w:val="24"/>
              </w:rPr>
              <w:t xml:space="preserve"> ødem (</w:t>
            </w:r>
            <w:proofErr w:type="spellStart"/>
            <w:r w:rsidRPr="009B0456">
              <w:rPr>
                <w:szCs w:val="24"/>
              </w:rPr>
              <w:t>Quincke’s</w:t>
            </w:r>
            <w:proofErr w:type="spellEnd"/>
            <w:r w:rsidRPr="009B0456">
              <w:rPr>
                <w:szCs w:val="24"/>
              </w:rPr>
              <w:t xml:space="preserve"> ødem)</w:t>
            </w:r>
            <w:r w:rsidRPr="009B0456">
              <w:rPr>
                <w:rFonts w:ascii="Arial" w:hAnsi="Arial" w:cs="Arial"/>
                <w:color w:val="222222"/>
              </w:rPr>
              <w:t xml:space="preserve">, </w:t>
            </w:r>
            <w:proofErr w:type="spellStart"/>
            <w:r w:rsidRPr="009B0456">
              <w:rPr>
                <w:szCs w:val="24"/>
              </w:rPr>
              <w:t>anafylaktisk</w:t>
            </w:r>
            <w:proofErr w:type="spellEnd"/>
            <w:r w:rsidRPr="009B0456">
              <w:rPr>
                <w:szCs w:val="24"/>
              </w:rPr>
              <w:t xml:space="preserve"> reaktion, </w:t>
            </w:r>
            <w:proofErr w:type="spellStart"/>
            <w:r w:rsidRPr="009B0456">
              <w:rPr>
                <w:szCs w:val="24"/>
              </w:rPr>
              <w:t>anafylaktisk</w:t>
            </w:r>
            <w:proofErr w:type="spellEnd"/>
            <w:r w:rsidRPr="009B0456">
              <w:rPr>
                <w:szCs w:val="24"/>
              </w:rPr>
              <w:t xml:space="preserve"> </w:t>
            </w:r>
            <w:proofErr w:type="spellStart"/>
            <w:r w:rsidRPr="009B0456">
              <w:rPr>
                <w:szCs w:val="24"/>
              </w:rPr>
              <w:t>shock</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Det endokrine system</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Hypotyreose</w:t>
            </w:r>
            <w:proofErr w:type="spellEnd"/>
            <w:r w:rsidRPr="009B0456">
              <w:rPr>
                <w:szCs w:val="24"/>
              </w:rPr>
              <w:t xml:space="preserve">, </w:t>
            </w:r>
            <w:proofErr w:type="spellStart"/>
            <w:r w:rsidRPr="009B0456">
              <w:rPr>
                <w:szCs w:val="24"/>
              </w:rPr>
              <w:t>hypertyreose</w:t>
            </w:r>
            <w:proofErr w:type="spellEnd"/>
            <w:r w:rsidRPr="009B0456">
              <w:rPr>
                <w:szCs w:val="24"/>
              </w:rPr>
              <w:t xml:space="preserve"> (undertiden dødelig).</w:t>
            </w:r>
          </w:p>
          <w:p w:rsidR="00BD7E83" w:rsidRPr="009B0456" w:rsidRDefault="00BD7E83" w:rsidP="00545BC9">
            <w:pPr>
              <w:rPr>
                <w:szCs w:val="24"/>
              </w:rPr>
            </w:pPr>
          </w:p>
          <w:p w:rsidR="00BD7E83" w:rsidRPr="009B0456" w:rsidRDefault="00BD7E83" w:rsidP="00545BC9">
            <w:pPr>
              <w:rPr>
                <w:szCs w:val="24"/>
              </w:rPr>
            </w:pPr>
            <w:r w:rsidRPr="009B0456">
              <w:rPr>
                <w:szCs w:val="24"/>
              </w:rPr>
              <w:t>SIADH (syndrom med uhensigtsmæssig produktion af antidiuretisk hormon)</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b/>
                <w:noProof/>
              </w:rPr>
            </w:pPr>
            <w:r w:rsidRPr="009B0456">
              <w:rPr>
                <w:b/>
                <w:noProof/>
              </w:rPr>
              <w:t>Metabolisme og ernæring</w:t>
            </w: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3"/>
              </w:rPr>
              <w:t>Nedsat appetit.</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Default="00BD7E83" w:rsidP="00545BC9">
            <w:pPr>
              <w:rPr>
                <w:b/>
                <w:noProof/>
                <w:lang w:val="nb-NO"/>
              </w:rPr>
            </w:pPr>
            <w:r w:rsidRPr="009B0456">
              <w:rPr>
                <w:b/>
                <w:noProof/>
                <w:lang w:val="nb-NO"/>
              </w:rPr>
              <w:t>Psykiske forstyrrelser</w:t>
            </w:r>
          </w:p>
          <w:p w:rsidR="00422E45" w:rsidRPr="009B0456" w:rsidRDefault="00422E45" w:rsidP="00422E45">
            <w:pPr>
              <w:suppressAutoHyphens/>
              <w:rPr>
                <w:szCs w:val="24"/>
              </w:rPr>
            </w:pPr>
            <w:r w:rsidRPr="009B0456">
              <w:rPr>
                <w:szCs w:val="24"/>
              </w:rPr>
              <w:t>Almindelig (≥1/100 og &lt;1/10)</w:t>
            </w:r>
          </w:p>
          <w:p w:rsidR="00422E45" w:rsidRPr="009B0456" w:rsidRDefault="00422E45" w:rsidP="00545BC9">
            <w:pPr>
              <w:rPr>
                <w:b/>
                <w:noProof/>
                <w:lang w:val="nb-NO"/>
              </w:rPr>
            </w:pPr>
          </w:p>
          <w:p w:rsidR="00BD7E83" w:rsidRPr="009B0456" w:rsidRDefault="00BD7E83" w:rsidP="00545BC9">
            <w:pPr>
              <w:rPr>
                <w:b/>
                <w:noProof/>
                <w:lang w:val="nb-NO"/>
              </w:rPr>
            </w:pPr>
            <w:r w:rsidRPr="009B0456">
              <w:rPr>
                <w:szCs w:val="24"/>
              </w:rPr>
              <w:t>Ikke kendt (kan ikke estimeres ud fra forhåndenværende data)</w:t>
            </w:r>
            <w:r w:rsidRPr="009B0456">
              <w:rPr>
                <w:b/>
                <w:noProof/>
                <w:lang w:val="nb-NO"/>
              </w:rPr>
              <w:t xml:space="preserve"> </w:t>
            </w:r>
          </w:p>
          <w:p w:rsidR="00BD7E83" w:rsidRPr="009B0456" w:rsidRDefault="00BD7E83" w:rsidP="00545BC9">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 w:rsidR="00422E45" w:rsidRDefault="00422E45" w:rsidP="00422E45">
            <w:r>
              <w:t>Nedsat libido.</w:t>
            </w:r>
          </w:p>
          <w:p w:rsidR="00422E45" w:rsidRDefault="00422E45" w:rsidP="00545BC9"/>
          <w:p w:rsidR="00422E45" w:rsidRPr="009B0456" w:rsidRDefault="00422E45" w:rsidP="00422E45">
            <w:r w:rsidRPr="009B0456">
              <w:t>Delirium (inklusiv</w:t>
            </w:r>
            <w:r>
              <w:t>e</w:t>
            </w:r>
            <w:r w:rsidRPr="009B0456">
              <w:t xml:space="preserve"> forvirring), hallucination.</w:t>
            </w:r>
          </w:p>
          <w:p w:rsidR="00BD7E83" w:rsidRPr="00F02397"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Nervesystemet</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suppressAutoHyphens/>
              <w:rPr>
                <w:szCs w:val="24"/>
              </w:rPr>
            </w:pPr>
            <w:r w:rsidRPr="009B0456">
              <w:rPr>
                <w:szCs w:val="24"/>
              </w:rPr>
              <w:t>Ikke almindelig (≥1/1000 og &lt;1/100)</w:t>
            </w: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Default="00BD7E83" w:rsidP="00545BC9">
            <w:pPr>
              <w:suppressAutoHyphens/>
              <w:rPr>
                <w:szCs w:val="24"/>
              </w:rPr>
            </w:pPr>
          </w:p>
          <w:p w:rsidR="00BD7E83"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p w:rsidR="00BD7E83" w:rsidRPr="009B0456" w:rsidRDefault="00BD7E83" w:rsidP="00545BC9">
            <w:pPr>
              <w:rPr>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000"/>
                <w:tab w:val="left" w:pos="6680"/>
              </w:tabs>
              <w:rPr>
                <w:szCs w:val="24"/>
              </w:rPr>
            </w:pPr>
            <w:r w:rsidRPr="009B0456">
              <w:rPr>
                <w:szCs w:val="24"/>
              </w:rPr>
              <w:t xml:space="preserve">Ekstrapyramidal </w:t>
            </w:r>
            <w:proofErr w:type="spellStart"/>
            <w:r w:rsidRPr="009B0456">
              <w:rPr>
                <w:szCs w:val="24"/>
              </w:rPr>
              <w:t>tremor</w:t>
            </w:r>
            <w:proofErr w:type="spellEnd"/>
            <w:r w:rsidRPr="009B0456">
              <w:rPr>
                <w:szCs w:val="24"/>
              </w:rPr>
              <w:t>, mareridt, søvnforstyrrelser.</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Perifer sensomotorisk </w:t>
            </w:r>
            <w:proofErr w:type="spellStart"/>
            <w:r w:rsidRPr="009B0456">
              <w:rPr>
                <w:szCs w:val="24"/>
              </w:rPr>
              <w:t>neuropati</w:t>
            </w:r>
            <w:proofErr w:type="spellEnd"/>
            <w:r w:rsidRPr="009B0456">
              <w:rPr>
                <w:szCs w:val="24"/>
              </w:rPr>
              <w:t xml:space="preserve"> og/eller </w:t>
            </w:r>
            <w:proofErr w:type="spellStart"/>
            <w:r w:rsidRPr="009B0456">
              <w:rPr>
                <w:szCs w:val="24"/>
              </w:rPr>
              <w:t>myopati</w:t>
            </w:r>
            <w:proofErr w:type="spellEnd"/>
            <w:r w:rsidRPr="009B0456">
              <w:rPr>
                <w:szCs w:val="24"/>
              </w:rPr>
              <w:t xml:space="preserve">, der sædvanligvis er reversibel ved </w:t>
            </w:r>
            <w:proofErr w:type="spellStart"/>
            <w:r w:rsidRPr="009B0456">
              <w:rPr>
                <w:szCs w:val="24"/>
              </w:rPr>
              <w:t>seponering</w:t>
            </w:r>
            <w:proofErr w:type="spellEnd"/>
            <w:r w:rsidRPr="009B0456">
              <w:rPr>
                <w:szCs w:val="24"/>
              </w:rPr>
              <w:t xml:space="preserve"> af lægemidlet (se pkt. 4.4.1).</w:t>
            </w:r>
          </w:p>
          <w:p w:rsidR="00BD7E83" w:rsidRPr="009B0456" w:rsidRDefault="00BD7E83" w:rsidP="00545BC9">
            <w:pPr>
              <w:tabs>
                <w:tab w:val="left" w:pos="567"/>
                <w:tab w:val="left" w:pos="851"/>
                <w:tab w:val="num" w:pos="1134"/>
                <w:tab w:val="left" w:pos="1418"/>
                <w:tab w:val="left" w:pos="1560"/>
                <w:tab w:val="left" w:pos="5000"/>
                <w:tab w:val="left" w:pos="6680"/>
              </w:tabs>
              <w:ind w:left="1418" w:hanging="1418"/>
              <w:rPr>
                <w:szCs w:val="24"/>
              </w:rPr>
            </w:pPr>
          </w:p>
          <w:p w:rsidR="00BD7E83" w:rsidRPr="009B0456" w:rsidRDefault="00BD7E83" w:rsidP="00545BC9">
            <w:pPr>
              <w:tabs>
                <w:tab w:val="left" w:pos="5000"/>
                <w:tab w:val="left" w:pos="6680"/>
              </w:tabs>
              <w:rPr>
                <w:szCs w:val="24"/>
              </w:rPr>
            </w:pPr>
            <w:proofErr w:type="spellStart"/>
            <w:r w:rsidRPr="009B0456">
              <w:rPr>
                <w:szCs w:val="24"/>
              </w:rPr>
              <w:lastRenderedPageBreak/>
              <w:t>Ataxia</w:t>
            </w:r>
            <w:proofErr w:type="spellEnd"/>
            <w:r w:rsidRPr="009B0456">
              <w:rPr>
                <w:szCs w:val="24"/>
              </w:rPr>
              <w:t xml:space="preserve"> </w:t>
            </w:r>
            <w:proofErr w:type="spellStart"/>
            <w:r w:rsidRPr="009B0456">
              <w:rPr>
                <w:szCs w:val="24"/>
              </w:rPr>
              <w:t>cerebellaris</w:t>
            </w:r>
            <w:proofErr w:type="spellEnd"/>
            <w:r w:rsidRPr="009B0456">
              <w:rPr>
                <w:szCs w:val="24"/>
              </w:rPr>
              <w:t xml:space="preserve">, godartet </w:t>
            </w:r>
            <w:proofErr w:type="spellStart"/>
            <w:r w:rsidRPr="009B0456">
              <w:rPr>
                <w:szCs w:val="24"/>
              </w:rPr>
              <w:t>intrakraniel</w:t>
            </w:r>
            <w:proofErr w:type="spellEnd"/>
            <w:r w:rsidRPr="009B0456">
              <w:rPr>
                <w:szCs w:val="24"/>
              </w:rPr>
              <w:t xml:space="preserve"> hypertension (pseudo-tumor </w:t>
            </w:r>
            <w:proofErr w:type="spellStart"/>
            <w:r w:rsidRPr="009B0456">
              <w:rPr>
                <w:szCs w:val="24"/>
              </w:rPr>
              <w:t>cerebri</w:t>
            </w:r>
            <w:proofErr w:type="spellEnd"/>
            <w:r w:rsidRPr="009B0456">
              <w:rPr>
                <w:szCs w:val="24"/>
              </w:rPr>
              <w:t xml:space="preserve">), hovedpine. </w:t>
            </w:r>
          </w:p>
          <w:p w:rsidR="00BD7E83" w:rsidRPr="009B0456" w:rsidRDefault="00BD7E83" w:rsidP="00545BC9">
            <w:pPr>
              <w:tabs>
                <w:tab w:val="left" w:pos="5000"/>
                <w:tab w:val="left" w:pos="6680"/>
              </w:tabs>
              <w:rPr>
                <w:szCs w:val="24"/>
              </w:rPr>
            </w:pPr>
          </w:p>
          <w:p w:rsidR="00BD7E83" w:rsidRPr="009B0456" w:rsidRDefault="00BD7E83" w:rsidP="00545BC9">
            <w:pPr>
              <w:tabs>
                <w:tab w:val="left" w:pos="5000"/>
                <w:tab w:val="left" w:pos="6680"/>
              </w:tabs>
              <w:rPr>
                <w:szCs w:val="24"/>
              </w:rPr>
            </w:pPr>
            <w:r w:rsidRPr="009B0456">
              <w:rPr>
                <w:szCs w:val="24"/>
              </w:rPr>
              <w:t xml:space="preserve">Parkinsonisme, </w:t>
            </w:r>
            <w:proofErr w:type="spellStart"/>
            <w:r w:rsidRPr="009B0456">
              <w:rPr>
                <w:szCs w:val="24"/>
              </w:rPr>
              <w:t>parosmi</w:t>
            </w:r>
            <w:proofErr w:type="spellEnd"/>
            <w:r w:rsidRPr="009B0456">
              <w:rPr>
                <w:szCs w:val="24"/>
              </w:rPr>
              <w:t>.</w:t>
            </w:r>
          </w:p>
          <w:p w:rsidR="00BD7E83" w:rsidRPr="009B0456" w:rsidRDefault="00BD7E83" w:rsidP="00545BC9">
            <w:pPr>
              <w:tabs>
                <w:tab w:val="left" w:pos="5000"/>
                <w:tab w:val="left" w:pos="6680"/>
              </w:tabs>
              <w:rPr>
                <w:szCs w:val="24"/>
                <w:u w:val="single"/>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pStyle w:val="Overskrift2"/>
              <w:tabs>
                <w:tab w:val="left" w:pos="4536"/>
              </w:tabs>
              <w:spacing w:before="0" w:after="0"/>
              <w:rPr>
                <w:rFonts w:ascii="Times New Roman" w:hAnsi="Times New Roman" w:cs="Times New Roman"/>
                <w:i w:val="0"/>
                <w:sz w:val="24"/>
                <w:szCs w:val="24"/>
              </w:rPr>
            </w:pPr>
            <w:r w:rsidRPr="009B0456">
              <w:rPr>
                <w:rFonts w:ascii="Times New Roman" w:hAnsi="Times New Roman" w:cs="Times New Roman"/>
                <w:i w:val="0"/>
                <w:sz w:val="24"/>
                <w:szCs w:val="24"/>
              </w:rPr>
              <w:lastRenderedPageBreak/>
              <w:t>Øjne</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r w:rsidRPr="009B0456">
              <w:rPr>
                <w:szCs w:val="24"/>
              </w:rPr>
              <w:t>Meget sjælden (&lt;1/10.000, inklusiv enkeltstående tilfælde)</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Øjentørhed. Mikroaflejringer i </w:t>
            </w:r>
            <w:proofErr w:type="spellStart"/>
            <w:r w:rsidRPr="009B0456">
              <w:rPr>
                <w:szCs w:val="24"/>
              </w:rPr>
              <w:t>cornea</w:t>
            </w:r>
            <w:proofErr w:type="spellEnd"/>
            <w:r w:rsidRPr="009B0456">
              <w:rPr>
                <w:szCs w:val="24"/>
              </w:rPr>
              <w:t>, sædvanligvis begrænset til området under pupillen. De kan være forbundet med farvet halo i blændende lys eller med uskarpt syn. Mikro</w:t>
            </w:r>
            <w:r w:rsidR="00422E45" w:rsidRPr="009B0456">
              <w:rPr>
                <w:szCs w:val="24"/>
              </w:rPr>
              <w:t>aflej</w:t>
            </w:r>
            <w:r w:rsidR="00422E45">
              <w:rPr>
                <w:szCs w:val="24"/>
              </w:rPr>
              <w:t>r</w:t>
            </w:r>
            <w:r w:rsidR="00422E45" w:rsidRPr="009B0456">
              <w:rPr>
                <w:szCs w:val="24"/>
              </w:rPr>
              <w:t>inger</w:t>
            </w:r>
            <w:r w:rsidRPr="009B0456">
              <w:rPr>
                <w:szCs w:val="24"/>
              </w:rPr>
              <w:t xml:space="preserve"> i </w:t>
            </w:r>
            <w:proofErr w:type="spellStart"/>
            <w:r w:rsidRPr="009B0456">
              <w:rPr>
                <w:szCs w:val="24"/>
              </w:rPr>
              <w:t>cornea</w:t>
            </w:r>
            <w:proofErr w:type="spellEnd"/>
            <w:r w:rsidRPr="009B0456">
              <w:rPr>
                <w:szCs w:val="24"/>
              </w:rPr>
              <w:t xml:space="preserve"> består af komplekse lipidaflejringer og er reversible ved indstilling af behandlingen.</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Optisk </w:t>
            </w:r>
            <w:proofErr w:type="spellStart"/>
            <w:r w:rsidRPr="009B0456">
              <w:rPr>
                <w:szCs w:val="24"/>
              </w:rPr>
              <w:t>neuropati</w:t>
            </w:r>
            <w:proofErr w:type="spellEnd"/>
            <w:r w:rsidRPr="009B0456">
              <w:rPr>
                <w:szCs w:val="24"/>
              </w:rPr>
              <w:t>/</w:t>
            </w:r>
            <w:proofErr w:type="spellStart"/>
            <w:r w:rsidRPr="009B0456">
              <w:rPr>
                <w:szCs w:val="24"/>
              </w:rPr>
              <w:t>neuritis</w:t>
            </w:r>
            <w:proofErr w:type="spellEnd"/>
            <w:r w:rsidRPr="009B0456">
              <w:rPr>
                <w:szCs w:val="24"/>
              </w:rPr>
              <w:t>, der kan udvikle sig til blindhed (se pkt. 4.4.1).</w:t>
            </w:r>
          </w:p>
          <w:p w:rsidR="00BD7E83" w:rsidRPr="009B0456" w:rsidRDefault="00BD7E83" w:rsidP="00545BC9">
            <w:pPr>
              <w:tabs>
                <w:tab w:val="left" w:pos="567"/>
                <w:tab w:val="left" w:pos="851"/>
                <w:tab w:val="num" w:pos="1134"/>
                <w:tab w:val="left" w:pos="1418"/>
                <w:tab w:val="left" w:pos="5000"/>
                <w:tab w:val="left" w:pos="6680"/>
              </w:tabs>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pStyle w:val="Overskrift2"/>
              <w:tabs>
                <w:tab w:val="left" w:pos="4536"/>
              </w:tabs>
              <w:spacing w:before="0" w:after="0"/>
              <w:rPr>
                <w:rFonts w:ascii="Times New Roman" w:hAnsi="Times New Roman" w:cs="Times New Roman"/>
                <w:i w:val="0"/>
                <w:sz w:val="24"/>
                <w:szCs w:val="24"/>
              </w:rPr>
            </w:pPr>
            <w:r w:rsidRPr="009B0456">
              <w:rPr>
                <w:rFonts w:ascii="Times New Roman" w:hAnsi="Times New Roman" w:cs="Times New Roman"/>
                <w:i w:val="0"/>
                <w:sz w:val="24"/>
                <w:szCs w:val="24"/>
              </w:rPr>
              <w:t>Hjerte</w:t>
            </w: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suppressAutoHyphens/>
              <w:rPr>
                <w:szCs w:val="24"/>
              </w:rPr>
            </w:pPr>
            <w:r w:rsidRPr="009B0456">
              <w:rPr>
                <w:szCs w:val="24"/>
              </w:rPr>
              <w:t>Ikke almindelig (≥1/1000 og &lt;1/100)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b/>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Bradykardi (sædvanligvis moderat og dosisafhængig).</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Debut eller forværring af </w:t>
            </w:r>
            <w:proofErr w:type="spellStart"/>
            <w:r w:rsidRPr="009B0456">
              <w:rPr>
                <w:szCs w:val="24"/>
              </w:rPr>
              <w:t>arytmi</w:t>
            </w:r>
            <w:proofErr w:type="spellEnd"/>
            <w:r w:rsidRPr="009B0456">
              <w:rPr>
                <w:szCs w:val="24"/>
              </w:rPr>
              <w:t>, undertiden efterfulgt af hjertestop (se pkt. 4.4.1 og 4.5). Ledningsforstyrrelser (</w:t>
            </w:r>
            <w:proofErr w:type="spellStart"/>
            <w:r w:rsidRPr="009B0456">
              <w:rPr>
                <w:szCs w:val="24"/>
              </w:rPr>
              <w:t>sinoatrialt</w:t>
            </w:r>
            <w:proofErr w:type="spellEnd"/>
            <w:r w:rsidRPr="009B0456">
              <w:rPr>
                <w:szCs w:val="24"/>
              </w:rPr>
              <w:t xml:space="preserve"> blok, forskellige grader af AV-blok) (se pkt. 4.4.2).</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Markant bradykardi eller sinusarrest hos patienter med sinusknudedysfunktion og/eller hos ældre patienter.</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proofErr w:type="spellStart"/>
            <w:r w:rsidRPr="009B0456">
              <w:rPr>
                <w:i/>
                <w:szCs w:val="24"/>
              </w:rPr>
              <w:t>Torsade</w:t>
            </w:r>
            <w:proofErr w:type="spellEnd"/>
            <w:r w:rsidRPr="009B0456">
              <w:rPr>
                <w:i/>
                <w:szCs w:val="24"/>
              </w:rPr>
              <w:t xml:space="preserve"> de pointes</w:t>
            </w:r>
            <w:r w:rsidRPr="009B0456">
              <w:rPr>
                <w:szCs w:val="24"/>
              </w:rPr>
              <w:t xml:space="preserve"> (se pkt. 4.3, 4.4.1 og 4.5)</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proofErr w:type="spellStart"/>
            <w:r w:rsidRPr="009B0456">
              <w:rPr>
                <w:b/>
                <w:szCs w:val="24"/>
              </w:rPr>
              <w:t>Vaskulære</w:t>
            </w:r>
            <w:proofErr w:type="spellEnd"/>
            <w:r w:rsidRPr="009B0456">
              <w:rPr>
                <w:b/>
                <w:szCs w:val="24"/>
              </w:rPr>
              <w:t xml:space="preserve"> sygdomme</w:t>
            </w:r>
          </w:p>
          <w:p w:rsidR="00BD7E83" w:rsidRPr="009B0456" w:rsidRDefault="00BD7E83" w:rsidP="00545BC9">
            <w:pPr>
              <w:rPr>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Vaskulit</w:t>
            </w:r>
            <w:proofErr w:type="spellEnd"/>
            <w:r w:rsidRPr="009B0456">
              <w:rPr>
                <w:szCs w:val="24"/>
              </w:rPr>
              <w: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t xml:space="preserve">Luftveje, thorax og </w:t>
            </w:r>
            <w:proofErr w:type="spellStart"/>
            <w:r w:rsidRPr="009B0456">
              <w:rPr>
                <w:b/>
                <w:szCs w:val="24"/>
              </w:rPr>
              <w:t>mediastinum</w:t>
            </w:r>
            <w:proofErr w:type="spellEnd"/>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Lungetoksicitet (alveolær/</w:t>
            </w:r>
            <w:proofErr w:type="spellStart"/>
            <w:r w:rsidRPr="009B0456">
              <w:rPr>
                <w:szCs w:val="24"/>
              </w:rPr>
              <w:t>interstitiel</w:t>
            </w:r>
            <w:proofErr w:type="spellEnd"/>
            <w:r w:rsidRPr="009B0456">
              <w:rPr>
                <w:szCs w:val="24"/>
              </w:rPr>
              <w:t xml:space="preserve"> pneumonitis eller fibrose, pleuritis, </w:t>
            </w:r>
            <w:proofErr w:type="spellStart"/>
            <w:r w:rsidRPr="009B0456">
              <w:rPr>
                <w:szCs w:val="24"/>
              </w:rPr>
              <w:t>bronchiolitis</w:t>
            </w:r>
            <w:proofErr w:type="spellEnd"/>
            <w:r w:rsidRPr="009B0456">
              <w:rPr>
                <w:szCs w:val="24"/>
              </w:rPr>
              <w:t xml:space="preserve"> </w:t>
            </w:r>
            <w:proofErr w:type="spellStart"/>
            <w:r w:rsidRPr="009B0456">
              <w:rPr>
                <w:szCs w:val="24"/>
              </w:rPr>
              <w:t>obliterans</w:t>
            </w:r>
            <w:proofErr w:type="spellEnd"/>
            <w:r w:rsidRPr="009B0456">
              <w:rPr>
                <w:szCs w:val="24"/>
              </w:rPr>
              <w:t xml:space="preserve"> organising </w:t>
            </w:r>
            <w:proofErr w:type="spellStart"/>
            <w:r w:rsidRPr="009B0456">
              <w:rPr>
                <w:szCs w:val="24"/>
              </w:rPr>
              <w:t>pneumonia</w:t>
            </w:r>
            <w:proofErr w:type="spellEnd"/>
            <w:r w:rsidRPr="009B0456">
              <w:rPr>
                <w:szCs w:val="24"/>
              </w:rPr>
              <w:t xml:space="preserve">/BOOP), undertiden dødelig (se pkt. 4.4.1). </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Bronkospasme</w:t>
            </w:r>
            <w:proofErr w:type="spellEnd"/>
            <w:r w:rsidRPr="009B0456">
              <w:rPr>
                <w:szCs w:val="24"/>
              </w:rPr>
              <w:t xml:space="preserve"> hos patienter med alvorligt respirationssvigt og især hos astmapatienter.</w:t>
            </w:r>
          </w:p>
          <w:p w:rsidR="00BD7E83" w:rsidRPr="009B0456" w:rsidRDefault="00BD7E83" w:rsidP="00545BC9">
            <w:pPr>
              <w:rPr>
                <w:szCs w:val="24"/>
              </w:rPr>
            </w:pPr>
            <w:r w:rsidRPr="009B0456">
              <w:rPr>
                <w:szCs w:val="24"/>
              </w:rPr>
              <w:t xml:space="preserve">Akut </w:t>
            </w:r>
            <w:proofErr w:type="spellStart"/>
            <w:r w:rsidRPr="00733795">
              <w:rPr>
                <w:i/>
                <w:szCs w:val="24"/>
              </w:rPr>
              <w:t>adult</w:t>
            </w:r>
            <w:proofErr w:type="spellEnd"/>
            <w:r w:rsidRPr="00733795">
              <w:rPr>
                <w:i/>
                <w:szCs w:val="24"/>
              </w:rPr>
              <w:t xml:space="preserve"> </w:t>
            </w:r>
            <w:proofErr w:type="spellStart"/>
            <w:r w:rsidRPr="00733795">
              <w:rPr>
                <w:i/>
                <w:szCs w:val="24"/>
              </w:rPr>
              <w:t>respiratory</w:t>
            </w:r>
            <w:proofErr w:type="spellEnd"/>
            <w:r w:rsidRPr="00733795">
              <w:rPr>
                <w:i/>
                <w:szCs w:val="24"/>
              </w:rPr>
              <w:t xml:space="preserve"> </w:t>
            </w:r>
            <w:proofErr w:type="spellStart"/>
            <w:r w:rsidRPr="00733795">
              <w:rPr>
                <w:i/>
                <w:szCs w:val="24"/>
              </w:rPr>
              <w:t>distress</w:t>
            </w:r>
            <w:proofErr w:type="spellEnd"/>
            <w:r w:rsidRPr="00733795">
              <w:rPr>
                <w:i/>
                <w:szCs w:val="24"/>
              </w:rPr>
              <w:t xml:space="preserve"> </w:t>
            </w:r>
            <w:proofErr w:type="spellStart"/>
            <w:r w:rsidRPr="00733795">
              <w:rPr>
                <w:i/>
                <w:szCs w:val="24"/>
              </w:rPr>
              <w:t>syndrome</w:t>
            </w:r>
            <w:proofErr w:type="spellEnd"/>
            <w:r w:rsidRPr="009B0456">
              <w:rPr>
                <w:szCs w:val="24"/>
              </w:rPr>
              <w:t xml:space="preserve">, til tider dødelig, sædvanligvis umiddelbart efter operation (mulig interaktion med høj </w:t>
            </w:r>
            <w:r w:rsidRPr="009B0456">
              <w:rPr>
                <w:szCs w:val="24"/>
              </w:rPr>
              <w:lastRenderedPageBreak/>
              <w:t>oxygenkoncentration) (se pkt. 4.4.1, 4.4.2 og 4.5).</w:t>
            </w:r>
          </w:p>
          <w:p w:rsidR="00BD7E83" w:rsidRPr="009B0456" w:rsidRDefault="00BD7E83" w:rsidP="00545BC9">
            <w:pPr>
              <w:rPr>
                <w:szCs w:val="24"/>
              </w:rPr>
            </w:pPr>
          </w:p>
          <w:p w:rsidR="00BD7E83" w:rsidRPr="009B0456" w:rsidRDefault="00BD7E83" w:rsidP="00545BC9">
            <w:pPr>
              <w:rPr>
                <w:szCs w:val="24"/>
              </w:rPr>
            </w:pPr>
            <w:r w:rsidRPr="009B0456">
              <w:rPr>
                <w:szCs w:val="24"/>
              </w:rPr>
              <w:t xml:space="preserve">Dyspnø, tør hoste, </w:t>
            </w:r>
            <w:proofErr w:type="spellStart"/>
            <w:r w:rsidRPr="009B0456">
              <w:rPr>
                <w:szCs w:val="24"/>
              </w:rPr>
              <w:t>pulmonal</w:t>
            </w:r>
            <w:proofErr w:type="spellEnd"/>
            <w:r w:rsidRPr="009B0456">
              <w:rPr>
                <w:szCs w:val="24"/>
              </w:rPr>
              <w:t xml:space="preserve"> blødning/</w:t>
            </w:r>
            <w:proofErr w:type="spellStart"/>
            <w:r w:rsidRPr="009B0456">
              <w:rPr>
                <w:szCs w:val="24"/>
              </w:rPr>
              <w:t>hæmoptyse</w:t>
            </w:r>
            <w:proofErr w:type="spellEnd"/>
            <w:r w:rsidRPr="009B0456">
              <w:rPr>
                <w:szCs w:val="24"/>
              </w:rPr>
              <w:t>.</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lastRenderedPageBreak/>
              <w:t>Mave-tarm-kanalen</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suppressAutoHyphens/>
              <w:rPr>
                <w:szCs w:val="24"/>
              </w:rPr>
            </w:pPr>
          </w:p>
          <w:p w:rsidR="00BD7E83" w:rsidRPr="009B0456" w:rsidRDefault="00BD7E83" w:rsidP="00545BC9">
            <w:pPr>
              <w:suppressAutoHyphens/>
              <w:rPr>
                <w:szCs w:val="24"/>
              </w:rPr>
            </w:pPr>
            <w:r w:rsidRPr="009B0456">
              <w:rPr>
                <w:szCs w:val="24"/>
              </w:rPr>
              <w:t>Ikke almindelig (≥1/1000 og &lt;1/100)</w:t>
            </w:r>
          </w:p>
          <w:p w:rsidR="00BD7E83" w:rsidRPr="009B0456" w:rsidRDefault="00BD7E83" w:rsidP="00545BC9">
            <w:pPr>
              <w:suppressAutoHyphens/>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Godartede </w:t>
            </w:r>
            <w:proofErr w:type="spellStart"/>
            <w:r w:rsidRPr="009B0456">
              <w:rPr>
                <w:szCs w:val="24"/>
              </w:rPr>
              <w:t>gastrointestinale</w:t>
            </w:r>
            <w:proofErr w:type="spellEnd"/>
            <w:r w:rsidRPr="009B0456">
              <w:rPr>
                <w:szCs w:val="24"/>
              </w:rPr>
              <w:t xml:space="preserve"> lidelser (kvalme, opkastning, </w:t>
            </w:r>
            <w:proofErr w:type="spellStart"/>
            <w:r w:rsidRPr="009B0456">
              <w:rPr>
                <w:szCs w:val="24"/>
              </w:rPr>
              <w:t>dysgeusi</w:t>
            </w:r>
            <w:proofErr w:type="spellEnd"/>
            <w:r w:rsidRPr="009B0456">
              <w:rPr>
                <w:szCs w:val="24"/>
              </w:rPr>
              <w:t>, obstipation), der sædvanligvis forekommer ved den initiale stabilisering og aftager, når dosis reduceres.</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Forstoppelse.</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Tør mund.</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proofErr w:type="spellStart"/>
            <w:r w:rsidRPr="009B0456">
              <w:rPr>
                <w:szCs w:val="24"/>
              </w:rPr>
              <w:t>Pancreatitis</w:t>
            </w:r>
            <w:proofErr w:type="spellEnd"/>
            <w:r w:rsidRPr="009B0456">
              <w:rPr>
                <w:szCs w:val="24"/>
              </w:rPr>
              <w:t xml:space="preserve"> (akut).</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t>Lever og galdeveje</w:t>
            </w:r>
          </w:p>
          <w:p w:rsidR="00BD7E83" w:rsidRPr="009B0456" w:rsidRDefault="00BD7E83" w:rsidP="00545BC9">
            <w:pPr>
              <w:suppressAutoHyphens/>
              <w:rPr>
                <w:szCs w:val="24"/>
              </w:rPr>
            </w:pPr>
            <w:r w:rsidRPr="009B0456">
              <w:rPr>
                <w:szCs w:val="24"/>
              </w:rPr>
              <w:t>Meget almindelig (≥1/10)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b/>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 xml:space="preserve">Isoleret forhøjelse af </w:t>
            </w:r>
            <w:proofErr w:type="spellStart"/>
            <w:r w:rsidRPr="009B0456">
              <w:rPr>
                <w:szCs w:val="24"/>
              </w:rPr>
              <w:t>aminotransferaser</w:t>
            </w:r>
            <w:proofErr w:type="spellEnd"/>
            <w:r w:rsidRPr="009B0456">
              <w:rPr>
                <w:szCs w:val="24"/>
              </w:rPr>
              <w:t xml:space="preserve"> i serum, der normalt er moderat (1,5-3 gange normalværdien) og forekommer ved behandlingens start. Denne kan vende tilbage til normalværdien efter dosisreduktion eller endog spontant.</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pStyle w:val="Brdtekstindrykning2"/>
              <w:tabs>
                <w:tab w:val="left" w:pos="567"/>
                <w:tab w:val="left" w:pos="851"/>
                <w:tab w:val="num" w:pos="1134"/>
                <w:tab w:val="left" w:pos="1418"/>
              </w:tabs>
              <w:ind w:left="0" w:firstLine="0"/>
              <w:jc w:val="left"/>
              <w:rPr>
                <w:szCs w:val="24"/>
                <w:lang w:val="da-DK"/>
              </w:rPr>
            </w:pPr>
            <w:r w:rsidRPr="009B0456">
              <w:rPr>
                <w:szCs w:val="24"/>
                <w:lang w:val="da-DK"/>
              </w:rPr>
              <w:t>Akutte leversygdomme med høje serum-</w:t>
            </w:r>
            <w:proofErr w:type="spellStart"/>
            <w:r w:rsidRPr="009B0456">
              <w:rPr>
                <w:szCs w:val="24"/>
                <w:lang w:val="da-DK"/>
              </w:rPr>
              <w:t>aminotransferaser</w:t>
            </w:r>
            <w:proofErr w:type="spellEnd"/>
            <w:r w:rsidRPr="009B0456">
              <w:rPr>
                <w:szCs w:val="24"/>
                <w:lang w:val="da-DK"/>
              </w:rPr>
              <w:t xml:space="preserve"> og/eller </w:t>
            </w:r>
            <w:proofErr w:type="spellStart"/>
            <w:r w:rsidRPr="009B0456">
              <w:rPr>
                <w:szCs w:val="24"/>
                <w:lang w:val="da-DK"/>
              </w:rPr>
              <w:t>ikterus</w:t>
            </w:r>
            <w:proofErr w:type="spellEnd"/>
            <w:r w:rsidRPr="009B0456">
              <w:rPr>
                <w:szCs w:val="24"/>
                <w:lang w:val="da-DK"/>
              </w:rPr>
              <w:t>, herunder leversvigt, der undertiden er dødelig.</w:t>
            </w:r>
          </w:p>
          <w:p w:rsidR="00BD7E83" w:rsidRPr="009B0456" w:rsidRDefault="00BD7E83" w:rsidP="00545BC9">
            <w:pPr>
              <w:tabs>
                <w:tab w:val="left" w:pos="567"/>
                <w:tab w:val="left" w:pos="851"/>
                <w:tab w:val="num" w:pos="1134"/>
                <w:tab w:val="left" w:pos="1418"/>
                <w:tab w:val="left" w:pos="5000"/>
                <w:tab w:val="left" w:pos="6680"/>
              </w:tabs>
              <w:rPr>
                <w:szCs w:val="24"/>
              </w:rPr>
            </w:pPr>
          </w:p>
          <w:p w:rsidR="00BD7E83" w:rsidRPr="009B0456" w:rsidRDefault="00BD7E83" w:rsidP="00545BC9">
            <w:pPr>
              <w:tabs>
                <w:tab w:val="left" w:pos="567"/>
                <w:tab w:val="left" w:pos="851"/>
                <w:tab w:val="num" w:pos="1134"/>
                <w:tab w:val="left" w:pos="1418"/>
                <w:tab w:val="left" w:pos="5000"/>
                <w:tab w:val="left" w:pos="6680"/>
              </w:tabs>
              <w:rPr>
                <w:szCs w:val="24"/>
              </w:rPr>
            </w:pPr>
            <w:r w:rsidRPr="009B0456">
              <w:rPr>
                <w:szCs w:val="24"/>
              </w:rPr>
              <w:t>Kroniske leversygdomme (pseudo-alkoholisk hepatitis, cirrose), undertiden dødelig.</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b/>
                <w:szCs w:val="24"/>
              </w:rPr>
            </w:pPr>
            <w:r w:rsidRPr="009B0456">
              <w:rPr>
                <w:b/>
                <w:szCs w:val="24"/>
              </w:rPr>
              <w:t>Hud og subkutane væv</w:t>
            </w:r>
          </w:p>
          <w:p w:rsidR="00BD7E83" w:rsidRPr="009B0456" w:rsidRDefault="00BD7E83" w:rsidP="00545BC9">
            <w:pPr>
              <w:suppressAutoHyphens/>
              <w:rPr>
                <w:szCs w:val="24"/>
              </w:rPr>
            </w:pPr>
            <w:r w:rsidRPr="009B0456">
              <w:rPr>
                <w:szCs w:val="24"/>
              </w:rPr>
              <w:t>Meget almindelig (&gt;1/10)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suppressAutoHyphens/>
              <w:rPr>
                <w:szCs w:val="24"/>
              </w:rPr>
            </w:pPr>
            <w:r w:rsidRPr="009B0456">
              <w:rPr>
                <w:szCs w:val="24"/>
              </w:rPr>
              <w:t>Almindelig (≥1/100 og &lt;1/10)</w:t>
            </w: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b/>
                <w:szCs w:val="24"/>
              </w:rPr>
            </w:pP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p>
          <w:p w:rsidR="00BD7E83" w:rsidRPr="009B0456" w:rsidRDefault="00BD7E83" w:rsidP="00545BC9">
            <w:pPr>
              <w:rPr>
                <w:szCs w:val="24"/>
              </w:rPr>
            </w:pPr>
            <w:r w:rsidRPr="009B0456">
              <w:rPr>
                <w:szCs w:val="24"/>
              </w:rPr>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pStyle w:val="Sidehoved"/>
              <w:tabs>
                <w:tab w:val="clear" w:pos="4819"/>
                <w:tab w:val="left" w:pos="567"/>
                <w:tab w:val="left" w:pos="851"/>
                <w:tab w:val="num" w:pos="1134"/>
                <w:tab w:val="left" w:pos="1418"/>
                <w:tab w:val="left" w:pos="5000"/>
                <w:tab w:val="left" w:pos="6680"/>
                <w:tab w:val="left" w:pos="8180"/>
              </w:tabs>
              <w:rPr>
                <w:szCs w:val="24"/>
              </w:rPr>
            </w:pPr>
            <w:r w:rsidRPr="009B0456">
              <w:rPr>
                <w:szCs w:val="24"/>
              </w:rPr>
              <w:t xml:space="preserve">Lysfølsomhed, herunder fototoksisk </w:t>
            </w:r>
            <w:proofErr w:type="spellStart"/>
            <w:r w:rsidRPr="009B0456">
              <w:rPr>
                <w:szCs w:val="24"/>
              </w:rPr>
              <w:t>dermatitis</w:t>
            </w:r>
            <w:proofErr w:type="spellEnd"/>
            <w:r w:rsidRPr="009B0456">
              <w:rPr>
                <w:szCs w:val="24"/>
              </w:rPr>
              <w:t xml:space="preserve"> (se pkt. 4.4.2). </w:t>
            </w:r>
          </w:p>
          <w:p w:rsidR="00BD7E83" w:rsidRPr="009B0456" w:rsidRDefault="00BD7E83" w:rsidP="00545BC9">
            <w:pPr>
              <w:pStyle w:val="Brdtekstindrykning2"/>
              <w:tabs>
                <w:tab w:val="left" w:pos="567"/>
                <w:tab w:val="left" w:pos="851"/>
                <w:tab w:val="num" w:pos="1134"/>
                <w:tab w:val="left" w:pos="1418"/>
                <w:tab w:val="left" w:pos="8180"/>
              </w:tabs>
              <w:ind w:left="0"/>
              <w:jc w:val="left"/>
              <w:rPr>
                <w:szCs w:val="24"/>
                <w:lang w:val="da-DK"/>
              </w:rPr>
            </w:pPr>
          </w:p>
          <w:p w:rsidR="00BD7E83" w:rsidRPr="009B0456" w:rsidRDefault="00BD7E83" w:rsidP="00545BC9">
            <w:pPr>
              <w:pStyle w:val="Brdtekstindrykning2"/>
              <w:tabs>
                <w:tab w:val="left" w:pos="567"/>
                <w:tab w:val="left" w:pos="851"/>
                <w:tab w:val="num" w:pos="1134"/>
                <w:tab w:val="left" w:pos="1418"/>
                <w:tab w:val="left" w:pos="8180"/>
              </w:tabs>
              <w:ind w:left="0" w:firstLine="0"/>
              <w:jc w:val="left"/>
              <w:rPr>
                <w:szCs w:val="24"/>
                <w:lang w:val="da-DK"/>
              </w:rPr>
            </w:pPr>
            <w:r w:rsidRPr="009B0456">
              <w:rPr>
                <w:szCs w:val="24"/>
                <w:lang w:val="da-DK"/>
              </w:rPr>
              <w:t xml:space="preserve">Grålig eller blålig hudpigmentering i forbindelse med langtidsbehandling med høje døgndoser. Pigmenteringen aftager langsomt efter indstilling af behandlingen. </w:t>
            </w:r>
          </w:p>
          <w:p w:rsidR="00BD7E83" w:rsidRPr="009B0456" w:rsidRDefault="00BD7E83" w:rsidP="00545BC9">
            <w:pPr>
              <w:pStyle w:val="Sidehoved"/>
              <w:tabs>
                <w:tab w:val="clear" w:pos="4819"/>
                <w:tab w:val="left" w:pos="567"/>
                <w:tab w:val="left" w:pos="851"/>
                <w:tab w:val="num" w:pos="1134"/>
                <w:tab w:val="left" w:pos="1418"/>
                <w:tab w:val="left" w:pos="5000"/>
                <w:tab w:val="left" w:pos="6680"/>
                <w:tab w:val="left" w:pos="8180"/>
              </w:tabs>
              <w:ind w:left="1418" w:hanging="1418"/>
              <w:rPr>
                <w:szCs w:val="24"/>
              </w:rPr>
            </w:pPr>
          </w:p>
          <w:p w:rsidR="00BD7E83" w:rsidRPr="009B0456" w:rsidRDefault="00BD7E83" w:rsidP="00545BC9">
            <w:pPr>
              <w:pStyle w:val="Sidehoved"/>
              <w:tabs>
                <w:tab w:val="clear" w:pos="4819"/>
                <w:tab w:val="left" w:pos="5000"/>
                <w:tab w:val="left" w:pos="6680"/>
                <w:tab w:val="left" w:pos="8180"/>
              </w:tabs>
              <w:rPr>
                <w:szCs w:val="24"/>
              </w:rPr>
            </w:pPr>
            <w:proofErr w:type="spellStart"/>
            <w:r w:rsidRPr="009B0456">
              <w:rPr>
                <w:szCs w:val="24"/>
              </w:rPr>
              <w:t>Erytem</w:t>
            </w:r>
            <w:proofErr w:type="spellEnd"/>
            <w:r w:rsidRPr="009B0456">
              <w:rPr>
                <w:szCs w:val="24"/>
              </w:rPr>
              <w:t xml:space="preserve"> i forbindelse med strålebehandling, hududslæt (sædvanligvis uspecifikt), </w:t>
            </w:r>
            <w:proofErr w:type="spellStart"/>
            <w:r w:rsidRPr="009B0456">
              <w:rPr>
                <w:szCs w:val="24"/>
              </w:rPr>
              <w:t>eksfoliativ</w:t>
            </w:r>
            <w:proofErr w:type="spellEnd"/>
            <w:r w:rsidRPr="009B0456">
              <w:rPr>
                <w:szCs w:val="24"/>
              </w:rPr>
              <w:t xml:space="preserve"> </w:t>
            </w:r>
            <w:proofErr w:type="spellStart"/>
            <w:r w:rsidRPr="009B0456">
              <w:rPr>
                <w:szCs w:val="24"/>
              </w:rPr>
              <w:t>dermatit</w:t>
            </w:r>
            <w:proofErr w:type="spellEnd"/>
            <w:r w:rsidRPr="009B0456">
              <w:rPr>
                <w:szCs w:val="24"/>
              </w:rPr>
              <w:t xml:space="preserve">, </w:t>
            </w:r>
            <w:proofErr w:type="spellStart"/>
            <w:r w:rsidRPr="009B0456">
              <w:rPr>
                <w:szCs w:val="24"/>
              </w:rPr>
              <w:t>alopeci</w:t>
            </w:r>
            <w:proofErr w:type="spellEnd"/>
            <w:r w:rsidRPr="009B0456">
              <w:rPr>
                <w:szCs w:val="24"/>
              </w:rPr>
              <w:t xml:space="preserve">. </w:t>
            </w:r>
          </w:p>
          <w:p w:rsidR="00BD7E83" w:rsidRPr="009B0456" w:rsidRDefault="00BD7E83" w:rsidP="00545BC9">
            <w:pPr>
              <w:pStyle w:val="Sidehoved"/>
              <w:tabs>
                <w:tab w:val="clear" w:pos="4819"/>
                <w:tab w:val="left" w:pos="5000"/>
                <w:tab w:val="left" w:pos="6680"/>
                <w:tab w:val="left" w:pos="8180"/>
              </w:tabs>
              <w:rPr>
                <w:szCs w:val="24"/>
              </w:rPr>
            </w:pPr>
          </w:p>
          <w:p w:rsidR="00BD7E83" w:rsidRPr="009B0456" w:rsidRDefault="00BD7E83" w:rsidP="00545BC9">
            <w:pPr>
              <w:pStyle w:val="Sidehoved"/>
              <w:tabs>
                <w:tab w:val="left" w:pos="5000"/>
                <w:tab w:val="left" w:pos="6680"/>
                <w:tab w:val="left" w:pos="8180"/>
              </w:tabs>
            </w:pPr>
            <w:proofErr w:type="spellStart"/>
            <w:r w:rsidRPr="009B0456">
              <w:rPr>
                <w:szCs w:val="24"/>
              </w:rPr>
              <w:t>Urticaria</w:t>
            </w:r>
            <w:proofErr w:type="spellEnd"/>
            <w:r w:rsidRPr="009B0456">
              <w:rPr>
                <w:szCs w:val="24"/>
              </w:rPr>
              <w:t>,</w:t>
            </w:r>
            <w:r w:rsidRPr="009B0456">
              <w:t xml:space="preserve"> alvorlige hudreaktioner såsom toksisk </w:t>
            </w:r>
            <w:proofErr w:type="spellStart"/>
            <w:r w:rsidRPr="009B0456">
              <w:t>epidermal</w:t>
            </w:r>
            <w:proofErr w:type="spellEnd"/>
            <w:r w:rsidRPr="009B0456">
              <w:t xml:space="preserve"> </w:t>
            </w:r>
            <w:proofErr w:type="spellStart"/>
            <w:r w:rsidRPr="009B0456">
              <w:t>nekrolyse</w:t>
            </w:r>
            <w:proofErr w:type="spellEnd"/>
            <w:r w:rsidRPr="009B0456">
              <w:t xml:space="preserve"> (TEN)/Stevens-</w:t>
            </w:r>
          </w:p>
          <w:p w:rsidR="00BD7E83" w:rsidRPr="009B0456" w:rsidRDefault="00BD7E83" w:rsidP="00545BC9">
            <w:pPr>
              <w:pStyle w:val="Sidehoved"/>
              <w:tabs>
                <w:tab w:val="left" w:pos="5000"/>
                <w:tab w:val="left" w:pos="6680"/>
                <w:tab w:val="left" w:pos="8180"/>
              </w:tabs>
            </w:pPr>
            <w:r w:rsidRPr="009B0456">
              <w:t xml:space="preserve">Johnsons syndrom (SJS), </w:t>
            </w:r>
            <w:proofErr w:type="spellStart"/>
            <w:r w:rsidRPr="009B0456">
              <w:t>bulløs</w:t>
            </w:r>
            <w:proofErr w:type="spellEnd"/>
            <w:r w:rsidRPr="009B0456">
              <w:t xml:space="preserve"> </w:t>
            </w:r>
            <w:proofErr w:type="spellStart"/>
            <w:r w:rsidRPr="009B0456">
              <w:t>dermatitis</w:t>
            </w:r>
            <w:proofErr w:type="spellEnd"/>
            <w:r w:rsidRPr="009B0456">
              <w:t xml:space="preserve">, lægemiddelreaktion med </w:t>
            </w:r>
            <w:proofErr w:type="spellStart"/>
            <w:r w:rsidRPr="009B0456">
              <w:t>eosinofili</w:t>
            </w:r>
            <w:proofErr w:type="spellEnd"/>
            <w:r w:rsidRPr="009B0456">
              <w:t xml:space="preserve"> og</w:t>
            </w:r>
          </w:p>
          <w:p w:rsidR="00BD7E83" w:rsidRPr="00BD7E83" w:rsidRDefault="00BD7E83" w:rsidP="00545BC9">
            <w:pPr>
              <w:pStyle w:val="Sidehoved"/>
              <w:tabs>
                <w:tab w:val="clear" w:pos="4819"/>
                <w:tab w:val="left" w:pos="5000"/>
                <w:tab w:val="left" w:pos="6680"/>
                <w:tab w:val="left" w:pos="8180"/>
              </w:tabs>
            </w:pPr>
            <w:r w:rsidRPr="009B0456">
              <w:t>systemiske symptomer (DRESS).</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t>Knogler, led, muskler og bindevæv</w:t>
            </w:r>
          </w:p>
          <w:p w:rsidR="00BD7E83" w:rsidRPr="009B0456" w:rsidRDefault="00BD7E83" w:rsidP="00545BC9">
            <w:pPr>
              <w:rPr>
                <w:szCs w:val="24"/>
              </w:rPr>
            </w:pPr>
            <w:r w:rsidRPr="009B0456">
              <w:rPr>
                <w:szCs w:val="24"/>
              </w:rPr>
              <w:t>Almindelig – meget almindelig (&gt;1/100)</w:t>
            </w:r>
          </w:p>
          <w:p w:rsidR="00BD7E83" w:rsidRPr="009B0456" w:rsidRDefault="00BD7E83" w:rsidP="00545BC9">
            <w:pPr>
              <w:rPr>
                <w:szCs w:val="24"/>
              </w:rPr>
            </w:pPr>
          </w:p>
          <w:p w:rsidR="00BD7E83" w:rsidRPr="009B0456" w:rsidRDefault="00BD7E83" w:rsidP="00545BC9">
            <w:pPr>
              <w:rPr>
                <w:szCs w:val="24"/>
              </w:rPr>
            </w:pPr>
            <w:r w:rsidRPr="009B0456">
              <w:rPr>
                <w:szCs w:val="24"/>
              </w:rPr>
              <w:lastRenderedPageBreak/>
              <w:t>Ikke kendt (kan ikke estimeres ud fra forhåndenværende data)</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4"/>
              </w:rPr>
              <w:t>Proksimal muskelsvaghed.</w:t>
            </w:r>
          </w:p>
          <w:p w:rsidR="00BD7E83" w:rsidRPr="009B0456" w:rsidRDefault="00BD7E83" w:rsidP="00545BC9">
            <w:pPr>
              <w:rPr>
                <w:szCs w:val="24"/>
              </w:rPr>
            </w:pPr>
          </w:p>
          <w:p w:rsidR="00BD7E83" w:rsidRPr="009B0456" w:rsidRDefault="00BD7E83" w:rsidP="00545BC9">
            <w:pPr>
              <w:rPr>
                <w:szCs w:val="24"/>
              </w:rPr>
            </w:pPr>
            <w:r w:rsidRPr="009B0456">
              <w:rPr>
                <w:szCs w:val="24"/>
              </w:rPr>
              <w:lastRenderedPageBreak/>
              <w:t>Lupuslignende reaktion.</w:t>
            </w: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r w:rsidRPr="009B0456">
              <w:rPr>
                <w:b/>
                <w:szCs w:val="24"/>
              </w:rPr>
              <w:lastRenderedPageBreak/>
              <w:t>Det reproduktive system og mammae</w:t>
            </w:r>
          </w:p>
          <w:p w:rsidR="00BD7E83" w:rsidRPr="009B0456" w:rsidRDefault="00BD7E83" w:rsidP="00545BC9">
            <w:pPr>
              <w:rPr>
                <w:szCs w:val="24"/>
              </w:rPr>
            </w:pPr>
            <w:r w:rsidRPr="009B0456">
              <w:rPr>
                <w:szCs w:val="24"/>
              </w:rPr>
              <w:t>Meget sjælden (&lt;1/10.000)</w:t>
            </w:r>
          </w:p>
          <w:p w:rsidR="00BD7E83" w:rsidRPr="009B0456" w:rsidRDefault="00BD7E83" w:rsidP="00545BC9">
            <w:pPr>
              <w:rPr>
                <w:szCs w:val="24"/>
              </w:rPr>
            </w:pPr>
          </w:p>
          <w:p w:rsidR="00BD7E83" w:rsidRPr="009B0456" w:rsidRDefault="00BD7E83" w:rsidP="00D10D18">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proofErr w:type="spellStart"/>
            <w:r w:rsidRPr="009B0456">
              <w:rPr>
                <w:szCs w:val="24"/>
              </w:rPr>
              <w:t>Epididymitis</w:t>
            </w:r>
            <w:proofErr w:type="spellEnd"/>
            <w:r w:rsidRPr="009B0456">
              <w:rPr>
                <w:szCs w:val="24"/>
              </w:rPr>
              <w:t>, impotens.</w:t>
            </w:r>
          </w:p>
          <w:p w:rsidR="00BD7E83" w:rsidRPr="009B0456" w:rsidRDefault="00BD7E83" w:rsidP="00545BC9">
            <w:pPr>
              <w:rPr>
                <w:szCs w:val="24"/>
              </w:rPr>
            </w:pPr>
          </w:p>
        </w:tc>
      </w:tr>
      <w:tr w:rsidR="00BD7E83"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hideMark/>
          </w:tcPr>
          <w:p w:rsidR="00BD7E83" w:rsidRPr="009B0456" w:rsidRDefault="00BD7E83" w:rsidP="00545BC9">
            <w:pPr>
              <w:rPr>
                <w:szCs w:val="24"/>
              </w:rPr>
            </w:pPr>
            <w:r w:rsidRPr="009B0456">
              <w:rPr>
                <w:b/>
                <w:szCs w:val="24"/>
              </w:rPr>
              <w:t>Undersøgelser</w:t>
            </w:r>
          </w:p>
          <w:p w:rsidR="00BD7E83" w:rsidRPr="009B0456" w:rsidRDefault="00BD7E83" w:rsidP="00545BC9">
            <w:pPr>
              <w:rPr>
                <w:b/>
                <w:szCs w:val="24"/>
              </w:rPr>
            </w:pPr>
            <w:r w:rsidRPr="009B0456">
              <w:rPr>
                <w:szCs w:val="24"/>
              </w:rPr>
              <w:t>Meget sjælden (&lt;1/10.000)</w:t>
            </w:r>
          </w:p>
        </w:tc>
        <w:tc>
          <w:tcPr>
            <w:tcW w:w="4538" w:type="dxa"/>
            <w:tcBorders>
              <w:top w:val="single" w:sz="4" w:space="0" w:color="auto"/>
              <w:left w:val="single" w:sz="4" w:space="0" w:color="auto"/>
              <w:bottom w:val="single" w:sz="4" w:space="0" w:color="auto"/>
              <w:right w:val="single" w:sz="4" w:space="0" w:color="auto"/>
            </w:tcBorders>
          </w:tcPr>
          <w:p w:rsidR="00BD7E83" w:rsidRPr="009B0456" w:rsidRDefault="00BD7E83" w:rsidP="00545BC9">
            <w:pPr>
              <w:rPr>
                <w:szCs w:val="24"/>
              </w:rPr>
            </w:pPr>
          </w:p>
          <w:p w:rsidR="00BD7E83" w:rsidRPr="009B0456" w:rsidRDefault="00BD7E83" w:rsidP="00545BC9">
            <w:pPr>
              <w:rPr>
                <w:szCs w:val="24"/>
              </w:rPr>
            </w:pPr>
            <w:r w:rsidRPr="009B0456">
              <w:rPr>
                <w:szCs w:val="24"/>
              </w:rPr>
              <w:t xml:space="preserve">Forhøjet </w:t>
            </w:r>
            <w:proofErr w:type="spellStart"/>
            <w:r w:rsidRPr="009B0456">
              <w:rPr>
                <w:szCs w:val="24"/>
              </w:rPr>
              <w:t>blodkreatinin</w:t>
            </w:r>
            <w:proofErr w:type="spellEnd"/>
          </w:p>
          <w:p w:rsidR="00BD7E83" w:rsidRPr="009B0456" w:rsidRDefault="00BD7E83" w:rsidP="00545BC9">
            <w:pPr>
              <w:rPr>
                <w:szCs w:val="24"/>
              </w:rPr>
            </w:pPr>
          </w:p>
        </w:tc>
      </w:tr>
      <w:tr w:rsidR="00D10D18" w:rsidRPr="009B0456" w:rsidTr="00D64D2B">
        <w:trPr>
          <w:trHeight w:val="340"/>
        </w:trPr>
        <w:tc>
          <w:tcPr>
            <w:tcW w:w="4537" w:type="dxa"/>
            <w:tcBorders>
              <w:top w:val="single" w:sz="4" w:space="0" w:color="auto"/>
              <w:left w:val="single" w:sz="4" w:space="0" w:color="auto"/>
              <w:bottom w:val="single" w:sz="4" w:space="0" w:color="auto"/>
              <w:right w:val="single" w:sz="4" w:space="0" w:color="auto"/>
            </w:tcBorders>
          </w:tcPr>
          <w:p w:rsidR="00D10D18" w:rsidRPr="009B0456" w:rsidRDefault="00D10D18" w:rsidP="00D10D18">
            <w:pPr>
              <w:pStyle w:val="Overskrift2"/>
              <w:tabs>
                <w:tab w:val="left" w:pos="4536"/>
              </w:tabs>
              <w:spacing w:before="0" w:after="0"/>
              <w:rPr>
                <w:b w:val="0"/>
                <w:noProof/>
              </w:rPr>
            </w:pPr>
            <w:r w:rsidRPr="00733795">
              <w:rPr>
                <w:rFonts w:ascii="Times New Roman" w:hAnsi="Times New Roman" w:cs="Times New Roman"/>
                <w:i w:val="0"/>
                <w:sz w:val="24"/>
                <w:szCs w:val="24"/>
              </w:rPr>
              <w:t>Traumer, forgiftninger og behandlingskomplikationer</w:t>
            </w:r>
            <w:r w:rsidRPr="009B0456">
              <w:rPr>
                <w:b w:val="0"/>
                <w:noProof/>
              </w:rPr>
              <w:t xml:space="preserve">  </w:t>
            </w:r>
          </w:p>
          <w:p w:rsidR="00D10D18" w:rsidRPr="009B0456" w:rsidRDefault="00D10D18" w:rsidP="00D10D18">
            <w:pPr>
              <w:rPr>
                <w:szCs w:val="24"/>
              </w:rPr>
            </w:pPr>
            <w:r w:rsidRPr="009B0456">
              <w:t>Ikke kendt (</w:t>
            </w:r>
            <w:r w:rsidRPr="009B0456">
              <w:rPr>
                <w:szCs w:val="24"/>
              </w:rPr>
              <w:t>kan ikke estimeres ud fra forhåndenværende data)</w:t>
            </w:r>
          </w:p>
          <w:p w:rsidR="00D10D18" w:rsidRPr="009B0456" w:rsidRDefault="00D10D18" w:rsidP="00D10D18">
            <w:pPr>
              <w:rPr>
                <w:b/>
                <w:szCs w:val="24"/>
              </w:rPr>
            </w:pPr>
          </w:p>
        </w:tc>
        <w:tc>
          <w:tcPr>
            <w:tcW w:w="4538" w:type="dxa"/>
            <w:tcBorders>
              <w:top w:val="single" w:sz="4" w:space="0" w:color="auto"/>
              <w:left w:val="single" w:sz="4" w:space="0" w:color="auto"/>
              <w:bottom w:val="single" w:sz="4" w:space="0" w:color="auto"/>
              <w:right w:val="single" w:sz="4" w:space="0" w:color="auto"/>
            </w:tcBorders>
          </w:tcPr>
          <w:p w:rsidR="00D10D18" w:rsidRPr="009B0456" w:rsidRDefault="00D10D18" w:rsidP="00D10D18">
            <w:pPr>
              <w:rPr>
                <w:szCs w:val="24"/>
              </w:rPr>
            </w:pPr>
          </w:p>
          <w:p w:rsidR="00D10D18" w:rsidRPr="009B0456" w:rsidRDefault="00D10D18" w:rsidP="00D10D18">
            <w:pPr>
              <w:rPr>
                <w:szCs w:val="24"/>
              </w:rPr>
            </w:pPr>
          </w:p>
          <w:p w:rsidR="00D10D18" w:rsidRPr="009B0456" w:rsidRDefault="00D10D18" w:rsidP="00D10D18">
            <w:pPr>
              <w:rPr>
                <w:szCs w:val="24"/>
              </w:rPr>
            </w:pPr>
            <w:r w:rsidRPr="009B0456">
              <w:rPr>
                <w:szCs w:val="24"/>
              </w:rPr>
              <w:t>Transplantatdysfunktion efter hjertetransplantation (se pkt. 4.4)</w:t>
            </w:r>
            <w:r>
              <w:rPr>
                <w:szCs w:val="24"/>
              </w:rPr>
              <w:t>.</w:t>
            </w:r>
          </w:p>
        </w:tc>
      </w:tr>
    </w:tbl>
    <w:p w:rsidR="00BD7E83" w:rsidRDefault="00BD7E83" w:rsidP="00BD7E83">
      <w:pPr>
        <w:tabs>
          <w:tab w:val="left" w:pos="567"/>
          <w:tab w:val="left" w:pos="851"/>
          <w:tab w:val="left" w:pos="1418"/>
          <w:tab w:val="left" w:pos="5000"/>
          <w:tab w:val="left" w:pos="6680"/>
        </w:tabs>
      </w:pPr>
    </w:p>
    <w:p w:rsidR="00BD7E83" w:rsidRPr="00AA48CD" w:rsidRDefault="00BD7E83" w:rsidP="00BD7E83">
      <w:pPr>
        <w:tabs>
          <w:tab w:val="left" w:pos="567"/>
          <w:tab w:val="left" w:pos="851"/>
          <w:tab w:val="left" w:pos="1418"/>
          <w:tab w:val="left" w:pos="5000"/>
          <w:tab w:val="left" w:pos="6680"/>
        </w:tabs>
        <w:ind w:firstLine="851"/>
      </w:pPr>
      <w:r w:rsidRPr="00AA48CD">
        <w:rPr>
          <w:u w:val="single"/>
        </w:rPr>
        <w:t>Indberetning af formodede bivirkninger</w:t>
      </w:r>
    </w:p>
    <w:p w:rsidR="00BD7E83" w:rsidRDefault="00BD7E83" w:rsidP="00BD7E83">
      <w:pPr>
        <w:tabs>
          <w:tab w:val="left" w:pos="567"/>
          <w:tab w:val="left" w:pos="851"/>
          <w:tab w:val="left" w:pos="1418"/>
          <w:tab w:val="left" w:pos="5000"/>
          <w:tab w:val="left" w:pos="6680"/>
        </w:tabs>
        <w:ind w:left="851"/>
      </w:pPr>
      <w:r w:rsidRPr="00AA48CD">
        <w:t>Når lægemidlet er godkendt, er indberetning af formodede bivirkninger vigtig. Det muliggør løbende overvågning af benefit/</w:t>
      </w:r>
      <w:proofErr w:type="spellStart"/>
      <w:r w:rsidRPr="00AA48CD">
        <w:t>risk</w:t>
      </w:r>
      <w:proofErr w:type="spellEnd"/>
      <w:r w:rsidRPr="00AA48CD">
        <w:t xml:space="preserve">-forholdet for lægemidlet. </w:t>
      </w:r>
      <w:r>
        <w:t>S</w:t>
      </w:r>
      <w:r w:rsidRPr="00AA48CD">
        <w:t>undhedsperson</w:t>
      </w:r>
      <w:r>
        <w:t>er</w:t>
      </w:r>
      <w:r w:rsidRPr="00AA48CD">
        <w:t xml:space="preserve"> anmodes om at indberette alle formodede bivirkninger via</w:t>
      </w:r>
      <w:r>
        <w:t>:</w:t>
      </w:r>
    </w:p>
    <w:p w:rsidR="00BD7E83" w:rsidRPr="00AA48CD" w:rsidRDefault="00BD7E83" w:rsidP="00BD7E83">
      <w:pPr>
        <w:tabs>
          <w:tab w:val="left" w:pos="567"/>
          <w:tab w:val="left" w:pos="851"/>
          <w:tab w:val="left" w:pos="1418"/>
          <w:tab w:val="left" w:pos="5000"/>
          <w:tab w:val="left" w:pos="6680"/>
        </w:tabs>
        <w:ind w:left="851"/>
      </w:pPr>
    </w:p>
    <w:p w:rsidR="00BD7E83" w:rsidRDefault="00BD7E83" w:rsidP="00BD7E83">
      <w:pPr>
        <w:tabs>
          <w:tab w:val="left" w:pos="567"/>
          <w:tab w:val="left" w:pos="851"/>
          <w:tab w:val="left" w:pos="1418"/>
          <w:tab w:val="left" w:pos="5000"/>
          <w:tab w:val="left" w:pos="6680"/>
        </w:tabs>
        <w:ind w:left="851"/>
      </w:pPr>
      <w:r>
        <w:t>Lægemiddelstyrelsen</w:t>
      </w:r>
    </w:p>
    <w:p w:rsidR="00BD7E83" w:rsidRDefault="00BD7E83" w:rsidP="00BD7E83">
      <w:pPr>
        <w:tabs>
          <w:tab w:val="left" w:pos="567"/>
          <w:tab w:val="left" w:pos="851"/>
          <w:tab w:val="left" w:pos="1418"/>
          <w:tab w:val="left" w:pos="5000"/>
          <w:tab w:val="left" w:pos="6680"/>
        </w:tabs>
        <w:ind w:firstLine="851"/>
      </w:pPr>
      <w:r>
        <w:t>Axel Heides Gade 1</w:t>
      </w:r>
    </w:p>
    <w:p w:rsidR="00BD7E83" w:rsidRDefault="00BD7E83" w:rsidP="00BD7E83">
      <w:pPr>
        <w:tabs>
          <w:tab w:val="left" w:pos="567"/>
          <w:tab w:val="left" w:pos="851"/>
          <w:tab w:val="left" w:pos="1418"/>
          <w:tab w:val="left" w:pos="5000"/>
          <w:tab w:val="left" w:pos="6680"/>
        </w:tabs>
        <w:ind w:firstLine="851"/>
      </w:pPr>
      <w:r>
        <w:t>DK-2300 København S</w:t>
      </w:r>
    </w:p>
    <w:p w:rsidR="00BD7E83" w:rsidRPr="00BD7E83" w:rsidRDefault="00BD7E83" w:rsidP="00BD7E83">
      <w:pPr>
        <w:tabs>
          <w:tab w:val="left" w:pos="567"/>
          <w:tab w:val="left" w:pos="851"/>
          <w:tab w:val="left" w:pos="1418"/>
          <w:tab w:val="left" w:pos="5000"/>
          <w:tab w:val="left" w:pos="6680"/>
        </w:tabs>
        <w:ind w:left="851"/>
      </w:pPr>
      <w:r w:rsidRPr="00BD7E83">
        <w:t xml:space="preserve">Websted: </w:t>
      </w:r>
      <w:hyperlink r:id="rId8" w:history="1">
        <w:r w:rsidRPr="00BD7E83">
          <w:rPr>
            <w:rStyle w:val="Hyperlink"/>
          </w:rPr>
          <w:t>www.meldenbivirkning.dk</w:t>
        </w:r>
      </w:hyperlink>
    </w:p>
    <w:p w:rsidR="00BD7E83" w:rsidRPr="00BD7E83" w:rsidRDefault="00BD7E83" w:rsidP="006768E2">
      <w:pPr>
        <w:tabs>
          <w:tab w:val="left" w:pos="567"/>
          <w:tab w:val="left" w:pos="851"/>
          <w:tab w:val="left" w:pos="1418"/>
          <w:tab w:val="left" w:pos="5000"/>
          <w:tab w:val="left" w:pos="6680"/>
        </w:tabs>
      </w:pPr>
    </w:p>
    <w:p w:rsidR="006768E2" w:rsidRPr="005C6862" w:rsidRDefault="006768E2" w:rsidP="006768E2">
      <w:pPr>
        <w:numPr>
          <w:ilvl w:val="1"/>
          <w:numId w:val="10"/>
        </w:numPr>
        <w:jc w:val="both"/>
        <w:rPr>
          <w:b/>
        </w:rPr>
      </w:pPr>
      <w:r w:rsidRPr="005C6862">
        <w:rPr>
          <w:b/>
        </w:rPr>
        <w:t>Overdosering</w:t>
      </w:r>
    </w:p>
    <w:p w:rsidR="006768E2" w:rsidRPr="00753345" w:rsidRDefault="006768E2" w:rsidP="006768E2">
      <w:pPr>
        <w:tabs>
          <w:tab w:val="left" w:pos="851"/>
        </w:tabs>
        <w:ind w:left="851"/>
      </w:pPr>
      <w:r w:rsidRPr="005C6862">
        <w:t xml:space="preserve">Dyrestudier indikerer at </w:t>
      </w:r>
      <w:proofErr w:type="spellStart"/>
      <w:r w:rsidRPr="005C6862">
        <w:t>amiodaronhydrochlorid</w:t>
      </w:r>
      <w:proofErr w:type="spellEnd"/>
      <w:r w:rsidRPr="005C6862">
        <w:t xml:space="preserve"> har et højt LD</w:t>
      </w:r>
      <w:r w:rsidRPr="005C6862">
        <w:rPr>
          <w:vertAlign w:val="subscript"/>
        </w:rPr>
        <w:t>50.</w:t>
      </w:r>
      <w:r w:rsidRPr="005C6862">
        <w:t xml:space="preserve"> Det er derfor ikke sandsynligt at en patient vil indtage en akut toksisk dosis. Men i et sådant tilfælde kan der foruden de generelle forholdsregler foretages en ventrikeltøm</w:t>
      </w:r>
      <w:r w:rsidRPr="005C6862">
        <w:softHyphen/>
        <w:t xml:space="preserve">ning for at reducere absorptionen. Hvis der opstår bradykardi, kan der gives beta-receptorstimulerende midler eller </w:t>
      </w:r>
      <w:proofErr w:type="spellStart"/>
      <w:r w:rsidRPr="005C6862">
        <w:t>glucagon</w:t>
      </w:r>
      <w:proofErr w:type="spellEnd"/>
      <w:r w:rsidRPr="005C6862">
        <w:t>. Spontant resol</w:t>
      </w:r>
      <w:r w:rsidRPr="005C6862">
        <w:softHyphen/>
        <w:t xml:space="preserve">verende anfald af </w:t>
      </w:r>
      <w:proofErr w:type="spellStart"/>
      <w:r w:rsidRPr="005C6862">
        <w:t>ventrikulær</w:t>
      </w:r>
      <w:proofErr w:type="spellEnd"/>
      <w:r w:rsidRPr="005C6862">
        <w:t xml:space="preserve"> </w:t>
      </w:r>
      <w:proofErr w:type="spellStart"/>
      <w:r w:rsidRPr="005C6862">
        <w:t>takykardi</w:t>
      </w:r>
      <w:proofErr w:type="spellEnd"/>
      <w:r w:rsidRPr="005C6862">
        <w:t xml:space="preserve"> kan også </w:t>
      </w:r>
      <w:proofErr w:type="spellStart"/>
      <w:r w:rsidRPr="005C6862">
        <w:t>forkomme</w:t>
      </w:r>
      <w:proofErr w:type="spellEnd"/>
      <w:r w:rsidRPr="005C6862">
        <w:t xml:space="preserve">. Der er set få tilfælde af sinus bradykardi, hjerteblok, tilfælde med </w:t>
      </w:r>
      <w:proofErr w:type="spellStart"/>
      <w:r w:rsidRPr="005C6862">
        <w:t>ventrikulær</w:t>
      </w:r>
      <w:proofErr w:type="spellEnd"/>
      <w:r w:rsidRPr="005C6862">
        <w:t xml:space="preserve"> </w:t>
      </w:r>
      <w:proofErr w:type="spellStart"/>
      <w:r w:rsidRPr="005C6862">
        <w:t>takykardi</w:t>
      </w:r>
      <w:proofErr w:type="spellEnd"/>
      <w:r w:rsidRPr="005C6862">
        <w:t xml:space="preserve">, </w:t>
      </w:r>
      <w:proofErr w:type="spellStart"/>
      <w:r w:rsidRPr="00FF5BF2">
        <w:rPr>
          <w:i/>
        </w:rPr>
        <w:t>torsade</w:t>
      </w:r>
      <w:proofErr w:type="spellEnd"/>
      <w:r w:rsidRPr="00FF5BF2">
        <w:rPr>
          <w:i/>
        </w:rPr>
        <w:t xml:space="preserve"> de pointes</w:t>
      </w:r>
      <w:r w:rsidRPr="00FF5BF2">
        <w:t xml:space="preserve">, problemer med blodomløbet og leverskade. På grund af </w:t>
      </w:r>
      <w:proofErr w:type="spellStart"/>
      <w:r w:rsidRPr="00FF5BF2">
        <w:t>amiodaronhydrochlo</w:t>
      </w:r>
      <w:r w:rsidRPr="0058478C">
        <w:t>rids</w:t>
      </w:r>
      <w:proofErr w:type="spellEnd"/>
      <w:r w:rsidRPr="0058478C">
        <w:t xml:space="preserve"> farmakokinetik anbefales forlænget overvågning af patienten, specielt med henblik på hjertets tilstand. Ellers symptomatisk behandling. Hverken </w:t>
      </w:r>
      <w:proofErr w:type="spellStart"/>
      <w:r w:rsidRPr="0058478C">
        <w:t>amiodaron</w:t>
      </w:r>
      <w:proofErr w:type="spellEnd"/>
      <w:r w:rsidRPr="0058478C">
        <w:t xml:space="preserve"> eller dets metabolit</w:t>
      </w:r>
      <w:r w:rsidRPr="004E3C5A">
        <w:t>ter fjernes ved di</w:t>
      </w:r>
      <w:r w:rsidRPr="005D2AC2">
        <w:t>a</w:t>
      </w:r>
      <w:r w:rsidRPr="00753345">
        <w:t>lyse.</w:t>
      </w:r>
    </w:p>
    <w:p w:rsidR="006768E2" w:rsidRPr="00307261" w:rsidRDefault="006768E2" w:rsidP="006768E2">
      <w:pPr>
        <w:tabs>
          <w:tab w:val="left" w:pos="851"/>
        </w:tabs>
        <w:ind w:left="851"/>
        <w:jc w:val="both"/>
        <w:rPr>
          <w:spacing w:val="-3"/>
        </w:rPr>
      </w:pPr>
    </w:p>
    <w:p w:rsidR="006768E2" w:rsidRPr="00B95C9A" w:rsidRDefault="006768E2" w:rsidP="006768E2">
      <w:pPr>
        <w:numPr>
          <w:ilvl w:val="1"/>
          <w:numId w:val="10"/>
        </w:numPr>
        <w:jc w:val="both"/>
        <w:rPr>
          <w:b/>
        </w:rPr>
      </w:pPr>
      <w:r w:rsidRPr="00B95C9A">
        <w:rPr>
          <w:b/>
        </w:rPr>
        <w:t>Udlevering</w:t>
      </w:r>
    </w:p>
    <w:p w:rsidR="006768E2" w:rsidRPr="00F22C35" w:rsidRDefault="006768E2" w:rsidP="006768E2">
      <w:pPr>
        <w:tabs>
          <w:tab w:val="left" w:pos="0"/>
          <w:tab w:val="left" w:pos="851"/>
        </w:tabs>
        <w:ind w:left="850" w:hanging="850"/>
        <w:jc w:val="both"/>
        <w:rPr>
          <w:spacing w:val="-3"/>
        </w:rPr>
      </w:pPr>
      <w:r w:rsidRPr="00F22C35">
        <w:rPr>
          <w:spacing w:val="-3"/>
        </w:rPr>
        <w:tab/>
        <w:t>NBS</w:t>
      </w:r>
    </w:p>
    <w:p w:rsidR="006768E2" w:rsidRDefault="006768E2" w:rsidP="006768E2">
      <w:pPr>
        <w:tabs>
          <w:tab w:val="left" w:pos="0"/>
          <w:tab w:val="left" w:pos="851"/>
        </w:tabs>
        <w:jc w:val="both"/>
        <w:rPr>
          <w:spacing w:val="-3"/>
        </w:rPr>
      </w:pPr>
    </w:p>
    <w:p w:rsidR="006768E2" w:rsidRPr="00BF64D3" w:rsidRDefault="006768E2" w:rsidP="006768E2">
      <w:pPr>
        <w:tabs>
          <w:tab w:val="left" w:pos="0"/>
          <w:tab w:val="left" w:pos="851"/>
        </w:tabs>
        <w:jc w:val="both"/>
        <w:rPr>
          <w:spacing w:val="-3"/>
        </w:rPr>
      </w:pPr>
    </w:p>
    <w:p w:rsidR="006768E2" w:rsidRPr="00C92D39" w:rsidRDefault="006768E2" w:rsidP="006768E2">
      <w:pPr>
        <w:tabs>
          <w:tab w:val="left" w:pos="851"/>
        </w:tabs>
        <w:jc w:val="both"/>
        <w:rPr>
          <w:b/>
        </w:rPr>
      </w:pPr>
      <w:r w:rsidRPr="003E4BF5">
        <w:rPr>
          <w:b/>
        </w:rPr>
        <w:t>5.</w:t>
      </w:r>
      <w:r w:rsidRPr="003E4BF5">
        <w:rPr>
          <w:b/>
        </w:rPr>
        <w:tab/>
      </w:r>
      <w:r w:rsidRPr="00C92D39">
        <w:rPr>
          <w:b/>
        </w:rPr>
        <w:t>FARMAKOLOGISKE EGENSKABER</w:t>
      </w:r>
    </w:p>
    <w:p w:rsidR="006768E2" w:rsidRDefault="006768E2" w:rsidP="006768E2">
      <w:pPr>
        <w:tabs>
          <w:tab w:val="left" w:pos="0"/>
          <w:tab w:val="left" w:pos="851"/>
        </w:tabs>
        <w:ind w:left="850" w:hanging="850"/>
        <w:jc w:val="both"/>
        <w:rPr>
          <w:spacing w:val="-3"/>
        </w:rPr>
      </w:pPr>
      <w:r w:rsidRPr="006416E8">
        <w:rPr>
          <w:spacing w:val="-3"/>
        </w:rPr>
        <w:tab/>
      </w:r>
    </w:p>
    <w:p w:rsidR="006768E2" w:rsidRPr="00500829" w:rsidRDefault="006768E2" w:rsidP="006768E2">
      <w:pPr>
        <w:numPr>
          <w:ilvl w:val="0"/>
          <w:numId w:val="7"/>
        </w:numPr>
        <w:jc w:val="both"/>
        <w:rPr>
          <w:b/>
        </w:rPr>
      </w:pPr>
      <w:r w:rsidRPr="00E943DB">
        <w:rPr>
          <w:b/>
        </w:rPr>
        <w:t>Terapeutisk klassifikation</w:t>
      </w:r>
    </w:p>
    <w:p w:rsidR="006768E2" w:rsidRPr="00AC08D8" w:rsidRDefault="006768E2" w:rsidP="006768E2">
      <w:pPr>
        <w:tabs>
          <w:tab w:val="left" w:pos="0"/>
          <w:tab w:val="left" w:pos="851"/>
        </w:tabs>
        <w:ind w:left="850" w:hanging="850"/>
        <w:jc w:val="both"/>
        <w:rPr>
          <w:spacing w:val="-3"/>
        </w:rPr>
      </w:pPr>
      <w:r w:rsidRPr="006416E8">
        <w:rPr>
          <w:spacing w:val="-3"/>
        </w:rPr>
        <w:tab/>
        <w:t xml:space="preserve">C01BD01 </w:t>
      </w:r>
      <w:r w:rsidRPr="00AC08D8">
        <w:rPr>
          <w:spacing w:val="-3"/>
        </w:rPr>
        <w:t xml:space="preserve">– </w:t>
      </w:r>
      <w:proofErr w:type="spellStart"/>
      <w:r w:rsidRPr="00AC08D8">
        <w:rPr>
          <w:spacing w:val="-3"/>
        </w:rPr>
        <w:t>Antiarhytmica</w:t>
      </w:r>
      <w:proofErr w:type="spellEnd"/>
      <w:r w:rsidRPr="00AC08D8">
        <w:rPr>
          <w:spacing w:val="-3"/>
        </w:rPr>
        <w:t>, klasse III</w:t>
      </w:r>
    </w:p>
    <w:p w:rsidR="006768E2" w:rsidRPr="0002673C" w:rsidRDefault="006768E2" w:rsidP="006768E2">
      <w:pPr>
        <w:tabs>
          <w:tab w:val="left" w:pos="0"/>
          <w:tab w:val="left" w:pos="851"/>
        </w:tabs>
        <w:ind w:left="850" w:hanging="850"/>
        <w:jc w:val="both"/>
        <w:rPr>
          <w:spacing w:val="-3"/>
        </w:rPr>
      </w:pPr>
    </w:p>
    <w:p w:rsidR="006768E2" w:rsidRDefault="006768E2" w:rsidP="006768E2">
      <w:pPr>
        <w:tabs>
          <w:tab w:val="left" w:pos="851"/>
        </w:tabs>
        <w:jc w:val="both"/>
        <w:rPr>
          <w:b/>
        </w:rPr>
      </w:pPr>
      <w:r w:rsidRPr="0002673C">
        <w:rPr>
          <w:b/>
        </w:rPr>
        <w:t>5.1</w:t>
      </w:r>
      <w:r w:rsidRPr="0002673C">
        <w:rPr>
          <w:b/>
        </w:rPr>
        <w:tab/>
      </w:r>
      <w:proofErr w:type="spellStart"/>
      <w:r w:rsidRPr="0002673C">
        <w:rPr>
          <w:b/>
        </w:rPr>
        <w:t>Farmakodynamiske</w:t>
      </w:r>
      <w:proofErr w:type="spellEnd"/>
      <w:r w:rsidRPr="0002673C">
        <w:rPr>
          <w:b/>
        </w:rPr>
        <w:t xml:space="preserve"> egenskaber</w:t>
      </w:r>
    </w:p>
    <w:p w:rsidR="006768E2" w:rsidRPr="00384B79" w:rsidRDefault="006768E2" w:rsidP="006768E2">
      <w:pPr>
        <w:tabs>
          <w:tab w:val="left" w:pos="0"/>
          <w:tab w:val="left" w:pos="851"/>
        </w:tabs>
        <w:ind w:left="850" w:hanging="850"/>
        <w:jc w:val="both"/>
        <w:rPr>
          <w:spacing w:val="-3"/>
        </w:rPr>
      </w:pPr>
      <w:r>
        <w:rPr>
          <w:b/>
        </w:rPr>
        <w:tab/>
      </w:r>
      <w:proofErr w:type="spellStart"/>
      <w:r w:rsidRPr="00384B79">
        <w:rPr>
          <w:b/>
          <w:spacing w:val="-3"/>
        </w:rPr>
        <w:t>Antiarytmiske</w:t>
      </w:r>
      <w:proofErr w:type="spellEnd"/>
      <w:r w:rsidRPr="00384B79">
        <w:rPr>
          <w:b/>
          <w:spacing w:val="-3"/>
        </w:rPr>
        <w:t xml:space="preserve"> egenskaber:</w:t>
      </w:r>
    </w:p>
    <w:p w:rsidR="006768E2" w:rsidRPr="00555004" w:rsidRDefault="006768E2" w:rsidP="006768E2">
      <w:pPr>
        <w:tabs>
          <w:tab w:val="left" w:pos="0"/>
          <w:tab w:val="left" w:pos="851"/>
          <w:tab w:val="left" w:pos="1279"/>
        </w:tabs>
        <w:ind w:left="1278" w:hanging="1278"/>
        <w:rPr>
          <w:spacing w:val="-3"/>
        </w:rPr>
      </w:pPr>
      <w:r w:rsidRPr="00384B79">
        <w:rPr>
          <w:spacing w:val="-3"/>
        </w:rPr>
        <w:tab/>
        <w:t>-</w:t>
      </w:r>
      <w:r w:rsidRPr="00384B79">
        <w:rPr>
          <w:spacing w:val="-3"/>
        </w:rPr>
        <w:tab/>
        <w:t>Forlængelse af fase 3 af aktionspotentialevarigheden, som især fører til et fald i kalium</w:t>
      </w:r>
      <w:r w:rsidRPr="00555004">
        <w:rPr>
          <w:spacing w:val="-3"/>
        </w:rPr>
        <w:t>strømmen (klasse III ifølge Vaughan Williams klassifikation). En sådan forlængelse er ikke relateret til hjertefrekvensen.</w:t>
      </w:r>
    </w:p>
    <w:p w:rsidR="006768E2" w:rsidRPr="00940D10" w:rsidRDefault="006768E2" w:rsidP="006768E2">
      <w:pPr>
        <w:tabs>
          <w:tab w:val="left" w:pos="0"/>
          <w:tab w:val="left" w:pos="851"/>
          <w:tab w:val="left" w:pos="1279"/>
        </w:tabs>
        <w:ind w:left="1278" w:hanging="1278"/>
        <w:rPr>
          <w:spacing w:val="-3"/>
        </w:rPr>
      </w:pPr>
      <w:r w:rsidRPr="00555004">
        <w:rPr>
          <w:spacing w:val="-3"/>
        </w:rPr>
        <w:tab/>
        <w:t>-</w:t>
      </w:r>
      <w:r w:rsidRPr="00555004">
        <w:rPr>
          <w:spacing w:val="-3"/>
        </w:rPr>
        <w:tab/>
        <w:t>Nedsat sinus-</w:t>
      </w:r>
      <w:proofErr w:type="spellStart"/>
      <w:r w:rsidRPr="00555004">
        <w:rPr>
          <w:spacing w:val="-3"/>
        </w:rPr>
        <w:t>automaticitet</w:t>
      </w:r>
      <w:proofErr w:type="spellEnd"/>
      <w:r w:rsidRPr="00555004">
        <w:rPr>
          <w:spacing w:val="-3"/>
        </w:rPr>
        <w:t xml:space="preserve"> førende til brady</w:t>
      </w:r>
      <w:r>
        <w:rPr>
          <w:spacing w:val="-3"/>
        </w:rPr>
        <w:t>kardi</w:t>
      </w:r>
      <w:r w:rsidRPr="00555004">
        <w:rPr>
          <w:spacing w:val="-3"/>
        </w:rPr>
        <w:t>, som ikke</w:t>
      </w:r>
      <w:r w:rsidRPr="00940D10">
        <w:rPr>
          <w:spacing w:val="-3"/>
        </w:rPr>
        <w:t xml:space="preserve"> reagerer på indgift af atropin.</w:t>
      </w:r>
    </w:p>
    <w:p w:rsidR="006768E2" w:rsidRPr="00940D10" w:rsidRDefault="006768E2" w:rsidP="006768E2">
      <w:pPr>
        <w:tabs>
          <w:tab w:val="left" w:pos="0"/>
          <w:tab w:val="left" w:pos="851"/>
          <w:tab w:val="left" w:pos="1279"/>
        </w:tabs>
        <w:ind w:left="1278" w:hanging="1278"/>
        <w:rPr>
          <w:spacing w:val="-3"/>
        </w:rPr>
      </w:pPr>
      <w:r w:rsidRPr="00940D10">
        <w:rPr>
          <w:spacing w:val="-3"/>
        </w:rPr>
        <w:tab/>
        <w:t>-</w:t>
      </w:r>
      <w:r w:rsidRPr="00940D10">
        <w:rPr>
          <w:spacing w:val="-3"/>
        </w:rPr>
        <w:tab/>
      </w:r>
      <w:proofErr w:type="spellStart"/>
      <w:r w:rsidRPr="00940D10">
        <w:rPr>
          <w:spacing w:val="-3"/>
        </w:rPr>
        <w:t>Nonkompetitiv</w:t>
      </w:r>
      <w:proofErr w:type="spellEnd"/>
      <w:r w:rsidRPr="00940D10">
        <w:rPr>
          <w:spacing w:val="-3"/>
        </w:rPr>
        <w:t xml:space="preserve"> alfa- og beta-</w:t>
      </w:r>
      <w:proofErr w:type="spellStart"/>
      <w:r w:rsidRPr="00940D10">
        <w:rPr>
          <w:spacing w:val="-3"/>
        </w:rPr>
        <w:t>adrenergisk</w:t>
      </w:r>
      <w:proofErr w:type="spellEnd"/>
      <w:r w:rsidRPr="00940D10">
        <w:rPr>
          <w:spacing w:val="-3"/>
        </w:rPr>
        <w:t xml:space="preserve"> hæmning.</w:t>
      </w:r>
    </w:p>
    <w:p w:rsidR="006768E2" w:rsidRPr="00940D10" w:rsidRDefault="006768E2" w:rsidP="006768E2">
      <w:pPr>
        <w:tabs>
          <w:tab w:val="left" w:pos="0"/>
          <w:tab w:val="left" w:pos="851"/>
          <w:tab w:val="left" w:pos="1279"/>
        </w:tabs>
        <w:ind w:left="1278" w:hanging="1278"/>
        <w:rPr>
          <w:spacing w:val="-3"/>
        </w:rPr>
      </w:pPr>
      <w:r w:rsidRPr="00940D10">
        <w:rPr>
          <w:spacing w:val="-3"/>
        </w:rPr>
        <w:tab/>
        <w:t>-</w:t>
      </w:r>
      <w:r w:rsidRPr="00940D10">
        <w:rPr>
          <w:spacing w:val="-3"/>
        </w:rPr>
        <w:tab/>
        <w:t xml:space="preserve">Nedsættelse af </w:t>
      </w:r>
      <w:proofErr w:type="spellStart"/>
      <w:r w:rsidRPr="00940D10">
        <w:rPr>
          <w:spacing w:val="-3"/>
        </w:rPr>
        <w:t>sinoatrial</w:t>
      </w:r>
      <w:proofErr w:type="spellEnd"/>
      <w:r w:rsidRPr="00940D10">
        <w:rPr>
          <w:spacing w:val="-3"/>
        </w:rPr>
        <w:t xml:space="preserve">, </w:t>
      </w:r>
      <w:proofErr w:type="spellStart"/>
      <w:r w:rsidRPr="00940D10">
        <w:rPr>
          <w:spacing w:val="-3"/>
        </w:rPr>
        <w:t>atrial</w:t>
      </w:r>
      <w:proofErr w:type="spellEnd"/>
      <w:r w:rsidRPr="00940D10">
        <w:rPr>
          <w:spacing w:val="-3"/>
        </w:rPr>
        <w:t xml:space="preserve"> og </w:t>
      </w:r>
      <w:proofErr w:type="spellStart"/>
      <w:r w:rsidRPr="00940D10">
        <w:rPr>
          <w:spacing w:val="-3"/>
        </w:rPr>
        <w:t>nodal</w:t>
      </w:r>
      <w:proofErr w:type="spellEnd"/>
      <w:r w:rsidRPr="00940D10">
        <w:rPr>
          <w:spacing w:val="-3"/>
        </w:rPr>
        <w:t xml:space="preserve"> ledning, som forstærkes ved hurtig rytme.</w:t>
      </w:r>
    </w:p>
    <w:p w:rsidR="006768E2" w:rsidRPr="000429EE" w:rsidRDefault="006768E2" w:rsidP="006768E2">
      <w:pPr>
        <w:tabs>
          <w:tab w:val="left" w:pos="0"/>
          <w:tab w:val="left" w:pos="851"/>
          <w:tab w:val="left" w:pos="1279"/>
        </w:tabs>
        <w:ind w:left="1278" w:hanging="1278"/>
        <w:rPr>
          <w:spacing w:val="-3"/>
        </w:rPr>
      </w:pPr>
      <w:r w:rsidRPr="000429EE">
        <w:rPr>
          <w:spacing w:val="-3"/>
        </w:rPr>
        <w:lastRenderedPageBreak/>
        <w:tab/>
        <w:t>-</w:t>
      </w:r>
      <w:r w:rsidRPr="000429EE">
        <w:rPr>
          <w:spacing w:val="-3"/>
        </w:rPr>
        <w:tab/>
        <w:t xml:space="preserve">Ingen ændring i den </w:t>
      </w:r>
      <w:proofErr w:type="spellStart"/>
      <w:r w:rsidRPr="000429EE">
        <w:rPr>
          <w:spacing w:val="-3"/>
        </w:rPr>
        <w:t>intraventrikulære</w:t>
      </w:r>
      <w:proofErr w:type="spellEnd"/>
      <w:r w:rsidRPr="000429EE">
        <w:rPr>
          <w:spacing w:val="-3"/>
        </w:rPr>
        <w:t xml:space="preserve"> ledning.</w:t>
      </w:r>
    </w:p>
    <w:p w:rsidR="006768E2" w:rsidRPr="00E47F12" w:rsidRDefault="006768E2" w:rsidP="006768E2">
      <w:pPr>
        <w:tabs>
          <w:tab w:val="left" w:pos="0"/>
          <w:tab w:val="left" w:pos="851"/>
          <w:tab w:val="left" w:pos="1279"/>
        </w:tabs>
        <w:ind w:left="1278" w:hanging="1278"/>
        <w:rPr>
          <w:spacing w:val="-3"/>
        </w:rPr>
      </w:pPr>
      <w:r w:rsidRPr="00E47F12">
        <w:rPr>
          <w:spacing w:val="-3"/>
        </w:rPr>
        <w:tab/>
        <w:t>-</w:t>
      </w:r>
      <w:r w:rsidRPr="00E47F12">
        <w:rPr>
          <w:spacing w:val="-3"/>
        </w:rPr>
        <w:tab/>
        <w:t xml:space="preserve">Forlængelse af refraktærperioden og nedsættelse af </w:t>
      </w:r>
      <w:proofErr w:type="spellStart"/>
      <w:r w:rsidRPr="00E47F12">
        <w:rPr>
          <w:spacing w:val="-3"/>
        </w:rPr>
        <w:t>myocardiums</w:t>
      </w:r>
      <w:proofErr w:type="spellEnd"/>
      <w:r w:rsidRPr="00E47F12">
        <w:rPr>
          <w:spacing w:val="-3"/>
        </w:rPr>
        <w:t xml:space="preserve"> irritabilitet såvel på det </w:t>
      </w:r>
      <w:proofErr w:type="spellStart"/>
      <w:r w:rsidRPr="00E47F12">
        <w:rPr>
          <w:spacing w:val="-3"/>
        </w:rPr>
        <w:t>atriale</w:t>
      </w:r>
      <w:proofErr w:type="spellEnd"/>
      <w:r w:rsidRPr="00E47F12">
        <w:rPr>
          <w:spacing w:val="-3"/>
        </w:rPr>
        <w:t xml:space="preserve">, det </w:t>
      </w:r>
      <w:proofErr w:type="spellStart"/>
      <w:r w:rsidRPr="00E47F12">
        <w:rPr>
          <w:spacing w:val="-3"/>
        </w:rPr>
        <w:t>nodale</w:t>
      </w:r>
      <w:proofErr w:type="spellEnd"/>
      <w:r w:rsidRPr="00E47F12">
        <w:rPr>
          <w:spacing w:val="-3"/>
        </w:rPr>
        <w:t xml:space="preserve"> samt det </w:t>
      </w:r>
      <w:proofErr w:type="spellStart"/>
      <w:r w:rsidRPr="00E47F12">
        <w:rPr>
          <w:spacing w:val="-3"/>
        </w:rPr>
        <w:t>ventrikulære</w:t>
      </w:r>
      <w:proofErr w:type="spellEnd"/>
      <w:r w:rsidRPr="00E47F12">
        <w:rPr>
          <w:spacing w:val="-3"/>
        </w:rPr>
        <w:t xml:space="preserve"> plan.</w:t>
      </w:r>
    </w:p>
    <w:p w:rsidR="006768E2" w:rsidRPr="001A6716" w:rsidRDefault="006768E2" w:rsidP="006768E2">
      <w:pPr>
        <w:tabs>
          <w:tab w:val="left" w:pos="0"/>
          <w:tab w:val="left" w:pos="851"/>
          <w:tab w:val="left" w:pos="1279"/>
        </w:tabs>
        <w:ind w:left="1278" w:hanging="1278"/>
        <w:rPr>
          <w:spacing w:val="-3"/>
        </w:rPr>
      </w:pPr>
      <w:r w:rsidRPr="004840E4">
        <w:rPr>
          <w:spacing w:val="-3"/>
        </w:rPr>
        <w:tab/>
        <w:t>-</w:t>
      </w:r>
      <w:r w:rsidRPr="004840E4">
        <w:rPr>
          <w:spacing w:val="-3"/>
        </w:rPr>
        <w:tab/>
        <w:t xml:space="preserve">Forlænget refraktærperiode i de accessoriske </w:t>
      </w:r>
      <w:proofErr w:type="spellStart"/>
      <w:r w:rsidRPr="004840E4">
        <w:rPr>
          <w:spacing w:val="-3"/>
        </w:rPr>
        <w:t>atrioventriku</w:t>
      </w:r>
      <w:r w:rsidRPr="006255D2">
        <w:rPr>
          <w:spacing w:val="-3"/>
        </w:rPr>
        <w:t>lære</w:t>
      </w:r>
      <w:proofErr w:type="spellEnd"/>
      <w:r w:rsidRPr="006255D2">
        <w:rPr>
          <w:spacing w:val="-3"/>
        </w:rPr>
        <w:t xml:space="preserve"> ledningsbaner med ne</w:t>
      </w:r>
      <w:r w:rsidRPr="001A6716">
        <w:rPr>
          <w:spacing w:val="-3"/>
        </w:rPr>
        <w:t>dsættelse af overledningshastigheden.</w:t>
      </w:r>
    </w:p>
    <w:p w:rsidR="006768E2" w:rsidRPr="00041751" w:rsidRDefault="006768E2" w:rsidP="006768E2">
      <w:pPr>
        <w:tabs>
          <w:tab w:val="left" w:pos="0"/>
          <w:tab w:val="left" w:pos="851"/>
          <w:tab w:val="left" w:pos="1279"/>
        </w:tabs>
        <w:rPr>
          <w:spacing w:val="-3"/>
        </w:rPr>
      </w:pPr>
    </w:p>
    <w:p w:rsidR="006768E2" w:rsidRPr="00A665C9" w:rsidRDefault="006768E2" w:rsidP="006768E2">
      <w:pPr>
        <w:tabs>
          <w:tab w:val="left" w:pos="0"/>
          <w:tab w:val="left" w:pos="851"/>
          <w:tab w:val="left" w:pos="1279"/>
        </w:tabs>
        <w:ind w:left="850" w:hanging="850"/>
        <w:rPr>
          <w:spacing w:val="-3"/>
        </w:rPr>
      </w:pPr>
      <w:r w:rsidRPr="00A665C9">
        <w:rPr>
          <w:b/>
          <w:spacing w:val="-3"/>
        </w:rPr>
        <w:tab/>
        <w:t>Anti-iskæmiske egenskaber:</w:t>
      </w:r>
    </w:p>
    <w:p w:rsidR="006768E2" w:rsidRPr="00A665C9" w:rsidRDefault="006768E2" w:rsidP="006768E2">
      <w:pPr>
        <w:tabs>
          <w:tab w:val="left" w:pos="0"/>
          <w:tab w:val="left" w:pos="851"/>
          <w:tab w:val="left" w:pos="1279"/>
        </w:tabs>
        <w:ind w:left="1278" w:hanging="1278"/>
        <w:rPr>
          <w:spacing w:val="-3"/>
        </w:rPr>
      </w:pPr>
      <w:r w:rsidRPr="00A665C9">
        <w:rPr>
          <w:spacing w:val="-3"/>
        </w:rPr>
        <w:tab/>
        <w:t>-</w:t>
      </w:r>
      <w:r w:rsidRPr="00A665C9">
        <w:rPr>
          <w:spacing w:val="-3"/>
        </w:rPr>
        <w:tab/>
        <w:t>Moderat fald i den perifere modstand og fald i hjertefrekvensen, hvilket fører til nedsat oxygenbehov.</w:t>
      </w:r>
    </w:p>
    <w:p w:rsidR="006768E2" w:rsidRPr="005814EF" w:rsidRDefault="006768E2" w:rsidP="006768E2">
      <w:pPr>
        <w:tabs>
          <w:tab w:val="left" w:pos="0"/>
          <w:tab w:val="left" w:pos="851"/>
          <w:tab w:val="left" w:pos="1279"/>
        </w:tabs>
        <w:ind w:left="1278" w:hanging="1278"/>
        <w:rPr>
          <w:spacing w:val="-3"/>
        </w:rPr>
      </w:pPr>
      <w:r w:rsidRPr="005814EF">
        <w:rPr>
          <w:spacing w:val="-3"/>
        </w:rPr>
        <w:tab/>
        <w:t>-</w:t>
      </w:r>
      <w:r w:rsidRPr="005814EF">
        <w:rPr>
          <w:spacing w:val="-3"/>
        </w:rPr>
        <w:tab/>
      </w:r>
      <w:proofErr w:type="spellStart"/>
      <w:r w:rsidRPr="005814EF">
        <w:rPr>
          <w:spacing w:val="-3"/>
        </w:rPr>
        <w:t>Nonkompetitiv</w:t>
      </w:r>
      <w:proofErr w:type="spellEnd"/>
      <w:r w:rsidRPr="005814EF">
        <w:rPr>
          <w:spacing w:val="-3"/>
        </w:rPr>
        <w:t xml:space="preserve"> alfa- og beta-</w:t>
      </w:r>
      <w:proofErr w:type="spellStart"/>
      <w:r w:rsidRPr="005814EF">
        <w:rPr>
          <w:spacing w:val="-3"/>
        </w:rPr>
        <w:t>adrenergiske</w:t>
      </w:r>
      <w:proofErr w:type="spellEnd"/>
      <w:r w:rsidRPr="005814EF">
        <w:rPr>
          <w:spacing w:val="-3"/>
        </w:rPr>
        <w:t xml:space="preserve"> antagonistiske egenskaber.</w:t>
      </w:r>
    </w:p>
    <w:p w:rsidR="006768E2" w:rsidRPr="00FF5BF2" w:rsidRDefault="006768E2" w:rsidP="006768E2">
      <w:pPr>
        <w:tabs>
          <w:tab w:val="left" w:pos="0"/>
          <w:tab w:val="left" w:pos="851"/>
          <w:tab w:val="left" w:pos="1279"/>
        </w:tabs>
        <w:ind w:left="1278" w:hanging="1278"/>
        <w:rPr>
          <w:spacing w:val="-3"/>
        </w:rPr>
      </w:pPr>
      <w:r w:rsidRPr="00FF5BF2">
        <w:rPr>
          <w:spacing w:val="-3"/>
        </w:rPr>
        <w:tab/>
        <w:t>-</w:t>
      </w:r>
      <w:r w:rsidRPr="00FF5BF2">
        <w:rPr>
          <w:spacing w:val="-3"/>
        </w:rPr>
        <w:tab/>
        <w:t xml:space="preserve">En direkte </w:t>
      </w:r>
      <w:proofErr w:type="spellStart"/>
      <w:r w:rsidRPr="00FF5BF2">
        <w:rPr>
          <w:spacing w:val="-3"/>
        </w:rPr>
        <w:t>dilaterende</w:t>
      </w:r>
      <w:proofErr w:type="spellEnd"/>
      <w:r w:rsidRPr="00FF5BF2">
        <w:rPr>
          <w:spacing w:val="-3"/>
        </w:rPr>
        <w:t xml:space="preserve"> virkning på hjertekarrene.</w:t>
      </w:r>
    </w:p>
    <w:p w:rsidR="006768E2" w:rsidRPr="0058478C" w:rsidRDefault="006768E2" w:rsidP="006768E2">
      <w:pPr>
        <w:tabs>
          <w:tab w:val="left" w:pos="0"/>
          <w:tab w:val="left" w:pos="851"/>
          <w:tab w:val="left" w:pos="1279"/>
        </w:tabs>
        <w:rPr>
          <w:spacing w:val="-3"/>
        </w:rPr>
      </w:pPr>
    </w:p>
    <w:p w:rsidR="006768E2" w:rsidRPr="005D2AC2" w:rsidRDefault="006768E2" w:rsidP="006768E2">
      <w:pPr>
        <w:tabs>
          <w:tab w:val="left" w:pos="0"/>
          <w:tab w:val="left" w:pos="851"/>
          <w:tab w:val="left" w:pos="1279"/>
        </w:tabs>
        <w:ind w:left="850" w:hanging="850"/>
        <w:rPr>
          <w:spacing w:val="-3"/>
        </w:rPr>
      </w:pPr>
      <w:r w:rsidRPr="004E3C5A">
        <w:rPr>
          <w:b/>
          <w:spacing w:val="-3"/>
        </w:rPr>
        <w:tab/>
        <w:t>Andre:</w:t>
      </w:r>
    </w:p>
    <w:p w:rsidR="006768E2" w:rsidRPr="00753345" w:rsidRDefault="006768E2" w:rsidP="006768E2">
      <w:pPr>
        <w:tabs>
          <w:tab w:val="left" w:pos="0"/>
          <w:tab w:val="left" w:pos="851"/>
          <w:tab w:val="left" w:pos="1279"/>
        </w:tabs>
        <w:ind w:left="1278" w:hanging="1278"/>
        <w:rPr>
          <w:spacing w:val="-3"/>
        </w:rPr>
      </w:pPr>
      <w:r w:rsidRPr="00753345">
        <w:rPr>
          <w:spacing w:val="-3"/>
        </w:rPr>
        <w:tab/>
        <w:t>-</w:t>
      </w:r>
      <w:r w:rsidRPr="00753345">
        <w:rPr>
          <w:spacing w:val="-3"/>
        </w:rPr>
        <w:tab/>
        <w:t>Ingen signifikant negativ inotrop virkning og opretholdelse af slagvolumen.</w:t>
      </w:r>
    </w:p>
    <w:p w:rsidR="006768E2" w:rsidRPr="00307261" w:rsidRDefault="006768E2" w:rsidP="006768E2">
      <w:pPr>
        <w:tabs>
          <w:tab w:val="left" w:pos="0"/>
          <w:tab w:val="left" w:pos="851"/>
          <w:tab w:val="left" w:pos="1279"/>
        </w:tabs>
        <w:ind w:left="1278" w:hanging="1278"/>
        <w:rPr>
          <w:spacing w:val="-3"/>
        </w:rPr>
      </w:pPr>
    </w:p>
    <w:p w:rsidR="006768E2" w:rsidRPr="00B95C9A" w:rsidRDefault="006768E2" w:rsidP="006768E2">
      <w:pPr>
        <w:tabs>
          <w:tab w:val="left" w:pos="0"/>
          <w:tab w:val="left" w:pos="851"/>
          <w:tab w:val="left" w:pos="1166"/>
        </w:tabs>
        <w:ind w:left="850" w:hanging="850"/>
        <w:jc w:val="both"/>
        <w:rPr>
          <w:spacing w:val="-3"/>
        </w:rPr>
      </w:pPr>
      <w:r w:rsidRPr="00B95C9A">
        <w:rPr>
          <w:spacing w:val="-3"/>
        </w:rPr>
        <w:tab/>
        <w:t xml:space="preserve">Der er ikke udført kontrollerede pædiatriske studier med </w:t>
      </w:r>
      <w:proofErr w:type="spellStart"/>
      <w:r w:rsidRPr="00B95C9A">
        <w:rPr>
          <w:spacing w:val="-3"/>
        </w:rPr>
        <w:t>amiodaron</w:t>
      </w:r>
      <w:proofErr w:type="spellEnd"/>
      <w:r w:rsidRPr="00B95C9A">
        <w:rPr>
          <w:spacing w:val="-3"/>
        </w:rPr>
        <w:t>.</w:t>
      </w:r>
    </w:p>
    <w:p w:rsidR="006768E2" w:rsidRPr="00F22C35" w:rsidRDefault="006768E2" w:rsidP="006768E2">
      <w:pPr>
        <w:tabs>
          <w:tab w:val="left" w:pos="0"/>
          <w:tab w:val="left" w:pos="851"/>
          <w:tab w:val="left" w:pos="1166"/>
        </w:tabs>
        <w:ind w:left="850" w:hanging="850"/>
        <w:jc w:val="both"/>
        <w:rPr>
          <w:spacing w:val="-3"/>
        </w:rPr>
      </w:pPr>
    </w:p>
    <w:p w:rsidR="006768E2" w:rsidRPr="00C92D39" w:rsidRDefault="006768E2" w:rsidP="006768E2">
      <w:pPr>
        <w:tabs>
          <w:tab w:val="left" w:pos="0"/>
          <w:tab w:val="left" w:pos="851"/>
          <w:tab w:val="left" w:pos="1166"/>
        </w:tabs>
        <w:ind w:left="850" w:hanging="850"/>
        <w:jc w:val="both"/>
        <w:rPr>
          <w:spacing w:val="-3"/>
        </w:rPr>
      </w:pPr>
      <w:r w:rsidRPr="00BF64D3">
        <w:rPr>
          <w:spacing w:val="-3"/>
        </w:rPr>
        <w:tab/>
        <w:t xml:space="preserve">Sikkerheden af </w:t>
      </w:r>
      <w:proofErr w:type="spellStart"/>
      <w:r w:rsidRPr="00BF64D3">
        <w:rPr>
          <w:spacing w:val="-3"/>
        </w:rPr>
        <w:t>amiodaron</w:t>
      </w:r>
      <w:proofErr w:type="spellEnd"/>
      <w:r w:rsidRPr="00BF64D3">
        <w:rPr>
          <w:spacing w:val="-3"/>
        </w:rPr>
        <w:t xml:space="preserve"> blev undersøgt i publicerede forsøg med 1118 pædiatriske patie</w:t>
      </w:r>
      <w:r w:rsidRPr="003E4BF5">
        <w:rPr>
          <w:spacing w:val="-3"/>
        </w:rPr>
        <w:t>n</w:t>
      </w:r>
      <w:r w:rsidRPr="00C92D39">
        <w:rPr>
          <w:spacing w:val="-3"/>
        </w:rPr>
        <w:t xml:space="preserve">ter med forskellige </w:t>
      </w:r>
      <w:proofErr w:type="spellStart"/>
      <w:r w:rsidRPr="00C92D39">
        <w:rPr>
          <w:spacing w:val="-3"/>
        </w:rPr>
        <w:t>arytmier</w:t>
      </w:r>
      <w:proofErr w:type="spellEnd"/>
      <w:r w:rsidRPr="00C92D39">
        <w:rPr>
          <w:spacing w:val="-3"/>
        </w:rPr>
        <w:t>. Følgende dosering blev anvendt i pædiatriske kliniske studier.</w:t>
      </w:r>
    </w:p>
    <w:p w:rsidR="006768E2" w:rsidRPr="00C92D39" w:rsidRDefault="006768E2" w:rsidP="006768E2">
      <w:pPr>
        <w:tabs>
          <w:tab w:val="left" w:pos="0"/>
          <w:tab w:val="left" w:pos="851"/>
          <w:tab w:val="left" w:pos="1166"/>
        </w:tabs>
        <w:ind w:left="850" w:hanging="850"/>
        <w:jc w:val="both"/>
        <w:rPr>
          <w:spacing w:val="-3"/>
        </w:rPr>
      </w:pPr>
    </w:p>
    <w:p w:rsidR="006768E2" w:rsidRPr="00C92D39" w:rsidRDefault="006768E2" w:rsidP="006768E2">
      <w:pPr>
        <w:tabs>
          <w:tab w:val="left" w:pos="0"/>
          <w:tab w:val="left" w:pos="851"/>
          <w:tab w:val="left" w:pos="1166"/>
        </w:tabs>
        <w:ind w:left="850" w:hanging="850"/>
        <w:jc w:val="both"/>
        <w:rPr>
          <w:spacing w:val="-3"/>
        </w:rPr>
      </w:pPr>
      <w:r w:rsidRPr="00C92D39">
        <w:rPr>
          <w:spacing w:val="-3"/>
        </w:rPr>
        <w:tab/>
        <w:t>Oral</w:t>
      </w:r>
    </w:p>
    <w:p w:rsidR="006768E2" w:rsidRPr="006416E8" w:rsidRDefault="006768E2" w:rsidP="006768E2">
      <w:pPr>
        <w:numPr>
          <w:ilvl w:val="0"/>
          <w:numId w:val="11"/>
        </w:numPr>
        <w:tabs>
          <w:tab w:val="left" w:pos="0"/>
          <w:tab w:val="left" w:pos="851"/>
          <w:tab w:val="left" w:pos="1166"/>
        </w:tabs>
        <w:jc w:val="both"/>
        <w:rPr>
          <w:spacing w:val="-3"/>
        </w:rPr>
      </w:pPr>
      <w:r w:rsidRPr="003075F1">
        <w:rPr>
          <w:spacing w:val="-3"/>
        </w:rPr>
        <w:t>initialdosis: 10-20 mg/kg/dag i 7 til 10 dage (eller 500 mg/m</w:t>
      </w:r>
      <w:r w:rsidRPr="003075F1">
        <w:rPr>
          <w:spacing w:val="-3"/>
          <w:vertAlign w:val="superscript"/>
        </w:rPr>
        <w:t>2</w:t>
      </w:r>
      <w:r w:rsidRPr="00E943DB">
        <w:rPr>
          <w:spacing w:val="-3"/>
        </w:rPr>
        <w:t>/dag, hvis målt i kvadratm</w:t>
      </w:r>
      <w:r w:rsidRPr="00500829">
        <w:rPr>
          <w:spacing w:val="-3"/>
        </w:rPr>
        <w:t>e</w:t>
      </w:r>
      <w:r w:rsidRPr="006416E8">
        <w:rPr>
          <w:spacing w:val="-3"/>
        </w:rPr>
        <w:t>ter)</w:t>
      </w:r>
    </w:p>
    <w:p w:rsidR="006768E2" w:rsidRDefault="00D10D18" w:rsidP="006768E2">
      <w:pPr>
        <w:numPr>
          <w:ilvl w:val="0"/>
          <w:numId w:val="11"/>
        </w:numPr>
        <w:tabs>
          <w:tab w:val="left" w:pos="0"/>
          <w:tab w:val="left" w:pos="851"/>
          <w:tab w:val="left" w:pos="1166"/>
        </w:tabs>
        <w:jc w:val="both"/>
        <w:rPr>
          <w:spacing w:val="-3"/>
        </w:rPr>
      </w:pPr>
      <w:r>
        <w:rPr>
          <w:spacing w:val="-3"/>
        </w:rPr>
        <w:t>v</w:t>
      </w:r>
      <w:r w:rsidR="006768E2" w:rsidRPr="006416E8">
        <w:rPr>
          <w:spacing w:val="-3"/>
        </w:rPr>
        <w:t>edligeholdelsesdosis: den minds</w:t>
      </w:r>
      <w:r w:rsidR="006768E2" w:rsidRPr="00AC08D8">
        <w:rPr>
          <w:spacing w:val="-3"/>
        </w:rPr>
        <w:t>te effektive dosis bør anvendes; ud fra individuel re</w:t>
      </w:r>
      <w:r w:rsidR="006768E2" w:rsidRPr="0002673C">
        <w:rPr>
          <w:spacing w:val="-3"/>
        </w:rPr>
        <w:t>spons kan det være mellem 5 til 10 mg/kg/dag (eller 250 mg/m</w:t>
      </w:r>
      <w:r w:rsidR="006768E2" w:rsidRPr="0002673C">
        <w:rPr>
          <w:spacing w:val="-3"/>
          <w:vertAlign w:val="superscript"/>
        </w:rPr>
        <w:t>2</w:t>
      </w:r>
      <w:r w:rsidR="006768E2" w:rsidRPr="00FD0938">
        <w:rPr>
          <w:spacing w:val="-3"/>
        </w:rPr>
        <w:t xml:space="preserve"> hvis målt i kvadratmeter)</w:t>
      </w:r>
    </w:p>
    <w:p w:rsidR="006768E2" w:rsidRPr="00FD0938" w:rsidRDefault="006768E2" w:rsidP="006768E2">
      <w:pPr>
        <w:tabs>
          <w:tab w:val="left" w:pos="0"/>
          <w:tab w:val="left" w:pos="851"/>
          <w:tab w:val="left" w:pos="1166"/>
        </w:tabs>
        <w:ind w:left="855"/>
        <w:jc w:val="both"/>
        <w:rPr>
          <w:spacing w:val="-3"/>
        </w:rPr>
      </w:pPr>
    </w:p>
    <w:p w:rsidR="006768E2" w:rsidRPr="00AB0109" w:rsidRDefault="006768E2" w:rsidP="006768E2">
      <w:pPr>
        <w:tabs>
          <w:tab w:val="left" w:pos="851"/>
        </w:tabs>
        <w:jc w:val="both"/>
        <w:rPr>
          <w:b/>
        </w:rPr>
      </w:pPr>
      <w:r w:rsidRPr="00AB0109">
        <w:rPr>
          <w:b/>
        </w:rPr>
        <w:t>5.2</w:t>
      </w:r>
      <w:r w:rsidRPr="00AB0109">
        <w:rPr>
          <w:b/>
        </w:rPr>
        <w:tab/>
      </w:r>
      <w:proofErr w:type="spellStart"/>
      <w:r w:rsidRPr="00AB0109">
        <w:rPr>
          <w:b/>
        </w:rPr>
        <w:t>Farmakokinetiske</w:t>
      </w:r>
      <w:proofErr w:type="spellEnd"/>
      <w:r w:rsidRPr="00AB0109">
        <w:rPr>
          <w:b/>
        </w:rPr>
        <w:t xml:space="preserve"> egenskaber</w:t>
      </w:r>
    </w:p>
    <w:p w:rsidR="006768E2" w:rsidRDefault="006768E2" w:rsidP="006768E2">
      <w:pPr>
        <w:pStyle w:val="Brdtekstindrykning"/>
        <w:keepLines w:val="0"/>
        <w:tabs>
          <w:tab w:val="left" w:pos="851"/>
          <w:tab w:val="left" w:pos="2820"/>
          <w:tab w:val="left" w:pos="2860"/>
          <w:tab w:val="left" w:pos="3100"/>
          <w:tab w:val="left" w:pos="3200"/>
          <w:tab w:val="left" w:pos="5660"/>
        </w:tabs>
        <w:spacing w:before="0"/>
        <w:ind w:left="850" w:hanging="849"/>
        <w:jc w:val="both"/>
      </w:pPr>
      <w:r w:rsidRPr="00AB0109">
        <w:rPr>
          <w:spacing w:val="-3"/>
        </w:rPr>
        <w:tab/>
        <w:t>Amiodaron optages langsomt i kroppen og har en høj vævsaffinitet, især i fedtvæv</w:t>
      </w:r>
      <w:r w:rsidRPr="001A104C">
        <w:rPr>
          <w:spacing w:val="-3"/>
        </w:rPr>
        <w:t>e</w:t>
      </w:r>
      <w:r w:rsidRPr="001A104C">
        <w:rPr>
          <w:spacing w:val="-3"/>
        </w:rPr>
        <w:softHyphen/>
        <w:t>ne. Den perorale biotilgængelighed svinger mellem 30 og 80 % (middelværdi ca. 50 %). Efter enkelt indgift opnås maksimale plasmakoncentrationer efter 3-7 timer. Proteinbindingen er høj (ca. 96 %), og det tilsyneladende distributionsvolumen er meget højt.</w:t>
      </w:r>
      <w:r w:rsidRPr="002245A5">
        <w:rPr>
          <w:spacing w:val="-3"/>
        </w:rPr>
        <w:t xml:space="preserve"> Eliminationen er svingende og langsom. Halveringstiden rapporteres at være fra 20 til 100 dage e</w:t>
      </w:r>
      <w:r w:rsidRPr="00FA3431">
        <w:rPr>
          <w:spacing w:val="-3"/>
        </w:rPr>
        <w:t>f</w:t>
      </w:r>
      <w:r w:rsidRPr="00E75208">
        <w:rPr>
          <w:spacing w:val="-3"/>
        </w:rPr>
        <w:t>ter langtidsbehandling, og steady-state for plasmakon</w:t>
      </w:r>
      <w:r w:rsidRPr="00E75208">
        <w:rPr>
          <w:spacing w:val="-3"/>
        </w:rPr>
        <w:softHyphen/>
        <w:t>centrationen opnås efter en til flere måneder. Amiodaron met</w:t>
      </w:r>
      <w:r w:rsidRPr="00D13518">
        <w:rPr>
          <w:spacing w:val="-3"/>
        </w:rPr>
        <w:t xml:space="preserve">aboliseres </w:t>
      </w:r>
      <w:r>
        <w:rPr>
          <w:spacing w:val="-3"/>
        </w:rPr>
        <w:t>hovedsageligt af CYP3A4 og også af CYP2C8</w:t>
      </w:r>
      <w:r w:rsidRPr="00602747">
        <w:rPr>
          <w:spacing w:val="-3"/>
        </w:rPr>
        <w:t xml:space="preserve"> og elimineres via gallen. Udsondring i urin er minimal. Elimination af amiodaron synes at være hurtigere hos børn end voksne. Hovedmetabolitten er desetylamiodaron, som under langtidsbehandling opnår plasmaniveauer, som er lige så store som moderstof</w:t>
      </w:r>
      <w:r w:rsidRPr="00602747">
        <w:rPr>
          <w:spacing w:val="-3"/>
        </w:rPr>
        <w:softHyphen/>
        <w:t xml:space="preserve">fets. Den farmakologiske aktivitet af denne metabolit er ikke afklaret. </w:t>
      </w:r>
      <w:r w:rsidRPr="00386DDD">
        <w:rPr>
          <w:i/>
          <w:szCs w:val="24"/>
        </w:rPr>
        <w:t xml:space="preserve">In vitro </w:t>
      </w:r>
      <w:r w:rsidRPr="00386DDD">
        <w:rPr>
          <w:szCs w:val="24"/>
        </w:rPr>
        <w:t xml:space="preserve">studier viser, at amiodaron og desethylamiodaron er potentielle hæmmere af </w:t>
      </w:r>
      <w:r w:rsidRPr="004E0B12">
        <w:rPr>
          <w:szCs w:val="24"/>
        </w:rPr>
        <w:t xml:space="preserve">CYP1A1, CYP1A2, CYP2C9, CYP2C19, CYP2D6, CYP3A4, CYP2A6, CYP2B6 og 2C8. </w:t>
      </w:r>
      <w:r w:rsidRPr="004E0B12">
        <w:t xml:space="preserve">Ved samtidig administration forventes det, at amiodaron øger plasmakoncentrationen af lægemidler, hvis metabolisering er afhængig af </w:t>
      </w:r>
      <w:r w:rsidRPr="004E0B12">
        <w:rPr>
          <w:szCs w:val="24"/>
        </w:rPr>
        <w:t>CYP1A1,</w:t>
      </w:r>
      <w:r w:rsidRPr="00386DDD">
        <w:t xml:space="preserve"> </w:t>
      </w:r>
      <w:r w:rsidRPr="00386DDD">
        <w:rPr>
          <w:szCs w:val="24"/>
        </w:rPr>
        <w:t>CYP1A2, CYP2C9, CYP2C19, CYP2D6, CYP3A4, CYP2A6, CYP2B6 og 2C8</w:t>
      </w:r>
      <w:r w:rsidRPr="00386DDD">
        <w:t>.</w:t>
      </w:r>
    </w:p>
    <w:p w:rsidR="006768E2" w:rsidRPr="00602747" w:rsidRDefault="006768E2" w:rsidP="006768E2">
      <w:pPr>
        <w:tabs>
          <w:tab w:val="left" w:pos="0"/>
          <w:tab w:val="left" w:pos="851"/>
          <w:tab w:val="left" w:pos="1279"/>
        </w:tabs>
        <w:ind w:left="850" w:hanging="850"/>
        <w:rPr>
          <w:spacing w:val="-3"/>
        </w:rPr>
      </w:pPr>
      <w:r>
        <w:rPr>
          <w:spacing w:val="-3"/>
        </w:rPr>
        <w:tab/>
      </w:r>
      <w:r w:rsidRPr="00602747">
        <w:rPr>
          <w:spacing w:val="-3"/>
        </w:rPr>
        <w:t xml:space="preserve">Både </w:t>
      </w:r>
      <w:proofErr w:type="spellStart"/>
      <w:r w:rsidRPr="00602747">
        <w:rPr>
          <w:spacing w:val="-3"/>
        </w:rPr>
        <w:t>amiodaron</w:t>
      </w:r>
      <w:proofErr w:type="spellEnd"/>
      <w:r w:rsidRPr="00602747">
        <w:rPr>
          <w:spacing w:val="-3"/>
        </w:rPr>
        <w:t xml:space="preserve"> og </w:t>
      </w:r>
      <w:proofErr w:type="spellStart"/>
      <w:r w:rsidRPr="00602747">
        <w:rPr>
          <w:spacing w:val="-3"/>
        </w:rPr>
        <w:t>desetylamiodaron</w:t>
      </w:r>
      <w:proofErr w:type="spellEnd"/>
      <w:r w:rsidRPr="00602747">
        <w:rPr>
          <w:spacing w:val="-3"/>
        </w:rPr>
        <w:t xml:space="preserve"> har kunnet måles i plasma mindst 3 måneder efter endt peroral langtidsbehandling. Plasmakoncentrationen af </w:t>
      </w:r>
      <w:proofErr w:type="spellStart"/>
      <w:r w:rsidRPr="00602747">
        <w:rPr>
          <w:spacing w:val="-3"/>
        </w:rPr>
        <w:t>amiodaron</w:t>
      </w:r>
      <w:proofErr w:type="spellEnd"/>
      <w:r w:rsidRPr="00602747">
        <w:rPr>
          <w:spacing w:val="-3"/>
        </w:rPr>
        <w:t xml:space="preserve"> er ikke forhøjet hos patienter med nedsat nyrefunktion, hvilket gør det muligt at indgive lægemidlet i konventionelle doser til sådanne patienter. Farmakokinetikken ved leverinsufficiens er ikke afklaret. Afhængig af denne bør der anvendes initiale stabiliseringsdoser for hurtigt at opnå en vævskoncentration, som er tilstrækkelig til at opnå en terapeutisk virkning. Dette sker normalt efter en uge (fra nogle dage og indtil 2 uger) afhængig af den initiale stabiliseringsdosis. Der opstår en sammenhæng mellem dosis og </w:t>
      </w:r>
      <w:proofErr w:type="spellStart"/>
      <w:r w:rsidRPr="00602747">
        <w:rPr>
          <w:spacing w:val="-3"/>
        </w:rPr>
        <w:t>steadystate</w:t>
      </w:r>
      <w:proofErr w:type="spellEnd"/>
      <w:r w:rsidRPr="00602747">
        <w:rPr>
          <w:spacing w:val="-3"/>
        </w:rPr>
        <w:t xml:space="preserve"> plasmakoncentrationen af </w:t>
      </w:r>
      <w:proofErr w:type="spellStart"/>
      <w:r w:rsidRPr="00602747">
        <w:rPr>
          <w:spacing w:val="-3"/>
        </w:rPr>
        <w:t>amiodaron</w:t>
      </w:r>
      <w:proofErr w:type="spellEnd"/>
      <w:r w:rsidRPr="00602747">
        <w:rPr>
          <w:spacing w:val="-3"/>
        </w:rPr>
        <w:t>, hvorimod der ikke foreligger nogen klar korrelation mellem plasmakoncentration og virkning.</w:t>
      </w:r>
    </w:p>
    <w:p w:rsidR="006768E2" w:rsidRPr="004E0B12" w:rsidRDefault="006768E2" w:rsidP="006768E2">
      <w:pPr>
        <w:pStyle w:val="Brdtekstindrykning"/>
        <w:keepLines w:val="0"/>
        <w:tabs>
          <w:tab w:val="left" w:pos="851"/>
          <w:tab w:val="left" w:pos="2820"/>
          <w:tab w:val="left" w:pos="2860"/>
          <w:tab w:val="left" w:pos="3100"/>
          <w:tab w:val="left" w:pos="3200"/>
          <w:tab w:val="left" w:pos="5660"/>
        </w:tabs>
        <w:spacing w:before="0"/>
        <w:ind w:left="850" w:hanging="849"/>
        <w:jc w:val="both"/>
        <w:rPr>
          <w:spacing w:val="-3"/>
          <w:lang w:val="da-DK"/>
        </w:rPr>
      </w:pPr>
    </w:p>
    <w:p w:rsidR="006768E2" w:rsidRPr="003161A7" w:rsidRDefault="006768E2" w:rsidP="006768E2">
      <w:pPr>
        <w:tabs>
          <w:tab w:val="left" w:pos="0"/>
          <w:tab w:val="left" w:pos="851"/>
          <w:tab w:val="left" w:pos="1279"/>
        </w:tabs>
        <w:ind w:left="850" w:hanging="850"/>
        <w:rPr>
          <w:spacing w:val="-3"/>
        </w:rPr>
      </w:pPr>
      <w:r w:rsidRPr="002D0FC4">
        <w:rPr>
          <w:spacing w:val="-3"/>
        </w:rPr>
        <w:lastRenderedPageBreak/>
        <w:tab/>
        <w:t xml:space="preserve">Jod frigives delvist fra molekylet og forefindes i urin som jodholdige forbindelser, svarende til 6 mg/24 timer, når dosis er </w:t>
      </w:r>
      <w:proofErr w:type="spellStart"/>
      <w:r w:rsidRPr="002D0FC4">
        <w:rPr>
          <w:spacing w:val="-3"/>
        </w:rPr>
        <w:t>amio</w:t>
      </w:r>
      <w:r w:rsidRPr="00734015">
        <w:rPr>
          <w:spacing w:val="-3"/>
        </w:rPr>
        <w:t>daron</w:t>
      </w:r>
      <w:proofErr w:type="spellEnd"/>
      <w:r w:rsidRPr="00734015">
        <w:rPr>
          <w:spacing w:val="-3"/>
        </w:rPr>
        <w:t xml:space="preserve"> 200 mg daglig. Den resterende del af molekylet ind</w:t>
      </w:r>
      <w:r w:rsidRPr="006A68A5">
        <w:rPr>
          <w:spacing w:val="-3"/>
        </w:rPr>
        <w:t>e</w:t>
      </w:r>
      <w:r w:rsidRPr="003161A7">
        <w:rPr>
          <w:spacing w:val="-3"/>
        </w:rPr>
        <w:t>holder således det meste af joden og elimineres med fæces efter udskillelse fra leveren.</w:t>
      </w:r>
    </w:p>
    <w:p w:rsidR="006768E2" w:rsidRPr="00555004" w:rsidRDefault="006768E2" w:rsidP="006768E2">
      <w:pPr>
        <w:tabs>
          <w:tab w:val="left" w:pos="0"/>
          <w:tab w:val="left" w:pos="851"/>
          <w:tab w:val="left" w:pos="1279"/>
        </w:tabs>
        <w:rPr>
          <w:spacing w:val="-3"/>
        </w:rPr>
      </w:pPr>
    </w:p>
    <w:p w:rsidR="006768E2" w:rsidRPr="00940D10" w:rsidRDefault="006768E2" w:rsidP="006768E2">
      <w:pPr>
        <w:tabs>
          <w:tab w:val="left" w:pos="0"/>
          <w:tab w:val="left" w:pos="851"/>
          <w:tab w:val="left" w:pos="1279"/>
        </w:tabs>
        <w:ind w:left="850" w:hanging="850"/>
        <w:rPr>
          <w:spacing w:val="-3"/>
        </w:rPr>
      </w:pPr>
      <w:r w:rsidRPr="00555004">
        <w:rPr>
          <w:spacing w:val="-3"/>
        </w:rPr>
        <w:tab/>
        <w:t xml:space="preserve">Efter </w:t>
      </w:r>
      <w:proofErr w:type="spellStart"/>
      <w:r w:rsidRPr="00555004">
        <w:rPr>
          <w:spacing w:val="-3"/>
        </w:rPr>
        <w:t>seponering</w:t>
      </w:r>
      <w:proofErr w:type="spellEnd"/>
      <w:r w:rsidRPr="00555004">
        <w:rPr>
          <w:spacing w:val="-3"/>
        </w:rPr>
        <w:t xml:space="preserve"> af behandling fortsætter eliminering i adskillige måneder. Res</w:t>
      </w:r>
      <w:r w:rsidRPr="00940D10">
        <w:rPr>
          <w:spacing w:val="-3"/>
        </w:rPr>
        <w:t>idualvirkningen vedvarer i 10 dage til 1 måned, hvilket bør tages i betragtning.</w:t>
      </w:r>
    </w:p>
    <w:p w:rsidR="006768E2" w:rsidRPr="00940D10" w:rsidRDefault="006768E2" w:rsidP="006768E2">
      <w:pPr>
        <w:tabs>
          <w:tab w:val="left" w:pos="0"/>
          <w:tab w:val="left" w:pos="851"/>
          <w:tab w:val="left" w:pos="1279"/>
        </w:tabs>
        <w:ind w:left="850" w:hanging="850"/>
        <w:rPr>
          <w:spacing w:val="-3"/>
        </w:rPr>
      </w:pPr>
    </w:p>
    <w:p w:rsidR="006768E2" w:rsidRPr="000429EE" w:rsidRDefault="006768E2" w:rsidP="006768E2">
      <w:pPr>
        <w:tabs>
          <w:tab w:val="left" w:pos="0"/>
          <w:tab w:val="left" w:pos="851"/>
          <w:tab w:val="left" w:pos="1166"/>
        </w:tabs>
        <w:ind w:left="850" w:hanging="850"/>
        <w:jc w:val="both"/>
        <w:rPr>
          <w:spacing w:val="-3"/>
        </w:rPr>
      </w:pPr>
      <w:r w:rsidRPr="00940D10">
        <w:rPr>
          <w:spacing w:val="-3"/>
        </w:rPr>
        <w:tab/>
      </w:r>
      <w:r w:rsidRPr="00940D10">
        <w:rPr>
          <w:spacing w:val="-3"/>
        </w:rPr>
        <w:tab/>
        <w:t>Der er ikke udført kontrollerede pædiatriske studier. I de begrænsede publicerede data, der er ti</w:t>
      </w:r>
      <w:r w:rsidRPr="00BB29A6">
        <w:rPr>
          <w:spacing w:val="-3"/>
        </w:rPr>
        <w:t>l</w:t>
      </w:r>
      <w:r w:rsidRPr="000429EE">
        <w:rPr>
          <w:spacing w:val="-3"/>
        </w:rPr>
        <w:t>gængelige for pædiatriske patienter, var der ingen forskel sammenlignet med voksne.</w:t>
      </w:r>
    </w:p>
    <w:p w:rsidR="006768E2" w:rsidRPr="00E47F12" w:rsidRDefault="006768E2" w:rsidP="006768E2">
      <w:pPr>
        <w:tabs>
          <w:tab w:val="left" w:pos="0"/>
          <w:tab w:val="left" w:pos="851"/>
          <w:tab w:val="left" w:pos="1279"/>
        </w:tabs>
        <w:ind w:left="850" w:hanging="850"/>
        <w:rPr>
          <w:spacing w:val="-3"/>
        </w:rPr>
      </w:pPr>
      <w:r w:rsidRPr="00E47F12">
        <w:rPr>
          <w:spacing w:val="-3"/>
        </w:rPr>
        <w:tab/>
      </w:r>
    </w:p>
    <w:p w:rsidR="006768E2" w:rsidRPr="004840E4" w:rsidRDefault="006768E2" w:rsidP="006768E2">
      <w:pPr>
        <w:numPr>
          <w:ilvl w:val="1"/>
          <w:numId w:val="8"/>
        </w:numPr>
        <w:jc w:val="both"/>
        <w:rPr>
          <w:b/>
        </w:rPr>
      </w:pPr>
      <w:r w:rsidRPr="004840E4">
        <w:rPr>
          <w:b/>
        </w:rPr>
        <w:t>Prækliniske sikkerhedsdata</w:t>
      </w:r>
    </w:p>
    <w:p w:rsidR="006768E2" w:rsidRDefault="006768E2" w:rsidP="006768E2">
      <w:pPr>
        <w:tabs>
          <w:tab w:val="left" w:pos="851"/>
          <w:tab w:val="left" w:pos="1279"/>
        </w:tabs>
        <w:ind w:left="851" w:hanging="851"/>
        <w:rPr>
          <w:spacing w:val="-3"/>
        </w:rPr>
      </w:pPr>
      <w:r>
        <w:rPr>
          <w:spacing w:val="-3"/>
        </w:rPr>
        <w:tab/>
        <w:t xml:space="preserve">I et 2-års </w:t>
      </w:r>
      <w:proofErr w:type="spellStart"/>
      <w:r>
        <w:rPr>
          <w:spacing w:val="-3"/>
        </w:rPr>
        <w:t>karcinogenicitetsstudie</w:t>
      </w:r>
      <w:proofErr w:type="spellEnd"/>
      <w:r>
        <w:rPr>
          <w:spacing w:val="-3"/>
        </w:rPr>
        <w:t xml:space="preserve"> hos rotter forårsagede </w:t>
      </w:r>
      <w:proofErr w:type="spellStart"/>
      <w:r>
        <w:rPr>
          <w:spacing w:val="-3"/>
        </w:rPr>
        <w:t>amiodaron</w:t>
      </w:r>
      <w:proofErr w:type="spellEnd"/>
      <w:r>
        <w:rPr>
          <w:spacing w:val="-3"/>
        </w:rPr>
        <w:t xml:space="preserve"> en stigning i </w:t>
      </w:r>
      <w:proofErr w:type="spellStart"/>
      <w:r>
        <w:rPr>
          <w:spacing w:val="-3"/>
        </w:rPr>
        <w:t>follikulære</w:t>
      </w:r>
      <w:proofErr w:type="spellEnd"/>
      <w:r>
        <w:rPr>
          <w:spacing w:val="-3"/>
        </w:rPr>
        <w:t xml:space="preserve"> tumorer i </w:t>
      </w:r>
      <w:proofErr w:type="spellStart"/>
      <w:r>
        <w:rPr>
          <w:spacing w:val="-3"/>
        </w:rPr>
        <w:t>thyroidea</w:t>
      </w:r>
      <w:proofErr w:type="spellEnd"/>
      <w:r>
        <w:rPr>
          <w:spacing w:val="-3"/>
        </w:rPr>
        <w:t xml:space="preserve"> (</w:t>
      </w:r>
      <w:proofErr w:type="spellStart"/>
      <w:r>
        <w:rPr>
          <w:spacing w:val="-3"/>
        </w:rPr>
        <w:t>adenomer</w:t>
      </w:r>
      <w:proofErr w:type="spellEnd"/>
      <w:r>
        <w:rPr>
          <w:spacing w:val="-3"/>
        </w:rPr>
        <w:t xml:space="preserve"> og/eller karcinomer) hos begge køn ved klinisk relevante eksponeringer. Da mutagene fund var negative, foreslås en </w:t>
      </w:r>
      <w:proofErr w:type="spellStart"/>
      <w:r>
        <w:rPr>
          <w:spacing w:val="-3"/>
        </w:rPr>
        <w:t>epigenetisk</w:t>
      </w:r>
      <w:proofErr w:type="spellEnd"/>
      <w:r>
        <w:rPr>
          <w:spacing w:val="-3"/>
        </w:rPr>
        <w:t xml:space="preserve"> snarere end genotoksisk mekanisme for denne type tumorinduktion. Hos mus blev karcinomer ikke observeret, men en dosisafhængig </w:t>
      </w:r>
      <w:proofErr w:type="spellStart"/>
      <w:r>
        <w:rPr>
          <w:spacing w:val="-3"/>
        </w:rPr>
        <w:t>thyroid</w:t>
      </w:r>
      <w:proofErr w:type="spellEnd"/>
      <w:r>
        <w:rPr>
          <w:spacing w:val="-3"/>
        </w:rPr>
        <w:t xml:space="preserve"> </w:t>
      </w:r>
      <w:proofErr w:type="spellStart"/>
      <w:r>
        <w:rPr>
          <w:spacing w:val="-3"/>
        </w:rPr>
        <w:t>follikulær</w:t>
      </w:r>
      <w:proofErr w:type="spellEnd"/>
      <w:r>
        <w:rPr>
          <w:spacing w:val="-3"/>
        </w:rPr>
        <w:t xml:space="preserve"> </w:t>
      </w:r>
      <w:proofErr w:type="spellStart"/>
      <w:r>
        <w:rPr>
          <w:spacing w:val="-3"/>
        </w:rPr>
        <w:t>hyperplasi</w:t>
      </w:r>
      <w:proofErr w:type="spellEnd"/>
      <w:r>
        <w:rPr>
          <w:spacing w:val="-3"/>
        </w:rPr>
        <w:t xml:space="preserve"> blev set. Disse virkninger på </w:t>
      </w:r>
      <w:proofErr w:type="spellStart"/>
      <w:r>
        <w:rPr>
          <w:spacing w:val="-3"/>
        </w:rPr>
        <w:t>thyroidea</w:t>
      </w:r>
      <w:proofErr w:type="spellEnd"/>
      <w:r>
        <w:rPr>
          <w:spacing w:val="-3"/>
        </w:rPr>
        <w:t xml:space="preserve"> hos rotter og mus skyldes sandsynligvis virkningerne af </w:t>
      </w:r>
      <w:proofErr w:type="spellStart"/>
      <w:r>
        <w:rPr>
          <w:spacing w:val="-3"/>
        </w:rPr>
        <w:t>amiodaron</w:t>
      </w:r>
      <w:proofErr w:type="spellEnd"/>
      <w:r>
        <w:rPr>
          <w:spacing w:val="-3"/>
        </w:rPr>
        <w:t xml:space="preserve"> på syntesen og/eller frigivelsen af </w:t>
      </w:r>
      <w:proofErr w:type="spellStart"/>
      <w:r>
        <w:rPr>
          <w:spacing w:val="-3"/>
        </w:rPr>
        <w:t>thyroide</w:t>
      </w:r>
      <w:proofErr w:type="spellEnd"/>
      <w:r>
        <w:rPr>
          <w:spacing w:val="-3"/>
        </w:rPr>
        <w:t xml:space="preserve"> hormoner. Relevansen af disse fund for mennesker er lav.</w:t>
      </w:r>
    </w:p>
    <w:p w:rsidR="006768E2" w:rsidRPr="006255D2" w:rsidRDefault="006768E2" w:rsidP="006768E2">
      <w:pPr>
        <w:tabs>
          <w:tab w:val="left" w:pos="0"/>
          <w:tab w:val="left" w:pos="851"/>
          <w:tab w:val="left" w:pos="1279"/>
        </w:tabs>
        <w:ind w:left="850" w:hanging="850"/>
        <w:jc w:val="both"/>
        <w:rPr>
          <w:spacing w:val="-3"/>
        </w:rPr>
      </w:pPr>
    </w:p>
    <w:p w:rsidR="006768E2" w:rsidRPr="001A6716" w:rsidRDefault="006768E2" w:rsidP="006768E2">
      <w:pPr>
        <w:tabs>
          <w:tab w:val="left" w:pos="0"/>
          <w:tab w:val="left" w:pos="851"/>
          <w:tab w:val="left" w:pos="1279"/>
        </w:tabs>
        <w:jc w:val="both"/>
        <w:rPr>
          <w:spacing w:val="-3"/>
        </w:rPr>
      </w:pPr>
    </w:p>
    <w:p w:rsidR="006768E2" w:rsidRPr="00041751" w:rsidRDefault="006768E2" w:rsidP="006768E2">
      <w:pPr>
        <w:tabs>
          <w:tab w:val="left" w:pos="851"/>
        </w:tabs>
        <w:jc w:val="both"/>
        <w:rPr>
          <w:b/>
        </w:rPr>
      </w:pPr>
      <w:r w:rsidRPr="00041751">
        <w:rPr>
          <w:b/>
        </w:rPr>
        <w:t>6.</w:t>
      </w:r>
      <w:r w:rsidRPr="00041751">
        <w:rPr>
          <w:b/>
        </w:rPr>
        <w:tab/>
        <w:t>FARMACEUTISKE OPLYSNINGER</w:t>
      </w:r>
    </w:p>
    <w:p w:rsidR="006768E2" w:rsidRPr="00A665C9" w:rsidRDefault="006768E2" w:rsidP="006768E2">
      <w:pPr>
        <w:tabs>
          <w:tab w:val="left" w:pos="0"/>
          <w:tab w:val="left" w:pos="851"/>
          <w:tab w:val="left" w:pos="1279"/>
        </w:tabs>
        <w:jc w:val="both"/>
        <w:rPr>
          <w:spacing w:val="-3"/>
        </w:rPr>
      </w:pPr>
    </w:p>
    <w:p w:rsidR="006768E2" w:rsidRPr="007E3BAF" w:rsidRDefault="006768E2" w:rsidP="006768E2">
      <w:pPr>
        <w:numPr>
          <w:ilvl w:val="1"/>
          <w:numId w:val="9"/>
        </w:numPr>
        <w:jc w:val="both"/>
        <w:rPr>
          <w:b/>
        </w:rPr>
      </w:pPr>
      <w:r w:rsidRPr="007E3BAF">
        <w:rPr>
          <w:b/>
        </w:rPr>
        <w:t>Hjælpestoffer</w:t>
      </w:r>
    </w:p>
    <w:p w:rsidR="006768E2" w:rsidRDefault="006768E2" w:rsidP="006768E2">
      <w:pPr>
        <w:tabs>
          <w:tab w:val="left" w:pos="0"/>
          <w:tab w:val="left" w:pos="851"/>
          <w:tab w:val="left" w:pos="1279"/>
        </w:tabs>
        <w:jc w:val="both"/>
        <w:rPr>
          <w:spacing w:val="-3"/>
        </w:rPr>
      </w:pPr>
      <w:r>
        <w:rPr>
          <w:spacing w:val="-3"/>
        </w:rPr>
        <w:tab/>
      </w:r>
      <w:proofErr w:type="spellStart"/>
      <w:r w:rsidR="0027658E">
        <w:rPr>
          <w:spacing w:val="-3"/>
        </w:rPr>
        <w:t>L</w:t>
      </w:r>
      <w:r w:rsidR="0027658E" w:rsidRPr="002E03F7">
        <w:rPr>
          <w:spacing w:val="-3"/>
        </w:rPr>
        <w:t>actosemonohydrat</w:t>
      </w:r>
      <w:proofErr w:type="spellEnd"/>
      <w:r>
        <w:rPr>
          <w:spacing w:val="-3"/>
        </w:rPr>
        <w:t>,</w:t>
      </w:r>
      <w:r w:rsidRPr="006A68A5">
        <w:rPr>
          <w:spacing w:val="-3"/>
        </w:rPr>
        <w:t xml:space="preserve"> majsstivelse</w:t>
      </w:r>
      <w:r>
        <w:rPr>
          <w:spacing w:val="-3"/>
        </w:rPr>
        <w:t>,</w:t>
      </w:r>
      <w:r w:rsidRPr="006A68A5">
        <w:rPr>
          <w:spacing w:val="-3"/>
        </w:rPr>
        <w:t xml:space="preserve"> </w:t>
      </w:r>
      <w:proofErr w:type="spellStart"/>
      <w:r w:rsidRPr="006A68A5">
        <w:rPr>
          <w:spacing w:val="-3"/>
        </w:rPr>
        <w:t>povidon</w:t>
      </w:r>
      <w:proofErr w:type="spellEnd"/>
      <w:r>
        <w:rPr>
          <w:spacing w:val="-3"/>
        </w:rPr>
        <w:t>,</w:t>
      </w:r>
      <w:r w:rsidRPr="006A68A5">
        <w:rPr>
          <w:spacing w:val="-3"/>
        </w:rPr>
        <w:t xml:space="preserve"> </w:t>
      </w:r>
      <w:r>
        <w:rPr>
          <w:spacing w:val="-3"/>
        </w:rPr>
        <w:t xml:space="preserve">kolloid </w:t>
      </w:r>
      <w:proofErr w:type="spellStart"/>
      <w:r w:rsidRPr="006A68A5">
        <w:rPr>
          <w:spacing w:val="-3"/>
        </w:rPr>
        <w:t>silica</w:t>
      </w:r>
      <w:proofErr w:type="spellEnd"/>
      <w:r w:rsidRPr="006A68A5">
        <w:rPr>
          <w:spacing w:val="-3"/>
        </w:rPr>
        <w:t xml:space="preserve">, </w:t>
      </w:r>
      <w:proofErr w:type="spellStart"/>
      <w:r w:rsidRPr="006A68A5">
        <w:rPr>
          <w:spacing w:val="-3"/>
        </w:rPr>
        <w:t>magnesiumstearat</w:t>
      </w:r>
      <w:proofErr w:type="spellEnd"/>
      <w:r w:rsidRPr="006A68A5">
        <w:rPr>
          <w:spacing w:val="-3"/>
        </w:rPr>
        <w:t>.</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Uforligeligheder</w:t>
      </w:r>
    </w:p>
    <w:p w:rsidR="006768E2" w:rsidRDefault="006768E2" w:rsidP="006768E2">
      <w:pPr>
        <w:tabs>
          <w:tab w:val="left" w:pos="0"/>
          <w:tab w:val="left" w:pos="851"/>
          <w:tab w:val="left" w:pos="1279"/>
        </w:tabs>
        <w:ind w:left="850" w:hanging="850"/>
        <w:jc w:val="both"/>
        <w:rPr>
          <w:spacing w:val="-3"/>
        </w:rPr>
      </w:pPr>
      <w:r>
        <w:rPr>
          <w:spacing w:val="-3"/>
        </w:rPr>
        <w:tab/>
        <w:t>-</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Opbevaringstid</w:t>
      </w:r>
    </w:p>
    <w:p w:rsidR="006768E2" w:rsidRDefault="006768E2" w:rsidP="006768E2">
      <w:pPr>
        <w:tabs>
          <w:tab w:val="left" w:pos="0"/>
          <w:tab w:val="left" w:pos="851"/>
          <w:tab w:val="left" w:pos="1279"/>
        </w:tabs>
        <w:ind w:left="850" w:hanging="850"/>
        <w:jc w:val="both"/>
        <w:rPr>
          <w:spacing w:val="-3"/>
        </w:rPr>
      </w:pPr>
      <w:r>
        <w:rPr>
          <w:spacing w:val="-3"/>
        </w:rPr>
        <w:tab/>
        <w:t>3 år.</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Særlige opbevaringsforhold</w:t>
      </w:r>
    </w:p>
    <w:p w:rsidR="003962A8" w:rsidRPr="003962A8" w:rsidRDefault="006768E2" w:rsidP="003962A8">
      <w:pPr>
        <w:tabs>
          <w:tab w:val="left" w:pos="851"/>
        </w:tabs>
        <w:ind w:left="851" w:hanging="851"/>
        <w:rPr>
          <w:noProof/>
          <w:spacing w:val="-3"/>
        </w:rPr>
      </w:pPr>
      <w:r>
        <w:rPr>
          <w:spacing w:val="-3"/>
        </w:rPr>
        <w:tab/>
      </w:r>
      <w:bookmarkStart w:id="1" w:name="_Hlk34994163"/>
      <w:r w:rsidR="003962A8" w:rsidRPr="003962A8">
        <w:rPr>
          <w:noProof/>
          <w:spacing w:val="-3"/>
        </w:rPr>
        <w:t>Opbevares under 25</w:t>
      </w:r>
      <w:r w:rsidR="003962A8" w:rsidRPr="003962A8">
        <w:rPr>
          <w:noProof/>
          <w:spacing w:val="-3"/>
          <w:vertAlign w:val="superscript"/>
        </w:rPr>
        <w:t>o</w:t>
      </w:r>
      <w:r w:rsidR="003962A8" w:rsidRPr="003962A8">
        <w:rPr>
          <w:noProof/>
          <w:spacing w:val="-3"/>
        </w:rPr>
        <w:t>C.</w:t>
      </w:r>
    </w:p>
    <w:p w:rsidR="006768E2" w:rsidRDefault="003962A8" w:rsidP="003962A8">
      <w:pPr>
        <w:tabs>
          <w:tab w:val="left" w:pos="851"/>
        </w:tabs>
        <w:ind w:left="851" w:hanging="851"/>
        <w:rPr>
          <w:noProof/>
          <w:spacing w:val="-3"/>
        </w:rPr>
      </w:pPr>
      <w:r>
        <w:rPr>
          <w:noProof/>
          <w:spacing w:val="-3"/>
        </w:rPr>
        <w:tab/>
      </w:r>
      <w:r w:rsidRPr="003962A8">
        <w:rPr>
          <w:noProof/>
          <w:spacing w:val="-3"/>
        </w:rPr>
        <w:t>Opbevares i den originale yderpakning for at beskytte mod lys.</w:t>
      </w:r>
    </w:p>
    <w:bookmarkEnd w:id="1"/>
    <w:p w:rsidR="003962A8" w:rsidRDefault="003962A8" w:rsidP="003962A8">
      <w:pPr>
        <w:tabs>
          <w:tab w:val="left" w:pos="851"/>
        </w:tabs>
        <w:ind w:left="851" w:hanging="851"/>
        <w:rPr>
          <w:spacing w:val="-3"/>
        </w:rPr>
      </w:pPr>
    </w:p>
    <w:p w:rsidR="006768E2" w:rsidRDefault="006768E2" w:rsidP="006768E2">
      <w:pPr>
        <w:numPr>
          <w:ilvl w:val="1"/>
          <w:numId w:val="9"/>
        </w:numPr>
        <w:jc w:val="both"/>
        <w:rPr>
          <w:b/>
        </w:rPr>
      </w:pPr>
      <w:r>
        <w:rPr>
          <w:b/>
        </w:rPr>
        <w:t>Emballagetype og pakningsstørrelser</w:t>
      </w:r>
    </w:p>
    <w:p w:rsidR="006768E2" w:rsidRDefault="006768E2" w:rsidP="006768E2">
      <w:pPr>
        <w:tabs>
          <w:tab w:val="left" w:pos="0"/>
          <w:tab w:val="left" w:pos="851"/>
          <w:tab w:val="left" w:pos="1279"/>
        </w:tabs>
        <w:ind w:left="850" w:hanging="850"/>
        <w:jc w:val="both"/>
        <w:rPr>
          <w:spacing w:val="-3"/>
        </w:rPr>
      </w:pPr>
      <w:r>
        <w:rPr>
          <w:spacing w:val="-3"/>
        </w:rPr>
        <w:tab/>
        <w:t>Blister.</w:t>
      </w:r>
    </w:p>
    <w:p w:rsidR="006768E2" w:rsidRDefault="006768E2" w:rsidP="006768E2">
      <w:pPr>
        <w:tabs>
          <w:tab w:val="left" w:pos="0"/>
          <w:tab w:val="left" w:pos="851"/>
          <w:tab w:val="left" w:pos="1279"/>
        </w:tabs>
        <w:jc w:val="both"/>
        <w:rPr>
          <w:spacing w:val="-3"/>
        </w:rPr>
      </w:pPr>
    </w:p>
    <w:p w:rsidR="006768E2" w:rsidRDefault="006768E2" w:rsidP="006768E2">
      <w:pPr>
        <w:numPr>
          <w:ilvl w:val="1"/>
          <w:numId w:val="9"/>
        </w:numPr>
        <w:jc w:val="both"/>
        <w:rPr>
          <w:b/>
        </w:rPr>
      </w:pPr>
      <w:r>
        <w:rPr>
          <w:b/>
        </w:rPr>
        <w:t>Regler for destruktion og anden håndtering</w:t>
      </w:r>
    </w:p>
    <w:p w:rsidR="006768E2" w:rsidRDefault="006768E2" w:rsidP="006768E2">
      <w:pPr>
        <w:tabs>
          <w:tab w:val="left" w:pos="0"/>
          <w:tab w:val="left" w:pos="851"/>
          <w:tab w:val="left" w:pos="1279"/>
        </w:tabs>
        <w:ind w:left="855"/>
        <w:jc w:val="both"/>
        <w:rPr>
          <w:spacing w:val="-3"/>
        </w:rPr>
      </w:pPr>
      <w:r>
        <w:rPr>
          <w:spacing w:val="-3"/>
        </w:rPr>
        <w:t>Ingen særlige forholdsregler.</w:t>
      </w:r>
    </w:p>
    <w:p w:rsidR="006768E2" w:rsidRDefault="006768E2" w:rsidP="006768E2">
      <w:pPr>
        <w:tabs>
          <w:tab w:val="left" w:pos="0"/>
          <w:tab w:val="left" w:pos="851"/>
          <w:tab w:val="left" w:pos="1279"/>
        </w:tabs>
        <w:ind w:left="855"/>
        <w:jc w:val="both"/>
        <w:rPr>
          <w:spacing w:val="-3"/>
        </w:rPr>
      </w:pPr>
    </w:p>
    <w:p w:rsidR="006768E2" w:rsidRDefault="006768E2" w:rsidP="006768E2">
      <w:pPr>
        <w:tabs>
          <w:tab w:val="left" w:pos="851"/>
        </w:tabs>
        <w:jc w:val="both"/>
        <w:rPr>
          <w:b/>
        </w:rPr>
      </w:pPr>
      <w:r>
        <w:rPr>
          <w:b/>
        </w:rPr>
        <w:t>7.</w:t>
      </w:r>
      <w:r>
        <w:rPr>
          <w:b/>
        </w:rPr>
        <w:tab/>
        <w:t>INDEHAVER AF MARKEDSFØRINGSTILLADELSEN</w:t>
      </w:r>
    </w:p>
    <w:p w:rsidR="006768E2" w:rsidRPr="00AF1AE4" w:rsidRDefault="00386B0B" w:rsidP="006768E2">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zCs w:val="24"/>
          <w:lang w:val="en-US"/>
        </w:rPr>
      </w:pPr>
      <w:r>
        <w:rPr>
          <w:szCs w:val="24"/>
        </w:rPr>
        <w:tab/>
      </w:r>
      <w:proofErr w:type="spellStart"/>
      <w:r w:rsidRPr="00AF1AE4">
        <w:rPr>
          <w:szCs w:val="24"/>
          <w:lang w:val="en-US"/>
        </w:rPr>
        <w:t>Orifarm</w:t>
      </w:r>
      <w:proofErr w:type="spellEnd"/>
      <w:r w:rsidRPr="00AF1AE4">
        <w:rPr>
          <w:szCs w:val="24"/>
          <w:lang w:val="en-US"/>
        </w:rPr>
        <w:t xml:space="preserve"> A/S</w:t>
      </w:r>
    </w:p>
    <w:p w:rsidR="006768E2" w:rsidRPr="00AF1AE4" w:rsidRDefault="00386B0B" w:rsidP="006768E2">
      <w:pPr>
        <w:ind w:firstLine="850"/>
        <w:rPr>
          <w:lang w:val="en-US"/>
        </w:rPr>
      </w:pPr>
      <w:proofErr w:type="spellStart"/>
      <w:r w:rsidRPr="00AF1AE4">
        <w:rPr>
          <w:lang w:val="en-US"/>
        </w:rPr>
        <w:t>Energivej</w:t>
      </w:r>
      <w:proofErr w:type="spellEnd"/>
      <w:r w:rsidRPr="00AF1AE4">
        <w:rPr>
          <w:lang w:val="en-US"/>
        </w:rPr>
        <w:t xml:space="preserve"> 15</w:t>
      </w:r>
    </w:p>
    <w:p w:rsidR="00386B0B" w:rsidRPr="00AF1AE4" w:rsidRDefault="00386B0B" w:rsidP="006768E2">
      <w:pPr>
        <w:ind w:firstLine="850"/>
        <w:rPr>
          <w:lang w:val="en-US"/>
        </w:rPr>
      </w:pPr>
      <w:r w:rsidRPr="00AF1AE4">
        <w:rPr>
          <w:lang w:val="en-US"/>
        </w:rPr>
        <w:t>5260 Odense S</w:t>
      </w:r>
    </w:p>
    <w:p w:rsidR="00386B0B" w:rsidRPr="00AF1AE4" w:rsidRDefault="00386B0B" w:rsidP="006768E2">
      <w:pPr>
        <w:ind w:firstLine="850"/>
        <w:rPr>
          <w:lang w:val="en-US"/>
        </w:rPr>
      </w:pPr>
    </w:p>
    <w:p w:rsidR="006768E2" w:rsidRDefault="006768E2" w:rsidP="006768E2">
      <w:pPr>
        <w:tabs>
          <w:tab w:val="left" w:pos="851"/>
        </w:tabs>
        <w:jc w:val="both"/>
        <w:rPr>
          <w:b/>
        </w:rPr>
      </w:pPr>
      <w:r>
        <w:rPr>
          <w:b/>
        </w:rPr>
        <w:t>8.</w:t>
      </w:r>
      <w:r>
        <w:rPr>
          <w:b/>
        </w:rPr>
        <w:tab/>
        <w:t>MARKEDSFØRINGSTILLADELSESNUMMER (NUMRE)</w:t>
      </w:r>
    </w:p>
    <w:p w:rsidR="006768E2" w:rsidRDefault="006768E2" w:rsidP="00386B0B">
      <w:pPr>
        <w:tabs>
          <w:tab w:val="left" w:pos="0"/>
          <w:tab w:val="left" w:pos="851"/>
          <w:tab w:val="left" w:pos="1279"/>
        </w:tabs>
        <w:ind w:left="850" w:hanging="850"/>
        <w:jc w:val="both"/>
        <w:rPr>
          <w:spacing w:val="-3"/>
        </w:rPr>
      </w:pPr>
      <w:r>
        <w:rPr>
          <w:spacing w:val="-3"/>
        </w:rPr>
        <w:tab/>
      </w:r>
      <w:r w:rsidR="00386B0B" w:rsidRPr="00386B0B">
        <w:rPr>
          <w:spacing w:val="-3"/>
        </w:rPr>
        <w:t>63278</w:t>
      </w:r>
    </w:p>
    <w:p w:rsidR="00386B0B" w:rsidRDefault="00386B0B" w:rsidP="00386B0B">
      <w:pPr>
        <w:tabs>
          <w:tab w:val="left" w:pos="0"/>
          <w:tab w:val="left" w:pos="851"/>
          <w:tab w:val="left" w:pos="1279"/>
        </w:tabs>
        <w:ind w:left="850" w:hanging="850"/>
        <w:jc w:val="both"/>
        <w:rPr>
          <w:spacing w:val="-3"/>
        </w:rPr>
      </w:pPr>
    </w:p>
    <w:p w:rsidR="006768E2" w:rsidRDefault="006768E2" w:rsidP="006768E2">
      <w:pPr>
        <w:tabs>
          <w:tab w:val="left" w:pos="851"/>
        </w:tabs>
        <w:jc w:val="both"/>
        <w:rPr>
          <w:b/>
        </w:rPr>
      </w:pPr>
      <w:r>
        <w:rPr>
          <w:b/>
        </w:rPr>
        <w:t>9.</w:t>
      </w:r>
      <w:r>
        <w:rPr>
          <w:b/>
        </w:rPr>
        <w:tab/>
        <w:t>DATO FOR FØRSTE MARKEDSFØRINGSTILLADELSE</w:t>
      </w:r>
    </w:p>
    <w:p w:rsidR="006768E2" w:rsidRDefault="006768E2" w:rsidP="006768E2">
      <w:pPr>
        <w:ind w:left="851" w:hanging="851"/>
      </w:pPr>
      <w:r>
        <w:tab/>
      </w:r>
      <w:r w:rsidR="00386B0B">
        <w:t>13. marts 2020</w:t>
      </w:r>
    </w:p>
    <w:p w:rsidR="006768E2" w:rsidRDefault="006768E2" w:rsidP="00BD7E83"/>
    <w:p w:rsidR="006768E2" w:rsidRDefault="006768E2" w:rsidP="006768E2">
      <w:pPr>
        <w:tabs>
          <w:tab w:val="left" w:pos="851"/>
        </w:tabs>
        <w:jc w:val="both"/>
        <w:rPr>
          <w:b/>
        </w:rPr>
      </w:pPr>
      <w:r>
        <w:rPr>
          <w:b/>
        </w:rPr>
        <w:t>10.</w:t>
      </w:r>
      <w:r>
        <w:rPr>
          <w:b/>
        </w:rPr>
        <w:tab/>
        <w:t>DATO FOR ÆNDRING AF TEKSTEN</w:t>
      </w:r>
    </w:p>
    <w:p w:rsidR="009260DE" w:rsidRPr="006768E2" w:rsidRDefault="006768E2" w:rsidP="00BD7E83">
      <w:pPr>
        <w:ind w:left="851" w:hanging="851"/>
      </w:pPr>
      <w:r>
        <w:tab/>
      </w:r>
      <w:r w:rsidR="008D6008">
        <w:t>1</w:t>
      </w:r>
      <w:r w:rsidR="0086582F">
        <w:t>4</w:t>
      </w:r>
      <w:r w:rsidR="0056199E" w:rsidRPr="0056199E">
        <w:t xml:space="preserve">. </w:t>
      </w:r>
      <w:r w:rsidR="008D6008">
        <w:t>juni</w:t>
      </w:r>
      <w:r w:rsidR="0056199E" w:rsidRPr="0056199E">
        <w:t xml:space="preserve"> 202</w:t>
      </w:r>
      <w:r w:rsidR="008D6008">
        <w:t>4</w:t>
      </w:r>
    </w:p>
    <w:sectPr w:rsidR="009260DE" w:rsidRPr="006768E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BC9" w:rsidRDefault="00545BC9">
      <w:r>
        <w:separator/>
      </w:r>
    </w:p>
  </w:endnote>
  <w:endnote w:type="continuationSeparator" w:id="0">
    <w:p w:rsidR="00545BC9" w:rsidRDefault="0054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BC9" w:rsidRDefault="00545BC9">
    <w:pPr>
      <w:pStyle w:val="Sidefod"/>
      <w:pBdr>
        <w:bottom w:val="single" w:sz="6" w:space="1" w:color="auto"/>
      </w:pBdr>
    </w:pPr>
  </w:p>
  <w:p w:rsidR="00545BC9" w:rsidRDefault="00545BC9" w:rsidP="00C42586">
    <w:pPr>
      <w:pStyle w:val="Sidefod"/>
      <w:tabs>
        <w:tab w:val="clear" w:pos="4819"/>
        <w:tab w:val="left" w:pos="8505"/>
      </w:tabs>
      <w:rPr>
        <w:i/>
        <w:sz w:val="18"/>
        <w:szCs w:val="18"/>
      </w:rPr>
    </w:pPr>
  </w:p>
  <w:p w:rsidR="00545BC9" w:rsidRPr="00B373D7" w:rsidRDefault="00545B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Cordarone (Orifarm), tabletter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BC9" w:rsidRDefault="00545BC9">
      <w:r>
        <w:separator/>
      </w:r>
    </w:p>
  </w:footnote>
  <w:footnote w:type="continuationSeparator" w:id="0">
    <w:p w:rsidR="00545BC9" w:rsidRDefault="0054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09D"/>
    <w:multiLevelType w:val="hybridMultilevel"/>
    <w:tmpl w:val="DD9E77D8"/>
    <w:lvl w:ilvl="0" w:tplc="3D9AADAE">
      <w:start w:val="1"/>
      <w:numFmt w:val="bullet"/>
      <w:lvlText w:val=""/>
      <w:lvlJc w:val="left"/>
      <w:pPr>
        <w:tabs>
          <w:tab w:val="num" w:pos="1931"/>
        </w:tabs>
        <w:ind w:left="1931" w:hanging="360"/>
      </w:pPr>
      <w:rPr>
        <w:rFonts w:ascii="Symbol" w:hAnsi="Symbol" w:hint="default"/>
        <w:strike w:val="0"/>
        <w:color w:val="auto"/>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 w15:restartNumberingAfterBreak="0">
    <w:nsid w:val="141D5E34"/>
    <w:multiLevelType w:val="hybridMultilevel"/>
    <w:tmpl w:val="55D40E56"/>
    <w:lvl w:ilvl="0" w:tplc="6DF6F012">
      <w:numFmt w:val="bullet"/>
      <w:lvlText w:val="-"/>
      <w:lvlJc w:val="left"/>
      <w:pPr>
        <w:ind w:left="1246" w:hanging="281"/>
      </w:pPr>
      <w:rPr>
        <w:rFonts w:ascii="Times New Roman" w:eastAsia="Times New Roman" w:hAnsi="Times New Roman" w:cs="Times New Roman" w:hint="default"/>
        <w:w w:val="99"/>
        <w:sz w:val="24"/>
        <w:szCs w:val="24"/>
      </w:rPr>
    </w:lvl>
    <w:lvl w:ilvl="1" w:tplc="9E186A62">
      <w:numFmt w:val="bullet"/>
      <w:lvlText w:val="•"/>
      <w:lvlJc w:val="left"/>
      <w:pPr>
        <w:ind w:left="2118" w:hanging="281"/>
      </w:pPr>
    </w:lvl>
    <w:lvl w:ilvl="2" w:tplc="C43CA9AC">
      <w:numFmt w:val="bullet"/>
      <w:lvlText w:val="•"/>
      <w:lvlJc w:val="left"/>
      <w:pPr>
        <w:ind w:left="2997" w:hanging="281"/>
      </w:pPr>
    </w:lvl>
    <w:lvl w:ilvl="3" w:tplc="A0767B66">
      <w:numFmt w:val="bullet"/>
      <w:lvlText w:val="•"/>
      <w:lvlJc w:val="left"/>
      <w:pPr>
        <w:ind w:left="3875" w:hanging="281"/>
      </w:pPr>
    </w:lvl>
    <w:lvl w:ilvl="4" w:tplc="8F1240E0">
      <w:numFmt w:val="bullet"/>
      <w:lvlText w:val="•"/>
      <w:lvlJc w:val="left"/>
      <w:pPr>
        <w:ind w:left="4754" w:hanging="281"/>
      </w:pPr>
    </w:lvl>
    <w:lvl w:ilvl="5" w:tplc="667E74BE">
      <w:numFmt w:val="bullet"/>
      <w:lvlText w:val="•"/>
      <w:lvlJc w:val="left"/>
      <w:pPr>
        <w:ind w:left="5633" w:hanging="281"/>
      </w:pPr>
    </w:lvl>
    <w:lvl w:ilvl="6" w:tplc="18D4F604">
      <w:numFmt w:val="bullet"/>
      <w:lvlText w:val="•"/>
      <w:lvlJc w:val="left"/>
      <w:pPr>
        <w:ind w:left="6511" w:hanging="281"/>
      </w:pPr>
    </w:lvl>
    <w:lvl w:ilvl="7" w:tplc="85FA6B4E">
      <w:numFmt w:val="bullet"/>
      <w:lvlText w:val="•"/>
      <w:lvlJc w:val="left"/>
      <w:pPr>
        <w:ind w:left="7390" w:hanging="281"/>
      </w:pPr>
    </w:lvl>
    <w:lvl w:ilvl="8" w:tplc="E8F0CDCC">
      <w:numFmt w:val="bullet"/>
      <w:lvlText w:val="•"/>
      <w:lvlJc w:val="left"/>
      <w:pPr>
        <w:ind w:left="8269" w:hanging="281"/>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4CB5E4A"/>
    <w:multiLevelType w:val="hybridMultilevel"/>
    <w:tmpl w:val="117AD500"/>
    <w:lvl w:ilvl="0" w:tplc="BA141E56">
      <w:start w:val="1"/>
      <w:numFmt w:val="bullet"/>
      <w:lvlText w:val=""/>
      <w:lvlJc w:val="left"/>
      <w:pPr>
        <w:tabs>
          <w:tab w:val="num" w:pos="1931"/>
        </w:tabs>
        <w:ind w:left="1931" w:hanging="360"/>
      </w:pPr>
      <w:rPr>
        <w:rFonts w:ascii="Symbol" w:hAnsi="Symbol" w:hint="default"/>
        <w:color w:val="auto"/>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4" w15:restartNumberingAfterBreak="0">
    <w:nsid w:val="23CA3BF2"/>
    <w:multiLevelType w:val="multilevel"/>
    <w:tmpl w:val="4CEA3A00"/>
    <w:lvl w:ilvl="0">
      <w:numFmt w:val="bullet"/>
      <w:lvlText w:val="-"/>
      <w:lvlJc w:val="left"/>
      <w:pPr>
        <w:tabs>
          <w:tab w:val="num" w:pos="1215"/>
        </w:tabs>
        <w:ind w:left="1215" w:hanging="360"/>
      </w:pPr>
      <w:rPr>
        <w:rFonts w:ascii="Times New Roman" w:eastAsia="Times New Roman" w:hAnsi="Times New Roman" w:cs="Times New Roman" w:hint="default"/>
      </w:rPr>
    </w:lvl>
    <w:lvl w:ilvl="1" w:tentative="1">
      <w:start w:val="1"/>
      <w:numFmt w:val="bullet"/>
      <w:lvlText w:val="o"/>
      <w:lvlJc w:val="left"/>
      <w:pPr>
        <w:tabs>
          <w:tab w:val="num" w:pos="1935"/>
        </w:tabs>
        <w:ind w:left="1935" w:hanging="360"/>
      </w:pPr>
      <w:rPr>
        <w:rFonts w:ascii="Courier New" w:hAnsi="Courier New" w:hint="default"/>
      </w:rPr>
    </w:lvl>
    <w:lvl w:ilvl="2" w:tentative="1">
      <w:start w:val="1"/>
      <w:numFmt w:val="bullet"/>
      <w:lvlText w:val=""/>
      <w:lvlJc w:val="left"/>
      <w:pPr>
        <w:tabs>
          <w:tab w:val="num" w:pos="2655"/>
        </w:tabs>
        <w:ind w:left="2655" w:hanging="360"/>
      </w:pPr>
      <w:rPr>
        <w:rFonts w:ascii="Wingdings" w:hAnsi="Wingdings" w:hint="default"/>
      </w:rPr>
    </w:lvl>
    <w:lvl w:ilvl="3" w:tentative="1">
      <w:start w:val="1"/>
      <w:numFmt w:val="bullet"/>
      <w:lvlText w:val=""/>
      <w:lvlJc w:val="left"/>
      <w:pPr>
        <w:tabs>
          <w:tab w:val="num" w:pos="3375"/>
        </w:tabs>
        <w:ind w:left="3375" w:hanging="360"/>
      </w:pPr>
      <w:rPr>
        <w:rFonts w:ascii="Symbol" w:hAnsi="Symbol" w:hint="default"/>
      </w:rPr>
    </w:lvl>
    <w:lvl w:ilvl="4" w:tentative="1">
      <w:start w:val="1"/>
      <w:numFmt w:val="bullet"/>
      <w:lvlText w:val="o"/>
      <w:lvlJc w:val="left"/>
      <w:pPr>
        <w:tabs>
          <w:tab w:val="num" w:pos="4095"/>
        </w:tabs>
        <w:ind w:left="4095" w:hanging="360"/>
      </w:pPr>
      <w:rPr>
        <w:rFonts w:ascii="Courier New" w:hAnsi="Courier New" w:hint="default"/>
      </w:rPr>
    </w:lvl>
    <w:lvl w:ilvl="5" w:tentative="1">
      <w:start w:val="1"/>
      <w:numFmt w:val="bullet"/>
      <w:lvlText w:val=""/>
      <w:lvlJc w:val="left"/>
      <w:pPr>
        <w:tabs>
          <w:tab w:val="num" w:pos="4815"/>
        </w:tabs>
        <w:ind w:left="4815" w:hanging="360"/>
      </w:pPr>
      <w:rPr>
        <w:rFonts w:ascii="Wingdings" w:hAnsi="Wingdings" w:hint="default"/>
      </w:rPr>
    </w:lvl>
    <w:lvl w:ilvl="6" w:tentative="1">
      <w:start w:val="1"/>
      <w:numFmt w:val="bullet"/>
      <w:lvlText w:val=""/>
      <w:lvlJc w:val="left"/>
      <w:pPr>
        <w:tabs>
          <w:tab w:val="num" w:pos="5535"/>
        </w:tabs>
        <w:ind w:left="5535" w:hanging="360"/>
      </w:pPr>
      <w:rPr>
        <w:rFonts w:ascii="Symbol" w:hAnsi="Symbol" w:hint="default"/>
      </w:rPr>
    </w:lvl>
    <w:lvl w:ilvl="7" w:tentative="1">
      <w:start w:val="1"/>
      <w:numFmt w:val="bullet"/>
      <w:lvlText w:val="o"/>
      <w:lvlJc w:val="left"/>
      <w:pPr>
        <w:tabs>
          <w:tab w:val="num" w:pos="6255"/>
        </w:tabs>
        <w:ind w:left="6255" w:hanging="360"/>
      </w:pPr>
      <w:rPr>
        <w:rFonts w:ascii="Courier New" w:hAnsi="Courier New" w:hint="default"/>
      </w:rPr>
    </w:lvl>
    <w:lvl w:ilvl="8" w:tentative="1">
      <w:start w:val="1"/>
      <w:numFmt w:val="bullet"/>
      <w:lvlText w:val=""/>
      <w:lvlJc w:val="left"/>
      <w:pPr>
        <w:tabs>
          <w:tab w:val="num" w:pos="6975"/>
        </w:tabs>
        <w:ind w:left="6975"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A007A5"/>
    <w:multiLevelType w:val="hybridMultilevel"/>
    <w:tmpl w:val="F6FA9C96"/>
    <w:lvl w:ilvl="0" w:tplc="86BEB47A">
      <w:numFmt w:val="bullet"/>
      <w:lvlText w:val="-"/>
      <w:lvlJc w:val="left"/>
      <w:pPr>
        <w:tabs>
          <w:tab w:val="num" w:pos="1211"/>
        </w:tabs>
        <w:ind w:left="1211" w:hanging="360"/>
      </w:pPr>
      <w:rPr>
        <w:rFonts w:ascii="TimesNewRomanPSMT" w:eastAsia="MS Mincho" w:hAnsi="TimesNewRomanPSMT" w:cs="TimesNewRomanPSMT"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3646F5F"/>
    <w:multiLevelType w:val="hybridMultilevel"/>
    <w:tmpl w:val="A156FD26"/>
    <w:lvl w:ilvl="0" w:tplc="2E34E836">
      <w:numFmt w:val="bullet"/>
      <w:lvlText w:val=""/>
      <w:lvlJc w:val="left"/>
      <w:pPr>
        <w:ind w:left="1246" w:hanging="281"/>
      </w:pPr>
      <w:rPr>
        <w:rFonts w:ascii="Symbol" w:eastAsia="Symbol" w:hAnsi="Symbol" w:cs="Symbol" w:hint="default"/>
        <w:w w:val="100"/>
        <w:sz w:val="24"/>
        <w:szCs w:val="24"/>
      </w:rPr>
    </w:lvl>
    <w:lvl w:ilvl="1" w:tplc="1F6E2E2C">
      <w:numFmt w:val="bullet"/>
      <w:lvlText w:val="•"/>
      <w:lvlJc w:val="left"/>
      <w:pPr>
        <w:ind w:left="2118" w:hanging="281"/>
      </w:pPr>
    </w:lvl>
    <w:lvl w:ilvl="2" w:tplc="C414E7C0">
      <w:numFmt w:val="bullet"/>
      <w:lvlText w:val="•"/>
      <w:lvlJc w:val="left"/>
      <w:pPr>
        <w:ind w:left="2997" w:hanging="281"/>
      </w:pPr>
    </w:lvl>
    <w:lvl w:ilvl="3" w:tplc="480ED712">
      <w:numFmt w:val="bullet"/>
      <w:lvlText w:val="•"/>
      <w:lvlJc w:val="left"/>
      <w:pPr>
        <w:ind w:left="3875" w:hanging="281"/>
      </w:pPr>
    </w:lvl>
    <w:lvl w:ilvl="4" w:tplc="767E3A0C">
      <w:numFmt w:val="bullet"/>
      <w:lvlText w:val="•"/>
      <w:lvlJc w:val="left"/>
      <w:pPr>
        <w:ind w:left="4754" w:hanging="281"/>
      </w:pPr>
    </w:lvl>
    <w:lvl w:ilvl="5" w:tplc="557E280A">
      <w:numFmt w:val="bullet"/>
      <w:lvlText w:val="•"/>
      <w:lvlJc w:val="left"/>
      <w:pPr>
        <w:ind w:left="5633" w:hanging="281"/>
      </w:pPr>
    </w:lvl>
    <w:lvl w:ilvl="6" w:tplc="63763686">
      <w:numFmt w:val="bullet"/>
      <w:lvlText w:val="•"/>
      <w:lvlJc w:val="left"/>
      <w:pPr>
        <w:ind w:left="6511" w:hanging="281"/>
      </w:pPr>
    </w:lvl>
    <w:lvl w:ilvl="7" w:tplc="184C7A8A">
      <w:numFmt w:val="bullet"/>
      <w:lvlText w:val="•"/>
      <w:lvlJc w:val="left"/>
      <w:pPr>
        <w:ind w:left="7390" w:hanging="281"/>
      </w:pPr>
    </w:lvl>
    <w:lvl w:ilvl="8" w:tplc="74D217B2">
      <w:numFmt w:val="bullet"/>
      <w:lvlText w:val="•"/>
      <w:lvlJc w:val="left"/>
      <w:pPr>
        <w:ind w:left="8269" w:hanging="281"/>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0F11AA"/>
    <w:multiLevelType w:val="multilevel"/>
    <w:tmpl w:val="C038DCBA"/>
    <w:lvl w:ilvl="0">
      <w:start w:val="4"/>
      <w:numFmt w:val="decimal"/>
      <w:lvlText w:val="%1"/>
      <w:lvlJc w:val="left"/>
      <w:pPr>
        <w:tabs>
          <w:tab w:val="num" w:pos="855"/>
        </w:tabs>
        <w:ind w:left="855" w:hanging="855"/>
      </w:pPr>
      <w:rPr>
        <w:rFonts w:hint="default"/>
        <w:b/>
      </w:rPr>
    </w:lvl>
    <w:lvl w:ilvl="1">
      <w:start w:val="2"/>
      <w:numFmt w:val="decimal"/>
      <w:lvlText w:val="%1.%2"/>
      <w:lvlJc w:val="left"/>
      <w:pPr>
        <w:tabs>
          <w:tab w:val="num" w:pos="855"/>
        </w:tabs>
        <w:ind w:left="855" w:hanging="855"/>
      </w:pPr>
      <w:rPr>
        <w:rFonts w:hint="default"/>
        <w:b/>
      </w:rPr>
    </w:lvl>
    <w:lvl w:ilvl="2">
      <w:start w:val="1"/>
      <w:numFmt w:val="decimal"/>
      <w:lvlText w:val="%1.%2.%3"/>
      <w:lvlJc w:val="left"/>
      <w:pPr>
        <w:tabs>
          <w:tab w:val="num" w:pos="855"/>
        </w:tabs>
        <w:ind w:left="855" w:hanging="855"/>
      </w:pPr>
      <w:rPr>
        <w:rFonts w:hint="default"/>
        <w:b/>
      </w:rPr>
    </w:lvl>
    <w:lvl w:ilvl="3">
      <w:start w:val="1"/>
      <w:numFmt w:val="decimal"/>
      <w:lvlText w:val="%1.%2.%3.%4"/>
      <w:lvlJc w:val="left"/>
      <w:pPr>
        <w:tabs>
          <w:tab w:val="num" w:pos="855"/>
        </w:tabs>
        <w:ind w:left="855" w:hanging="85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5"/>
  </w:num>
  <w:num w:numId="9">
    <w:abstractNumId w:val="2"/>
  </w:num>
  <w:num w:numId="10">
    <w:abstractNumId w:val="11"/>
  </w:num>
  <w:num w:numId="11">
    <w:abstractNumId w:val="4"/>
  </w:num>
  <w:num w:numId="12">
    <w:abstractNumId w:val="0"/>
  </w:num>
  <w:num w:numId="13">
    <w:abstractNumId w:val="3"/>
  </w:num>
  <w:num w:numId="14">
    <w:abstractNumId w:val="7"/>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E2"/>
    <w:rsid w:val="000259B9"/>
    <w:rsid w:val="00030502"/>
    <w:rsid w:val="00041491"/>
    <w:rsid w:val="00050D16"/>
    <w:rsid w:val="00074F2A"/>
    <w:rsid w:val="000A1CA8"/>
    <w:rsid w:val="000A466B"/>
    <w:rsid w:val="000B058C"/>
    <w:rsid w:val="000C7910"/>
    <w:rsid w:val="000E4EE6"/>
    <w:rsid w:val="001454E2"/>
    <w:rsid w:val="001D6345"/>
    <w:rsid w:val="00206CE8"/>
    <w:rsid w:val="0021526C"/>
    <w:rsid w:val="00216AB6"/>
    <w:rsid w:val="0027658E"/>
    <w:rsid w:val="00283A2B"/>
    <w:rsid w:val="002B30AD"/>
    <w:rsid w:val="002C2C01"/>
    <w:rsid w:val="003206F7"/>
    <w:rsid w:val="00386B0B"/>
    <w:rsid w:val="003962A8"/>
    <w:rsid w:val="003A29AE"/>
    <w:rsid w:val="003A32D7"/>
    <w:rsid w:val="003B4074"/>
    <w:rsid w:val="003C0AC1"/>
    <w:rsid w:val="003C769A"/>
    <w:rsid w:val="003E655B"/>
    <w:rsid w:val="003F1838"/>
    <w:rsid w:val="00422E45"/>
    <w:rsid w:val="0045746C"/>
    <w:rsid w:val="00476C35"/>
    <w:rsid w:val="0049104B"/>
    <w:rsid w:val="004C2599"/>
    <w:rsid w:val="004E3B12"/>
    <w:rsid w:val="00532310"/>
    <w:rsid w:val="00545BC9"/>
    <w:rsid w:val="00560ECC"/>
    <w:rsid w:val="0056199E"/>
    <w:rsid w:val="00565F0F"/>
    <w:rsid w:val="00594A86"/>
    <w:rsid w:val="00595065"/>
    <w:rsid w:val="00596D86"/>
    <w:rsid w:val="00616187"/>
    <w:rsid w:val="00637F5A"/>
    <w:rsid w:val="006560B1"/>
    <w:rsid w:val="006756DD"/>
    <w:rsid w:val="006768E2"/>
    <w:rsid w:val="006A584C"/>
    <w:rsid w:val="00737275"/>
    <w:rsid w:val="00740EEC"/>
    <w:rsid w:val="00747570"/>
    <w:rsid w:val="0075755B"/>
    <w:rsid w:val="007760C1"/>
    <w:rsid w:val="0078011A"/>
    <w:rsid w:val="00782AF4"/>
    <w:rsid w:val="00790EE7"/>
    <w:rsid w:val="007A23C8"/>
    <w:rsid w:val="007A2D58"/>
    <w:rsid w:val="007B6649"/>
    <w:rsid w:val="0081546F"/>
    <w:rsid w:val="008207E3"/>
    <w:rsid w:val="0082576E"/>
    <w:rsid w:val="0086582F"/>
    <w:rsid w:val="008C3695"/>
    <w:rsid w:val="008D6008"/>
    <w:rsid w:val="00907F75"/>
    <w:rsid w:val="009260DE"/>
    <w:rsid w:val="0093258A"/>
    <w:rsid w:val="009A7242"/>
    <w:rsid w:val="009C7BA3"/>
    <w:rsid w:val="009D1F5A"/>
    <w:rsid w:val="009D28D2"/>
    <w:rsid w:val="00A07637"/>
    <w:rsid w:val="00A93F95"/>
    <w:rsid w:val="00AE4CB5"/>
    <w:rsid w:val="00AF1AE4"/>
    <w:rsid w:val="00AF6AEF"/>
    <w:rsid w:val="00B003BF"/>
    <w:rsid w:val="00B373D7"/>
    <w:rsid w:val="00BB4F4B"/>
    <w:rsid w:val="00BC1FA7"/>
    <w:rsid w:val="00BD7E83"/>
    <w:rsid w:val="00BF0D6B"/>
    <w:rsid w:val="00C36276"/>
    <w:rsid w:val="00C42586"/>
    <w:rsid w:val="00C60CCD"/>
    <w:rsid w:val="00C84483"/>
    <w:rsid w:val="00C95551"/>
    <w:rsid w:val="00CB20D7"/>
    <w:rsid w:val="00CF1BA6"/>
    <w:rsid w:val="00D020B0"/>
    <w:rsid w:val="00D10D18"/>
    <w:rsid w:val="00D11748"/>
    <w:rsid w:val="00D24A67"/>
    <w:rsid w:val="00D366CF"/>
    <w:rsid w:val="00D64D2B"/>
    <w:rsid w:val="00E108AA"/>
    <w:rsid w:val="00E31812"/>
    <w:rsid w:val="00E3749A"/>
    <w:rsid w:val="00E7437F"/>
    <w:rsid w:val="00E865B8"/>
    <w:rsid w:val="00EB68A9"/>
    <w:rsid w:val="00EC0B9B"/>
    <w:rsid w:val="00ED07A7"/>
    <w:rsid w:val="00ED5E9F"/>
    <w:rsid w:val="00F02397"/>
    <w:rsid w:val="00F07F5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1EE3B"/>
  <w15:chartTrackingRefBased/>
  <w15:docId w15:val="{27F518F9-2D9D-4A41-9AED-7B7A9575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6768E2"/>
    <w:pPr>
      <w:keepNext/>
      <w:spacing w:before="240" w:after="60"/>
      <w:outlineLvl w:val="1"/>
    </w:pPr>
    <w:rPr>
      <w:rFonts w:ascii="Arial" w:hAnsi="Arial" w:cs="Arial"/>
      <w:b/>
      <w:bCs/>
      <w:i/>
      <w:iCs/>
      <w:sz w:val="28"/>
      <w:szCs w:val="28"/>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6768E2"/>
    <w:rPr>
      <w:rFonts w:ascii="Arial" w:hAnsi="Arial" w:cs="Arial"/>
      <w:b/>
      <w:bCs/>
      <w:i/>
      <w:iCs/>
      <w:sz w:val="28"/>
      <w:szCs w:val="28"/>
    </w:rPr>
  </w:style>
  <w:style w:type="paragraph" w:styleId="Brdtekstindrykning2">
    <w:name w:val="Body Text Indent 2"/>
    <w:basedOn w:val="Normal"/>
    <w:link w:val="Brdtekstindrykning2Tegn"/>
    <w:rsid w:val="006768E2"/>
    <w:pPr>
      <w:tabs>
        <w:tab w:val="left" w:pos="5000"/>
        <w:tab w:val="left" w:pos="6680"/>
      </w:tabs>
      <w:ind w:left="851" w:hanging="851"/>
      <w:jc w:val="both"/>
    </w:pPr>
    <w:rPr>
      <w:snapToGrid w:val="0"/>
      <w:sz w:val="24"/>
      <w:lang w:val="en-US" w:eastAsia="da-DK"/>
    </w:rPr>
  </w:style>
  <w:style w:type="character" w:customStyle="1" w:styleId="Brdtekstindrykning2Tegn">
    <w:name w:val="Brødtekstindrykning 2 Tegn"/>
    <w:basedOn w:val="Standardskrifttypeiafsnit"/>
    <w:link w:val="Brdtekstindrykning2"/>
    <w:rsid w:val="006768E2"/>
    <w:rPr>
      <w:snapToGrid w:val="0"/>
      <w:sz w:val="24"/>
      <w:lang w:val="en-US"/>
    </w:rPr>
  </w:style>
  <w:style w:type="paragraph" w:styleId="Brdtekstindrykning">
    <w:name w:val="Body Text Indent"/>
    <w:basedOn w:val="Normal"/>
    <w:link w:val="BrdtekstindrykningTegn"/>
    <w:rsid w:val="006768E2"/>
    <w:pPr>
      <w:keepLines/>
      <w:tabs>
        <w:tab w:val="right" w:pos="8789"/>
      </w:tabs>
      <w:spacing w:before="120"/>
      <w:ind w:left="425"/>
    </w:pPr>
    <w:rPr>
      <w:snapToGrid w:val="0"/>
      <w:sz w:val="24"/>
      <w:lang w:val="fr-FR" w:eastAsia="da-DK"/>
    </w:rPr>
  </w:style>
  <w:style w:type="character" w:customStyle="1" w:styleId="BrdtekstindrykningTegn">
    <w:name w:val="Brødtekstindrykning Tegn"/>
    <w:basedOn w:val="Standardskrifttypeiafsnit"/>
    <w:link w:val="Brdtekstindrykning"/>
    <w:rsid w:val="006768E2"/>
    <w:rPr>
      <w:snapToGrid w:val="0"/>
      <w:sz w:val="24"/>
      <w:lang w:val="fr-FR"/>
    </w:rPr>
  </w:style>
  <w:style w:type="paragraph" w:styleId="Brdtekstindrykning3">
    <w:name w:val="Body Text Indent 3"/>
    <w:basedOn w:val="Normal"/>
    <w:link w:val="Brdtekstindrykning3Tegn"/>
    <w:rsid w:val="006768E2"/>
    <w:pPr>
      <w:tabs>
        <w:tab w:val="left" w:pos="1418"/>
        <w:tab w:val="left" w:pos="1701"/>
      </w:tabs>
      <w:ind w:left="1418"/>
    </w:pPr>
    <w:rPr>
      <w:sz w:val="24"/>
      <w:lang w:eastAsia="da-DK"/>
    </w:rPr>
  </w:style>
  <w:style w:type="character" w:customStyle="1" w:styleId="Brdtekstindrykning3Tegn">
    <w:name w:val="Brødtekstindrykning 3 Tegn"/>
    <w:basedOn w:val="Standardskrifttypeiafsnit"/>
    <w:link w:val="Brdtekstindrykning3"/>
    <w:rsid w:val="006768E2"/>
    <w:rPr>
      <w:sz w:val="24"/>
    </w:rPr>
  </w:style>
  <w:style w:type="character" w:customStyle="1" w:styleId="trns-org-res">
    <w:name w:val="trns-org-res"/>
    <w:rsid w:val="006768E2"/>
  </w:style>
  <w:style w:type="character" w:styleId="Hyperlink">
    <w:name w:val="Hyperlink"/>
    <w:uiPriority w:val="99"/>
    <w:unhideWhenUsed/>
    <w:rsid w:val="006768E2"/>
    <w:rPr>
      <w:color w:val="0563C1"/>
      <w:u w:val="single"/>
    </w:rPr>
  </w:style>
  <w:style w:type="paragraph" w:styleId="Brdtekst">
    <w:name w:val="Body Text"/>
    <w:basedOn w:val="Normal"/>
    <w:link w:val="BrdtekstTegn"/>
    <w:uiPriority w:val="99"/>
    <w:unhideWhenUsed/>
    <w:rsid w:val="00BD7E83"/>
    <w:pPr>
      <w:spacing w:after="120"/>
    </w:pPr>
  </w:style>
  <w:style w:type="character" w:customStyle="1" w:styleId="BrdtekstTegn">
    <w:name w:val="Brødtekst Tegn"/>
    <w:basedOn w:val="Standardskrifttypeiafsnit"/>
    <w:link w:val="Brdtekst"/>
    <w:uiPriority w:val="99"/>
    <w:rsid w:val="00BD7E83"/>
    <w:rPr>
      <w:sz w:val="23"/>
      <w:lang w:eastAsia="en-US"/>
    </w:rPr>
  </w:style>
  <w:style w:type="paragraph" w:styleId="Listeafsnit">
    <w:name w:val="List Paragraph"/>
    <w:basedOn w:val="Normal"/>
    <w:uiPriority w:val="1"/>
    <w:qFormat/>
    <w:rsid w:val="00BD7E83"/>
    <w:pPr>
      <w:widowControl w:val="0"/>
      <w:autoSpaceDE w:val="0"/>
      <w:autoSpaceDN w:val="0"/>
      <w:spacing w:line="274" w:lineRule="exact"/>
      <w:ind w:left="967" w:hanging="855"/>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4232</Words>
  <Characters>28959</Characters>
  <Application>Microsoft Office Word</Application>
  <DocSecurity>0</DocSecurity>
  <Lines>241</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Lydolph</dc:creator>
  <cp:keywords/>
  <dc:description>2024061603 - gennemgående redaktionelle rettelser (sletning af hårde bindestreger) + opdatering vedr bivirkninger pkt. 4.4, 4.5, 4.8</dc:description>
  <cp:lastModifiedBy>Casper Lydolph</cp:lastModifiedBy>
  <cp:revision>16</cp:revision>
  <cp:lastPrinted>2012-08-22T08:53:00Z</cp:lastPrinted>
  <dcterms:created xsi:type="dcterms:W3CDTF">2024-06-12T06:43:00Z</dcterms:created>
  <dcterms:modified xsi:type="dcterms:W3CDTF">2024-06-14T08:26:00Z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