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384DD" w14:textId="4109A453" w:rsidR="009260DE" w:rsidRPr="00E941B2" w:rsidRDefault="0021526C" w:rsidP="00F1661F">
      <w:pPr>
        <w:rPr>
          <w:sz w:val="24"/>
          <w:szCs w:val="24"/>
        </w:rPr>
      </w:pPr>
      <w:bookmarkStart w:id="0" w:name="_GoBack"/>
      <w:bookmarkEnd w:id="0"/>
      <w:r w:rsidRPr="00E941B2">
        <w:rPr>
          <w:noProof/>
          <w:sz w:val="24"/>
          <w:szCs w:val="24"/>
          <w:lang w:eastAsia="da-DK"/>
        </w:rPr>
        <w:drawing>
          <wp:anchor distT="0" distB="0" distL="114300" distR="114300" simplePos="0" relativeHeight="251658240" behindDoc="0" locked="0" layoutInCell="1" allowOverlap="1" wp14:anchorId="2E25DBC1" wp14:editId="7D6C478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941B2">
        <w:rPr>
          <w:sz w:val="24"/>
          <w:szCs w:val="24"/>
        </w:rPr>
        <w:br w:type="textWrapping" w:clear="all"/>
      </w:r>
    </w:p>
    <w:p w14:paraId="2BFCD426" w14:textId="0CB967FC" w:rsidR="009260DE" w:rsidRPr="005B5B65" w:rsidRDefault="009260DE" w:rsidP="009260DE">
      <w:pPr>
        <w:pStyle w:val="Titel"/>
        <w:tabs>
          <w:tab w:val="right" w:pos="9356"/>
        </w:tabs>
        <w:jc w:val="left"/>
        <w:rPr>
          <w:b w:val="0"/>
          <w:szCs w:val="24"/>
          <w:lang w:eastAsia="en-US"/>
        </w:rPr>
      </w:pPr>
      <w:r w:rsidRPr="00E941B2">
        <w:rPr>
          <w:b w:val="0"/>
          <w:szCs w:val="24"/>
          <w:lang w:eastAsia="en-US"/>
        </w:rPr>
        <w:tab/>
      </w:r>
      <w:r w:rsidR="00E64D25">
        <w:rPr>
          <w:szCs w:val="24"/>
        </w:rPr>
        <w:t>29</w:t>
      </w:r>
      <w:r w:rsidR="00A403EC">
        <w:rPr>
          <w:szCs w:val="24"/>
        </w:rPr>
        <w:t xml:space="preserve">. </w:t>
      </w:r>
      <w:r w:rsidR="00E64D25">
        <w:rPr>
          <w:szCs w:val="24"/>
        </w:rPr>
        <w:t>januar</w:t>
      </w:r>
      <w:r w:rsidR="00A403EC">
        <w:rPr>
          <w:szCs w:val="24"/>
        </w:rPr>
        <w:t xml:space="preserve"> 202</w:t>
      </w:r>
      <w:r w:rsidR="00E64D25">
        <w:rPr>
          <w:szCs w:val="24"/>
        </w:rPr>
        <w:t>5</w:t>
      </w:r>
    </w:p>
    <w:p w14:paraId="1D6382AF" w14:textId="77777777" w:rsidR="009260DE" w:rsidRPr="005B5B65" w:rsidRDefault="009260DE" w:rsidP="009260DE">
      <w:pPr>
        <w:pStyle w:val="Titel"/>
        <w:tabs>
          <w:tab w:val="left" w:pos="8222"/>
        </w:tabs>
        <w:jc w:val="left"/>
        <w:rPr>
          <w:b w:val="0"/>
          <w:szCs w:val="24"/>
        </w:rPr>
      </w:pPr>
    </w:p>
    <w:p w14:paraId="0D9934FD" w14:textId="7A1F5D2E" w:rsidR="009260DE" w:rsidRPr="005B5B65" w:rsidRDefault="009260DE" w:rsidP="009260DE">
      <w:pPr>
        <w:pStyle w:val="Titel"/>
        <w:jc w:val="left"/>
        <w:rPr>
          <w:b w:val="0"/>
          <w:szCs w:val="24"/>
        </w:rPr>
      </w:pPr>
    </w:p>
    <w:p w14:paraId="49929757" w14:textId="77777777" w:rsidR="009260DE" w:rsidRPr="005B5B65" w:rsidRDefault="009260DE" w:rsidP="009260DE">
      <w:pPr>
        <w:pStyle w:val="Titel"/>
        <w:jc w:val="left"/>
        <w:rPr>
          <w:b w:val="0"/>
          <w:szCs w:val="24"/>
        </w:rPr>
      </w:pPr>
    </w:p>
    <w:p w14:paraId="17C4BEBF" w14:textId="77777777" w:rsidR="009260DE" w:rsidRPr="005B5B65" w:rsidRDefault="009260DE" w:rsidP="009260DE">
      <w:pPr>
        <w:jc w:val="center"/>
        <w:rPr>
          <w:b/>
          <w:sz w:val="24"/>
          <w:szCs w:val="24"/>
        </w:rPr>
      </w:pPr>
      <w:r w:rsidRPr="005B5B65">
        <w:rPr>
          <w:b/>
          <w:sz w:val="24"/>
          <w:szCs w:val="24"/>
        </w:rPr>
        <w:t>PRODUKTRESUMÉ</w:t>
      </w:r>
    </w:p>
    <w:p w14:paraId="71D66C91" w14:textId="77777777" w:rsidR="009260DE" w:rsidRPr="005B5B65" w:rsidRDefault="009260DE" w:rsidP="009260DE">
      <w:pPr>
        <w:jc w:val="center"/>
        <w:rPr>
          <w:b/>
          <w:sz w:val="24"/>
          <w:szCs w:val="24"/>
        </w:rPr>
      </w:pPr>
    </w:p>
    <w:p w14:paraId="4A0FE5F2" w14:textId="77777777" w:rsidR="009260DE" w:rsidRPr="005B5B65" w:rsidRDefault="009260DE" w:rsidP="009260DE">
      <w:pPr>
        <w:jc w:val="center"/>
        <w:rPr>
          <w:b/>
          <w:sz w:val="24"/>
          <w:szCs w:val="24"/>
        </w:rPr>
      </w:pPr>
      <w:r w:rsidRPr="005B5B65">
        <w:rPr>
          <w:b/>
          <w:sz w:val="24"/>
          <w:szCs w:val="24"/>
        </w:rPr>
        <w:t>for</w:t>
      </w:r>
    </w:p>
    <w:p w14:paraId="5EF544B6" w14:textId="77777777" w:rsidR="000B058C" w:rsidRPr="005B5B65" w:rsidRDefault="000B058C" w:rsidP="009260DE">
      <w:pPr>
        <w:jc w:val="center"/>
        <w:rPr>
          <w:b/>
          <w:sz w:val="24"/>
          <w:szCs w:val="24"/>
        </w:rPr>
      </w:pPr>
    </w:p>
    <w:p w14:paraId="0259E51E" w14:textId="148ACD0A" w:rsidR="009260DE" w:rsidRPr="00E941B2" w:rsidRDefault="001E1E33" w:rsidP="009260DE">
      <w:pPr>
        <w:jc w:val="center"/>
        <w:rPr>
          <w:b/>
          <w:sz w:val="24"/>
          <w:szCs w:val="24"/>
        </w:rPr>
      </w:pPr>
      <w:proofErr w:type="spellStart"/>
      <w:r w:rsidRPr="00E941B2">
        <w:rPr>
          <w:b/>
          <w:sz w:val="24"/>
          <w:szCs w:val="24"/>
        </w:rPr>
        <w:t>Coxor</w:t>
      </w:r>
      <w:proofErr w:type="spellEnd"/>
      <w:r w:rsidRPr="00E941B2">
        <w:rPr>
          <w:b/>
          <w:sz w:val="24"/>
          <w:szCs w:val="24"/>
        </w:rPr>
        <w:t>, pulver og solvens til oral opløsning</w:t>
      </w:r>
    </w:p>
    <w:p w14:paraId="4DB7720F" w14:textId="77777777" w:rsidR="009260DE" w:rsidRPr="00E941B2" w:rsidRDefault="009260DE" w:rsidP="009260DE">
      <w:pPr>
        <w:jc w:val="both"/>
        <w:rPr>
          <w:sz w:val="24"/>
          <w:szCs w:val="24"/>
        </w:rPr>
      </w:pPr>
    </w:p>
    <w:p w14:paraId="119F9234" w14:textId="77777777" w:rsidR="009260DE" w:rsidRPr="00E941B2" w:rsidRDefault="009260DE" w:rsidP="009260DE">
      <w:pPr>
        <w:jc w:val="both"/>
        <w:rPr>
          <w:sz w:val="24"/>
          <w:szCs w:val="24"/>
        </w:rPr>
      </w:pPr>
    </w:p>
    <w:p w14:paraId="31B89CD3" w14:textId="77777777" w:rsidR="009260DE" w:rsidRPr="005B5B65" w:rsidRDefault="009260DE" w:rsidP="009260DE">
      <w:pPr>
        <w:tabs>
          <w:tab w:val="left" w:pos="851"/>
        </w:tabs>
        <w:ind w:left="851" w:hanging="851"/>
        <w:rPr>
          <w:b/>
          <w:sz w:val="24"/>
          <w:szCs w:val="24"/>
        </w:rPr>
      </w:pPr>
      <w:r w:rsidRPr="005B5B65">
        <w:rPr>
          <w:b/>
          <w:sz w:val="24"/>
          <w:szCs w:val="24"/>
        </w:rPr>
        <w:t>0.</w:t>
      </w:r>
      <w:r w:rsidRPr="005B5B65">
        <w:rPr>
          <w:b/>
          <w:sz w:val="24"/>
          <w:szCs w:val="24"/>
        </w:rPr>
        <w:tab/>
        <w:t>D.SP.NR.</w:t>
      </w:r>
    </w:p>
    <w:p w14:paraId="12650C84" w14:textId="48BCEC7E" w:rsidR="009260DE" w:rsidRPr="00E941B2" w:rsidRDefault="006A5F05" w:rsidP="009260DE">
      <w:pPr>
        <w:tabs>
          <w:tab w:val="left" w:pos="851"/>
        </w:tabs>
        <w:ind w:left="851"/>
        <w:rPr>
          <w:sz w:val="24"/>
          <w:szCs w:val="24"/>
        </w:rPr>
      </w:pPr>
      <w:r w:rsidRPr="00E941B2">
        <w:rPr>
          <w:sz w:val="24"/>
          <w:szCs w:val="24"/>
        </w:rPr>
        <w:t>31891</w:t>
      </w:r>
    </w:p>
    <w:p w14:paraId="499DF0D4" w14:textId="77777777" w:rsidR="009260DE" w:rsidRPr="00E941B2" w:rsidRDefault="009260DE" w:rsidP="009260DE">
      <w:pPr>
        <w:tabs>
          <w:tab w:val="left" w:pos="851"/>
        </w:tabs>
        <w:ind w:left="851"/>
        <w:rPr>
          <w:sz w:val="24"/>
          <w:szCs w:val="24"/>
        </w:rPr>
      </w:pPr>
    </w:p>
    <w:p w14:paraId="4B2CDCCA" w14:textId="77777777" w:rsidR="009260DE" w:rsidRPr="00E941B2" w:rsidRDefault="009260DE" w:rsidP="009260DE">
      <w:pPr>
        <w:tabs>
          <w:tab w:val="left" w:pos="851"/>
        </w:tabs>
        <w:ind w:left="851" w:hanging="851"/>
        <w:rPr>
          <w:b/>
          <w:sz w:val="24"/>
          <w:szCs w:val="24"/>
        </w:rPr>
      </w:pPr>
      <w:r w:rsidRPr="00E941B2">
        <w:rPr>
          <w:b/>
          <w:sz w:val="24"/>
          <w:szCs w:val="24"/>
        </w:rPr>
        <w:t>1.</w:t>
      </w:r>
      <w:r w:rsidRPr="00E941B2">
        <w:rPr>
          <w:b/>
          <w:sz w:val="24"/>
          <w:szCs w:val="24"/>
        </w:rPr>
        <w:tab/>
        <w:t>LÆGEMIDLETS NAVN</w:t>
      </w:r>
    </w:p>
    <w:p w14:paraId="131F212E" w14:textId="7F1A238A" w:rsidR="009260DE" w:rsidRPr="00E941B2" w:rsidRDefault="006A5F05" w:rsidP="009260DE">
      <w:pPr>
        <w:tabs>
          <w:tab w:val="left" w:pos="851"/>
        </w:tabs>
        <w:ind w:left="851"/>
        <w:rPr>
          <w:sz w:val="24"/>
          <w:szCs w:val="24"/>
        </w:rPr>
      </w:pPr>
      <w:proofErr w:type="spellStart"/>
      <w:r w:rsidRPr="00E941B2">
        <w:rPr>
          <w:sz w:val="24"/>
          <w:szCs w:val="24"/>
        </w:rPr>
        <w:t>Coxor</w:t>
      </w:r>
      <w:proofErr w:type="spellEnd"/>
    </w:p>
    <w:p w14:paraId="2C48957D" w14:textId="77777777" w:rsidR="009260DE" w:rsidRPr="00E941B2" w:rsidRDefault="009260DE" w:rsidP="009260DE">
      <w:pPr>
        <w:tabs>
          <w:tab w:val="left" w:pos="851"/>
        </w:tabs>
        <w:ind w:left="851"/>
        <w:rPr>
          <w:sz w:val="24"/>
          <w:szCs w:val="24"/>
        </w:rPr>
      </w:pPr>
    </w:p>
    <w:p w14:paraId="779BA397" w14:textId="77777777" w:rsidR="009260DE" w:rsidRPr="00E941B2" w:rsidRDefault="009260DE" w:rsidP="009260DE">
      <w:pPr>
        <w:tabs>
          <w:tab w:val="left" w:pos="851"/>
        </w:tabs>
        <w:ind w:left="851" w:hanging="851"/>
        <w:rPr>
          <w:b/>
          <w:sz w:val="24"/>
          <w:szCs w:val="24"/>
        </w:rPr>
      </w:pPr>
      <w:r w:rsidRPr="00E941B2">
        <w:rPr>
          <w:b/>
          <w:sz w:val="24"/>
          <w:szCs w:val="24"/>
        </w:rPr>
        <w:t>2.</w:t>
      </w:r>
      <w:r w:rsidRPr="00E941B2">
        <w:rPr>
          <w:b/>
          <w:sz w:val="24"/>
          <w:szCs w:val="24"/>
        </w:rPr>
        <w:tab/>
        <w:t>KVALITATIV OG KVANTITATIV SAMMENSÆTNING</w:t>
      </w:r>
    </w:p>
    <w:p w14:paraId="6CB63D67" w14:textId="77777777" w:rsidR="001507F2" w:rsidRPr="00E941B2" w:rsidRDefault="001507F2" w:rsidP="001507F2">
      <w:pPr>
        <w:tabs>
          <w:tab w:val="left" w:pos="851"/>
        </w:tabs>
        <w:ind w:left="851"/>
        <w:rPr>
          <w:sz w:val="24"/>
          <w:szCs w:val="24"/>
          <w:lang w:eastAsia="da-DK"/>
        </w:rPr>
      </w:pPr>
      <w:r w:rsidRPr="00E941B2">
        <w:rPr>
          <w:sz w:val="24"/>
          <w:szCs w:val="24"/>
        </w:rPr>
        <w:t>Hver flaske indeholder 300 mg acetylsalicylsyre.</w:t>
      </w:r>
    </w:p>
    <w:p w14:paraId="265E86DD" w14:textId="77777777" w:rsidR="001507F2" w:rsidRPr="00E941B2" w:rsidRDefault="001507F2" w:rsidP="001507F2">
      <w:pPr>
        <w:tabs>
          <w:tab w:val="left" w:pos="851"/>
        </w:tabs>
        <w:ind w:left="851"/>
        <w:rPr>
          <w:sz w:val="24"/>
          <w:szCs w:val="24"/>
        </w:rPr>
      </w:pPr>
    </w:p>
    <w:p w14:paraId="13689C3D" w14:textId="77777777" w:rsidR="001507F2" w:rsidRPr="00E941B2" w:rsidRDefault="001507F2" w:rsidP="001507F2">
      <w:pPr>
        <w:tabs>
          <w:tab w:val="left" w:pos="851"/>
        </w:tabs>
        <w:ind w:left="851"/>
        <w:rPr>
          <w:sz w:val="24"/>
          <w:szCs w:val="24"/>
          <w:u w:val="single"/>
        </w:rPr>
      </w:pPr>
      <w:r w:rsidRPr="00E941B2">
        <w:rPr>
          <w:sz w:val="24"/>
          <w:szCs w:val="24"/>
          <w:u w:val="single"/>
        </w:rPr>
        <w:t>Hjælpestof, som behandleren skal være opmærksom på:</w:t>
      </w:r>
    </w:p>
    <w:p w14:paraId="2F3E7C5F" w14:textId="77777777" w:rsidR="001507F2" w:rsidRPr="00E941B2" w:rsidRDefault="001507F2" w:rsidP="001507F2">
      <w:pPr>
        <w:tabs>
          <w:tab w:val="left" w:pos="851"/>
        </w:tabs>
        <w:ind w:left="851"/>
        <w:rPr>
          <w:sz w:val="24"/>
          <w:szCs w:val="24"/>
        </w:rPr>
      </w:pPr>
      <w:r w:rsidRPr="00E941B2">
        <w:rPr>
          <w:sz w:val="24"/>
          <w:szCs w:val="24"/>
        </w:rPr>
        <w:t>Hver flaske indeholder 595 mg (26 mmol) natrium.</w:t>
      </w:r>
    </w:p>
    <w:p w14:paraId="0B36026F" w14:textId="77777777" w:rsidR="001507F2" w:rsidRPr="00E941B2" w:rsidRDefault="001507F2" w:rsidP="001507F2">
      <w:pPr>
        <w:tabs>
          <w:tab w:val="left" w:pos="851"/>
        </w:tabs>
        <w:ind w:left="851"/>
        <w:rPr>
          <w:sz w:val="24"/>
          <w:szCs w:val="24"/>
        </w:rPr>
      </w:pPr>
    </w:p>
    <w:p w14:paraId="32081F76" w14:textId="77777777" w:rsidR="001507F2" w:rsidRPr="00E941B2" w:rsidRDefault="001507F2" w:rsidP="001507F2">
      <w:pPr>
        <w:tabs>
          <w:tab w:val="left" w:pos="851"/>
        </w:tabs>
        <w:ind w:left="851"/>
        <w:rPr>
          <w:sz w:val="24"/>
          <w:szCs w:val="24"/>
        </w:rPr>
      </w:pPr>
      <w:r w:rsidRPr="00E941B2">
        <w:rPr>
          <w:sz w:val="24"/>
          <w:szCs w:val="24"/>
        </w:rPr>
        <w:t>Alle hjælpestoffer er anført under pkt. 6.1.</w:t>
      </w:r>
    </w:p>
    <w:p w14:paraId="2BE6E66D" w14:textId="77777777" w:rsidR="009260DE" w:rsidRPr="00E941B2" w:rsidRDefault="009260DE" w:rsidP="009260DE">
      <w:pPr>
        <w:tabs>
          <w:tab w:val="left" w:pos="851"/>
        </w:tabs>
        <w:ind w:left="851"/>
        <w:rPr>
          <w:sz w:val="24"/>
          <w:szCs w:val="24"/>
        </w:rPr>
      </w:pPr>
    </w:p>
    <w:p w14:paraId="5422A83B" w14:textId="77777777" w:rsidR="009260DE" w:rsidRPr="00E941B2" w:rsidRDefault="009260DE" w:rsidP="009260DE">
      <w:pPr>
        <w:tabs>
          <w:tab w:val="left" w:pos="851"/>
        </w:tabs>
        <w:ind w:left="851" w:hanging="851"/>
        <w:rPr>
          <w:b/>
          <w:sz w:val="24"/>
          <w:szCs w:val="24"/>
        </w:rPr>
      </w:pPr>
      <w:r w:rsidRPr="00E941B2">
        <w:rPr>
          <w:b/>
          <w:sz w:val="24"/>
          <w:szCs w:val="24"/>
        </w:rPr>
        <w:t>3.</w:t>
      </w:r>
      <w:r w:rsidRPr="00E941B2">
        <w:rPr>
          <w:b/>
          <w:sz w:val="24"/>
          <w:szCs w:val="24"/>
        </w:rPr>
        <w:tab/>
        <w:t>LÆGEMIDDELFORM</w:t>
      </w:r>
    </w:p>
    <w:p w14:paraId="1D80E6F0" w14:textId="77777777" w:rsidR="001507F2" w:rsidRPr="00E941B2" w:rsidRDefault="001507F2" w:rsidP="001507F2">
      <w:pPr>
        <w:tabs>
          <w:tab w:val="left" w:pos="851"/>
        </w:tabs>
        <w:ind w:left="851"/>
        <w:rPr>
          <w:sz w:val="24"/>
          <w:szCs w:val="24"/>
          <w:lang w:eastAsia="da-DK"/>
        </w:rPr>
      </w:pPr>
      <w:r w:rsidRPr="00E941B2">
        <w:rPr>
          <w:sz w:val="24"/>
          <w:szCs w:val="24"/>
        </w:rPr>
        <w:t>Pulver og solvens til oral opløsning</w:t>
      </w:r>
    </w:p>
    <w:p w14:paraId="75285210" w14:textId="77777777" w:rsidR="001507F2" w:rsidRPr="00E941B2" w:rsidRDefault="001507F2" w:rsidP="001507F2">
      <w:pPr>
        <w:tabs>
          <w:tab w:val="left" w:pos="851"/>
        </w:tabs>
        <w:ind w:left="851"/>
        <w:rPr>
          <w:sz w:val="24"/>
          <w:szCs w:val="24"/>
        </w:rPr>
      </w:pPr>
    </w:p>
    <w:p w14:paraId="26E11797" w14:textId="3FE353A1" w:rsidR="001507F2" w:rsidRPr="00E941B2" w:rsidRDefault="001507F2" w:rsidP="005B5B65">
      <w:pPr>
        <w:tabs>
          <w:tab w:val="left" w:pos="851"/>
          <w:tab w:val="left" w:pos="1985"/>
        </w:tabs>
        <w:ind w:left="851"/>
        <w:rPr>
          <w:sz w:val="24"/>
          <w:szCs w:val="24"/>
        </w:rPr>
      </w:pPr>
      <w:r w:rsidRPr="00E941B2">
        <w:rPr>
          <w:sz w:val="24"/>
          <w:szCs w:val="24"/>
        </w:rPr>
        <w:t xml:space="preserve">Pulver: </w:t>
      </w:r>
      <w:r w:rsidR="005B5B65">
        <w:rPr>
          <w:sz w:val="24"/>
          <w:szCs w:val="24"/>
        </w:rPr>
        <w:tab/>
      </w:r>
      <w:r w:rsidRPr="00E941B2">
        <w:rPr>
          <w:sz w:val="24"/>
          <w:szCs w:val="24"/>
        </w:rPr>
        <w:t>Hvidt eller næsten hvidt krystallinsk pulver eller farveløse krystaller.</w:t>
      </w:r>
    </w:p>
    <w:p w14:paraId="2452C55D" w14:textId="0F0C1BF0" w:rsidR="001507F2" w:rsidRPr="00E941B2" w:rsidRDefault="001507F2" w:rsidP="005B5B65">
      <w:pPr>
        <w:tabs>
          <w:tab w:val="left" w:pos="851"/>
          <w:tab w:val="left" w:pos="1985"/>
        </w:tabs>
        <w:ind w:left="851"/>
        <w:rPr>
          <w:sz w:val="24"/>
          <w:szCs w:val="24"/>
        </w:rPr>
      </w:pPr>
      <w:r w:rsidRPr="00E941B2">
        <w:rPr>
          <w:sz w:val="24"/>
          <w:szCs w:val="24"/>
        </w:rPr>
        <w:t xml:space="preserve">Solvens: </w:t>
      </w:r>
      <w:r w:rsidR="005B5B65">
        <w:rPr>
          <w:sz w:val="24"/>
          <w:szCs w:val="24"/>
        </w:rPr>
        <w:tab/>
      </w:r>
      <w:r w:rsidRPr="00E941B2">
        <w:rPr>
          <w:sz w:val="24"/>
          <w:szCs w:val="24"/>
        </w:rPr>
        <w:t>Klar, farveløs opløsning.</w:t>
      </w:r>
    </w:p>
    <w:p w14:paraId="29AFEAC1" w14:textId="77777777" w:rsidR="009260DE" w:rsidRPr="00E941B2" w:rsidRDefault="009260DE" w:rsidP="009260DE">
      <w:pPr>
        <w:tabs>
          <w:tab w:val="left" w:pos="851"/>
        </w:tabs>
        <w:ind w:left="851"/>
        <w:rPr>
          <w:sz w:val="24"/>
          <w:szCs w:val="24"/>
        </w:rPr>
      </w:pPr>
    </w:p>
    <w:p w14:paraId="5CCDC567" w14:textId="77777777" w:rsidR="009260DE" w:rsidRPr="00E941B2" w:rsidRDefault="009260DE" w:rsidP="009260DE">
      <w:pPr>
        <w:tabs>
          <w:tab w:val="left" w:pos="851"/>
        </w:tabs>
        <w:ind w:left="851"/>
        <w:rPr>
          <w:sz w:val="24"/>
          <w:szCs w:val="24"/>
        </w:rPr>
      </w:pPr>
    </w:p>
    <w:p w14:paraId="5D1AF1B5" w14:textId="77777777" w:rsidR="009260DE" w:rsidRPr="00E941B2" w:rsidRDefault="009260DE" w:rsidP="009260DE">
      <w:pPr>
        <w:tabs>
          <w:tab w:val="left" w:pos="851"/>
        </w:tabs>
        <w:ind w:left="851" w:hanging="851"/>
        <w:rPr>
          <w:b/>
          <w:sz w:val="24"/>
          <w:szCs w:val="24"/>
        </w:rPr>
      </w:pPr>
      <w:r w:rsidRPr="00E941B2">
        <w:rPr>
          <w:b/>
          <w:sz w:val="24"/>
          <w:szCs w:val="24"/>
        </w:rPr>
        <w:t>4.</w:t>
      </w:r>
      <w:r w:rsidRPr="00E941B2">
        <w:rPr>
          <w:b/>
          <w:sz w:val="24"/>
          <w:szCs w:val="24"/>
        </w:rPr>
        <w:tab/>
        <w:t>KLINISKE OPLYSNINGER</w:t>
      </w:r>
    </w:p>
    <w:p w14:paraId="6DB79F2B" w14:textId="77777777" w:rsidR="009260DE" w:rsidRPr="00E941B2" w:rsidRDefault="009260DE" w:rsidP="009260DE">
      <w:pPr>
        <w:tabs>
          <w:tab w:val="left" w:pos="851"/>
        </w:tabs>
        <w:ind w:left="851"/>
        <w:rPr>
          <w:b/>
          <w:sz w:val="24"/>
          <w:szCs w:val="24"/>
        </w:rPr>
      </w:pPr>
    </w:p>
    <w:p w14:paraId="38621C79" w14:textId="77777777" w:rsidR="009260DE" w:rsidRPr="00E941B2" w:rsidRDefault="009260DE" w:rsidP="009260DE">
      <w:pPr>
        <w:tabs>
          <w:tab w:val="left" w:pos="851"/>
        </w:tabs>
        <w:ind w:left="851" w:hanging="851"/>
        <w:rPr>
          <w:b/>
          <w:sz w:val="24"/>
          <w:szCs w:val="24"/>
          <w:u w:val="single"/>
        </w:rPr>
      </w:pPr>
      <w:r w:rsidRPr="00E941B2">
        <w:rPr>
          <w:b/>
          <w:sz w:val="24"/>
          <w:szCs w:val="24"/>
        </w:rPr>
        <w:t>4.1</w:t>
      </w:r>
      <w:r w:rsidRPr="00E941B2">
        <w:rPr>
          <w:b/>
          <w:sz w:val="24"/>
          <w:szCs w:val="24"/>
        </w:rPr>
        <w:tab/>
        <w:t>Terapeutiske indikationer</w:t>
      </w:r>
    </w:p>
    <w:p w14:paraId="4783F9A5" w14:textId="77777777" w:rsidR="001507F2" w:rsidRPr="00E941B2" w:rsidRDefault="001507F2" w:rsidP="001507F2">
      <w:pPr>
        <w:tabs>
          <w:tab w:val="left" w:pos="851"/>
        </w:tabs>
        <w:ind w:left="851"/>
        <w:rPr>
          <w:sz w:val="24"/>
          <w:szCs w:val="24"/>
          <w:lang w:eastAsia="da-DK"/>
        </w:rPr>
      </w:pPr>
      <w:r w:rsidRPr="00E941B2">
        <w:rPr>
          <w:sz w:val="24"/>
          <w:szCs w:val="24"/>
        </w:rPr>
        <w:t>Voksne over 18 år: Akutbehandling ved mistænkt akut myokardieinfarkt efter kontakt med alarmcentralen.</w:t>
      </w:r>
    </w:p>
    <w:p w14:paraId="24FE1ED2" w14:textId="77777777" w:rsidR="009260DE" w:rsidRPr="00E941B2" w:rsidRDefault="009260DE" w:rsidP="009260DE">
      <w:pPr>
        <w:tabs>
          <w:tab w:val="left" w:pos="851"/>
        </w:tabs>
        <w:ind w:left="851"/>
        <w:rPr>
          <w:sz w:val="24"/>
          <w:szCs w:val="24"/>
        </w:rPr>
      </w:pPr>
    </w:p>
    <w:p w14:paraId="43F11D9B" w14:textId="460C4D03" w:rsidR="009260DE" w:rsidRPr="00E941B2" w:rsidRDefault="009260DE" w:rsidP="009260DE">
      <w:pPr>
        <w:tabs>
          <w:tab w:val="left" w:pos="851"/>
        </w:tabs>
        <w:ind w:left="851" w:hanging="851"/>
        <w:rPr>
          <w:b/>
          <w:sz w:val="24"/>
          <w:szCs w:val="24"/>
        </w:rPr>
      </w:pPr>
      <w:r w:rsidRPr="00E941B2">
        <w:rPr>
          <w:b/>
          <w:sz w:val="24"/>
          <w:szCs w:val="24"/>
        </w:rPr>
        <w:t>4.2</w:t>
      </w:r>
      <w:r w:rsidRPr="00E941B2">
        <w:rPr>
          <w:b/>
          <w:sz w:val="24"/>
          <w:szCs w:val="24"/>
        </w:rPr>
        <w:tab/>
        <w:t xml:space="preserve">Dosering og </w:t>
      </w:r>
      <w:r w:rsidR="00E64D25">
        <w:rPr>
          <w:b/>
          <w:sz w:val="24"/>
          <w:szCs w:val="24"/>
        </w:rPr>
        <w:t>administration</w:t>
      </w:r>
    </w:p>
    <w:p w14:paraId="3DC51D77" w14:textId="77777777" w:rsidR="001507F2" w:rsidRPr="00E941B2" w:rsidRDefault="001507F2" w:rsidP="001507F2">
      <w:pPr>
        <w:tabs>
          <w:tab w:val="left" w:pos="851"/>
        </w:tabs>
        <w:ind w:left="851"/>
        <w:rPr>
          <w:sz w:val="24"/>
          <w:szCs w:val="24"/>
          <w:lang w:eastAsia="da-DK"/>
        </w:rPr>
      </w:pPr>
      <w:r w:rsidRPr="00E941B2">
        <w:rPr>
          <w:sz w:val="24"/>
          <w:szCs w:val="24"/>
        </w:rPr>
        <w:t>I tilfælde af symptomer på mistænkt akut myokardieinfarkt, skal patienten (eller patientens omsorgsperson) ringe til alarmcentralen (112), så hurtigt som muligt.</w:t>
      </w:r>
    </w:p>
    <w:p w14:paraId="4E084448" w14:textId="77777777" w:rsidR="001507F2" w:rsidRPr="00E941B2" w:rsidRDefault="001507F2" w:rsidP="001507F2">
      <w:pPr>
        <w:tabs>
          <w:tab w:val="left" w:pos="851"/>
        </w:tabs>
        <w:ind w:left="851"/>
        <w:rPr>
          <w:sz w:val="24"/>
          <w:szCs w:val="24"/>
        </w:rPr>
      </w:pPr>
    </w:p>
    <w:p w14:paraId="45309179" w14:textId="77777777" w:rsidR="00E64D25" w:rsidRPr="00E941B2" w:rsidRDefault="00E64D25" w:rsidP="00E64D25">
      <w:pPr>
        <w:tabs>
          <w:tab w:val="left" w:pos="851"/>
        </w:tabs>
        <w:ind w:left="851"/>
        <w:rPr>
          <w:sz w:val="24"/>
          <w:szCs w:val="24"/>
          <w:u w:val="single"/>
        </w:rPr>
      </w:pPr>
      <w:r w:rsidRPr="00E941B2">
        <w:rPr>
          <w:sz w:val="24"/>
          <w:szCs w:val="24"/>
          <w:u w:val="single"/>
        </w:rPr>
        <w:t>Dosering</w:t>
      </w:r>
    </w:p>
    <w:p w14:paraId="7349A5CC" w14:textId="77777777" w:rsidR="00E64D25" w:rsidRPr="00E941B2" w:rsidRDefault="00E64D25" w:rsidP="00E64D25">
      <w:pPr>
        <w:tabs>
          <w:tab w:val="left" w:pos="851"/>
        </w:tabs>
        <w:ind w:left="851"/>
        <w:rPr>
          <w:sz w:val="24"/>
          <w:szCs w:val="24"/>
        </w:rPr>
      </w:pPr>
      <w:r w:rsidRPr="00E941B2">
        <w:rPr>
          <w:sz w:val="24"/>
          <w:szCs w:val="24"/>
        </w:rPr>
        <w:t>Hvis det tilrådes af alarmcentralen (112), skal der tages 300 mg (en flaske) hurtigst muligt.</w:t>
      </w:r>
    </w:p>
    <w:p w14:paraId="6B6A70F4" w14:textId="77777777" w:rsidR="00E64D25" w:rsidRPr="00E941B2" w:rsidRDefault="00E64D25" w:rsidP="00E64D25">
      <w:pPr>
        <w:rPr>
          <w:sz w:val="24"/>
          <w:szCs w:val="24"/>
        </w:rPr>
      </w:pPr>
    </w:p>
    <w:p w14:paraId="6D7C2591" w14:textId="77777777" w:rsidR="00E64D25" w:rsidRPr="00E941B2" w:rsidRDefault="00E64D25" w:rsidP="00E64D25">
      <w:pPr>
        <w:keepNext/>
        <w:ind w:left="851"/>
        <w:rPr>
          <w:i/>
          <w:sz w:val="24"/>
          <w:szCs w:val="24"/>
        </w:rPr>
      </w:pPr>
      <w:r w:rsidRPr="00E941B2">
        <w:rPr>
          <w:i/>
          <w:sz w:val="24"/>
          <w:szCs w:val="24"/>
        </w:rPr>
        <w:t xml:space="preserve">Pædiatrisk population </w:t>
      </w:r>
    </w:p>
    <w:p w14:paraId="4EBA1F4A" w14:textId="77777777" w:rsidR="00E64D25" w:rsidRPr="00E941B2" w:rsidRDefault="00E64D25" w:rsidP="00E64D25">
      <w:pPr>
        <w:tabs>
          <w:tab w:val="left" w:pos="851"/>
        </w:tabs>
        <w:ind w:left="851"/>
        <w:rPr>
          <w:sz w:val="24"/>
          <w:szCs w:val="24"/>
        </w:rPr>
      </w:pPr>
      <w:r w:rsidRPr="00E941B2">
        <w:rPr>
          <w:sz w:val="24"/>
          <w:szCs w:val="24"/>
        </w:rPr>
        <w:t xml:space="preserve">Det er ikke relevant at anvende </w:t>
      </w:r>
      <w:proofErr w:type="spellStart"/>
      <w:r w:rsidRPr="00E941B2">
        <w:rPr>
          <w:sz w:val="24"/>
          <w:szCs w:val="24"/>
        </w:rPr>
        <w:t>Coxor</w:t>
      </w:r>
      <w:proofErr w:type="spellEnd"/>
      <w:r w:rsidRPr="00E941B2">
        <w:rPr>
          <w:sz w:val="24"/>
          <w:szCs w:val="24"/>
        </w:rPr>
        <w:t xml:space="preserve"> til den pædiatriske population til indikationen: Akutbehandling ved mistænkt akut myokardieinfarkt efter kontakt med alarmcentralen.</w:t>
      </w:r>
    </w:p>
    <w:p w14:paraId="4FC53AEC" w14:textId="77777777" w:rsidR="001507F2" w:rsidRPr="00E941B2" w:rsidRDefault="001507F2" w:rsidP="001507F2">
      <w:pPr>
        <w:tabs>
          <w:tab w:val="left" w:pos="851"/>
        </w:tabs>
        <w:ind w:left="851"/>
        <w:rPr>
          <w:sz w:val="24"/>
          <w:szCs w:val="24"/>
        </w:rPr>
      </w:pPr>
    </w:p>
    <w:p w14:paraId="5C724347" w14:textId="77777777" w:rsidR="001507F2" w:rsidRPr="00E941B2" w:rsidRDefault="001507F2" w:rsidP="001507F2">
      <w:pPr>
        <w:tabs>
          <w:tab w:val="left" w:pos="851"/>
        </w:tabs>
        <w:ind w:left="851"/>
        <w:rPr>
          <w:sz w:val="24"/>
          <w:szCs w:val="24"/>
          <w:u w:val="single"/>
        </w:rPr>
      </w:pPr>
      <w:r w:rsidRPr="00E941B2">
        <w:rPr>
          <w:sz w:val="24"/>
          <w:szCs w:val="24"/>
          <w:u w:val="single"/>
        </w:rPr>
        <w:t xml:space="preserve">Administration </w:t>
      </w:r>
    </w:p>
    <w:p w14:paraId="268BE8F0" w14:textId="77777777" w:rsidR="001507F2" w:rsidRPr="00E941B2" w:rsidRDefault="001507F2" w:rsidP="001507F2">
      <w:pPr>
        <w:tabs>
          <w:tab w:val="left" w:pos="851"/>
        </w:tabs>
        <w:ind w:left="851"/>
        <w:rPr>
          <w:sz w:val="24"/>
          <w:szCs w:val="24"/>
        </w:rPr>
      </w:pPr>
      <w:r w:rsidRPr="00E941B2">
        <w:rPr>
          <w:sz w:val="24"/>
          <w:szCs w:val="24"/>
        </w:rPr>
        <w:t xml:space="preserve">Til oral anvendelse. Indholdet skal drikkes efter </w:t>
      </w:r>
      <w:proofErr w:type="spellStart"/>
      <w:r w:rsidRPr="00E941B2">
        <w:rPr>
          <w:sz w:val="24"/>
          <w:szCs w:val="24"/>
        </w:rPr>
        <w:t>rekonstitution</w:t>
      </w:r>
      <w:proofErr w:type="spellEnd"/>
      <w:r w:rsidRPr="00E941B2">
        <w:rPr>
          <w:sz w:val="24"/>
          <w:szCs w:val="24"/>
        </w:rPr>
        <w:t>.</w:t>
      </w:r>
    </w:p>
    <w:p w14:paraId="60741979" w14:textId="77777777" w:rsidR="001507F2" w:rsidRPr="00E941B2" w:rsidRDefault="001507F2" w:rsidP="001507F2">
      <w:pPr>
        <w:tabs>
          <w:tab w:val="left" w:pos="851"/>
        </w:tabs>
        <w:ind w:left="851"/>
        <w:rPr>
          <w:sz w:val="24"/>
          <w:szCs w:val="24"/>
        </w:rPr>
      </w:pPr>
      <w:r w:rsidRPr="00E941B2">
        <w:rPr>
          <w:sz w:val="24"/>
          <w:szCs w:val="24"/>
        </w:rPr>
        <w:t xml:space="preserve">Pulveret skal opløses i solvensen og omrystes, indtil det er opløst. </w:t>
      </w:r>
    </w:p>
    <w:p w14:paraId="61023270" w14:textId="77777777" w:rsidR="001507F2" w:rsidRPr="00E941B2" w:rsidRDefault="001507F2" w:rsidP="001507F2">
      <w:pPr>
        <w:tabs>
          <w:tab w:val="left" w:pos="851"/>
        </w:tabs>
        <w:ind w:left="851"/>
        <w:rPr>
          <w:sz w:val="24"/>
          <w:szCs w:val="24"/>
        </w:rPr>
      </w:pPr>
      <w:r w:rsidRPr="00E941B2">
        <w:rPr>
          <w:sz w:val="24"/>
          <w:szCs w:val="24"/>
        </w:rPr>
        <w:t xml:space="preserve">For vejledning om </w:t>
      </w:r>
      <w:proofErr w:type="spellStart"/>
      <w:r w:rsidRPr="00E941B2">
        <w:rPr>
          <w:sz w:val="24"/>
          <w:szCs w:val="24"/>
        </w:rPr>
        <w:t>rekonstitution</w:t>
      </w:r>
      <w:proofErr w:type="spellEnd"/>
      <w:r w:rsidRPr="00E941B2">
        <w:rPr>
          <w:sz w:val="24"/>
          <w:szCs w:val="24"/>
        </w:rPr>
        <w:t xml:space="preserve"> af lægemidlet før administration, se pkt. 6.6.</w:t>
      </w:r>
    </w:p>
    <w:p w14:paraId="4CEA8E7D" w14:textId="77777777" w:rsidR="009260DE" w:rsidRPr="00E941B2" w:rsidRDefault="009260DE" w:rsidP="009260DE">
      <w:pPr>
        <w:tabs>
          <w:tab w:val="left" w:pos="851"/>
        </w:tabs>
        <w:ind w:left="851"/>
        <w:rPr>
          <w:sz w:val="24"/>
          <w:szCs w:val="24"/>
        </w:rPr>
      </w:pPr>
    </w:p>
    <w:p w14:paraId="5D693477" w14:textId="77777777" w:rsidR="009260DE" w:rsidRPr="00E941B2" w:rsidRDefault="009260DE" w:rsidP="009260DE">
      <w:pPr>
        <w:tabs>
          <w:tab w:val="left" w:pos="851"/>
        </w:tabs>
        <w:ind w:left="851" w:hanging="851"/>
        <w:rPr>
          <w:b/>
          <w:sz w:val="24"/>
          <w:szCs w:val="24"/>
        </w:rPr>
      </w:pPr>
      <w:r w:rsidRPr="00E941B2">
        <w:rPr>
          <w:b/>
          <w:sz w:val="24"/>
          <w:szCs w:val="24"/>
        </w:rPr>
        <w:t>4.3</w:t>
      </w:r>
      <w:r w:rsidRPr="00E941B2">
        <w:rPr>
          <w:b/>
          <w:sz w:val="24"/>
          <w:szCs w:val="24"/>
        </w:rPr>
        <w:tab/>
        <w:t>Kontraindikationer</w:t>
      </w:r>
    </w:p>
    <w:p w14:paraId="25B1AE6C" w14:textId="77777777" w:rsidR="001507F2" w:rsidRPr="00E941B2" w:rsidRDefault="001507F2" w:rsidP="001507F2">
      <w:pPr>
        <w:tabs>
          <w:tab w:val="left" w:pos="851"/>
        </w:tabs>
        <w:ind w:left="851"/>
        <w:rPr>
          <w:sz w:val="24"/>
          <w:szCs w:val="24"/>
          <w:lang w:eastAsia="da-DK"/>
        </w:rPr>
      </w:pPr>
      <w:r w:rsidRPr="00E941B2">
        <w:rPr>
          <w:sz w:val="24"/>
          <w:szCs w:val="24"/>
        </w:rPr>
        <w:t>Overfølsomhed over for det aktive stof eller over for et eller flere af hjælpestofferne anført i pkt. 6.1.</w:t>
      </w:r>
    </w:p>
    <w:p w14:paraId="2C7D3137" w14:textId="77777777" w:rsidR="001507F2" w:rsidRPr="00E941B2" w:rsidRDefault="001507F2" w:rsidP="001507F2">
      <w:pPr>
        <w:tabs>
          <w:tab w:val="left" w:pos="851"/>
        </w:tabs>
        <w:ind w:left="851"/>
        <w:rPr>
          <w:sz w:val="24"/>
          <w:szCs w:val="24"/>
        </w:rPr>
      </w:pPr>
    </w:p>
    <w:p w14:paraId="750E5AE1" w14:textId="77777777" w:rsidR="00E64D25" w:rsidRPr="00E941B2" w:rsidRDefault="00E64D25" w:rsidP="00E64D25">
      <w:pPr>
        <w:tabs>
          <w:tab w:val="left" w:pos="851"/>
        </w:tabs>
        <w:ind w:left="851"/>
        <w:rPr>
          <w:sz w:val="24"/>
          <w:szCs w:val="24"/>
        </w:rPr>
      </w:pPr>
      <w:r>
        <w:rPr>
          <w:sz w:val="24"/>
          <w:szCs w:val="24"/>
        </w:rPr>
        <w:t>K</w:t>
      </w:r>
      <w:r w:rsidRPr="00E941B2">
        <w:rPr>
          <w:sz w:val="24"/>
          <w:szCs w:val="24"/>
        </w:rPr>
        <w:t xml:space="preserve">endt overfølsomhed over for andre </w:t>
      </w:r>
      <w:proofErr w:type="spellStart"/>
      <w:r w:rsidRPr="00E941B2">
        <w:rPr>
          <w:sz w:val="24"/>
          <w:szCs w:val="24"/>
        </w:rPr>
        <w:t>salicylater</w:t>
      </w:r>
      <w:proofErr w:type="spellEnd"/>
      <w:r w:rsidRPr="00E941B2">
        <w:rPr>
          <w:sz w:val="24"/>
          <w:szCs w:val="24"/>
        </w:rPr>
        <w:t xml:space="preserve"> eller </w:t>
      </w:r>
      <w:r>
        <w:rPr>
          <w:sz w:val="24"/>
          <w:szCs w:val="24"/>
        </w:rPr>
        <w:t xml:space="preserve">aktive stoffer med lignende virkningsmekanismer såsom </w:t>
      </w:r>
      <w:proofErr w:type="spellStart"/>
      <w:r w:rsidRPr="00E941B2">
        <w:rPr>
          <w:sz w:val="24"/>
          <w:szCs w:val="24"/>
        </w:rPr>
        <w:t>NSAIDs</w:t>
      </w:r>
      <w:proofErr w:type="spellEnd"/>
      <w:r w:rsidRPr="00E941B2">
        <w:rPr>
          <w:sz w:val="24"/>
          <w:szCs w:val="24"/>
        </w:rPr>
        <w:t>.</w:t>
      </w:r>
    </w:p>
    <w:p w14:paraId="52EAA2AD" w14:textId="77777777" w:rsidR="009260DE" w:rsidRPr="00E941B2" w:rsidRDefault="009260DE" w:rsidP="009260DE">
      <w:pPr>
        <w:tabs>
          <w:tab w:val="left" w:pos="851"/>
        </w:tabs>
        <w:ind w:left="851"/>
        <w:rPr>
          <w:sz w:val="24"/>
          <w:szCs w:val="24"/>
        </w:rPr>
      </w:pPr>
    </w:p>
    <w:p w14:paraId="160562F9" w14:textId="0F2FC9B7" w:rsidR="001507F2" w:rsidRPr="00E64D25" w:rsidRDefault="009260DE" w:rsidP="00E64D25">
      <w:pPr>
        <w:tabs>
          <w:tab w:val="left" w:pos="851"/>
        </w:tabs>
        <w:ind w:left="851" w:hanging="851"/>
        <w:rPr>
          <w:b/>
          <w:sz w:val="24"/>
          <w:szCs w:val="24"/>
        </w:rPr>
      </w:pPr>
      <w:r w:rsidRPr="00E941B2">
        <w:rPr>
          <w:b/>
          <w:sz w:val="24"/>
          <w:szCs w:val="24"/>
        </w:rPr>
        <w:t>4.4</w:t>
      </w:r>
      <w:r w:rsidRPr="00E941B2">
        <w:rPr>
          <w:b/>
          <w:sz w:val="24"/>
          <w:szCs w:val="24"/>
        </w:rPr>
        <w:tab/>
        <w:t>Særlige advarsler og forsigtighedsregler vedrørende brugen</w:t>
      </w:r>
    </w:p>
    <w:p w14:paraId="67B29637" w14:textId="77777777" w:rsidR="001507F2" w:rsidRPr="00E941B2" w:rsidRDefault="001507F2" w:rsidP="001507F2">
      <w:pPr>
        <w:ind w:left="851"/>
        <w:rPr>
          <w:i/>
          <w:noProof/>
          <w:sz w:val="24"/>
          <w:szCs w:val="24"/>
        </w:rPr>
      </w:pPr>
      <w:r w:rsidRPr="00E941B2">
        <w:rPr>
          <w:i/>
          <w:sz w:val="24"/>
          <w:szCs w:val="24"/>
        </w:rPr>
        <w:t>Astma</w:t>
      </w:r>
    </w:p>
    <w:p w14:paraId="493998D1" w14:textId="77777777" w:rsidR="001507F2" w:rsidRPr="00E941B2" w:rsidRDefault="001507F2" w:rsidP="001507F2">
      <w:pPr>
        <w:ind w:left="851"/>
        <w:rPr>
          <w:i/>
          <w:noProof/>
          <w:sz w:val="24"/>
          <w:szCs w:val="24"/>
        </w:rPr>
      </w:pPr>
      <w:r w:rsidRPr="00E941B2">
        <w:rPr>
          <w:sz w:val="24"/>
          <w:szCs w:val="24"/>
        </w:rPr>
        <w:t xml:space="preserve">Acetylsalicylsyre kan fremkalde </w:t>
      </w:r>
      <w:proofErr w:type="spellStart"/>
      <w:r w:rsidRPr="00E941B2">
        <w:rPr>
          <w:sz w:val="24"/>
          <w:szCs w:val="24"/>
        </w:rPr>
        <w:t>bronkospasme</w:t>
      </w:r>
      <w:proofErr w:type="spellEnd"/>
      <w:r w:rsidRPr="00E941B2">
        <w:rPr>
          <w:sz w:val="24"/>
          <w:szCs w:val="24"/>
        </w:rPr>
        <w:t xml:space="preserve"> og astmaanfald eller andre overfølsomhedsreaktioner. Risikofaktorerne er eksisterende astma, høfeber, næsepolypper eller kroniske respiratoriske lidelser.</w:t>
      </w:r>
    </w:p>
    <w:p w14:paraId="41A865CA" w14:textId="77777777" w:rsidR="001507F2" w:rsidRPr="00E941B2" w:rsidRDefault="001507F2" w:rsidP="001507F2">
      <w:pPr>
        <w:ind w:left="851"/>
        <w:rPr>
          <w:noProof/>
          <w:sz w:val="24"/>
          <w:szCs w:val="24"/>
        </w:rPr>
      </w:pPr>
    </w:p>
    <w:p w14:paraId="7455C461" w14:textId="77777777" w:rsidR="001507F2" w:rsidRPr="00E941B2" w:rsidRDefault="001507F2" w:rsidP="001507F2">
      <w:pPr>
        <w:ind w:left="851"/>
        <w:rPr>
          <w:i/>
          <w:sz w:val="24"/>
          <w:szCs w:val="24"/>
        </w:rPr>
      </w:pPr>
      <w:r w:rsidRPr="00E941B2">
        <w:rPr>
          <w:i/>
          <w:sz w:val="24"/>
          <w:szCs w:val="24"/>
        </w:rPr>
        <w:t>Blødningsrisiko</w:t>
      </w:r>
    </w:p>
    <w:p w14:paraId="195BC0D1" w14:textId="77777777" w:rsidR="001507F2" w:rsidRPr="00E941B2" w:rsidRDefault="001507F2" w:rsidP="001507F2">
      <w:pPr>
        <w:ind w:left="851"/>
        <w:rPr>
          <w:sz w:val="24"/>
          <w:szCs w:val="24"/>
        </w:rPr>
      </w:pPr>
      <w:r w:rsidRPr="00E941B2">
        <w:rPr>
          <w:sz w:val="24"/>
          <w:szCs w:val="24"/>
        </w:rPr>
        <w:t xml:space="preserve">Acetylsalicylsyre er forbundet med blødning og der skal dermed overvåges for dette på et sygehus. </w:t>
      </w:r>
    </w:p>
    <w:p w14:paraId="7000C3E6" w14:textId="77777777" w:rsidR="001507F2" w:rsidRPr="00E941B2" w:rsidRDefault="001507F2" w:rsidP="001507F2">
      <w:pPr>
        <w:ind w:left="851"/>
        <w:rPr>
          <w:sz w:val="24"/>
          <w:szCs w:val="24"/>
        </w:rPr>
      </w:pPr>
    </w:p>
    <w:p w14:paraId="686854AD" w14:textId="77777777" w:rsidR="001507F2" w:rsidRPr="00E941B2" w:rsidRDefault="001507F2" w:rsidP="001507F2">
      <w:pPr>
        <w:ind w:left="851"/>
        <w:rPr>
          <w:i/>
          <w:noProof/>
          <w:sz w:val="24"/>
          <w:szCs w:val="24"/>
        </w:rPr>
      </w:pPr>
      <w:r w:rsidRPr="00E941B2">
        <w:rPr>
          <w:i/>
          <w:sz w:val="24"/>
          <w:szCs w:val="24"/>
        </w:rPr>
        <w:t>Natriumindhold</w:t>
      </w:r>
    </w:p>
    <w:p w14:paraId="05855016" w14:textId="77777777" w:rsidR="001507F2" w:rsidRPr="00E941B2" w:rsidRDefault="001507F2" w:rsidP="001507F2">
      <w:pPr>
        <w:ind w:left="851"/>
        <w:rPr>
          <w:noProof/>
          <w:sz w:val="24"/>
          <w:szCs w:val="24"/>
        </w:rPr>
      </w:pPr>
      <w:r w:rsidRPr="00E941B2">
        <w:rPr>
          <w:sz w:val="24"/>
          <w:szCs w:val="24"/>
        </w:rPr>
        <w:t>Dette lægemiddel indeholder 595 mg natrium pr. flaske, svarende til 30 % af den WHO anbefalede maksimale daglige indtagelse af 2 g natrium for en voksen.</w:t>
      </w:r>
    </w:p>
    <w:p w14:paraId="021E24C0" w14:textId="77777777" w:rsidR="009260DE" w:rsidRPr="00E941B2" w:rsidRDefault="009260DE" w:rsidP="009260DE">
      <w:pPr>
        <w:tabs>
          <w:tab w:val="left" w:pos="851"/>
        </w:tabs>
        <w:ind w:left="851"/>
        <w:rPr>
          <w:sz w:val="24"/>
          <w:szCs w:val="24"/>
        </w:rPr>
      </w:pPr>
    </w:p>
    <w:p w14:paraId="42169BC3" w14:textId="42C15D94" w:rsidR="001507F2" w:rsidRPr="00E64D25" w:rsidRDefault="009260DE" w:rsidP="00E64D25">
      <w:pPr>
        <w:tabs>
          <w:tab w:val="left" w:pos="851"/>
        </w:tabs>
        <w:ind w:left="851" w:hanging="851"/>
        <w:rPr>
          <w:b/>
          <w:sz w:val="24"/>
          <w:szCs w:val="24"/>
        </w:rPr>
      </w:pPr>
      <w:r w:rsidRPr="00E941B2">
        <w:rPr>
          <w:b/>
          <w:sz w:val="24"/>
          <w:szCs w:val="24"/>
        </w:rPr>
        <w:t>4.5</w:t>
      </w:r>
      <w:r w:rsidRPr="00E941B2">
        <w:rPr>
          <w:b/>
          <w:sz w:val="24"/>
          <w:szCs w:val="24"/>
        </w:rPr>
        <w:tab/>
        <w:t>Interaktion med andre lægemidler og andre former for interaktion</w:t>
      </w:r>
    </w:p>
    <w:p w14:paraId="78626978" w14:textId="36B0D89A" w:rsidR="001507F2" w:rsidRPr="00E941B2" w:rsidRDefault="001507F2" w:rsidP="001507F2">
      <w:pPr>
        <w:ind w:left="851"/>
        <w:rPr>
          <w:i/>
          <w:noProof/>
          <w:sz w:val="24"/>
          <w:szCs w:val="24"/>
        </w:rPr>
      </w:pPr>
      <w:proofErr w:type="spellStart"/>
      <w:r w:rsidRPr="00E941B2">
        <w:rPr>
          <w:i/>
          <w:sz w:val="24"/>
          <w:szCs w:val="24"/>
        </w:rPr>
        <w:t>Antikoagulantia</w:t>
      </w:r>
      <w:proofErr w:type="spellEnd"/>
      <w:r w:rsidRPr="00E941B2">
        <w:rPr>
          <w:i/>
          <w:sz w:val="24"/>
          <w:szCs w:val="24"/>
        </w:rPr>
        <w:t xml:space="preserve"> </w:t>
      </w:r>
      <w:r w:rsidR="003133F9">
        <w:rPr>
          <w:i/>
          <w:sz w:val="24"/>
          <w:szCs w:val="24"/>
        </w:rPr>
        <w:t>f.eks.</w:t>
      </w:r>
      <w:r w:rsidRPr="00E941B2">
        <w:rPr>
          <w:i/>
          <w:sz w:val="24"/>
          <w:szCs w:val="24"/>
        </w:rPr>
        <w:t xml:space="preserve"> </w:t>
      </w:r>
      <w:proofErr w:type="spellStart"/>
      <w:r w:rsidRPr="00E941B2">
        <w:rPr>
          <w:i/>
          <w:sz w:val="24"/>
          <w:szCs w:val="24"/>
        </w:rPr>
        <w:t>coumarin</w:t>
      </w:r>
      <w:proofErr w:type="spellEnd"/>
      <w:r w:rsidRPr="00E941B2">
        <w:rPr>
          <w:i/>
          <w:sz w:val="24"/>
          <w:szCs w:val="24"/>
        </w:rPr>
        <w:t xml:space="preserve">, </w:t>
      </w:r>
      <w:proofErr w:type="spellStart"/>
      <w:r w:rsidRPr="00E941B2">
        <w:rPr>
          <w:i/>
          <w:sz w:val="24"/>
          <w:szCs w:val="24"/>
        </w:rPr>
        <w:t>heparin</w:t>
      </w:r>
      <w:proofErr w:type="spellEnd"/>
      <w:r w:rsidRPr="00E941B2">
        <w:rPr>
          <w:i/>
          <w:sz w:val="24"/>
          <w:szCs w:val="24"/>
        </w:rPr>
        <w:t xml:space="preserve">, </w:t>
      </w:r>
      <w:proofErr w:type="spellStart"/>
      <w:r w:rsidRPr="00E941B2">
        <w:rPr>
          <w:i/>
          <w:sz w:val="24"/>
          <w:szCs w:val="24"/>
        </w:rPr>
        <w:t>warfarin</w:t>
      </w:r>
      <w:proofErr w:type="spellEnd"/>
      <w:r w:rsidRPr="00E941B2">
        <w:rPr>
          <w:i/>
          <w:sz w:val="24"/>
          <w:szCs w:val="24"/>
        </w:rPr>
        <w:t xml:space="preserve"> </w:t>
      </w:r>
    </w:p>
    <w:p w14:paraId="7275146E" w14:textId="77777777" w:rsidR="001507F2" w:rsidRPr="00E941B2" w:rsidRDefault="001507F2" w:rsidP="001507F2">
      <w:pPr>
        <w:ind w:left="851"/>
        <w:rPr>
          <w:noProof/>
          <w:sz w:val="24"/>
          <w:szCs w:val="24"/>
        </w:rPr>
      </w:pPr>
      <w:r w:rsidRPr="00E941B2">
        <w:rPr>
          <w:sz w:val="24"/>
          <w:szCs w:val="24"/>
        </w:rPr>
        <w:t xml:space="preserve">Øget risiko for blødning på grund af nedsat </w:t>
      </w:r>
      <w:proofErr w:type="spellStart"/>
      <w:r w:rsidRPr="00E941B2">
        <w:rPr>
          <w:sz w:val="24"/>
          <w:szCs w:val="24"/>
        </w:rPr>
        <w:t>trombocytfunktion</w:t>
      </w:r>
      <w:proofErr w:type="spellEnd"/>
      <w:r w:rsidRPr="00E941B2">
        <w:rPr>
          <w:sz w:val="24"/>
          <w:szCs w:val="24"/>
        </w:rPr>
        <w:t xml:space="preserve">, beskadiget </w:t>
      </w:r>
      <w:proofErr w:type="spellStart"/>
      <w:r w:rsidRPr="00E941B2">
        <w:rPr>
          <w:sz w:val="24"/>
          <w:szCs w:val="24"/>
        </w:rPr>
        <w:t>duodenalslimhinde</w:t>
      </w:r>
      <w:proofErr w:type="spellEnd"/>
      <w:r w:rsidRPr="00E941B2">
        <w:rPr>
          <w:sz w:val="24"/>
          <w:szCs w:val="24"/>
        </w:rPr>
        <w:t xml:space="preserve"> og fortrængning af orale </w:t>
      </w:r>
      <w:proofErr w:type="spellStart"/>
      <w:r w:rsidRPr="00E941B2">
        <w:rPr>
          <w:sz w:val="24"/>
          <w:szCs w:val="24"/>
        </w:rPr>
        <w:t>antikoagulantia</w:t>
      </w:r>
      <w:proofErr w:type="spellEnd"/>
      <w:r w:rsidRPr="00E941B2">
        <w:rPr>
          <w:sz w:val="24"/>
          <w:szCs w:val="24"/>
        </w:rPr>
        <w:t xml:space="preserve"> fra deres plasmabindingssteder. Blødningstiden bør overvåges når patienten er indlagt. </w:t>
      </w:r>
    </w:p>
    <w:p w14:paraId="109DB946" w14:textId="77777777" w:rsidR="001507F2" w:rsidRPr="00E941B2" w:rsidRDefault="001507F2" w:rsidP="001507F2">
      <w:pPr>
        <w:ind w:left="851"/>
        <w:rPr>
          <w:noProof/>
          <w:sz w:val="24"/>
          <w:szCs w:val="24"/>
        </w:rPr>
      </w:pPr>
    </w:p>
    <w:p w14:paraId="0DD968E8" w14:textId="088AA6B0" w:rsidR="001507F2" w:rsidRPr="00E941B2" w:rsidRDefault="001507F2" w:rsidP="001507F2">
      <w:pPr>
        <w:ind w:left="851"/>
        <w:rPr>
          <w:sz w:val="24"/>
          <w:szCs w:val="24"/>
        </w:rPr>
      </w:pPr>
      <w:proofErr w:type="spellStart"/>
      <w:r w:rsidRPr="00E941B2">
        <w:rPr>
          <w:i/>
          <w:iCs/>
          <w:sz w:val="24"/>
          <w:szCs w:val="24"/>
        </w:rPr>
        <w:t>Trombocytfunktionshæmmere</w:t>
      </w:r>
      <w:proofErr w:type="spellEnd"/>
      <w:r w:rsidRPr="00E941B2">
        <w:rPr>
          <w:i/>
          <w:iCs/>
          <w:sz w:val="24"/>
          <w:szCs w:val="24"/>
        </w:rPr>
        <w:t xml:space="preserve"> (</w:t>
      </w:r>
      <w:r w:rsidR="003133F9">
        <w:rPr>
          <w:i/>
          <w:iCs/>
          <w:sz w:val="24"/>
          <w:szCs w:val="24"/>
        </w:rPr>
        <w:t>f.eks.</w:t>
      </w:r>
      <w:r w:rsidRPr="00E941B2">
        <w:rPr>
          <w:i/>
          <w:iCs/>
          <w:sz w:val="24"/>
          <w:szCs w:val="24"/>
        </w:rPr>
        <w:t xml:space="preserve"> </w:t>
      </w:r>
      <w:proofErr w:type="spellStart"/>
      <w:r w:rsidRPr="00E941B2">
        <w:rPr>
          <w:i/>
          <w:iCs/>
          <w:sz w:val="24"/>
          <w:szCs w:val="24"/>
        </w:rPr>
        <w:t>clopidogrel</w:t>
      </w:r>
      <w:proofErr w:type="spellEnd"/>
      <w:r w:rsidRPr="00E941B2">
        <w:rPr>
          <w:i/>
          <w:iCs/>
          <w:sz w:val="24"/>
          <w:szCs w:val="24"/>
        </w:rPr>
        <w:t xml:space="preserve"> og </w:t>
      </w:r>
      <w:proofErr w:type="spellStart"/>
      <w:r w:rsidRPr="00E941B2">
        <w:rPr>
          <w:i/>
          <w:iCs/>
          <w:sz w:val="24"/>
          <w:szCs w:val="24"/>
        </w:rPr>
        <w:t>dipyridamol</w:t>
      </w:r>
      <w:proofErr w:type="spellEnd"/>
      <w:r w:rsidRPr="00E941B2">
        <w:rPr>
          <w:i/>
          <w:iCs/>
          <w:sz w:val="24"/>
          <w:szCs w:val="24"/>
        </w:rPr>
        <w:t>) og selektive</w:t>
      </w:r>
      <w:r w:rsidRPr="00E941B2">
        <w:rPr>
          <w:sz w:val="24"/>
          <w:szCs w:val="24"/>
        </w:rPr>
        <w:t xml:space="preserve"> </w:t>
      </w:r>
      <w:proofErr w:type="spellStart"/>
      <w:r w:rsidRPr="00E941B2">
        <w:rPr>
          <w:i/>
          <w:iCs/>
          <w:sz w:val="24"/>
          <w:szCs w:val="24"/>
        </w:rPr>
        <w:t>serotoningenoptagelseshæmmere</w:t>
      </w:r>
      <w:proofErr w:type="spellEnd"/>
      <w:r w:rsidRPr="00E941B2">
        <w:rPr>
          <w:i/>
          <w:iCs/>
          <w:sz w:val="24"/>
          <w:szCs w:val="24"/>
        </w:rPr>
        <w:t xml:space="preserve"> (SSRI, som </w:t>
      </w:r>
      <w:r w:rsidR="003133F9">
        <w:rPr>
          <w:i/>
          <w:iCs/>
          <w:sz w:val="24"/>
          <w:szCs w:val="24"/>
        </w:rPr>
        <w:t>f.eks.</w:t>
      </w:r>
      <w:r w:rsidRPr="00E941B2">
        <w:rPr>
          <w:i/>
          <w:iCs/>
          <w:sz w:val="24"/>
          <w:szCs w:val="24"/>
        </w:rPr>
        <w:t xml:space="preserve"> </w:t>
      </w:r>
      <w:proofErr w:type="spellStart"/>
      <w:r w:rsidRPr="00E941B2">
        <w:rPr>
          <w:i/>
          <w:iCs/>
          <w:sz w:val="24"/>
          <w:szCs w:val="24"/>
        </w:rPr>
        <w:t>sertralin</w:t>
      </w:r>
      <w:proofErr w:type="spellEnd"/>
      <w:r w:rsidRPr="00E941B2">
        <w:rPr>
          <w:i/>
          <w:iCs/>
          <w:sz w:val="24"/>
          <w:szCs w:val="24"/>
        </w:rPr>
        <w:t xml:space="preserve"> eller </w:t>
      </w:r>
      <w:proofErr w:type="spellStart"/>
      <w:r w:rsidRPr="00E941B2">
        <w:rPr>
          <w:i/>
          <w:iCs/>
          <w:sz w:val="24"/>
          <w:szCs w:val="24"/>
        </w:rPr>
        <w:t>paroxetin</w:t>
      </w:r>
      <w:proofErr w:type="spellEnd"/>
      <w:r w:rsidRPr="00E941B2">
        <w:rPr>
          <w:i/>
          <w:iCs/>
          <w:sz w:val="24"/>
          <w:szCs w:val="24"/>
        </w:rPr>
        <w:t>)</w:t>
      </w:r>
      <w:r w:rsidRPr="00E941B2">
        <w:rPr>
          <w:sz w:val="24"/>
          <w:szCs w:val="24"/>
        </w:rPr>
        <w:t xml:space="preserve"> </w:t>
      </w:r>
    </w:p>
    <w:p w14:paraId="00DA63A9" w14:textId="18B8B7A2" w:rsidR="003133F9" w:rsidRDefault="001507F2" w:rsidP="00E64D25">
      <w:pPr>
        <w:ind w:left="851"/>
        <w:rPr>
          <w:noProof/>
          <w:sz w:val="24"/>
          <w:szCs w:val="24"/>
        </w:rPr>
      </w:pPr>
      <w:r w:rsidRPr="00E941B2">
        <w:rPr>
          <w:sz w:val="24"/>
          <w:szCs w:val="24"/>
        </w:rPr>
        <w:t xml:space="preserve">Øget risiko for </w:t>
      </w:r>
      <w:proofErr w:type="spellStart"/>
      <w:r w:rsidRPr="00E941B2">
        <w:rPr>
          <w:sz w:val="24"/>
          <w:szCs w:val="24"/>
        </w:rPr>
        <w:t>gastrointestinal</w:t>
      </w:r>
      <w:proofErr w:type="spellEnd"/>
      <w:r w:rsidRPr="00E941B2">
        <w:rPr>
          <w:sz w:val="24"/>
          <w:szCs w:val="24"/>
        </w:rPr>
        <w:t xml:space="preserve"> blødning, som kan overvåges på et sygehus (se pkt. 4.4). </w:t>
      </w:r>
    </w:p>
    <w:p w14:paraId="7A4DB196" w14:textId="77777777" w:rsidR="001507F2" w:rsidRPr="00E941B2" w:rsidRDefault="001507F2" w:rsidP="001507F2">
      <w:pPr>
        <w:ind w:left="851"/>
        <w:rPr>
          <w:noProof/>
          <w:sz w:val="24"/>
          <w:szCs w:val="24"/>
        </w:rPr>
      </w:pPr>
    </w:p>
    <w:p w14:paraId="552E013E" w14:textId="77777777" w:rsidR="001507F2" w:rsidRPr="00E941B2" w:rsidRDefault="001507F2" w:rsidP="00F1661F">
      <w:pPr>
        <w:ind w:left="851"/>
        <w:rPr>
          <w:i/>
          <w:noProof/>
          <w:sz w:val="24"/>
          <w:szCs w:val="24"/>
        </w:rPr>
      </w:pPr>
      <w:r w:rsidRPr="00E941B2">
        <w:rPr>
          <w:i/>
          <w:sz w:val="24"/>
          <w:szCs w:val="24"/>
        </w:rPr>
        <w:t xml:space="preserve">Andre NSAID-præparater </w:t>
      </w:r>
    </w:p>
    <w:p w14:paraId="60F27FDD" w14:textId="77777777" w:rsidR="001507F2" w:rsidRPr="00E941B2" w:rsidRDefault="001507F2" w:rsidP="001507F2">
      <w:pPr>
        <w:ind w:left="851"/>
        <w:rPr>
          <w:noProof/>
          <w:sz w:val="24"/>
          <w:szCs w:val="24"/>
        </w:rPr>
      </w:pPr>
      <w:r w:rsidRPr="00E941B2">
        <w:rPr>
          <w:sz w:val="24"/>
          <w:szCs w:val="24"/>
        </w:rPr>
        <w:t xml:space="preserve">Øget risiko for </w:t>
      </w:r>
      <w:proofErr w:type="spellStart"/>
      <w:r w:rsidRPr="00E941B2">
        <w:rPr>
          <w:sz w:val="24"/>
          <w:szCs w:val="24"/>
        </w:rPr>
        <w:t>ulceration</w:t>
      </w:r>
      <w:proofErr w:type="spellEnd"/>
      <w:r w:rsidRPr="00E941B2">
        <w:rPr>
          <w:sz w:val="24"/>
          <w:szCs w:val="24"/>
        </w:rPr>
        <w:t xml:space="preserve"> og </w:t>
      </w:r>
      <w:proofErr w:type="spellStart"/>
      <w:r w:rsidRPr="00E941B2">
        <w:rPr>
          <w:sz w:val="24"/>
          <w:szCs w:val="24"/>
        </w:rPr>
        <w:t>gastrointestinal</w:t>
      </w:r>
      <w:proofErr w:type="spellEnd"/>
      <w:r w:rsidRPr="00E941B2">
        <w:rPr>
          <w:sz w:val="24"/>
          <w:szCs w:val="24"/>
        </w:rPr>
        <w:t xml:space="preserve"> blødning som følge af synergieffekten. Dette kan overvåges på et sygehus. </w:t>
      </w:r>
    </w:p>
    <w:p w14:paraId="55D5E1B3" w14:textId="77777777" w:rsidR="009260DE" w:rsidRPr="00E941B2" w:rsidRDefault="009260DE" w:rsidP="009260DE">
      <w:pPr>
        <w:tabs>
          <w:tab w:val="left" w:pos="851"/>
        </w:tabs>
        <w:ind w:left="851"/>
        <w:rPr>
          <w:sz w:val="24"/>
          <w:szCs w:val="24"/>
        </w:rPr>
      </w:pPr>
    </w:p>
    <w:p w14:paraId="094079E8" w14:textId="6C1675D0" w:rsidR="009260DE" w:rsidRPr="00E941B2" w:rsidRDefault="009260DE" w:rsidP="009260DE">
      <w:pPr>
        <w:tabs>
          <w:tab w:val="left" w:pos="851"/>
        </w:tabs>
        <w:ind w:left="851" w:hanging="851"/>
        <w:rPr>
          <w:b/>
          <w:sz w:val="24"/>
          <w:szCs w:val="24"/>
        </w:rPr>
      </w:pPr>
      <w:r w:rsidRPr="00E941B2">
        <w:rPr>
          <w:b/>
          <w:sz w:val="24"/>
          <w:szCs w:val="24"/>
        </w:rPr>
        <w:t>4.6</w:t>
      </w:r>
      <w:r w:rsidRPr="00E941B2">
        <w:rPr>
          <w:b/>
          <w:sz w:val="24"/>
          <w:szCs w:val="24"/>
        </w:rPr>
        <w:tab/>
      </w:r>
      <w:r w:rsidR="00E64D25">
        <w:rPr>
          <w:b/>
          <w:sz w:val="24"/>
          <w:szCs w:val="24"/>
        </w:rPr>
        <w:t>Fertilitet, g</w:t>
      </w:r>
      <w:r w:rsidRPr="00E941B2">
        <w:rPr>
          <w:b/>
          <w:sz w:val="24"/>
          <w:szCs w:val="24"/>
        </w:rPr>
        <w:t>raviditet og amning</w:t>
      </w:r>
    </w:p>
    <w:p w14:paraId="2A21E873" w14:textId="77777777" w:rsidR="003133F9" w:rsidRDefault="003133F9" w:rsidP="001507F2">
      <w:pPr>
        <w:ind w:left="851"/>
        <w:rPr>
          <w:sz w:val="24"/>
          <w:szCs w:val="24"/>
          <w:u w:val="single"/>
        </w:rPr>
      </w:pPr>
    </w:p>
    <w:p w14:paraId="07167464" w14:textId="11A2B5B7" w:rsidR="001507F2" w:rsidRPr="00E941B2" w:rsidRDefault="001507F2" w:rsidP="001507F2">
      <w:pPr>
        <w:ind w:left="851"/>
        <w:rPr>
          <w:noProof/>
          <w:sz w:val="24"/>
          <w:szCs w:val="24"/>
          <w:u w:val="single"/>
          <w:lang w:eastAsia="da-DK"/>
        </w:rPr>
      </w:pPr>
      <w:r w:rsidRPr="00E941B2">
        <w:rPr>
          <w:sz w:val="24"/>
          <w:szCs w:val="24"/>
          <w:u w:val="single"/>
        </w:rPr>
        <w:t xml:space="preserve">Graviditet </w:t>
      </w:r>
    </w:p>
    <w:p w14:paraId="037BD0A9" w14:textId="77777777" w:rsidR="001507F2" w:rsidRPr="00E941B2" w:rsidRDefault="001507F2" w:rsidP="001507F2">
      <w:pPr>
        <w:ind w:left="851"/>
        <w:rPr>
          <w:noProof/>
          <w:sz w:val="24"/>
          <w:szCs w:val="24"/>
        </w:rPr>
      </w:pPr>
      <w:r w:rsidRPr="00E941B2">
        <w:rPr>
          <w:sz w:val="24"/>
          <w:szCs w:val="24"/>
        </w:rPr>
        <w:t xml:space="preserve">Acetylsalicylsyre kan anvendes som akutbehandling ved mistanke om akut myokardieinfarkt under graviditet, hvis det er nødvendigt. Acetylsalicylsyre bør ikke anvendes som smertestillende eller </w:t>
      </w:r>
      <w:proofErr w:type="spellStart"/>
      <w:r w:rsidRPr="00E941B2">
        <w:rPr>
          <w:sz w:val="24"/>
          <w:szCs w:val="24"/>
        </w:rPr>
        <w:t>antipyretisk</w:t>
      </w:r>
      <w:proofErr w:type="spellEnd"/>
      <w:r w:rsidRPr="00E941B2">
        <w:rPr>
          <w:sz w:val="24"/>
          <w:szCs w:val="24"/>
        </w:rPr>
        <w:t xml:space="preserve"> behandling under graviditet. </w:t>
      </w:r>
    </w:p>
    <w:p w14:paraId="40009CF1" w14:textId="77777777" w:rsidR="001507F2" w:rsidRPr="00E941B2" w:rsidRDefault="001507F2" w:rsidP="001507F2">
      <w:pPr>
        <w:ind w:left="851"/>
        <w:rPr>
          <w:noProof/>
          <w:sz w:val="24"/>
          <w:szCs w:val="24"/>
          <w:u w:val="single"/>
        </w:rPr>
      </w:pPr>
    </w:p>
    <w:p w14:paraId="68EDC63E" w14:textId="77777777" w:rsidR="00E64D25" w:rsidRPr="00E941B2" w:rsidRDefault="00E64D25" w:rsidP="00E64D25">
      <w:pPr>
        <w:ind w:left="851"/>
        <w:rPr>
          <w:noProof/>
          <w:sz w:val="24"/>
          <w:szCs w:val="24"/>
        </w:rPr>
      </w:pPr>
      <w:r w:rsidRPr="00E941B2">
        <w:rPr>
          <w:sz w:val="24"/>
          <w:szCs w:val="24"/>
          <w:u w:val="single"/>
        </w:rPr>
        <w:t>Amning</w:t>
      </w:r>
      <w:r w:rsidRPr="00E941B2">
        <w:rPr>
          <w:sz w:val="24"/>
          <w:szCs w:val="24"/>
        </w:rPr>
        <w:t xml:space="preserve"> </w:t>
      </w:r>
    </w:p>
    <w:p w14:paraId="04DB2792" w14:textId="77777777" w:rsidR="00E64D25" w:rsidRPr="00E941B2" w:rsidRDefault="00E64D25" w:rsidP="00E64D25">
      <w:pPr>
        <w:ind w:left="851"/>
        <w:rPr>
          <w:noProof/>
          <w:sz w:val="24"/>
          <w:szCs w:val="24"/>
        </w:rPr>
      </w:pPr>
      <w:r w:rsidRPr="00E941B2">
        <w:rPr>
          <w:sz w:val="24"/>
          <w:szCs w:val="24"/>
        </w:rPr>
        <w:t xml:space="preserve">Små mængder </w:t>
      </w:r>
      <w:proofErr w:type="spellStart"/>
      <w:r w:rsidRPr="00E941B2">
        <w:rPr>
          <w:sz w:val="24"/>
          <w:szCs w:val="24"/>
        </w:rPr>
        <w:t>salicylat</w:t>
      </w:r>
      <w:proofErr w:type="spellEnd"/>
      <w:r w:rsidRPr="00E941B2">
        <w:rPr>
          <w:sz w:val="24"/>
          <w:szCs w:val="24"/>
        </w:rPr>
        <w:t xml:space="preserve"> og dennes metabolitter udskilles i modermælken. </w:t>
      </w:r>
      <w:r>
        <w:rPr>
          <w:sz w:val="24"/>
          <w:szCs w:val="24"/>
        </w:rPr>
        <w:t>Da d</w:t>
      </w:r>
      <w:r w:rsidRPr="00E941B2">
        <w:rPr>
          <w:sz w:val="24"/>
          <w:szCs w:val="24"/>
        </w:rPr>
        <w:t>er</w:t>
      </w:r>
      <w:r>
        <w:rPr>
          <w:sz w:val="24"/>
          <w:szCs w:val="24"/>
        </w:rPr>
        <w:t xml:space="preserve"> ikke</w:t>
      </w:r>
      <w:r w:rsidRPr="00E941B2">
        <w:rPr>
          <w:sz w:val="24"/>
          <w:szCs w:val="24"/>
        </w:rPr>
        <w:t xml:space="preserve"> hidtil </w:t>
      </w:r>
      <w:r>
        <w:rPr>
          <w:sz w:val="24"/>
          <w:szCs w:val="24"/>
        </w:rPr>
        <w:t xml:space="preserve">er </w:t>
      </w:r>
      <w:r w:rsidRPr="00E941B2">
        <w:rPr>
          <w:sz w:val="24"/>
          <w:szCs w:val="24"/>
        </w:rPr>
        <w:t>rapporteret om bivirkninger hos spædbørn</w:t>
      </w:r>
      <w:r>
        <w:rPr>
          <w:sz w:val="24"/>
          <w:szCs w:val="24"/>
        </w:rPr>
        <w:t>, er det ikke nødvendigt at stoppe amningen ved kortvarig brug</w:t>
      </w:r>
      <w:r w:rsidRPr="00E941B2">
        <w:rPr>
          <w:sz w:val="24"/>
          <w:szCs w:val="24"/>
        </w:rPr>
        <w:t xml:space="preserve">. </w:t>
      </w:r>
    </w:p>
    <w:p w14:paraId="290F16C8" w14:textId="77777777" w:rsidR="009260DE" w:rsidRPr="00E941B2" w:rsidRDefault="009260DE" w:rsidP="009260DE">
      <w:pPr>
        <w:tabs>
          <w:tab w:val="left" w:pos="851"/>
        </w:tabs>
        <w:ind w:left="851"/>
        <w:rPr>
          <w:sz w:val="24"/>
          <w:szCs w:val="24"/>
        </w:rPr>
      </w:pPr>
    </w:p>
    <w:p w14:paraId="42E9C854" w14:textId="5EEA37A0" w:rsidR="009260DE" w:rsidRPr="00E941B2" w:rsidRDefault="009260DE" w:rsidP="009260DE">
      <w:pPr>
        <w:tabs>
          <w:tab w:val="left" w:pos="851"/>
        </w:tabs>
        <w:ind w:left="851" w:hanging="851"/>
        <w:rPr>
          <w:b/>
          <w:sz w:val="24"/>
          <w:szCs w:val="24"/>
        </w:rPr>
      </w:pPr>
      <w:r w:rsidRPr="00E941B2">
        <w:rPr>
          <w:b/>
          <w:sz w:val="24"/>
          <w:szCs w:val="24"/>
        </w:rPr>
        <w:t>4.7</w:t>
      </w:r>
      <w:r w:rsidRPr="00E941B2">
        <w:rPr>
          <w:b/>
          <w:sz w:val="24"/>
          <w:szCs w:val="24"/>
        </w:rPr>
        <w:tab/>
        <w:t xml:space="preserve">Virkning på evnen til at føre motorkøretøj </w:t>
      </w:r>
      <w:r w:rsidR="00E64D25">
        <w:rPr>
          <w:b/>
          <w:sz w:val="24"/>
          <w:szCs w:val="24"/>
        </w:rPr>
        <w:t>og</w:t>
      </w:r>
      <w:r w:rsidRPr="00E941B2">
        <w:rPr>
          <w:b/>
          <w:sz w:val="24"/>
          <w:szCs w:val="24"/>
        </w:rPr>
        <w:t xml:space="preserve"> betjene maskiner</w:t>
      </w:r>
    </w:p>
    <w:p w14:paraId="1F1E35CF" w14:textId="77777777" w:rsidR="003133F9" w:rsidRDefault="003133F9" w:rsidP="001507F2">
      <w:pPr>
        <w:tabs>
          <w:tab w:val="left" w:pos="851"/>
        </w:tabs>
        <w:ind w:left="851"/>
        <w:rPr>
          <w:sz w:val="24"/>
          <w:szCs w:val="24"/>
        </w:rPr>
      </w:pPr>
      <w:r>
        <w:rPr>
          <w:sz w:val="24"/>
          <w:szCs w:val="24"/>
        </w:rPr>
        <w:t>Ikke mærkning.</w:t>
      </w:r>
    </w:p>
    <w:p w14:paraId="1523C68A" w14:textId="2C71A6F1" w:rsidR="001507F2" w:rsidRPr="00E941B2" w:rsidRDefault="001507F2" w:rsidP="001507F2">
      <w:pPr>
        <w:tabs>
          <w:tab w:val="left" w:pos="851"/>
        </w:tabs>
        <w:ind w:left="851"/>
        <w:rPr>
          <w:sz w:val="24"/>
          <w:szCs w:val="24"/>
          <w:lang w:eastAsia="da-DK"/>
        </w:rPr>
      </w:pPr>
      <w:r w:rsidRPr="00E941B2">
        <w:rPr>
          <w:sz w:val="24"/>
          <w:szCs w:val="24"/>
        </w:rPr>
        <w:t xml:space="preserve">På baggrund af acetylsalicylsyres </w:t>
      </w:r>
      <w:proofErr w:type="spellStart"/>
      <w:r w:rsidRPr="00E941B2">
        <w:rPr>
          <w:sz w:val="24"/>
          <w:szCs w:val="24"/>
        </w:rPr>
        <w:t>farmakodynamiske</w:t>
      </w:r>
      <w:proofErr w:type="spellEnd"/>
      <w:r w:rsidRPr="00E941B2">
        <w:rPr>
          <w:sz w:val="24"/>
          <w:szCs w:val="24"/>
        </w:rPr>
        <w:t xml:space="preserve"> egenskaber og bivirkninger forventes ingen påvirkning af reaktionsevnen eller evnen til at føre motorkøretøj eller betjene maskiner, men behandlingen af akut myokardieinfarkt er ikke foreneligt med bilkørsel eller brug af maskiner.</w:t>
      </w:r>
    </w:p>
    <w:p w14:paraId="141CED82" w14:textId="77777777" w:rsidR="009260DE" w:rsidRPr="00E941B2" w:rsidRDefault="009260DE" w:rsidP="009260DE">
      <w:pPr>
        <w:tabs>
          <w:tab w:val="left" w:pos="851"/>
        </w:tabs>
        <w:ind w:left="851"/>
        <w:rPr>
          <w:sz w:val="24"/>
          <w:szCs w:val="24"/>
        </w:rPr>
      </w:pPr>
    </w:p>
    <w:p w14:paraId="34D05FFB" w14:textId="77777777" w:rsidR="009260DE" w:rsidRPr="00E941B2" w:rsidRDefault="009260DE" w:rsidP="009260DE">
      <w:pPr>
        <w:tabs>
          <w:tab w:val="left" w:pos="851"/>
        </w:tabs>
        <w:ind w:left="851" w:hanging="851"/>
        <w:rPr>
          <w:b/>
          <w:sz w:val="24"/>
          <w:szCs w:val="24"/>
        </w:rPr>
      </w:pPr>
      <w:r w:rsidRPr="00E941B2">
        <w:rPr>
          <w:b/>
          <w:sz w:val="24"/>
          <w:szCs w:val="24"/>
        </w:rPr>
        <w:t>4.8</w:t>
      </w:r>
      <w:r w:rsidRPr="00E941B2">
        <w:rPr>
          <w:b/>
          <w:sz w:val="24"/>
          <w:szCs w:val="24"/>
        </w:rPr>
        <w:tab/>
        <w:t>Bivirkninger</w:t>
      </w:r>
    </w:p>
    <w:p w14:paraId="3326A82A" w14:textId="77777777" w:rsidR="001507F2" w:rsidRPr="00E941B2" w:rsidRDefault="001507F2" w:rsidP="001507F2">
      <w:pPr>
        <w:shd w:val="clear" w:color="auto" w:fill="FFFFFF"/>
        <w:ind w:left="851"/>
        <w:rPr>
          <w:sz w:val="24"/>
          <w:szCs w:val="24"/>
          <w:lang w:eastAsia="da-DK"/>
        </w:rPr>
      </w:pPr>
      <w:r w:rsidRPr="00E941B2">
        <w:rPr>
          <w:sz w:val="24"/>
          <w:szCs w:val="24"/>
        </w:rPr>
        <w:t xml:space="preserve">De anførte bivirkninger er identificeret ifm. langtidsstudier med acetylsalicylsyre. Ved akutbehandling af hjerterelaterede brystsmerter er risikoen for bivirkninger meget lav på grund af enkeltdosisdoseringen på 300 mg aktivt stof. </w:t>
      </w:r>
    </w:p>
    <w:p w14:paraId="6D0E32DD" w14:textId="77777777" w:rsidR="001507F2" w:rsidRPr="00E941B2" w:rsidRDefault="001507F2" w:rsidP="001507F2">
      <w:pPr>
        <w:shd w:val="clear" w:color="auto" w:fill="FFFFFF"/>
        <w:ind w:left="851"/>
        <w:rPr>
          <w:sz w:val="24"/>
          <w:szCs w:val="24"/>
          <w:lang w:eastAsia="nb-NO"/>
        </w:rPr>
      </w:pPr>
    </w:p>
    <w:p w14:paraId="54C23FCB" w14:textId="77777777" w:rsidR="001507F2" w:rsidRPr="00E941B2" w:rsidRDefault="001507F2" w:rsidP="001507F2">
      <w:pPr>
        <w:shd w:val="clear" w:color="auto" w:fill="FFFFFF"/>
        <w:ind w:left="851"/>
        <w:rPr>
          <w:sz w:val="24"/>
          <w:szCs w:val="24"/>
          <w:lang w:eastAsia="da-DK"/>
        </w:rPr>
      </w:pPr>
      <w:r w:rsidRPr="00E941B2">
        <w:rPr>
          <w:sz w:val="24"/>
          <w:szCs w:val="24"/>
        </w:rPr>
        <w:t xml:space="preserve">Bivirkninger er grupperet iht. systemorganklasse. For hver systemorganklasse er hyppighed defineret som: </w:t>
      </w:r>
    </w:p>
    <w:p w14:paraId="3B164429" w14:textId="77777777" w:rsidR="001507F2" w:rsidRPr="00E941B2" w:rsidRDefault="001507F2" w:rsidP="001507F2">
      <w:pPr>
        <w:shd w:val="clear" w:color="auto" w:fill="FFFFFF"/>
        <w:ind w:left="851"/>
        <w:rPr>
          <w:sz w:val="24"/>
          <w:szCs w:val="24"/>
        </w:rPr>
      </w:pPr>
      <w:r w:rsidRPr="00E941B2">
        <w:rPr>
          <w:sz w:val="24"/>
          <w:szCs w:val="24"/>
        </w:rPr>
        <w:t xml:space="preserve">Meget almindelig (≥1/10), </w:t>
      </w:r>
    </w:p>
    <w:p w14:paraId="6041A492" w14:textId="77777777" w:rsidR="001507F2" w:rsidRPr="00E941B2" w:rsidRDefault="001507F2" w:rsidP="001507F2">
      <w:pPr>
        <w:shd w:val="clear" w:color="auto" w:fill="FFFFFF"/>
        <w:ind w:left="851"/>
        <w:rPr>
          <w:sz w:val="24"/>
          <w:szCs w:val="24"/>
        </w:rPr>
      </w:pPr>
      <w:r w:rsidRPr="00E941B2">
        <w:rPr>
          <w:sz w:val="24"/>
          <w:szCs w:val="24"/>
        </w:rPr>
        <w:t xml:space="preserve">Almindelig (≥1/100 til &lt;1/10), </w:t>
      </w:r>
    </w:p>
    <w:p w14:paraId="51536069" w14:textId="77777777" w:rsidR="001507F2" w:rsidRPr="00E941B2" w:rsidRDefault="001507F2" w:rsidP="001507F2">
      <w:pPr>
        <w:shd w:val="clear" w:color="auto" w:fill="FFFFFF"/>
        <w:ind w:left="851"/>
        <w:rPr>
          <w:sz w:val="24"/>
          <w:szCs w:val="24"/>
        </w:rPr>
      </w:pPr>
      <w:r w:rsidRPr="00E941B2">
        <w:rPr>
          <w:sz w:val="24"/>
          <w:szCs w:val="24"/>
        </w:rPr>
        <w:t xml:space="preserve">Ikke almindelig (≥1/1.000 til &lt;1/100), </w:t>
      </w:r>
    </w:p>
    <w:p w14:paraId="06A68127" w14:textId="77777777" w:rsidR="001507F2" w:rsidRPr="00E941B2" w:rsidRDefault="001507F2" w:rsidP="001507F2">
      <w:pPr>
        <w:shd w:val="clear" w:color="auto" w:fill="FFFFFF"/>
        <w:ind w:left="851"/>
        <w:rPr>
          <w:sz w:val="24"/>
          <w:szCs w:val="24"/>
        </w:rPr>
      </w:pPr>
      <w:r w:rsidRPr="00E941B2">
        <w:rPr>
          <w:sz w:val="24"/>
          <w:szCs w:val="24"/>
        </w:rPr>
        <w:t xml:space="preserve">Sjælden (≥1/10.000 til &lt;/1.000), </w:t>
      </w:r>
    </w:p>
    <w:p w14:paraId="3CB562F3" w14:textId="77777777" w:rsidR="001507F2" w:rsidRPr="00E941B2" w:rsidRDefault="001507F2" w:rsidP="001507F2">
      <w:pPr>
        <w:shd w:val="clear" w:color="auto" w:fill="FFFFFF"/>
        <w:ind w:left="851"/>
        <w:rPr>
          <w:sz w:val="24"/>
          <w:szCs w:val="24"/>
        </w:rPr>
      </w:pPr>
      <w:r w:rsidRPr="00E941B2">
        <w:rPr>
          <w:sz w:val="24"/>
          <w:szCs w:val="24"/>
        </w:rPr>
        <w:t>Meget sjælden (&lt;1/10.000),</w:t>
      </w:r>
    </w:p>
    <w:p w14:paraId="15A1DD72" w14:textId="77777777" w:rsidR="001507F2" w:rsidRPr="00E941B2" w:rsidRDefault="001507F2" w:rsidP="001507F2">
      <w:pPr>
        <w:shd w:val="clear" w:color="auto" w:fill="FFFFFF"/>
        <w:ind w:left="851"/>
        <w:rPr>
          <w:sz w:val="24"/>
          <w:szCs w:val="24"/>
        </w:rPr>
      </w:pPr>
      <w:r w:rsidRPr="00E941B2">
        <w:rPr>
          <w:sz w:val="24"/>
          <w:szCs w:val="24"/>
        </w:rPr>
        <w:t>Ikke kendt (kan ikke estimeres ud fra forhåndenværende data).</w:t>
      </w:r>
    </w:p>
    <w:p w14:paraId="7DB917BB" w14:textId="77777777" w:rsidR="001507F2" w:rsidRPr="00E941B2" w:rsidRDefault="001507F2" w:rsidP="001507F2">
      <w:pPr>
        <w:tabs>
          <w:tab w:val="left" w:pos="851"/>
        </w:tabs>
        <w:ind w:left="851"/>
        <w:rPr>
          <w:sz w:val="24"/>
          <w:szCs w:val="24"/>
        </w:rPr>
      </w:pPr>
    </w:p>
    <w:tbl>
      <w:tblPr>
        <w:tblW w:w="8930" w:type="dxa"/>
        <w:tblInd w:w="88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93"/>
        <w:gridCol w:w="6237"/>
      </w:tblGrid>
      <w:tr w:rsidR="001507F2" w:rsidRPr="00542CCD" w14:paraId="4E20449F" w14:textId="77777777" w:rsidTr="001507F2">
        <w:tc>
          <w:tcPr>
            <w:tcW w:w="1508" w:type="pct"/>
            <w:tcBorders>
              <w:top w:val="outset" w:sz="6" w:space="0" w:color="auto"/>
              <w:left w:val="outset" w:sz="6" w:space="0" w:color="auto"/>
              <w:bottom w:val="outset" w:sz="6" w:space="0" w:color="auto"/>
              <w:right w:val="outset" w:sz="6" w:space="0" w:color="auto"/>
            </w:tcBorders>
            <w:hideMark/>
          </w:tcPr>
          <w:p w14:paraId="40D05F6A" w14:textId="77777777" w:rsidR="001507F2" w:rsidRPr="00542CCD" w:rsidRDefault="001507F2">
            <w:pPr>
              <w:rPr>
                <w:sz w:val="24"/>
                <w:szCs w:val="24"/>
                <w:lang w:eastAsia="en-GB"/>
              </w:rPr>
            </w:pPr>
            <w:r w:rsidRPr="00542CCD">
              <w:rPr>
                <w:b/>
                <w:bCs/>
                <w:sz w:val="24"/>
                <w:szCs w:val="24"/>
                <w:lang w:eastAsia="en-GB"/>
              </w:rPr>
              <w:t>Blod og lymfesystem</w:t>
            </w:r>
            <w:r w:rsidRPr="00542CCD">
              <w:rPr>
                <w:sz w:val="24"/>
                <w:szCs w:val="24"/>
                <w:lang w:eastAsia="en-GB"/>
              </w:rPr>
              <w:t xml:space="preserve"> </w:t>
            </w:r>
          </w:p>
        </w:tc>
        <w:tc>
          <w:tcPr>
            <w:tcW w:w="3492" w:type="pct"/>
            <w:tcBorders>
              <w:top w:val="outset" w:sz="6" w:space="0" w:color="auto"/>
              <w:left w:val="outset" w:sz="6" w:space="0" w:color="auto"/>
              <w:bottom w:val="outset" w:sz="6" w:space="0" w:color="auto"/>
              <w:right w:val="outset" w:sz="6" w:space="0" w:color="auto"/>
            </w:tcBorders>
            <w:hideMark/>
          </w:tcPr>
          <w:p w14:paraId="14E9305D" w14:textId="77777777" w:rsidR="001507F2" w:rsidRPr="00542CCD" w:rsidRDefault="001507F2">
            <w:pPr>
              <w:ind w:left="1676" w:hanging="1676"/>
              <w:rPr>
                <w:sz w:val="24"/>
                <w:szCs w:val="24"/>
                <w:lang w:eastAsia="en-GB"/>
              </w:rPr>
            </w:pPr>
            <w:r w:rsidRPr="00542CCD">
              <w:rPr>
                <w:i/>
                <w:iCs/>
                <w:sz w:val="24"/>
                <w:szCs w:val="24"/>
                <w:lang w:eastAsia="en-GB"/>
              </w:rPr>
              <w:t>Almindelig:</w:t>
            </w:r>
            <w:r w:rsidRPr="00542CCD">
              <w:rPr>
                <w:sz w:val="24"/>
                <w:szCs w:val="24"/>
                <w:lang w:eastAsia="en-GB"/>
              </w:rPr>
              <w:t xml:space="preserve"> </w:t>
            </w:r>
            <w:r w:rsidRPr="00542CCD">
              <w:rPr>
                <w:sz w:val="24"/>
                <w:szCs w:val="24"/>
                <w:lang w:eastAsia="en-GB"/>
              </w:rPr>
              <w:tab/>
              <w:t>Øget tendens til blødning.</w:t>
            </w:r>
          </w:p>
          <w:p w14:paraId="50F124DE" w14:textId="30E40D2C" w:rsidR="001507F2" w:rsidRPr="00542CCD" w:rsidRDefault="001507F2">
            <w:pPr>
              <w:ind w:left="1676" w:hanging="1676"/>
              <w:rPr>
                <w:sz w:val="24"/>
                <w:szCs w:val="24"/>
                <w:lang w:eastAsia="en-GB"/>
              </w:rPr>
            </w:pPr>
            <w:r w:rsidRPr="00542CCD">
              <w:rPr>
                <w:i/>
                <w:iCs/>
                <w:sz w:val="24"/>
                <w:szCs w:val="24"/>
                <w:lang w:eastAsia="en-GB"/>
              </w:rPr>
              <w:t>Ikke kendt:</w:t>
            </w:r>
            <w:r w:rsidRPr="00542CCD">
              <w:rPr>
                <w:sz w:val="24"/>
                <w:szCs w:val="24"/>
                <w:lang w:eastAsia="en-GB"/>
              </w:rPr>
              <w:t xml:space="preserve"> </w:t>
            </w:r>
            <w:r w:rsidRPr="00542CCD">
              <w:rPr>
                <w:sz w:val="24"/>
                <w:szCs w:val="24"/>
                <w:lang w:eastAsia="en-GB"/>
              </w:rPr>
              <w:tab/>
              <w:t xml:space="preserve">Blødninger med længerevarende blødningstid, som </w:t>
            </w:r>
            <w:r w:rsidR="003133F9" w:rsidRPr="00542CCD">
              <w:rPr>
                <w:sz w:val="24"/>
                <w:szCs w:val="24"/>
                <w:lang w:eastAsia="en-GB"/>
              </w:rPr>
              <w:t>f.eks.</w:t>
            </w:r>
            <w:r w:rsidRPr="00542CCD">
              <w:rPr>
                <w:sz w:val="24"/>
                <w:szCs w:val="24"/>
                <w:lang w:eastAsia="en-GB"/>
              </w:rPr>
              <w:t xml:space="preserve"> </w:t>
            </w:r>
            <w:proofErr w:type="spellStart"/>
            <w:r w:rsidRPr="00542CCD">
              <w:rPr>
                <w:sz w:val="24"/>
                <w:szCs w:val="24"/>
                <w:lang w:eastAsia="en-GB"/>
              </w:rPr>
              <w:t>epistaxis</w:t>
            </w:r>
            <w:proofErr w:type="spellEnd"/>
            <w:r w:rsidRPr="00542CCD">
              <w:rPr>
                <w:sz w:val="24"/>
                <w:szCs w:val="24"/>
                <w:lang w:eastAsia="en-GB"/>
              </w:rPr>
              <w:t xml:space="preserve">, </w:t>
            </w:r>
            <w:proofErr w:type="spellStart"/>
            <w:r w:rsidRPr="00542CCD">
              <w:rPr>
                <w:sz w:val="24"/>
                <w:szCs w:val="24"/>
                <w:lang w:eastAsia="en-GB"/>
              </w:rPr>
              <w:t>gingival</w:t>
            </w:r>
            <w:proofErr w:type="spellEnd"/>
            <w:r w:rsidRPr="00542CCD">
              <w:rPr>
                <w:sz w:val="24"/>
                <w:szCs w:val="24"/>
                <w:lang w:eastAsia="en-GB"/>
              </w:rPr>
              <w:t xml:space="preserve"> blødning.</w:t>
            </w:r>
          </w:p>
        </w:tc>
      </w:tr>
      <w:tr w:rsidR="001507F2" w:rsidRPr="00542CCD" w14:paraId="1B6AB11D" w14:textId="77777777" w:rsidTr="001507F2">
        <w:tc>
          <w:tcPr>
            <w:tcW w:w="1508" w:type="pct"/>
            <w:tcBorders>
              <w:top w:val="outset" w:sz="6" w:space="0" w:color="auto"/>
              <w:left w:val="outset" w:sz="6" w:space="0" w:color="auto"/>
              <w:bottom w:val="outset" w:sz="6" w:space="0" w:color="auto"/>
              <w:right w:val="outset" w:sz="6" w:space="0" w:color="auto"/>
            </w:tcBorders>
            <w:hideMark/>
          </w:tcPr>
          <w:p w14:paraId="46F557C9" w14:textId="77777777" w:rsidR="001507F2" w:rsidRPr="00542CCD" w:rsidRDefault="001507F2">
            <w:pPr>
              <w:rPr>
                <w:sz w:val="24"/>
                <w:szCs w:val="24"/>
                <w:lang w:eastAsia="en-GB"/>
              </w:rPr>
            </w:pPr>
            <w:r w:rsidRPr="00542CCD">
              <w:rPr>
                <w:b/>
                <w:bCs/>
                <w:sz w:val="24"/>
                <w:szCs w:val="24"/>
                <w:lang w:eastAsia="en-GB"/>
              </w:rPr>
              <w:t>Immunsystemet</w:t>
            </w:r>
            <w:r w:rsidRPr="00542CCD">
              <w:rPr>
                <w:sz w:val="24"/>
                <w:szCs w:val="24"/>
                <w:lang w:eastAsia="en-GB"/>
              </w:rPr>
              <w:t xml:space="preserve"> </w:t>
            </w:r>
          </w:p>
        </w:tc>
        <w:tc>
          <w:tcPr>
            <w:tcW w:w="3492" w:type="pct"/>
            <w:tcBorders>
              <w:top w:val="outset" w:sz="6" w:space="0" w:color="auto"/>
              <w:left w:val="outset" w:sz="6" w:space="0" w:color="auto"/>
              <w:bottom w:val="outset" w:sz="6" w:space="0" w:color="auto"/>
              <w:right w:val="outset" w:sz="6" w:space="0" w:color="auto"/>
            </w:tcBorders>
            <w:hideMark/>
          </w:tcPr>
          <w:p w14:paraId="4D35938F" w14:textId="77777777" w:rsidR="001507F2" w:rsidRPr="00542CCD" w:rsidRDefault="001507F2">
            <w:pPr>
              <w:ind w:left="1676" w:hanging="1676"/>
              <w:rPr>
                <w:sz w:val="24"/>
                <w:szCs w:val="24"/>
                <w:lang w:eastAsia="en-GB"/>
              </w:rPr>
            </w:pPr>
            <w:r w:rsidRPr="00542CCD">
              <w:rPr>
                <w:i/>
                <w:iCs/>
                <w:sz w:val="24"/>
                <w:szCs w:val="24"/>
                <w:lang w:eastAsia="en-GB"/>
              </w:rPr>
              <w:t xml:space="preserve">Sjælden: </w:t>
            </w:r>
            <w:r w:rsidRPr="00542CCD">
              <w:rPr>
                <w:i/>
                <w:iCs/>
                <w:sz w:val="24"/>
                <w:szCs w:val="24"/>
                <w:lang w:eastAsia="en-GB"/>
              </w:rPr>
              <w:tab/>
            </w:r>
            <w:r w:rsidRPr="00542CCD">
              <w:rPr>
                <w:sz w:val="24"/>
                <w:szCs w:val="24"/>
                <w:lang w:eastAsia="en-GB"/>
              </w:rPr>
              <w:t xml:space="preserve">Overfølsomhedsreaktioner, </w:t>
            </w:r>
            <w:proofErr w:type="spellStart"/>
            <w:r w:rsidRPr="00542CCD">
              <w:rPr>
                <w:sz w:val="24"/>
                <w:szCs w:val="24"/>
                <w:lang w:eastAsia="en-GB"/>
              </w:rPr>
              <w:t>angioødem</w:t>
            </w:r>
            <w:proofErr w:type="spellEnd"/>
            <w:r w:rsidRPr="00542CCD">
              <w:rPr>
                <w:sz w:val="24"/>
                <w:szCs w:val="24"/>
                <w:lang w:eastAsia="en-GB"/>
              </w:rPr>
              <w:t xml:space="preserve">, allergisk ødem, </w:t>
            </w:r>
            <w:proofErr w:type="spellStart"/>
            <w:r w:rsidRPr="00542CCD">
              <w:rPr>
                <w:sz w:val="24"/>
                <w:szCs w:val="24"/>
                <w:lang w:eastAsia="en-GB"/>
              </w:rPr>
              <w:t>anafylaktiske</w:t>
            </w:r>
            <w:proofErr w:type="spellEnd"/>
            <w:r w:rsidRPr="00542CCD">
              <w:rPr>
                <w:sz w:val="24"/>
                <w:szCs w:val="24"/>
                <w:lang w:eastAsia="en-GB"/>
              </w:rPr>
              <w:t xml:space="preserve"> reaktioner, herunder chok.</w:t>
            </w:r>
          </w:p>
        </w:tc>
      </w:tr>
      <w:tr w:rsidR="001507F2" w:rsidRPr="00542CCD" w14:paraId="268C2BD5" w14:textId="77777777" w:rsidTr="001507F2">
        <w:tc>
          <w:tcPr>
            <w:tcW w:w="1508" w:type="pct"/>
            <w:tcBorders>
              <w:top w:val="outset" w:sz="6" w:space="0" w:color="auto"/>
              <w:left w:val="outset" w:sz="6" w:space="0" w:color="auto"/>
              <w:bottom w:val="outset" w:sz="6" w:space="0" w:color="auto"/>
              <w:right w:val="outset" w:sz="6" w:space="0" w:color="auto"/>
            </w:tcBorders>
            <w:hideMark/>
          </w:tcPr>
          <w:p w14:paraId="6719690B" w14:textId="77777777" w:rsidR="001507F2" w:rsidRPr="00542CCD" w:rsidRDefault="001507F2">
            <w:pPr>
              <w:rPr>
                <w:sz w:val="24"/>
                <w:szCs w:val="24"/>
                <w:lang w:eastAsia="en-GB"/>
              </w:rPr>
            </w:pPr>
            <w:r w:rsidRPr="00542CCD">
              <w:rPr>
                <w:b/>
                <w:bCs/>
                <w:sz w:val="24"/>
                <w:szCs w:val="24"/>
                <w:lang w:eastAsia="en-GB"/>
              </w:rPr>
              <w:t>Nervesystemet</w:t>
            </w:r>
            <w:r w:rsidRPr="00542CCD">
              <w:rPr>
                <w:sz w:val="24"/>
                <w:szCs w:val="24"/>
                <w:lang w:eastAsia="en-GB"/>
              </w:rPr>
              <w:t xml:space="preserve"> </w:t>
            </w:r>
          </w:p>
        </w:tc>
        <w:tc>
          <w:tcPr>
            <w:tcW w:w="3492" w:type="pct"/>
            <w:tcBorders>
              <w:top w:val="outset" w:sz="6" w:space="0" w:color="auto"/>
              <w:left w:val="outset" w:sz="6" w:space="0" w:color="auto"/>
              <w:bottom w:val="outset" w:sz="6" w:space="0" w:color="auto"/>
              <w:right w:val="outset" w:sz="6" w:space="0" w:color="auto"/>
            </w:tcBorders>
            <w:hideMark/>
          </w:tcPr>
          <w:p w14:paraId="54DFBE16" w14:textId="77777777" w:rsidR="001507F2" w:rsidRPr="00542CCD" w:rsidRDefault="001507F2">
            <w:pPr>
              <w:ind w:left="1676" w:hanging="1676"/>
              <w:rPr>
                <w:sz w:val="24"/>
                <w:szCs w:val="24"/>
                <w:lang w:eastAsia="en-GB"/>
              </w:rPr>
            </w:pPr>
            <w:r w:rsidRPr="00542CCD">
              <w:rPr>
                <w:i/>
                <w:iCs/>
                <w:sz w:val="24"/>
                <w:szCs w:val="24"/>
                <w:lang w:eastAsia="en-GB"/>
              </w:rPr>
              <w:t>Sjælden:</w:t>
            </w:r>
            <w:r w:rsidRPr="00542CCD">
              <w:rPr>
                <w:sz w:val="24"/>
                <w:szCs w:val="24"/>
                <w:lang w:eastAsia="en-GB"/>
              </w:rPr>
              <w:t xml:space="preserve"> </w:t>
            </w:r>
            <w:r w:rsidRPr="00542CCD">
              <w:rPr>
                <w:sz w:val="24"/>
                <w:szCs w:val="24"/>
                <w:lang w:eastAsia="en-GB"/>
              </w:rPr>
              <w:tab/>
            </w:r>
            <w:proofErr w:type="spellStart"/>
            <w:r w:rsidRPr="00542CCD">
              <w:rPr>
                <w:sz w:val="24"/>
                <w:szCs w:val="24"/>
                <w:lang w:eastAsia="en-GB"/>
              </w:rPr>
              <w:t>Intrakraniel</w:t>
            </w:r>
            <w:proofErr w:type="spellEnd"/>
            <w:r w:rsidRPr="00542CCD">
              <w:rPr>
                <w:sz w:val="24"/>
                <w:szCs w:val="24"/>
                <w:lang w:eastAsia="en-GB"/>
              </w:rPr>
              <w:t xml:space="preserve"> </w:t>
            </w:r>
            <w:proofErr w:type="spellStart"/>
            <w:r w:rsidRPr="00542CCD">
              <w:rPr>
                <w:sz w:val="24"/>
                <w:szCs w:val="24"/>
                <w:lang w:eastAsia="en-GB"/>
              </w:rPr>
              <w:t>hæmoragi</w:t>
            </w:r>
            <w:proofErr w:type="spellEnd"/>
            <w:r w:rsidRPr="00542CCD">
              <w:rPr>
                <w:sz w:val="24"/>
                <w:szCs w:val="24"/>
                <w:lang w:eastAsia="en-GB"/>
              </w:rPr>
              <w:t>.</w:t>
            </w:r>
          </w:p>
        </w:tc>
      </w:tr>
      <w:tr w:rsidR="001507F2" w:rsidRPr="00542CCD" w14:paraId="35B77EC3" w14:textId="77777777" w:rsidTr="001507F2">
        <w:tc>
          <w:tcPr>
            <w:tcW w:w="1508" w:type="pct"/>
            <w:tcBorders>
              <w:top w:val="outset" w:sz="6" w:space="0" w:color="auto"/>
              <w:left w:val="outset" w:sz="6" w:space="0" w:color="auto"/>
              <w:bottom w:val="outset" w:sz="6" w:space="0" w:color="auto"/>
              <w:right w:val="outset" w:sz="6" w:space="0" w:color="auto"/>
            </w:tcBorders>
            <w:hideMark/>
          </w:tcPr>
          <w:p w14:paraId="6A7A5C0C" w14:textId="77777777" w:rsidR="001507F2" w:rsidRPr="00542CCD" w:rsidRDefault="001507F2">
            <w:pPr>
              <w:rPr>
                <w:sz w:val="24"/>
                <w:szCs w:val="24"/>
                <w:lang w:eastAsia="en-GB"/>
              </w:rPr>
            </w:pPr>
            <w:proofErr w:type="spellStart"/>
            <w:r w:rsidRPr="00542CCD">
              <w:rPr>
                <w:b/>
                <w:bCs/>
                <w:sz w:val="24"/>
                <w:szCs w:val="24"/>
                <w:lang w:eastAsia="en-GB"/>
              </w:rPr>
              <w:t>Vaskulære</w:t>
            </w:r>
            <w:proofErr w:type="spellEnd"/>
            <w:r w:rsidRPr="00542CCD">
              <w:rPr>
                <w:b/>
                <w:bCs/>
                <w:sz w:val="24"/>
                <w:szCs w:val="24"/>
                <w:lang w:eastAsia="en-GB"/>
              </w:rPr>
              <w:t xml:space="preserve"> sygdomme</w:t>
            </w:r>
            <w:r w:rsidRPr="00542CCD">
              <w:rPr>
                <w:sz w:val="24"/>
                <w:szCs w:val="24"/>
                <w:lang w:eastAsia="en-GB"/>
              </w:rPr>
              <w:t xml:space="preserve"> </w:t>
            </w:r>
          </w:p>
        </w:tc>
        <w:tc>
          <w:tcPr>
            <w:tcW w:w="3492" w:type="pct"/>
            <w:tcBorders>
              <w:top w:val="outset" w:sz="6" w:space="0" w:color="auto"/>
              <w:left w:val="outset" w:sz="6" w:space="0" w:color="auto"/>
              <w:bottom w:val="outset" w:sz="6" w:space="0" w:color="auto"/>
              <w:right w:val="outset" w:sz="6" w:space="0" w:color="auto"/>
            </w:tcBorders>
            <w:hideMark/>
          </w:tcPr>
          <w:p w14:paraId="732A381C" w14:textId="77777777" w:rsidR="001507F2" w:rsidRPr="00542CCD" w:rsidRDefault="001507F2">
            <w:pPr>
              <w:ind w:left="1676" w:hanging="1676"/>
              <w:rPr>
                <w:sz w:val="24"/>
                <w:szCs w:val="24"/>
                <w:lang w:eastAsia="en-GB"/>
              </w:rPr>
            </w:pPr>
            <w:r w:rsidRPr="00542CCD">
              <w:rPr>
                <w:i/>
                <w:iCs/>
                <w:sz w:val="24"/>
                <w:szCs w:val="24"/>
                <w:lang w:eastAsia="en-GB"/>
              </w:rPr>
              <w:t>Sjælden:</w:t>
            </w:r>
            <w:r w:rsidRPr="00542CCD">
              <w:rPr>
                <w:sz w:val="24"/>
                <w:szCs w:val="24"/>
                <w:lang w:eastAsia="en-GB"/>
              </w:rPr>
              <w:t xml:space="preserve"> </w:t>
            </w:r>
            <w:r w:rsidRPr="00542CCD">
              <w:rPr>
                <w:sz w:val="24"/>
                <w:szCs w:val="24"/>
                <w:lang w:eastAsia="en-GB"/>
              </w:rPr>
              <w:tab/>
            </w:r>
            <w:proofErr w:type="spellStart"/>
            <w:r w:rsidRPr="00542CCD">
              <w:rPr>
                <w:sz w:val="24"/>
                <w:szCs w:val="24"/>
                <w:lang w:eastAsia="en-GB"/>
              </w:rPr>
              <w:t>Hæmoragisk</w:t>
            </w:r>
            <w:proofErr w:type="spellEnd"/>
            <w:r w:rsidRPr="00542CCD">
              <w:rPr>
                <w:sz w:val="24"/>
                <w:szCs w:val="24"/>
                <w:lang w:eastAsia="en-GB"/>
              </w:rPr>
              <w:t xml:space="preserve"> </w:t>
            </w:r>
            <w:proofErr w:type="spellStart"/>
            <w:r w:rsidRPr="00542CCD">
              <w:rPr>
                <w:sz w:val="24"/>
                <w:szCs w:val="24"/>
                <w:lang w:eastAsia="en-GB"/>
              </w:rPr>
              <w:t>vaskulit</w:t>
            </w:r>
            <w:proofErr w:type="spellEnd"/>
            <w:r w:rsidRPr="00542CCD">
              <w:rPr>
                <w:sz w:val="24"/>
                <w:szCs w:val="24"/>
                <w:lang w:eastAsia="en-GB"/>
              </w:rPr>
              <w:t>.</w:t>
            </w:r>
          </w:p>
        </w:tc>
      </w:tr>
      <w:tr w:rsidR="001507F2" w:rsidRPr="00542CCD" w14:paraId="4C7680E1" w14:textId="77777777" w:rsidTr="001507F2">
        <w:tc>
          <w:tcPr>
            <w:tcW w:w="1508" w:type="pct"/>
            <w:tcBorders>
              <w:top w:val="outset" w:sz="6" w:space="0" w:color="auto"/>
              <w:left w:val="outset" w:sz="6" w:space="0" w:color="auto"/>
              <w:bottom w:val="outset" w:sz="6" w:space="0" w:color="auto"/>
              <w:right w:val="outset" w:sz="6" w:space="0" w:color="auto"/>
            </w:tcBorders>
            <w:hideMark/>
          </w:tcPr>
          <w:p w14:paraId="5B86CA97" w14:textId="77777777" w:rsidR="001507F2" w:rsidRPr="00542CCD" w:rsidRDefault="001507F2">
            <w:pPr>
              <w:rPr>
                <w:sz w:val="24"/>
                <w:szCs w:val="24"/>
                <w:lang w:eastAsia="en-GB"/>
              </w:rPr>
            </w:pPr>
            <w:r w:rsidRPr="00542CCD">
              <w:rPr>
                <w:b/>
                <w:bCs/>
                <w:sz w:val="24"/>
                <w:szCs w:val="24"/>
                <w:lang w:eastAsia="en-GB"/>
              </w:rPr>
              <w:t xml:space="preserve">Luftveje, thorax og </w:t>
            </w:r>
            <w:proofErr w:type="spellStart"/>
            <w:r w:rsidRPr="00542CCD">
              <w:rPr>
                <w:b/>
                <w:bCs/>
                <w:sz w:val="24"/>
                <w:szCs w:val="24"/>
                <w:lang w:eastAsia="en-GB"/>
              </w:rPr>
              <w:t>mediastinum</w:t>
            </w:r>
            <w:proofErr w:type="spellEnd"/>
            <w:r w:rsidRPr="00542CCD">
              <w:rPr>
                <w:sz w:val="24"/>
                <w:szCs w:val="24"/>
                <w:lang w:eastAsia="en-GB"/>
              </w:rPr>
              <w:t xml:space="preserve"> </w:t>
            </w:r>
          </w:p>
        </w:tc>
        <w:tc>
          <w:tcPr>
            <w:tcW w:w="3492" w:type="pct"/>
            <w:tcBorders>
              <w:top w:val="outset" w:sz="6" w:space="0" w:color="auto"/>
              <w:left w:val="outset" w:sz="6" w:space="0" w:color="auto"/>
              <w:bottom w:val="outset" w:sz="6" w:space="0" w:color="auto"/>
              <w:right w:val="outset" w:sz="6" w:space="0" w:color="auto"/>
            </w:tcBorders>
            <w:hideMark/>
          </w:tcPr>
          <w:p w14:paraId="5D16F532" w14:textId="77777777" w:rsidR="001507F2" w:rsidRPr="00542CCD" w:rsidRDefault="001507F2">
            <w:pPr>
              <w:ind w:left="1676" w:hanging="1676"/>
              <w:rPr>
                <w:sz w:val="24"/>
                <w:szCs w:val="24"/>
                <w:lang w:eastAsia="en-GB"/>
              </w:rPr>
            </w:pPr>
            <w:r w:rsidRPr="00542CCD">
              <w:rPr>
                <w:i/>
                <w:iCs/>
                <w:sz w:val="24"/>
                <w:szCs w:val="24"/>
                <w:lang w:eastAsia="en-GB"/>
              </w:rPr>
              <w:t>Ikke almindelig:</w:t>
            </w:r>
            <w:r w:rsidRPr="00542CCD">
              <w:rPr>
                <w:i/>
                <w:iCs/>
                <w:sz w:val="24"/>
                <w:szCs w:val="24"/>
                <w:lang w:eastAsia="en-GB"/>
              </w:rPr>
              <w:tab/>
            </w:r>
            <w:r w:rsidRPr="00542CCD">
              <w:rPr>
                <w:sz w:val="24"/>
                <w:szCs w:val="24"/>
                <w:lang w:eastAsia="en-GB"/>
              </w:rPr>
              <w:t xml:space="preserve">Dyspnø. </w:t>
            </w:r>
          </w:p>
          <w:p w14:paraId="54C9600C" w14:textId="77777777" w:rsidR="001507F2" w:rsidRPr="00542CCD" w:rsidRDefault="001507F2">
            <w:pPr>
              <w:ind w:left="1676" w:hanging="1676"/>
              <w:rPr>
                <w:sz w:val="24"/>
                <w:szCs w:val="24"/>
                <w:lang w:eastAsia="en-GB"/>
              </w:rPr>
            </w:pPr>
            <w:r w:rsidRPr="00542CCD">
              <w:rPr>
                <w:i/>
                <w:iCs/>
                <w:sz w:val="24"/>
                <w:szCs w:val="24"/>
                <w:lang w:eastAsia="en-GB"/>
              </w:rPr>
              <w:t>Sjælden:</w:t>
            </w:r>
            <w:r w:rsidRPr="00542CCD">
              <w:rPr>
                <w:sz w:val="24"/>
                <w:szCs w:val="24"/>
                <w:lang w:eastAsia="en-GB"/>
              </w:rPr>
              <w:t xml:space="preserve"> </w:t>
            </w:r>
            <w:r w:rsidRPr="00542CCD">
              <w:rPr>
                <w:sz w:val="24"/>
                <w:szCs w:val="24"/>
                <w:lang w:eastAsia="en-GB"/>
              </w:rPr>
              <w:tab/>
            </w:r>
            <w:proofErr w:type="spellStart"/>
            <w:r w:rsidRPr="00542CCD">
              <w:rPr>
                <w:sz w:val="24"/>
                <w:szCs w:val="24"/>
                <w:lang w:eastAsia="en-GB"/>
              </w:rPr>
              <w:t>Bronkospasme</w:t>
            </w:r>
            <w:proofErr w:type="spellEnd"/>
            <w:r w:rsidRPr="00542CCD">
              <w:rPr>
                <w:sz w:val="24"/>
                <w:szCs w:val="24"/>
                <w:lang w:eastAsia="en-GB"/>
              </w:rPr>
              <w:t>, astmaanfald.</w:t>
            </w:r>
          </w:p>
        </w:tc>
      </w:tr>
      <w:tr w:rsidR="001507F2" w:rsidRPr="00542CCD" w14:paraId="0334745B" w14:textId="77777777" w:rsidTr="001507F2">
        <w:tc>
          <w:tcPr>
            <w:tcW w:w="1508" w:type="pct"/>
            <w:tcBorders>
              <w:top w:val="outset" w:sz="6" w:space="0" w:color="auto"/>
              <w:left w:val="outset" w:sz="6" w:space="0" w:color="auto"/>
              <w:bottom w:val="outset" w:sz="6" w:space="0" w:color="auto"/>
              <w:right w:val="outset" w:sz="6" w:space="0" w:color="auto"/>
            </w:tcBorders>
            <w:hideMark/>
          </w:tcPr>
          <w:p w14:paraId="793B0D61" w14:textId="77777777" w:rsidR="001507F2" w:rsidRPr="00542CCD" w:rsidRDefault="001507F2">
            <w:pPr>
              <w:rPr>
                <w:sz w:val="24"/>
                <w:szCs w:val="24"/>
                <w:lang w:eastAsia="en-GB"/>
              </w:rPr>
            </w:pPr>
            <w:r w:rsidRPr="00542CCD">
              <w:rPr>
                <w:b/>
                <w:bCs/>
                <w:sz w:val="24"/>
                <w:szCs w:val="24"/>
                <w:lang w:eastAsia="en-GB"/>
              </w:rPr>
              <w:t>Mave-tarm-kanalen</w:t>
            </w:r>
            <w:r w:rsidRPr="00542CCD">
              <w:rPr>
                <w:sz w:val="24"/>
                <w:szCs w:val="24"/>
                <w:lang w:eastAsia="en-GB"/>
              </w:rPr>
              <w:t xml:space="preserve"> </w:t>
            </w:r>
          </w:p>
        </w:tc>
        <w:tc>
          <w:tcPr>
            <w:tcW w:w="3492" w:type="pct"/>
            <w:tcBorders>
              <w:top w:val="outset" w:sz="6" w:space="0" w:color="auto"/>
              <w:left w:val="outset" w:sz="6" w:space="0" w:color="auto"/>
              <w:bottom w:val="outset" w:sz="6" w:space="0" w:color="auto"/>
              <w:right w:val="outset" w:sz="6" w:space="0" w:color="auto"/>
            </w:tcBorders>
            <w:hideMark/>
          </w:tcPr>
          <w:p w14:paraId="697D33AD" w14:textId="77777777" w:rsidR="001507F2" w:rsidRPr="00542CCD" w:rsidRDefault="001507F2">
            <w:pPr>
              <w:ind w:left="1676" w:hanging="1676"/>
              <w:rPr>
                <w:sz w:val="24"/>
                <w:szCs w:val="24"/>
                <w:lang w:eastAsia="en-GB"/>
              </w:rPr>
            </w:pPr>
            <w:r w:rsidRPr="00542CCD">
              <w:rPr>
                <w:i/>
                <w:iCs/>
                <w:sz w:val="24"/>
                <w:szCs w:val="24"/>
                <w:lang w:eastAsia="en-GB"/>
              </w:rPr>
              <w:t>Sjælden:</w:t>
            </w:r>
            <w:r w:rsidRPr="00542CCD">
              <w:rPr>
                <w:sz w:val="24"/>
                <w:szCs w:val="24"/>
                <w:lang w:eastAsia="en-GB"/>
              </w:rPr>
              <w:t xml:space="preserve"> </w:t>
            </w:r>
            <w:r w:rsidRPr="00542CCD">
              <w:rPr>
                <w:sz w:val="24"/>
                <w:szCs w:val="24"/>
                <w:lang w:eastAsia="en-GB"/>
              </w:rPr>
              <w:tab/>
              <w:t xml:space="preserve">Svær </w:t>
            </w:r>
            <w:proofErr w:type="spellStart"/>
            <w:r w:rsidRPr="00542CCD">
              <w:rPr>
                <w:sz w:val="24"/>
                <w:szCs w:val="24"/>
                <w:lang w:eastAsia="en-GB"/>
              </w:rPr>
              <w:t>gastrointestinal</w:t>
            </w:r>
            <w:proofErr w:type="spellEnd"/>
            <w:r w:rsidRPr="00542CCD">
              <w:rPr>
                <w:sz w:val="24"/>
                <w:szCs w:val="24"/>
                <w:lang w:eastAsia="en-GB"/>
              </w:rPr>
              <w:t xml:space="preserve"> </w:t>
            </w:r>
            <w:proofErr w:type="spellStart"/>
            <w:r w:rsidRPr="00542CCD">
              <w:rPr>
                <w:sz w:val="24"/>
                <w:szCs w:val="24"/>
                <w:lang w:eastAsia="en-GB"/>
              </w:rPr>
              <w:t>hæmoragi</w:t>
            </w:r>
            <w:proofErr w:type="spellEnd"/>
            <w:r w:rsidRPr="00542CCD">
              <w:rPr>
                <w:sz w:val="24"/>
                <w:szCs w:val="24"/>
                <w:lang w:eastAsia="en-GB"/>
              </w:rPr>
              <w:t>.</w:t>
            </w:r>
          </w:p>
        </w:tc>
      </w:tr>
      <w:tr w:rsidR="001507F2" w:rsidRPr="00542CCD" w14:paraId="30C5FFAB" w14:textId="77777777" w:rsidTr="001507F2">
        <w:tc>
          <w:tcPr>
            <w:tcW w:w="1508" w:type="pct"/>
            <w:tcBorders>
              <w:top w:val="outset" w:sz="6" w:space="0" w:color="auto"/>
              <w:left w:val="outset" w:sz="6" w:space="0" w:color="auto"/>
              <w:bottom w:val="outset" w:sz="6" w:space="0" w:color="auto"/>
              <w:right w:val="outset" w:sz="6" w:space="0" w:color="auto"/>
            </w:tcBorders>
            <w:hideMark/>
          </w:tcPr>
          <w:p w14:paraId="0E6067E1" w14:textId="77777777" w:rsidR="001507F2" w:rsidRPr="00542CCD" w:rsidRDefault="001507F2">
            <w:pPr>
              <w:keepNext/>
              <w:rPr>
                <w:sz w:val="24"/>
                <w:szCs w:val="24"/>
                <w:lang w:eastAsia="en-GB"/>
              </w:rPr>
            </w:pPr>
            <w:r w:rsidRPr="00542CCD">
              <w:rPr>
                <w:b/>
                <w:bCs/>
                <w:sz w:val="24"/>
                <w:szCs w:val="24"/>
                <w:lang w:eastAsia="en-GB"/>
              </w:rPr>
              <w:t>Hud og subkutane væv</w:t>
            </w:r>
            <w:r w:rsidRPr="00542CCD">
              <w:rPr>
                <w:sz w:val="24"/>
                <w:szCs w:val="24"/>
                <w:lang w:eastAsia="en-GB"/>
              </w:rPr>
              <w:t xml:space="preserve"> </w:t>
            </w:r>
          </w:p>
        </w:tc>
        <w:tc>
          <w:tcPr>
            <w:tcW w:w="3492" w:type="pct"/>
            <w:tcBorders>
              <w:top w:val="outset" w:sz="6" w:space="0" w:color="auto"/>
              <w:left w:val="outset" w:sz="6" w:space="0" w:color="auto"/>
              <w:bottom w:val="outset" w:sz="6" w:space="0" w:color="auto"/>
              <w:right w:val="outset" w:sz="6" w:space="0" w:color="auto"/>
            </w:tcBorders>
            <w:hideMark/>
          </w:tcPr>
          <w:p w14:paraId="237DEBA6" w14:textId="04E77EB9" w:rsidR="001507F2" w:rsidRPr="00542CCD" w:rsidRDefault="001507F2">
            <w:pPr>
              <w:keepNext/>
              <w:ind w:left="1676" w:hanging="1676"/>
              <w:rPr>
                <w:sz w:val="24"/>
                <w:szCs w:val="24"/>
                <w:lang w:eastAsia="en-GB"/>
              </w:rPr>
            </w:pPr>
            <w:r w:rsidRPr="00542CCD">
              <w:rPr>
                <w:i/>
                <w:iCs/>
                <w:sz w:val="24"/>
                <w:szCs w:val="24"/>
                <w:lang w:eastAsia="en-GB"/>
              </w:rPr>
              <w:t xml:space="preserve">Sjælden: </w:t>
            </w:r>
            <w:r w:rsidRPr="00542CCD">
              <w:rPr>
                <w:i/>
                <w:iCs/>
                <w:sz w:val="24"/>
                <w:szCs w:val="24"/>
                <w:lang w:eastAsia="en-GB"/>
              </w:rPr>
              <w:tab/>
            </w:r>
            <w:r w:rsidR="00E64D25" w:rsidRPr="00542CCD">
              <w:rPr>
                <w:i/>
                <w:iCs/>
                <w:sz w:val="24"/>
                <w:szCs w:val="24"/>
                <w:lang w:eastAsia="en-GB"/>
              </w:rPr>
              <w:t xml:space="preserve">Sjælden: </w:t>
            </w:r>
            <w:r w:rsidR="00E64D25" w:rsidRPr="00542CCD">
              <w:rPr>
                <w:i/>
                <w:iCs/>
                <w:sz w:val="24"/>
                <w:szCs w:val="24"/>
                <w:lang w:eastAsia="en-GB"/>
              </w:rPr>
              <w:tab/>
            </w:r>
            <w:r w:rsidR="00E64D25" w:rsidRPr="00542CCD">
              <w:rPr>
                <w:sz w:val="24"/>
                <w:szCs w:val="24"/>
                <w:lang w:eastAsia="en-GB"/>
              </w:rPr>
              <w:t xml:space="preserve">Stevens-Johnsons syndrom, </w:t>
            </w:r>
            <w:r w:rsidR="00E64D25">
              <w:rPr>
                <w:sz w:val="24"/>
                <w:szCs w:val="24"/>
                <w:lang w:eastAsia="en-GB"/>
              </w:rPr>
              <w:t xml:space="preserve">toksisk </w:t>
            </w:r>
            <w:proofErr w:type="spellStart"/>
            <w:r w:rsidR="00E64D25">
              <w:rPr>
                <w:sz w:val="24"/>
                <w:szCs w:val="24"/>
                <w:lang w:eastAsia="en-GB"/>
              </w:rPr>
              <w:t>epidermal</w:t>
            </w:r>
            <w:proofErr w:type="spellEnd"/>
            <w:r w:rsidR="00E64D25">
              <w:rPr>
                <w:sz w:val="24"/>
                <w:szCs w:val="24"/>
                <w:lang w:eastAsia="en-GB"/>
              </w:rPr>
              <w:t xml:space="preserve"> </w:t>
            </w:r>
            <w:proofErr w:type="spellStart"/>
            <w:r w:rsidR="00E64D25">
              <w:rPr>
                <w:sz w:val="24"/>
                <w:szCs w:val="24"/>
                <w:lang w:eastAsia="en-GB"/>
              </w:rPr>
              <w:t>nekrolyse</w:t>
            </w:r>
            <w:proofErr w:type="spellEnd"/>
            <w:r w:rsidR="00E64D25">
              <w:rPr>
                <w:sz w:val="24"/>
                <w:szCs w:val="24"/>
                <w:lang w:eastAsia="en-GB"/>
              </w:rPr>
              <w:t xml:space="preserve"> (TEN),</w:t>
            </w:r>
            <w:r w:rsidR="00E64D25" w:rsidRPr="00542CCD">
              <w:rPr>
                <w:sz w:val="24"/>
                <w:szCs w:val="24"/>
                <w:lang w:eastAsia="en-GB"/>
              </w:rPr>
              <w:t xml:space="preserve"> </w:t>
            </w:r>
            <w:proofErr w:type="spellStart"/>
            <w:r w:rsidR="00E64D25" w:rsidRPr="00542CCD">
              <w:rPr>
                <w:sz w:val="24"/>
                <w:szCs w:val="24"/>
                <w:lang w:eastAsia="en-GB"/>
              </w:rPr>
              <w:t>purpura</w:t>
            </w:r>
            <w:proofErr w:type="spellEnd"/>
            <w:r w:rsidR="00E64D25" w:rsidRPr="00542CCD">
              <w:rPr>
                <w:sz w:val="24"/>
                <w:szCs w:val="24"/>
                <w:lang w:eastAsia="en-GB"/>
              </w:rPr>
              <w:t xml:space="preserve">, </w:t>
            </w:r>
            <w:proofErr w:type="spellStart"/>
            <w:r w:rsidR="00E64D25" w:rsidRPr="00542CCD">
              <w:rPr>
                <w:sz w:val="24"/>
                <w:szCs w:val="24"/>
                <w:lang w:eastAsia="en-GB"/>
              </w:rPr>
              <w:t>erythema</w:t>
            </w:r>
            <w:proofErr w:type="spellEnd"/>
            <w:r w:rsidR="00E64D25" w:rsidRPr="00542CCD">
              <w:rPr>
                <w:sz w:val="24"/>
                <w:szCs w:val="24"/>
                <w:lang w:eastAsia="en-GB"/>
              </w:rPr>
              <w:t xml:space="preserve"> </w:t>
            </w:r>
            <w:proofErr w:type="spellStart"/>
            <w:r w:rsidR="00E64D25" w:rsidRPr="00542CCD">
              <w:rPr>
                <w:sz w:val="24"/>
                <w:szCs w:val="24"/>
                <w:lang w:eastAsia="en-GB"/>
              </w:rPr>
              <w:t>nodosum</w:t>
            </w:r>
            <w:proofErr w:type="spellEnd"/>
            <w:r w:rsidR="00E64D25" w:rsidRPr="00542CCD">
              <w:rPr>
                <w:sz w:val="24"/>
                <w:szCs w:val="24"/>
                <w:lang w:eastAsia="en-GB"/>
              </w:rPr>
              <w:t xml:space="preserve">, </w:t>
            </w:r>
            <w:proofErr w:type="spellStart"/>
            <w:r w:rsidR="00E64D25" w:rsidRPr="00542CCD">
              <w:rPr>
                <w:sz w:val="24"/>
                <w:szCs w:val="24"/>
                <w:lang w:eastAsia="en-GB"/>
              </w:rPr>
              <w:t>erythema</w:t>
            </w:r>
            <w:proofErr w:type="spellEnd"/>
            <w:r w:rsidR="00E64D25" w:rsidRPr="00542CCD">
              <w:rPr>
                <w:sz w:val="24"/>
                <w:szCs w:val="24"/>
                <w:lang w:eastAsia="en-GB"/>
              </w:rPr>
              <w:t xml:space="preserve"> multiforme.</w:t>
            </w:r>
          </w:p>
        </w:tc>
      </w:tr>
      <w:tr w:rsidR="001507F2" w:rsidRPr="00542CCD" w14:paraId="21D51C62" w14:textId="77777777" w:rsidTr="001507F2">
        <w:tc>
          <w:tcPr>
            <w:tcW w:w="1508" w:type="pct"/>
            <w:tcBorders>
              <w:top w:val="outset" w:sz="6" w:space="0" w:color="auto"/>
              <w:left w:val="outset" w:sz="6" w:space="0" w:color="auto"/>
              <w:bottom w:val="outset" w:sz="6" w:space="0" w:color="auto"/>
              <w:right w:val="outset" w:sz="6" w:space="0" w:color="auto"/>
            </w:tcBorders>
            <w:hideMark/>
          </w:tcPr>
          <w:p w14:paraId="36EE1E16" w14:textId="77777777" w:rsidR="001507F2" w:rsidRPr="00542CCD" w:rsidRDefault="001507F2">
            <w:pPr>
              <w:rPr>
                <w:sz w:val="24"/>
                <w:szCs w:val="24"/>
                <w:lang w:eastAsia="en-GB"/>
              </w:rPr>
            </w:pPr>
            <w:r w:rsidRPr="00542CCD">
              <w:rPr>
                <w:b/>
                <w:bCs/>
                <w:sz w:val="24"/>
                <w:szCs w:val="24"/>
                <w:lang w:eastAsia="en-GB"/>
              </w:rPr>
              <w:t>Det reproduktive system og mammae</w:t>
            </w:r>
            <w:r w:rsidRPr="00542CCD">
              <w:rPr>
                <w:sz w:val="24"/>
                <w:szCs w:val="24"/>
                <w:lang w:eastAsia="en-GB"/>
              </w:rPr>
              <w:t xml:space="preserve"> </w:t>
            </w:r>
          </w:p>
        </w:tc>
        <w:tc>
          <w:tcPr>
            <w:tcW w:w="3492" w:type="pct"/>
            <w:tcBorders>
              <w:top w:val="outset" w:sz="6" w:space="0" w:color="auto"/>
              <w:left w:val="outset" w:sz="6" w:space="0" w:color="auto"/>
              <w:bottom w:val="outset" w:sz="6" w:space="0" w:color="auto"/>
              <w:right w:val="outset" w:sz="6" w:space="0" w:color="auto"/>
            </w:tcBorders>
            <w:hideMark/>
          </w:tcPr>
          <w:p w14:paraId="6804F919" w14:textId="77777777" w:rsidR="001507F2" w:rsidRPr="00542CCD" w:rsidRDefault="001507F2">
            <w:pPr>
              <w:ind w:left="1676" w:hanging="1676"/>
              <w:rPr>
                <w:sz w:val="24"/>
                <w:szCs w:val="24"/>
                <w:lang w:eastAsia="en-GB"/>
              </w:rPr>
            </w:pPr>
            <w:r w:rsidRPr="00542CCD">
              <w:rPr>
                <w:i/>
                <w:iCs/>
                <w:sz w:val="24"/>
                <w:szCs w:val="24"/>
                <w:lang w:eastAsia="en-GB"/>
              </w:rPr>
              <w:t>Sjælden:</w:t>
            </w:r>
            <w:r w:rsidRPr="00542CCD">
              <w:rPr>
                <w:sz w:val="24"/>
                <w:szCs w:val="24"/>
                <w:lang w:eastAsia="en-GB"/>
              </w:rPr>
              <w:t xml:space="preserve"> </w:t>
            </w:r>
            <w:r w:rsidRPr="00542CCD">
              <w:rPr>
                <w:sz w:val="24"/>
                <w:szCs w:val="24"/>
                <w:lang w:eastAsia="en-GB"/>
              </w:rPr>
              <w:tab/>
            </w:r>
            <w:proofErr w:type="spellStart"/>
            <w:r w:rsidRPr="00542CCD">
              <w:rPr>
                <w:sz w:val="24"/>
                <w:szCs w:val="24"/>
                <w:lang w:eastAsia="en-GB"/>
              </w:rPr>
              <w:t>Menoragi</w:t>
            </w:r>
            <w:proofErr w:type="spellEnd"/>
            <w:r w:rsidRPr="00542CCD">
              <w:rPr>
                <w:sz w:val="24"/>
                <w:szCs w:val="24"/>
                <w:lang w:eastAsia="en-GB"/>
              </w:rPr>
              <w:t>.</w:t>
            </w:r>
          </w:p>
        </w:tc>
      </w:tr>
      <w:tr w:rsidR="001507F2" w:rsidRPr="00542CCD" w14:paraId="78435857" w14:textId="77777777" w:rsidTr="001507F2">
        <w:tc>
          <w:tcPr>
            <w:tcW w:w="1508" w:type="pct"/>
            <w:tcBorders>
              <w:top w:val="outset" w:sz="6" w:space="0" w:color="auto"/>
              <w:left w:val="outset" w:sz="6" w:space="0" w:color="auto"/>
              <w:bottom w:val="outset" w:sz="6" w:space="0" w:color="auto"/>
              <w:right w:val="outset" w:sz="6" w:space="0" w:color="auto"/>
            </w:tcBorders>
            <w:hideMark/>
          </w:tcPr>
          <w:p w14:paraId="07AEAF73" w14:textId="77777777" w:rsidR="001507F2" w:rsidRPr="00542CCD" w:rsidRDefault="001507F2">
            <w:pPr>
              <w:rPr>
                <w:b/>
                <w:bCs/>
                <w:sz w:val="24"/>
                <w:szCs w:val="24"/>
                <w:lang w:eastAsia="en-GB"/>
              </w:rPr>
            </w:pPr>
            <w:r w:rsidRPr="00542CCD">
              <w:rPr>
                <w:b/>
                <w:bCs/>
                <w:sz w:val="24"/>
                <w:szCs w:val="24"/>
                <w:lang w:eastAsia="en-GB"/>
              </w:rPr>
              <w:t>Undersøgelser</w:t>
            </w:r>
          </w:p>
        </w:tc>
        <w:tc>
          <w:tcPr>
            <w:tcW w:w="3492" w:type="pct"/>
            <w:tcBorders>
              <w:top w:val="outset" w:sz="6" w:space="0" w:color="auto"/>
              <w:left w:val="outset" w:sz="6" w:space="0" w:color="auto"/>
              <w:bottom w:val="outset" w:sz="6" w:space="0" w:color="auto"/>
              <w:right w:val="outset" w:sz="6" w:space="0" w:color="auto"/>
            </w:tcBorders>
            <w:hideMark/>
          </w:tcPr>
          <w:p w14:paraId="538D8C11" w14:textId="4B4D3B90" w:rsidR="001507F2" w:rsidRPr="00542CCD" w:rsidRDefault="00E64D25">
            <w:pPr>
              <w:rPr>
                <w:i/>
                <w:iCs/>
                <w:sz w:val="24"/>
                <w:szCs w:val="24"/>
                <w:lang w:eastAsia="en-GB"/>
              </w:rPr>
            </w:pPr>
            <w:r w:rsidRPr="00542CCD">
              <w:rPr>
                <w:sz w:val="24"/>
                <w:szCs w:val="24"/>
                <w:lang w:eastAsia="en-GB"/>
              </w:rPr>
              <w:t>Okkult blod</w:t>
            </w:r>
            <w:r>
              <w:rPr>
                <w:sz w:val="24"/>
                <w:szCs w:val="24"/>
                <w:lang w:eastAsia="en-GB"/>
              </w:rPr>
              <w:t xml:space="preserve"> i afføringen</w:t>
            </w:r>
            <w:r w:rsidRPr="00542CCD">
              <w:rPr>
                <w:sz w:val="24"/>
                <w:szCs w:val="24"/>
                <w:lang w:eastAsia="en-GB"/>
              </w:rPr>
              <w:t>.</w:t>
            </w:r>
          </w:p>
        </w:tc>
      </w:tr>
    </w:tbl>
    <w:p w14:paraId="4AA0FE96" w14:textId="77777777" w:rsidR="001507F2" w:rsidRPr="00E941B2" w:rsidRDefault="001507F2" w:rsidP="001507F2">
      <w:pPr>
        <w:pStyle w:val="Sidehoved"/>
        <w:tabs>
          <w:tab w:val="left" w:pos="851"/>
        </w:tabs>
        <w:ind w:left="851"/>
        <w:rPr>
          <w:szCs w:val="24"/>
        </w:rPr>
      </w:pPr>
    </w:p>
    <w:p w14:paraId="1D53996F" w14:textId="77777777" w:rsidR="001507F2" w:rsidRPr="00E941B2" w:rsidRDefault="001507F2" w:rsidP="001507F2">
      <w:pPr>
        <w:autoSpaceDE w:val="0"/>
        <w:autoSpaceDN w:val="0"/>
        <w:adjustRightInd w:val="0"/>
        <w:ind w:left="851"/>
        <w:rPr>
          <w:sz w:val="24"/>
          <w:szCs w:val="24"/>
          <w:u w:val="single"/>
        </w:rPr>
      </w:pPr>
      <w:r w:rsidRPr="00E941B2">
        <w:rPr>
          <w:sz w:val="24"/>
          <w:szCs w:val="24"/>
          <w:u w:val="single"/>
        </w:rPr>
        <w:t>Indberetning af formodede bivirkninger</w:t>
      </w:r>
    </w:p>
    <w:p w14:paraId="2B32021B" w14:textId="77777777" w:rsidR="001507F2" w:rsidRPr="00E941B2" w:rsidRDefault="001507F2" w:rsidP="001507F2">
      <w:pPr>
        <w:autoSpaceDE w:val="0"/>
        <w:autoSpaceDN w:val="0"/>
        <w:adjustRightInd w:val="0"/>
        <w:ind w:left="851"/>
        <w:rPr>
          <w:sz w:val="24"/>
          <w:szCs w:val="24"/>
        </w:rPr>
      </w:pPr>
      <w:r w:rsidRPr="00E941B2">
        <w:rPr>
          <w:sz w:val="24"/>
          <w:szCs w:val="24"/>
        </w:rPr>
        <w:t>Når lægemidlet er godkendt, er indberetning af formodede bivirkninger vigtig. Det muliggør løbende overvågning af benefit/</w:t>
      </w:r>
      <w:proofErr w:type="spellStart"/>
      <w:r w:rsidRPr="00E941B2">
        <w:rPr>
          <w:sz w:val="24"/>
          <w:szCs w:val="24"/>
        </w:rPr>
        <w:t>risk</w:t>
      </w:r>
      <w:proofErr w:type="spellEnd"/>
      <w:r w:rsidRPr="00E941B2">
        <w:rPr>
          <w:sz w:val="24"/>
          <w:szCs w:val="24"/>
        </w:rPr>
        <w:t>-forholdet for lægemidlet. Sundhedspersoner anmodes om at indberette alle formodede bivirkninger via:</w:t>
      </w:r>
    </w:p>
    <w:p w14:paraId="388783ED" w14:textId="77777777" w:rsidR="001507F2" w:rsidRPr="00E941B2" w:rsidRDefault="001507F2" w:rsidP="001507F2">
      <w:pPr>
        <w:autoSpaceDE w:val="0"/>
        <w:autoSpaceDN w:val="0"/>
        <w:adjustRightInd w:val="0"/>
        <w:ind w:left="851"/>
        <w:rPr>
          <w:sz w:val="24"/>
          <w:szCs w:val="24"/>
        </w:rPr>
      </w:pPr>
      <w:r w:rsidRPr="00E941B2">
        <w:rPr>
          <w:sz w:val="24"/>
          <w:szCs w:val="24"/>
        </w:rPr>
        <w:br/>
        <w:t>Lægemiddelstyrelsen</w:t>
      </w:r>
    </w:p>
    <w:p w14:paraId="41DCE4D4" w14:textId="77777777" w:rsidR="001507F2" w:rsidRPr="00E941B2" w:rsidRDefault="001507F2" w:rsidP="001507F2">
      <w:pPr>
        <w:autoSpaceDE w:val="0"/>
        <w:autoSpaceDN w:val="0"/>
        <w:adjustRightInd w:val="0"/>
        <w:ind w:left="851"/>
        <w:rPr>
          <w:sz w:val="24"/>
          <w:szCs w:val="24"/>
        </w:rPr>
      </w:pPr>
      <w:r w:rsidRPr="00E941B2">
        <w:rPr>
          <w:sz w:val="24"/>
          <w:szCs w:val="24"/>
        </w:rPr>
        <w:t>Axel Heides Gade 1</w:t>
      </w:r>
    </w:p>
    <w:p w14:paraId="524368AA" w14:textId="77777777" w:rsidR="001507F2" w:rsidRPr="00E941B2" w:rsidRDefault="001507F2" w:rsidP="001507F2">
      <w:pPr>
        <w:autoSpaceDE w:val="0"/>
        <w:autoSpaceDN w:val="0"/>
        <w:adjustRightInd w:val="0"/>
        <w:ind w:left="851"/>
        <w:rPr>
          <w:sz w:val="24"/>
          <w:szCs w:val="24"/>
        </w:rPr>
      </w:pPr>
      <w:r w:rsidRPr="00E941B2">
        <w:rPr>
          <w:sz w:val="24"/>
          <w:szCs w:val="24"/>
        </w:rPr>
        <w:t>DK-2300 København S</w:t>
      </w:r>
    </w:p>
    <w:p w14:paraId="7F131ED1" w14:textId="77777777" w:rsidR="001507F2" w:rsidRPr="00E941B2" w:rsidRDefault="001507F2" w:rsidP="001507F2">
      <w:pPr>
        <w:autoSpaceDE w:val="0"/>
        <w:autoSpaceDN w:val="0"/>
        <w:adjustRightInd w:val="0"/>
        <w:ind w:left="851"/>
        <w:rPr>
          <w:noProof/>
          <w:sz w:val="24"/>
          <w:szCs w:val="24"/>
        </w:rPr>
      </w:pPr>
      <w:r w:rsidRPr="00E941B2">
        <w:rPr>
          <w:sz w:val="24"/>
          <w:szCs w:val="24"/>
        </w:rPr>
        <w:t xml:space="preserve">Websted: </w:t>
      </w:r>
      <w:hyperlink r:id="rId8" w:history="1">
        <w:r w:rsidRPr="00E941B2">
          <w:rPr>
            <w:rStyle w:val="Hyperlink"/>
            <w:sz w:val="24"/>
            <w:szCs w:val="24"/>
          </w:rPr>
          <w:t>www.meldenbivirkning.dk</w:t>
        </w:r>
      </w:hyperlink>
      <w:r w:rsidRPr="00E941B2">
        <w:rPr>
          <w:sz w:val="24"/>
          <w:szCs w:val="24"/>
        </w:rPr>
        <w:t xml:space="preserve"> </w:t>
      </w:r>
    </w:p>
    <w:p w14:paraId="26B6C1C7" w14:textId="77777777" w:rsidR="009260DE" w:rsidRPr="00E941B2" w:rsidRDefault="009260DE" w:rsidP="00A10294">
      <w:pPr>
        <w:tabs>
          <w:tab w:val="left" w:pos="851"/>
        </w:tabs>
        <w:ind w:left="851"/>
        <w:rPr>
          <w:sz w:val="24"/>
          <w:szCs w:val="24"/>
        </w:rPr>
      </w:pPr>
    </w:p>
    <w:p w14:paraId="4C34C3D0" w14:textId="77777777" w:rsidR="009260DE" w:rsidRPr="00E941B2" w:rsidRDefault="009260DE" w:rsidP="009260DE">
      <w:pPr>
        <w:tabs>
          <w:tab w:val="left" w:pos="851"/>
        </w:tabs>
        <w:ind w:left="851" w:hanging="851"/>
        <w:rPr>
          <w:b/>
          <w:sz w:val="24"/>
          <w:szCs w:val="24"/>
        </w:rPr>
      </w:pPr>
      <w:r w:rsidRPr="00E941B2">
        <w:rPr>
          <w:b/>
          <w:sz w:val="24"/>
          <w:szCs w:val="24"/>
        </w:rPr>
        <w:t>4.9</w:t>
      </w:r>
      <w:r w:rsidRPr="00E941B2">
        <w:rPr>
          <w:b/>
          <w:sz w:val="24"/>
          <w:szCs w:val="24"/>
        </w:rPr>
        <w:tab/>
        <w:t>Overdosering</w:t>
      </w:r>
    </w:p>
    <w:p w14:paraId="1105F399" w14:textId="77777777" w:rsidR="00A40C1E" w:rsidRPr="00E941B2" w:rsidRDefault="00A40C1E" w:rsidP="00A40C1E">
      <w:pPr>
        <w:tabs>
          <w:tab w:val="left" w:pos="851"/>
        </w:tabs>
        <w:ind w:left="851"/>
        <w:rPr>
          <w:sz w:val="24"/>
          <w:szCs w:val="24"/>
          <w:lang w:eastAsia="da-DK"/>
        </w:rPr>
      </w:pPr>
      <w:r w:rsidRPr="00E941B2">
        <w:rPr>
          <w:sz w:val="24"/>
          <w:szCs w:val="24"/>
        </w:rPr>
        <w:t>Selvom der er store individuelle variationer, kan det fastslås, at den toksiske dosis er ca. 200 mg/kg hos voksne og 100 mg/kg hos børn. Den dødelige dosis acetylsalicylsyre er 25</w:t>
      </w:r>
      <w:r w:rsidRPr="00E941B2">
        <w:rPr>
          <w:sz w:val="24"/>
          <w:szCs w:val="24"/>
        </w:rPr>
        <w:noBreakHyphen/>
        <w:t xml:space="preserve">30 gram. En </w:t>
      </w:r>
      <w:proofErr w:type="spellStart"/>
      <w:r w:rsidRPr="00E941B2">
        <w:rPr>
          <w:sz w:val="24"/>
          <w:szCs w:val="24"/>
        </w:rPr>
        <w:t>plasmasalicylatkoncentration</w:t>
      </w:r>
      <w:proofErr w:type="spellEnd"/>
      <w:r w:rsidRPr="00E941B2">
        <w:rPr>
          <w:sz w:val="24"/>
          <w:szCs w:val="24"/>
        </w:rPr>
        <w:t xml:space="preserve"> &gt;350 mg/l (2,5 mmol/l) indikerer forgiftning. En plasmakoncentration over 500 mg/l hos voksne og 300 mg/l hos børn forårsager generelt alvorlig forgiftning. De fleste dødsfald hos voksne forekommer hos patienter, hvis koncentrationer overstiger 700 mg/l (5,1 mmol/l). Enkeltdoser på mindre end 100 mg/kg vil sandsynligvis ikke forårsage alvorlig forgiftning.</w:t>
      </w:r>
    </w:p>
    <w:p w14:paraId="489B3455" w14:textId="77777777" w:rsidR="009260DE" w:rsidRPr="00E941B2" w:rsidRDefault="009260DE" w:rsidP="009260DE">
      <w:pPr>
        <w:tabs>
          <w:tab w:val="left" w:pos="851"/>
        </w:tabs>
        <w:ind w:left="851"/>
        <w:rPr>
          <w:sz w:val="24"/>
          <w:szCs w:val="24"/>
        </w:rPr>
      </w:pPr>
    </w:p>
    <w:p w14:paraId="05337ADF" w14:textId="77777777" w:rsidR="009260DE" w:rsidRPr="00E941B2" w:rsidRDefault="009260DE" w:rsidP="009260DE">
      <w:pPr>
        <w:tabs>
          <w:tab w:val="left" w:pos="851"/>
        </w:tabs>
        <w:ind w:left="851" w:hanging="851"/>
        <w:rPr>
          <w:b/>
          <w:sz w:val="24"/>
          <w:szCs w:val="24"/>
        </w:rPr>
      </w:pPr>
      <w:r w:rsidRPr="00E941B2">
        <w:rPr>
          <w:b/>
          <w:sz w:val="24"/>
          <w:szCs w:val="24"/>
        </w:rPr>
        <w:t>4.10</w:t>
      </w:r>
      <w:r w:rsidRPr="00E941B2">
        <w:rPr>
          <w:b/>
          <w:sz w:val="24"/>
          <w:szCs w:val="24"/>
        </w:rPr>
        <w:tab/>
        <w:t>Udlevering</w:t>
      </w:r>
    </w:p>
    <w:p w14:paraId="22FD7642" w14:textId="05C711FC" w:rsidR="009260DE" w:rsidRPr="00E941B2" w:rsidRDefault="00F1661F" w:rsidP="009260DE">
      <w:pPr>
        <w:tabs>
          <w:tab w:val="left" w:pos="851"/>
        </w:tabs>
        <w:ind w:left="851"/>
        <w:rPr>
          <w:sz w:val="24"/>
          <w:szCs w:val="24"/>
        </w:rPr>
      </w:pPr>
      <w:r w:rsidRPr="00E941B2">
        <w:rPr>
          <w:sz w:val="24"/>
          <w:szCs w:val="24"/>
        </w:rPr>
        <w:t>HA</w:t>
      </w:r>
    </w:p>
    <w:p w14:paraId="70AE931F" w14:textId="77777777" w:rsidR="009260DE" w:rsidRPr="00E941B2" w:rsidRDefault="009260DE" w:rsidP="009260DE">
      <w:pPr>
        <w:tabs>
          <w:tab w:val="left" w:pos="851"/>
        </w:tabs>
        <w:ind w:left="851"/>
        <w:rPr>
          <w:sz w:val="24"/>
          <w:szCs w:val="24"/>
        </w:rPr>
      </w:pPr>
    </w:p>
    <w:p w14:paraId="744F0199" w14:textId="77777777" w:rsidR="009260DE" w:rsidRPr="00E941B2" w:rsidRDefault="009260DE" w:rsidP="009260DE">
      <w:pPr>
        <w:tabs>
          <w:tab w:val="left" w:pos="851"/>
        </w:tabs>
        <w:ind w:left="851"/>
        <w:rPr>
          <w:sz w:val="24"/>
          <w:szCs w:val="24"/>
        </w:rPr>
      </w:pPr>
    </w:p>
    <w:p w14:paraId="15FD35CF" w14:textId="77777777" w:rsidR="009260DE" w:rsidRPr="00E941B2" w:rsidRDefault="009260DE" w:rsidP="009260DE">
      <w:pPr>
        <w:tabs>
          <w:tab w:val="left" w:pos="851"/>
        </w:tabs>
        <w:ind w:left="851" w:hanging="851"/>
        <w:rPr>
          <w:b/>
          <w:sz w:val="24"/>
          <w:szCs w:val="24"/>
        </w:rPr>
      </w:pPr>
      <w:r w:rsidRPr="00E941B2">
        <w:rPr>
          <w:b/>
          <w:sz w:val="24"/>
          <w:szCs w:val="24"/>
        </w:rPr>
        <w:t>5.</w:t>
      </w:r>
      <w:r w:rsidRPr="00E941B2">
        <w:rPr>
          <w:b/>
          <w:sz w:val="24"/>
          <w:szCs w:val="24"/>
        </w:rPr>
        <w:tab/>
        <w:t>FARMAKOLOGISKE EGENSKABER</w:t>
      </w:r>
    </w:p>
    <w:p w14:paraId="5635FCAE" w14:textId="77777777" w:rsidR="009260DE" w:rsidRPr="00E941B2" w:rsidRDefault="009260DE" w:rsidP="009260DE">
      <w:pPr>
        <w:tabs>
          <w:tab w:val="left" w:pos="851"/>
        </w:tabs>
        <w:ind w:left="851"/>
        <w:rPr>
          <w:sz w:val="24"/>
          <w:szCs w:val="24"/>
        </w:rPr>
      </w:pPr>
    </w:p>
    <w:p w14:paraId="702B76A6" w14:textId="77777777" w:rsidR="009260DE" w:rsidRPr="00E941B2" w:rsidRDefault="009260DE" w:rsidP="009260DE">
      <w:pPr>
        <w:tabs>
          <w:tab w:val="num" w:pos="851"/>
        </w:tabs>
        <w:ind w:left="851" w:hanging="851"/>
        <w:rPr>
          <w:b/>
          <w:sz w:val="24"/>
          <w:szCs w:val="24"/>
        </w:rPr>
      </w:pPr>
      <w:r w:rsidRPr="00E941B2">
        <w:rPr>
          <w:b/>
          <w:sz w:val="24"/>
          <w:szCs w:val="24"/>
        </w:rPr>
        <w:t>5.1</w:t>
      </w:r>
      <w:r w:rsidRPr="00E941B2">
        <w:rPr>
          <w:b/>
          <w:sz w:val="24"/>
          <w:szCs w:val="24"/>
        </w:rPr>
        <w:tab/>
      </w:r>
      <w:proofErr w:type="spellStart"/>
      <w:r w:rsidRPr="00E941B2">
        <w:rPr>
          <w:b/>
          <w:sz w:val="24"/>
          <w:szCs w:val="24"/>
        </w:rPr>
        <w:t>Farmakodynamiske</w:t>
      </w:r>
      <w:proofErr w:type="spellEnd"/>
      <w:r w:rsidRPr="00E941B2">
        <w:rPr>
          <w:b/>
          <w:sz w:val="24"/>
          <w:szCs w:val="24"/>
        </w:rPr>
        <w:t xml:space="preserve"> egenskaber</w:t>
      </w:r>
    </w:p>
    <w:p w14:paraId="6812987F" w14:textId="6E875ECB" w:rsidR="00E64D25" w:rsidRPr="00E941B2" w:rsidRDefault="00E64D25" w:rsidP="00E64D25">
      <w:pPr>
        <w:tabs>
          <w:tab w:val="left" w:pos="0"/>
        </w:tabs>
        <w:suppressAutoHyphens/>
        <w:ind w:left="851"/>
        <w:rPr>
          <w:sz w:val="24"/>
          <w:szCs w:val="24"/>
          <w:lang w:eastAsia="da-DK"/>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E941B2">
        <w:rPr>
          <w:sz w:val="24"/>
          <w:szCs w:val="24"/>
        </w:rPr>
        <w:t>Antitrombotiske</w:t>
      </w:r>
      <w:proofErr w:type="spellEnd"/>
      <w:r w:rsidRPr="00E941B2">
        <w:rPr>
          <w:sz w:val="24"/>
          <w:szCs w:val="24"/>
        </w:rPr>
        <w:t xml:space="preserve"> </w:t>
      </w:r>
      <w:proofErr w:type="spellStart"/>
      <w:r w:rsidRPr="00E941B2">
        <w:rPr>
          <w:sz w:val="24"/>
          <w:szCs w:val="24"/>
        </w:rPr>
        <w:t>midler:Blodpladeaggregationshæm</w:t>
      </w:r>
      <w:r>
        <w:rPr>
          <w:sz w:val="24"/>
          <w:szCs w:val="24"/>
        </w:rPr>
        <w:t>-</w:t>
      </w:r>
      <w:r w:rsidRPr="00E941B2">
        <w:rPr>
          <w:sz w:val="24"/>
          <w:szCs w:val="24"/>
        </w:rPr>
        <w:t>mer</w:t>
      </w:r>
      <w:proofErr w:type="spellEnd"/>
      <w:r w:rsidRPr="00E941B2">
        <w:rPr>
          <w:sz w:val="24"/>
          <w:szCs w:val="24"/>
        </w:rPr>
        <w:t xml:space="preserve"> eksklusive </w:t>
      </w:r>
      <w:proofErr w:type="spellStart"/>
      <w:r w:rsidRPr="00E941B2">
        <w:rPr>
          <w:sz w:val="24"/>
          <w:szCs w:val="24"/>
        </w:rPr>
        <w:t>heparin</w:t>
      </w:r>
      <w:proofErr w:type="spellEnd"/>
      <w:r w:rsidRPr="00E941B2">
        <w:rPr>
          <w:sz w:val="24"/>
          <w:szCs w:val="24"/>
        </w:rPr>
        <w:t>.</w:t>
      </w:r>
      <w:r>
        <w:rPr>
          <w:sz w:val="24"/>
          <w:szCs w:val="24"/>
        </w:rPr>
        <w:t xml:space="preserve"> </w:t>
      </w:r>
      <w:r w:rsidRPr="00E941B2">
        <w:rPr>
          <w:sz w:val="24"/>
          <w:szCs w:val="24"/>
        </w:rPr>
        <w:t>ATC-kode: B 01 AC 06.</w:t>
      </w:r>
    </w:p>
    <w:p w14:paraId="3E39D322" w14:textId="0997DE70" w:rsidR="003133F9" w:rsidRDefault="003133F9" w:rsidP="006B48AD">
      <w:pPr>
        <w:ind w:left="851"/>
        <w:rPr>
          <w:sz w:val="24"/>
          <w:szCs w:val="24"/>
          <w:u w:val="single"/>
        </w:rPr>
      </w:pPr>
    </w:p>
    <w:p w14:paraId="0F515802" w14:textId="6502F9E6" w:rsidR="00A40C1E" w:rsidRPr="00E941B2" w:rsidRDefault="00A40C1E" w:rsidP="006B48AD">
      <w:pPr>
        <w:ind w:left="851"/>
        <w:rPr>
          <w:sz w:val="24"/>
          <w:szCs w:val="24"/>
          <w:u w:val="single"/>
          <w:lang w:eastAsia="da-DK"/>
        </w:rPr>
      </w:pPr>
      <w:r w:rsidRPr="00E941B2">
        <w:rPr>
          <w:sz w:val="24"/>
          <w:szCs w:val="24"/>
          <w:u w:val="single"/>
        </w:rPr>
        <w:t xml:space="preserve">Virkningsmekanisme </w:t>
      </w:r>
    </w:p>
    <w:p w14:paraId="3EAA0D68" w14:textId="77777777" w:rsidR="00A40C1E" w:rsidRPr="00E941B2" w:rsidRDefault="00A40C1E" w:rsidP="00A40C1E">
      <w:pPr>
        <w:shd w:val="clear" w:color="auto" w:fill="FFFFFF"/>
        <w:ind w:left="851"/>
        <w:rPr>
          <w:sz w:val="24"/>
          <w:szCs w:val="24"/>
        </w:rPr>
      </w:pPr>
      <w:r w:rsidRPr="00E941B2">
        <w:rPr>
          <w:sz w:val="24"/>
          <w:szCs w:val="24"/>
        </w:rPr>
        <w:t xml:space="preserve">Acetylsalicylsyre er et stof med analgetiske, antiinflammatoriske, </w:t>
      </w:r>
      <w:proofErr w:type="spellStart"/>
      <w:r w:rsidRPr="00E941B2">
        <w:rPr>
          <w:sz w:val="24"/>
          <w:szCs w:val="24"/>
        </w:rPr>
        <w:t>antipyretiske</w:t>
      </w:r>
      <w:proofErr w:type="spellEnd"/>
      <w:r w:rsidRPr="00E941B2">
        <w:rPr>
          <w:sz w:val="24"/>
          <w:szCs w:val="24"/>
        </w:rPr>
        <w:t xml:space="preserve"> og </w:t>
      </w:r>
      <w:proofErr w:type="spellStart"/>
      <w:r w:rsidRPr="00E941B2">
        <w:rPr>
          <w:sz w:val="24"/>
          <w:szCs w:val="24"/>
        </w:rPr>
        <w:t>trombocytaggregationshæmmende</w:t>
      </w:r>
      <w:proofErr w:type="spellEnd"/>
      <w:r w:rsidRPr="00E941B2">
        <w:rPr>
          <w:sz w:val="24"/>
          <w:szCs w:val="24"/>
        </w:rPr>
        <w:t xml:space="preserve"> egenskaber. Acetylsalicylsyre forlænger blødningstiden. </w:t>
      </w:r>
    </w:p>
    <w:p w14:paraId="1CD12FF7" w14:textId="77777777" w:rsidR="00A40C1E" w:rsidRPr="00E941B2" w:rsidRDefault="00A40C1E" w:rsidP="00A40C1E">
      <w:pPr>
        <w:shd w:val="clear" w:color="auto" w:fill="FFFFFF"/>
        <w:ind w:left="851"/>
        <w:rPr>
          <w:sz w:val="24"/>
          <w:szCs w:val="24"/>
          <w:lang w:eastAsia="nb-NO"/>
        </w:rPr>
      </w:pPr>
    </w:p>
    <w:p w14:paraId="2029E0C3" w14:textId="77777777" w:rsidR="00A40C1E" w:rsidRPr="00E941B2" w:rsidRDefault="00A40C1E" w:rsidP="00A40C1E">
      <w:pPr>
        <w:shd w:val="clear" w:color="auto" w:fill="FFFFFF"/>
        <w:ind w:left="851"/>
        <w:rPr>
          <w:sz w:val="24"/>
          <w:szCs w:val="24"/>
          <w:lang w:eastAsia="da-DK"/>
        </w:rPr>
      </w:pPr>
      <w:r w:rsidRPr="00E941B2">
        <w:rPr>
          <w:sz w:val="24"/>
          <w:szCs w:val="24"/>
        </w:rPr>
        <w:t xml:space="preserve">Acetylsalicylsyre hæmmer fedtsyrernes </w:t>
      </w:r>
      <w:proofErr w:type="spellStart"/>
      <w:r w:rsidRPr="00E941B2">
        <w:rPr>
          <w:sz w:val="24"/>
          <w:szCs w:val="24"/>
        </w:rPr>
        <w:t>cyclooxygenase</w:t>
      </w:r>
      <w:proofErr w:type="spellEnd"/>
      <w:r w:rsidRPr="00E941B2">
        <w:rPr>
          <w:sz w:val="24"/>
          <w:szCs w:val="24"/>
        </w:rPr>
        <w:t xml:space="preserve"> ved </w:t>
      </w:r>
      <w:proofErr w:type="spellStart"/>
      <w:r w:rsidRPr="00E941B2">
        <w:rPr>
          <w:sz w:val="24"/>
          <w:szCs w:val="24"/>
        </w:rPr>
        <w:t>acetylering</w:t>
      </w:r>
      <w:proofErr w:type="spellEnd"/>
      <w:r w:rsidRPr="00E941B2">
        <w:rPr>
          <w:sz w:val="24"/>
          <w:szCs w:val="24"/>
        </w:rPr>
        <w:t xml:space="preserve"> af enzymets aktive site, og de fleste af dets farmakologiske virkninger skyldes hæmning af dannelsen af </w:t>
      </w:r>
      <w:proofErr w:type="spellStart"/>
      <w:r w:rsidRPr="00E941B2">
        <w:rPr>
          <w:sz w:val="24"/>
          <w:szCs w:val="24"/>
        </w:rPr>
        <w:t>cyclooxygenase</w:t>
      </w:r>
      <w:proofErr w:type="spellEnd"/>
      <w:r w:rsidRPr="00E941B2">
        <w:rPr>
          <w:sz w:val="24"/>
          <w:szCs w:val="24"/>
        </w:rPr>
        <w:t xml:space="preserve">-produkter, herunder </w:t>
      </w:r>
      <w:proofErr w:type="spellStart"/>
      <w:r w:rsidRPr="00E941B2">
        <w:rPr>
          <w:sz w:val="24"/>
          <w:szCs w:val="24"/>
        </w:rPr>
        <w:t>thromboxaner</w:t>
      </w:r>
      <w:proofErr w:type="spellEnd"/>
      <w:r w:rsidRPr="00E941B2">
        <w:rPr>
          <w:sz w:val="24"/>
          <w:szCs w:val="24"/>
        </w:rPr>
        <w:t xml:space="preserve">, </w:t>
      </w:r>
      <w:proofErr w:type="spellStart"/>
      <w:r w:rsidRPr="00E941B2">
        <w:rPr>
          <w:sz w:val="24"/>
          <w:szCs w:val="24"/>
        </w:rPr>
        <w:t>prostaglandiner</w:t>
      </w:r>
      <w:proofErr w:type="spellEnd"/>
      <w:r w:rsidRPr="00E941B2">
        <w:rPr>
          <w:sz w:val="24"/>
          <w:szCs w:val="24"/>
        </w:rPr>
        <w:t xml:space="preserve"> og </w:t>
      </w:r>
      <w:proofErr w:type="spellStart"/>
      <w:r w:rsidRPr="00E941B2">
        <w:rPr>
          <w:sz w:val="24"/>
          <w:szCs w:val="24"/>
        </w:rPr>
        <w:t>prostacyklin</w:t>
      </w:r>
      <w:proofErr w:type="spellEnd"/>
      <w:r w:rsidRPr="00E941B2">
        <w:rPr>
          <w:sz w:val="24"/>
          <w:szCs w:val="24"/>
        </w:rPr>
        <w:t xml:space="preserve">. </w:t>
      </w:r>
    </w:p>
    <w:p w14:paraId="01A05E01" w14:textId="77777777" w:rsidR="00A40C1E" w:rsidRPr="00E941B2" w:rsidRDefault="00A40C1E" w:rsidP="00A40C1E">
      <w:pPr>
        <w:shd w:val="clear" w:color="auto" w:fill="FFFFFF"/>
        <w:ind w:left="851"/>
        <w:rPr>
          <w:sz w:val="24"/>
          <w:szCs w:val="24"/>
          <w:lang w:eastAsia="nb-NO"/>
        </w:rPr>
      </w:pPr>
    </w:p>
    <w:p w14:paraId="493AF4BB" w14:textId="443203ED" w:rsidR="003133F9" w:rsidRDefault="00A40C1E" w:rsidP="00E64D25">
      <w:pPr>
        <w:shd w:val="clear" w:color="auto" w:fill="FFFFFF"/>
        <w:ind w:left="851"/>
        <w:rPr>
          <w:sz w:val="24"/>
          <w:szCs w:val="24"/>
          <w:lang w:eastAsia="da-DK"/>
        </w:rPr>
      </w:pPr>
      <w:proofErr w:type="spellStart"/>
      <w:r w:rsidRPr="00E941B2">
        <w:rPr>
          <w:sz w:val="24"/>
          <w:szCs w:val="24"/>
        </w:rPr>
        <w:t>Trombocytvirkningen</w:t>
      </w:r>
      <w:proofErr w:type="spellEnd"/>
      <w:r w:rsidRPr="00E941B2">
        <w:rPr>
          <w:sz w:val="24"/>
          <w:szCs w:val="24"/>
        </w:rPr>
        <w:t xml:space="preserve"> er irreversibel i </w:t>
      </w:r>
      <w:proofErr w:type="spellStart"/>
      <w:r w:rsidRPr="00E941B2">
        <w:rPr>
          <w:sz w:val="24"/>
          <w:szCs w:val="24"/>
        </w:rPr>
        <w:t>trombocyttens</w:t>
      </w:r>
      <w:proofErr w:type="spellEnd"/>
      <w:r w:rsidRPr="00E941B2">
        <w:rPr>
          <w:sz w:val="24"/>
          <w:szCs w:val="24"/>
        </w:rPr>
        <w:t xml:space="preserve"> 8-dages levetid, da de ikke er i stand til at </w:t>
      </w:r>
      <w:proofErr w:type="spellStart"/>
      <w:r w:rsidRPr="00E941B2">
        <w:rPr>
          <w:sz w:val="24"/>
          <w:szCs w:val="24"/>
        </w:rPr>
        <w:t>resyntetisere</w:t>
      </w:r>
      <w:proofErr w:type="spellEnd"/>
      <w:r w:rsidRPr="00E941B2">
        <w:rPr>
          <w:sz w:val="24"/>
          <w:szCs w:val="24"/>
        </w:rPr>
        <w:t xml:space="preserve"> </w:t>
      </w:r>
      <w:proofErr w:type="spellStart"/>
      <w:r w:rsidRPr="00E941B2">
        <w:rPr>
          <w:sz w:val="24"/>
          <w:szCs w:val="24"/>
        </w:rPr>
        <w:t>cyclooxygenase</w:t>
      </w:r>
      <w:proofErr w:type="spellEnd"/>
      <w:r w:rsidRPr="00E941B2">
        <w:rPr>
          <w:sz w:val="24"/>
          <w:szCs w:val="24"/>
        </w:rPr>
        <w:t xml:space="preserve">-enzymet. </w:t>
      </w:r>
    </w:p>
    <w:p w14:paraId="11C73497" w14:textId="77777777" w:rsidR="009260DE" w:rsidRPr="00E941B2" w:rsidRDefault="009260DE" w:rsidP="009260DE">
      <w:pPr>
        <w:tabs>
          <w:tab w:val="left" w:pos="851"/>
        </w:tabs>
        <w:ind w:left="851"/>
        <w:rPr>
          <w:sz w:val="24"/>
          <w:szCs w:val="24"/>
        </w:rPr>
      </w:pPr>
    </w:p>
    <w:p w14:paraId="75CB7A1B" w14:textId="77777777" w:rsidR="009260DE" w:rsidRPr="00E941B2" w:rsidRDefault="009260DE" w:rsidP="009260DE">
      <w:pPr>
        <w:tabs>
          <w:tab w:val="left" w:pos="851"/>
        </w:tabs>
        <w:ind w:left="851" w:hanging="851"/>
        <w:rPr>
          <w:b/>
          <w:sz w:val="24"/>
          <w:szCs w:val="24"/>
        </w:rPr>
      </w:pPr>
      <w:r w:rsidRPr="00E941B2">
        <w:rPr>
          <w:b/>
          <w:sz w:val="24"/>
          <w:szCs w:val="24"/>
        </w:rPr>
        <w:t>5.2</w:t>
      </w:r>
      <w:r w:rsidRPr="00E941B2">
        <w:rPr>
          <w:b/>
          <w:sz w:val="24"/>
          <w:szCs w:val="24"/>
        </w:rPr>
        <w:tab/>
      </w:r>
      <w:proofErr w:type="spellStart"/>
      <w:r w:rsidRPr="00E941B2">
        <w:rPr>
          <w:b/>
          <w:sz w:val="24"/>
          <w:szCs w:val="24"/>
        </w:rPr>
        <w:t>Farmakokinetiske</w:t>
      </w:r>
      <w:proofErr w:type="spellEnd"/>
      <w:r w:rsidRPr="00E941B2">
        <w:rPr>
          <w:b/>
          <w:sz w:val="24"/>
          <w:szCs w:val="24"/>
        </w:rPr>
        <w:t xml:space="preserve"> egenskaber</w:t>
      </w:r>
    </w:p>
    <w:p w14:paraId="0A40EEE3" w14:textId="77777777" w:rsidR="003133F9" w:rsidRDefault="003133F9" w:rsidP="00A40C1E">
      <w:pPr>
        <w:numPr>
          <w:ilvl w:val="12"/>
          <w:numId w:val="0"/>
        </w:numPr>
        <w:ind w:left="851" w:right="-2"/>
        <w:rPr>
          <w:sz w:val="24"/>
          <w:szCs w:val="24"/>
          <w:u w:val="single"/>
        </w:rPr>
      </w:pPr>
    </w:p>
    <w:p w14:paraId="545C7145" w14:textId="2239460C" w:rsidR="00A40C1E" w:rsidRPr="00E941B2" w:rsidRDefault="00A40C1E" w:rsidP="00A40C1E">
      <w:pPr>
        <w:numPr>
          <w:ilvl w:val="12"/>
          <w:numId w:val="0"/>
        </w:numPr>
        <w:ind w:left="851" w:right="-2"/>
        <w:rPr>
          <w:iCs/>
          <w:noProof/>
          <w:sz w:val="24"/>
          <w:szCs w:val="24"/>
          <w:lang w:eastAsia="da-DK"/>
        </w:rPr>
      </w:pPr>
      <w:r w:rsidRPr="00E941B2">
        <w:rPr>
          <w:sz w:val="24"/>
          <w:szCs w:val="24"/>
          <w:u w:val="single"/>
        </w:rPr>
        <w:t>Absorption</w:t>
      </w:r>
      <w:r w:rsidRPr="00E941B2">
        <w:rPr>
          <w:sz w:val="24"/>
          <w:szCs w:val="24"/>
        </w:rPr>
        <w:t xml:space="preserve"> </w:t>
      </w:r>
    </w:p>
    <w:p w14:paraId="79725847" w14:textId="77777777" w:rsidR="00A40C1E" w:rsidRPr="00E941B2" w:rsidRDefault="00A40C1E" w:rsidP="00A40C1E">
      <w:pPr>
        <w:ind w:left="851"/>
        <w:rPr>
          <w:sz w:val="24"/>
          <w:szCs w:val="24"/>
        </w:rPr>
      </w:pPr>
      <w:r w:rsidRPr="00E941B2">
        <w:rPr>
          <w:sz w:val="24"/>
          <w:szCs w:val="24"/>
        </w:rPr>
        <w:t>Efter oral administration absorberes acetylsalicylsyre hurtigt. Ca. 80</w:t>
      </w:r>
      <w:r w:rsidRPr="00E941B2">
        <w:rPr>
          <w:sz w:val="24"/>
          <w:szCs w:val="24"/>
        </w:rPr>
        <w:noBreakHyphen/>
        <w:t>100 % af en oral dosis absorberes fra mave-tarm-kanalen.</w:t>
      </w:r>
    </w:p>
    <w:p w14:paraId="32B1916E" w14:textId="77777777" w:rsidR="00A40C1E" w:rsidRPr="00E941B2" w:rsidRDefault="00A40C1E" w:rsidP="00A40C1E">
      <w:pPr>
        <w:ind w:left="851"/>
        <w:rPr>
          <w:sz w:val="24"/>
          <w:szCs w:val="24"/>
        </w:rPr>
      </w:pPr>
      <w:r w:rsidRPr="00E941B2">
        <w:rPr>
          <w:sz w:val="24"/>
          <w:szCs w:val="24"/>
        </w:rPr>
        <w:t xml:space="preserve">Efter oral administration af enkeltdosis til raske forsøgspersoner i fire forskellige formuleringer (600 mg opløselige tabletter, 600 mg </w:t>
      </w:r>
      <w:proofErr w:type="spellStart"/>
      <w:r w:rsidRPr="00E941B2">
        <w:rPr>
          <w:sz w:val="24"/>
          <w:szCs w:val="24"/>
        </w:rPr>
        <w:t>dispergible</w:t>
      </w:r>
      <w:proofErr w:type="spellEnd"/>
      <w:r w:rsidRPr="00E941B2">
        <w:rPr>
          <w:sz w:val="24"/>
          <w:szCs w:val="24"/>
        </w:rPr>
        <w:t xml:space="preserve"> tabletter, 650 mg almindelige tabletter og 500 mg </w:t>
      </w:r>
      <w:proofErr w:type="spellStart"/>
      <w:r w:rsidRPr="00E941B2">
        <w:rPr>
          <w:sz w:val="24"/>
          <w:szCs w:val="24"/>
        </w:rPr>
        <w:t>enterogranulat</w:t>
      </w:r>
      <w:proofErr w:type="spellEnd"/>
      <w:r w:rsidRPr="00E941B2">
        <w:rPr>
          <w:sz w:val="24"/>
          <w:szCs w:val="24"/>
        </w:rPr>
        <w:t xml:space="preserve">) blev acetylsalicylsyre absorberet hurtigere fra opløselige tabletter og </w:t>
      </w:r>
      <w:proofErr w:type="spellStart"/>
      <w:r w:rsidRPr="00E941B2">
        <w:rPr>
          <w:sz w:val="24"/>
          <w:szCs w:val="24"/>
        </w:rPr>
        <w:t>munddispergible</w:t>
      </w:r>
      <w:proofErr w:type="spellEnd"/>
      <w:r w:rsidRPr="00E941B2">
        <w:rPr>
          <w:sz w:val="24"/>
          <w:szCs w:val="24"/>
        </w:rPr>
        <w:t xml:space="preserve"> tabletter. </w:t>
      </w:r>
      <w:proofErr w:type="spellStart"/>
      <w:r w:rsidRPr="00E941B2">
        <w:rPr>
          <w:sz w:val="24"/>
          <w:szCs w:val="24"/>
        </w:rPr>
        <w:t>T</w:t>
      </w:r>
      <w:r w:rsidRPr="00E941B2">
        <w:rPr>
          <w:sz w:val="24"/>
          <w:szCs w:val="24"/>
          <w:vertAlign w:val="subscript"/>
        </w:rPr>
        <w:t>max</w:t>
      </w:r>
      <w:proofErr w:type="spellEnd"/>
      <w:r w:rsidRPr="00E941B2">
        <w:rPr>
          <w:sz w:val="24"/>
          <w:szCs w:val="24"/>
        </w:rPr>
        <w:t xml:space="preserve"> var signifikant kortere for opløselige tabletter og </w:t>
      </w:r>
      <w:proofErr w:type="spellStart"/>
      <w:r w:rsidRPr="00E941B2">
        <w:rPr>
          <w:sz w:val="24"/>
          <w:szCs w:val="24"/>
        </w:rPr>
        <w:t>munddispergible</w:t>
      </w:r>
      <w:proofErr w:type="spellEnd"/>
      <w:r w:rsidRPr="00E941B2">
        <w:rPr>
          <w:sz w:val="24"/>
          <w:szCs w:val="24"/>
        </w:rPr>
        <w:t xml:space="preserve"> tabletter (hhv. 20,5 ± 2,8 minutter og 28,3 ± 2,6 minutter) end almindelige tabletter (60,4 ± 13,7 minutter) og </w:t>
      </w:r>
      <w:proofErr w:type="spellStart"/>
      <w:r w:rsidRPr="00E941B2">
        <w:rPr>
          <w:sz w:val="24"/>
          <w:szCs w:val="24"/>
        </w:rPr>
        <w:t>enterobelagt</w:t>
      </w:r>
      <w:proofErr w:type="spellEnd"/>
      <w:r w:rsidRPr="00E941B2">
        <w:rPr>
          <w:sz w:val="24"/>
          <w:szCs w:val="24"/>
        </w:rPr>
        <w:t xml:space="preserve"> granulat (288 ± 29,4 minutter). </w:t>
      </w:r>
      <w:proofErr w:type="spellStart"/>
      <w:r w:rsidRPr="00E941B2">
        <w:rPr>
          <w:sz w:val="24"/>
          <w:szCs w:val="24"/>
        </w:rPr>
        <w:t>C</w:t>
      </w:r>
      <w:r w:rsidRPr="00E941B2">
        <w:rPr>
          <w:sz w:val="24"/>
          <w:szCs w:val="24"/>
          <w:vertAlign w:val="subscript"/>
        </w:rPr>
        <w:t>max</w:t>
      </w:r>
      <w:proofErr w:type="spellEnd"/>
      <w:r w:rsidRPr="00E941B2">
        <w:rPr>
          <w:sz w:val="24"/>
          <w:szCs w:val="24"/>
        </w:rPr>
        <w:t xml:space="preserve"> efter administration af de opløselige tabletter var mere end det dobbelte af </w:t>
      </w:r>
      <w:proofErr w:type="spellStart"/>
      <w:r w:rsidRPr="00E941B2">
        <w:rPr>
          <w:sz w:val="24"/>
          <w:szCs w:val="24"/>
        </w:rPr>
        <w:t>munddispergible</w:t>
      </w:r>
      <w:proofErr w:type="spellEnd"/>
      <w:r w:rsidRPr="00E941B2">
        <w:rPr>
          <w:sz w:val="24"/>
          <w:szCs w:val="24"/>
        </w:rPr>
        <w:t xml:space="preserve"> og almindelige tabletter (hhv. 13,82 ± 1,44 µg/ml </w:t>
      </w:r>
      <w:r w:rsidRPr="00E941B2">
        <w:rPr>
          <w:i/>
          <w:iCs/>
          <w:sz w:val="24"/>
          <w:szCs w:val="24"/>
        </w:rPr>
        <w:t>vs.</w:t>
      </w:r>
      <w:r w:rsidRPr="00E941B2">
        <w:rPr>
          <w:sz w:val="24"/>
          <w:szCs w:val="24"/>
        </w:rPr>
        <w:t xml:space="preserve"> 5,66 ± 0,67 µg/ml og 5,51 ± 0,50 µg/ml). </w:t>
      </w:r>
    </w:p>
    <w:p w14:paraId="612509B1" w14:textId="77777777" w:rsidR="00A40C1E" w:rsidRPr="00E941B2" w:rsidRDefault="00A40C1E" w:rsidP="00A40C1E">
      <w:pPr>
        <w:numPr>
          <w:ilvl w:val="12"/>
          <w:numId w:val="0"/>
        </w:numPr>
        <w:ind w:left="851" w:right="-2"/>
        <w:rPr>
          <w:iCs/>
          <w:noProof/>
          <w:sz w:val="24"/>
          <w:szCs w:val="24"/>
        </w:rPr>
      </w:pPr>
    </w:p>
    <w:p w14:paraId="64F1B83F" w14:textId="77777777" w:rsidR="00A40C1E" w:rsidRPr="00E941B2" w:rsidRDefault="00A40C1E" w:rsidP="00A40C1E">
      <w:pPr>
        <w:numPr>
          <w:ilvl w:val="12"/>
          <w:numId w:val="0"/>
        </w:numPr>
        <w:ind w:left="851" w:right="-2"/>
        <w:rPr>
          <w:sz w:val="24"/>
          <w:szCs w:val="24"/>
          <w:u w:val="single"/>
        </w:rPr>
      </w:pPr>
      <w:r w:rsidRPr="00E941B2">
        <w:rPr>
          <w:sz w:val="24"/>
          <w:szCs w:val="24"/>
          <w:u w:val="single"/>
        </w:rPr>
        <w:t>Fordeling</w:t>
      </w:r>
    </w:p>
    <w:p w14:paraId="283626C6" w14:textId="77777777" w:rsidR="00A40C1E" w:rsidRPr="00E941B2" w:rsidRDefault="00A40C1E" w:rsidP="00A40C1E">
      <w:pPr>
        <w:numPr>
          <w:ilvl w:val="12"/>
          <w:numId w:val="0"/>
        </w:numPr>
        <w:ind w:left="851" w:right="-2"/>
        <w:rPr>
          <w:sz w:val="24"/>
          <w:szCs w:val="24"/>
        </w:rPr>
      </w:pPr>
      <w:r w:rsidRPr="00E941B2">
        <w:rPr>
          <w:sz w:val="24"/>
          <w:szCs w:val="24"/>
        </w:rPr>
        <w:t xml:space="preserve">Efter absorption omdannes acetylsalicylsyre hurtigt til salicylsyre, men i løbet af de første tyve minutter efter oral administration er acetylsalicylsyre den dominerende form af lægemidlet i plasmaet. Acetylsalicylsyre er 80 til 90 % bundet til plasmaproteiner og distribueres hurtigt og bredt i de fleste kropsvæv og væsker. Fordelingsvolumen er omtrent det samme som salicylsyre og er generelt 0,15-0,2 l/kg. Når lægemiddelkoncentrationen i plasma øges, bliver bindingsstederne på proteinerne mættede, og fordelingsvolumen stiger. </w:t>
      </w:r>
    </w:p>
    <w:p w14:paraId="407A4442" w14:textId="77777777" w:rsidR="00A40C1E" w:rsidRPr="00E941B2" w:rsidRDefault="00A40C1E" w:rsidP="00A40C1E">
      <w:pPr>
        <w:numPr>
          <w:ilvl w:val="12"/>
          <w:numId w:val="0"/>
        </w:numPr>
        <w:ind w:left="851" w:right="-2"/>
        <w:rPr>
          <w:iCs/>
          <w:noProof/>
          <w:sz w:val="24"/>
          <w:szCs w:val="24"/>
        </w:rPr>
      </w:pPr>
    </w:p>
    <w:p w14:paraId="2D997903" w14:textId="77777777" w:rsidR="00A40C1E" w:rsidRPr="00E941B2" w:rsidRDefault="00A40C1E" w:rsidP="00A40C1E">
      <w:pPr>
        <w:numPr>
          <w:ilvl w:val="12"/>
          <w:numId w:val="0"/>
        </w:numPr>
        <w:ind w:left="851" w:right="-2"/>
        <w:rPr>
          <w:iCs/>
          <w:noProof/>
          <w:sz w:val="24"/>
          <w:szCs w:val="24"/>
        </w:rPr>
      </w:pPr>
      <w:r w:rsidRPr="00E941B2">
        <w:rPr>
          <w:sz w:val="24"/>
          <w:szCs w:val="24"/>
        </w:rPr>
        <w:t xml:space="preserve">Salicylsyre passerer placentabarrieren og udskilles i modermælk. </w:t>
      </w:r>
    </w:p>
    <w:p w14:paraId="73C4242E" w14:textId="77777777" w:rsidR="00A40C1E" w:rsidRPr="00E941B2" w:rsidRDefault="00A40C1E" w:rsidP="00A40C1E">
      <w:pPr>
        <w:numPr>
          <w:ilvl w:val="12"/>
          <w:numId w:val="0"/>
        </w:numPr>
        <w:ind w:left="851" w:right="-2"/>
        <w:rPr>
          <w:sz w:val="24"/>
          <w:szCs w:val="24"/>
          <w:u w:val="single"/>
        </w:rPr>
      </w:pPr>
    </w:p>
    <w:p w14:paraId="46ACEC7A" w14:textId="77777777" w:rsidR="00A40C1E" w:rsidRPr="00E941B2" w:rsidRDefault="00A40C1E" w:rsidP="006B48AD">
      <w:pPr>
        <w:ind w:left="851"/>
        <w:rPr>
          <w:iCs/>
          <w:noProof/>
          <w:sz w:val="24"/>
          <w:szCs w:val="24"/>
          <w:u w:val="single"/>
        </w:rPr>
      </w:pPr>
      <w:r w:rsidRPr="00E941B2">
        <w:rPr>
          <w:sz w:val="24"/>
          <w:szCs w:val="24"/>
          <w:u w:val="single"/>
        </w:rPr>
        <w:t xml:space="preserve">Biotransformation </w:t>
      </w:r>
    </w:p>
    <w:p w14:paraId="72F8D038" w14:textId="77777777" w:rsidR="00A40C1E" w:rsidRPr="00E941B2" w:rsidRDefault="00A40C1E" w:rsidP="00A40C1E">
      <w:pPr>
        <w:numPr>
          <w:ilvl w:val="12"/>
          <w:numId w:val="0"/>
        </w:numPr>
        <w:ind w:left="851" w:right="-2"/>
        <w:rPr>
          <w:iCs/>
          <w:noProof/>
          <w:sz w:val="24"/>
          <w:szCs w:val="24"/>
        </w:rPr>
      </w:pPr>
      <w:r w:rsidRPr="00E941B2">
        <w:rPr>
          <w:sz w:val="24"/>
          <w:szCs w:val="24"/>
        </w:rPr>
        <w:t xml:space="preserve">Salicylsyre elimineres hovedsageligt ved levermetabolisme; metabolitterne omfatter salicylurinsyre, </w:t>
      </w:r>
      <w:proofErr w:type="spellStart"/>
      <w:r w:rsidRPr="00E941B2">
        <w:rPr>
          <w:sz w:val="24"/>
          <w:szCs w:val="24"/>
        </w:rPr>
        <w:t>salicylphenolglukuronid</w:t>
      </w:r>
      <w:proofErr w:type="spellEnd"/>
      <w:r w:rsidRPr="00E941B2">
        <w:rPr>
          <w:sz w:val="24"/>
          <w:szCs w:val="24"/>
        </w:rPr>
        <w:t xml:space="preserve">, </w:t>
      </w:r>
      <w:proofErr w:type="spellStart"/>
      <w:r w:rsidRPr="00E941B2">
        <w:rPr>
          <w:sz w:val="24"/>
          <w:szCs w:val="24"/>
        </w:rPr>
        <w:t>salicylacylglukuronid</w:t>
      </w:r>
      <w:proofErr w:type="spellEnd"/>
      <w:r w:rsidRPr="00E941B2">
        <w:rPr>
          <w:sz w:val="24"/>
          <w:szCs w:val="24"/>
        </w:rPr>
        <w:t xml:space="preserve">, </w:t>
      </w:r>
      <w:proofErr w:type="spellStart"/>
      <w:r w:rsidRPr="00E941B2">
        <w:rPr>
          <w:sz w:val="24"/>
          <w:szCs w:val="24"/>
        </w:rPr>
        <w:t>gentisinsyre</w:t>
      </w:r>
      <w:proofErr w:type="spellEnd"/>
      <w:r w:rsidRPr="00E941B2">
        <w:rPr>
          <w:sz w:val="24"/>
          <w:szCs w:val="24"/>
        </w:rPr>
        <w:t xml:space="preserve"> og </w:t>
      </w:r>
      <w:proofErr w:type="spellStart"/>
      <w:r w:rsidRPr="00E941B2">
        <w:rPr>
          <w:sz w:val="24"/>
          <w:szCs w:val="24"/>
        </w:rPr>
        <w:t>gentisurinsyre</w:t>
      </w:r>
      <w:proofErr w:type="spellEnd"/>
      <w:r w:rsidRPr="00E941B2">
        <w:rPr>
          <w:sz w:val="24"/>
          <w:szCs w:val="24"/>
        </w:rPr>
        <w:t xml:space="preserve">. </w:t>
      </w:r>
    </w:p>
    <w:p w14:paraId="4E58F49F" w14:textId="77777777" w:rsidR="00A40C1E" w:rsidRPr="00E941B2" w:rsidRDefault="00A40C1E" w:rsidP="00A40C1E">
      <w:pPr>
        <w:numPr>
          <w:ilvl w:val="12"/>
          <w:numId w:val="0"/>
        </w:numPr>
        <w:ind w:left="851" w:right="-2"/>
        <w:rPr>
          <w:iCs/>
          <w:noProof/>
          <w:sz w:val="24"/>
          <w:szCs w:val="24"/>
        </w:rPr>
      </w:pPr>
    </w:p>
    <w:p w14:paraId="45AD5067" w14:textId="77777777" w:rsidR="00A40C1E" w:rsidRPr="00E941B2" w:rsidRDefault="00A40C1E" w:rsidP="00A40C1E">
      <w:pPr>
        <w:numPr>
          <w:ilvl w:val="12"/>
          <w:numId w:val="0"/>
        </w:numPr>
        <w:ind w:left="851" w:right="-2"/>
        <w:rPr>
          <w:sz w:val="24"/>
          <w:szCs w:val="24"/>
          <w:u w:val="single"/>
        </w:rPr>
      </w:pPr>
      <w:r w:rsidRPr="00E941B2">
        <w:rPr>
          <w:sz w:val="24"/>
          <w:szCs w:val="24"/>
          <w:u w:val="single"/>
        </w:rPr>
        <w:t>Elimination</w:t>
      </w:r>
    </w:p>
    <w:p w14:paraId="24F254B0" w14:textId="77777777" w:rsidR="00A40C1E" w:rsidRPr="00E941B2" w:rsidRDefault="00A40C1E" w:rsidP="00A40C1E">
      <w:pPr>
        <w:numPr>
          <w:ilvl w:val="12"/>
          <w:numId w:val="0"/>
        </w:numPr>
        <w:ind w:left="851" w:right="-2"/>
        <w:rPr>
          <w:sz w:val="24"/>
          <w:szCs w:val="24"/>
        </w:rPr>
      </w:pPr>
      <w:r w:rsidRPr="00E941B2">
        <w:rPr>
          <w:sz w:val="24"/>
          <w:szCs w:val="24"/>
        </w:rPr>
        <w:t>Elimineringshalveringstiden for acetylsalicylsyre i plasma er ca. 15-20 min. Plasmaacetylsalicylsyre-koncentrationer falder hurtigt, når plasmasalicylsyrekoncentrationer øges.</w:t>
      </w:r>
    </w:p>
    <w:p w14:paraId="7FA7B289" w14:textId="77777777" w:rsidR="00A40C1E" w:rsidRPr="00E941B2" w:rsidRDefault="00A40C1E" w:rsidP="00A40C1E">
      <w:pPr>
        <w:numPr>
          <w:ilvl w:val="12"/>
          <w:numId w:val="0"/>
        </w:numPr>
        <w:ind w:left="851" w:right="-2"/>
        <w:rPr>
          <w:iCs/>
          <w:noProof/>
          <w:sz w:val="24"/>
          <w:szCs w:val="24"/>
        </w:rPr>
      </w:pPr>
    </w:p>
    <w:p w14:paraId="5F79205D" w14:textId="77777777" w:rsidR="00A40C1E" w:rsidRPr="00E941B2" w:rsidRDefault="00A40C1E" w:rsidP="00A40C1E">
      <w:pPr>
        <w:numPr>
          <w:ilvl w:val="12"/>
          <w:numId w:val="0"/>
        </w:numPr>
        <w:ind w:left="851" w:right="-2"/>
        <w:rPr>
          <w:iCs/>
          <w:noProof/>
          <w:sz w:val="24"/>
          <w:szCs w:val="24"/>
        </w:rPr>
      </w:pPr>
      <w:r w:rsidRPr="00E941B2">
        <w:rPr>
          <w:sz w:val="24"/>
          <w:szCs w:val="24"/>
        </w:rPr>
        <w:t xml:space="preserve">Efter oral administration af en dosis på 325 mg acetylsalicylsyre er elimination en første ordens proces, og halveringstiden for serumsalicylsyre er ca. to til tre timer. Ved høje aspirindoser øges halveringstiden til 15-30 timer. Salicylsyre udskilles også uændret i urinen. Mængden, der udskilles ad denne vej, stiger med stigende dosis og afhænger også af pH i urinen, idet ca. 30 % af en dosis udskilles i alkalisk urin sammenlignet med 2 % af en dosis i sur urin. </w:t>
      </w:r>
      <w:proofErr w:type="spellStart"/>
      <w:r w:rsidRPr="00E941B2">
        <w:rPr>
          <w:sz w:val="24"/>
          <w:szCs w:val="24"/>
        </w:rPr>
        <w:t>Renal</w:t>
      </w:r>
      <w:proofErr w:type="spellEnd"/>
      <w:r w:rsidRPr="00E941B2">
        <w:rPr>
          <w:sz w:val="24"/>
          <w:szCs w:val="24"/>
        </w:rPr>
        <w:t xml:space="preserve"> udskillelse involverer </w:t>
      </w:r>
      <w:proofErr w:type="spellStart"/>
      <w:r w:rsidRPr="00E941B2">
        <w:rPr>
          <w:sz w:val="24"/>
          <w:szCs w:val="24"/>
        </w:rPr>
        <w:t>glomerulær</w:t>
      </w:r>
      <w:proofErr w:type="spellEnd"/>
      <w:r w:rsidRPr="00E941B2">
        <w:rPr>
          <w:sz w:val="24"/>
          <w:szCs w:val="24"/>
        </w:rPr>
        <w:t xml:space="preserve"> filtrering, aktiv </w:t>
      </w:r>
      <w:proofErr w:type="spellStart"/>
      <w:r w:rsidRPr="00E941B2">
        <w:rPr>
          <w:sz w:val="24"/>
          <w:szCs w:val="24"/>
        </w:rPr>
        <w:t>renal</w:t>
      </w:r>
      <w:proofErr w:type="spellEnd"/>
      <w:r w:rsidRPr="00E941B2">
        <w:rPr>
          <w:sz w:val="24"/>
          <w:szCs w:val="24"/>
        </w:rPr>
        <w:t xml:space="preserve"> </w:t>
      </w:r>
      <w:proofErr w:type="spellStart"/>
      <w:r w:rsidRPr="00E941B2">
        <w:rPr>
          <w:sz w:val="24"/>
          <w:szCs w:val="24"/>
        </w:rPr>
        <w:t>tubulær</w:t>
      </w:r>
      <w:proofErr w:type="spellEnd"/>
      <w:r w:rsidRPr="00E941B2">
        <w:rPr>
          <w:sz w:val="24"/>
          <w:szCs w:val="24"/>
        </w:rPr>
        <w:t xml:space="preserve"> sekretion og passiv </w:t>
      </w:r>
      <w:proofErr w:type="spellStart"/>
      <w:r w:rsidRPr="00E941B2">
        <w:rPr>
          <w:sz w:val="24"/>
          <w:szCs w:val="24"/>
        </w:rPr>
        <w:t>tubulær</w:t>
      </w:r>
      <w:proofErr w:type="spellEnd"/>
      <w:r w:rsidRPr="00E941B2">
        <w:rPr>
          <w:sz w:val="24"/>
          <w:szCs w:val="24"/>
        </w:rPr>
        <w:t xml:space="preserve"> resorption. </w:t>
      </w:r>
      <w:proofErr w:type="spellStart"/>
      <w:r w:rsidRPr="00E941B2">
        <w:rPr>
          <w:sz w:val="24"/>
          <w:szCs w:val="24"/>
        </w:rPr>
        <w:t>Salicylater</w:t>
      </w:r>
      <w:proofErr w:type="spellEnd"/>
      <w:r w:rsidRPr="00E941B2">
        <w:rPr>
          <w:sz w:val="24"/>
          <w:szCs w:val="24"/>
        </w:rPr>
        <w:t xml:space="preserve"> fjernes ved hæmodialyse.</w:t>
      </w:r>
    </w:p>
    <w:p w14:paraId="3026D584" w14:textId="77777777" w:rsidR="009260DE" w:rsidRPr="00E941B2" w:rsidRDefault="009260DE" w:rsidP="009260DE">
      <w:pPr>
        <w:tabs>
          <w:tab w:val="left" w:pos="851"/>
        </w:tabs>
        <w:ind w:left="851"/>
        <w:rPr>
          <w:sz w:val="24"/>
          <w:szCs w:val="24"/>
        </w:rPr>
      </w:pPr>
    </w:p>
    <w:p w14:paraId="5CD9F42E" w14:textId="7D678D4B" w:rsidR="009260DE" w:rsidRPr="00E941B2" w:rsidRDefault="009260DE" w:rsidP="009260DE">
      <w:pPr>
        <w:tabs>
          <w:tab w:val="left" w:pos="851"/>
        </w:tabs>
        <w:ind w:left="851" w:hanging="851"/>
        <w:rPr>
          <w:b/>
          <w:sz w:val="24"/>
          <w:szCs w:val="24"/>
        </w:rPr>
      </w:pPr>
      <w:r w:rsidRPr="00E941B2">
        <w:rPr>
          <w:b/>
          <w:sz w:val="24"/>
          <w:szCs w:val="24"/>
        </w:rPr>
        <w:t>5.3</w:t>
      </w:r>
      <w:r w:rsidRPr="00E941B2">
        <w:rPr>
          <w:b/>
          <w:sz w:val="24"/>
          <w:szCs w:val="24"/>
        </w:rPr>
        <w:tab/>
      </w:r>
      <w:r w:rsidR="00E64D25">
        <w:rPr>
          <w:b/>
          <w:sz w:val="24"/>
          <w:szCs w:val="24"/>
        </w:rPr>
        <w:t>Non-</w:t>
      </w:r>
      <w:r w:rsidRPr="00E941B2">
        <w:rPr>
          <w:b/>
          <w:sz w:val="24"/>
          <w:szCs w:val="24"/>
        </w:rPr>
        <w:t>kliniske sikkerhedsdata</w:t>
      </w:r>
    </w:p>
    <w:p w14:paraId="70AA59B9" w14:textId="77777777" w:rsidR="00A40C1E" w:rsidRPr="00E941B2" w:rsidRDefault="00A40C1E" w:rsidP="00A40C1E">
      <w:pPr>
        <w:tabs>
          <w:tab w:val="left" w:pos="851"/>
        </w:tabs>
        <w:ind w:left="851"/>
        <w:rPr>
          <w:sz w:val="24"/>
          <w:szCs w:val="24"/>
          <w:lang w:eastAsia="da-DK"/>
        </w:rPr>
      </w:pPr>
      <w:r w:rsidRPr="00E941B2">
        <w:rPr>
          <w:sz w:val="24"/>
          <w:szCs w:val="24"/>
        </w:rPr>
        <w:t>Enkeltdosisundersøgelser har vist, at acetylsalicylsyres orale toksicitet er lav.</w:t>
      </w:r>
    </w:p>
    <w:p w14:paraId="52410CE9" w14:textId="77777777" w:rsidR="00A40C1E" w:rsidRPr="00E941B2" w:rsidRDefault="00A40C1E" w:rsidP="00A40C1E">
      <w:pPr>
        <w:tabs>
          <w:tab w:val="left" w:pos="851"/>
        </w:tabs>
        <w:ind w:left="851"/>
        <w:rPr>
          <w:sz w:val="24"/>
          <w:szCs w:val="24"/>
        </w:rPr>
      </w:pPr>
    </w:p>
    <w:p w14:paraId="2499267B" w14:textId="77777777" w:rsidR="00A40C1E" w:rsidRPr="00E941B2" w:rsidRDefault="00A40C1E" w:rsidP="00A40C1E">
      <w:pPr>
        <w:tabs>
          <w:tab w:val="left" w:pos="851"/>
        </w:tabs>
        <w:ind w:left="851"/>
        <w:rPr>
          <w:sz w:val="24"/>
          <w:szCs w:val="24"/>
        </w:rPr>
      </w:pPr>
      <w:r w:rsidRPr="00E941B2">
        <w:rPr>
          <w:sz w:val="24"/>
          <w:szCs w:val="24"/>
        </w:rPr>
        <w:t xml:space="preserve">Toksicitetsundersøgelser efter gentagen dosis har vist, at niveauer op til 200 mg/kg/dag tolereres godt hos rotter. Hunde ser ud til at være mere følsomme, sandsynligvis på grund af hundens høje følsomhed over for NSAID-præparaters </w:t>
      </w:r>
      <w:proofErr w:type="spellStart"/>
      <w:r w:rsidRPr="00E941B2">
        <w:rPr>
          <w:sz w:val="24"/>
          <w:szCs w:val="24"/>
        </w:rPr>
        <w:t>ulcerogene</w:t>
      </w:r>
      <w:proofErr w:type="spellEnd"/>
      <w:r w:rsidRPr="00E941B2">
        <w:rPr>
          <w:sz w:val="24"/>
          <w:szCs w:val="24"/>
        </w:rPr>
        <w:t xml:space="preserve"> virkninger. </w:t>
      </w:r>
    </w:p>
    <w:p w14:paraId="2265FC60" w14:textId="77777777" w:rsidR="00A40C1E" w:rsidRPr="00E941B2" w:rsidRDefault="00A40C1E" w:rsidP="00A40C1E">
      <w:pPr>
        <w:tabs>
          <w:tab w:val="left" w:pos="851"/>
        </w:tabs>
        <w:ind w:left="851"/>
        <w:rPr>
          <w:sz w:val="24"/>
          <w:szCs w:val="24"/>
        </w:rPr>
      </w:pPr>
    </w:p>
    <w:p w14:paraId="3D8FB17D" w14:textId="77777777" w:rsidR="00A40C1E" w:rsidRPr="00E941B2" w:rsidRDefault="00A40C1E" w:rsidP="00A40C1E">
      <w:pPr>
        <w:tabs>
          <w:tab w:val="left" w:pos="851"/>
        </w:tabs>
        <w:ind w:left="851"/>
        <w:rPr>
          <w:sz w:val="24"/>
          <w:szCs w:val="24"/>
        </w:rPr>
      </w:pPr>
      <w:r w:rsidRPr="00E941B2">
        <w:rPr>
          <w:sz w:val="24"/>
          <w:szCs w:val="24"/>
        </w:rPr>
        <w:t xml:space="preserve">Der er ikke fundet genotoksicitets- eller </w:t>
      </w:r>
      <w:proofErr w:type="spellStart"/>
      <w:r w:rsidRPr="00E941B2">
        <w:rPr>
          <w:sz w:val="24"/>
          <w:szCs w:val="24"/>
        </w:rPr>
        <w:t>clastogenicitetsproblemer</w:t>
      </w:r>
      <w:proofErr w:type="spellEnd"/>
      <w:r w:rsidRPr="00E941B2">
        <w:rPr>
          <w:sz w:val="24"/>
          <w:szCs w:val="24"/>
        </w:rPr>
        <w:t xml:space="preserve"> med acetylsalicylsyre. Selvom der ikke er udført nogen formelle </w:t>
      </w:r>
      <w:proofErr w:type="spellStart"/>
      <w:r w:rsidRPr="00E941B2">
        <w:rPr>
          <w:sz w:val="24"/>
          <w:szCs w:val="24"/>
        </w:rPr>
        <w:t>karcinogene</w:t>
      </w:r>
      <w:proofErr w:type="spellEnd"/>
      <w:r w:rsidRPr="00E941B2">
        <w:rPr>
          <w:sz w:val="24"/>
          <w:szCs w:val="24"/>
        </w:rPr>
        <w:t xml:space="preserve"> undersøgelser med acetylsalicylsyre, har det vist sig, at det ikke er en tumorpromotor.</w:t>
      </w:r>
    </w:p>
    <w:p w14:paraId="4C98CE3E" w14:textId="77777777" w:rsidR="00A40C1E" w:rsidRPr="00E941B2" w:rsidRDefault="00A40C1E" w:rsidP="00A40C1E">
      <w:pPr>
        <w:tabs>
          <w:tab w:val="left" w:pos="851"/>
        </w:tabs>
        <w:ind w:left="851"/>
        <w:rPr>
          <w:sz w:val="24"/>
          <w:szCs w:val="24"/>
        </w:rPr>
      </w:pPr>
    </w:p>
    <w:p w14:paraId="1D2D0574" w14:textId="77777777" w:rsidR="00A40C1E" w:rsidRPr="00E941B2" w:rsidRDefault="00A40C1E" w:rsidP="00A40C1E">
      <w:pPr>
        <w:tabs>
          <w:tab w:val="left" w:pos="851"/>
        </w:tabs>
        <w:ind w:left="851"/>
        <w:rPr>
          <w:sz w:val="24"/>
          <w:szCs w:val="24"/>
        </w:rPr>
      </w:pPr>
      <w:r w:rsidRPr="00E941B2">
        <w:rPr>
          <w:sz w:val="24"/>
          <w:szCs w:val="24"/>
        </w:rPr>
        <w:t xml:space="preserve">Reproduktionstoksicitetsdata viser, at acetylsalicylsyre er </w:t>
      </w:r>
      <w:proofErr w:type="spellStart"/>
      <w:r w:rsidRPr="00E941B2">
        <w:rPr>
          <w:sz w:val="24"/>
          <w:szCs w:val="24"/>
        </w:rPr>
        <w:t>teratogent</w:t>
      </w:r>
      <w:proofErr w:type="spellEnd"/>
      <w:r w:rsidRPr="00E941B2">
        <w:rPr>
          <w:sz w:val="24"/>
          <w:szCs w:val="24"/>
        </w:rPr>
        <w:t xml:space="preserve"> i flere forsøgsdyr.</w:t>
      </w:r>
    </w:p>
    <w:p w14:paraId="63370051" w14:textId="77777777" w:rsidR="00A40C1E" w:rsidRPr="00E941B2" w:rsidRDefault="00A40C1E" w:rsidP="00A40C1E">
      <w:pPr>
        <w:tabs>
          <w:tab w:val="left" w:pos="851"/>
        </w:tabs>
        <w:ind w:left="851"/>
        <w:rPr>
          <w:sz w:val="24"/>
          <w:szCs w:val="24"/>
        </w:rPr>
      </w:pPr>
    </w:p>
    <w:p w14:paraId="501400B6" w14:textId="77777777" w:rsidR="00A40C1E" w:rsidRPr="00E941B2" w:rsidRDefault="00A40C1E" w:rsidP="00A40C1E">
      <w:pPr>
        <w:tabs>
          <w:tab w:val="left" w:pos="851"/>
        </w:tabs>
        <w:ind w:left="851"/>
        <w:rPr>
          <w:sz w:val="24"/>
          <w:szCs w:val="24"/>
        </w:rPr>
      </w:pPr>
      <w:r w:rsidRPr="00E941B2">
        <w:rPr>
          <w:sz w:val="24"/>
          <w:szCs w:val="24"/>
        </w:rPr>
        <w:t xml:space="preserve">Hos dyr har administration af en </w:t>
      </w:r>
      <w:proofErr w:type="spellStart"/>
      <w:r w:rsidRPr="00E941B2">
        <w:rPr>
          <w:sz w:val="24"/>
          <w:szCs w:val="24"/>
        </w:rPr>
        <w:t>prostaglandinsyntesehæmmer</w:t>
      </w:r>
      <w:proofErr w:type="spellEnd"/>
      <w:r w:rsidRPr="00E941B2">
        <w:rPr>
          <w:sz w:val="24"/>
          <w:szCs w:val="24"/>
        </w:rPr>
        <w:t xml:space="preserve"> vist sig at resultere i øget tab før og efter implantation og </w:t>
      </w:r>
      <w:proofErr w:type="spellStart"/>
      <w:r w:rsidRPr="00E941B2">
        <w:rPr>
          <w:sz w:val="24"/>
          <w:szCs w:val="24"/>
        </w:rPr>
        <w:t>embryoføtal</w:t>
      </w:r>
      <w:proofErr w:type="spellEnd"/>
      <w:r w:rsidRPr="00E941B2">
        <w:rPr>
          <w:sz w:val="24"/>
          <w:szCs w:val="24"/>
        </w:rPr>
        <w:t xml:space="preserve"> dødelighed. Derudover er der indberettet øgede forekomster af forskellige misdannelser, herunder </w:t>
      </w:r>
      <w:proofErr w:type="spellStart"/>
      <w:r w:rsidRPr="00E941B2">
        <w:rPr>
          <w:sz w:val="24"/>
          <w:szCs w:val="24"/>
        </w:rPr>
        <w:t>kardiovaskulære</w:t>
      </w:r>
      <w:proofErr w:type="spellEnd"/>
      <w:r w:rsidRPr="00E941B2">
        <w:rPr>
          <w:sz w:val="24"/>
          <w:szCs w:val="24"/>
        </w:rPr>
        <w:t xml:space="preserve">, hos dyr, der har fået en </w:t>
      </w:r>
      <w:proofErr w:type="spellStart"/>
      <w:r w:rsidRPr="00E941B2">
        <w:rPr>
          <w:sz w:val="24"/>
          <w:szCs w:val="24"/>
        </w:rPr>
        <w:t>prostaglandinsyntesehæmmer</w:t>
      </w:r>
      <w:proofErr w:type="spellEnd"/>
      <w:r w:rsidRPr="00E941B2">
        <w:rPr>
          <w:sz w:val="24"/>
          <w:szCs w:val="24"/>
        </w:rPr>
        <w:t xml:space="preserve"> i den </w:t>
      </w:r>
      <w:proofErr w:type="spellStart"/>
      <w:r w:rsidRPr="00E941B2">
        <w:rPr>
          <w:sz w:val="24"/>
          <w:szCs w:val="24"/>
        </w:rPr>
        <w:t>organogenetiske</w:t>
      </w:r>
      <w:proofErr w:type="spellEnd"/>
      <w:r w:rsidRPr="00E941B2">
        <w:rPr>
          <w:sz w:val="24"/>
          <w:szCs w:val="24"/>
        </w:rPr>
        <w:t xml:space="preserve"> periode.</w:t>
      </w:r>
    </w:p>
    <w:p w14:paraId="3DE2F495" w14:textId="77777777" w:rsidR="009260DE" w:rsidRPr="00E941B2" w:rsidRDefault="009260DE" w:rsidP="009260DE">
      <w:pPr>
        <w:tabs>
          <w:tab w:val="left" w:pos="851"/>
        </w:tabs>
        <w:ind w:left="851"/>
        <w:rPr>
          <w:sz w:val="24"/>
          <w:szCs w:val="24"/>
        </w:rPr>
      </w:pPr>
    </w:p>
    <w:p w14:paraId="46CDCA07" w14:textId="77777777" w:rsidR="009260DE" w:rsidRPr="00E941B2" w:rsidRDefault="009260DE" w:rsidP="009260DE">
      <w:pPr>
        <w:tabs>
          <w:tab w:val="left" w:pos="851"/>
        </w:tabs>
        <w:ind w:left="851"/>
        <w:rPr>
          <w:sz w:val="24"/>
          <w:szCs w:val="24"/>
        </w:rPr>
      </w:pPr>
    </w:p>
    <w:p w14:paraId="5FCC3679" w14:textId="77777777" w:rsidR="009260DE" w:rsidRPr="00E941B2" w:rsidRDefault="009260DE" w:rsidP="009260DE">
      <w:pPr>
        <w:tabs>
          <w:tab w:val="left" w:pos="851"/>
        </w:tabs>
        <w:ind w:left="851" w:hanging="851"/>
        <w:rPr>
          <w:b/>
          <w:sz w:val="24"/>
          <w:szCs w:val="24"/>
        </w:rPr>
      </w:pPr>
      <w:r w:rsidRPr="00E941B2">
        <w:rPr>
          <w:b/>
          <w:sz w:val="24"/>
          <w:szCs w:val="24"/>
        </w:rPr>
        <w:t>6.</w:t>
      </w:r>
      <w:r w:rsidRPr="00E941B2">
        <w:rPr>
          <w:b/>
          <w:sz w:val="24"/>
          <w:szCs w:val="24"/>
        </w:rPr>
        <w:tab/>
        <w:t>FARMACEUTISKE OPLYSNINGER</w:t>
      </w:r>
    </w:p>
    <w:p w14:paraId="3852A82F" w14:textId="77777777" w:rsidR="009260DE" w:rsidRPr="00E941B2" w:rsidRDefault="009260DE" w:rsidP="009260DE">
      <w:pPr>
        <w:tabs>
          <w:tab w:val="left" w:pos="851"/>
        </w:tabs>
        <w:ind w:left="851"/>
        <w:rPr>
          <w:sz w:val="24"/>
          <w:szCs w:val="24"/>
        </w:rPr>
      </w:pPr>
    </w:p>
    <w:p w14:paraId="560ADFF3" w14:textId="77777777" w:rsidR="009260DE" w:rsidRPr="00E941B2" w:rsidRDefault="009260DE" w:rsidP="009260DE">
      <w:pPr>
        <w:tabs>
          <w:tab w:val="left" w:pos="851"/>
        </w:tabs>
        <w:ind w:left="851" w:hanging="851"/>
        <w:rPr>
          <w:b/>
          <w:sz w:val="24"/>
          <w:szCs w:val="24"/>
        </w:rPr>
      </w:pPr>
      <w:r w:rsidRPr="00E941B2">
        <w:rPr>
          <w:b/>
          <w:sz w:val="24"/>
          <w:szCs w:val="24"/>
        </w:rPr>
        <w:t>6.1</w:t>
      </w:r>
      <w:r w:rsidRPr="00E941B2">
        <w:rPr>
          <w:b/>
          <w:sz w:val="24"/>
          <w:szCs w:val="24"/>
        </w:rPr>
        <w:tab/>
        <w:t>Hjælpestoffer</w:t>
      </w:r>
    </w:p>
    <w:p w14:paraId="743D0EBD" w14:textId="77777777" w:rsidR="00A40C1E" w:rsidRPr="00E941B2" w:rsidRDefault="00A40C1E" w:rsidP="00A40C1E">
      <w:pPr>
        <w:ind w:left="851"/>
        <w:rPr>
          <w:sz w:val="24"/>
          <w:szCs w:val="24"/>
          <w:u w:val="single"/>
          <w:lang w:eastAsia="da-DK"/>
        </w:rPr>
      </w:pPr>
      <w:r w:rsidRPr="00E941B2">
        <w:rPr>
          <w:sz w:val="24"/>
          <w:szCs w:val="24"/>
          <w:u w:val="single"/>
        </w:rPr>
        <w:t>Pulver</w:t>
      </w:r>
    </w:p>
    <w:p w14:paraId="656B6D82" w14:textId="77777777" w:rsidR="00A40C1E" w:rsidRPr="00E941B2" w:rsidRDefault="00A40C1E" w:rsidP="00A40C1E">
      <w:pPr>
        <w:ind w:left="851"/>
        <w:rPr>
          <w:sz w:val="24"/>
          <w:szCs w:val="24"/>
        </w:rPr>
      </w:pPr>
      <w:r w:rsidRPr="00E941B2">
        <w:rPr>
          <w:sz w:val="24"/>
          <w:szCs w:val="24"/>
        </w:rPr>
        <w:t>Ingen</w:t>
      </w:r>
    </w:p>
    <w:p w14:paraId="6554F003" w14:textId="77777777" w:rsidR="00A40C1E" w:rsidRPr="00E941B2" w:rsidRDefault="00A40C1E" w:rsidP="00A40C1E">
      <w:pPr>
        <w:ind w:left="851"/>
        <w:rPr>
          <w:sz w:val="24"/>
          <w:szCs w:val="24"/>
        </w:rPr>
      </w:pPr>
    </w:p>
    <w:p w14:paraId="0688907D" w14:textId="77777777" w:rsidR="00A40C1E" w:rsidRPr="00E941B2" w:rsidRDefault="00A40C1E" w:rsidP="00A40C1E">
      <w:pPr>
        <w:ind w:left="851"/>
        <w:rPr>
          <w:sz w:val="24"/>
          <w:szCs w:val="24"/>
          <w:u w:val="single"/>
        </w:rPr>
      </w:pPr>
      <w:r w:rsidRPr="00E941B2">
        <w:rPr>
          <w:sz w:val="24"/>
          <w:szCs w:val="24"/>
          <w:u w:val="single"/>
        </w:rPr>
        <w:t>Solvens</w:t>
      </w:r>
    </w:p>
    <w:p w14:paraId="401BC661" w14:textId="77777777" w:rsidR="00A40C1E" w:rsidRPr="00E941B2" w:rsidRDefault="00A40C1E" w:rsidP="00A40C1E">
      <w:pPr>
        <w:ind w:left="851"/>
        <w:rPr>
          <w:sz w:val="24"/>
          <w:szCs w:val="24"/>
        </w:rPr>
      </w:pPr>
      <w:r w:rsidRPr="00E941B2">
        <w:rPr>
          <w:sz w:val="24"/>
          <w:szCs w:val="24"/>
        </w:rPr>
        <w:t>Natriumcitrat</w:t>
      </w:r>
    </w:p>
    <w:p w14:paraId="04964F35" w14:textId="77777777" w:rsidR="00A40C1E" w:rsidRPr="00E941B2" w:rsidRDefault="00A40C1E" w:rsidP="00A40C1E">
      <w:pPr>
        <w:ind w:left="851"/>
        <w:rPr>
          <w:noProof/>
          <w:sz w:val="24"/>
          <w:szCs w:val="24"/>
        </w:rPr>
      </w:pPr>
      <w:proofErr w:type="spellStart"/>
      <w:r w:rsidRPr="00E941B2">
        <w:rPr>
          <w:sz w:val="24"/>
          <w:szCs w:val="24"/>
        </w:rPr>
        <w:t>Natriumcarbonat</w:t>
      </w:r>
      <w:proofErr w:type="spellEnd"/>
    </w:p>
    <w:p w14:paraId="1569612C" w14:textId="77777777" w:rsidR="00A40C1E" w:rsidRPr="00E941B2" w:rsidRDefault="00A40C1E" w:rsidP="00A40C1E">
      <w:pPr>
        <w:ind w:left="851"/>
        <w:rPr>
          <w:noProof/>
          <w:sz w:val="24"/>
          <w:szCs w:val="24"/>
        </w:rPr>
      </w:pPr>
      <w:r w:rsidRPr="00E941B2">
        <w:rPr>
          <w:sz w:val="24"/>
          <w:szCs w:val="24"/>
        </w:rPr>
        <w:t>Renset vand</w:t>
      </w:r>
    </w:p>
    <w:p w14:paraId="4451C384" w14:textId="77777777" w:rsidR="009260DE" w:rsidRPr="00E941B2" w:rsidRDefault="009260DE" w:rsidP="009260DE">
      <w:pPr>
        <w:tabs>
          <w:tab w:val="left" w:pos="851"/>
        </w:tabs>
        <w:ind w:left="851"/>
        <w:rPr>
          <w:sz w:val="24"/>
          <w:szCs w:val="24"/>
        </w:rPr>
      </w:pPr>
    </w:p>
    <w:p w14:paraId="0FC67918" w14:textId="77777777" w:rsidR="009260DE" w:rsidRPr="00E941B2" w:rsidRDefault="009260DE" w:rsidP="009260DE">
      <w:pPr>
        <w:tabs>
          <w:tab w:val="left" w:pos="851"/>
        </w:tabs>
        <w:ind w:left="851" w:hanging="851"/>
        <w:rPr>
          <w:b/>
          <w:sz w:val="24"/>
          <w:szCs w:val="24"/>
        </w:rPr>
      </w:pPr>
      <w:r w:rsidRPr="00E941B2">
        <w:rPr>
          <w:b/>
          <w:sz w:val="24"/>
          <w:szCs w:val="24"/>
        </w:rPr>
        <w:t>6.2</w:t>
      </w:r>
      <w:r w:rsidRPr="00E941B2">
        <w:rPr>
          <w:b/>
          <w:sz w:val="24"/>
          <w:szCs w:val="24"/>
        </w:rPr>
        <w:tab/>
        <w:t>Uforligeligheder</w:t>
      </w:r>
    </w:p>
    <w:p w14:paraId="6A0CD38E" w14:textId="77777777" w:rsidR="00A40C1E" w:rsidRPr="00E941B2" w:rsidRDefault="00A40C1E" w:rsidP="00A40C1E">
      <w:pPr>
        <w:tabs>
          <w:tab w:val="left" w:pos="851"/>
        </w:tabs>
        <w:ind w:left="851"/>
        <w:rPr>
          <w:sz w:val="24"/>
          <w:szCs w:val="24"/>
          <w:lang w:eastAsia="da-DK"/>
        </w:rPr>
      </w:pPr>
      <w:r w:rsidRPr="00E941B2">
        <w:rPr>
          <w:sz w:val="24"/>
          <w:szCs w:val="24"/>
        </w:rPr>
        <w:t>Ikke relevant.</w:t>
      </w:r>
    </w:p>
    <w:p w14:paraId="0F65EAD4" w14:textId="77777777" w:rsidR="009260DE" w:rsidRPr="00E941B2" w:rsidRDefault="009260DE" w:rsidP="009260DE">
      <w:pPr>
        <w:tabs>
          <w:tab w:val="left" w:pos="851"/>
        </w:tabs>
        <w:ind w:left="851"/>
        <w:rPr>
          <w:sz w:val="24"/>
          <w:szCs w:val="24"/>
        </w:rPr>
      </w:pPr>
    </w:p>
    <w:p w14:paraId="53EE7060" w14:textId="77777777" w:rsidR="009260DE" w:rsidRPr="00E941B2" w:rsidRDefault="009260DE" w:rsidP="009260DE">
      <w:pPr>
        <w:tabs>
          <w:tab w:val="left" w:pos="851"/>
        </w:tabs>
        <w:ind w:left="851" w:hanging="851"/>
        <w:rPr>
          <w:b/>
          <w:sz w:val="24"/>
          <w:szCs w:val="24"/>
        </w:rPr>
      </w:pPr>
      <w:r w:rsidRPr="00E941B2">
        <w:rPr>
          <w:b/>
          <w:sz w:val="24"/>
          <w:szCs w:val="24"/>
        </w:rPr>
        <w:t>6.3</w:t>
      </w:r>
      <w:r w:rsidRPr="00E941B2">
        <w:rPr>
          <w:b/>
          <w:sz w:val="24"/>
          <w:szCs w:val="24"/>
        </w:rPr>
        <w:tab/>
        <w:t>Opbevaringstid</w:t>
      </w:r>
    </w:p>
    <w:p w14:paraId="3134C7B3" w14:textId="25491C88" w:rsidR="00A40C1E" w:rsidRPr="00E941B2" w:rsidRDefault="00E64D25" w:rsidP="00A40C1E">
      <w:pPr>
        <w:ind w:left="851"/>
        <w:rPr>
          <w:noProof/>
          <w:sz w:val="24"/>
          <w:szCs w:val="24"/>
          <w:lang w:eastAsia="da-DK"/>
        </w:rPr>
      </w:pPr>
      <w:r>
        <w:rPr>
          <w:sz w:val="24"/>
          <w:szCs w:val="24"/>
        </w:rPr>
        <w:t>2 år.</w:t>
      </w:r>
    </w:p>
    <w:p w14:paraId="50DDE56F" w14:textId="77777777" w:rsidR="00A40C1E" w:rsidRPr="00E941B2" w:rsidRDefault="00A40C1E" w:rsidP="00A40C1E">
      <w:pPr>
        <w:ind w:left="851"/>
        <w:rPr>
          <w:noProof/>
          <w:sz w:val="24"/>
          <w:szCs w:val="24"/>
        </w:rPr>
      </w:pPr>
    </w:p>
    <w:p w14:paraId="6BB7B122" w14:textId="77777777" w:rsidR="00A40C1E" w:rsidRPr="00E941B2" w:rsidRDefault="00A40C1E" w:rsidP="00A40C1E">
      <w:pPr>
        <w:ind w:left="851"/>
        <w:rPr>
          <w:noProof/>
          <w:sz w:val="24"/>
          <w:szCs w:val="24"/>
        </w:rPr>
      </w:pPr>
      <w:r w:rsidRPr="00E941B2">
        <w:rPr>
          <w:sz w:val="24"/>
          <w:szCs w:val="24"/>
        </w:rPr>
        <w:t xml:space="preserve">Holdbarhed efter </w:t>
      </w:r>
      <w:proofErr w:type="spellStart"/>
      <w:r w:rsidRPr="00E941B2">
        <w:rPr>
          <w:sz w:val="24"/>
          <w:szCs w:val="24"/>
        </w:rPr>
        <w:t>rekonstitution</w:t>
      </w:r>
      <w:proofErr w:type="spellEnd"/>
      <w:r w:rsidRPr="00E941B2">
        <w:rPr>
          <w:sz w:val="24"/>
          <w:szCs w:val="24"/>
        </w:rPr>
        <w:t xml:space="preserve">: Lægemidlet skal administreres inden for 5 minutter efter </w:t>
      </w:r>
      <w:proofErr w:type="spellStart"/>
      <w:r w:rsidRPr="00E941B2">
        <w:rPr>
          <w:sz w:val="24"/>
          <w:szCs w:val="24"/>
        </w:rPr>
        <w:t>rekonstitution</w:t>
      </w:r>
      <w:proofErr w:type="spellEnd"/>
      <w:r w:rsidRPr="00E941B2">
        <w:rPr>
          <w:sz w:val="24"/>
          <w:szCs w:val="24"/>
        </w:rPr>
        <w:t>.</w:t>
      </w:r>
    </w:p>
    <w:p w14:paraId="7F61E88F" w14:textId="77777777" w:rsidR="009260DE" w:rsidRPr="00E941B2" w:rsidRDefault="009260DE" w:rsidP="009260DE">
      <w:pPr>
        <w:tabs>
          <w:tab w:val="left" w:pos="851"/>
        </w:tabs>
        <w:ind w:left="851"/>
        <w:rPr>
          <w:sz w:val="24"/>
          <w:szCs w:val="24"/>
        </w:rPr>
      </w:pPr>
    </w:p>
    <w:p w14:paraId="6A23C4D6" w14:textId="77777777" w:rsidR="009260DE" w:rsidRPr="00E941B2" w:rsidRDefault="009260DE" w:rsidP="009260DE">
      <w:pPr>
        <w:tabs>
          <w:tab w:val="left" w:pos="851"/>
        </w:tabs>
        <w:ind w:left="851" w:hanging="851"/>
        <w:rPr>
          <w:b/>
          <w:sz w:val="24"/>
          <w:szCs w:val="24"/>
        </w:rPr>
      </w:pPr>
      <w:r w:rsidRPr="00E941B2">
        <w:rPr>
          <w:b/>
          <w:sz w:val="24"/>
          <w:szCs w:val="24"/>
        </w:rPr>
        <w:t>6.4</w:t>
      </w:r>
      <w:r w:rsidRPr="00E941B2">
        <w:rPr>
          <w:b/>
          <w:sz w:val="24"/>
          <w:szCs w:val="24"/>
        </w:rPr>
        <w:tab/>
        <w:t>Særlige opbevaringsforhold</w:t>
      </w:r>
    </w:p>
    <w:p w14:paraId="5AFB90A0" w14:textId="77777777" w:rsidR="00A40C1E" w:rsidRPr="00E941B2" w:rsidRDefault="00A40C1E" w:rsidP="00A40C1E">
      <w:pPr>
        <w:tabs>
          <w:tab w:val="left" w:pos="851"/>
        </w:tabs>
        <w:ind w:left="851"/>
        <w:rPr>
          <w:sz w:val="24"/>
          <w:szCs w:val="24"/>
          <w:lang w:eastAsia="da-DK"/>
        </w:rPr>
      </w:pPr>
      <w:r w:rsidRPr="00E941B2">
        <w:rPr>
          <w:sz w:val="24"/>
          <w:szCs w:val="24"/>
        </w:rPr>
        <w:t>Må ikke nedfryses.</w:t>
      </w:r>
    </w:p>
    <w:p w14:paraId="7FE82143" w14:textId="77777777" w:rsidR="00A40C1E" w:rsidRPr="00E941B2" w:rsidRDefault="00A40C1E" w:rsidP="00A40C1E">
      <w:pPr>
        <w:tabs>
          <w:tab w:val="left" w:pos="851"/>
        </w:tabs>
        <w:ind w:left="851"/>
        <w:rPr>
          <w:sz w:val="24"/>
          <w:szCs w:val="24"/>
        </w:rPr>
      </w:pPr>
      <w:r w:rsidRPr="00E941B2">
        <w:rPr>
          <w:sz w:val="24"/>
          <w:szCs w:val="24"/>
        </w:rPr>
        <w:t xml:space="preserve">Opbevaringsforhold efter </w:t>
      </w:r>
      <w:proofErr w:type="spellStart"/>
      <w:r w:rsidRPr="00E941B2">
        <w:rPr>
          <w:sz w:val="24"/>
          <w:szCs w:val="24"/>
        </w:rPr>
        <w:t>rekonstitution</w:t>
      </w:r>
      <w:proofErr w:type="spellEnd"/>
      <w:r w:rsidRPr="00E941B2">
        <w:rPr>
          <w:sz w:val="24"/>
          <w:szCs w:val="24"/>
        </w:rPr>
        <w:t xml:space="preserve"> af lægemidlet, se pkt. 6.3.</w:t>
      </w:r>
    </w:p>
    <w:p w14:paraId="215E4EF0" w14:textId="77777777" w:rsidR="009260DE" w:rsidRPr="00E941B2" w:rsidRDefault="009260DE" w:rsidP="009260DE">
      <w:pPr>
        <w:tabs>
          <w:tab w:val="left" w:pos="851"/>
        </w:tabs>
        <w:ind w:left="851"/>
        <w:rPr>
          <w:sz w:val="24"/>
          <w:szCs w:val="24"/>
        </w:rPr>
      </w:pPr>
    </w:p>
    <w:p w14:paraId="3A071425" w14:textId="00D84D79" w:rsidR="009260DE" w:rsidRPr="00E941B2" w:rsidRDefault="009260DE" w:rsidP="009260DE">
      <w:pPr>
        <w:tabs>
          <w:tab w:val="left" w:pos="851"/>
        </w:tabs>
        <w:ind w:left="851" w:hanging="851"/>
        <w:rPr>
          <w:b/>
          <w:sz w:val="24"/>
          <w:szCs w:val="24"/>
        </w:rPr>
      </w:pPr>
      <w:r w:rsidRPr="00E941B2">
        <w:rPr>
          <w:b/>
          <w:sz w:val="24"/>
          <w:szCs w:val="24"/>
        </w:rPr>
        <w:t>6.5</w:t>
      </w:r>
      <w:r w:rsidRPr="00E941B2">
        <w:rPr>
          <w:b/>
          <w:sz w:val="24"/>
          <w:szCs w:val="24"/>
        </w:rPr>
        <w:tab/>
        <w:t>Emballagetype og pakningsstørrelser</w:t>
      </w:r>
    </w:p>
    <w:p w14:paraId="0D86FC89" w14:textId="77777777" w:rsidR="00A40C1E" w:rsidRPr="00E941B2" w:rsidRDefault="00A40C1E" w:rsidP="00A40C1E">
      <w:pPr>
        <w:tabs>
          <w:tab w:val="left" w:pos="851"/>
        </w:tabs>
        <w:ind w:left="851"/>
        <w:rPr>
          <w:sz w:val="24"/>
          <w:szCs w:val="24"/>
          <w:lang w:eastAsia="da-DK"/>
        </w:rPr>
      </w:pPr>
      <w:r w:rsidRPr="00E941B2">
        <w:rPr>
          <w:sz w:val="24"/>
          <w:szCs w:val="24"/>
        </w:rPr>
        <w:t>Transparent PET-flaske og rødt låg med forseglingsbånd og gult polypropylenstempel med integreret LDPE-neutral prop i toppen.</w:t>
      </w:r>
    </w:p>
    <w:p w14:paraId="0E92CA2C" w14:textId="77777777" w:rsidR="00A40C1E" w:rsidRPr="00E941B2" w:rsidRDefault="00A40C1E" w:rsidP="00A40C1E">
      <w:pPr>
        <w:tabs>
          <w:tab w:val="left" w:pos="851"/>
        </w:tabs>
        <w:ind w:left="851"/>
        <w:rPr>
          <w:sz w:val="24"/>
          <w:szCs w:val="24"/>
        </w:rPr>
      </w:pPr>
    </w:p>
    <w:p w14:paraId="3062A884" w14:textId="77777777" w:rsidR="00A40C1E" w:rsidRPr="00E941B2" w:rsidRDefault="00A40C1E" w:rsidP="00A40C1E">
      <w:pPr>
        <w:tabs>
          <w:tab w:val="left" w:pos="851"/>
        </w:tabs>
        <w:ind w:left="851"/>
        <w:rPr>
          <w:sz w:val="24"/>
          <w:szCs w:val="24"/>
        </w:rPr>
      </w:pPr>
      <w:r w:rsidRPr="00E941B2">
        <w:rPr>
          <w:sz w:val="24"/>
          <w:szCs w:val="24"/>
        </w:rPr>
        <w:t>Pakningsstørrelse med én flaske indeholdende 15 ml solvens og 300 mg pulver i flaskelåget.</w:t>
      </w:r>
    </w:p>
    <w:p w14:paraId="612B1FEC" w14:textId="77777777" w:rsidR="009260DE" w:rsidRPr="00E941B2" w:rsidRDefault="009260DE" w:rsidP="009260DE">
      <w:pPr>
        <w:tabs>
          <w:tab w:val="left" w:pos="851"/>
        </w:tabs>
        <w:ind w:left="851"/>
        <w:rPr>
          <w:sz w:val="24"/>
          <w:szCs w:val="24"/>
        </w:rPr>
      </w:pPr>
    </w:p>
    <w:p w14:paraId="4E7483A4" w14:textId="29E493D1" w:rsidR="009260DE" w:rsidRPr="00E941B2" w:rsidRDefault="009260DE" w:rsidP="009260DE">
      <w:pPr>
        <w:tabs>
          <w:tab w:val="left" w:pos="851"/>
        </w:tabs>
        <w:ind w:left="851" w:hanging="851"/>
        <w:rPr>
          <w:b/>
          <w:sz w:val="24"/>
          <w:szCs w:val="24"/>
        </w:rPr>
      </w:pPr>
      <w:r w:rsidRPr="00E941B2">
        <w:rPr>
          <w:b/>
          <w:sz w:val="24"/>
          <w:szCs w:val="24"/>
        </w:rPr>
        <w:t>6.6</w:t>
      </w:r>
      <w:r w:rsidRPr="00E941B2">
        <w:rPr>
          <w:b/>
          <w:sz w:val="24"/>
          <w:szCs w:val="24"/>
        </w:rPr>
        <w:tab/>
        <w:t xml:space="preserve">Regler for </w:t>
      </w:r>
      <w:r w:rsidR="00E64D25">
        <w:rPr>
          <w:b/>
          <w:sz w:val="24"/>
          <w:szCs w:val="24"/>
        </w:rPr>
        <w:t>bortskaffelse</w:t>
      </w:r>
      <w:r w:rsidRPr="00E941B2">
        <w:rPr>
          <w:b/>
          <w:sz w:val="24"/>
          <w:szCs w:val="24"/>
        </w:rPr>
        <w:t xml:space="preserve"> og anden håndtering</w:t>
      </w:r>
    </w:p>
    <w:p w14:paraId="5A498D6A" w14:textId="599F05FF" w:rsidR="009A0BEC" w:rsidRPr="00E64D25" w:rsidRDefault="00A40C1E" w:rsidP="00E64D25">
      <w:pPr>
        <w:ind w:left="851"/>
        <w:rPr>
          <w:sz w:val="24"/>
          <w:szCs w:val="24"/>
          <w:lang w:eastAsia="da-DK"/>
        </w:rPr>
      </w:pPr>
      <w:r w:rsidRPr="00E941B2">
        <w:rPr>
          <w:sz w:val="24"/>
          <w:szCs w:val="24"/>
        </w:rPr>
        <w:t>Ikke anvendt lægemiddel samt affald heraf skal bortskaffes i henhold til lokale retningslinjer.</w:t>
      </w:r>
    </w:p>
    <w:p w14:paraId="7F392595" w14:textId="77777777" w:rsidR="00A40C1E" w:rsidRPr="00E941B2" w:rsidRDefault="00A40C1E" w:rsidP="00A40C1E">
      <w:pPr>
        <w:ind w:left="851"/>
        <w:rPr>
          <w:b/>
          <w:sz w:val="24"/>
          <w:szCs w:val="24"/>
        </w:rPr>
      </w:pPr>
    </w:p>
    <w:p w14:paraId="52C2F366" w14:textId="77777777" w:rsidR="00A40C1E" w:rsidRPr="00E941B2" w:rsidRDefault="00A40C1E" w:rsidP="006B48AD">
      <w:pPr>
        <w:ind w:left="851"/>
        <w:rPr>
          <w:b/>
          <w:sz w:val="24"/>
          <w:szCs w:val="24"/>
        </w:rPr>
      </w:pPr>
      <w:r w:rsidRPr="00E941B2">
        <w:rPr>
          <w:b/>
          <w:sz w:val="24"/>
          <w:szCs w:val="24"/>
        </w:rPr>
        <w:t xml:space="preserve">Vejledning om </w:t>
      </w:r>
      <w:proofErr w:type="spellStart"/>
      <w:r w:rsidRPr="00E941B2">
        <w:rPr>
          <w:b/>
          <w:sz w:val="24"/>
          <w:szCs w:val="24"/>
        </w:rPr>
        <w:t>rekonstituering</w:t>
      </w:r>
      <w:proofErr w:type="spellEnd"/>
      <w:r w:rsidRPr="00E941B2">
        <w:rPr>
          <w:b/>
          <w:sz w:val="24"/>
          <w:szCs w:val="24"/>
        </w:rPr>
        <w:t xml:space="preserve"> af lægemidlet før administration</w:t>
      </w:r>
    </w:p>
    <w:p w14:paraId="1C006C5E" w14:textId="77777777" w:rsidR="00A40C1E" w:rsidRPr="00E941B2" w:rsidRDefault="00A40C1E" w:rsidP="006B48AD">
      <w:pPr>
        <w:ind w:left="851"/>
        <w:rPr>
          <w:b/>
          <w:sz w:val="24"/>
          <w:szCs w:val="24"/>
        </w:rPr>
      </w:pPr>
    </w:p>
    <w:p w14:paraId="6E248464" w14:textId="77777777" w:rsidR="00E64D25" w:rsidRPr="00E941B2" w:rsidRDefault="00E64D25" w:rsidP="00E64D25">
      <w:pPr>
        <w:numPr>
          <w:ilvl w:val="12"/>
          <w:numId w:val="0"/>
        </w:numPr>
        <w:tabs>
          <w:tab w:val="left" w:pos="708"/>
        </w:tabs>
        <w:ind w:left="851"/>
        <w:rPr>
          <w:b/>
          <w:sz w:val="24"/>
          <w:szCs w:val="24"/>
        </w:rPr>
      </w:pPr>
      <w:r w:rsidRPr="00E941B2">
        <w:rPr>
          <w:b/>
          <w:sz w:val="24"/>
          <w:szCs w:val="24"/>
        </w:rPr>
        <w:t xml:space="preserve">Beskrivelse af, hvordan du skal tage </w:t>
      </w:r>
      <w:proofErr w:type="spellStart"/>
      <w:r w:rsidRPr="00E941B2">
        <w:rPr>
          <w:b/>
          <w:sz w:val="24"/>
          <w:szCs w:val="24"/>
        </w:rPr>
        <w:t>Coxor</w:t>
      </w:r>
      <w:proofErr w:type="spellEnd"/>
      <w:r w:rsidRPr="00E941B2">
        <w:rPr>
          <w:b/>
          <w:sz w:val="24"/>
          <w:szCs w:val="24"/>
        </w:rPr>
        <w:t xml:space="preserve"> </w:t>
      </w:r>
    </w:p>
    <w:p w14:paraId="09F7E897" w14:textId="77777777" w:rsidR="00E64D25" w:rsidRPr="00E941B2" w:rsidRDefault="00E64D25" w:rsidP="00E64D25">
      <w:pPr>
        <w:numPr>
          <w:ilvl w:val="12"/>
          <w:numId w:val="0"/>
        </w:numPr>
        <w:tabs>
          <w:tab w:val="left" w:pos="708"/>
        </w:tabs>
        <w:ind w:left="851"/>
        <w:rPr>
          <w:bCs/>
          <w:sz w:val="24"/>
          <w:szCs w:val="24"/>
        </w:rPr>
      </w:pPr>
      <w:r w:rsidRPr="00E941B2">
        <w:rPr>
          <w:sz w:val="24"/>
          <w:szCs w:val="24"/>
        </w:rPr>
        <w:t xml:space="preserve">Vi foreslår, at du først læser denne beskrivelse af, hvordan du tager </w:t>
      </w:r>
      <w:proofErr w:type="spellStart"/>
      <w:r w:rsidRPr="00E941B2">
        <w:rPr>
          <w:sz w:val="24"/>
          <w:szCs w:val="24"/>
        </w:rPr>
        <w:t>Coxor</w:t>
      </w:r>
      <w:proofErr w:type="spellEnd"/>
      <w:r w:rsidRPr="00E941B2">
        <w:rPr>
          <w:sz w:val="24"/>
          <w:szCs w:val="24"/>
        </w:rPr>
        <w:t>, og henviser derefter til nedenstående piktogrammer for at sikre, at du har forstået den nødvendige procedure til korrekt indtagelse af dette lægemiddel.</w:t>
      </w:r>
    </w:p>
    <w:p w14:paraId="06A2B0DE" w14:textId="77777777" w:rsidR="00E64D25" w:rsidRPr="00E941B2" w:rsidRDefault="00E64D25" w:rsidP="00E64D25">
      <w:pPr>
        <w:numPr>
          <w:ilvl w:val="12"/>
          <w:numId w:val="0"/>
        </w:numPr>
        <w:tabs>
          <w:tab w:val="left" w:pos="708"/>
        </w:tabs>
        <w:ind w:left="851"/>
        <w:rPr>
          <w:bCs/>
          <w:sz w:val="24"/>
          <w:szCs w:val="24"/>
        </w:rPr>
      </w:pPr>
    </w:p>
    <w:p w14:paraId="2A67D71E" w14:textId="77777777" w:rsidR="00E64D25" w:rsidRPr="00E941B2" w:rsidRDefault="00E64D25" w:rsidP="00E64D25">
      <w:pPr>
        <w:keepNext/>
        <w:numPr>
          <w:ilvl w:val="12"/>
          <w:numId w:val="0"/>
        </w:numPr>
        <w:tabs>
          <w:tab w:val="left" w:pos="708"/>
        </w:tabs>
        <w:ind w:left="851"/>
        <w:rPr>
          <w:b/>
          <w:bCs/>
          <w:iCs/>
          <w:sz w:val="24"/>
          <w:szCs w:val="24"/>
        </w:rPr>
      </w:pPr>
      <w:r w:rsidRPr="00E941B2">
        <w:rPr>
          <w:b/>
          <w:bCs/>
          <w:iCs/>
          <w:sz w:val="24"/>
          <w:szCs w:val="24"/>
        </w:rPr>
        <w:t>Generelt</w:t>
      </w:r>
    </w:p>
    <w:p w14:paraId="6CB462A7" w14:textId="77777777" w:rsidR="00E64D25" w:rsidRPr="00E941B2" w:rsidRDefault="00E64D25" w:rsidP="00E64D25">
      <w:pPr>
        <w:numPr>
          <w:ilvl w:val="12"/>
          <w:numId w:val="0"/>
        </w:numPr>
        <w:tabs>
          <w:tab w:val="left" w:pos="708"/>
        </w:tabs>
        <w:ind w:left="851"/>
        <w:rPr>
          <w:bCs/>
          <w:sz w:val="24"/>
          <w:szCs w:val="24"/>
        </w:rPr>
      </w:pPr>
      <w:r w:rsidRPr="00E941B2">
        <w:rPr>
          <w:sz w:val="24"/>
          <w:szCs w:val="24"/>
        </w:rPr>
        <w:t xml:space="preserve">Det aktive stof i </w:t>
      </w:r>
      <w:proofErr w:type="spellStart"/>
      <w:r w:rsidRPr="00E941B2">
        <w:rPr>
          <w:sz w:val="24"/>
          <w:szCs w:val="24"/>
        </w:rPr>
        <w:t>Coxor</w:t>
      </w:r>
      <w:proofErr w:type="spellEnd"/>
      <w:r w:rsidRPr="00E941B2">
        <w:rPr>
          <w:sz w:val="24"/>
          <w:szCs w:val="24"/>
        </w:rPr>
        <w:t xml:space="preserve"> (acetylsalicylsyre) opbevares som et hvidt pulver i flaskens låg. Pulveret skal frigives i væsken og blandes ved at omryste flasken, inden du drikker lægemidlet. </w:t>
      </w:r>
    </w:p>
    <w:p w14:paraId="5F3988D1" w14:textId="77777777" w:rsidR="00E64D25" w:rsidRPr="00E941B2" w:rsidRDefault="00E64D25" w:rsidP="00E64D25">
      <w:pPr>
        <w:numPr>
          <w:ilvl w:val="12"/>
          <w:numId w:val="0"/>
        </w:numPr>
        <w:tabs>
          <w:tab w:val="left" w:pos="708"/>
        </w:tabs>
        <w:ind w:left="851"/>
        <w:rPr>
          <w:bCs/>
          <w:sz w:val="24"/>
          <w:szCs w:val="24"/>
        </w:rPr>
      </w:pPr>
    </w:p>
    <w:p w14:paraId="3D42A659" w14:textId="77777777" w:rsidR="00E64D25" w:rsidRPr="00E941B2" w:rsidRDefault="00E64D25" w:rsidP="00E64D25">
      <w:pPr>
        <w:numPr>
          <w:ilvl w:val="12"/>
          <w:numId w:val="0"/>
        </w:numPr>
        <w:tabs>
          <w:tab w:val="left" w:pos="708"/>
        </w:tabs>
        <w:ind w:left="851"/>
        <w:rPr>
          <w:b/>
          <w:bCs/>
          <w:iCs/>
          <w:sz w:val="24"/>
          <w:szCs w:val="24"/>
        </w:rPr>
      </w:pPr>
      <w:r w:rsidRPr="00E941B2">
        <w:rPr>
          <w:b/>
          <w:bCs/>
          <w:iCs/>
          <w:sz w:val="24"/>
          <w:szCs w:val="24"/>
        </w:rPr>
        <w:t>Handling</w:t>
      </w:r>
    </w:p>
    <w:p w14:paraId="40F477CD" w14:textId="77777777" w:rsidR="00E64D25" w:rsidRPr="00E941B2" w:rsidRDefault="00E64D25" w:rsidP="00E64D25">
      <w:pPr>
        <w:numPr>
          <w:ilvl w:val="12"/>
          <w:numId w:val="0"/>
        </w:numPr>
        <w:tabs>
          <w:tab w:val="left" w:pos="708"/>
        </w:tabs>
        <w:ind w:left="851"/>
        <w:rPr>
          <w:bCs/>
          <w:sz w:val="24"/>
          <w:szCs w:val="24"/>
        </w:rPr>
      </w:pPr>
      <w:r w:rsidRPr="00E941B2">
        <w:rPr>
          <w:sz w:val="24"/>
          <w:szCs w:val="24"/>
        </w:rPr>
        <w:t>Hvis det er muligt, skal du starte med at ringe til 112. Hvis dette ikke er muligt (</w:t>
      </w:r>
      <w:r>
        <w:rPr>
          <w:sz w:val="24"/>
          <w:szCs w:val="24"/>
        </w:rPr>
        <w:t>f.eks.</w:t>
      </w:r>
      <w:r w:rsidRPr="00E941B2">
        <w:rPr>
          <w:sz w:val="24"/>
          <w:szCs w:val="24"/>
        </w:rPr>
        <w:t xml:space="preserve"> på grund af manglende telefonforbindelse), bør du alligevel tage lægemidlet hurtigst muligt.</w:t>
      </w:r>
      <w:r>
        <w:rPr>
          <w:sz w:val="24"/>
          <w:szCs w:val="24"/>
        </w:rPr>
        <w:t xml:space="preserve">  Dernæst skal du altid omgående søge lægehjælp.</w:t>
      </w:r>
    </w:p>
    <w:p w14:paraId="2E1E5D2F" w14:textId="77777777" w:rsidR="00A40C1E" w:rsidRPr="00E941B2" w:rsidRDefault="00A40C1E" w:rsidP="00A40C1E">
      <w:pPr>
        <w:numPr>
          <w:ilvl w:val="12"/>
          <w:numId w:val="0"/>
        </w:numPr>
        <w:tabs>
          <w:tab w:val="left" w:pos="708"/>
        </w:tabs>
        <w:ind w:left="851"/>
        <w:rPr>
          <w:bCs/>
          <w:sz w:val="24"/>
          <w:szCs w:val="24"/>
        </w:rPr>
      </w:pPr>
    </w:p>
    <w:p w14:paraId="5DE991F7" w14:textId="77777777" w:rsidR="00A40C1E" w:rsidRPr="00E941B2" w:rsidRDefault="00A40C1E" w:rsidP="00A40C1E">
      <w:pPr>
        <w:numPr>
          <w:ilvl w:val="12"/>
          <w:numId w:val="0"/>
        </w:numPr>
        <w:tabs>
          <w:tab w:val="left" w:pos="708"/>
        </w:tabs>
        <w:ind w:left="851"/>
        <w:rPr>
          <w:bCs/>
          <w:sz w:val="24"/>
          <w:szCs w:val="24"/>
        </w:rPr>
      </w:pPr>
      <w:r w:rsidRPr="00E941B2">
        <w:rPr>
          <w:sz w:val="24"/>
          <w:szCs w:val="24"/>
        </w:rPr>
        <w:t xml:space="preserve">For at frigøre pulveret ned i væsken skal du dreje låget MED URET. </w:t>
      </w:r>
    </w:p>
    <w:p w14:paraId="64918BEB" w14:textId="77777777" w:rsidR="00A40C1E" w:rsidRPr="00E941B2" w:rsidRDefault="00A40C1E" w:rsidP="00A40C1E">
      <w:pPr>
        <w:numPr>
          <w:ilvl w:val="12"/>
          <w:numId w:val="0"/>
        </w:numPr>
        <w:tabs>
          <w:tab w:val="left" w:pos="708"/>
        </w:tabs>
        <w:ind w:left="851"/>
        <w:rPr>
          <w:bCs/>
          <w:sz w:val="24"/>
          <w:szCs w:val="24"/>
        </w:rPr>
      </w:pPr>
      <w:r w:rsidRPr="00E941B2">
        <w:rPr>
          <w:b/>
          <w:sz w:val="24"/>
          <w:szCs w:val="24"/>
        </w:rPr>
        <w:t>OBS:</w:t>
      </w:r>
      <w:r w:rsidRPr="00E941B2">
        <w:rPr>
          <w:sz w:val="24"/>
          <w:szCs w:val="24"/>
        </w:rPr>
        <w:t xml:space="preserve"> Dette er den modsatte retning af, hvordan en flaske normalt åbnes, så vær opmærksom på retningen.</w:t>
      </w:r>
    </w:p>
    <w:p w14:paraId="3EB19262" w14:textId="77777777" w:rsidR="00A40C1E" w:rsidRPr="00E941B2" w:rsidRDefault="00A40C1E" w:rsidP="00A40C1E">
      <w:pPr>
        <w:numPr>
          <w:ilvl w:val="12"/>
          <w:numId w:val="0"/>
        </w:numPr>
        <w:tabs>
          <w:tab w:val="left" w:pos="708"/>
        </w:tabs>
        <w:ind w:left="851"/>
        <w:rPr>
          <w:b/>
          <w:sz w:val="24"/>
          <w:szCs w:val="24"/>
        </w:rPr>
      </w:pPr>
    </w:p>
    <w:p w14:paraId="3D49958A" w14:textId="77777777" w:rsidR="00A40C1E" w:rsidRPr="00E941B2" w:rsidRDefault="00A40C1E" w:rsidP="00A40C1E">
      <w:pPr>
        <w:numPr>
          <w:ilvl w:val="12"/>
          <w:numId w:val="0"/>
        </w:numPr>
        <w:tabs>
          <w:tab w:val="left" w:pos="708"/>
        </w:tabs>
        <w:ind w:left="851"/>
        <w:rPr>
          <w:bCs/>
          <w:sz w:val="24"/>
          <w:szCs w:val="24"/>
        </w:rPr>
      </w:pPr>
      <w:r w:rsidRPr="00E941B2">
        <w:rPr>
          <w:sz w:val="24"/>
          <w:szCs w:val="24"/>
        </w:rPr>
        <w:t xml:space="preserve">Du vil høre et svagt klik, når sikkerhedsbåndet frigøres, men dette betyder ikke, at pulveret er frigivet i væsken endnu. Du skal FORTSÆTTE MED AT DREJE låget MED URET yderligere 3-4 omgange, indtil selve låget når flaskehalsen og stopper helt (kan ikke skrues mere). </w:t>
      </w:r>
    </w:p>
    <w:p w14:paraId="4AFAA41A" w14:textId="77777777" w:rsidR="00A40C1E" w:rsidRPr="00E941B2" w:rsidRDefault="00A40C1E" w:rsidP="00A40C1E">
      <w:pPr>
        <w:numPr>
          <w:ilvl w:val="12"/>
          <w:numId w:val="0"/>
        </w:numPr>
        <w:tabs>
          <w:tab w:val="left" w:pos="708"/>
        </w:tabs>
        <w:ind w:left="851"/>
        <w:rPr>
          <w:bCs/>
          <w:sz w:val="24"/>
          <w:szCs w:val="24"/>
        </w:rPr>
      </w:pPr>
    </w:p>
    <w:p w14:paraId="0C76528A" w14:textId="77777777" w:rsidR="00A40C1E" w:rsidRPr="00E941B2" w:rsidRDefault="00A40C1E" w:rsidP="00A40C1E">
      <w:pPr>
        <w:numPr>
          <w:ilvl w:val="12"/>
          <w:numId w:val="0"/>
        </w:numPr>
        <w:tabs>
          <w:tab w:val="left" w:pos="708"/>
        </w:tabs>
        <w:ind w:left="851"/>
        <w:rPr>
          <w:bCs/>
          <w:sz w:val="24"/>
          <w:szCs w:val="24"/>
        </w:rPr>
      </w:pPr>
      <w:r w:rsidRPr="00E941B2">
        <w:rPr>
          <w:sz w:val="24"/>
          <w:szCs w:val="24"/>
        </w:rPr>
        <w:t>På dette tidspunkt er pulveret frigivet ned i flasken, og du kan inspicere det i vinduet (hul i etiketten på flasken). Bemærk, at pulveret er hvidt.</w:t>
      </w:r>
    </w:p>
    <w:p w14:paraId="32492A7C" w14:textId="77777777" w:rsidR="00A40C1E" w:rsidRPr="00E941B2" w:rsidRDefault="00A40C1E" w:rsidP="00A40C1E">
      <w:pPr>
        <w:numPr>
          <w:ilvl w:val="12"/>
          <w:numId w:val="0"/>
        </w:numPr>
        <w:tabs>
          <w:tab w:val="left" w:pos="708"/>
        </w:tabs>
        <w:ind w:left="851"/>
        <w:rPr>
          <w:bCs/>
          <w:sz w:val="24"/>
          <w:szCs w:val="24"/>
        </w:rPr>
      </w:pPr>
    </w:p>
    <w:p w14:paraId="3BEFB349" w14:textId="77777777" w:rsidR="00A40C1E" w:rsidRPr="00E941B2" w:rsidRDefault="00A40C1E" w:rsidP="00A40C1E">
      <w:pPr>
        <w:numPr>
          <w:ilvl w:val="12"/>
          <w:numId w:val="0"/>
        </w:numPr>
        <w:tabs>
          <w:tab w:val="left" w:pos="708"/>
        </w:tabs>
        <w:ind w:left="851"/>
        <w:rPr>
          <w:bCs/>
          <w:sz w:val="24"/>
          <w:szCs w:val="24"/>
        </w:rPr>
      </w:pPr>
      <w:r w:rsidRPr="00E941B2">
        <w:rPr>
          <w:sz w:val="24"/>
          <w:szCs w:val="24"/>
        </w:rPr>
        <w:t>Ryst flasken, indtil pulveret er opløst. Væsken bliver let uigennemsigtig til gennemsigtig, men væskens farve ændres ikke. Dette kan tage ca. 30 sekunder.</w:t>
      </w:r>
    </w:p>
    <w:p w14:paraId="75BDC1FF" w14:textId="77777777" w:rsidR="00A40C1E" w:rsidRPr="00E941B2" w:rsidRDefault="00A40C1E" w:rsidP="00A40C1E">
      <w:pPr>
        <w:numPr>
          <w:ilvl w:val="12"/>
          <w:numId w:val="0"/>
        </w:numPr>
        <w:tabs>
          <w:tab w:val="left" w:pos="708"/>
        </w:tabs>
        <w:ind w:left="851"/>
        <w:rPr>
          <w:bCs/>
          <w:sz w:val="24"/>
          <w:szCs w:val="24"/>
        </w:rPr>
      </w:pPr>
    </w:p>
    <w:p w14:paraId="0BC8429C" w14:textId="77777777" w:rsidR="00A40C1E" w:rsidRPr="00E941B2" w:rsidRDefault="00A40C1E" w:rsidP="00A40C1E">
      <w:pPr>
        <w:numPr>
          <w:ilvl w:val="12"/>
          <w:numId w:val="0"/>
        </w:numPr>
        <w:tabs>
          <w:tab w:val="left" w:pos="708"/>
        </w:tabs>
        <w:ind w:left="851"/>
        <w:rPr>
          <w:bCs/>
          <w:sz w:val="24"/>
          <w:szCs w:val="24"/>
        </w:rPr>
      </w:pPr>
      <w:r w:rsidRPr="00E941B2">
        <w:rPr>
          <w:sz w:val="24"/>
          <w:szCs w:val="24"/>
        </w:rPr>
        <w:t>Når pulveret er opløst, åbnes flasken ved at skrue låget mod uret. Drik straks lægemidlet.</w:t>
      </w:r>
    </w:p>
    <w:p w14:paraId="1CB00E9A" w14:textId="77777777" w:rsidR="00A40C1E" w:rsidRPr="00E941B2" w:rsidRDefault="00A40C1E" w:rsidP="00A40C1E">
      <w:pPr>
        <w:numPr>
          <w:ilvl w:val="12"/>
          <w:numId w:val="0"/>
        </w:numPr>
        <w:tabs>
          <w:tab w:val="left" w:pos="708"/>
        </w:tabs>
        <w:ind w:left="851"/>
        <w:rPr>
          <w:b/>
          <w:sz w:val="24"/>
          <w:szCs w:val="24"/>
        </w:rPr>
      </w:pPr>
    </w:p>
    <w:p w14:paraId="292CD8B4" w14:textId="77777777" w:rsidR="00A40C1E" w:rsidRPr="00E941B2" w:rsidRDefault="00A40C1E" w:rsidP="00A40C1E">
      <w:pPr>
        <w:numPr>
          <w:ilvl w:val="12"/>
          <w:numId w:val="0"/>
        </w:numPr>
        <w:tabs>
          <w:tab w:val="left" w:pos="708"/>
        </w:tabs>
        <w:ind w:left="851"/>
        <w:rPr>
          <w:bCs/>
          <w:sz w:val="24"/>
          <w:szCs w:val="24"/>
        </w:rPr>
      </w:pPr>
      <w:r w:rsidRPr="00E941B2">
        <w:rPr>
          <w:sz w:val="24"/>
          <w:szCs w:val="24"/>
        </w:rPr>
        <w:t>Bemærk:</w:t>
      </w:r>
    </w:p>
    <w:p w14:paraId="3882320E" w14:textId="4DA3163D" w:rsidR="00A40C1E" w:rsidRPr="00E941B2" w:rsidRDefault="00A40C1E" w:rsidP="00A40C1E">
      <w:pPr>
        <w:numPr>
          <w:ilvl w:val="0"/>
          <w:numId w:val="6"/>
        </w:numPr>
        <w:tabs>
          <w:tab w:val="left" w:pos="708"/>
        </w:tabs>
        <w:ind w:left="1211"/>
        <w:rPr>
          <w:bCs/>
          <w:sz w:val="24"/>
          <w:szCs w:val="24"/>
        </w:rPr>
      </w:pPr>
      <w:r w:rsidRPr="00E941B2">
        <w:rPr>
          <w:sz w:val="24"/>
          <w:szCs w:val="24"/>
        </w:rPr>
        <w:t xml:space="preserve">Det anses ikke for farligt at tage dette lægemiddel, hvis du alligevel ikke har en blodprop i hjertet (hjertetilfælde) (hvis du </w:t>
      </w:r>
      <w:r w:rsidR="003133F9">
        <w:rPr>
          <w:sz w:val="24"/>
          <w:szCs w:val="24"/>
        </w:rPr>
        <w:t>f.eks.</w:t>
      </w:r>
      <w:r w:rsidRPr="00E941B2">
        <w:rPr>
          <w:sz w:val="24"/>
          <w:szCs w:val="24"/>
        </w:rPr>
        <w:t xml:space="preserve"> forveksler symptomerne), hvilket også er grunden til, at det anbefales på det kraftigste, at du tager lægemidlet, selvom du, af en eller anden grund, ikke kan ringe til 112.</w:t>
      </w:r>
    </w:p>
    <w:p w14:paraId="75C7138E" w14:textId="4E63B0E0" w:rsidR="009A0BEC" w:rsidRDefault="009A0BEC">
      <w:pPr>
        <w:rPr>
          <w:b/>
          <w:sz w:val="24"/>
          <w:szCs w:val="24"/>
        </w:rPr>
      </w:pPr>
      <w:r>
        <w:rPr>
          <w:b/>
          <w:sz w:val="24"/>
          <w:szCs w:val="24"/>
        </w:rPr>
        <w:br w:type="page"/>
      </w:r>
    </w:p>
    <w:p w14:paraId="61856301" w14:textId="77777777" w:rsidR="00A40C1E" w:rsidRPr="00E941B2" w:rsidRDefault="00A40C1E" w:rsidP="006B48AD">
      <w:pPr>
        <w:ind w:left="851"/>
        <w:rPr>
          <w:b/>
          <w:sz w:val="24"/>
          <w:szCs w:val="24"/>
        </w:rPr>
      </w:pPr>
    </w:p>
    <w:p w14:paraId="714631EF" w14:textId="77777777" w:rsidR="00A40C1E" w:rsidRPr="00E941B2" w:rsidRDefault="00A40C1E" w:rsidP="006B48AD">
      <w:pPr>
        <w:ind w:left="851"/>
        <w:rPr>
          <w:b/>
          <w:sz w:val="24"/>
          <w:szCs w:val="24"/>
        </w:rPr>
      </w:pPr>
      <w:bookmarkStart w:id="1" w:name="_Hlk62483477"/>
      <w:r w:rsidRPr="00E941B2">
        <w:rPr>
          <w:b/>
          <w:sz w:val="24"/>
          <w:szCs w:val="24"/>
        </w:rPr>
        <w:t xml:space="preserve">Piktogrammer, der viser, hvordan du tager </w:t>
      </w:r>
      <w:proofErr w:type="spellStart"/>
      <w:r w:rsidRPr="00E941B2">
        <w:rPr>
          <w:b/>
          <w:sz w:val="24"/>
          <w:szCs w:val="24"/>
        </w:rPr>
        <w:t>Coxor</w:t>
      </w:r>
      <w:proofErr w:type="spellEnd"/>
      <w:r w:rsidRPr="00E941B2">
        <w:rPr>
          <w:b/>
          <w:sz w:val="24"/>
          <w:szCs w:val="24"/>
        </w:rPr>
        <w:t xml:space="preserve"> </w:t>
      </w:r>
    </w:p>
    <w:p w14:paraId="2CF687B3" w14:textId="77777777" w:rsidR="00A40C1E" w:rsidRPr="00E941B2" w:rsidRDefault="00A40C1E" w:rsidP="006B48AD">
      <w:pPr>
        <w:ind w:left="851"/>
        <w:rPr>
          <w:b/>
          <w:sz w:val="24"/>
          <w:szCs w:val="24"/>
        </w:rPr>
      </w:pPr>
      <w:bookmarkStart w:id="2" w:name="_Hlk62483430"/>
    </w:p>
    <w:p w14:paraId="08C0AAD5" w14:textId="119338E2" w:rsidR="00A40C1E" w:rsidRPr="00E941B2" w:rsidRDefault="00A40C1E" w:rsidP="00A40C1E">
      <w:pPr>
        <w:tabs>
          <w:tab w:val="left" w:pos="708"/>
        </w:tabs>
        <w:ind w:left="851"/>
        <w:rPr>
          <w:noProof/>
          <w:sz w:val="24"/>
          <w:szCs w:val="24"/>
          <w:lang w:val="en-US"/>
        </w:rPr>
      </w:pPr>
      <w:r w:rsidRPr="00E941B2">
        <w:rPr>
          <w:noProof/>
          <w:sz w:val="24"/>
          <w:szCs w:val="24"/>
          <w:lang w:val="en-US"/>
        </w:rPr>
        <w:drawing>
          <wp:inline distT="0" distB="0" distL="0" distR="0" wp14:anchorId="1518E393" wp14:editId="55C8C0A4">
            <wp:extent cx="1931035" cy="1982470"/>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9">
                      <a:extLst>
                        <a:ext uri="{28A0092B-C50C-407E-A947-70E740481C1C}">
                          <a14:useLocalDpi xmlns:a14="http://schemas.microsoft.com/office/drawing/2010/main" val="0"/>
                        </a:ext>
                      </a:extLst>
                    </a:blip>
                    <a:srcRect l="4521"/>
                    <a:stretch>
                      <a:fillRect/>
                    </a:stretch>
                  </pic:blipFill>
                  <pic:spPr bwMode="auto">
                    <a:xfrm>
                      <a:off x="0" y="0"/>
                      <a:ext cx="1931035" cy="1982470"/>
                    </a:xfrm>
                    <a:prstGeom prst="rect">
                      <a:avLst/>
                    </a:prstGeom>
                    <a:noFill/>
                    <a:ln>
                      <a:noFill/>
                    </a:ln>
                  </pic:spPr>
                </pic:pic>
              </a:graphicData>
            </a:graphic>
          </wp:inline>
        </w:drawing>
      </w:r>
      <w:r w:rsidRPr="00E941B2">
        <w:rPr>
          <w:noProof/>
          <w:sz w:val="24"/>
          <w:szCs w:val="24"/>
          <w:lang w:val="en-US"/>
        </w:rPr>
        <w:drawing>
          <wp:inline distT="0" distB="0" distL="0" distR="0" wp14:anchorId="76DF4E33" wp14:editId="7EBB7603">
            <wp:extent cx="1974850" cy="1982470"/>
            <wp:effectExtent l="0" t="0" r="635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4850" cy="1982470"/>
                    </a:xfrm>
                    <a:prstGeom prst="rect">
                      <a:avLst/>
                    </a:prstGeom>
                    <a:noFill/>
                    <a:ln>
                      <a:noFill/>
                    </a:ln>
                  </pic:spPr>
                </pic:pic>
              </a:graphicData>
            </a:graphic>
          </wp:inline>
        </w:drawing>
      </w:r>
    </w:p>
    <w:p w14:paraId="626667D2" w14:textId="77777777" w:rsidR="00A40C1E" w:rsidRPr="00E941B2" w:rsidRDefault="00A40C1E" w:rsidP="00A40C1E">
      <w:pPr>
        <w:tabs>
          <w:tab w:val="left" w:pos="708"/>
        </w:tabs>
        <w:ind w:left="851"/>
        <w:rPr>
          <w:noProof/>
          <w:sz w:val="24"/>
          <w:szCs w:val="24"/>
        </w:rPr>
      </w:pPr>
    </w:p>
    <w:p w14:paraId="0DA9D735" w14:textId="11F4B5DB" w:rsidR="00A40C1E" w:rsidRPr="00E941B2" w:rsidRDefault="00A40C1E" w:rsidP="00A40C1E">
      <w:pPr>
        <w:tabs>
          <w:tab w:val="left" w:pos="708"/>
        </w:tabs>
        <w:ind w:left="851"/>
        <w:rPr>
          <w:noProof/>
          <w:sz w:val="24"/>
          <w:szCs w:val="24"/>
          <w:lang w:val="en-US"/>
        </w:rPr>
      </w:pPr>
      <w:r w:rsidRPr="00E941B2">
        <w:rPr>
          <w:noProof/>
          <w:sz w:val="24"/>
          <w:szCs w:val="24"/>
          <w:lang w:val="en-US"/>
        </w:rPr>
        <w:drawing>
          <wp:inline distT="0" distB="0" distL="0" distR="0" wp14:anchorId="6FC7E586" wp14:editId="4DD2257B">
            <wp:extent cx="1945640" cy="198247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5640" cy="1982470"/>
                    </a:xfrm>
                    <a:prstGeom prst="rect">
                      <a:avLst/>
                    </a:prstGeom>
                    <a:noFill/>
                    <a:ln>
                      <a:noFill/>
                    </a:ln>
                  </pic:spPr>
                </pic:pic>
              </a:graphicData>
            </a:graphic>
          </wp:inline>
        </w:drawing>
      </w:r>
      <w:r w:rsidRPr="00E941B2">
        <w:rPr>
          <w:noProof/>
          <w:sz w:val="24"/>
          <w:szCs w:val="24"/>
          <w:lang w:val="en-US"/>
        </w:rPr>
        <w:drawing>
          <wp:inline distT="0" distB="0" distL="0" distR="0" wp14:anchorId="62BD2E34" wp14:editId="1A9EFCD8">
            <wp:extent cx="1989455" cy="198247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9455" cy="1982470"/>
                    </a:xfrm>
                    <a:prstGeom prst="rect">
                      <a:avLst/>
                    </a:prstGeom>
                    <a:noFill/>
                    <a:ln>
                      <a:noFill/>
                    </a:ln>
                  </pic:spPr>
                </pic:pic>
              </a:graphicData>
            </a:graphic>
          </wp:inline>
        </w:drawing>
      </w:r>
    </w:p>
    <w:p w14:paraId="47B1BFA8" w14:textId="77777777" w:rsidR="00A40C1E" w:rsidRPr="00E941B2" w:rsidRDefault="00A40C1E" w:rsidP="00A40C1E">
      <w:pPr>
        <w:tabs>
          <w:tab w:val="left" w:pos="708"/>
        </w:tabs>
        <w:ind w:left="851"/>
        <w:rPr>
          <w:noProof/>
          <w:sz w:val="24"/>
          <w:szCs w:val="24"/>
          <w:lang w:val="en-US"/>
        </w:rPr>
      </w:pPr>
    </w:p>
    <w:p w14:paraId="09125ABD" w14:textId="71F55EB1" w:rsidR="00A40C1E" w:rsidRPr="00E941B2" w:rsidRDefault="00A40C1E" w:rsidP="00A40C1E">
      <w:pPr>
        <w:ind w:firstLine="851"/>
        <w:rPr>
          <w:strike/>
          <w:noProof/>
          <w:sz w:val="24"/>
          <w:szCs w:val="24"/>
        </w:rPr>
      </w:pPr>
      <w:r w:rsidRPr="00E941B2">
        <w:rPr>
          <w:noProof/>
          <w:sz w:val="24"/>
          <w:szCs w:val="24"/>
          <w:lang w:val="en-US"/>
        </w:rPr>
        <w:drawing>
          <wp:inline distT="0" distB="0" distL="0" distR="0" wp14:anchorId="0EA269B8" wp14:editId="478C71C5">
            <wp:extent cx="1953260" cy="1953260"/>
            <wp:effectExtent l="0" t="0" r="8890" b="889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3260" cy="1953260"/>
                    </a:xfrm>
                    <a:prstGeom prst="rect">
                      <a:avLst/>
                    </a:prstGeom>
                    <a:noFill/>
                    <a:ln>
                      <a:noFill/>
                    </a:ln>
                  </pic:spPr>
                </pic:pic>
              </a:graphicData>
            </a:graphic>
          </wp:inline>
        </w:drawing>
      </w:r>
      <w:r w:rsidRPr="00E941B2">
        <w:rPr>
          <w:noProof/>
          <w:sz w:val="24"/>
          <w:szCs w:val="24"/>
        </w:rPr>
        <w:t xml:space="preserve">  </w:t>
      </w:r>
      <w:r w:rsidRPr="00E941B2">
        <w:rPr>
          <w:noProof/>
          <w:sz w:val="24"/>
          <w:szCs w:val="24"/>
          <w:lang w:val="en-US"/>
        </w:rPr>
        <w:drawing>
          <wp:inline distT="0" distB="0" distL="0" distR="0" wp14:anchorId="07BE6FBE" wp14:editId="01108539">
            <wp:extent cx="1960245" cy="1982470"/>
            <wp:effectExtent l="0" t="0" r="190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0245" cy="1982470"/>
                    </a:xfrm>
                    <a:prstGeom prst="rect">
                      <a:avLst/>
                    </a:prstGeom>
                    <a:noFill/>
                    <a:ln>
                      <a:noFill/>
                    </a:ln>
                  </pic:spPr>
                </pic:pic>
              </a:graphicData>
            </a:graphic>
          </wp:inline>
        </w:drawing>
      </w:r>
    </w:p>
    <w:p w14:paraId="202FBBCF" w14:textId="77777777" w:rsidR="00A40C1E" w:rsidRPr="00E941B2" w:rsidRDefault="00A40C1E" w:rsidP="00A40C1E">
      <w:pPr>
        <w:numPr>
          <w:ilvl w:val="12"/>
          <w:numId w:val="0"/>
        </w:numPr>
        <w:ind w:left="851"/>
        <w:rPr>
          <w:noProof/>
          <w:sz w:val="24"/>
          <w:szCs w:val="24"/>
        </w:rPr>
      </w:pPr>
    </w:p>
    <w:p w14:paraId="6244C20C" w14:textId="22318EB3" w:rsidR="00A40C1E" w:rsidRPr="00E941B2" w:rsidRDefault="00A40C1E" w:rsidP="00A40C1E">
      <w:pPr>
        <w:ind w:left="851"/>
        <w:rPr>
          <w:strike/>
          <w:noProof/>
          <w:sz w:val="24"/>
          <w:szCs w:val="24"/>
        </w:rPr>
      </w:pPr>
      <w:r w:rsidRPr="00E941B2">
        <w:rPr>
          <w:noProof/>
          <w:sz w:val="24"/>
          <w:szCs w:val="24"/>
          <w:lang w:val="en-US"/>
        </w:rPr>
        <w:drawing>
          <wp:inline distT="0" distB="0" distL="0" distR="0" wp14:anchorId="2FD192D5" wp14:editId="11E1E597">
            <wp:extent cx="1931035" cy="198247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1035" cy="1982470"/>
                    </a:xfrm>
                    <a:prstGeom prst="rect">
                      <a:avLst/>
                    </a:prstGeom>
                    <a:noFill/>
                    <a:ln>
                      <a:noFill/>
                    </a:ln>
                  </pic:spPr>
                </pic:pic>
              </a:graphicData>
            </a:graphic>
          </wp:inline>
        </w:drawing>
      </w:r>
      <w:r w:rsidRPr="00E941B2">
        <w:rPr>
          <w:sz w:val="24"/>
          <w:szCs w:val="24"/>
        </w:rPr>
        <w:t xml:space="preserve"> </w:t>
      </w:r>
      <w:r w:rsidRPr="00E941B2">
        <w:rPr>
          <w:noProof/>
          <w:sz w:val="24"/>
          <w:szCs w:val="24"/>
        </w:rPr>
        <w:drawing>
          <wp:inline distT="0" distB="0" distL="0" distR="0" wp14:anchorId="15FAC1CF" wp14:editId="36B2B388">
            <wp:extent cx="1901825" cy="1916430"/>
            <wp:effectExtent l="0" t="0" r="3175"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pic:cNvPicPr>
                      <a:picLocks noChangeAspect="1" noChangeArrowheads="1"/>
                    </pic:cNvPicPr>
                  </pic:nvPicPr>
                  <pic:blipFill>
                    <a:blip r:embed="rId16">
                      <a:extLst>
                        <a:ext uri="{28A0092B-C50C-407E-A947-70E740481C1C}">
                          <a14:useLocalDpi xmlns:a14="http://schemas.microsoft.com/office/drawing/2010/main" val="0"/>
                        </a:ext>
                      </a:extLst>
                    </a:blip>
                    <a:srcRect b="-2307"/>
                    <a:stretch>
                      <a:fillRect/>
                    </a:stretch>
                  </pic:blipFill>
                  <pic:spPr bwMode="auto">
                    <a:xfrm>
                      <a:off x="0" y="0"/>
                      <a:ext cx="1901825" cy="1916430"/>
                    </a:xfrm>
                    <a:prstGeom prst="rect">
                      <a:avLst/>
                    </a:prstGeom>
                    <a:noFill/>
                    <a:ln>
                      <a:noFill/>
                    </a:ln>
                  </pic:spPr>
                </pic:pic>
              </a:graphicData>
            </a:graphic>
          </wp:inline>
        </w:drawing>
      </w:r>
    </w:p>
    <w:bookmarkEnd w:id="1"/>
    <w:bookmarkEnd w:id="2"/>
    <w:p w14:paraId="5FBC5E0F" w14:textId="77777777" w:rsidR="009260DE" w:rsidRPr="00E941B2" w:rsidRDefault="009260DE" w:rsidP="000730CA">
      <w:pPr>
        <w:tabs>
          <w:tab w:val="left" w:pos="851"/>
        </w:tabs>
        <w:ind w:left="851"/>
        <w:rPr>
          <w:sz w:val="24"/>
          <w:szCs w:val="24"/>
        </w:rPr>
      </w:pPr>
    </w:p>
    <w:p w14:paraId="58716101" w14:textId="77777777" w:rsidR="009260DE" w:rsidRPr="00E941B2" w:rsidRDefault="009260DE" w:rsidP="009260DE">
      <w:pPr>
        <w:tabs>
          <w:tab w:val="left" w:pos="851"/>
        </w:tabs>
        <w:ind w:left="851" w:hanging="851"/>
        <w:rPr>
          <w:b/>
          <w:sz w:val="24"/>
          <w:szCs w:val="24"/>
        </w:rPr>
      </w:pPr>
      <w:r w:rsidRPr="00E941B2">
        <w:rPr>
          <w:b/>
          <w:sz w:val="24"/>
          <w:szCs w:val="24"/>
        </w:rPr>
        <w:t>7.</w:t>
      </w:r>
      <w:r w:rsidRPr="00E941B2">
        <w:rPr>
          <w:b/>
          <w:sz w:val="24"/>
          <w:szCs w:val="24"/>
        </w:rPr>
        <w:tab/>
        <w:t>INDEHAVER AF MARKEDSFØRINGSTILLADELSEN</w:t>
      </w:r>
    </w:p>
    <w:p w14:paraId="24885C7D" w14:textId="77777777" w:rsidR="00A40C1E" w:rsidRPr="00E941B2" w:rsidRDefault="00A40C1E" w:rsidP="00A40C1E">
      <w:pPr>
        <w:tabs>
          <w:tab w:val="left" w:pos="851"/>
        </w:tabs>
        <w:ind w:left="851"/>
        <w:rPr>
          <w:sz w:val="24"/>
          <w:szCs w:val="24"/>
          <w:lang w:eastAsia="da-DK"/>
        </w:rPr>
      </w:pPr>
      <w:proofErr w:type="spellStart"/>
      <w:r w:rsidRPr="00E941B2">
        <w:rPr>
          <w:sz w:val="24"/>
          <w:szCs w:val="24"/>
        </w:rPr>
        <w:t>Asamedic</w:t>
      </w:r>
      <w:proofErr w:type="spellEnd"/>
      <w:r w:rsidRPr="00E941B2">
        <w:rPr>
          <w:sz w:val="24"/>
          <w:szCs w:val="24"/>
        </w:rPr>
        <w:t xml:space="preserve"> AS</w:t>
      </w:r>
    </w:p>
    <w:p w14:paraId="1E50F051" w14:textId="77777777" w:rsidR="00A40C1E" w:rsidRPr="00E941B2" w:rsidRDefault="00A40C1E" w:rsidP="00A40C1E">
      <w:pPr>
        <w:tabs>
          <w:tab w:val="left" w:pos="851"/>
        </w:tabs>
        <w:ind w:left="851"/>
        <w:rPr>
          <w:sz w:val="24"/>
          <w:szCs w:val="24"/>
        </w:rPr>
      </w:pPr>
      <w:proofErr w:type="spellStart"/>
      <w:r w:rsidRPr="00E941B2">
        <w:rPr>
          <w:sz w:val="24"/>
          <w:szCs w:val="24"/>
        </w:rPr>
        <w:t>Rosenholmveien</w:t>
      </w:r>
      <w:proofErr w:type="spellEnd"/>
      <w:r w:rsidRPr="00E941B2">
        <w:rPr>
          <w:sz w:val="24"/>
          <w:szCs w:val="24"/>
        </w:rPr>
        <w:t xml:space="preserve"> 25</w:t>
      </w:r>
    </w:p>
    <w:p w14:paraId="22202327" w14:textId="77777777" w:rsidR="00A40C1E" w:rsidRPr="00E941B2" w:rsidRDefault="00A40C1E" w:rsidP="00A40C1E">
      <w:pPr>
        <w:tabs>
          <w:tab w:val="left" w:pos="851"/>
        </w:tabs>
        <w:ind w:left="851"/>
        <w:rPr>
          <w:sz w:val="24"/>
          <w:szCs w:val="24"/>
        </w:rPr>
      </w:pPr>
      <w:r w:rsidRPr="00E941B2">
        <w:rPr>
          <w:sz w:val="24"/>
          <w:szCs w:val="24"/>
        </w:rPr>
        <w:t>1414 Trollåsen</w:t>
      </w:r>
    </w:p>
    <w:p w14:paraId="45F14CD5" w14:textId="77777777" w:rsidR="00A40C1E" w:rsidRPr="00E941B2" w:rsidRDefault="00A40C1E" w:rsidP="00A40C1E">
      <w:pPr>
        <w:tabs>
          <w:tab w:val="left" w:pos="851"/>
        </w:tabs>
        <w:ind w:left="851"/>
        <w:rPr>
          <w:sz w:val="24"/>
          <w:szCs w:val="24"/>
        </w:rPr>
      </w:pPr>
      <w:r w:rsidRPr="00E941B2">
        <w:rPr>
          <w:sz w:val="24"/>
          <w:szCs w:val="24"/>
        </w:rPr>
        <w:t>Norge</w:t>
      </w:r>
    </w:p>
    <w:p w14:paraId="647502C6" w14:textId="77777777" w:rsidR="009260DE" w:rsidRPr="00E941B2" w:rsidRDefault="009260DE" w:rsidP="009260DE">
      <w:pPr>
        <w:tabs>
          <w:tab w:val="left" w:pos="851"/>
        </w:tabs>
        <w:ind w:left="851"/>
        <w:rPr>
          <w:sz w:val="24"/>
          <w:szCs w:val="24"/>
        </w:rPr>
      </w:pPr>
    </w:p>
    <w:p w14:paraId="77F8434A" w14:textId="30DDD13D" w:rsidR="009260DE" w:rsidRPr="00E941B2" w:rsidRDefault="009260DE" w:rsidP="009260DE">
      <w:pPr>
        <w:tabs>
          <w:tab w:val="left" w:pos="851"/>
        </w:tabs>
        <w:ind w:left="851" w:hanging="851"/>
        <w:rPr>
          <w:b/>
          <w:sz w:val="24"/>
          <w:szCs w:val="24"/>
        </w:rPr>
      </w:pPr>
      <w:r w:rsidRPr="00E941B2">
        <w:rPr>
          <w:b/>
          <w:sz w:val="24"/>
          <w:szCs w:val="24"/>
        </w:rPr>
        <w:t>8.</w:t>
      </w:r>
      <w:r w:rsidRPr="00E941B2">
        <w:rPr>
          <w:b/>
          <w:sz w:val="24"/>
          <w:szCs w:val="24"/>
        </w:rPr>
        <w:tab/>
        <w:t>MARKEDSFØRINGSTILLADELSESNUMMER (</w:t>
      </w:r>
      <w:r w:rsidR="00E64D25">
        <w:rPr>
          <w:b/>
          <w:sz w:val="24"/>
          <w:szCs w:val="24"/>
        </w:rPr>
        <w:t>-</w:t>
      </w:r>
      <w:r w:rsidRPr="00E941B2">
        <w:rPr>
          <w:b/>
          <w:sz w:val="24"/>
          <w:szCs w:val="24"/>
        </w:rPr>
        <w:t>NUMRE)</w:t>
      </w:r>
    </w:p>
    <w:p w14:paraId="0A3A542A" w14:textId="0233277C" w:rsidR="009260DE" w:rsidRPr="00E941B2" w:rsidRDefault="00F1661F" w:rsidP="009260DE">
      <w:pPr>
        <w:tabs>
          <w:tab w:val="left" w:pos="851"/>
        </w:tabs>
        <w:ind w:left="851"/>
        <w:rPr>
          <w:sz w:val="24"/>
          <w:szCs w:val="24"/>
        </w:rPr>
      </w:pPr>
      <w:r w:rsidRPr="00E941B2">
        <w:rPr>
          <w:sz w:val="24"/>
          <w:szCs w:val="24"/>
        </w:rPr>
        <w:t>63766</w:t>
      </w:r>
    </w:p>
    <w:p w14:paraId="7ABB807C" w14:textId="77777777" w:rsidR="009260DE" w:rsidRPr="00E941B2" w:rsidRDefault="009260DE" w:rsidP="009260DE">
      <w:pPr>
        <w:tabs>
          <w:tab w:val="left" w:pos="851"/>
        </w:tabs>
        <w:ind w:left="851"/>
        <w:jc w:val="both"/>
        <w:rPr>
          <w:sz w:val="24"/>
          <w:szCs w:val="24"/>
        </w:rPr>
      </w:pPr>
    </w:p>
    <w:p w14:paraId="063CFBDA" w14:textId="77777777" w:rsidR="009260DE" w:rsidRPr="00E941B2" w:rsidRDefault="009260DE" w:rsidP="009260DE">
      <w:pPr>
        <w:tabs>
          <w:tab w:val="left" w:pos="851"/>
        </w:tabs>
        <w:ind w:left="851" w:hanging="851"/>
        <w:rPr>
          <w:b/>
          <w:sz w:val="24"/>
          <w:szCs w:val="24"/>
        </w:rPr>
      </w:pPr>
      <w:r w:rsidRPr="00E941B2">
        <w:rPr>
          <w:b/>
          <w:sz w:val="24"/>
          <w:szCs w:val="24"/>
        </w:rPr>
        <w:t>9.</w:t>
      </w:r>
      <w:r w:rsidRPr="00E941B2">
        <w:rPr>
          <w:b/>
          <w:sz w:val="24"/>
          <w:szCs w:val="24"/>
        </w:rPr>
        <w:tab/>
        <w:t>DATO FOR FØRSTE MARKEDSFØRINGSTILLADELSE</w:t>
      </w:r>
    </w:p>
    <w:p w14:paraId="6C9695C3" w14:textId="64C3F21F" w:rsidR="009260DE" w:rsidRPr="00E941B2" w:rsidRDefault="0047635C" w:rsidP="009260DE">
      <w:pPr>
        <w:tabs>
          <w:tab w:val="left" w:pos="851"/>
        </w:tabs>
        <w:ind w:left="851"/>
        <w:rPr>
          <w:sz w:val="24"/>
          <w:szCs w:val="24"/>
        </w:rPr>
      </w:pPr>
      <w:r>
        <w:rPr>
          <w:sz w:val="24"/>
          <w:szCs w:val="24"/>
        </w:rPr>
        <w:t>17. november 2021</w:t>
      </w:r>
    </w:p>
    <w:p w14:paraId="67FC4330" w14:textId="77777777" w:rsidR="009260DE" w:rsidRPr="00E941B2" w:rsidRDefault="009260DE" w:rsidP="009260DE">
      <w:pPr>
        <w:tabs>
          <w:tab w:val="left" w:pos="851"/>
        </w:tabs>
        <w:ind w:left="851"/>
        <w:rPr>
          <w:sz w:val="24"/>
          <w:szCs w:val="24"/>
        </w:rPr>
      </w:pPr>
    </w:p>
    <w:p w14:paraId="53AA7143" w14:textId="77777777" w:rsidR="009260DE" w:rsidRPr="00E941B2" w:rsidRDefault="009260DE" w:rsidP="009260DE">
      <w:pPr>
        <w:tabs>
          <w:tab w:val="left" w:pos="851"/>
        </w:tabs>
        <w:ind w:left="851" w:hanging="851"/>
        <w:rPr>
          <w:b/>
          <w:sz w:val="24"/>
          <w:szCs w:val="24"/>
        </w:rPr>
      </w:pPr>
      <w:r w:rsidRPr="00E941B2">
        <w:rPr>
          <w:b/>
          <w:sz w:val="24"/>
          <w:szCs w:val="24"/>
        </w:rPr>
        <w:t>10.</w:t>
      </w:r>
      <w:r w:rsidRPr="00E941B2">
        <w:rPr>
          <w:b/>
          <w:sz w:val="24"/>
          <w:szCs w:val="24"/>
        </w:rPr>
        <w:tab/>
        <w:t>DATO FOR ÆNDRING AF TEKSTEN</w:t>
      </w:r>
    </w:p>
    <w:p w14:paraId="4CC7F599" w14:textId="1DBB2DEE" w:rsidR="009260DE" w:rsidRPr="00E941B2" w:rsidRDefault="00E64D25" w:rsidP="009260DE">
      <w:pPr>
        <w:tabs>
          <w:tab w:val="left" w:pos="851"/>
        </w:tabs>
        <w:ind w:left="851"/>
        <w:rPr>
          <w:sz w:val="24"/>
          <w:szCs w:val="24"/>
        </w:rPr>
      </w:pPr>
      <w:r>
        <w:rPr>
          <w:sz w:val="24"/>
          <w:szCs w:val="24"/>
        </w:rPr>
        <w:t>29. januar 2025</w:t>
      </w:r>
    </w:p>
    <w:sectPr w:rsidR="009260DE" w:rsidRPr="00E941B2" w:rsidSect="000259B9">
      <w:footerReference w:type="default" r:id="rId17"/>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B1C45" w14:textId="77777777" w:rsidR="00D91488" w:rsidRDefault="00D91488">
      <w:r>
        <w:separator/>
      </w:r>
    </w:p>
  </w:endnote>
  <w:endnote w:type="continuationSeparator" w:id="0">
    <w:p w14:paraId="61B38CB4" w14:textId="77777777" w:rsidR="00D91488" w:rsidRDefault="00D9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736EF" w14:textId="77777777" w:rsidR="000259B9" w:rsidRDefault="000259B9">
    <w:pPr>
      <w:pStyle w:val="Sidefod"/>
      <w:pBdr>
        <w:bottom w:val="single" w:sz="6" w:space="1" w:color="auto"/>
      </w:pBdr>
    </w:pPr>
  </w:p>
  <w:p w14:paraId="1BF33CD4" w14:textId="77777777" w:rsidR="000259B9" w:rsidRDefault="000259B9" w:rsidP="00C42586">
    <w:pPr>
      <w:pStyle w:val="Sidefod"/>
      <w:tabs>
        <w:tab w:val="clear" w:pos="4819"/>
        <w:tab w:val="left" w:pos="8505"/>
      </w:tabs>
      <w:rPr>
        <w:i/>
        <w:sz w:val="18"/>
        <w:szCs w:val="18"/>
      </w:rPr>
    </w:pPr>
  </w:p>
  <w:p w14:paraId="5D7147DD" w14:textId="638F5699"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13093">
      <w:rPr>
        <w:i/>
        <w:noProof/>
        <w:sz w:val="18"/>
        <w:szCs w:val="18"/>
      </w:rPr>
      <w:t>Coxor, pulver og solvens til oral opløsning 300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00FCB" w14:textId="77777777" w:rsidR="00D91488" w:rsidRDefault="00D91488">
      <w:r>
        <w:separator/>
      </w:r>
    </w:p>
  </w:footnote>
  <w:footnote w:type="continuationSeparator" w:id="0">
    <w:p w14:paraId="3DCE245F" w14:textId="77777777" w:rsidR="00D91488" w:rsidRDefault="00D91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EB0B94"/>
    <w:multiLevelType w:val="hybridMultilevel"/>
    <w:tmpl w:val="D30C17A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88"/>
    <w:rsid w:val="000259B9"/>
    <w:rsid w:val="00041491"/>
    <w:rsid w:val="00050D16"/>
    <w:rsid w:val="000730CA"/>
    <w:rsid w:val="00074F2A"/>
    <w:rsid w:val="00082F54"/>
    <w:rsid w:val="000A1CA8"/>
    <w:rsid w:val="000A466B"/>
    <w:rsid w:val="000B058C"/>
    <w:rsid w:val="000E4EE6"/>
    <w:rsid w:val="001454E2"/>
    <w:rsid w:val="001507F2"/>
    <w:rsid w:val="001E1E33"/>
    <w:rsid w:val="00206CE8"/>
    <w:rsid w:val="00213093"/>
    <w:rsid w:val="0021526C"/>
    <w:rsid w:val="00283A2B"/>
    <w:rsid w:val="002B30AD"/>
    <w:rsid w:val="002C2C01"/>
    <w:rsid w:val="003133F9"/>
    <w:rsid w:val="003A29AE"/>
    <w:rsid w:val="003A32D7"/>
    <w:rsid w:val="003B4074"/>
    <w:rsid w:val="003C769A"/>
    <w:rsid w:val="003F1838"/>
    <w:rsid w:val="0045746C"/>
    <w:rsid w:val="0047635C"/>
    <w:rsid w:val="0049104B"/>
    <w:rsid w:val="004E3B12"/>
    <w:rsid w:val="00532310"/>
    <w:rsid w:val="00542CCD"/>
    <w:rsid w:val="00565F0F"/>
    <w:rsid w:val="00594A86"/>
    <w:rsid w:val="00596D86"/>
    <w:rsid w:val="005B5B65"/>
    <w:rsid w:val="00637F5A"/>
    <w:rsid w:val="006560B1"/>
    <w:rsid w:val="006756DD"/>
    <w:rsid w:val="006A5F05"/>
    <w:rsid w:val="006B48AD"/>
    <w:rsid w:val="00737275"/>
    <w:rsid w:val="00740EEC"/>
    <w:rsid w:val="00762109"/>
    <w:rsid w:val="0078011A"/>
    <w:rsid w:val="00782AF4"/>
    <w:rsid w:val="00790EE7"/>
    <w:rsid w:val="007B6649"/>
    <w:rsid w:val="0082576E"/>
    <w:rsid w:val="00907F75"/>
    <w:rsid w:val="009260DE"/>
    <w:rsid w:val="0093258A"/>
    <w:rsid w:val="009A0BEC"/>
    <w:rsid w:val="009C7BA3"/>
    <w:rsid w:val="009D1F5A"/>
    <w:rsid w:val="00A10294"/>
    <w:rsid w:val="00A403EC"/>
    <w:rsid w:val="00A40C1E"/>
    <w:rsid w:val="00B003BF"/>
    <w:rsid w:val="00B373D7"/>
    <w:rsid w:val="00C36276"/>
    <w:rsid w:val="00C42586"/>
    <w:rsid w:val="00C60CCD"/>
    <w:rsid w:val="00C84483"/>
    <w:rsid w:val="00C95551"/>
    <w:rsid w:val="00CB20D7"/>
    <w:rsid w:val="00D020B0"/>
    <w:rsid w:val="00D11748"/>
    <w:rsid w:val="00D366CF"/>
    <w:rsid w:val="00D81C01"/>
    <w:rsid w:val="00D91488"/>
    <w:rsid w:val="00E108AA"/>
    <w:rsid w:val="00E3749A"/>
    <w:rsid w:val="00E64D25"/>
    <w:rsid w:val="00E7437F"/>
    <w:rsid w:val="00E865B8"/>
    <w:rsid w:val="00E941B2"/>
    <w:rsid w:val="00EC0B9B"/>
    <w:rsid w:val="00ED5E9F"/>
    <w:rsid w:val="00F1661F"/>
    <w:rsid w:val="00F66D4F"/>
    <w:rsid w:val="00F76BB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1C72B"/>
  <w15:chartTrackingRefBased/>
  <w15:docId w15:val="{DE0415B7-B396-4E18-9983-6753B0EA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D25"/>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150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6089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1357234">
      <w:bodyDiv w:val="1"/>
      <w:marLeft w:val="0"/>
      <w:marRight w:val="0"/>
      <w:marTop w:val="0"/>
      <w:marBottom w:val="0"/>
      <w:divBdr>
        <w:top w:val="none" w:sz="0" w:space="0" w:color="auto"/>
        <w:left w:val="none" w:sz="0" w:space="0" w:color="auto"/>
        <w:bottom w:val="none" w:sz="0" w:space="0" w:color="auto"/>
        <w:right w:val="none" w:sz="0" w:space="0" w:color="auto"/>
      </w:divBdr>
    </w:div>
    <w:div w:id="497699518">
      <w:bodyDiv w:val="1"/>
      <w:marLeft w:val="0"/>
      <w:marRight w:val="0"/>
      <w:marTop w:val="0"/>
      <w:marBottom w:val="0"/>
      <w:divBdr>
        <w:top w:val="none" w:sz="0" w:space="0" w:color="auto"/>
        <w:left w:val="none" w:sz="0" w:space="0" w:color="auto"/>
        <w:bottom w:val="none" w:sz="0" w:space="0" w:color="auto"/>
        <w:right w:val="none" w:sz="0" w:space="0" w:color="auto"/>
      </w:divBdr>
    </w:div>
    <w:div w:id="868763406">
      <w:bodyDiv w:val="1"/>
      <w:marLeft w:val="0"/>
      <w:marRight w:val="0"/>
      <w:marTop w:val="0"/>
      <w:marBottom w:val="0"/>
      <w:divBdr>
        <w:top w:val="none" w:sz="0" w:space="0" w:color="auto"/>
        <w:left w:val="none" w:sz="0" w:space="0" w:color="auto"/>
        <w:bottom w:val="none" w:sz="0" w:space="0" w:color="auto"/>
        <w:right w:val="none" w:sz="0" w:space="0" w:color="auto"/>
      </w:divBdr>
    </w:div>
    <w:div w:id="929317812">
      <w:bodyDiv w:val="1"/>
      <w:marLeft w:val="0"/>
      <w:marRight w:val="0"/>
      <w:marTop w:val="0"/>
      <w:marBottom w:val="0"/>
      <w:divBdr>
        <w:top w:val="none" w:sz="0" w:space="0" w:color="auto"/>
        <w:left w:val="none" w:sz="0" w:space="0" w:color="auto"/>
        <w:bottom w:val="none" w:sz="0" w:space="0" w:color="auto"/>
        <w:right w:val="none" w:sz="0" w:space="0" w:color="auto"/>
      </w:divBdr>
    </w:div>
    <w:div w:id="1116634080">
      <w:bodyDiv w:val="1"/>
      <w:marLeft w:val="0"/>
      <w:marRight w:val="0"/>
      <w:marTop w:val="0"/>
      <w:marBottom w:val="0"/>
      <w:divBdr>
        <w:top w:val="none" w:sz="0" w:space="0" w:color="auto"/>
        <w:left w:val="none" w:sz="0" w:space="0" w:color="auto"/>
        <w:bottom w:val="none" w:sz="0" w:space="0" w:color="auto"/>
        <w:right w:val="none" w:sz="0" w:space="0" w:color="auto"/>
      </w:divBdr>
    </w:div>
    <w:div w:id="1315908862">
      <w:bodyDiv w:val="1"/>
      <w:marLeft w:val="0"/>
      <w:marRight w:val="0"/>
      <w:marTop w:val="0"/>
      <w:marBottom w:val="0"/>
      <w:divBdr>
        <w:top w:val="none" w:sz="0" w:space="0" w:color="auto"/>
        <w:left w:val="none" w:sz="0" w:space="0" w:color="auto"/>
        <w:bottom w:val="none" w:sz="0" w:space="0" w:color="auto"/>
        <w:right w:val="none" w:sz="0" w:space="0" w:color="auto"/>
      </w:divBdr>
    </w:div>
    <w:div w:id="1350135751">
      <w:bodyDiv w:val="1"/>
      <w:marLeft w:val="0"/>
      <w:marRight w:val="0"/>
      <w:marTop w:val="0"/>
      <w:marBottom w:val="0"/>
      <w:divBdr>
        <w:top w:val="none" w:sz="0" w:space="0" w:color="auto"/>
        <w:left w:val="none" w:sz="0" w:space="0" w:color="auto"/>
        <w:bottom w:val="none" w:sz="0" w:space="0" w:color="auto"/>
        <w:right w:val="none" w:sz="0" w:space="0" w:color="auto"/>
      </w:divBdr>
    </w:div>
    <w:div w:id="1371496071">
      <w:bodyDiv w:val="1"/>
      <w:marLeft w:val="0"/>
      <w:marRight w:val="0"/>
      <w:marTop w:val="0"/>
      <w:marBottom w:val="0"/>
      <w:divBdr>
        <w:top w:val="none" w:sz="0" w:space="0" w:color="auto"/>
        <w:left w:val="none" w:sz="0" w:space="0" w:color="auto"/>
        <w:bottom w:val="none" w:sz="0" w:space="0" w:color="auto"/>
        <w:right w:val="none" w:sz="0" w:space="0" w:color="auto"/>
      </w:divBdr>
    </w:div>
    <w:div w:id="1398438816">
      <w:bodyDiv w:val="1"/>
      <w:marLeft w:val="0"/>
      <w:marRight w:val="0"/>
      <w:marTop w:val="0"/>
      <w:marBottom w:val="0"/>
      <w:divBdr>
        <w:top w:val="none" w:sz="0" w:space="0" w:color="auto"/>
        <w:left w:val="none" w:sz="0" w:space="0" w:color="auto"/>
        <w:bottom w:val="none" w:sz="0" w:space="0" w:color="auto"/>
        <w:right w:val="none" w:sz="0" w:space="0" w:color="auto"/>
      </w:divBdr>
    </w:div>
    <w:div w:id="1422946182">
      <w:bodyDiv w:val="1"/>
      <w:marLeft w:val="0"/>
      <w:marRight w:val="0"/>
      <w:marTop w:val="0"/>
      <w:marBottom w:val="0"/>
      <w:divBdr>
        <w:top w:val="none" w:sz="0" w:space="0" w:color="auto"/>
        <w:left w:val="none" w:sz="0" w:space="0" w:color="auto"/>
        <w:bottom w:val="none" w:sz="0" w:space="0" w:color="auto"/>
        <w:right w:val="none" w:sz="0" w:space="0" w:color="auto"/>
      </w:divBdr>
    </w:div>
    <w:div w:id="1586186044">
      <w:bodyDiv w:val="1"/>
      <w:marLeft w:val="0"/>
      <w:marRight w:val="0"/>
      <w:marTop w:val="0"/>
      <w:marBottom w:val="0"/>
      <w:divBdr>
        <w:top w:val="none" w:sz="0" w:space="0" w:color="auto"/>
        <w:left w:val="none" w:sz="0" w:space="0" w:color="auto"/>
        <w:bottom w:val="none" w:sz="0" w:space="0" w:color="auto"/>
        <w:right w:val="none" w:sz="0" w:space="0" w:color="auto"/>
      </w:divBdr>
    </w:div>
    <w:div w:id="1614171847">
      <w:bodyDiv w:val="1"/>
      <w:marLeft w:val="0"/>
      <w:marRight w:val="0"/>
      <w:marTop w:val="0"/>
      <w:marBottom w:val="0"/>
      <w:divBdr>
        <w:top w:val="none" w:sz="0" w:space="0" w:color="auto"/>
        <w:left w:val="none" w:sz="0" w:space="0" w:color="auto"/>
        <w:bottom w:val="none" w:sz="0" w:space="0" w:color="auto"/>
        <w:right w:val="none" w:sz="0" w:space="0" w:color="auto"/>
      </w:divBdr>
    </w:div>
    <w:div w:id="1632980250">
      <w:bodyDiv w:val="1"/>
      <w:marLeft w:val="0"/>
      <w:marRight w:val="0"/>
      <w:marTop w:val="0"/>
      <w:marBottom w:val="0"/>
      <w:divBdr>
        <w:top w:val="none" w:sz="0" w:space="0" w:color="auto"/>
        <w:left w:val="none" w:sz="0" w:space="0" w:color="auto"/>
        <w:bottom w:val="none" w:sz="0" w:space="0" w:color="auto"/>
        <w:right w:val="none" w:sz="0" w:space="0" w:color="auto"/>
      </w:divBdr>
    </w:div>
    <w:div w:id="1679190757">
      <w:bodyDiv w:val="1"/>
      <w:marLeft w:val="0"/>
      <w:marRight w:val="0"/>
      <w:marTop w:val="0"/>
      <w:marBottom w:val="0"/>
      <w:divBdr>
        <w:top w:val="none" w:sz="0" w:space="0" w:color="auto"/>
        <w:left w:val="none" w:sz="0" w:space="0" w:color="auto"/>
        <w:bottom w:val="none" w:sz="0" w:space="0" w:color="auto"/>
        <w:right w:val="none" w:sz="0" w:space="0" w:color="auto"/>
      </w:divBdr>
    </w:div>
    <w:div w:id="1727142004">
      <w:bodyDiv w:val="1"/>
      <w:marLeft w:val="0"/>
      <w:marRight w:val="0"/>
      <w:marTop w:val="0"/>
      <w:marBottom w:val="0"/>
      <w:divBdr>
        <w:top w:val="none" w:sz="0" w:space="0" w:color="auto"/>
        <w:left w:val="none" w:sz="0" w:space="0" w:color="auto"/>
        <w:bottom w:val="none" w:sz="0" w:space="0" w:color="auto"/>
        <w:right w:val="none" w:sz="0" w:space="0" w:color="auto"/>
      </w:divBdr>
    </w:div>
    <w:div w:id="1739009140">
      <w:bodyDiv w:val="1"/>
      <w:marLeft w:val="0"/>
      <w:marRight w:val="0"/>
      <w:marTop w:val="0"/>
      <w:marBottom w:val="0"/>
      <w:divBdr>
        <w:top w:val="none" w:sz="0" w:space="0" w:color="auto"/>
        <w:left w:val="none" w:sz="0" w:space="0" w:color="auto"/>
        <w:bottom w:val="none" w:sz="0" w:space="0" w:color="auto"/>
        <w:right w:val="none" w:sz="0" w:space="0" w:color="auto"/>
      </w:divBdr>
    </w:div>
    <w:div w:id="1836529208">
      <w:bodyDiv w:val="1"/>
      <w:marLeft w:val="0"/>
      <w:marRight w:val="0"/>
      <w:marTop w:val="0"/>
      <w:marBottom w:val="0"/>
      <w:divBdr>
        <w:top w:val="none" w:sz="0" w:space="0" w:color="auto"/>
        <w:left w:val="none" w:sz="0" w:space="0" w:color="auto"/>
        <w:bottom w:val="none" w:sz="0" w:space="0" w:color="auto"/>
        <w:right w:val="none" w:sz="0" w:space="0" w:color="auto"/>
      </w:divBdr>
    </w:div>
    <w:div w:id="1878079674">
      <w:bodyDiv w:val="1"/>
      <w:marLeft w:val="0"/>
      <w:marRight w:val="0"/>
      <w:marTop w:val="0"/>
      <w:marBottom w:val="0"/>
      <w:divBdr>
        <w:top w:val="none" w:sz="0" w:space="0" w:color="auto"/>
        <w:left w:val="none" w:sz="0" w:space="0" w:color="auto"/>
        <w:bottom w:val="none" w:sz="0" w:space="0" w:color="auto"/>
        <w:right w:val="none" w:sz="0" w:space="0" w:color="auto"/>
      </w:divBdr>
    </w:div>
    <w:div w:id="1940718497">
      <w:bodyDiv w:val="1"/>
      <w:marLeft w:val="0"/>
      <w:marRight w:val="0"/>
      <w:marTop w:val="0"/>
      <w:marBottom w:val="0"/>
      <w:divBdr>
        <w:top w:val="none" w:sz="0" w:space="0" w:color="auto"/>
        <w:left w:val="none" w:sz="0" w:space="0" w:color="auto"/>
        <w:bottom w:val="none" w:sz="0" w:space="0" w:color="auto"/>
        <w:right w:val="none" w:sz="0" w:space="0" w:color="auto"/>
      </w:divBdr>
    </w:div>
    <w:div w:id="2083288187">
      <w:bodyDiv w:val="1"/>
      <w:marLeft w:val="0"/>
      <w:marRight w:val="0"/>
      <w:marTop w:val="0"/>
      <w:marBottom w:val="0"/>
      <w:divBdr>
        <w:top w:val="none" w:sz="0" w:space="0" w:color="auto"/>
        <w:left w:val="none" w:sz="0" w:space="0" w:color="auto"/>
        <w:bottom w:val="none" w:sz="0" w:space="0" w:color="auto"/>
        <w:right w:val="none" w:sz="0" w:space="0" w:color="auto"/>
      </w:divBdr>
    </w:div>
    <w:div w:id="21313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1756</Words>
  <Characters>11887</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2024021264_x000d_
SPC opdat. pkt. 4.3, 4.4, 4.6, 4.8, 6.6 + QRD overskrifter</dc:description>
  <cp:lastModifiedBy>Marianne Ott Jensen</cp:lastModifiedBy>
  <cp:revision>4</cp:revision>
  <cp:lastPrinted>2012-08-22T08:53:00Z</cp:lastPrinted>
  <dcterms:created xsi:type="dcterms:W3CDTF">2025-01-27T12:22:00Z</dcterms:created>
  <dcterms:modified xsi:type="dcterms:W3CDTF">2025-01-27T12:31:00Z</dcterms:modified>
</cp:coreProperties>
</file>