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0BE87" w14:textId="77777777" w:rsidR="004A3BF4" w:rsidRPr="006F5AE8" w:rsidRDefault="00056601" w:rsidP="004A3BF4">
      <w:pPr>
        <w:rPr>
          <w:sz w:val="24"/>
          <w:szCs w:val="24"/>
          <w:lang w:val="en-GB"/>
        </w:rPr>
      </w:pPr>
      <w:bookmarkStart w:id="0" w:name="_GoBack"/>
      <w:bookmarkEnd w:id="0"/>
      <w:r w:rsidRPr="006F5AE8">
        <w:rPr>
          <w:noProof/>
          <w:sz w:val="24"/>
          <w:szCs w:val="24"/>
          <w:lang w:val="en-GB"/>
        </w:rPr>
        <w:drawing>
          <wp:inline distT="0" distB="0" distL="0" distR="0" wp14:anchorId="4108250D" wp14:editId="7082332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1E6A2CB8" w14:textId="77777777" w:rsidR="006B3847" w:rsidRPr="006F5AE8" w:rsidRDefault="006B3847" w:rsidP="006B3847">
      <w:pPr>
        <w:rPr>
          <w:sz w:val="24"/>
          <w:szCs w:val="24"/>
          <w:lang w:val="en-GB"/>
        </w:rPr>
      </w:pPr>
    </w:p>
    <w:p w14:paraId="6A424311" w14:textId="3A09C840" w:rsidR="006B3847" w:rsidRPr="006F5AE8" w:rsidRDefault="006B3847" w:rsidP="006B3847">
      <w:pPr>
        <w:tabs>
          <w:tab w:val="right" w:pos="9356"/>
        </w:tabs>
        <w:rPr>
          <w:b/>
          <w:sz w:val="24"/>
          <w:szCs w:val="24"/>
          <w:lang w:val="en-GB"/>
        </w:rPr>
      </w:pPr>
      <w:r w:rsidRPr="006F5AE8">
        <w:rPr>
          <w:b/>
          <w:sz w:val="24"/>
          <w:szCs w:val="24"/>
          <w:lang w:val="en-GB"/>
        </w:rPr>
        <w:tab/>
      </w:r>
      <w:r w:rsidR="00DD435F">
        <w:rPr>
          <w:b/>
          <w:sz w:val="24"/>
          <w:szCs w:val="24"/>
          <w:lang w:val="en-GB"/>
        </w:rPr>
        <w:t>11 April 2024</w:t>
      </w:r>
    </w:p>
    <w:p w14:paraId="0B13D42C" w14:textId="77777777" w:rsidR="006B3847" w:rsidRPr="006F5AE8" w:rsidRDefault="006B3847" w:rsidP="006B3847">
      <w:pPr>
        <w:rPr>
          <w:sz w:val="24"/>
          <w:szCs w:val="24"/>
          <w:lang w:val="en-GB"/>
        </w:rPr>
      </w:pPr>
    </w:p>
    <w:p w14:paraId="12BF4C2B" w14:textId="77777777" w:rsidR="007C5D2A" w:rsidRPr="006F5AE8" w:rsidRDefault="007C5D2A" w:rsidP="007C5D2A">
      <w:pPr>
        <w:rPr>
          <w:sz w:val="24"/>
          <w:szCs w:val="24"/>
          <w:lang w:val="en-GB"/>
        </w:rPr>
      </w:pPr>
    </w:p>
    <w:p w14:paraId="4FD9B93B" w14:textId="77777777" w:rsidR="007C5D2A" w:rsidRPr="006F5AE8" w:rsidRDefault="007C5D2A" w:rsidP="007C5D2A">
      <w:pPr>
        <w:rPr>
          <w:sz w:val="24"/>
          <w:szCs w:val="24"/>
          <w:lang w:val="en-GB"/>
        </w:rPr>
      </w:pPr>
    </w:p>
    <w:p w14:paraId="6EA3DB55" w14:textId="77777777" w:rsidR="007C5D2A" w:rsidRPr="006F5AE8" w:rsidRDefault="007C5D2A" w:rsidP="007C5D2A">
      <w:pPr>
        <w:jc w:val="center"/>
        <w:rPr>
          <w:b/>
          <w:sz w:val="24"/>
          <w:szCs w:val="24"/>
          <w:lang w:val="en-GB"/>
        </w:rPr>
      </w:pPr>
      <w:bookmarkStart w:id="1" w:name="_Hlk49158549"/>
      <w:r w:rsidRPr="006F5AE8">
        <w:rPr>
          <w:b/>
          <w:sz w:val="24"/>
          <w:szCs w:val="24"/>
          <w:lang w:val="en-GB"/>
        </w:rPr>
        <w:t>SUMMARY OF PRODUCT CHARACTERISTICS</w:t>
      </w:r>
    </w:p>
    <w:bookmarkEnd w:id="1"/>
    <w:p w14:paraId="1F222FFC" w14:textId="77777777" w:rsidR="007C5D2A" w:rsidRPr="006F5AE8" w:rsidRDefault="007C5D2A" w:rsidP="007C5D2A">
      <w:pPr>
        <w:jc w:val="center"/>
        <w:rPr>
          <w:sz w:val="24"/>
          <w:szCs w:val="24"/>
          <w:lang w:val="en-GB"/>
        </w:rPr>
      </w:pPr>
    </w:p>
    <w:p w14:paraId="7D97A3CB" w14:textId="77777777" w:rsidR="007C5D2A" w:rsidRPr="006F5AE8" w:rsidRDefault="007C5D2A" w:rsidP="007C5D2A">
      <w:pPr>
        <w:jc w:val="center"/>
        <w:rPr>
          <w:b/>
          <w:sz w:val="24"/>
          <w:szCs w:val="24"/>
          <w:lang w:val="en-GB"/>
        </w:rPr>
      </w:pPr>
      <w:r w:rsidRPr="006F5AE8">
        <w:rPr>
          <w:b/>
          <w:sz w:val="24"/>
          <w:szCs w:val="24"/>
          <w:lang w:val="en-GB"/>
        </w:rPr>
        <w:t>for</w:t>
      </w:r>
    </w:p>
    <w:p w14:paraId="3D73AD5D" w14:textId="77777777" w:rsidR="007C5D2A" w:rsidRPr="006F5AE8" w:rsidRDefault="007C5D2A" w:rsidP="007C5D2A">
      <w:pPr>
        <w:jc w:val="center"/>
        <w:rPr>
          <w:sz w:val="24"/>
          <w:szCs w:val="24"/>
          <w:lang w:val="en-GB"/>
        </w:rPr>
      </w:pPr>
    </w:p>
    <w:p w14:paraId="19CEA420" w14:textId="1155C864" w:rsidR="007C5D2A" w:rsidRPr="006F5AE8" w:rsidRDefault="00506031" w:rsidP="007C5D2A">
      <w:pPr>
        <w:jc w:val="center"/>
        <w:rPr>
          <w:b/>
          <w:sz w:val="24"/>
          <w:szCs w:val="24"/>
          <w:lang w:val="en-GB"/>
        </w:rPr>
      </w:pPr>
      <w:proofErr w:type="spellStart"/>
      <w:r w:rsidRPr="006F5AE8">
        <w:rPr>
          <w:b/>
          <w:sz w:val="24"/>
          <w:szCs w:val="24"/>
          <w:lang w:val="en-GB"/>
        </w:rPr>
        <w:t>Croalcril</w:t>
      </w:r>
      <w:proofErr w:type="spellEnd"/>
      <w:r w:rsidRPr="006F5AE8">
        <w:rPr>
          <w:b/>
          <w:sz w:val="24"/>
          <w:szCs w:val="24"/>
          <w:lang w:val="en-GB"/>
        </w:rPr>
        <w:t>, film-coated tablets</w:t>
      </w:r>
    </w:p>
    <w:p w14:paraId="277B2336" w14:textId="77777777" w:rsidR="007C5D2A" w:rsidRPr="006F5AE8" w:rsidRDefault="007C5D2A" w:rsidP="007C5D2A">
      <w:pPr>
        <w:jc w:val="both"/>
        <w:rPr>
          <w:sz w:val="24"/>
          <w:szCs w:val="24"/>
          <w:lang w:val="en-GB"/>
        </w:rPr>
      </w:pPr>
    </w:p>
    <w:p w14:paraId="3A02A250" w14:textId="77777777" w:rsidR="0042292D" w:rsidRPr="006F5AE8" w:rsidRDefault="0042292D" w:rsidP="007C5D2A">
      <w:pPr>
        <w:jc w:val="both"/>
        <w:rPr>
          <w:sz w:val="24"/>
          <w:szCs w:val="24"/>
          <w:lang w:val="en-GB"/>
        </w:rPr>
      </w:pPr>
    </w:p>
    <w:p w14:paraId="1219ACC9" w14:textId="77777777" w:rsidR="008F2F8C" w:rsidRPr="006F5AE8" w:rsidRDefault="008F2F8C" w:rsidP="008F2F8C">
      <w:pPr>
        <w:tabs>
          <w:tab w:val="left" w:pos="8222"/>
        </w:tabs>
        <w:ind w:left="851" w:hanging="851"/>
        <w:rPr>
          <w:b/>
          <w:sz w:val="24"/>
          <w:szCs w:val="24"/>
          <w:lang w:val="en-GB"/>
        </w:rPr>
      </w:pPr>
      <w:r w:rsidRPr="006F5AE8">
        <w:rPr>
          <w:b/>
          <w:sz w:val="24"/>
          <w:szCs w:val="24"/>
          <w:lang w:val="en-GB"/>
        </w:rPr>
        <w:t>0.</w:t>
      </w:r>
      <w:r w:rsidRPr="006F5AE8">
        <w:rPr>
          <w:b/>
          <w:sz w:val="24"/>
          <w:szCs w:val="24"/>
          <w:lang w:val="en-GB"/>
        </w:rPr>
        <w:tab/>
      </w:r>
      <w:proofErr w:type="gramStart"/>
      <w:r w:rsidRPr="006F5AE8">
        <w:rPr>
          <w:b/>
          <w:sz w:val="24"/>
          <w:szCs w:val="24"/>
          <w:lang w:val="en-GB"/>
        </w:rPr>
        <w:t>D.SP.NO</w:t>
      </w:r>
      <w:proofErr w:type="gramEnd"/>
      <w:r w:rsidRPr="006F5AE8">
        <w:rPr>
          <w:b/>
          <w:sz w:val="24"/>
          <w:szCs w:val="24"/>
          <w:lang w:val="en-GB"/>
        </w:rPr>
        <w:t>.</w:t>
      </w:r>
    </w:p>
    <w:p w14:paraId="7E0646B3" w14:textId="6F118711" w:rsidR="008F2F8C" w:rsidRPr="006F5AE8" w:rsidRDefault="00506031" w:rsidP="008F2F8C">
      <w:pPr>
        <w:tabs>
          <w:tab w:val="left" w:pos="8222"/>
        </w:tabs>
        <w:ind w:left="851"/>
        <w:rPr>
          <w:sz w:val="24"/>
          <w:szCs w:val="24"/>
          <w:lang w:val="en-GB"/>
        </w:rPr>
      </w:pPr>
      <w:r w:rsidRPr="006F5AE8">
        <w:rPr>
          <w:sz w:val="24"/>
          <w:szCs w:val="24"/>
          <w:lang w:val="en-GB"/>
        </w:rPr>
        <w:t>33054</w:t>
      </w:r>
    </w:p>
    <w:p w14:paraId="51D33D42" w14:textId="77777777" w:rsidR="007C5D2A" w:rsidRPr="006F5AE8" w:rsidRDefault="007C5D2A" w:rsidP="007C5D2A">
      <w:pPr>
        <w:tabs>
          <w:tab w:val="left" w:pos="851"/>
        </w:tabs>
        <w:jc w:val="both"/>
        <w:rPr>
          <w:sz w:val="24"/>
          <w:szCs w:val="24"/>
          <w:lang w:val="en-GB"/>
        </w:rPr>
      </w:pPr>
    </w:p>
    <w:p w14:paraId="2FE1ED1C" w14:textId="77777777" w:rsidR="007C5D2A" w:rsidRPr="006F5AE8" w:rsidRDefault="009925C9" w:rsidP="007C5D2A">
      <w:pPr>
        <w:tabs>
          <w:tab w:val="left" w:pos="851"/>
        </w:tabs>
        <w:ind w:left="851" w:hanging="851"/>
        <w:rPr>
          <w:sz w:val="24"/>
          <w:szCs w:val="24"/>
          <w:lang w:val="en-GB"/>
        </w:rPr>
      </w:pPr>
      <w:r w:rsidRPr="006F5AE8">
        <w:rPr>
          <w:b/>
          <w:sz w:val="24"/>
          <w:szCs w:val="24"/>
          <w:lang w:val="en-GB"/>
        </w:rPr>
        <w:t>1.</w:t>
      </w:r>
      <w:r w:rsidR="007C5D2A" w:rsidRPr="006F5AE8">
        <w:rPr>
          <w:b/>
          <w:sz w:val="24"/>
          <w:szCs w:val="24"/>
          <w:lang w:val="en-GB"/>
        </w:rPr>
        <w:tab/>
        <w:t>NAME OF THE MEDICINAL PRODUCT</w:t>
      </w:r>
    </w:p>
    <w:p w14:paraId="095226BD" w14:textId="2105BA1A" w:rsidR="007C5D2A" w:rsidRPr="006F5AE8" w:rsidRDefault="00506031" w:rsidP="004A3BF4">
      <w:pPr>
        <w:tabs>
          <w:tab w:val="left" w:pos="851"/>
        </w:tabs>
        <w:ind w:left="851"/>
        <w:rPr>
          <w:sz w:val="24"/>
          <w:szCs w:val="24"/>
          <w:lang w:val="en-GB"/>
        </w:rPr>
      </w:pPr>
      <w:proofErr w:type="spellStart"/>
      <w:r w:rsidRPr="006F5AE8">
        <w:rPr>
          <w:sz w:val="24"/>
          <w:szCs w:val="24"/>
          <w:lang w:val="en-GB"/>
        </w:rPr>
        <w:t>Croalcril</w:t>
      </w:r>
      <w:proofErr w:type="spellEnd"/>
    </w:p>
    <w:p w14:paraId="2FA4D2CA" w14:textId="77777777" w:rsidR="007C5D2A" w:rsidRPr="006F5AE8" w:rsidRDefault="007C5D2A" w:rsidP="004A3BF4">
      <w:pPr>
        <w:tabs>
          <w:tab w:val="left" w:pos="851"/>
        </w:tabs>
        <w:ind w:left="851"/>
        <w:rPr>
          <w:sz w:val="24"/>
          <w:szCs w:val="24"/>
          <w:lang w:val="en-GB"/>
        </w:rPr>
      </w:pPr>
    </w:p>
    <w:p w14:paraId="613756B6" w14:textId="77777777" w:rsidR="007C5D2A" w:rsidRPr="006F5AE8" w:rsidRDefault="009925C9" w:rsidP="007C5D2A">
      <w:pPr>
        <w:ind w:left="851" w:hanging="851"/>
        <w:rPr>
          <w:b/>
          <w:sz w:val="24"/>
          <w:szCs w:val="24"/>
          <w:lang w:val="en-GB"/>
        </w:rPr>
      </w:pPr>
      <w:r w:rsidRPr="006F5AE8">
        <w:rPr>
          <w:b/>
          <w:sz w:val="24"/>
          <w:szCs w:val="24"/>
          <w:lang w:val="en-GB"/>
        </w:rPr>
        <w:t>2.</w:t>
      </w:r>
      <w:r w:rsidR="007C5D2A" w:rsidRPr="006F5AE8">
        <w:rPr>
          <w:b/>
          <w:sz w:val="24"/>
          <w:szCs w:val="24"/>
          <w:lang w:val="en-GB"/>
        </w:rPr>
        <w:tab/>
        <w:t>QUALITATIVE AND QUANTITATIVE COMPOSITION</w:t>
      </w:r>
    </w:p>
    <w:p w14:paraId="2BC4A942" w14:textId="77777777" w:rsidR="0074039C" w:rsidRPr="006F5AE8" w:rsidRDefault="0074039C" w:rsidP="00B4050A">
      <w:pPr>
        <w:ind w:left="851"/>
        <w:rPr>
          <w:sz w:val="24"/>
          <w:szCs w:val="24"/>
          <w:lang w:val="en-US"/>
        </w:rPr>
      </w:pPr>
      <w:r w:rsidRPr="006F5AE8">
        <w:rPr>
          <w:sz w:val="24"/>
          <w:szCs w:val="24"/>
          <w:lang w:val="en-US"/>
        </w:rPr>
        <w:t>Each film-coated tablet contains 60 mg or 90 mg ticagrelor.</w:t>
      </w:r>
    </w:p>
    <w:p w14:paraId="329E05F8" w14:textId="77777777" w:rsidR="0074039C" w:rsidRPr="006F5AE8" w:rsidRDefault="0074039C" w:rsidP="00B4050A">
      <w:pPr>
        <w:ind w:left="851"/>
        <w:rPr>
          <w:sz w:val="24"/>
          <w:szCs w:val="24"/>
          <w:lang w:val="en-US"/>
        </w:rPr>
      </w:pPr>
    </w:p>
    <w:p w14:paraId="7357CF63" w14:textId="77777777" w:rsidR="0074039C" w:rsidRPr="006F5AE8" w:rsidRDefault="0074039C" w:rsidP="00B4050A">
      <w:pPr>
        <w:ind w:left="851"/>
        <w:rPr>
          <w:sz w:val="24"/>
          <w:szCs w:val="24"/>
          <w:lang w:val="en-US"/>
        </w:rPr>
      </w:pPr>
      <w:r w:rsidRPr="006F5AE8">
        <w:rPr>
          <w:sz w:val="24"/>
          <w:szCs w:val="24"/>
          <w:lang w:val="en-US"/>
        </w:rPr>
        <w:t>For the full list of excipients, see section 6.1.</w:t>
      </w:r>
    </w:p>
    <w:p w14:paraId="4B9C14A2" w14:textId="77777777" w:rsidR="007C5D2A" w:rsidRPr="006F5AE8" w:rsidRDefault="007C5D2A" w:rsidP="004A3BF4">
      <w:pPr>
        <w:tabs>
          <w:tab w:val="left" w:pos="851"/>
        </w:tabs>
        <w:ind w:left="851"/>
        <w:rPr>
          <w:sz w:val="24"/>
          <w:szCs w:val="24"/>
          <w:lang w:val="en-US"/>
        </w:rPr>
      </w:pPr>
    </w:p>
    <w:p w14:paraId="3DD06FA1" w14:textId="77777777" w:rsidR="007C5D2A" w:rsidRPr="006F5AE8" w:rsidRDefault="007C5D2A" w:rsidP="007C5D2A">
      <w:pPr>
        <w:tabs>
          <w:tab w:val="left" w:pos="851"/>
        </w:tabs>
        <w:ind w:left="851" w:hanging="851"/>
        <w:rPr>
          <w:b/>
          <w:sz w:val="24"/>
          <w:szCs w:val="24"/>
          <w:lang w:val="en-GB"/>
        </w:rPr>
      </w:pPr>
      <w:r w:rsidRPr="006F5AE8">
        <w:rPr>
          <w:b/>
          <w:sz w:val="24"/>
          <w:szCs w:val="24"/>
          <w:lang w:val="en-GB"/>
        </w:rPr>
        <w:t>3.</w:t>
      </w:r>
      <w:r w:rsidRPr="006F5AE8">
        <w:rPr>
          <w:b/>
          <w:sz w:val="24"/>
          <w:szCs w:val="24"/>
          <w:lang w:val="en-GB"/>
        </w:rPr>
        <w:tab/>
        <w:t>PHARMACEUTICAL FORM</w:t>
      </w:r>
    </w:p>
    <w:p w14:paraId="7BC96484" w14:textId="3BF22DC5" w:rsidR="0074039C" w:rsidRPr="006F5AE8" w:rsidRDefault="0074039C" w:rsidP="00B4050A">
      <w:pPr>
        <w:ind w:left="851"/>
        <w:rPr>
          <w:sz w:val="24"/>
          <w:szCs w:val="24"/>
          <w:lang w:val="en-US"/>
        </w:rPr>
      </w:pPr>
      <w:r w:rsidRPr="006F5AE8">
        <w:rPr>
          <w:sz w:val="24"/>
          <w:szCs w:val="24"/>
          <w:lang w:val="en-US"/>
        </w:rPr>
        <w:t>Film-coated tablet</w:t>
      </w:r>
      <w:r w:rsidR="006F5AE8">
        <w:rPr>
          <w:sz w:val="24"/>
          <w:szCs w:val="24"/>
          <w:lang w:val="en-US"/>
        </w:rPr>
        <w:t>s</w:t>
      </w:r>
    </w:p>
    <w:p w14:paraId="78220D2B" w14:textId="77777777" w:rsidR="0074039C" w:rsidRPr="006F5AE8" w:rsidRDefault="0074039C" w:rsidP="00B4050A">
      <w:pPr>
        <w:ind w:left="851"/>
        <w:rPr>
          <w:sz w:val="24"/>
          <w:szCs w:val="24"/>
          <w:lang w:val="en-US"/>
        </w:rPr>
      </w:pPr>
    </w:p>
    <w:p w14:paraId="4D601625" w14:textId="6815D78D" w:rsidR="0074039C" w:rsidRPr="006F5AE8" w:rsidRDefault="00B04A37" w:rsidP="00B4050A">
      <w:pPr>
        <w:ind w:left="851"/>
        <w:rPr>
          <w:sz w:val="24"/>
          <w:szCs w:val="24"/>
          <w:u w:val="single"/>
          <w:lang w:val="en-US"/>
        </w:rPr>
      </w:pPr>
      <w:proofErr w:type="spellStart"/>
      <w:r>
        <w:rPr>
          <w:sz w:val="24"/>
          <w:szCs w:val="24"/>
          <w:u w:val="single"/>
          <w:lang w:val="en-US"/>
        </w:rPr>
        <w:t>Croalcril</w:t>
      </w:r>
      <w:proofErr w:type="spellEnd"/>
      <w:r w:rsidR="0074039C" w:rsidRPr="006F5AE8">
        <w:rPr>
          <w:sz w:val="24"/>
          <w:szCs w:val="24"/>
          <w:u w:val="single"/>
          <w:lang w:val="en-US"/>
        </w:rPr>
        <w:t xml:space="preserve"> 60 mg film-coated tablets</w:t>
      </w:r>
    </w:p>
    <w:p w14:paraId="7A3E5617" w14:textId="77777777" w:rsidR="0074039C" w:rsidRPr="006F5AE8" w:rsidRDefault="0074039C" w:rsidP="00B4050A">
      <w:pPr>
        <w:ind w:left="851"/>
        <w:rPr>
          <w:sz w:val="24"/>
          <w:szCs w:val="24"/>
          <w:lang w:val="en-US"/>
        </w:rPr>
      </w:pPr>
      <w:r w:rsidRPr="006F5AE8">
        <w:rPr>
          <w:sz w:val="24"/>
          <w:szCs w:val="24"/>
          <w:lang w:val="en-US"/>
        </w:rPr>
        <w:t>Red round, biconvex, plain on both sides, film coated tablets, with diameter approximately 8mm.</w:t>
      </w:r>
    </w:p>
    <w:p w14:paraId="4479A997" w14:textId="77777777" w:rsidR="0074039C" w:rsidRPr="006F5AE8" w:rsidRDefault="0074039C" w:rsidP="00B4050A">
      <w:pPr>
        <w:ind w:left="851"/>
        <w:rPr>
          <w:sz w:val="24"/>
          <w:szCs w:val="24"/>
          <w:lang w:val="en-US"/>
        </w:rPr>
      </w:pPr>
    </w:p>
    <w:p w14:paraId="0A6BDBCD" w14:textId="1E2BD3D9" w:rsidR="0074039C" w:rsidRPr="006F5AE8" w:rsidRDefault="00B04A37" w:rsidP="00B4050A">
      <w:pPr>
        <w:ind w:left="851"/>
        <w:rPr>
          <w:sz w:val="24"/>
          <w:szCs w:val="24"/>
          <w:u w:val="single"/>
          <w:lang w:val="en-US"/>
        </w:rPr>
      </w:pPr>
      <w:proofErr w:type="spellStart"/>
      <w:r>
        <w:rPr>
          <w:sz w:val="24"/>
          <w:szCs w:val="24"/>
          <w:u w:val="single"/>
          <w:lang w:val="en-US"/>
        </w:rPr>
        <w:t>Croalcril</w:t>
      </w:r>
      <w:proofErr w:type="spellEnd"/>
      <w:r w:rsidR="0074039C" w:rsidRPr="006F5AE8">
        <w:rPr>
          <w:sz w:val="24"/>
          <w:szCs w:val="24"/>
          <w:u w:val="single"/>
          <w:lang w:val="en-US"/>
        </w:rPr>
        <w:t xml:space="preserve"> 90 mg film-coated tablets</w:t>
      </w:r>
    </w:p>
    <w:p w14:paraId="66DC080F" w14:textId="77777777" w:rsidR="0074039C" w:rsidRPr="006F5AE8" w:rsidRDefault="0074039C" w:rsidP="00B4050A">
      <w:pPr>
        <w:ind w:left="851"/>
        <w:rPr>
          <w:sz w:val="24"/>
          <w:szCs w:val="24"/>
          <w:lang w:val="en-US"/>
        </w:rPr>
      </w:pPr>
      <w:r w:rsidRPr="006F5AE8">
        <w:rPr>
          <w:sz w:val="24"/>
          <w:szCs w:val="24"/>
          <w:lang w:val="en-US"/>
        </w:rPr>
        <w:t>Yellow round, biconvex, film coated tablets, debossed with ‘MC’ on one side and plain on the other side, with diameter approximately 9mm.</w:t>
      </w:r>
    </w:p>
    <w:p w14:paraId="3201ACE2" w14:textId="77777777" w:rsidR="007C5D2A" w:rsidRPr="006F5AE8" w:rsidRDefault="007C5D2A" w:rsidP="004A3BF4">
      <w:pPr>
        <w:tabs>
          <w:tab w:val="left" w:pos="851"/>
        </w:tabs>
        <w:ind w:left="851"/>
        <w:rPr>
          <w:sz w:val="24"/>
          <w:szCs w:val="24"/>
          <w:lang w:val="en-US"/>
        </w:rPr>
      </w:pPr>
    </w:p>
    <w:p w14:paraId="055238AB" w14:textId="77777777" w:rsidR="007C5D2A" w:rsidRPr="006F5AE8" w:rsidRDefault="007C5D2A" w:rsidP="004A3BF4">
      <w:pPr>
        <w:tabs>
          <w:tab w:val="left" w:pos="851"/>
        </w:tabs>
        <w:ind w:left="851"/>
        <w:rPr>
          <w:sz w:val="24"/>
          <w:szCs w:val="24"/>
          <w:lang w:val="en-GB"/>
        </w:rPr>
      </w:pPr>
    </w:p>
    <w:p w14:paraId="3E549C76" w14:textId="77777777" w:rsidR="007C5D2A" w:rsidRPr="006F5AE8" w:rsidRDefault="007C5D2A" w:rsidP="007C5D2A">
      <w:pPr>
        <w:ind w:left="851" w:hanging="851"/>
        <w:rPr>
          <w:b/>
          <w:sz w:val="24"/>
          <w:szCs w:val="24"/>
          <w:lang w:val="en-GB"/>
        </w:rPr>
      </w:pPr>
      <w:r w:rsidRPr="006F5AE8">
        <w:rPr>
          <w:b/>
          <w:sz w:val="24"/>
          <w:szCs w:val="24"/>
          <w:lang w:val="en-GB"/>
        </w:rPr>
        <w:t>4.</w:t>
      </w:r>
      <w:r w:rsidRPr="006F5AE8">
        <w:rPr>
          <w:b/>
          <w:sz w:val="24"/>
          <w:szCs w:val="24"/>
          <w:lang w:val="en-GB"/>
        </w:rPr>
        <w:tab/>
        <w:t>CLINICAL PARTICULARS</w:t>
      </w:r>
    </w:p>
    <w:p w14:paraId="4F033861" w14:textId="77777777" w:rsidR="007C5D2A" w:rsidRPr="006F5AE8" w:rsidRDefault="007C5D2A" w:rsidP="004A3BF4">
      <w:pPr>
        <w:tabs>
          <w:tab w:val="left" w:pos="851"/>
        </w:tabs>
        <w:ind w:left="851"/>
        <w:rPr>
          <w:sz w:val="24"/>
          <w:szCs w:val="24"/>
          <w:lang w:val="en-GB"/>
        </w:rPr>
      </w:pPr>
    </w:p>
    <w:p w14:paraId="4996AF17" w14:textId="77777777" w:rsidR="007C5D2A" w:rsidRPr="006F5AE8" w:rsidRDefault="007C5D2A" w:rsidP="007C5D2A">
      <w:pPr>
        <w:ind w:left="851" w:hanging="851"/>
        <w:rPr>
          <w:b/>
          <w:sz w:val="24"/>
          <w:szCs w:val="24"/>
          <w:u w:val="single"/>
          <w:lang w:val="en-GB"/>
        </w:rPr>
      </w:pPr>
      <w:r w:rsidRPr="006F5AE8">
        <w:rPr>
          <w:b/>
          <w:sz w:val="24"/>
          <w:szCs w:val="24"/>
          <w:lang w:val="en-GB"/>
        </w:rPr>
        <w:t>4.1</w:t>
      </w:r>
      <w:r w:rsidRPr="006F5AE8">
        <w:rPr>
          <w:b/>
          <w:sz w:val="24"/>
          <w:szCs w:val="24"/>
          <w:lang w:val="en-GB"/>
        </w:rPr>
        <w:tab/>
        <w:t>Therapeutic indications</w:t>
      </w:r>
    </w:p>
    <w:p w14:paraId="011F4395" w14:textId="77777777" w:rsidR="0074039C" w:rsidRPr="006F5AE8" w:rsidRDefault="0074039C" w:rsidP="00B4050A">
      <w:pPr>
        <w:ind w:left="851"/>
        <w:rPr>
          <w:sz w:val="24"/>
          <w:szCs w:val="24"/>
          <w:lang w:val="en-US"/>
        </w:rPr>
      </w:pPr>
      <w:r w:rsidRPr="006F5AE8">
        <w:rPr>
          <w:sz w:val="24"/>
          <w:szCs w:val="24"/>
          <w:lang w:val="en-US"/>
        </w:rPr>
        <w:t>Ticagrelor, co-administered with acetylsalicylic acid (ASA), is indicated for the prevention of atherothrombotic events in adult patients with:</w:t>
      </w:r>
    </w:p>
    <w:p w14:paraId="2770644D" w14:textId="77777777" w:rsidR="0074039C" w:rsidRPr="006F5AE8" w:rsidRDefault="0074039C" w:rsidP="006F5AE8">
      <w:pPr>
        <w:pStyle w:val="Listeafsnit"/>
        <w:numPr>
          <w:ilvl w:val="0"/>
          <w:numId w:val="11"/>
        </w:numPr>
        <w:tabs>
          <w:tab w:val="clear" w:pos="567"/>
        </w:tabs>
        <w:ind w:left="1276" w:hanging="425"/>
        <w:rPr>
          <w:sz w:val="24"/>
          <w:szCs w:val="24"/>
        </w:rPr>
      </w:pPr>
      <w:r w:rsidRPr="006F5AE8">
        <w:rPr>
          <w:sz w:val="24"/>
          <w:szCs w:val="24"/>
        </w:rPr>
        <w:t xml:space="preserve">acute coronary syndromes (ACS) </w:t>
      </w:r>
      <w:r w:rsidRPr="006F5AE8">
        <w:rPr>
          <w:i/>
          <w:iCs/>
          <w:sz w:val="24"/>
          <w:szCs w:val="24"/>
        </w:rPr>
        <w:t>or</w:t>
      </w:r>
    </w:p>
    <w:p w14:paraId="1DC4A828" w14:textId="77777777" w:rsidR="0074039C" w:rsidRPr="006F5AE8" w:rsidRDefault="0074039C" w:rsidP="006F5AE8">
      <w:pPr>
        <w:pStyle w:val="Listeafsnit"/>
        <w:numPr>
          <w:ilvl w:val="0"/>
          <w:numId w:val="11"/>
        </w:numPr>
        <w:tabs>
          <w:tab w:val="clear" w:pos="567"/>
        </w:tabs>
        <w:ind w:left="1276" w:hanging="425"/>
        <w:rPr>
          <w:sz w:val="24"/>
          <w:szCs w:val="24"/>
        </w:rPr>
      </w:pPr>
      <w:r w:rsidRPr="006F5AE8">
        <w:rPr>
          <w:sz w:val="24"/>
          <w:szCs w:val="24"/>
        </w:rPr>
        <w:t>a history of myocardial infarction (MI) and a high risk of developing an atherothrombotic event (see sections 4.2 and 5.1).</w:t>
      </w:r>
    </w:p>
    <w:p w14:paraId="71350511" w14:textId="28FB2400" w:rsidR="00B04A37" w:rsidRDefault="00B04A37">
      <w:pPr>
        <w:rPr>
          <w:sz w:val="24"/>
          <w:szCs w:val="24"/>
          <w:lang w:val="en-US"/>
        </w:rPr>
      </w:pPr>
      <w:r>
        <w:rPr>
          <w:sz w:val="24"/>
          <w:szCs w:val="24"/>
          <w:lang w:val="en-US"/>
        </w:rPr>
        <w:br w:type="page"/>
      </w:r>
    </w:p>
    <w:p w14:paraId="45A0E8E5" w14:textId="77777777" w:rsidR="007C5D2A" w:rsidRPr="006F5AE8" w:rsidRDefault="007C5D2A" w:rsidP="00A85D26">
      <w:pPr>
        <w:tabs>
          <w:tab w:val="left" w:pos="851"/>
        </w:tabs>
        <w:ind w:left="851"/>
        <w:rPr>
          <w:sz w:val="24"/>
          <w:szCs w:val="24"/>
          <w:lang w:val="en-US"/>
        </w:rPr>
      </w:pPr>
    </w:p>
    <w:p w14:paraId="1A10628D" w14:textId="77777777" w:rsidR="007C5D2A" w:rsidRPr="006F5AE8" w:rsidRDefault="009925C9" w:rsidP="007C5D2A">
      <w:pPr>
        <w:tabs>
          <w:tab w:val="left" w:pos="851"/>
        </w:tabs>
        <w:ind w:left="851" w:hanging="851"/>
        <w:rPr>
          <w:sz w:val="24"/>
          <w:szCs w:val="24"/>
          <w:lang w:val="en-GB"/>
        </w:rPr>
      </w:pPr>
      <w:r w:rsidRPr="006F5AE8">
        <w:rPr>
          <w:b/>
          <w:sz w:val="24"/>
          <w:szCs w:val="24"/>
          <w:lang w:val="en-GB"/>
        </w:rPr>
        <w:t>4.2</w:t>
      </w:r>
      <w:r w:rsidR="007C5D2A" w:rsidRPr="006F5AE8">
        <w:rPr>
          <w:b/>
          <w:sz w:val="24"/>
          <w:szCs w:val="24"/>
          <w:lang w:val="en-GB"/>
        </w:rPr>
        <w:tab/>
        <w:t>Posology and method of administration</w:t>
      </w:r>
    </w:p>
    <w:p w14:paraId="314A12DA" w14:textId="77777777" w:rsidR="006F5AE8" w:rsidRDefault="006F5AE8" w:rsidP="00B4050A">
      <w:pPr>
        <w:ind w:left="851"/>
        <w:rPr>
          <w:sz w:val="24"/>
          <w:szCs w:val="24"/>
          <w:u w:val="single"/>
          <w:lang w:val="en-US"/>
        </w:rPr>
      </w:pPr>
    </w:p>
    <w:p w14:paraId="28B5353B" w14:textId="54D2AD2A" w:rsidR="0074039C" w:rsidRPr="006F5AE8" w:rsidRDefault="0074039C" w:rsidP="00B4050A">
      <w:pPr>
        <w:ind w:left="851"/>
        <w:rPr>
          <w:sz w:val="24"/>
          <w:szCs w:val="24"/>
          <w:u w:val="single"/>
          <w:lang w:val="en-US"/>
        </w:rPr>
      </w:pPr>
      <w:r w:rsidRPr="006F5AE8">
        <w:rPr>
          <w:sz w:val="24"/>
          <w:szCs w:val="24"/>
          <w:u w:val="single"/>
          <w:lang w:val="en-US"/>
        </w:rPr>
        <w:t>Posology</w:t>
      </w:r>
    </w:p>
    <w:p w14:paraId="4AC7E097" w14:textId="0908B8E7" w:rsidR="0074039C" w:rsidRPr="006F5AE8" w:rsidRDefault="0074039C" w:rsidP="00B4050A">
      <w:pPr>
        <w:ind w:left="851"/>
        <w:rPr>
          <w:sz w:val="24"/>
          <w:szCs w:val="24"/>
          <w:lang w:val="en-US"/>
        </w:rPr>
      </w:pPr>
      <w:r w:rsidRPr="006F5AE8">
        <w:rPr>
          <w:sz w:val="24"/>
          <w:szCs w:val="24"/>
          <w:lang w:val="en-US"/>
        </w:rPr>
        <w:t>Patients taking ticagrelor should also take a daily low maintenance dose of ASA 75-150</w:t>
      </w:r>
      <w:r w:rsidR="00B04A37">
        <w:rPr>
          <w:sz w:val="24"/>
          <w:szCs w:val="24"/>
          <w:lang w:val="en-US"/>
        </w:rPr>
        <w:t> </w:t>
      </w:r>
      <w:r w:rsidRPr="006F5AE8">
        <w:rPr>
          <w:sz w:val="24"/>
          <w:szCs w:val="24"/>
          <w:lang w:val="en-US"/>
        </w:rPr>
        <w:t>mg, unless specifically contraindicated.</w:t>
      </w:r>
    </w:p>
    <w:p w14:paraId="70FFD79F" w14:textId="77777777" w:rsidR="0074039C" w:rsidRPr="006F5AE8" w:rsidRDefault="0074039C" w:rsidP="00B4050A">
      <w:pPr>
        <w:ind w:left="851"/>
        <w:rPr>
          <w:sz w:val="24"/>
          <w:szCs w:val="24"/>
          <w:lang w:val="en-US"/>
        </w:rPr>
      </w:pPr>
    </w:p>
    <w:p w14:paraId="21FFD5A4" w14:textId="77777777" w:rsidR="0074039C" w:rsidRPr="006F5AE8" w:rsidRDefault="0074039C" w:rsidP="00B4050A">
      <w:pPr>
        <w:ind w:left="851"/>
        <w:rPr>
          <w:i/>
          <w:iCs/>
          <w:sz w:val="24"/>
          <w:szCs w:val="24"/>
          <w:u w:val="single"/>
          <w:lang w:val="en-US"/>
        </w:rPr>
      </w:pPr>
      <w:r w:rsidRPr="006F5AE8">
        <w:rPr>
          <w:i/>
          <w:iCs/>
          <w:sz w:val="24"/>
          <w:szCs w:val="24"/>
          <w:u w:val="single"/>
          <w:lang w:val="en-US"/>
        </w:rPr>
        <w:t>Acute coronary syndromes</w:t>
      </w:r>
    </w:p>
    <w:p w14:paraId="6EB3B730" w14:textId="77777777" w:rsidR="0074039C" w:rsidRPr="006F5AE8" w:rsidRDefault="0074039C" w:rsidP="00B4050A">
      <w:pPr>
        <w:ind w:left="851"/>
        <w:rPr>
          <w:sz w:val="24"/>
          <w:szCs w:val="24"/>
          <w:lang w:val="en-US"/>
        </w:rPr>
      </w:pPr>
      <w:r w:rsidRPr="006F5AE8">
        <w:rPr>
          <w:sz w:val="24"/>
          <w:szCs w:val="24"/>
          <w:lang w:val="en-US"/>
        </w:rPr>
        <w:t>Ticagrelor treatment should be initiated with a single 180 mg loading dose (two tablets of 90 mg) and then continued at 90 mg twice daily. Treatment with ticagrelor 90 mg twice daily is recommended for 12 months in ACS patients unless discontinuation is clinically indicated (see section 5.1).</w:t>
      </w:r>
    </w:p>
    <w:p w14:paraId="7F8798A1" w14:textId="77777777" w:rsidR="0074039C" w:rsidRPr="006F5AE8" w:rsidRDefault="0074039C" w:rsidP="00B4050A">
      <w:pPr>
        <w:ind w:left="851"/>
        <w:rPr>
          <w:sz w:val="24"/>
          <w:szCs w:val="24"/>
          <w:lang w:val="en-US"/>
        </w:rPr>
      </w:pPr>
    </w:p>
    <w:p w14:paraId="0FF763C9" w14:textId="77777777" w:rsidR="0074039C" w:rsidRPr="006F5AE8" w:rsidRDefault="0074039C" w:rsidP="00B4050A">
      <w:pPr>
        <w:ind w:left="851"/>
        <w:rPr>
          <w:i/>
          <w:iCs/>
          <w:sz w:val="24"/>
          <w:szCs w:val="24"/>
          <w:u w:val="single"/>
          <w:lang w:val="en-US"/>
        </w:rPr>
      </w:pPr>
      <w:r w:rsidRPr="006F5AE8">
        <w:rPr>
          <w:i/>
          <w:iCs/>
          <w:sz w:val="24"/>
          <w:szCs w:val="24"/>
          <w:u w:val="single"/>
          <w:lang w:val="en-US"/>
        </w:rPr>
        <w:t>History of myocardial infarction</w:t>
      </w:r>
    </w:p>
    <w:p w14:paraId="20BBBCE9" w14:textId="77777777" w:rsidR="0074039C" w:rsidRPr="006F5AE8" w:rsidRDefault="0074039C" w:rsidP="00B4050A">
      <w:pPr>
        <w:ind w:left="851"/>
        <w:rPr>
          <w:sz w:val="24"/>
          <w:szCs w:val="24"/>
          <w:lang w:val="en-US"/>
        </w:rPr>
      </w:pPr>
      <w:r w:rsidRPr="006F5AE8">
        <w:rPr>
          <w:sz w:val="24"/>
          <w:szCs w:val="24"/>
          <w:lang w:val="en-US"/>
        </w:rPr>
        <w:t>Ticagrelor 60 mg twice daily is the recommended dose when an extended treatment is required for patients with a history of MI of at least one year and a high risk of an atherothrombotic event (see section 5.1). Treatment may be started without interruption as continuation therapy after the initial one-year treatment with ticagrelor 90 mg or other adenosine diphosphate (ADP) receptor inhibitor therapy in ACS patients with a high risk of an atherothrombotic event. Treatment can also be initiated up to 2 years from the MI, or within one year after stopping previous ADP receptor inhibitor treatment. There are limited data on the efficacy and safety of ticagrelor beyond 3 years of extended treatment.</w:t>
      </w:r>
    </w:p>
    <w:p w14:paraId="5D4AF489" w14:textId="77777777" w:rsidR="0074039C" w:rsidRPr="006F5AE8" w:rsidRDefault="0074039C" w:rsidP="00B4050A">
      <w:pPr>
        <w:ind w:left="851"/>
        <w:rPr>
          <w:sz w:val="24"/>
          <w:szCs w:val="24"/>
          <w:lang w:val="en-US"/>
        </w:rPr>
      </w:pPr>
    </w:p>
    <w:p w14:paraId="1F9406F6" w14:textId="77777777" w:rsidR="0074039C" w:rsidRPr="006F5AE8" w:rsidRDefault="0074039C" w:rsidP="00B4050A">
      <w:pPr>
        <w:ind w:left="851"/>
        <w:rPr>
          <w:sz w:val="24"/>
          <w:szCs w:val="24"/>
          <w:lang w:val="en-US"/>
        </w:rPr>
      </w:pPr>
      <w:r w:rsidRPr="006F5AE8">
        <w:rPr>
          <w:sz w:val="24"/>
          <w:szCs w:val="24"/>
          <w:lang w:val="en-US"/>
        </w:rPr>
        <w:t>If a switch is needed, the first dose of ticagrelor should be administered 24 hours following the last dose of the other antiplatelet medication.</w:t>
      </w:r>
    </w:p>
    <w:p w14:paraId="0CDBC105" w14:textId="77777777" w:rsidR="0074039C" w:rsidRPr="006F5AE8" w:rsidRDefault="0074039C" w:rsidP="00B4050A">
      <w:pPr>
        <w:ind w:left="851"/>
        <w:rPr>
          <w:sz w:val="24"/>
          <w:szCs w:val="24"/>
          <w:lang w:val="en-US"/>
        </w:rPr>
      </w:pPr>
    </w:p>
    <w:p w14:paraId="65889263" w14:textId="77777777" w:rsidR="0074039C" w:rsidRPr="006F5AE8" w:rsidRDefault="0074039C" w:rsidP="00B4050A">
      <w:pPr>
        <w:ind w:left="851"/>
        <w:rPr>
          <w:i/>
          <w:iCs/>
          <w:sz w:val="24"/>
          <w:szCs w:val="24"/>
          <w:u w:val="single"/>
          <w:lang w:val="en-US"/>
        </w:rPr>
      </w:pPr>
      <w:r w:rsidRPr="006F5AE8">
        <w:rPr>
          <w:i/>
          <w:iCs/>
          <w:sz w:val="24"/>
          <w:szCs w:val="24"/>
          <w:u w:val="single"/>
          <w:lang w:val="en-US"/>
        </w:rPr>
        <w:t>Missed dose</w:t>
      </w:r>
    </w:p>
    <w:p w14:paraId="4364DB4C" w14:textId="77777777" w:rsidR="0074039C" w:rsidRPr="006F5AE8" w:rsidRDefault="0074039C" w:rsidP="00B4050A">
      <w:pPr>
        <w:ind w:left="851"/>
        <w:rPr>
          <w:sz w:val="24"/>
          <w:szCs w:val="24"/>
          <w:lang w:val="en-US"/>
        </w:rPr>
      </w:pPr>
      <w:r w:rsidRPr="006F5AE8">
        <w:rPr>
          <w:sz w:val="24"/>
          <w:szCs w:val="24"/>
          <w:lang w:val="en-US"/>
        </w:rPr>
        <w:t>Lapses in therapy should also be avoided. A patient who misses a dose of ticagrelor should take only one tablet (their next dose) at its scheduled time.</w:t>
      </w:r>
    </w:p>
    <w:p w14:paraId="0F3DCBB4" w14:textId="77777777" w:rsidR="0074039C" w:rsidRPr="006F5AE8" w:rsidRDefault="0074039C" w:rsidP="00B4050A">
      <w:pPr>
        <w:ind w:left="851"/>
        <w:rPr>
          <w:sz w:val="24"/>
          <w:szCs w:val="24"/>
          <w:lang w:val="en-US"/>
        </w:rPr>
      </w:pPr>
    </w:p>
    <w:p w14:paraId="50BC6ABE" w14:textId="77777777" w:rsidR="0074039C" w:rsidRPr="006F5AE8" w:rsidRDefault="0074039C" w:rsidP="00B4050A">
      <w:pPr>
        <w:ind w:left="851"/>
        <w:rPr>
          <w:i/>
          <w:iCs/>
          <w:sz w:val="24"/>
          <w:szCs w:val="24"/>
          <w:u w:val="single"/>
          <w:lang w:val="en-US"/>
        </w:rPr>
      </w:pPr>
      <w:r w:rsidRPr="006F5AE8">
        <w:rPr>
          <w:i/>
          <w:iCs/>
          <w:sz w:val="24"/>
          <w:szCs w:val="24"/>
          <w:u w:val="single"/>
          <w:lang w:val="en-US"/>
        </w:rPr>
        <w:t>Special populations</w:t>
      </w:r>
    </w:p>
    <w:p w14:paraId="6757D742" w14:textId="77777777" w:rsidR="0074039C" w:rsidRPr="006F5AE8" w:rsidRDefault="0074039C" w:rsidP="00B4050A">
      <w:pPr>
        <w:ind w:left="851"/>
        <w:rPr>
          <w:i/>
          <w:iCs/>
          <w:sz w:val="24"/>
          <w:szCs w:val="24"/>
          <w:lang w:val="en-US"/>
        </w:rPr>
      </w:pPr>
      <w:r w:rsidRPr="006F5AE8">
        <w:rPr>
          <w:i/>
          <w:iCs/>
          <w:sz w:val="24"/>
          <w:szCs w:val="24"/>
          <w:lang w:val="en-US"/>
        </w:rPr>
        <w:t>Elderly</w:t>
      </w:r>
    </w:p>
    <w:p w14:paraId="2FE9EFD2" w14:textId="77777777" w:rsidR="0074039C" w:rsidRPr="006F5AE8" w:rsidRDefault="0074039C" w:rsidP="00B4050A">
      <w:pPr>
        <w:ind w:left="851"/>
        <w:rPr>
          <w:sz w:val="24"/>
          <w:szCs w:val="24"/>
          <w:lang w:val="en-US"/>
        </w:rPr>
      </w:pPr>
      <w:r w:rsidRPr="006F5AE8">
        <w:rPr>
          <w:sz w:val="24"/>
          <w:szCs w:val="24"/>
          <w:lang w:val="en-US"/>
        </w:rPr>
        <w:t>No dose adjustment is required in elderly (see section 5.2).</w:t>
      </w:r>
    </w:p>
    <w:p w14:paraId="3CA213E5" w14:textId="77777777" w:rsidR="0074039C" w:rsidRPr="006F5AE8" w:rsidRDefault="0074039C" w:rsidP="00B4050A">
      <w:pPr>
        <w:ind w:left="851"/>
        <w:rPr>
          <w:sz w:val="24"/>
          <w:szCs w:val="24"/>
          <w:lang w:val="en-US"/>
        </w:rPr>
      </w:pPr>
    </w:p>
    <w:p w14:paraId="30E21268" w14:textId="77777777" w:rsidR="0074039C" w:rsidRPr="006F5AE8" w:rsidRDefault="0074039C" w:rsidP="00B4050A">
      <w:pPr>
        <w:ind w:left="851"/>
        <w:rPr>
          <w:i/>
          <w:iCs/>
          <w:sz w:val="24"/>
          <w:szCs w:val="24"/>
          <w:lang w:val="en-US"/>
        </w:rPr>
      </w:pPr>
      <w:r w:rsidRPr="006F5AE8">
        <w:rPr>
          <w:i/>
          <w:iCs/>
          <w:sz w:val="24"/>
          <w:szCs w:val="24"/>
          <w:lang w:val="en-US"/>
        </w:rPr>
        <w:t>Renal impairment</w:t>
      </w:r>
    </w:p>
    <w:p w14:paraId="6BE8EDEE" w14:textId="77777777" w:rsidR="0074039C" w:rsidRPr="006F5AE8" w:rsidRDefault="0074039C" w:rsidP="00B4050A">
      <w:pPr>
        <w:ind w:left="851"/>
        <w:rPr>
          <w:sz w:val="24"/>
          <w:szCs w:val="24"/>
          <w:lang w:val="en-US"/>
        </w:rPr>
      </w:pPr>
      <w:r w:rsidRPr="006F5AE8">
        <w:rPr>
          <w:sz w:val="24"/>
          <w:szCs w:val="24"/>
          <w:lang w:val="en-US"/>
        </w:rPr>
        <w:t>No dose adjustment is necessary for patients with renal impairment (see section 5.2).</w:t>
      </w:r>
    </w:p>
    <w:p w14:paraId="61FCAE9B" w14:textId="77777777" w:rsidR="0074039C" w:rsidRPr="006F5AE8" w:rsidRDefault="0074039C" w:rsidP="00B4050A">
      <w:pPr>
        <w:ind w:left="851"/>
        <w:rPr>
          <w:sz w:val="24"/>
          <w:szCs w:val="24"/>
          <w:lang w:val="en-US"/>
        </w:rPr>
      </w:pPr>
    </w:p>
    <w:p w14:paraId="35C366EC" w14:textId="77777777" w:rsidR="0074039C" w:rsidRPr="006F5AE8" w:rsidRDefault="0074039C" w:rsidP="00B4050A">
      <w:pPr>
        <w:ind w:left="851"/>
        <w:rPr>
          <w:i/>
          <w:iCs/>
          <w:sz w:val="24"/>
          <w:szCs w:val="24"/>
          <w:lang w:val="en-US"/>
        </w:rPr>
      </w:pPr>
      <w:r w:rsidRPr="006F5AE8">
        <w:rPr>
          <w:i/>
          <w:iCs/>
          <w:sz w:val="24"/>
          <w:szCs w:val="24"/>
          <w:lang w:val="en-US"/>
        </w:rPr>
        <w:t>Hepatic impairment</w:t>
      </w:r>
    </w:p>
    <w:p w14:paraId="245033D1" w14:textId="77777777" w:rsidR="0074039C" w:rsidRPr="006F5AE8" w:rsidRDefault="0074039C" w:rsidP="00B4050A">
      <w:pPr>
        <w:ind w:left="851"/>
        <w:rPr>
          <w:sz w:val="24"/>
          <w:szCs w:val="24"/>
          <w:lang w:val="en-US"/>
        </w:rPr>
      </w:pPr>
      <w:r w:rsidRPr="006F5AE8">
        <w:rPr>
          <w:sz w:val="24"/>
          <w:szCs w:val="24"/>
          <w:lang w:val="en-US"/>
        </w:rPr>
        <w:t>Ticagrelor has not been studied in patients with severe hepatic impairment and its use in these patients is therefore contraindicated (see section 4.3). Only limited information is available in patients with moderate hepatic impairment. Dose adjustment is not recommended, but ticagrelor should be used with caution (see sections 4.4 and 5.2). No dose adjustment is necessary for patients with mild hepatic impairment (see section 5.2).</w:t>
      </w:r>
    </w:p>
    <w:p w14:paraId="33E0A8BA" w14:textId="77777777" w:rsidR="0074039C" w:rsidRPr="006F5AE8" w:rsidRDefault="0074039C" w:rsidP="00B4050A">
      <w:pPr>
        <w:ind w:left="851"/>
        <w:rPr>
          <w:sz w:val="24"/>
          <w:szCs w:val="24"/>
          <w:lang w:val="en-US"/>
        </w:rPr>
      </w:pPr>
    </w:p>
    <w:p w14:paraId="4CB5AC34" w14:textId="77777777" w:rsidR="0074039C" w:rsidRPr="006F5AE8" w:rsidRDefault="0074039C" w:rsidP="00B4050A">
      <w:pPr>
        <w:ind w:left="851"/>
        <w:rPr>
          <w:i/>
          <w:iCs/>
          <w:sz w:val="24"/>
          <w:szCs w:val="24"/>
          <w:lang w:val="en-US"/>
        </w:rPr>
      </w:pPr>
      <w:r w:rsidRPr="006F5AE8">
        <w:rPr>
          <w:i/>
          <w:iCs/>
          <w:sz w:val="24"/>
          <w:szCs w:val="24"/>
          <w:lang w:val="en-US"/>
        </w:rPr>
        <w:t>Paediatric population</w:t>
      </w:r>
    </w:p>
    <w:p w14:paraId="709C2F6A" w14:textId="77777777" w:rsidR="0074039C" w:rsidRPr="006F5AE8" w:rsidRDefault="0074039C" w:rsidP="00B4050A">
      <w:pPr>
        <w:ind w:left="851"/>
        <w:rPr>
          <w:sz w:val="24"/>
          <w:szCs w:val="24"/>
          <w:lang w:val="en-US"/>
        </w:rPr>
      </w:pPr>
      <w:r w:rsidRPr="006F5AE8">
        <w:rPr>
          <w:sz w:val="24"/>
          <w:szCs w:val="24"/>
          <w:lang w:val="en-US"/>
        </w:rPr>
        <w:t>The safety and efficacy of ticagrelor in children below the age of 18 years have not been established.</w:t>
      </w:r>
    </w:p>
    <w:p w14:paraId="32D3DE42" w14:textId="77777777" w:rsidR="0074039C" w:rsidRPr="006F5AE8" w:rsidRDefault="0074039C" w:rsidP="00B4050A">
      <w:pPr>
        <w:ind w:left="851"/>
        <w:rPr>
          <w:sz w:val="24"/>
          <w:szCs w:val="24"/>
          <w:lang w:val="en-US"/>
        </w:rPr>
      </w:pPr>
      <w:r w:rsidRPr="006F5AE8">
        <w:rPr>
          <w:sz w:val="24"/>
          <w:szCs w:val="24"/>
          <w:lang w:val="en-US"/>
        </w:rPr>
        <w:t>There is no relevant use of ticagrelor in children with sickle cell disease (see sections 5.1 and 5.2).</w:t>
      </w:r>
    </w:p>
    <w:p w14:paraId="0502616C" w14:textId="2EAA2B6B" w:rsidR="00B04A37" w:rsidRDefault="00B04A37">
      <w:pPr>
        <w:rPr>
          <w:sz w:val="24"/>
          <w:szCs w:val="24"/>
          <w:lang w:val="en-US"/>
        </w:rPr>
      </w:pPr>
      <w:r>
        <w:rPr>
          <w:sz w:val="24"/>
          <w:szCs w:val="24"/>
          <w:lang w:val="en-US"/>
        </w:rPr>
        <w:br w:type="page"/>
      </w:r>
    </w:p>
    <w:p w14:paraId="515075DF" w14:textId="77777777" w:rsidR="0074039C" w:rsidRPr="006F5AE8" w:rsidRDefault="0074039C" w:rsidP="00B4050A">
      <w:pPr>
        <w:ind w:left="851"/>
        <w:rPr>
          <w:sz w:val="24"/>
          <w:szCs w:val="24"/>
          <w:lang w:val="en-US"/>
        </w:rPr>
      </w:pPr>
    </w:p>
    <w:p w14:paraId="47601EBC" w14:textId="77777777" w:rsidR="0074039C" w:rsidRPr="006F5AE8" w:rsidRDefault="0074039C" w:rsidP="00B4050A">
      <w:pPr>
        <w:ind w:left="851"/>
        <w:rPr>
          <w:sz w:val="24"/>
          <w:szCs w:val="24"/>
          <w:u w:val="single"/>
          <w:lang w:val="en-US"/>
        </w:rPr>
      </w:pPr>
      <w:r w:rsidRPr="006F5AE8">
        <w:rPr>
          <w:sz w:val="24"/>
          <w:szCs w:val="24"/>
          <w:u w:val="single"/>
          <w:lang w:val="en-US"/>
        </w:rPr>
        <w:t>Method of administration</w:t>
      </w:r>
    </w:p>
    <w:p w14:paraId="4D87FC78" w14:textId="77777777" w:rsidR="0074039C" w:rsidRPr="006F5AE8" w:rsidRDefault="0074039C" w:rsidP="00B4050A">
      <w:pPr>
        <w:ind w:left="851"/>
        <w:rPr>
          <w:sz w:val="24"/>
          <w:szCs w:val="24"/>
          <w:lang w:val="en-US"/>
        </w:rPr>
      </w:pPr>
      <w:r w:rsidRPr="006F5AE8">
        <w:rPr>
          <w:sz w:val="24"/>
          <w:szCs w:val="24"/>
          <w:lang w:val="en-US"/>
        </w:rPr>
        <w:t>For oral use.</w:t>
      </w:r>
    </w:p>
    <w:p w14:paraId="74ED7031" w14:textId="2B22130F" w:rsidR="0074039C" w:rsidRPr="006F5AE8" w:rsidRDefault="00B04A37" w:rsidP="00B4050A">
      <w:pPr>
        <w:ind w:left="851"/>
        <w:rPr>
          <w:sz w:val="24"/>
          <w:szCs w:val="24"/>
          <w:lang w:val="en-US"/>
        </w:rPr>
      </w:pPr>
      <w:proofErr w:type="spellStart"/>
      <w:r>
        <w:rPr>
          <w:sz w:val="24"/>
          <w:szCs w:val="24"/>
          <w:lang w:val="en-US"/>
        </w:rPr>
        <w:t>Croalcril</w:t>
      </w:r>
      <w:proofErr w:type="spellEnd"/>
      <w:r w:rsidR="0074039C" w:rsidRPr="006F5AE8">
        <w:rPr>
          <w:sz w:val="24"/>
          <w:szCs w:val="24"/>
          <w:lang w:val="en-US"/>
        </w:rPr>
        <w:t xml:space="preserve"> can be administered with or without food.</w:t>
      </w:r>
    </w:p>
    <w:p w14:paraId="53F5F785" w14:textId="77777777" w:rsidR="0074039C" w:rsidRPr="006F5AE8" w:rsidRDefault="0074039C" w:rsidP="00B4050A">
      <w:pPr>
        <w:ind w:left="851"/>
        <w:rPr>
          <w:sz w:val="24"/>
          <w:szCs w:val="24"/>
          <w:lang w:val="en-US"/>
        </w:rPr>
      </w:pPr>
      <w:r w:rsidRPr="006F5AE8">
        <w:rPr>
          <w:sz w:val="24"/>
          <w:szCs w:val="24"/>
          <w:lang w:val="en-US"/>
        </w:rPr>
        <w:t>For patients who are unable to swallow the tablet(s) whole, the tablets can be crushed to a fine powder and mixed in half a glass of water and drunk immediately. The glass should be rinsed with a further half glass of water and the contents drunk. The mixture can also be administered via a nasogastric tube (CH8 or greater). It is important to flush the nasogastric tube through with 60 ml water after administration of the mixture.</w:t>
      </w:r>
    </w:p>
    <w:p w14:paraId="2AF8057E" w14:textId="77777777" w:rsidR="007C5D2A" w:rsidRPr="006F5AE8" w:rsidRDefault="007C5D2A" w:rsidP="00A85D26">
      <w:pPr>
        <w:tabs>
          <w:tab w:val="left" w:pos="851"/>
        </w:tabs>
        <w:ind w:left="851"/>
        <w:rPr>
          <w:sz w:val="24"/>
          <w:szCs w:val="24"/>
          <w:lang w:val="en-US"/>
        </w:rPr>
      </w:pPr>
    </w:p>
    <w:p w14:paraId="07F7747E" w14:textId="77777777" w:rsidR="007C5D2A" w:rsidRPr="006F5AE8" w:rsidRDefault="007C5D2A" w:rsidP="007C5D2A">
      <w:pPr>
        <w:tabs>
          <w:tab w:val="left" w:pos="851"/>
        </w:tabs>
        <w:ind w:left="851" w:hanging="851"/>
        <w:rPr>
          <w:b/>
          <w:sz w:val="24"/>
          <w:szCs w:val="24"/>
          <w:lang w:val="en-GB"/>
        </w:rPr>
      </w:pPr>
      <w:r w:rsidRPr="006F5AE8">
        <w:rPr>
          <w:b/>
          <w:sz w:val="24"/>
          <w:szCs w:val="24"/>
          <w:lang w:val="en-GB"/>
        </w:rPr>
        <w:t>4.3</w:t>
      </w:r>
      <w:r w:rsidRPr="006F5AE8">
        <w:rPr>
          <w:b/>
          <w:sz w:val="24"/>
          <w:szCs w:val="24"/>
          <w:lang w:val="en-GB"/>
        </w:rPr>
        <w:tab/>
        <w:t>Contraindications</w:t>
      </w:r>
    </w:p>
    <w:p w14:paraId="539E75B4" w14:textId="77777777" w:rsidR="0074039C" w:rsidRPr="006F5AE8" w:rsidRDefault="0074039C" w:rsidP="00B4050A">
      <w:pPr>
        <w:ind w:left="851"/>
        <w:rPr>
          <w:sz w:val="24"/>
          <w:szCs w:val="24"/>
          <w:lang w:val="en-US"/>
        </w:rPr>
      </w:pPr>
      <w:r w:rsidRPr="006F5AE8">
        <w:rPr>
          <w:sz w:val="24"/>
          <w:szCs w:val="24"/>
          <w:lang w:val="en-US"/>
        </w:rPr>
        <w:t>Hypersensitivity to the active substance or to any of the excipients listed in section 6.1.</w:t>
      </w:r>
    </w:p>
    <w:p w14:paraId="01164C37" w14:textId="77777777" w:rsidR="0074039C" w:rsidRPr="006F5AE8" w:rsidRDefault="0074039C" w:rsidP="00B4050A">
      <w:pPr>
        <w:ind w:left="851"/>
        <w:rPr>
          <w:sz w:val="24"/>
          <w:szCs w:val="24"/>
          <w:lang w:val="en-US"/>
        </w:rPr>
      </w:pPr>
      <w:r w:rsidRPr="006F5AE8">
        <w:rPr>
          <w:sz w:val="24"/>
          <w:szCs w:val="24"/>
          <w:lang w:val="en-US"/>
        </w:rPr>
        <w:t>Active pathological bleeding.</w:t>
      </w:r>
    </w:p>
    <w:p w14:paraId="4F769AF1" w14:textId="77777777" w:rsidR="0074039C" w:rsidRPr="006F5AE8" w:rsidRDefault="0074039C" w:rsidP="00B4050A">
      <w:pPr>
        <w:ind w:left="851"/>
        <w:rPr>
          <w:sz w:val="24"/>
          <w:szCs w:val="24"/>
          <w:lang w:val="en-US"/>
        </w:rPr>
      </w:pPr>
      <w:r w:rsidRPr="006F5AE8">
        <w:rPr>
          <w:sz w:val="24"/>
          <w:szCs w:val="24"/>
          <w:lang w:val="en-US"/>
        </w:rPr>
        <w:t xml:space="preserve">History of intracranial </w:t>
      </w:r>
      <w:proofErr w:type="spellStart"/>
      <w:r w:rsidRPr="006F5AE8">
        <w:rPr>
          <w:sz w:val="24"/>
          <w:szCs w:val="24"/>
          <w:lang w:val="en-US"/>
        </w:rPr>
        <w:t>haemorrhage</w:t>
      </w:r>
      <w:proofErr w:type="spellEnd"/>
      <w:r w:rsidRPr="006F5AE8">
        <w:rPr>
          <w:sz w:val="24"/>
          <w:szCs w:val="24"/>
          <w:lang w:val="en-US"/>
        </w:rPr>
        <w:t xml:space="preserve"> (see section 4.8).</w:t>
      </w:r>
    </w:p>
    <w:p w14:paraId="1422FBE7" w14:textId="77777777" w:rsidR="0074039C" w:rsidRPr="006F5AE8" w:rsidRDefault="0074039C" w:rsidP="00B4050A">
      <w:pPr>
        <w:ind w:left="851"/>
        <w:rPr>
          <w:sz w:val="24"/>
          <w:szCs w:val="24"/>
          <w:lang w:val="en-US"/>
        </w:rPr>
      </w:pPr>
      <w:r w:rsidRPr="006F5AE8">
        <w:rPr>
          <w:sz w:val="24"/>
          <w:szCs w:val="24"/>
          <w:lang w:val="en-US"/>
        </w:rPr>
        <w:t>Severe hepatic impairment (see sections 4.2, 4.4 and 5.2).</w:t>
      </w:r>
    </w:p>
    <w:p w14:paraId="1D267E86" w14:textId="77777777" w:rsidR="0074039C" w:rsidRPr="006F5AE8" w:rsidRDefault="0074039C" w:rsidP="00B4050A">
      <w:pPr>
        <w:ind w:left="851"/>
        <w:rPr>
          <w:sz w:val="24"/>
          <w:szCs w:val="24"/>
          <w:lang w:val="en-US"/>
        </w:rPr>
      </w:pPr>
      <w:r w:rsidRPr="006F5AE8">
        <w:rPr>
          <w:sz w:val="24"/>
          <w:szCs w:val="24"/>
          <w:lang w:val="en-US"/>
        </w:rPr>
        <w:t>Co-administration of ticagrelor with strong CYP3A4 inhibitors (e.g., ketoconazole, clarithromycin, nefazodone, ritonavir and atazanavir), as co-administration may lead to a substantial increase in exposure to ticagrelor (see section 4.5).</w:t>
      </w:r>
    </w:p>
    <w:p w14:paraId="214CE880" w14:textId="77777777" w:rsidR="007C5D2A" w:rsidRPr="006F5AE8" w:rsidRDefault="007C5D2A" w:rsidP="003E0341">
      <w:pPr>
        <w:tabs>
          <w:tab w:val="left" w:pos="851"/>
        </w:tabs>
        <w:ind w:left="851"/>
        <w:rPr>
          <w:sz w:val="24"/>
          <w:szCs w:val="24"/>
          <w:lang w:val="en-US"/>
        </w:rPr>
      </w:pPr>
    </w:p>
    <w:p w14:paraId="1E803FA2" w14:textId="77777777" w:rsidR="007C5D2A" w:rsidRPr="006F5AE8" w:rsidRDefault="007C5D2A" w:rsidP="007C5D2A">
      <w:pPr>
        <w:tabs>
          <w:tab w:val="left" w:pos="851"/>
        </w:tabs>
        <w:rPr>
          <w:b/>
          <w:sz w:val="24"/>
          <w:szCs w:val="24"/>
          <w:lang w:val="en-GB"/>
        </w:rPr>
      </w:pPr>
      <w:r w:rsidRPr="006F5AE8">
        <w:rPr>
          <w:b/>
          <w:sz w:val="24"/>
          <w:szCs w:val="24"/>
          <w:lang w:val="en-GB"/>
        </w:rPr>
        <w:t>4.4</w:t>
      </w:r>
      <w:r w:rsidRPr="006F5AE8">
        <w:rPr>
          <w:b/>
          <w:sz w:val="24"/>
          <w:szCs w:val="24"/>
          <w:lang w:val="en-GB"/>
        </w:rPr>
        <w:tab/>
        <w:t>Special warnings and precautions for use</w:t>
      </w:r>
    </w:p>
    <w:p w14:paraId="4A3D44BE" w14:textId="77777777" w:rsidR="006F5AE8" w:rsidRDefault="006F5AE8" w:rsidP="00B4050A">
      <w:pPr>
        <w:ind w:left="851"/>
        <w:rPr>
          <w:sz w:val="24"/>
          <w:szCs w:val="24"/>
          <w:lang w:val="en-GB"/>
        </w:rPr>
      </w:pPr>
    </w:p>
    <w:p w14:paraId="64366C43" w14:textId="35F9C668" w:rsidR="0074039C" w:rsidRPr="006F5AE8" w:rsidRDefault="0074039C" w:rsidP="00B4050A">
      <w:pPr>
        <w:ind w:left="851"/>
        <w:rPr>
          <w:sz w:val="24"/>
          <w:szCs w:val="24"/>
          <w:u w:val="single"/>
          <w:lang w:val="en-US"/>
        </w:rPr>
      </w:pPr>
      <w:r w:rsidRPr="006F5AE8">
        <w:rPr>
          <w:sz w:val="24"/>
          <w:szCs w:val="24"/>
          <w:u w:val="single"/>
          <w:lang w:val="en-US"/>
        </w:rPr>
        <w:t>Bleeding risk</w:t>
      </w:r>
    </w:p>
    <w:p w14:paraId="16E44353" w14:textId="77777777" w:rsidR="0074039C" w:rsidRPr="006F5AE8" w:rsidRDefault="0074039C" w:rsidP="00B4050A">
      <w:pPr>
        <w:ind w:left="851"/>
        <w:rPr>
          <w:sz w:val="24"/>
          <w:szCs w:val="24"/>
          <w:lang w:val="en-US"/>
        </w:rPr>
      </w:pPr>
      <w:r w:rsidRPr="006F5AE8">
        <w:rPr>
          <w:sz w:val="24"/>
          <w:szCs w:val="24"/>
          <w:lang w:val="en-US"/>
        </w:rPr>
        <w:t>The use of ticagrelor in patients at known increased risk for bleeding should be balanced against the benefit in terms of prevention of atherothrombotic events (see sections 4.8 and 5.1). If clinically indicated, ticagrelor should be used with caution in the following patient groups:</w:t>
      </w:r>
    </w:p>
    <w:p w14:paraId="4DF790BB" w14:textId="77777777" w:rsidR="0074039C" w:rsidRPr="006F5AE8" w:rsidRDefault="0074039C" w:rsidP="006F5AE8">
      <w:pPr>
        <w:pStyle w:val="Listeafsnit"/>
        <w:numPr>
          <w:ilvl w:val="0"/>
          <w:numId w:val="12"/>
        </w:numPr>
        <w:tabs>
          <w:tab w:val="clear" w:pos="567"/>
        </w:tabs>
        <w:ind w:left="1276" w:hanging="425"/>
        <w:rPr>
          <w:sz w:val="24"/>
          <w:szCs w:val="24"/>
        </w:rPr>
      </w:pPr>
      <w:r w:rsidRPr="006F5AE8">
        <w:rPr>
          <w:sz w:val="24"/>
          <w:szCs w:val="24"/>
        </w:rPr>
        <w:t>Patients with a propensity to bleed (e.g., due to recent trauma, recent surgery, coagulation disorders, active or recent gastrointestinal bleeding) or who are at increased risk of trauma. The use of ticagrelor is contraindicated in patients with active pathological bleeding, in those with a history of intracranial haemorrhage, and in patients with severe hepatic impairment (see section 4.3).</w:t>
      </w:r>
    </w:p>
    <w:p w14:paraId="2D783E03" w14:textId="77777777" w:rsidR="0074039C" w:rsidRPr="006F5AE8" w:rsidRDefault="0074039C" w:rsidP="006F5AE8">
      <w:pPr>
        <w:pStyle w:val="Listeafsnit"/>
        <w:numPr>
          <w:ilvl w:val="0"/>
          <w:numId w:val="12"/>
        </w:numPr>
        <w:tabs>
          <w:tab w:val="clear" w:pos="567"/>
        </w:tabs>
        <w:ind w:left="1276" w:hanging="425"/>
        <w:rPr>
          <w:sz w:val="24"/>
          <w:szCs w:val="24"/>
        </w:rPr>
      </w:pPr>
      <w:r w:rsidRPr="006F5AE8">
        <w:rPr>
          <w:sz w:val="24"/>
          <w:szCs w:val="24"/>
        </w:rPr>
        <w:t>Patients with concomitant administration of medicinal products that may increase the risk of bleeding (e.g., non-steroidal anti-inflammatory drugs (NSAIDs), oral anticoagulants and/or fibrinolytics) within 24 hours of ticagrelor dosing.</w:t>
      </w:r>
    </w:p>
    <w:p w14:paraId="78EFB807" w14:textId="77777777" w:rsidR="0074039C" w:rsidRPr="006F5AE8" w:rsidRDefault="0074039C" w:rsidP="00B4050A">
      <w:pPr>
        <w:ind w:left="851"/>
        <w:rPr>
          <w:sz w:val="24"/>
          <w:szCs w:val="24"/>
          <w:lang w:val="en-US"/>
        </w:rPr>
      </w:pPr>
    </w:p>
    <w:p w14:paraId="1F73D490" w14:textId="77777777" w:rsidR="0074039C" w:rsidRPr="006F5AE8" w:rsidRDefault="0074039C" w:rsidP="00B4050A">
      <w:pPr>
        <w:ind w:left="851"/>
        <w:rPr>
          <w:sz w:val="24"/>
          <w:szCs w:val="24"/>
          <w:lang w:val="en-US"/>
        </w:rPr>
      </w:pPr>
      <w:r w:rsidRPr="006F5AE8">
        <w:rPr>
          <w:sz w:val="24"/>
          <w:szCs w:val="24"/>
          <w:lang w:val="en-US"/>
        </w:rPr>
        <w:t>Platelet transfusion did not reverse the antiplatelet effect of ticagrelor in healthy volunteers and is unlikely to be of clinical benefit in patients with bleeding. Since co-administration of ticagrelor with desmopressin did not decrease template-bleeding time, desmopressin is unlikely to be effective in managing clinical bleeding events (see section 4.5).</w:t>
      </w:r>
    </w:p>
    <w:p w14:paraId="39AE6112" w14:textId="77777777" w:rsidR="0074039C" w:rsidRPr="006F5AE8" w:rsidRDefault="0074039C" w:rsidP="00B4050A">
      <w:pPr>
        <w:ind w:left="851"/>
        <w:rPr>
          <w:sz w:val="24"/>
          <w:szCs w:val="24"/>
          <w:lang w:val="en-US"/>
        </w:rPr>
      </w:pPr>
    </w:p>
    <w:p w14:paraId="71CEB153" w14:textId="77777777" w:rsidR="0074039C" w:rsidRPr="006F5AE8" w:rsidRDefault="0074039C" w:rsidP="00B4050A">
      <w:pPr>
        <w:ind w:left="851"/>
        <w:rPr>
          <w:sz w:val="24"/>
          <w:szCs w:val="24"/>
          <w:lang w:val="en-US"/>
        </w:rPr>
      </w:pPr>
      <w:r w:rsidRPr="006F5AE8">
        <w:rPr>
          <w:sz w:val="24"/>
          <w:szCs w:val="24"/>
          <w:lang w:val="en-US"/>
        </w:rPr>
        <w:t xml:space="preserve">Antifibrinolytic therapy (aminocaproic acid or tranexamic acid) and/or recombinant factor </w:t>
      </w:r>
      <w:proofErr w:type="spellStart"/>
      <w:r w:rsidRPr="006F5AE8">
        <w:rPr>
          <w:sz w:val="24"/>
          <w:szCs w:val="24"/>
          <w:lang w:val="en-US"/>
        </w:rPr>
        <w:t>VIIa</w:t>
      </w:r>
      <w:proofErr w:type="spellEnd"/>
      <w:r w:rsidRPr="006F5AE8">
        <w:rPr>
          <w:sz w:val="24"/>
          <w:szCs w:val="24"/>
          <w:lang w:val="en-US"/>
        </w:rPr>
        <w:t xml:space="preserve"> therapy may increase </w:t>
      </w:r>
      <w:proofErr w:type="spellStart"/>
      <w:r w:rsidRPr="006F5AE8">
        <w:rPr>
          <w:sz w:val="24"/>
          <w:szCs w:val="24"/>
          <w:lang w:val="en-US"/>
        </w:rPr>
        <w:t>haemostasis</w:t>
      </w:r>
      <w:proofErr w:type="spellEnd"/>
      <w:r w:rsidRPr="006F5AE8">
        <w:rPr>
          <w:sz w:val="24"/>
          <w:szCs w:val="24"/>
          <w:lang w:val="en-US"/>
        </w:rPr>
        <w:t>. Ticagrelor may be resumed after the cause of bleeding has been identified and controlled.</w:t>
      </w:r>
    </w:p>
    <w:p w14:paraId="2175A96D" w14:textId="77777777" w:rsidR="0074039C" w:rsidRPr="006F5AE8" w:rsidRDefault="0074039C" w:rsidP="00B4050A">
      <w:pPr>
        <w:ind w:left="851"/>
        <w:rPr>
          <w:sz w:val="24"/>
          <w:szCs w:val="24"/>
          <w:lang w:val="en-US"/>
        </w:rPr>
      </w:pPr>
    </w:p>
    <w:p w14:paraId="39F18035" w14:textId="77777777" w:rsidR="0074039C" w:rsidRPr="006F5AE8" w:rsidRDefault="0074039C" w:rsidP="00B4050A">
      <w:pPr>
        <w:ind w:left="851"/>
        <w:rPr>
          <w:sz w:val="24"/>
          <w:szCs w:val="24"/>
          <w:u w:val="single"/>
          <w:lang w:val="en-US"/>
        </w:rPr>
      </w:pPr>
      <w:r w:rsidRPr="006F5AE8">
        <w:rPr>
          <w:sz w:val="24"/>
          <w:szCs w:val="24"/>
          <w:u w:val="single"/>
          <w:lang w:val="en-US"/>
        </w:rPr>
        <w:t>Surgery</w:t>
      </w:r>
    </w:p>
    <w:p w14:paraId="00D04148" w14:textId="77777777" w:rsidR="0074039C" w:rsidRPr="006F5AE8" w:rsidRDefault="0074039C" w:rsidP="00B4050A">
      <w:pPr>
        <w:ind w:left="851"/>
        <w:rPr>
          <w:sz w:val="24"/>
          <w:szCs w:val="24"/>
          <w:lang w:val="en-US"/>
        </w:rPr>
      </w:pPr>
      <w:r w:rsidRPr="006F5AE8">
        <w:rPr>
          <w:sz w:val="24"/>
          <w:szCs w:val="24"/>
          <w:lang w:val="en-US"/>
        </w:rPr>
        <w:t>Patients should be advised to inform physicians and dentists that they are taking ticagrelor before any surgery is scheduled and before any new medicinal product is taken.</w:t>
      </w:r>
    </w:p>
    <w:p w14:paraId="50651A55" w14:textId="77777777" w:rsidR="0074039C" w:rsidRPr="006F5AE8" w:rsidRDefault="0074039C" w:rsidP="00B4050A">
      <w:pPr>
        <w:ind w:left="851"/>
        <w:rPr>
          <w:sz w:val="24"/>
          <w:szCs w:val="24"/>
          <w:lang w:val="en-US"/>
        </w:rPr>
      </w:pPr>
    </w:p>
    <w:p w14:paraId="51B00B0B" w14:textId="77777777" w:rsidR="0074039C" w:rsidRPr="006F5AE8" w:rsidRDefault="0074039C" w:rsidP="00B4050A">
      <w:pPr>
        <w:ind w:left="851"/>
        <w:rPr>
          <w:sz w:val="24"/>
          <w:szCs w:val="24"/>
          <w:lang w:val="en-US"/>
        </w:rPr>
      </w:pPr>
      <w:r w:rsidRPr="006F5AE8">
        <w:rPr>
          <w:sz w:val="24"/>
          <w:szCs w:val="24"/>
          <w:lang w:val="en-US"/>
        </w:rPr>
        <w:t>In PLATO patients undergoing coronary artery bypass grafting (CABG), ticagrelor had more bleeding than clopidogrel when stopped within 1 day prior to surgery but a similar rate of major bleeds compared to clopidogrel after stopping therapy 2 or more days before surgery (see section 4.8). If a patient is to undergo elective surgery and antiplatelet effect is not desired, ticagrelor should be discontinued 5 days prior to surgery (see section 5.1).</w:t>
      </w:r>
    </w:p>
    <w:p w14:paraId="69A473F8" w14:textId="77777777" w:rsidR="0074039C" w:rsidRPr="006F5AE8" w:rsidRDefault="0074039C" w:rsidP="00B4050A">
      <w:pPr>
        <w:ind w:left="851"/>
        <w:rPr>
          <w:sz w:val="24"/>
          <w:szCs w:val="24"/>
          <w:lang w:val="en-US"/>
        </w:rPr>
      </w:pPr>
    </w:p>
    <w:p w14:paraId="6501DC2A" w14:textId="77777777" w:rsidR="0074039C" w:rsidRPr="006F5AE8" w:rsidRDefault="0074039C" w:rsidP="00B4050A">
      <w:pPr>
        <w:ind w:left="851"/>
        <w:rPr>
          <w:sz w:val="24"/>
          <w:szCs w:val="24"/>
          <w:u w:val="single"/>
          <w:lang w:val="en-US"/>
        </w:rPr>
      </w:pPr>
      <w:r w:rsidRPr="006F5AE8">
        <w:rPr>
          <w:sz w:val="24"/>
          <w:szCs w:val="24"/>
          <w:u w:val="single"/>
          <w:lang w:val="en-US"/>
        </w:rPr>
        <w:t xml:space="preserve">Patients with prior </w:t>
      </w:r>
      <w:proofErr w:type="spellStart"/>
      <w:r w:rsidRPr="006F5AE8">
        <w:rPr>
          <w:sz w:val="24"/>
          <w:szCs w:val="24"/>
          <w:u w:val="single"/>
          <w:lang w:val="en-US"/>
        </w:rPr>
        <w:t>ischaemic</w:t>
      </w:r>
      <w:proofErr w:type="spellEnd"/>
      <w:r w:rsidRPr="006F5AE8">
        <w:rPr>
          <w:sz w:val="24"/>
          <w:szCs w:val="24"/>
          <w:u w:val="single"/>
          <w:lang w:val="en-US"/>
        </w:rPr>
        <w:t xml:space="preserve"> stroke</w:t>
      </w:r>
    </w:p>
    <w:p w14:paraId="136826C1" w14:textId="77777777" w:rsidR="0074039C" w:rsidRPr="006F5AE8" w:rsidRDefault="0074039C" w:rsidP="00B4050A">
      <w:pPr>
        <w:ind w:left="851"/>
        <w:rPr>
          <w:sz w:val="24"/>
          <w:szCs w:val="24"/>
          <w:lang w:val="en-US"/>
        </w:rPr>
      </w:pPr>
      <w:r w:rsidRPr="006F5AE8">
        <w:rPr>
          <w:sz w:val="24"/>
          <w:szCs w:val="24"/>
          <w:lang w:val="en-US"/>
        </w:rPr>
        <w:t xml:space="preserve">ACS patients with prior </w:t>
      </w:r>
      <w:proofErr w:type="spellStart"/>
      <w:r w:rsidRPr="006F5AE8">
        <w:rPr>
          <w:sz w:val="24"/>
          <w:szCs w:val="24"/>
          <w:lang w:val="en-US"/>
        </w:rPr>
        <w:t>ischaemic</w:t>
      </w:r>
      <w:proofErr w:type="spellEnd"/>
      <w:r w:rsidRPr="006F5AE8">
        <w:rPr>
          <w:sz w:val="24"/>
          <w:szCs w:val="24"/>
          <w:lang w:val="en-US"/>
        </w:rPr>
        <w:t xml:space="preserve"> stroke can be treated with ticagrelor for up to 12 months (PLATO study).</w:t>
      </w:r>
    </w:p>
    <w:p w14:paraId="1DA37862" w14:textId="77777777" w:rsidR="0074039C" w:rsidRPr="006F5AE8" w:rsidRDefault="0074039C" w:rsidP="00B4050A">
      <w:pPr>
        <w:ind w:left="851"/>
        <w:rPr>
          <w:sz w:val="24"/>
          <w:szCs w:val="24"/>
          <w:lang w:val="en-US"/>
        </w:rPr>
      </w:pPr>
    </w:p>
    <w:p w14:paraId="234DF8E8" w14:textId="77777777" w:rsidR="0074039C" w:rsidRPr="006F5AE8" w:rsidRDefault="0074039C" w:rsidP="00B4050A">
      <w:pPr>
        <w:ind w:left="851"/>
        <w:rPr>
          <w:sz w:val="24"/>
          <w:szCs w:val="24"/>
          <w:lang w:val="en-US"/>
        </w:rPr>
      </w:pPr>
      <w:r w:rsidRPr="006F5AE8">
        <w:rPr>
          <w:sz w:val="24"/>
          <w:szCs w:val="24"/>
          <w:lang w:val="en-US"/>
        </w:rPr>
        <w:t xml:space="preserve">In PEGASUS, patients with history of MI with prior </w:t>
      </w:r>
      <w:proofErr w:type="spellStart"/>
      <w:r w:rsidRPr="006F5AE8">
        <w:rPr>
          <w:sz w:val="24"/>
          <w:szCs w:val="24"/>
          <w:lang w:val="en-US"/>
        </w:rPr>
        <w:t>ischaemic</w:t>
      </w:r>
      <w:proofErr w:type="spellEnd"/>
      <w:r w:rsidRPr="006F5AE8">
        <w:rPr>
          <w:sz w:val="24"/>
          <w:szCs w:val="24"/>
          <w:lang w:val="en-US"/>
        </w:rPr>
        <w:t xml:space="preserve"> stroke were not included. Therefore, in the absence of data, treatment beyond one year is not recommended in these patients.</w:t>
      </w:r>
    </w:p>
    <w:p w14:paraId="0152A3B1" w14:textId="77777777" w:rsidR="0074039C" w:rsidRPr="006F5AE8" w:rsidRDefault="0074039C" w:rsidP="00B4050A">
      <w:pPr>
        <w:ind w:left="851"/>
        <w:rPr>
          <w:sz w:val="24"/>
          <w:szCs w:val="24"/>
          <w:lang w:val="en-US"/>
        </w:rPr>
      </w:pPr>
    </w:p>
    <w:p w14:paraId="5A5E74BF" w14:textId="77777777" w:rsidR="0074039C" w:rsidRPr="006F5AE8" w:rsidRDefault="0074039C" w:rsidP="00B4050A">
      <w:pPr>
        <w:ind w:left="851"/>
        <w:rPr>
          <w:sz w:val="24"/>
          <w:szCs w:val="24"/>
          <w:u w:val="single"/>
          <w:lang w:val="en-US"/>
        </w:rPr>
      </w:pPr>
      <w:r w:rsidRPr="006F5AE8">
        <w:rPr>
          <w:sz w:val="24"/>
          <w:szCs w:val="24"/>
          <w:u w:val="single"/>
          <w:lang w:val="en-US"/>
        </w:rPr>
        <w:t>Hepatic impairment</w:t>
      </w:r>
    </w:p>
    <w:p w14:paraId="74B1AD1C" w14:textId="77777777" w:rsidR="0074039C" w:rsidRPr="006F5AE8" w:rsidRDefault="0074039C" w:rsidP="00B4050A">
      <w:pPr>
        <w:ind w:left="851"/>
        <w:rPr>
          <w:sz w:val="24"/>
          <w:szCs w:val="24"/>
          <w:lang w:val="en-US"/>
        </w:rPr>
      </w:pPr>
      <w:r w:rsidRPr="006F5AE8">
        <w:rPr>
          <w:sz w:val="24"/>
          <w:szCs w:val="24"/>
          <w:lang w:val="en-US"/>
        </w:rPr>
        <w:t>Use of ticagrelor is contraindicated in patients with severe hepatic impairment (see sections 4.2 and 4.3). There is limited experience with ticagrelor in patients with moderate hepatic impairment, therefore, caution is advised in these patients (see sections 4.2 and 5.2).</w:t>
      </w:r>
    </w:p>
    <w:p w14:paraId="5F4AFBCA" w14:textId="77777777" w:rsidR="0074039C" w:rsidRPr="006F5AE8" w:rsidRDefault="0074039C" w:rsidP="00B4050A">
      <w:pPr>
        <w:ind w:left="851"/>
        <w:rPr>
          <w:sz w:val="24"/>
          <w:szCs w:val="24"/>
          <w:lang w:val="en-US"/>
        </w:rPr>
      </w:pPr>
    </w:p>
    <w:p w14:paraId="5AAA4E85" w14:textId="77777777" w:rsidR="0074039C" w:rsidRPr="006F5AE8" w:rsidRDefault="0074039C" w:rsidP="00B4050A">
      <w:pPr>
        <w:ind w:left="851"/>
        <w:rPr>
          <w:sz w:val="24"/>
          <w:szCs w:val="24"/>
          <w:u w:val="single"/>
          <w:lang w:val="en-US"/>
        </w:rPr>
      </w:pPr>
      <w:r w:rsidRPr="006F5AE8">
        <w:rPr>
          <w:sz w:val="24"/>
          <w:szCs w:val="24"/>
          <w:u w:val="single"/>
          <w:lang w:val="en-US"/>
        </w:rPr>
        <w:t>Patients at risk for bradycardic events</w:t>
      </w:r>
    </w:p>
    <w:p w14:paraId="529331DC" w14:textId="77777777" w:rsidR="0074039C" w:rsidRPr="006F5AE8" w:rsidRDefault="0074039C" w:rsidP="00B4050A">
      <w:pPr>
        <w:ind w:left="851"/>
        <w:rPr>
          <w:sz w:val="24"/>
          <w:szCs w:val="24"/>
          <w:lang w:val="en-US"/>
        </w:rPr>
      </w:pPr>
      <w:r w:rsidRPr="006F5AE8">
        <w:rPr>
          <w:sz w:val="24"/>
          <w:szCs w:val="24"/>
          <w:lang w:val="en-US"/>
        </w:rPr>
        <w:t>Holter ECG monitoring has shown an increased frequency of mostly asymptomatic ventricular pauses during treatment with ticagrelor compared with clopidogrel. Patients with an increased risk of bradycardic events (e.g., patients without a pacemaker who have sick sinus syndrome, 2nd or 3rd degree AV block or bradycardic-related syncope) have been excluded from the main studies evaluating the safety and efficacy of ticagrelor. Therefore, due to the limited clinical experience, ticagrelor should be used with caution in these patients (see section 5.1).</w:t>
      </w:r>
    </w:p>
    <w:p w14:paraId="73ECB430" w14:textId="77777777" w:rsidR="0074039C" w:rsidRPr="006F5AE8" w:rsidRDefault="0074039C" w:rsidP="00B4050A">
      <w:pPr>
        <w:ind w:left="851"/>
        <w:rPr>
          <w:sz w:val="24"/>
          <w:szCs w:val="24"/>
          <w:lang w:val="en-US"/>
        </w:rPr>
      </w:pPr>
    </w:p>
    <w:p w14:paraId="5AC98B86" w14:textId="77777777" w:rsidR="0074039C" w:rsidRPr="006F5AE8" w:rsidRDefault="0074039C" w:rsidP="00B4050A">
      <w:pPr>
        <w:ind w:left="851"/>
        <w:rPr>
          <w:sz w:val="24"/>
          <w:szCs w:val="24"/>
          <w:lang w:val="en-US"/>
        </w:rPr>
      </w:pPr>
      <w:r w:rsidRPr="006F5AE8">
        <w:rPr>
          <w:sz w:val="24"/>
          <w:szCs w:val="24"/>
          <w:lang w:val="en-US"/>
        </w:rPr>
        <w:t>In addition, caution should be exercised when administering ticagrelor concomitantly with medicinal products known to induce bradycardia. However, no evidence of clinically significant adverse reactions was observed in the PLATO trial after concomitant administration with one or more medicinal products known to induce bradycardia (e.g., 96% beta blockers, 33% calcium channel blockers diltiazem and verapamil and 4% digoxin) (see section 4.5).</w:t>
      </w:r>
    </w:p>
    <w:p w14:paraId="00FA77B7" w14:textId="77777777" w:rsidR="0074039C" w:rsidRPr="006F5AE8" w:rsidRDefault="0074039C" w:rsidP="00B4050A">
      <w:pPr>
        <w:ind w:left="851"/>
        <w:rPr>
          <w:sz w:val="24"/>
          <w:szCs w:val="24"/>
          <w:lang w:val="en-US"/>
        </w:rPr>
      </w:pPr>
    </w:p>
    <w:p w14:paraId="23CF4767" w14:textId="77777777" w:rsidR="0074039C" w:rsidRPr="006F5AE8" w:rsidRDefault="0074039C" w:rsidP="00B4050A">
      <w:pPr>
        <w:ind w:left="851"/>
        <w:rPr>
          <w:sz w:val="24"/>
          <w:szCs w:val="24"/>
          <w:lang w:val="en-US"/>
        </w:rPr>
      </w:pPr>
      <w:r w:rsidRPr="006F5AE8">
        <w:rPr>
          <w:sz w:val="24"/>
          <w:szCs w:val="24"/>
          <w:lang w:val="en-US"/>
        </w:rPr>
        <w:t xml:space="preserve">During the Holter </w:t>
      </w:r>
      <w:proofErr w:type="spellStart"/>
      <w:r w:rsidRPr="006F5AE8">
        <w:rPr>
          <w:sz w:val="24"/>
          <w:szCs w:val="24"/>
          <w:lang w:val="en-US"/>
        </w:rPr>
        <w:t>substudy</w:t>
      </w:r>
      <w:proofErr w:type="spellEnd"/>
      <w:r w:rsidRPr="006F5AE8">
        <w:rPr>
          <w:sz w:val="24"/>
          <w:szCs w:val="24"/>
          <w:lang w:val="en-US"/>
        </w:rPr>
        <w:t xml:space="preserve"> in PLATO, more patients had ventricular pauses &gt;3 seconds with ticagrelor than with clopidogrel during the acute phase of their ACS. The increase in Holter-detected ventricular pauses with ticagrelor was higher in patients with chronic heart failure (CHF) than in the overall study population during the acute phase of ACS, but not at one month with ticagrelor or compared to clopidogrel. There were no adverse clinical consequences associated with this imbalance (including syncope or pacemaker insertion) in this patient population (see section 5.1).</w:t>
      </w:r>
    </w:p>
    <w:p w14:paraId="61F2FC6E" w14:textId="77777777" w:rsidR="0074039C" w:rsidRPr="006F5AE8" w:rsidRDefault="0074039C" w:rsidP="00B4050A">
      <w:pPr>
        <w:ind w:left="851"/>
        <w:rPr>
          <w:sz w:val="24"/>
          <w:szCs w:val="24"/>
          <w:lang w:val="en-US"/>
        </w:rPr>
      </w:pPr>
    </w:p>
    <w:p w14:paraId="41CAEE47" w14:textId="77777777" w:rsidR="0074039C" w:rsidRPr="006F5AE8" w:rsidRDefault="0074039C" w:rsidP="00B4050A">
      <w:pPr>
        <w:ind w:left="851"/>
        <w:rPr>
          <w:sz w:val="24"/>
          <w:szCs w:val="24"/>
          <w:lang w:val="en-US"/>
        </w:rPr>
      </w:pPr>
      <w:proofErr w:type="spellStart"/>
      <w:r w:rsidRPr="006F5AE8">
        <w:rPr>
          <w:sz w:val="24"/>
          <w:szCs w:val="24"/>
          <w:lang w:val="en-US"/>
        </w:rPr>
        <w:t>Bradyarrhythmic</w:t>
      </w:r>
      <w:proofErr w:type="spellEnd"/>
      <w:r w:rsidRPr="006F5AE8">
        <w:rPr>
          <w:sz w:val="24"/>
          <w:szCs w:val="24"/>
          <w:lang w:val="en-US"/>
        </w:rPr>
        <w:t xml:space="preserve"> events and AV blocks have been reported in the post-marketing setting in patients taking ticagrelor (see section 4.8), primarily in patients with ACS, where cardiac ischemia and concomitant drugs reducing the heart rate or affecting cardiac conduction are potential confounders.</w:t>
      </w:r>
    </w:p>
    <w:p w14:paraId="2123E194" w14:textId="77777777" w:rsidR="0074039C" w:rsidRPr="006F5AE8" w:rsidRDefault="0074039C" w:rsidP="00B4050A">
      <w:pPr>
        <w:ind w:left="851"/>
        <w:rPr>
          <w:sz w:val="24"/>
          <w:szCs w:val="24"/>
          <w:lang w:val="en-US"/>
        </w:rPr>
      </w:pPr>
      <w:r w:rsidRPr="006F5AE8">
        <w:rPr>
          <w:sz w:val="24"/>
          <w:szCs w:val="24"/>
          <w:lang w:val="en-US"/>
        </w:rPr>
        <w:t>The patient’s clinical condition and concomitant medication should be assessed as potential causes prior to adjusting treatment.</w:t>
      </w:r>
    </w:p>
    <w:p w14:paraId="78919EB0" w14:textId="77777777" w:rsidR="0074039C" w:rsidRPr="006F5AE8" w:rsidRDefault="0074039C" w:rsidP="00B4050A">
      <w:pPr>
        <w:ind w:left="851"/>
        <w:rPr>
          <w:sz w:val="24"/>
          <w:szCs w:val="24"/>
          <w:lang w:val="en-US"/>
        </w:rPr>
      </w:pPr>
    </w:p>
    <w:p w14:paraId="0581C16C" w14:textId="77777777" w:rsidR="0074039C" w:rsidRPr="006F5AE8" w:rsidRDefault="0074039C" w:rsidP="00B4050A">
      <w:pPr>
        <w:ind w:left="851"/>
        <w:rPr>
          <w:sz w:val="24"/>
          <w:szCs w:val="24"/>
          <w:u w:val="single"/>
          <w:lang w:val="en-US"/>
        </w:rPr>
      </w:pPr>
      <w:proofErr w:type="spellStart"/>
      <w:r w:rsidRPr="006F5AE8">
        <w:rPr>
          <w:sz w:val="24"/>
          <w:szCs w:val="24"/>
          <w:u w:val="single"/>
          <w:lang w:val="en-US"/>
        </w:rPr>
        <w:t>Dyspnoea</w:t>
      </w:r>
      <w:proofErr w:type="spellEnd"/>
    </w:p>
    <w:p w14:paraId="5DE60CE5" w14:textId="77777777" w:rsidR="0074039C" w:rsidRPr="006F5AE8" w:rsidRDefault="0074039C" w:rsidP="00B4050A">
      <w:pPr>
        <w:ind w:left="851"/>
        <w:rPr>
          <w:sz w:val="24"/>
          <w:szCs w:val="24"/>
          <w:lang w:val="en-US"/>
        </w:rPr>
      </w:pPr>
      <w:proofErr w:type="spellStart"/>
      <w:r w:rsidRPr="006F5AE8">
        <w:rPr>
          <w:sz w:val="24"/>
          <w:szCs w:val="24"/>
          <w:lang w:val="en-US"/>
        </w:rPr>
        <w:t>Dyspnoea</w:t>
      </w:r>
      <w:proofErr w:type="spellEnd"/>
      <w:r w:rsidRPr="006F5AE8">
        <w:rPr>
          <w:sz w:val="24"/>
          <w:szCs w:val="24"/>
          <w:lang w:val="en-US"/>
        </w:rPr>
        <w:t xml:space="preserve"> was reported in patients treated with ticagrelor. </w:t>
      </w:r>
      <w:proofErr w:type="spellStart"/>
      <w:r w:rsidRPr="006F5AE8">
        <w:rPr>
          <w:sz w:val="24"/>
          <w:szCs w:val="24"/>
          <w:lang w:val="en-US"/>
        </w:rPr>
        <w:t>Dyspnoea</w:t>
      </w:r>
      <w:proofErr w:type="spellEnd"/>
      <w:r w:rsidRPr="006F5AE8">
        <w:rPr>
          <w:sz w:val="24"/>
          <w:szCs w:val="24"/>
          <w:lang w:val="en-US"/>
        </w:rPr>
        <w:t xml:space="preserve"> is usually mild to moderate in intensity and often resolves without need for treatment discontinuation. Patients with asthma/chronic obstructive pulmonary disease (COPD) may have an increased absolute risk of experiencing </w:t>
      </w:r>
      <w:proofErr w:type="spellStart"/>
      <w:r w:rsidRPr="006F5AE8">
        <w:rPr>
          <w:sz w:val="24"/>
          <w:szCs w:val="24"/>
          <w:lang w:val="en-US"/>
        </w:rPr>
        <w:t>dyspnoea</w:t>
      </w:r>
      <w:proofErr w:type="spellEnd"/>
      <w:r w:rsidRPr="006F5AE8">
        <w:rPr>
          <w:sz w:val="24"/>
          <w:szCs w:val="24"/>
          <w:lang w:val="en-US"/>
        </w:rPr>
        <w:t xml:space="preserve"> with ticagrelor. Ticagrelor should be used with caution in patients with history of asthma and/or COPD. The mechanism has not been elucidated. If a patient reports new, prolonged or worsened </w:t>
      </w:r>
      <w:proofErr w:type="spellStart"/>
      <w:r w:rsidRPr="006F5AE8">
        <w:rPr>
          <w:sz w:val="24"/>
          <w:szCs w:val="24"/>
          <w:lang w:val="en-US"/>
        </w:rPr>
        <w:t>dyspnoea</w:t>
      </w:r>
      <w:proofErr w:type="spellEnd"/>
      <w:r w:rsidRPr="006F5AE8">
        <w:rPr>
          <w:sz w:val="24"/>
          <w:szCs w:val="24"/>
          <w:lang w:val="en-US"/>
        </w:rPr>
        <w:t xml:space="preserve"> this should be investigated fully and if not tolerated, treatment with ticagrelor should be stopped. For further details see section 4.8.</w:t>
      </w:r>
    </w:p>
    <w:p w14:paraId="5D89A407" w14:textId="77777777" w:rsidR="0074039C" w:rsidRPr="006F5AE8" w:rsidRDefault="0074039C" w:rsidP="00B4050A">
      <w:pPr>
        <w:ind w:left="851"/>
        <w:rPr>
          <w:sz w:val="24"/>
          <w:szCs w:val="24"/>
          <w:lang w:val="en-US"/>
        </w:rPr>
      </w:pPr>
    </w:p>
    <w:p w14:paraId="04667D88" w14:textId="77777777" w:rsidR="0074039C" w:rsidRPr="006F5AE8" w:rsidRDefault="0074039C" w:rsidP="00B4050A">
      <w:pPr>
        <w:ind w:left="851"/>
        <w:rPr>
          <w:sz w:val="24"/>
          <w:szCs w:val="24"/>
          <w:u w:val="single"/>
          <w:lang w:val="en-US"/>
        </w:rPr>
      </w:pPr>
      <w:r w:rsidRPr="006F5AE8">
        <w:rPr>
          <w:sz w:val="24"/>
          <w:szCs w:val="24"/>
          <w:u w:val="single"/>
          <w:lang w:val="en-US"/>
        </w:rPr>
        <w:t xml:space="preserve">Central sleep </w:t>
      </w:r>
      <w:proofErr w:type="spellStart"/>
      <w:r w:rsidRPr="006F5AE8">
        <w:rPr>
          <w:sz w:val="24"/>
          <w:szCs w:val="24"/>
          <w:u w:val="single"/>
          <w:lang w:val="en-US"/>
        </w:rPr>
        <w:t>apnoea</w:t>
      </w:r>
      <w:proofErr w:type="spellEnd"/>
    </w:p>
    <w:p w14:paraId="6AEA8DD7" w14:textId="77777777" w:rsidR="0074039C" w:rsidRPr="006F5AE8" w:rsidRDefault="0074039C" w:rsidP="00B4050A">
      <w:pPr>
        <w:ind w:left="851"/>
        <w:rPr>
          <w:sz w:val="24"/>
          <w:szCs w:val="24"/>
          <w:lang w:val="en-US"/>
        </w:rPr>
      </w:pPr>
      <w:r w:rsidRPr="006F5AE8">
        <w:rPr>
          <w:sz w:val="24"/>
          <w:szCs w:val="24"/>
          <w:lang w:val="en-US"/>
        </w:rPr>
        <w:t xml:space="preserve">Central sleep </w:t>
      </w:r>
      <w:proofErr w:type="spellStart"/>
      <w:r w:rsidRPr="006F5AE8">
        <w:rPr>
          <w:sz w:val="24"/>
          <w:szCs w:val="24"/>
          <w:lang w:val="en-US"/>
        </w:rPr>
        <w:t>apnoea</w:t>
      </w:r>
      <w:proofErr w:type="spellEnd"/>
      <w:r w:rsidRPr="006F5AE8">
        <w:rPr>
          <w:sz w:val="24"/>
          <w:szCs w:val="24"/>
          <w:lang w:val="en-US"/>
        </w:rPr>
        <w:t xml:space="preserve"> including Cheyne-Stokes respiration has been reported in the post-marketing setting in patients taking ticagrelor. If central sleep </w:t>
      </w:r>
      <w:proofErr w:type="spellStart"/>
      <w:r w:rsidRPr="006F5AE8">
        <w:rPr>
          <w:sz w:val="24"/>
          <w:szCs w:val="24"/>
          <w:lang w:val="en-US"/>
        </w:rPr>
        <w:t>apnoea</w:t>
      </w:r>
      <w:proofErr w:type="spellEnd"/>
      <w:r w:rsidRPr="006F5AE8">
        <w:rPr>
          <w:sz w:val="24"/>
          <w:szCs w:val="24"/>
          <w:lang w:val="en-US"/>
        </w:rPr>
        <w:t xml:space="preserve"> is suspected, further clinical assessment should be considered.</w:t>
      </w:r>
    </w:p>
    <w:p w14:paraId="43505D3A" w14:textId="77777777" w:rsidR="0074039C" w:rsidRPr="006F5AE8" w:rsidRDefault="0074039C" w:rsidP="00B4050A">
      <w:pPr>
        <w:ind w:left="851"/>
        <w:rPr>
          <w:sz w:val="24"/>
          <w:szCs w:val="24"/>
          <w:lang w:val="en-US"/>
        </w:rPr>
      </w:pPr>
    </w:p>
    <w:p w14:paraId="7D15581A" w14:textId="77777777" w:rsidR="0074039C" w:rsidRPr="006F5AE8" w:rsidRDefault="0074039C" w:rsidP="00B4050A">
      <w:pPr>
        <w:ind w:left="851"/>
        <w:rPr>
          <w:sz w:val="24"/>
          <w:szCs w:val="24"/>
          <w:u w:val="single"/>
          <w:lang w:val="en-US"/>
        </w:rPr>
      </w:pPr>
      <w:r w:rsidRPr="006F5AE8">
        <w:rPr>
          <w:sz w:val="24"/>
          <w:szCs w:val="24"/>
          <w:u w:val="single"/>
          <w:lang w:val="en-US"/>
        </w:rPr>
        <w:t>Creatinine elevations</w:t>
      </w:r>
    </w:p>
    <w:p w14:paraId="36E1DC13" w14:textId="77777777" w:rsidR="0074039C" w:rsidRPr="006F5AE8" w:rsidRDefault="0074039C" w:rsidP="00B4050A">
      <w:pPr>
        <w:ind w:left="851"/>
        <w:rPr>
          <w:sz w:val="24"/>
          <w:szCs w:val="24"/>
          <w:lang w:val="en-US"/>
        </w:rPr>
      </w:pPr>
      <w:r w:rsidRPr="006F5AE8">
        <w:rPr>
          <w:sz w:val="24"/>
          <w:szCs w:val="24"/>
          <w:lang w:val="en-US"/>
        </w:rPr>
        <w:t>Creatinine levels may increase during treatment with ticagrelor. The mechanism has not been elucidated. Renal function should be checked according to routine medical practice. In patients with ACS, it is recommended that renal function is also checked one month after initiating the treatment with ticagrelor, paying special attention to patients ≥75 years, patients with moderate/severe renal impairment and those receiving concomitant treatment with an angiotensin receptor blocker (ARB).</w:t>
      </w:r>
    </w:p>
    <w:p w14:paraId="11C49DD8" w14:textId="77777777" w:rsidR="0074039C" w:rsidRPr="006F5AE8" w:rsidRDefault="0074039C" w:rsidP="00B4050A">
      <w:pPr>
        <w:ind w:left="851"/>
        <w:rPr>
          <w:sz w:val="24"/>
          <w:szCs w:val="24"/>
          <w:lang w:val="en-US"/>
        </w:rPr>
      </w:pPr>
    </w:p>
    <w:p w14:paraId="3EE8323F" w14:textId="77777777" w:rsidR="0074039C" w:rsidRPr="006F5AE8" w:rsidRDefault="0074039C" w:rsidP="00B4050A">
      <w:pPr>
        <w:ind w:left="851"/>
        <w:rPr>
          <w:sz w:val="24"/>
          <w:szCs w:val="24"/>
          <w:u w:val="single"/>
          <w:lang w:val="en-US"/>
        </w:rPr>
      </w:pPr>
      <w:r w:rsidRPr="006F5AE8">
        <w:rPr>
          <w:sz w:val="24"/>
          <w:szCs w:val="24"/>
          <w:u w:val="single"/>
          <w:lang w:val="en-US"/>
        </w:rPr>
        <w:t>Uric acid increase</w:t>
      </w:r>
    </w:p>
    <w:p w14:paraId="6CDC7F5D" w14:textId="77777777" w:rsidR="0074039C" w:rsidRPr="006F5AE8" w:rsidRDefault="0074039C" w:rsidP="00B4050A">
      <w:pPr>
        <w:ind w:left="851"/>
        <w:rPr>
          <w:sz w:val="24"/>
          <w:szCs w:val="24"/>
          <w:lang w:val="en-US"/>
        </w:rPr>
      </w:pPr>
      <w:proofErr w:type="spellStart"/>
      <w:r w:rsidRPr="006F5AE8">
        <w:rPr>
          <w:sz w:val="24"/>
          <w:szCs w:val="24"/>
          <w:lang w:val="en-US"/>
        </w:rPr>
        <w:t>Hyperuricaemia</w:t>
      </w:r>
      <w:proofErr w:type="spellEnd"/>
      <w:r w:rsidRPr="006F5AE8">
        <w:rPr>
          <w:sz w:val="24"/>
          <w:szCs w:val="24"/>
          <w:lang w:val="en-US"/>
        </w:rPr>
        <w:t xml:space="preserve"> may occur during treatment with ticagrelor (see section 4.8). Caution is advised in patients with history of </w:t>
      </w:r>
      <w:proofErr w:type="spellStart"/>
      <w:r w:rsidRPr="006F5AE8">
        <w:rPr>
          <w:sz w:val="24"/>
          <w:szCs w:val="24"/>
          <w:lang w:val="en-US"/>
        </w:rPr>
        <w:t>hyperuricaemia</w:t>
      </w:r>
      <w:proofErr w:type="spellEnd"/>
      <w:r w:rsidRPr="006F5AE8">
        <w:rPr>
          <w:sz w:val="24"/>
          <w:szCs w:val="24"/>
          <w:lang w:val="en-US"/>
        </w:rPr>
        <w:t xml:space="preserve"> or gouty arthritis. As a precautionary measure, the use of ticagrelor in patients with uric acid nephropathy is discouraged.</w:t>
      </w:r>
    </w:p>
    <w:p w14:paraId="620F02E0" w14:textId="77777777" w:rsidR="0074039C" w:rsidRPr="006F5AE8" w:rsidRDefault="0074039C" w:rsidP="00B4050A">
      <w:pPr>
        <w:ind w:left="851"/>
        <w:rPr>
          <w:sz w:val="24"/>
          <w:szCs w:val="24"/>
          <w:lang w:val="en-US"/>
        </w:rPr>
      </w:pPr>
    </w:p>
    <w:p w14:paraId="74EE4162" w14:textId="77777777" w:rsidR="0074039C" w:rsidRPr="006F5AE8" w:rsidRDefault="0074039C" w:rsidP="00B4050A">
      <w:pPr>
        <w:ind w:left="851"/>
        <w:rPr>
          <w:sz w:val="24"/>
          <w:szCs w:val="24"/>
          <w:u w:val="single"/>
          <w:lang w:val="en-US"/>
        </w:rPr>
      </w:pPr>
      <w:r w:rsidRPr="006F5AE8">
        <w:rPr>
          <w:sz w:val="24"/>
          <w:szCs w:val="24"/>
          <w:u w:val="single"/>
          <w:lang w:val="en-US"/>
        </w:rPr>
        <w:t>Thrombotic Thrombocytopenic Purpura (TTP)</w:t>
      </w:r>
    </w:p>
    <w:p w14:paraId="734F5006" w14:textId="77777777" w:rsidR="0074039C" w:rsidRPr="006F5AE8" w:rsidRDefault="0074039C" w:rsidP="00B4050A">
      <w:pPr>
        <w:ind w:left="851"/>
        <w:rPr>
          <w:sz w:val="24"/>
          <w:szCs w:val="24"/>
          <w:lang w:val="en-US"/>
        </w:rPr>
      </w:pPr>
      <w:r w:rsidRPr="006F5AE8">
        <w:rPr>
          <w:sz w:val="24"/>
          <w:szCs w:val="24"/>
          <w:lang w:val="en-US"/>
        </w:rPr>
        <w:t xml:space="preserve">Thrombotic Thrombocytopenic Purpura (TTP) has been reported very rarely with the use of ticagrelor. It is </w:t>
      </w:r>
      <w:proofErr w:type="spellStart"/>
      <w:r w:rsidRPr="006F5AE8">
        <w:rPr>
          <w:sz w:val="24"/>
          <w:szCs w:val="24"/>
          <w:lang w:val="en-US"/>
        </w:rPr>
        <w:t>characterised</w:t>
      </w:r>
      <w:proofErr w:type="spellEnd"/>
      <w:r w:rsidRPr="006F5AE8">
        <w:rPr>
          <w:sz w:val="24"/>
          <w:szCs w:val="24"/>
          <w:lang w:val="en-US"/>
        </w:rPr>
        <w:t xml:space="preserve"> by thrombocytopenia and microangiopathic </w:t>
      </w:r>
      <w:proofErr w:type="spellStart"/>
      <w:r w:rsidRPr="006F5AE8">
        <w:rPr>
          <w:sz w:val="24"/>
          <w:szCs w:val="24"/>
          <w:lang w:val="en-US"/>
        </w:rPr>
        <w:t>haemolytic</w:t>
      </w:r>
      <w:proofErr w:type="spellEnd"/>
      <w:r w:rsidRPr="006F5AE8">
        <w:rPr>
          <w:sz w:val="24"/>
          <w:szCs w:val="24"/>
          <w:lang w:val="en-US"/>
        </w:rPr>
        <w:t xml:space="preserve"> </w:t>
      </w:r>
      <w:proofErr w:type="spellStart"/>
      <w:r w:rsidRPr="006F5AE8">
        <w:rPr>
          <w:sz w:val="24"/>
          <w:szCs w:val="24"/>
          <w:lang w:val="en-US"/>
        </w:rPr>
        <w:t>anaemia</w:t>
      </w:r>
      <w:proofErr w:type="spellEnd"/>
      <w:r w:rsidRPr="006F5AE8">
        <w:rPr>
          <w:sz w:val="24"/>
          <w:szCs w:val="24"/>
          <w:lang w:val="en-US"/>
        </w:rPr>
        <w:t xml:space="preserve"> associated with either neurological findings, renal dysfunction or fever. TTP is a potentially fatal condition requiring prompt treatment including plasmapheresis.</w:t>
      </w:r>
    </w:p>
    <w:p w14:paraId="44BDE719" w14:textId="77777777" w:rsidR="0074039C" w:rsidRPr="006F5AE8" w:rsidRDefault="0074039C" w:rsidP="00B4050A">
      <w:pPr>
        <w:ind w:left="851"/>
        <w:rPr>
          <w:sz w:val="24"/>
          <w:szCs w:val="24"/>
          <w:lang w:val="en-US"/>
        </w:rPr>
      </w:pPr>
    </w:p>
    <w:p w14:paraId="445779BB" w14:textId="77777777" w:rsidR="0074039C" w:rsidRPr="006F5AE8" w:rsidRDefault="0074039C" w:rsidP="00B4050A">
      <w:pPr>
        <w:ind w:left="851"/>
        <w:rPr>
          <w:sz w:val="24"/>
          <w:szCs w:val="24"/>
          <w:u w:val="single"/>
          <w:lang w:val="en-US"/>
        </w:rPr>
      </w:pPr>
      <w:r w:rsidRPr="006F5AE8">
        <w:rPr>
          <w:sz w:val="24"/>
          <w:szCs w:val="24"/>
          <w:u w:val="single"/>
          <w:lang w:val="en-US"/>
        </w:rPr>
        <w:t>Interference with platelet function tests to diagnose heparin induced thrombocytopenia (HIT)</w:t>
      </w:r>
    </w:p>
    <w:p w14:paraId="6AE5D7FE" w14:textId="77777777" w:rsidR="0074039C" w:rsidRPr="006F5AE8" w:rsidRDefault="0074039C" w:rsidP="00B4050A">
      <w:pPr>
        <w:ind w:left="851"/>
        <w:rPr>
          <w:sz w:val="24"/>
          <w:szCs w:val="24"/>
          <w:lang w:val="en-US"/>
        </w:rPr>
      </w:pPr>
      <w:r w:rsidRPr="006F5AE8">
        <w:rPr>
          <w:sz w:val="24"/>
          <w:szCs w:val="24"/>
          <w:lang w:val="en-US"/>
        </w:rPr>
        <w:t>In the heparin induced platelet activation (HIPA) test used to diagnose HIT, anti-platelet factor 4/heparin antibodies in patient serum activate platelets of healthy donors in the presence of heparin. False negative results in a platelet function test (to include, but may not be limited to the HIPA test) for HIT have been reported in patients administered ticagrelor. This is related to inhibition of the P2Y12-receptor on the healthy donor platelets in the test by ticagrelor in the patient’s sera/plasma. Information on concomitant treatment with ticagrelor is required for interpretation of HIT platelet function tests.</w:t>
      </w:r>
    </w:p>
    <w:p w14:paraId="0E9C1C0B" w14:textId="77777777" w:rsidR="0074039C" w:rsidRPr="006F5AE8" w:rsidRDefault="0074039C" w:rsidP="00B4050A">
      <w:pPr>
        <w:ind w:left="851"/>
        <w:rPr>
          <w:sz w:val="24"/>
          <w:szCs w:val="24"/>
          <w:lang w:val="en-US"/>
        </w:rPr>
      </w:pPr>
    </w:p>
    <w:p w14:paraId="15EC93B6" w14:textId="77777777" w:rsidR="0074039C" w:rsidRPr="006F5AE8" w:rsidRDefault="0074039C" w:rsidP="00B4050A">
      <w:pPr>
        <w:ind w:left="851"/>
        <w:rPr>
          <w:sz w:val="24"/>
          <w:szCs w:val="24"/>
          <w:lang w:val="en-US"/>
        </w:rPr>
      </w:pPr>
      <w:r w:rsidRPr="006F5AE8">
        <w:rPr>
          <w:sz w:val="24"/>
          <w:szCs w:val="24"/>
          <w:lang w:val="en-US"/>
        </w:rPr>
        <w:t>In patients who have developed HIT, the benefit-risk of continued treatment with ticagrelor should be assessed, taking both the prothrombotic state of HIT and the increased risk of bleeding with concomitant anticoagulant and ticagrelor treatment into consideration.</w:t>
      </w:r>
    </w:p>
    <w:p w14:paraId="2FEB6C0F" w14:textId="77777777" w:rsidR="0074039C" w:rsidRPr="006F5AE8" w:rsidRDefault="0074039C" w:rsidP="00B4050A">
      <w:pPr>
        <w:ind w:left="851"/>
        <w:rPr>
          <w:sz w:val="24"/>
          <w:szCs w:val="24"/>
          <w:lang w:val="en-US"/>
        </w:rPr>
      </w:pPr>
    </w:p>
    <w:p w14:paraId="759D451A" w14:textId="77777777" w:rsidR="0074039C" w:rsidRPr="006F5AE8" w:rsidRDefault="0074039C" w:rsidP="00B4050A">
      <w:pPr>
        <w:ind w:left="851"/>
        <w:rPr>
          <w:sz w:val="24"/>
          <w:szCs w:val="24"/>
          <w:u w:val="single"/>
          <w:lang w:val="en-US"/>
        </w:rPr>
      </w:pPr>
      <w:r w:rsidRPr="006F5AE8">
        <w:rPr>
          <w:sz w:val="24"/>
          <w:szCs w:val="24"/>
          <w:u w:val="single"/>
          <w:lang w:val="en-US"/>
        </w:rPr>
        <w:t>Other</w:t>
      </w:r>
    </w:p>
    <w:p w14:paraId="2D70E57E" w14:textId="77777777" w:rsidR="0074039C" w:rsidRPr="006F5AE8" w:rsidRDefault="0074039C" w:rsidP="00B4050A">
      <w:pPr>
        <w:ind w:left="851"/>
        <w:rPr>
          <w:sz w:val="24"/>
          <w:szCs w:val="24"/>
          <w:lang w:val="en-US"/>
        </w:rPr>
      </w:pPr>
      <w:r w:rsidRPr="006F5AE8">
        <w:rPr>
          <w:sz w:val="24"/>
          <w:szCs w:val="24"/>
          <w:lang w:val="en-US"/>
        </w:rPr>
        <w:t>Based on a relationship observed in PLATO between maintenance ASA dose and relative efficacy of ticagrelor compared to clopidogrel, co-administration of ticagrelor and high maintenance dose ASA (&gt;300 mg) is not recommended (see section 5.1).</w:t>
      </w:r>
    </w:p>
    <w:p w14:paraId="5F20CDBE" w14:textId="16C6C93A" w:rsidR="00B04A37" w:rsidRDefault="00B04A37">
      <w:pPr>
        <w:rPr>
          <w:sz w:val="24"/>
          <w:szCs w:val="24"/>
          <w:lang w:val="en-US"/>
        </w:rPr>
      </w:pPr>
      <w:r>
        <w:rPr>
          <w:sz w:val="24"/>
          <w:szCs w:val="24"/>
          <w:lang w:val="en-US"/>
        </w:rPr>
        <w:br w:type="page"/>
      </w:r>
    </w:p>
    <w:p w14:paraId="6322680C" w14:textId="77777777" w:rsidR="0074039C" w:rsidRPr="006F5AE8" w:rsidRDefault="0074039C" w:rsidP="00B4050A">
      <w:pPr>
        <w:ind w:left="851"/>
        <w:rPr>
          <w:sz w:val="24"/>
          <w:szCs w:val="24"/>
          <w:lang w:val="en-US"/>
        </w:rPr>
      </w:pPr>
    </w:p>
    <w:p w14:paraId="0881C9FE" w14:textId="77777777" w:rsidR="0074039C" w:rsidRPr="006F5AE8" w:rsidRDefault="0074039C" w:rsidP="00B4050A">
      <w:pPr>
        <w:ind w:left="851"/>
        <w:rPr>
          <w:sz w:val="24"/>
          <w:szCs w:val="24"/>
          <w:u w:val="single"/>
          <w:lang w:val="en-US"/>
        </w:rPr>
      </w:pPr>
      <w:r w:rsidRPr="006F5AE8">
        <w:rPr>
          <w:sz w:val="24"/>
          <w:szCs w:val="24"/>
          <w:u w:val="single"/>
          <w:lang w:val="en-US"/>
        </w:rPr>
        <w:t>Premature discontinuation</w:t>
      </w:r>
    </w:p>
    <w:p w14:paraId="762ED230" w14:textId="77777777" w:rsidR="0074039C" w:rsidRPr="006F5AE8" w:rsidRDefault="0074039C" w:rsidP="00B4050A">
      <w:pPr>
        <w:ind w:left="851"/>
        <w:rPr>
          <w:sz w:val="24"/>
          <w:szCs w:val="24"/>
          <w:lang w:val="en-US"/>
        </w:rPr>
      </w:pPr>
      <w:r w:rsidRPr="006F5AE8">
        <w:rPr>
          <w:sz w:val="24"/>
          <w:szCs w:val="24"/>
          <w:lang w:val="en-US"/>
        </w:rPr>
        <w:t>Premature discontinuation with any antiplatelet therapy, including ticagrelor, could result in an increased risk of cardiovascular (CV) death, MI or stroke due to the patient’s underlying disease. Therefore, premature discontinuation of treatment should be avoided.</w:t>
      </w:r>
    </w:p>
    <w:p w14:paraId="7D426F20" w14:textId="77777777" w:rsidR="0074039C" w:rsidRPr="006F5AE8" w:rsidRDefault="0074039C" w:rsidP="00B4050A">
      <w:pPr>
        <w:ind w:left="851"/>
        <w:rPr>
          <w:sz w:val="24"/>
          <w:szCs w:val="24"/>
          <w:lang w:val="en-US"/>
        </w:rPr>
      </w:pPr>
    </w:p>
    <w:p w14:paraId="78AE09D8" w14:textId="77777777" w:rsidR="0074039C" w:rsidRPr="006F5AE8" w:rsidRDefault="0074039C" w:rsidP="00B4050A">
      <w:pPr>
        <w:ind w:left="851"/>
        <w:rPr>
          <w:sz w:val="24"/>
          <w:szCs w:val="24"/>
          <w:u w:val="single"/>
          <w:lang w:val="en-US"/>
        </w:rPr>
      </w:pPr>
      <w:r w:rsidRPr="006F5AE8">
        <w:rPr>
          <w:sz w:val="24"/>
          <w:szCs w:val="24"/>
          <w:u w:val="single"/>
          <w:lang w:val="en-US"/>
        </w:rPr>
        <w:t>Sodium</w:t>
      </w:r>
    </w:p>
    <w:p w14:paraId="47BCA0F9" w14:textId="5EE13643" w:rsidR="0074039C" w:rsidRPr="006F5AE8" w:rsidRDefault="00B04A37" w:rsidP="00B4050A">
      <w:pPr>
        <w:ind w:left="851"/>
        <w:rPr>
          <w:sz w:val="24"/>
          <w:szCs w:val="24"/>
          <w:lang w:val="en-US"/>
        </w:rPr>
      </w:pPr>
      <w:proofErr w:type="spellStart"/>
      <w:r>
        <w:rPr>
          <w:sz w:val="24"/>
          <w:szCs w:val="24"/>
          <w:lang w:val="en-US"/>
        </w:rPr>
        <w:t>Croalcril</w:t>
      </w:r>
      <w:proofErr w:type="spellEnd"/>
      <w:r w:rsidR="0074039C" w:rsidRPr="006F5AE8">
        <w:rPr>
          <w:sz w:val="24"/>
          <w:szCs w:val="24"/>
          <w:lang w:val="en-US"/>
        </w:rPr>
        <w:t xml:space="preserve"> contains less than 1 mmol sodium (23 mg) per dose, i.e., is essentially ‘sodium-free’.</w:t>
      </w:r>
    </w:p>
    <w:p w14:paraId="18769E91" w14:textId="77777777" w:rsidR="007C5D2A" w:rsidRPr="006F5AE8" w:rsidRDefault="007C5D2A" w:rsidP="003E0341">
      <w:pPr>
        <w:tabs>
          <w:tab w:val="left" w:pos="851"/>
        </w:tabs>
        <w:ind w:left="851"/>
        <w:rPr>
          <w:sz w:val="24"/>
          <w:szCs w:val="24"/>
          <w:lang w:val="en-GB"/>
        </w:rPr>
      </w:pPr>
    </w:p>
    <w:p w14:paraId="19ADE816" w14:textId="77777777" w:rsidR="007C5D2A" w:rsidRPr="006F5AE8" w:rsidRDefault="007C5D2A" w:rsidP="007C5D2A">
      <w:pPr>
        <w:ind w:left="851" w:hanging="851"/>
        <w:rPr>
          <w:b/>
          <w:sz w:val="24"/>
          <w:szCs w:val="24"/>
          <w:lang w:val="en-GB"/>
        </w:rPr>
      </w:pPr>
      <w:r w:rsidRPr="006F5AE8">
        <w:rPr>
          <w:b/>
          <w:sz w:val="24"/>
          <w:szCs w:val="24"/>
          <w:lang w:val="en-GB"/>
        </w:rPr>
        <w:t>4.5</w:t>
      </w:r>
      <w:r w:rsidRPr="006F5AE8">
        <w:rPr>
          <w:b/>
          <w:sz w:val="24"/>
          <w:szCs w:val="24"/>
          <w:lang w:val="en-GB"/>
        </w:rPr>
        <w:tab/>
        <w:t>Interaction with other medicinal products and other forms of interaction</w:t>
      </w:r>
    </w:p>
    <w:p w14:paraId="2A016ED9" w14:textId="77777777" w:rsidR="0074039C" w:rsidRPr="006F5AE8" w:rsidRDefault="0074039C" w:rsidP="00B4050A">
      <w:pPr>
        <w:ind w:left="851"/>
        <w:rPr>
          <w:sz w:val="24"/>
          <w:szCs w:val="24"/>
          <w:lang w:val="en-US"/>
        </w:rPr>
      </w:pPr>
      <w:r w:rsidRPr="006F5AE8">
        <w:rPr>
          <w:sz w:val="24"/>
          <w:szCs w:val="24"/>
          <w:lang w:val="en-US"/>
        </w:rPr>
        <w:t>Ticagrelor is primarily a CYP3A4 substrate and a mild inhibitor of CYP3A4. Ticagrelor is also a P-glycoprotein (P-</w:t>
      </w:r>
      <w:proofErr w:type="spellStart"/>
      <w:r w:rsidRPr="006F5AE8">
        <w:rPr>
          <w:sz w:val="24"/>
          <w:szCs w:val="24"/>
          <w:lang w:val="en-US"/>
        </w:rPr>
        <w:t>gp</w:t>
      </w:r>
      <w:proofErr w:type="spellEnd"/>
      <w:r w:rsidRPr="006F5AE8">
        <w:rPr>
          <w:sz w:val="24"/>
          <w:szCs w:val="24"/>
          <w:lang w:val="en-US"/>
        </w:rPr>
        <w:t>) substrate and a weak P-</w:t>
      </w:r>
      <w:proofErr w:type="spellStart"/>
      <w:r w:rsidRPr="006F5AE8">
        <w:rPr>
          <w:sz w:val="24"/>
          <w:szCs w:val="24"/>
          <w:lang w:val="en-US"/>
        </w:rPr>
        <w:t>gp</w:t>
      </w:r>
      <w:proofErr w:type="spellEnd"/>
      <w:r w:rsidRPr="006F5AE8">
        <w:rPr>
          <w:sz w:val="24"/>
          <w:szCs w:val="24"/>
          <w:lang w:val="en-US"/>
        </w:rPr>
        <w:t xml:space="preserve"> inhibitor and may increase the exposure of P-</w:t>
      </w:r>
      <w:proofErr w:type="spellStart"/>
      <w:r w:rsidRPr="006F5AE8">
        <w:rPr>
          <w:sz w:val="24"/>
          <w:szCs w:val="24"/>
          <w:lang w:val="en-US"/>
        </w:rPr>
        <w:t>gp</w:t>
      </w:r>
      <w:proofErr w:type="spellEnd"/>
      <w:r w:rsidRPr="006F5AE8">
        <w:rPr>
          <w:sz w:val="24"/>
          <w:szCs w:val="24"/>
          <w:lang w:val="en-US"/>
        </w:rPr>
        <w:t xml:space="preserve"> substrates.</w:t>
      </w:r>
    </w:p>
    <w:p w14:paraId="1406520D" w14:textId="77777777" w:rsidR="0074039C" w:rsidRPr="006F5AE8" w:rsidRDefault="0074039C" w:rsidP="00B4050A">
      <w:pPr>
        <w:ind w:left="851"/>
        <w:rPr>
          <w:sz w:val="24"/>
          <w:szCs w:val="24"/>
          <w:lang w:val="en-US"/>
        </w:rPr>
      </w:pPr>
    </w:p>
    <w:p w14:paraId="518680AF" w14:textId="77777777" w:rsidR="0074039C" w:rsidRPr="006F5AE8" w:rsidRDefault="0074039C" w:rsidP="00B4050A">
      <w:pPr>
        <w:ind w:left="851"/>
        <w:rPr>
          <w:sz w:val="24"/>
          <w:szCs w:val="24"/>
          <w:u w:val="single"/>
          <w:lang w:val="en-US"/>
        </w:rPr>
      </w:pPr>
      <w:r w:rsidRPr="006F5AE8">
        <w:rPr>
          <w:sz w:val="24"/>
          <w:szCs w:val="24"/>
          <w:u w:val="single"/>
          <w:lang w:val="en-US"/>
        </w:rPr>
        <w:t>Effects of medicinal and other products on ticagrelor</w:t>
      </w:r>
    </w:p>
    <w:p w14:paraId="300389C0" w14:textId="77777777" w:rsidR="0074039C" w:rsidRPr="006F5AE8" w:rsidRDefault="0074039C" w:rsidP="00B4050A">
      <w:pPr>
        <w:ind w:left="851"/>
        <w:rPr>
          <w:i/>
          <w:iCs/>
          <w:sz w:val="24"/>
          <w:szCs w:val="24"/>
          <w:u w:val="single"/>
        </w:rPr>
      </w:pPr>
      <w:r w:rsidRPr="006F5AE8">
        <w:rPr>
          <w:i/>
          <w:iCs/>
          <w:sz w:val="24"/>
          <w:szCs w:val="24"/>
          <w:u w:val="single"/>
        </w:rPr>
        <w:t>CYP3A4 inhibitors</w:t>
      </w:r>
    </w:p>
    <w:p w14:paraId="12C84BDE" w14:textId="77777777" w:rsidR="0074039C" w:rsidRPr="006F5AE8" w:rsidRDefault="0074039C" w:rsidP="006F5AE8">
      <w:pPr>
        <w:pStyle w:val="Listeafsnit"/>
        <w:numPr>
          <w:ilvl w:val="0"/>
          <w:numId w:val="13"/>
        </w:numPr>
        <w:tabs>
          <w:tab w:val="clear" w:pos="567"/>
        </w:tabs>
        <w:ind w:left="1276" w:hanging="425"/>
        <w:rPr>
          <w:sz w:val="24"/>
          <w:szCs w:val="24"/>
        </w:rPr>
      </w:pPr>
      <w:r w:rsidRPr="006F5AE8">
        <w:rPr>
          <w:i/>
          <w:iCs/>
          <w:sz w:val="24"/>
          <w:szCs w:val="24"/>
        </w:rPr>
        <w:t>Strong CYP3A4 inhibitors</w:t>
      </w:r>
      <w:r w:rsidRPr="006F5AE8">
        <w:rPr>
          <w:sz w:val="24"/>
          <w:szCs w:val="24"/>
        </w:rPr>
        <w:t xml:space="preserve"> – Co-administration of ketoconazole with ticagrelor increased the ticagrelor </w:t>
      </w:r>
      <w:proofErr w:type="spellStart"/>
      <w:r w:rsidRPr="006F5AE8">
        <w:rPr>
          <w:sz w:val="24"/>
          <w:szCs w:val="24"/>
        </w:rPr>
        <w:t>Cmax</w:t>
      </w:r>
      <w:proofErr w:type="spellEnd"/>
      <w:r w:rsidRPr="006F5AE8">
        <w:rPr>
          <w:sz w:val="24"/>
          <w:szCs w:val="24"/>
        </w:rPr>
        <w:t xml:space="preserve"> and AUC equal to 2.4-fold and 7.3-fold, respectively. The </w:t>
      </w:r>
      <w:proofErr w:type="spellStart"/>
      <w:r w:rsidRPr="006F5AE8">
        <w:rPr>
          <w:sz w:val="24"/>
          <w:szCs w:val="24"/>
        </w:rPr>
        <w:t>Cmax</w:t>
      </w:r>
      <w:proofErr w:type="spellEnd"/>
      <w:r w:rsidRPr="006F5AE8">
        <w:rPr>
          <w:sz w:val="24"/>
          <w:szCs w:val="24"/>
        </w:rPr>
        <w:t xml:space="preserve"> and AUC of the active metabolite were reduced by 89% and 56%, respectively. Other strong inhibitors of CYP3A4 (clarithromycin, nefazodone, ritonavir and atazanavir) would be expected to have similar effects and therefore concomitant use of strong CYP3A4 inhibitors with ticagrelor is contraindicated (see section 4.3).</w:t>
      </w:r>
    </w:p>
    <w:p w14:paraId="29133135" w14:textId="77777777" w:rsidR="0074039C" w:rsidRPr="006F5AE8" w:rsidRDefault="0074039C" w:rsidP="006F5AE8">
      <w:pPr>
        <w:pStyle w:val="Listeafsnit"/>
        <w:numPr>
          <w:ilvl w:val="0"/>
          <w:numId w:val="13"/>
        </w:numPr>
        <w:tabs>
          <w:tab w:val="clear" w:pos="567"/>
        </w:tabs>
        <w:ind w:left="1276" w:hanging="425"/>
        <w:rPr>
          <w:sz w:val="24"/>
          <w:szCs w:val="24"/>
        </w:rPr>
      </w:pPr>
      <w:r w:rsidRPr="006F5AE8">
        <w:rPr>
          <w:i/>
          <w:iCs/>
          <w:sz w:val="24"/>
          <w:szCs w:val="24"/>
        </w:rPr>
        <w:t>Moderate CYP3A4 inhibitors</w:t>
      </w:r>
      <w:r w:rsidRPr="006F5AE8">
        <w:rPr>
          <w:sz w:val="24"/>
          <w:szCs w:val="24"/>
        </w:rPr>
        <w:t xml:space="preserve"> – Co-administration of diltiazem with ticagrelor increased the ticagrelor </w:t>
      </w:r>
      <w:proofErr w:type="spellStart"/>
      <w:r w:rsidRPr="006F5AE8">
        <w:rPr>
          <w:sz w:val="24"/>
          <w:szCs w:val="24"/>
        </w:rPr>
        <w:t>Cmax</w:t>
      </w:r>
      <w:proofErr w:type="spellEnd"/>
      <w:r w:rsidRPr="006F5AE8">
        <w:rPr>
          <w:sz w:val="24"/>
          <w:szCs w:val="24"/>
        </w:rPr>
        <w:t xml:space="preserve"> by 69% and AUC to 2.7-fold and decreased the active metabolite </w:t>
      </w:r>
      <w:proofErr w:type="spellStart"/>
      <w:r w:rsidRPr="006F5AE8">
        <w:rPr>
          <w:sz w:val="24"/>
          <w:szCs w:val="24"/>
        </w:rPr>
        <w:t>Cmax</w:t>
      </w:r>
      <w:proofErr w:type="spellEnd"/>
      <w:r w:rsidRPr="006F5AE8">
        <w:rPr>
          <w:sz w:val="24"/>
          <w:szCs w:val="24"/>
        </w:rPr>
        <w:t xml:space="preserve"> by 38% and AUC was unchanged. There was no effect of ticagrelor on diltiazem plasma levels. Other moderate CYP3A4 inhibitors (e.g., amprenavir, </w:t>
      </w:r>
      <w:proofErr w:type="spellStart"/>
      <w:r w:rsidRPr="006F5AE8">
        <w:rPr>
          <w:sz w:val="24"/>
          <w:szCs w:val="24"/>
        </w:rPr>
        <w:t>aprepitant</w:t>
      </w:r>
      <w:proofErr w:type="spellEnd"/>
      <w:r w:rsidRPr="006F5AE8">
        <w:rPr>
          <w:sz w:val="24"/>
          <w:szCs w:val="24"/>
        </w:rPr>
        <w:t>, erythromycin and fluconazole) would be expected to have a similar effect and can as well be co-administered with ticagrelor.</w:t>
      </w:r>
    </w:p>
    <w:p w14:paraId="60538283" w14:textId="77777777" w:rsidR="0074039C" w:rsidRPr="006F5AE8" w:rsidRDefault="0074039C" w:rsidP="006F5AE8">
      <w:pPr>
        <w:pStyle w:val="Listeafsnit"/>
        <w:numPr>
          <w:ilvl w:val="0"/>
          <w:numId w:val="13"/>
        </w:numPr>
        <w:tabs>
          <w:tab w:val="clear" w:pos="567"/>
        </w:tabs>
        <w:ind w:left="1276" w:hanging="425"/>
        <w:rPr>
          <w:sz w:val="24"/>
          <w:szCs w:val="24"/>
        </w:rPr>
      </w:pPr>
      <w:r w:rsidRPr="006F5AE8">
        <w:rPr>
          <w:sz w:val="24"/>
          <w:szCs w:val="24"/>
        </w:rPr>
        <w:t>A 2-fold increase of ticagrelor exposure was observed after daily consumption of large quantities of grapefruit juice (3x200 ml). This magnitude of increased exposure is not expected to be clinically relevant to most patients.</w:t>
      </w:r>
    </w:p>
    <w:p w14:paraId="7EC2C7A2" w14:textId="77777777" w:rsidR="0074039C" w:rsidRPr="006F5AE8" w:rsidRDefault="0074039C" w:rsidP="00B4050A">
      <w:pPr>
        <w:ind w:left="851"/>
        <w:rPr>
          <w:sz w:val="24"/>
          <w:szCs w:val="24"/>
          <w:lang w:val="en-US"/>
        </w:rPr>
      </w:pPr>
    </w:p>
    <w:p w14:paraId="11718F36" w14:textId="77777777" w:rsidR="0074039C" w:rsidRPr="006F5AE8" w:rsidRDefault="0074039C" w:rsidP="00B4050A">
      <w:pPr>
        <w:ind w:left="851"/>
        <w:rPr>
          <w:i/>
          <w:iCs/>
          <w:sz w:val="24"/>
          <w:szCs w:val="24"/>
          <w:u w:val="single"/>
          <w:lang w:val="en-US"/>
        </w:rPr>
      </w:pPr>
      <w:r w:rsidRPr="006F5AE8">
        <w:rPr>
          <w:i/>
          <w:iCs/>
          <w:sz w:val="24"/>
          <w:szCs w:val="24"/>
          <w:u w:val="single"/>
          <w:lang w:val="en-US"/>
        </w:rPr>
        <w:t>CYP3A inducers</w:t>
      </w:r>
    </w:p>
    <w:p w14:paraId="4C8FB9BF" w14:textId="77777777" w:rsidR="0074039C" w:rsidRPr="006F5AE8" w:rsidRDefault="0074039C" w:rsidP="00B4050A">
      <w:pPr>
        <w:ind w:left="851"/>
        <w:rPr>
          <w:sz w:val="24"/>
          <w:szCs w:val="24"/>
          <w:lang w:val="en-US"/>
        </w:rPr>
      </w:pPr>
      <w:r w:rsidRPr="006F5AE8">
        <w:rPr>
          <w:sz w:val="24"/>
          <w:szCs w:val="24"/>
          <w:lang w:val="en-US"/>
        </w:rPr>
        <w:t xml:space="preserve">Co-administration of rifampicin with ticagrelor decreased ticagrelor </w:t>
      </w:r>
      <w:proofErr w:type="spellStart"/>
      <w:r w:rsidRPr="006F5AE8">
        <w:rPr>
          <w:sz w:val="24"/>
          <w:szCs w:val="24"/>
          <w:lang w:val="en-US"/>
        </w:rPr>
        <w:t>Cmax</w:t>
      </w:r>
      <w:proofErr w:type="spellEnd"/>
      <w:r w:rsidRPr="006F5AE8">
        <w:rPr>
          <w:sz w:val="24"/>
          <w:szCs w:val="24"/>
          <w:lang w:val="en-US"/>
        </w:rPr>
        <w:t xml:space="preserve"> and AUC by 73% and 86%, respectively. The </w:t>
      </w:r>
      <w:proofErr w:type="spellStart"/>
      <w:r w:rsidRPr="006F5AE8">
        <w:rPr>
          <w:sz w:val="24"/>
          <w:szCs w:val="24"/>
          <w:lang w:val="en-US"/>
        </w:rPr>
        <w:t>Cmax</w:t>
      </w:r>
      <w:proofErr w:type="spellEnd"/>
      <w:r w:rsidRPr="006F5AE8">
        <w:rPr>
          <w:sz w:val="24"/>
          <w:szCs w:val="24"/>
          <w:lang w:val="en-US"/>
        </w:rPr>
        <w:t xml:space="preserve"> of the active metabolite was unchanged and the AUC was decreased by 46%, respectively. Other CYP3A inducers (e.g., phenytoin, carbamazepine and phenobarbital) would be expected to decrease the exposure to ticagrelor as well. Co-administration of ticagrelor with potent CYP3A inducers may decrease exposure and efficacy of ticagrelor, therefore, their concomitant use with ticagrelor is discouraged.</w:t>
      </w:r>
    </w:p>
    <w:p w14:paraId="40D5B7E4" w14:textId="77777777" w:rsidR="0074039C" w:rsidRPr="006F5AE8" w:rsidRDefault="0074039C" w:rsidP="00B4050A">
      <w:pPr>
        <w:ind w:left="851"/>
        <w:rPr>
          <w:sz w:val="24"/>
          <w:szCs w:val="24"/>
          <w:lang w:val="en-US"/>
        </w:rPr>
      </w:pPr>
    </w:p>
    <w:p w14:paraId="61FC880F" w14:textId="77777777" w:rsidR="0074039C" w:rsidRPr="006F5AE8" w:rsidRDefault="0074039C" w:rsidP="00B4050A">
      <w:pPr>
        <w:ind w:left="851"/>
        <w:rPr>
          <w:i/>
          <w:iCs/>
          <w:sz w:val="24"/>
          <w:szCs w:val="24"/>
          <w:u w:val="single"/>
          <w:lang w:val="en-US"/>
        </w:rPr>
      </w:pPr>
      <w:r w:rsidRPr="006F5AE8">
        <w:rPr>
          <w:i/>
          <w:iCs/>
          <w:sz w:val="24"/>
          <w:szCs w:val="24"/>
          <w:u w:val="single"/>
          <w:lang w:val="en-US"/>
        </w:rPr>
        <w:t>Cyclosporine (P-</w:t>
      </w:r>
      <w:proofErr w:type="spellStart"/>
      <w:r w:rsidRPr="006F5AE8">
        <w:rPr>
          <w:i/>
          <w:iCs/>
          <w:sz w:val="24"/>
          <w:szCs w:val="24"/>
          <w:u w:val="single"/>
          <w:lang w:val="en-US"/>
        </w:rPr>
        <w:t>gp</w:t>
      </w:r>
      <w:proofErr w:type="spellEnd"/>
      <w:r w:rsidRPr="006F5AE8">
        <w:rPr>
          <w:i/>
          <w:iCs/>
          <w:sz w:val="24"/>
          <w:szCs w:val="24"/>
          <w:u w:val="single"/>
          <w:lang w:val="en-US"/>
        </w:rPr>
        <w:t xml:space="preserve"> and CYP3A inhibitor)</w:t>
      </w:r>
    </w:p>
    <w:p w14:paraId="2FFC864F" w14:textId="77777777" w:rsidR="0074039C" w:rsidRPr="006F5AE8" w:rsidRDefault="0074039C" w:rsidP="00B4050A">
      <w:pPr>
        <w:ind w:left="851"/>
        <w:rPr>
          <w:sz w:val="24"/>
          <w:szCs w:val="24"/>
          <w:lang w:val="en-US"/>
        </w:rPr>
      </w:pPr>
      <w:r w:rsidRPr="006F5AE8">
        <w:rPr>
          <w:sz w:val="24"/>
          <w:szCs w:val="24"/>
          <w:lang w:val="en-US"/>
        </w:rPr>
        <w:t xml:space="preserve">Co-administration of cyclosporine (600 mg) with ticagrelor increased ticagrelor </w:t>
      </w:r>
      <w:proofErr w:type="spellStart"/>
      <w:r w:rsidRPr="006F5AE8">
        <w:rPr>
          <w:sz w:val="24"/>
          <w:szCs w:val="24"/>
          <w:lang w:val="en-US"/>
        </w:rPr>
        <w:t>Cmax</w:t>
      </w:r>
      <w:proofErr w:type="spellEnd"/>
      <w:r w:rsidRPr="006F5AE8">
        <w:rPr>
          <w:sz w:val="24"/>
          <w:szCs w:val="24"/>
          <w:lang w:val="en-US"/>
        </w:rPr>
        <w:t xml:space="preserve"> and AUC equal to 2.3-fold and 2.8-fold, respectively. The AUC of the active metabolite was increased by 32% and </w:t>
      </w:r>
      <w:proofErr w:type="spellStart"/>
      <w:r w:rsidRPr="006F5AE8">
        <w:rPr>
          <w:sz w:val="24"/>
          <w:szCs w:val="24"/>
          <w:lang w:val="en-US"/>
        </w:rPr>
        <w:t>Cmax</w:t>
      </w:r>
      <w:proofErr w:type="spellEnd"/>
      <w:r w:rsidRPr="006F5AE8">
        <w:rPr>
          <w:sz w:val="24"/>
          <w:szCs w:val="24"/>
          <w:lang w:val="en-US"/>
        </w:rPr>
        <w:t xml:space="preserve"> was decreased by 15% in the presence of cyclosporine.</w:t>
      </w:r>
    </w:p>
    <w:p w14:paraId="05B95CE5" w14:textId="77777777" w:rsidR="0074039C" w:rsidRPr="006F5AE8" w:rsidRDefault="0074039C" w:rsidP="00B4050A">
      <w:pPr>
        <w:ind w:left="851"/>
        <w:rPr>
          <w:sz w:val="24"/>
          <w:szCs w:val="24"/>
          <w:lang w:val="en-US"/>
        </w:rPr>
      </w:pPr>
    </w:p>
    <w:p w14:paraId="332D68A7" w14:textId="77777777" w:rsidR="0074039C" w:rsidRPr="006F5AE8" w:rsidRDefault="0074039C" w:rsidP="00B4050A">
      <w:pPr>
        <w:ind w:left="851"/>
        <w:rPr>
          <w:sz w:val="24"/>
          <w:szCs w:val="24"/>
          <w:lang w:val="en-US"/>
        </w:rPr>
      </w:pPr>
      <w:r w:rsidRPr="006F5AE8">
        <w:rPr>
          <w:sz w:val="24"/>
          <w:szCs w:val="24"/>
          <w:lang w:val="en-US"/>
        </w:rPr>
        <w:t>No data are available on concomitant use of ticagrelor with other active substances that also are potent P-</w:t>
      </w:r>
      <w:proofErr w:type="spellStart"/>
      <w:r w:rsidRPr="006F5AE8">
        <w:rPr>
          <w:sz w:val="24"/>
          <w:szCs w:val="24"/>
          <w:lang w:val="en-US"/>
        </w:rPr>
        <w:t>gp</w:t>
      </w:r>
      <w:proofErr w:type="spellEnd"/>
      <w:r w:rsidRPr="006F5AE8">
        <w:rPr>
          <w:sz w:val="24"/>
          <w:szCs w:val="24"/>
          <w:lang w:val="en-US"/>
        </w:rPr>
        <w:t xml:space="preserve"> inhibitors and moderate CYP3A4 inhibitors (e.g., verapamil, quinidine) that also may increase ticagrelor exposure. If the association cannot be avoided, their concomitant use should be made with caution.</w:t>
      </w:r>
    </w:p>
    <w:p w14:paraId="70148FA1" w14:textId="77777777" w:rsidR="0074039C" w:rsidRPr="006F5AE8" w:rsidRDefault="0074039C" w:rsidP="00B4050A">
      <w:pPr>
        <w:ind w:left="851"/>
        <w:rPr>
          <w:sz w:val="24"/>
          <w:szCs w:val="24"/>
          <w:lang w:val="en-US"/>
        </w:rPr>
      </w:pPr>
    </w:p>
    <w:p w14:paraId="5FD6FFD5" w14:textId="77777777" w:rsidR="0074039C" w:rsidRPr="006F5AE8" w:rsidRDefault="0074039C" w:rsidP="00B4050A">
      <w:pPr>
        <w:ind w:left="851"/>
        <w:rPr>
          <w:i/>
          <w:iCs/>
          <w:sz w:val="24"/>
          <w:szCs w:val="24"/>
          <w:u w:val="single"/>
          <w:lang w:val="en-US"/>
        </w:rPr>
      </w:pPr>
      <w:r w:rsidRPr="006F5AE8">
        <w:rPr>
          <w:i/>
          <w:iCs/>
          <w:sz w:val="24"/>
          <w:szCs w:val="24"/>
          <w:u w:val="single"/>
          <w:lang w:val="en-US"/>
        </w:rPr>
        <w:t>Others</w:t>
      </w:r>
    </w:p>
    <w:p w14:paraId="56218165" w14:textId="77777777" w:rsidR="0074039C" w:rsidRPr="006F5AE8" w:rsidRDefault="0074039C" w:rsidP="00B4050A">
      <w:pPr>
        <w:ind w:left="851"/>
        <w:rPr>
          <w:sz w:val="24"/>
          <w:szCs w:val="24"/>
          <w:lang w:val="en-US"/>
        </w:rPr>
      </w:pPr>
      <w:r w:rsidRPr="006F5AE8">
        <w:rPr>
          <w:sz w:val="24"/>
          <w:szCs w:val="24"/>
          <w:lang w:val="en-US"/>
        </w:rPr>
        <w:t xml:space="preserve">Clinical pharmacology interaction studies showed that co-administration of ticagrelor with heparin, enoxaparin and ASA or desmopressin did not have any effect on the pharmacokinetics of ticagrelor or the active metabolite or on ADP-induced platelet aggregation compared with ticagrelor alone. If clinically indicated, medicinal products that alter </w:t>
      </w:r>
      <w:proofErr w:type="spellStart"/>
      <w:r w:rsidRPr="006F5AE8">
        <w:rPr>
          <w:sz w:val="24"/>
          <w:szCs w:val="24"/>
          <w:lang w:val="en-US"/>
        </w:rPr>
        <w:t>haemostasis</w:t>
      </w:r>
      <w:proofErr w:type="spellEnd"/>
      <w:r w:rsidRPr="006F5AE8">
        <w:rPr>
          <w:sz w:val="24"/>
          <w:szCs w:val="24"/>
          <w:lang w:val="en-US"/>
        </w:rPr>
        <w:t xml:space="preserve"> should be used with caution in combination with ticagrelor.</w:t>
      </w:r>
    </w:p>
    <w:p w14:paraId="5E6DD290" w14:textId="77777777" w:rsidR="0074039C" w:rsidRPr="006F5AE8" w:rsidRDefault="0074039C" w:rsidP="00B4050A">
      <w:pPr>
        <w:ind w:left="851"/>
        <w:rPr>
          <w:sz w:val="24"/>
          <w:szCs w:val="24"/>
          <w:lang w:val="en-US"/>
        </w:rPr>
      </w:pPr>
    </w:p>
    <w:p w14:paraId="3633B41B" w14:textId="77777777" w:rsidR="0074039C" w:rsidRPr="006F5AE8" w:rsidRDefault="0074039C" w:rsidP="00B4050A">
      <w:pPr>
        <w:ind w:left="851"/>
        <w:rPr>
          <w:sz w:val="24"/>
          <w:szCs w:val="24"/>
          <w:lang w:val="en-US"/>
        </w:rPr>
      </w:pPr>
      <w:r w:rsidRPr="006F5AE8">
        <w:rPr>
          <w:sz w:val="24"/>
          <w:szCs w:val="24"/>
          <w:lang w:val="en-US"/>
        </w:rPr>
        <w:t>A delayed and decreased exposure to oral P2Y12 inhibitors, including ticagrelor and its active metabolite, has been observed in patients with ACS treated with morphine (35% reduction in ticagrelor exposure). This interaction may be related to reduced gastrointestinal motility and apply to other opioids. The clinical relevance is unknown, but data indicate the potential for reduced ticagrelor efficacy in patients co-administered ticagrelor and morphine. In patients with ACS, in whom morphine cannot be withheld and fast P2Y12 inhibition is deemed crucial, the use of a parenteral P2Y12 inhibitor may be considered.</w:t>
      </w:r>
    </w:p>
    <w:p w14:paraId="789148D2" w14:textId="77777777" w:rsidR="0074039C" w:rsidRPr="006F5AE8" w:rsidRDefault="0074039C" w:rsidP="00B4050A">
      <w:pPr>
        <w:ind w:left="851"/>
        <w:rPr>
          <w:sz w:val="24"/>
          <w:szCs w:val="24"/>
          <w:lang w:val="en-US"/>
        </w:rPr>
      </w:pPr>
    </w:p>
    <w:p w14:paraId="78A39865" w14:textId="77777777" w:rsidR="0074039C" w:rsidRPr="006F5AE8" w:rsidRDefault="0074039C" w:rsidP="00B4050A">
      <w:pPr>
        <w:ind w:left="851"/>
        <w:rPr>
          <w:sz w:val="24"/>
          <w:szCs w:val="24"/>
          <w:u w:val="single"/>
          <w:lang w:val="en-US"/>
        </w:rPr>
      </w:pPr>
      <w:r w:rsidRPr="006F5AE8">
        <w:rPr>
          <w:sz w:val="24"/>
          <w:szCs w:val="24"/>
          <w:u w:val="single"/>
          <w:lang w:val="en-US"/>
        </w:rPr>
        <w:t>Effects of ticagrelor on other medicinal products</w:t>
      </w:r>
    </w:p>
    <w:p w14:paraId="371A617D" w14:textId="77777777" w:rsidR="0074039C" w:rsidRPr="006F5AE8" w:rsidRDefault="0074039C" w:rsidP="00B4050A">
      <w:pPr>
        <w:ind w:left="851"/>
        <w:rPr>
          <w:i/>
          <w:iCs/>
          <w:sz w:val="24"/>
          <w:szCs w:val="24"/>
          <w:u w:val="single"/>
        </w:rPr>
      </w:pPr>
      <w:r w:rsidRPr="006F5AE8">
        <w:rPr>
          <w:i/>
          <w:iCs/>
          <w:sz w:val="24"/>
          <w:szCs w:val="24"/>
          <w:u w:val="single"/>
        </w:rPr>
        <w:t xml:space="preserve">Medicinal products </w:t>
      </w:r>
      <w:proofErr w:type="spellStart"/>
      <w:r w:rsidRPr="006F5AE8">
        <w:rPr>
          <w:i/>
          <w:iCs/>
          <w:sz w:val="24"/>
          <w:szCs w:val="24"/>
          <w:u w:val="single"/>
        </w:rPr>
        <w:t>metabolised</w:t>
      </w:r>
      <w:proofErr w:type="spellEnd"/>
      <w:r w:rsidRPr="006F5AE8">
        <w:rPr>
          <w:i/>
          <w:iCs/>
          <w:sz w:val="24"/>
          <w:szCs w:val="24"/>
          <w:u w:val="single"/>
        </w:rPr>
        <w:t xml:space="preserve"> by CYP3A4</w:t>
      </w:r>
    </w:p>
    <w:p w14:paraId="0A1AC990" w14:textId="77777777" w:rsidR="0074039C" w:rsidRPr="006F5AE8" w:rsidRDefault="0074039C" w:rsidP="006F5AE8">
      <w:pPr>
        <w:pStyle w:val="Listeafsnit"/>
        <w:numPr>
          <w:ilvl w:val="0"/>
          <w:numId w:val="14"/>
        </w:numPr>
        <w:tabs>
          <w:tab w:val="clear" w:pos="567"/>
        </w:tabs>
        <w:ind w:left="1276" w:hanging="425"/>
        <w:rPr>
          <w:sz w:val="24"/>
          <w:szCs w:val="24"/>
        </w:rPr>
      </w:pPr>
      <w:r w:rsidRPr="006F5AE8">
        <w:rPr>
          <w:i/>
          <w:iCs/>
          <w:sz w:val="24"/>
          <w:szCs w:val="24"/>
        </w:rPr>
        <w:t>Simvastatin</w:t>
      </w:r>
      <w:r w:rsidRPr="006F5AE8">
        <w:rPr>
          <w:sz w:val="24"/>
          <w:szCs w:val="24"/>
        </w:rPr>
        <w:t xml:space="preserve"> – Co-administration of ticagrelor with simvastatin increased simvastatin </w:t>
      </w:r>
      <w:proofErr w:type="spellStart"/>
      <w:r w:rsidRPr="006F5AE8">
        <w:rPr>
          <w:sz w:val="24"/>
          <w:szCs w:val="24"/>
        </w:rPr>
        <w:t>Cmax</w:t>
      </w:r>
      <w:proofErr w:type="spellEnd"/>
      <w:r w:rsidRPr="006F5AE8">
        <w:rPr>
          <w:sz w:val="24"/>
          <w:szCs w:val="24"/>
        </w:rPr>
        <w:t xml:space="preserve"> by 81% and AUC by 56% and increased simvastatin acid </w:t>
      </w:r>
      <w:proofErr w:type="spellStart"/>
      <w:r w:rsidRPr="006F5AE8">
        <w:rPr>
          <w:sz w:val="24"/>
          <w:szCs w:val="24"/>
        </w:rPr>
        <w:t>Cmax</w:t>
      </w:r>
      <w:proofErr w:type="spellEnd"/>
      <w:r w:rsidRPr="006F5AE8">
        <w:rPr>
          <w:sz w:val="24"/>
          <w:szCs w:val="24"/>
        </w:rPr>
        <w:t xml:space="preserve"> by 64% and AUC by 52% with some individual increases equal to 2- to 3-fold. Co-administration of ticagrelor with doses of simvastatin exceeding 40 mg daily could cause adverse reactions of simvastatin and should be weighed against potential benefits. There was no effect of simvastatin on ticagrelor plasma levels. Ticagrelor may have similar effect on lovastatin. The concomitant use of ticagrelor with doses of simvastatin or lovastatin greater than 40 mg is not recommended.</w:t>
      </w:r>
    </w:p>
    <w:p w14:paraId="40B341ED" w14:textId="77777777" w:rsidR="0074039C" w:rsidRPr="006F5AE8" w:rsidRDefault="0074039C" w:rsidP="006F5AE8">
      <w:pPr>
        <w:pStyle w:val="Listeafsnit"/>
        <w:numPr>
          <w:ilvl w:val="0"/>
          <w:numId w:val="14"/>
        </w:numPr>
        <w:tabs>
          <w:tab w:val="clear" w:pos="567"/>
        </w:tabs>
        <w:ind w:left="1276" w:hanging="425"/>
        <w:rPr>
          <w:sz w:val="24"/>
          <w:szCs w:val="24"/>
        </w:rPr>
      </w:pPr>
      <w:r w:rsidRPr="006F5AE8">
        <w:rPr>
          <w:i/>
          <w:iCs/>
          <w:sz w:val="24"/>
          <w:szCs w:val="24"/>
        </w:rPr>
        <w:t>Atorvastatin</w:t>
      </w:r>
      <w:r w:rsidRPr="006F5AE8">
        <w:rPr>
          <w:sz w:val="24"/>
          <w:szCs w:val="24"/>
        </w:rPr>
        <w:t xml:space="preserve"> – Co-administration of atorvastatin and ticagrelor increased atorvastatin acid </w:t>
      </w:r>
      <w:proofErr w:type="spellStart"/>
      <w:r w:rsidRPr="006F5AE8">
        <w:rPr>
          <w:sz w:val="24"/>
          <w:szCs w:val="24"/>
        </w:rPr>
        <w:t>Cmax</w:t>
      </w:r>
      <w:proofErr w:type="spellEnd"/>
      <w:r w:rsidRPr="006F5AE8">
        <w:rPr>
          <w:sz w:val="24"/>
          <w:szCs w:val="24"/>
        </w:rPr>
        <w:t xml:space="preserve"> by 23% and AUC by 36%. Similar increases in AUC and </w:t>
      </w:r>
      <w:proofErr w:type="spellStart"/>
      <w:r w:rsidRPr="006F5AE8">
        <w:rPr>
          <w:sz w:val="24"/>
          <w:szCs w:val="24"/>
        </w:rPr>
        <w:t>Cmax</w:t>
      </w:r>
      <w:proofErr w:type="spellEnd"/>
      <w:r w:rsidRPr="006F5AE8">
        <w:rPr>
          <w:sz w:val="24"/>
          <w:szCs w:val="24"/>
        </w:rPr>
        <w:t xml:space="preserve"> were observed for all atorvastatin acid metabolites. These increases are not considered clinically significant.</w:t>
      </w:r>
    </w:p>
    <w:p w14:paraId="37F4E5CF" w14:textId="77777777" w:rsidR="0074039C" w:rsidRPr="006F5AE8" w:rsidRDefault="0074039C" w:rsidP="006F5AE8">
      <w:pPr>
        <w:pStyle w:val="Listeafsnit"/>
        <w:numPr>
          <w:ilvl w:val="0"/>
          <w:numId w:val="14"/>
        </w:numPr>
        <w:tabs>
          <w:tab w:val="clear" w:pos="567"/>
        </w:tabs>
        <w:ind w:left="1276" w:hanging="425"/>
        <w:rPr>
          <w:sz w:val="24"/>
          <w:szCs w:val="24"/>
        </w:rPr>
      </w:pPr>
      <w:r w:rsidRPr="006F5AE8">
        <w:rPr>
          <w:sz w:val="24"/>
          <w:szCs w:val="24"/>
        </w:rPr>
        <w:t>A similar effect on other statins metabolised by CYP3A4 cannot be excluded. Patients in PLATO receiving ticagrelor took a variety of statins, with no concern of an association with statin safety among the 93% of the PLATO cohort taking these medicinal products.</w:t>
      </w:r>
    </w:p>
    <w:p w14:paraId="4920FF54" w14:textId="77777777" w:rsidR="0074039C" w:rsidRPr="006F5AE8" w:rsidRDefault="0074039C" w:rsidP="00B4050A">
      <w:pPr>
        <w:ind w:left="851"/>
        <w:rPr>
          <w:sz w:val="24"/>
          <w:szCs w:val="24"/>
          <w:lang w:val="en-US"/>
        </w:rPr>
      </w:pPr>
    </w:p>
    <w:p w14:paraId="11F01E26" w14:textId="77777777" w:rsidR="0074039C" w:rsidRPr="006F5AE8" w:rsidRDefault="0074039C" w:rsidP="00B4050A">
      <w:pPr>
        <w:ind w:left="851"/>
        <w:rPr>
          <w:sz w:val="24"/>
          <w:szCs w:val="24"/>
          <w:lang w:val="en-US"/>
        </w:rPr>
      </w:pPr>
      <w:r w:rsidRPr="006F5AE8">
        <w:rPr>
          <w:sz w:val="24"/>
          <w:szCs w:val="24"/>
          <w:lang w:val="en-US"/>
        </w:rPr>
        <w:t xml:space="preserve">Ticagrelor is a mild CYP3A4 inhibitor. Co-administration of ticagrelor and CYP3A4 substrates with narrow therapeutic indices (i.e. </w:t>
      </w:r>
      <w:proofErr w:type="spellStart"/>
      <w:r w:rsidRPr="006F5AE8">
        <w:rPr>
          <w:sz w:val="24"/>
          <w:szCs w:val="24"/>
          <w:lang w:val="en-US"/>
        </w:rPr>
        <w:t>cisapride</w:t>
      </w:r>
      <w:proofErr w:type="spellEnd"/>
      <w:r w:rsidRPr="006F5AE8">
        <w:rPr>
          <w:sz w:val="24"/>
          <w:szCs w:val="24"/>
          <w:lang w:val="en-US"/>
        </w:rPr>
        <w:t xml:space="preserve"> or ergot alkaloids) is not recommended, as ticagrelor may increase the exposure to these medicinal products.</w:t>
      </w:r>
    </w:p>
    <w:p w14:paraId="43C1491C" w14:textId="77777777" w:rsidR="0074039C" w:rsidRPr="006F5AE8" w:rsidRDefault="0074039C" w:rsidP="00B4050A">
      <w:pPr>
        <w:ind w:left="851"/>
        <w:rPr>
          <w:sz w:val="24"/>
          <w:szCs w:val="24"/>
          <w:lang w:val="en-US"/>
        </w:rPr>
      </w:pPr>
    </w:p>
    <w:p w14:paraId="691E7E94" w14:textId="77777777" w:rsidR="0074039C" w:rsidRPr="006F5AE8" w:rsidRDefault="0074039C" w:rsidP="00B4050A">
      <w:pPr>
        <w:ind w:left="851"/>
        <w:rPr>
          <w:i/>
          <w:iCs/>
          <w:sz w:val="24"/>
          <w:szCs w:val="24"/>
          <w:u w:val="single"/>
          <w:lang w:val="en-US"/>
        </w:rPr>
      </w:pPr>
      <w:r w:rsidRPr="006F5AE8">
        <w:rPr>
          <w:i/>
          <w:iCs/>
          <w:sz w:val="24"/>
          <w:szCs w:val="24"/>
          <w:u w:val="single"/>
          <w:lang w:val="en-US"/>
        </w:rPr>
        <w:t>P-</w:t>
      </w:r>
      <w:proofErr w:type="spellStart"/>
      <w:r w:rsidRPr="006F5AE8">
        <w:rPr>
          <w:i/>
          <w:iCs/>
          <w:sz w:val="24"/>
          <w:szCs w:val="24"/>
          <w:u w:val="single"/>
          <w:lang w:val="en-US"/>
        </w:rPr>
        <w:t>gp</w:t>
      </w:r>
      <w:proofErr w:type="spellEnd"/>
      <w:r w:rsidRPr="006F5AE8">
        <w:rPr>
          <w:i/>
          <w:iCs/>
          <w:sz w:val="24"/>
          <w:szCs w:val="24"/>
          <w:u w:val="single"/>
          <w:lang w:val="en-US"/>
        </w:rPr>
        <w:t xml:space="preserve"> substrates (including digoxin, cyclosporine)</w:t>
      </w:r>
    </w:p>
    <w:p w14:paraId="51EAD193" w14:textId="77777777" w:rsidR="0074039C" w:rsidRPr="006F5AE8" w:rsidRDefault="0074039C" w:rsidP="00B4050A">
      <w:pPr>
        <w:ind w:left="851"/>
        <w:rPr>
          <w:sz w:val="24"/>
          <w:szCs w:val="24"/>
          <w:lang w:val="en-US"/>
        </w:rPr>
      </w:pPr>
      <w:r w:rsidRPr="006F5AE8">
        <w:rPr>
          <w:sz w:val="24"/>
          <w:szCs w:val="24"/>
          <w:lang w:val="en-US"/>
        </w:rPr>
        <w:t xml:space="preserve">Concomitant administration of ticagrelor increased the digoxin </w:t>
      </w:r>
      <w:proofErr w:type="spellStart"/>
      <w:r w:rsidRPr="006F5AE8">
        <w:rPr>
          <w:sz w:val="24"/>
          <w:szCs w:val="24"/>
          <w:lang w:val="en-US"/>
        </w:rPr>
        <w:t>Cmax</w:t>
      </w:r>
      <w:proofErr w:type="spellEnd"/>
      <w:r w:rsidRPr="006F5AE8">
        <w:rPr>
          <w:sz w:val="24"/>
          <w:szCs w:val="24"/>
          <w:lang w:val="en-US"/>
        </w:rPr>
        <w:t xml:space="preserve"> by 75% and AUC by 28%. The mean trough digoxin levels were increased about 30% with ticagrelor co-administration with some individual maximum increases to 2-fold. In the presence of digoxin, the </w:t>
      </w:r>
      <w:proofErr w:type="spellStart"/>
      <w:r w:rsidRPr="006F5AE8">
        <w:rPr>
          <w:sz w:val="24"/>
          <w:szCs w:val="24"/>
          <w:lang w:val="en-US"/>
        </w:rPr>
        <w:t>Cmax</w:t>
      </w:r>
      <w:proofErr w:type="spellEnd"/>
      <w:r w:rsidRPr="006F5AE8">
        <w:rPr>
          <w:sz w:val="24"/>
          <w:szCs w:val="24"/>
          <w:lang w:val="en-US"/>
        </w:rPr>
        <w:t xml:space="preserve"> and AUC of ticagrelor and its active metabolite were not affected. Therefore, appropriate clinical and/or laboratory monitoring is recommended when giving narrow therapeutic index P-</w:t>
      </w:r>
      <w:proofErr w:type="spellStart"/>
      <w:r w:rsidRPr="006F5AE8">
        <w:rPr>
          <w:sz w:val="24"/>
          <w:szCs w:val="24"/>
          <w:lang w:val="en-US"/>
        </w:rPr>
        <w:t>gp</w:t>
      </w:r>
      <w:proofErr w:type="spellEnd"/>
      <w:r w:rsidRPr="006F5AE8">
        <w:rPr>
          <w:sz w:val="24"/>
          <w:szCs w:val="24"/>
          <w:lang w:val="en-US"/>
        </w:rPr>
        <w:t xml:space="preserve"> dependent medicinal products like digoxin concomitantly with ticagrelor.</w:t>
      </w:r>
    </w:p>
    <w:p w14:paraId="3876DE20" w14:textId="77777777" w:rsidR="0074039C" w:rsidRPr="006F5AE8" w:rsidRDefault="0074039C" w:rsidP="00B4050A">
      <w:pPr>
        <w:ind w:left="851"/>
        <w:rPr>
          <w:sz w:val="24"/>
          <w:szCs w:val="24"/>
          <w:lang w:val="en-US"/>
        </w:rPr>
      </w:pPr>
    </w:p>
    <w:p w14:paraId="433456C7" w14:textId="77777777" w:rsidR="0074039C" w:rsidRPr="006F5AE8" w:rsidRDefault="0074039C" w:rsidP="00B4050A">
      <w:pPr>
        <w:ind w:left="851"/>
        <w:rPr>
          <w:sz w:val="24"/>
          <w:szCs w:val="24"/>
          <w:lang w:val="en-US"/>
        </w:rPr>
      </w:pPr>
      <w:r w:rsidRPr="006F5AE8">
        <w:rPr>
          <w:sz w:val="24"/>
          <w:szCs w:val="24"/>
          <w:lang w:val="en-US"/>
        </w:rPr>
        <w:t>There was no effect of ticagrelor on cyclosporine blood levels. Effect of ticagrelor on other P-</w:t>
      </w:r>
      <w:proofErr w:type="spellStart"/>
      <w:r w:rsidRPr="006F5AE8">
        <w:rPr>
          <w:sz w:val="24"/>
          <w:szCs w:val="24"/>
          <w:lang w:val="en-US"/>
        </w:rPr>
        <w:t>gp</w:t>
      </w:r>
      <w:proofErr w:type="spellEnd"/>
      <w:r w:rsidRPr="006F5AE8">
        <w:rPr>
          <w:sz w:val="24"/>
          <w:szCs w:val="24"/>
          <w:lang w:val="en-US"/>
        </w:rPr>
        <w:t xml:space="preserve"> substrates has not been studied.</w:t>
      </w:r>
    </w:p>
    <w:p w14:paraId="49F1F260" w14:textId="77777777" w:rsidR="0074039C" w:rsidRPr="006F5AE8" w:rsidRDefault="0074039C" w:rsidP="00B4050A">
      <w:pPr>
        <w:ind w:left="851"/>
        <w:rPr>
          <w:sz w:val="24"/>
          <w:szCs w:val="24"/>
          <w:lang w:val="en-US"/>
        </w:rPr>
      </w:pPr>
    </w:p>
    <w:p w14:paraId="61EC1DCC" w14:textId="77777777" w:rsidR="0074039C" w:rsidRPr="006F5AE8" w:rsidRDefault="0074039C" w:rsidP="00B4050A">
      <w:pPr>
        <w:ind w:left="851"/>
        <w:rPr>
          <w:i/>
          <w:iCs/>
          <w:sz w:val="24"/>
          <w:szCs w:val="24"/>
          <w:u w:val="single"/>
          <w:lang w:val="en-US"/>
        </w:rPr>
      </w:pPr>
      <w:r w:rsidRPr="006F5AE8">
        <w:rPr>
          <w:i/>
          <w:iCs/>
          <w:sz w:val="24"/>
          <w:szCs w:val="24"/>
          <w:u w:val="single"/>
          <w:lang w:val="en-US"/>
        </w:rPr>
        <w:t xml:space="preserve">Medicinal products </w:t>
      </w:r>
      <w:proofErr w:type="spellStart"/>
      <w:r w:rsidRPr="006F5AE8">
        <w:rPr>
          <w:i/>
          <w:iCs/>
          <w:sz w:val="24"/>
          <w:szCs w:val="24"/>
          <w:u w:val="single"/>
          <w:lang w:val="en-US"/>
        </w:rPr>
        <w:t>metabolised</w:t>
      </w:r>
      <w:proofErr w:type="spellEnd"/>
      <w:r w:rsidRPr="006F5AE8">
        <w:rPr>
          <w:i/>
          <w:iCs/>
          <w:sz w:val="24"/>
          <w:szCs w:val="24"/>
          <w:u w:val="single"/>
          <w:lang w:val="en-US"/>
        </w:rPr>
        <w:t xml:space="preserve"> by CYP2C9</w:t>
      </w:r>
    </w:p>
    <w:p w14:paraId="3A3FFB8B" w14:textId="77777777" w:rsidR="0074039C" w:rsidRPr="006F5AE8" w:rsidRDefault="0074039C" w:rsidP="00B4050A">
      <w:pPr>
        <w:ind w:left="851"/>
        <w:rPr>
          <w:sz w:val="24"/>
          <w:szCs w:val="24"/>
          <w:lang w:val="en-US"/>
        </w:rPr>
      </w:pPr>
      <w:r w:rsidRPr="006F5AE8">
        <w:rPr>
          <w:sz w:val="24"/>
          <w:szCs w:val="24"/>
          <w:lang w:val="en-US"/>
        </w:rPr>
        <w:t>Co-administration of ticagrelor with tolbutamide resulted in no change in the plasma levels of either medicinal product, which suggests that ticagrelor is not a CYP2C9 inhibitor and unlikely to alter the CYP2C9 mediated metabolism of medicinal products like warfarin and tolbutamide.</w:t>
      </w:r>
    </w:p>
    <w:p w14:paraId="43A1D492" w14:textId="77777777" w:rsidR="0074039C" w:rsidRPr="006F5AE8" w:rsidRDefault="0074039C" w:rsidP="00B4050A">
      <w:pPr>
        <w:ind w:left="851"/>
        <w:rPr>
          <w:sz w:val="24"/>
          <w:szCs w:val="24"/>
          <w:lang w:val="en-US"/>
        </w:rPr>
      </w:pPr>
    </w:p>
    <w:p w14:paraId="3264AD0C" w14:textId="77777777" w:rsidR="0074039C" w:rsidRPr="006F5AE8" w:rsidRDefault="0074039C" w:rsidP="00B4050A">
      <w:pPr>
        <w:ind w:left="851"/>
        <w:rPr>
          <w:i/>
          <w:iCs/>
          <w:sz w:val="24"/>
          <w:szCs w:val="24"/>
          <w:u w:val="single"/>
          <w:lang w:val="en-US"/>
        </w:rPr>
      </w:pPr>
      <w:r w:rsidRPr="006F5AE8">
        <w:rPr>
          <w:i/>
          <w:iCs/>
          <w:sz w:val="24"/>
          <w:szCs w:val="24"/>
          <w:u w:val="single"/>
          <w:lang w:val="en-US"/>
        </w:rPr>
        <w:t>Rosuvastatin</w:t>
      </w:r>
    </w:p>
    <w:p w14:paraId="5B4F6E30" w14:textId="77777777" w:rsidR="0074039C" w:rsidRPr="006F5AE8" w:rsidRDefault="0074039C" w:rsidP="00B4050A">
      <w:pPr>
        <w:ind w:left="851"/>
        <w:rPr>
          <w:sz w:val="24"/>
          <w:szCs w:val="24"/>
          <w:lang w:val="en-US"/>
        </w:rPr>
      </w:pPr>
      <w:r w:rsidRPr="006F5AE8">
        <w:rPr>
          <w:sz w:val="24"/>
          <w:szCs w:val="24"/>
          <w:lang w:val="en-US"/>
        </w:rPr>
        <w:t>Ticagrelor might affect renal excretion of rosuvastatin, increasing the risk for rosuvastatin accumulation. Although the exact mechanism is not known, in some cases, concomitant use of ticagrelor and rosuvastatin led to renal function decrease, increased CPK level and rhabdomyolysis.</w:t>
      </w:r>
    </w:p>
    <w:p w14:paraId="1143168F" w14:textId="77777777" w:rsidR="0074039C" w:rsidRPr="006F5AE8" w:rsidRDefault="0074039C" w:rsidP="00B4050A">
      <w:pPr>
        <w:ind w:left="851"/>
        <w:rPr>
          <w:sz w:val="24"/>
          <w:szCs w:val="24"/>
          <w:lang w:val="en-US"/>
        </w:rPr>
      </w:pPr>
    </w:p>
    <w:p w14:paraId="55C52DBC" w14:textId="77777777" w:rsidR="0074039C" w:rsidRPr="006F5AE8" w:rsidRDefault="0074039C" w:rsidP="00B4050A">
      <w:pPr>
        <w:ind w:left="851"/>
        <w:rPr>
          <w:i/>
          <w:iCs/>
          <w:sz w:val="24"/>
          <w:szCs w:val="24"/>
          <w:u w:val="single"/>
          <w:lang w:val="en-US"/>
        </w:rPr>
      </w:pPr>
      <w:r w:rsidRPr="006F5AE8">
        <w:rPr>
          <w:i/>
          <w:iCs/>
          <w:sz w:val="24"/>
          <w:szCs w:val="24"/>
          <w:u w:val="single"/>
          <w:lang w:val="en-US"/>
        </w:rPr>
        <w:t>Oral contraceptives</w:t>
      </w:r>
    </w:p>
    <w:p w14:paraId="08787192" w14:textId="77777777" w:rsidR="0074039C" w:rsidRPr="006F5AE8" w:rsidRDefault="0074039C" w:rsidP="00B4050A">
      <w:pPr>
        <w:ind w:left="851"/>
        <w:rPr>
          <w:sz w:val="24"/>
          <w:szCs w:val="24"/>
          <w:lang w:val="en-US"/>
        </w:rPr>
      </w:pPr>
      <w:r w:rsidRPr="006F5AE8">
        <w:rPr>
          <w:sz w:val="24"/>
          <w:szCs w:val="24"/>
          <w:lang w:val="en-US"/>
        </w:rPr>
        <w:t>Co-administration of ticagrelor and levonorgestrel and ethinyl estradiol increased ethinyl estradiol exposure approximately 20% but did not alter the pharmacokinetics of levonorgestrel. No clinically relevant effect on oral contraceptive efficacy is expected when levonorgestrel and ethinyl estradiol are co-administered with ticagrelor.</w:t>
      </w:r>
    </w:p>
    <w:p w14:paraId="0FA9B393" w14:textId="77777777" w:rsidR="0074039C" w:rsidRPr="006F5AE8" w:rsidRDefault="0074039C" w:rsidP="00B4050A">
      <w:pPr>
        <w:ind w:left="851"/>
        <w:rPr>
          <w:sz w:val="24"/>
          <w:szCs w:val="24"/>
          <w:lang w:val="en-US"/>
        </w:rPr>
      </w:pPr>
    </w:p>
    <w:p w14:paraId="7C5AD774" w14:textId="77777777" w:rsidR="0074039C" w:rsidRPr="006F5AE8" w:rsidRDefault="0074039C" w:rsidP="00B4050A">
      <w:pPr>
        <w:ind w:left="851"/>
        <w:rPr>
          <w:i/>
          <w:iCs/>
          <w:sz w:val="24"/>
          <w:szCs w:val="24"/>
          <w:u w:val="single"/>
          <w:lang w:val="en-US"/>
        </w:rPr>
      </w:pPr>
      <w:r w:rsidRPr="006F5AE8">
        <w:rPr>
          <w:i/>
          <w:iCs/>
          <w:sz w:val="24"/>
          <w:szCs w:val="24"/>
          <w:u w:val="single"/>
          <w:lang w:val="en-US"/>
        </w:rPr>
        <w:t>Medicinal products known to induce bradycardia</w:t>
      </w:r>
    </w:p>
    <w:p w14:paraId="4408812A" w14:textId="77777777" w:rsidR="0074039C" w:rsidRPr="006F5AE8" w:rsidRDefault="0074039C" w:rsidP="00B4050A">
      <w:pPr>
        <w:ind w:left="851"/>
        <w:rPr>
          <w:sz w:val="24"/>
          <w:szCs w:val="24"/>
          <w:lang w:val="en-US"/>
        </w:rPr>
      </w:pPr>
      <w:r w:rsidRPr="006F5AE8">
        <w:rPr>
          <w:sz w:val="24"/>
          <w:szCs w:val="24"/>
          <w:lang w:val="en-US"/>
        </w:rPr>
        <w:t>Due to observations of mostly asymptomatic ventricular pauses and bradycardia, caution should be exercised when administering ticagrelor concomitantly with medicinal products known to induce bradycardia (see section 4.4). However, no evidence of clinically significant adverse reactions was observed in the PLATO trial after concomitant administration with one or more medicinal products known to induce bradycardia (e.g., 96% beta blockers, 33% calcium channel blockers diltiazem and verapamil and 4% digoxin).</w:t>
      </w:r>
    </w:p>
    <w:p w14:paraId="15500433" w14:textId="77777777" w:rsidR="0074039C" w:rsidRPr="006F5AE8" w:rsidRDefault="0074039C" w:rsidP="00B4050A">
      <w:pPr>
        <w:ind w:left="851"/>
        <w:rPr>
          <w:sz w:val="24"/>
          <w:szCs w:val="24"/>
          <w:lang w:val="en-US"/>
        </w:rPr>
      </w:pPr>
    </w:p>
    <w:p w14:paraId="39BDC722" w14:textId="77777777" w:rsidR="0074039C" w:rsidRPr="006F5AE8" w:rsidRDefault="0074039C" w:rsidP="00B4050A">
      <w:pPr>
        <w:ind w:left="851"/>
        <w:rPr>
          <w:i/>
          <w:iCs/>
          <w:sz w:val="24"/>
          <w:szCs w:val="24"/>
          <w:u w:val="single"/>
          <w:lang w:val="en-US"/>
        </w:rPr>
      </w:pPr>
      <w:r w:rsidRPr="006F5AE8">
        <w:rPr>
          <w:i/>
          <w:iCs/>
          <w:sz w:val="24"/>
          <w:szCs w:val="24"/>
          <w:u w:val="single"/>
          <w:lang w:val="en-US"/>
        </w:rPr>
        <w:t>Other concomitant therapy</w:t>
      </w:r>
    </w:p>
    <w:p w14:paraId="408D3C71" w14:textId="77777777" w:rsidR="0074039C" w:rsidRPr="006F5AE8" w:rsidRDefault="0074039C" w:rsidP="00B4050A">
      <w:pPr>
        <w:ind w:left="851"/>
        <w:rPr>
          <w:sz w:val="24"/>
          <w:szCs w:val="24"/>
          <w:lang w:val="en-US"/>
        </w:rPr>
      </w:pPr>
      <w:r w:rsidRPr="006F5AE8">
        <w:rPr>
          <w:sz w:val="24"/>
          <w:szCs w:val="24"/>
          <w:lang w:val="en-US"/>
        </w:rPr>
        <w:t xml:space="preserve">In clinical studies, ticagrelor was commonly administered with ASA, proton pump inhibitors, statins, beta-blockers, angiotensin converting enzyme (ACE) inhibitors and angiotensin receptor blockers as needed for concomitant conditions for long-term and also heparin, low molecular weight heparin and intravenous </w:t>
      </w:r>
      <w:proofErr w:type="spellStart"/>
      <w:r w:rsidRPr="006F5AE8">
        <w:rPr>
          <w:sz w:val="24"/>
          <w:szCs w:val="24"/>
          <w:lang w:val="en-US"/>
        </w:rPr>
        <w:t>GpIIb</w:t>
      </w:r>
      <w:proofErr w:type="spellEnd"/>
      <w:r w:rsidRPr="006F5AE8">
        <w:rPr>
          <w:sz w:val="24"/>
          <w:szCs w:val="24"/>
          <w:lang w:val="en-US"/>
        </w:rPr>
        <w:t>/IIIa inhibitors for short durations (see section 5.1). No evidence of clinically significant adverse interactions with these medicinal products was observed.</w:t>
      </w:r>
    </w:p>
    <w:p w14:paraId="055493C5" w14:textId="77777777" w:rsidR="0074039C" w:rsidRPr="006F5AE8" w:rsidRDefault="0074039C" w:rsidP="00B4050A">
      <w:pPr>
        <w:ind w:left="851"/>
        <w:rPr>
          <w:sz w:val="24"/>
          <w:szCs w:val="24"/>
          <w:lang w:val="en-US"/>
        </w:rPr>
      </w:pPr>
    </w:p>
    <w:p w14:paraId="18B5A271" w14:textId="77777777" w:rsidR="0074039C" w:rsidRPr="006F5AE8" w:rsidRDefault="0074039C" w:rsidP="00B4050A">
      <w:pPr>
        <w:ind w:left="851"/>
        <w:rPr>
          <w:sz w:val="24"/>
          <w:szCs w:val="24"/>
          <w:lang w:val="en-US"/>
        </w:rPr>
      </w:pPr>
      <w:r w:rsidRPr="006F5AE8">
        <w:rPr>
          <w:sz w:val="24"/>
          <w:szCs w:val="24"/>
          <w:lang w:val="en-US"/>
        </w:rPr>
        <w:t>Co-administration of ticagrelor with heparin, enoxaparin or desmopressin had no effect on activated partial thromboplastin time (</w:t>
      </w:r>
      <w:proofErr w:type="spellStart"/>
      <w:r w:rsidRPr="006F5AE8">
        <w:rPr>
          <w:sz w:val="24"/>
          <w:szCs w:val="24"/>
          <w:lang w:val="en-US"/>
        </w:rPr>
        <w:t>aPTT</w:t>
      </w:r>
      <w:proofErr w:type="spellEnd"/>
      <w:r w:rsidRPr="006F5AE8">
        <w:rPr>
          <w:sz w:val="24"/>
          <w:szCs w:val="24"/>
          <w:lang w:val="en-US"/>
        </w:rPr>
        <w:t xml:space="preserve">), activated coagulation time (ACT) or factor </w:t>
      </w:r>
      <w:proofErr w:type="spellStart"/>
      <w:r w:rsidRPr="006F5AE8">
        <w:rPr>
          <w:sz w:val="24"/>
          <w:szCs w:val="24"/>
          <w:lang w:val="en-US"/>
        </w:rPr>
        <w:t>Xa</w:t>
      </w:r>
      <w:proofErr w:type="spellEnd"/>
      <w:r w:rsidRPr="006F5AE8">
        <w:rPr>
          <w:sz w:val="24"/>
          <w:szCs w:val="24"/>
          <w:lang w:val="en-US"/>
        </w:rPr>
        <w:t xml:space="preserve"> assays. However, due to potential pharmacodynamic interactions, caution should be exercised with the concomitant administration of ticagrelor with medicinal products known to alter </w:t>
      </w:r>
      <w:proofErr w:type="spellStart"/>
      <w:r w:rsidRPr="006F5AE8">
        <w:rPr>
          <w:sz w:val="24"/>
          <w:szCs w:val="24"/>
          <w:lang w:val="en-US"/>
        </w:rPr>
        <w:t>haemostasis</w:t>
      </w:r>
      <w:proofErr w:type="spellEnd"/>
      <w:r w:rsidRPr="006F5AE8">
        <w:rPr>
          <w:sz w:val="24"/>
          <w:szCs w:val="24"/>
          <w:lang w:val="en-US"/>
        </w:rPr>
        <w:t>.</w:t>
      </w:r>
    </w:p>
    <w:p w14:paraId="0B259388" w14:textId="77777777" w:rsidR="0074039C" w:rsidRPr="006F5AE8" w:rsidRDefault="0074039C" w:rsidP="00B4050A">
      <w:pPr>
        <w:ind w:left="851"/>
        <w:rPr>
          <w:sz w:val="24"/>
          <w:szCs w:val="24"/>
          <w:lang w:val="en-US"/>
        </w:rPr>
      </w:pPr>
    </w:p>
    <w:p w14:paraId="3B999103" w14:textId="77777777" w:rsidR="0074039C" w:rsidRPr="006F5AE8" w:rsidRDefault="0074039C" w:rsidP="00B4050A">
      <w:pPr>
        <w:ind w:left="851"/>
        <w:rPr>
          <w:sz w:val="24"/>
          <w:szCs w:val="24"/>
          <w:lang w:val="en-US"/>
        </w:rPr>
      </w:pPr>
      <w:r w:rsidRPr="006F5AE8">
        <w:rPr>
          <w:sz w:val="24"/>
          <w:szCs w:val="24"/>
          <w:lang w:val="en-US"/>
        </w:rPr>
        <w:t>Due to reports of cutaneous bleeding abnormalities with SSRIs (e.g., paroxetine, sertraline and citalopram), caution is advised when administering SSRIs with ticagrelor as this may increase the risk of bleeding.</w:t>
      </w:r>
    </w:p>
    <w:p w14:paraId="7633F169" w14:textId="77777777" w:rsidR="007C5D2A" w:rsidRPr="006F5AE8" w:rsidRDefault="007C5D2A" w:rsidP="003E0341">
      <w:pPr>
        <w:tabs>
          <w:tab w:val="left" w:pos="851"/>
        </w:tabs>
        <w:ind w:left="851"/>
        <w:rPr>
          <w:sz w:val="24"/>
          <w:szCs w:val="24"/>
          <w:lang w:val="en-GB"/>
        </w:rPr>
      </w:pPr>
    </w:p>
    <w:p w14:paraId="41C12E4C" w14:textId="77777777" w:rsidR="007C5D2A" w:rsidRPr="006F5AE8" w:rsidRDefault="007C5D2A" w:rsidP="007C5D2A">
      <w:pPr>
        <w:tabs>
          <w:tab w:val="left" w:pos="851"/>
        </w:tabs>
        <w:ind w:left="851" w:hanging="851"/>
        <w:rPr>
          <w:b/>
          <w:sz w:val="24"/>
          <w:szCs w:val="24"/>
          <w:lang w:val="en-GB"/>
        </w:rPr>
      </w:pPr>
      <w:r w:rsidRPr="006F5AE8">
        <w:rPr>
          <w:b/>
          <w:sz w:val="24"/>
          <w:szCs w:val="24"/>
          <w:lang w:val="en-GB"/>
        </w:rPr>
        <w:t>4.6</w:t>
      </w:r>
      <w:r w:rsidRPr="006F5AE8">
        <w:rPr>
          <w:b/>
          <w:sz w:val="24"/>
          <w:szCs w:val="24"/>
          <w:lang w:val="en-GB"/>
        </w:rPr>
        <w:tab/>
      </w:r>
      <w:r w:rsidR="004860D3" w:rsidRPr="006F5AE8">
        <w:rPr>
          <w:b/>
          <w:sz w:val="24"/>
          <w:szCs w:val="24"/>
          <w:lang w:val="en-GB"/>
        </w:rPr>
        <w:t>Fertility, p</w:t>
      </w:r>
      <w:r w:rsidRPr="006F5AE8">
        <w:rPr>
          <w:b/>
          <w:sz w:val="24"/>
          <w:szCs w:val="24"/>
          <w:lang w:val="en-GB"/>
        </w:rPr>
        <w:t>regnancy and lactation</w:t>
      </w:r>
    </w:p>
    <w:p w14:paraId="04065345" w14:textId="77777777" w:rsidR="006F5AE8" w:rsidRDefault="006F5AE8" w:rsidP="00B4050A">
      <w:pPr>
        <w:ind w:left="851"/>
        <w:rPr>
          <w:sz w:val="24"/>
          <w:szCs w:val="24"/>
          <w:lang w:val="en-US"/>
        </w:rPr>
      </w:pPr>
    </w:p>
    <w:p w14:paraId="1DB7D7A6" w14:textId="45771250" w:rsidR="0074039C" w:rsidRPr="006F5AE8" w:rsidRDefault="0074039C" w:rsidP="00B4050A">
      <w:pPr>
        <w:ind w:left="851"/>
        <w:rPr>
          <w:sz w:val="24"/>
          <w:szCs w:val="24"/>
          <w:u w:val="single"/>
          <w:lang w:val="en-US"/>
        </w:rPr>
      </w:pPr>
      <w:r w:rsidRPr="006F5AE8">
        <w:rPr>
          <w:sz w:val="24"/>
          <w:szCs w:val="24"/>
          <w:u w:val="single"/>
          <w:lang w:val="en-US"/>
        </w:rPr>
        <w:t>Women of childbearing potential</w:t>
      </w:r>
    </w:p>
    <w:p w14:paraId="30D8CC74" w14:textId="77777777" w:rsidR="0074039C" w:rsidRPr="006F5AE8" w:rsidRDefault="0074039C" w:rsidP="00B4050A">
      <w:pPr>
        <w:ind w:left="851"/>
        <w:rPr>
          <w:sz w:val="24"/>
          <w:szCs w:val="24"/>
          <w:lang w:val="en-US"/>
        </w:rPr>
      </w:pPr>
      <w:r w:rsidRPr="006F5AE8">
        <w:rPr>
          <w:sz w:val="24"/>
          <w:szCs w:val="24"/>
          <w:lang w:val="en-US"/>
        </w:rPr>
        <w:t>Women of childbearing potential should use appropriate contraceptive measures to avoid pregnancy during ticagrelor therapy.</w:t>
      </w:r>
    </w:p>
    <w:p w14:paraId="08284D1E" w14:textId="77777777" w:rsidR="0074039C" w:rsidRPr="006F5AE8" w:rsidRDefault="0074039C" w:rsidP="00B4050A">
      <w:pPr>
        <w:ind w:left="851"/>
        <w:rPr>
          <w:sz w:val="24"/>
          <w:szCs w:val="24"/>
          <w:lang w:val="en-US"/>
        </w:rPr>
      </w:pPr>
    </w:p>
    <w:p w14:paraId="0D233C9C" w14:textId="77777777" w:rsidR="0074039C" w:rsidRPr="006F5AE8" w:rsidRDefault="0074039C" w:rsidP="00B4050A">
      <w:pPr>
        <w:ind w:left="851"/>
        <w:rPr>
          <w:sz w:val="24"/>
          <w:szCs w:val="24"/>
          <w:u w:val="single"/>
          <w:lang w:val="en-US"/>
        </w:rPr>
      </w:pPr>
      <w:r w:rsidRPr="006F5AE8">
        <w:rPr>
          <w:sz w:val="24"/>
          <w:szCs w:val="24"/>
          <w:u w:val="single"/>
          <w:lang w:val="en-US"/>
        </w:rPr>
        <w:t>Pregnancy</w:t>
      </w:r>
    </w:p>
    <w:p w14:paraId="1BD8F5CE" w14:textId="77777777" w:rsidR="0074039C" w:rsidRPr="006F5AE8" w:rsidRDefault="0074039C" w:rsidP="00B4050A">
      <w:pPr>
        <w:ind w:left="851"/>
        <w:rPr>
          <w:sz w:val="24"/>
          <w:szCs w:val="24"/>
          <w:lang w:val="en-US"/>
        </w:rPr>
      </w:pPr>
      <w:r w:rsidRPr="006F5AE8">
        <w:rPr>
          <w:sz w:val="24"/>
          <w:szCs w:val="24"/>
          <w:lang w:val="en-US"/>
        </w:rPr>
        <w:t>There are no or limited amount of data from the use of ticagrelor in pregnant women. Studies in animals have shown reproductive toxicity (see section 5.3). Ticagrelor is not recommended during pregnancy.</w:t>
      </w:r>
    </w:p>
    <w:p w14:paraId="6D5A9E19" w14:textId="77777777" w:rsidR="0074039C" w:rsidRPr="006F5AE8" w:rsidRDefault="0074039C" w:rsidP="00B4050A">
      <w:pPr>
        <w:ind w:left="851"/>
        <w:rPr>
          <w:sz w:val="24"/>
          <w:szCs w:val="24"/>
          <w:lang w:val="en-US"/>
        </w:rPr>
      </w:pPr>
    </w:p>
    <w:p w14:paraId="4870231C" w14:textId="77777777" w:rsidR="0074039C" w:rsidRPr="006F5AE8" w:rsidRDefault="0074039C" w:rsidP="00B4050A">
      <w:pPr>
        <w:ind w:left="851"/>
        <w:rPr>
          <w:sz w:val="24"/>
          <w:szCs w:val="24"/>
          <w:u w:val="single"/>
          <w:lang w:val="en-US"/>
        </w:rPr>
      </w:pPr>
      <w:r w:rsidRPr="006F5AE8">
        <w:rPr>
          <w:sz w:val="24"/>
          <w:szCs w:val="24"/>
          <w:u w:val="single"/>
          <w:lang w:val="en-US"/>
        </w:rPr>
        <w:t>Breast-feeding</w:t>
      </w:r>
    </w:p>
    <w:p w14:paraId="10FFD718" w14:textId="77777777" w:rsidR="0074039C" w:rsidRPr="006F5AE8" w:rsidRDefault="0074039C" w:rsidP="00B4050A">
      <w:pPr>
        <w:ind w:left="851"/>
        <w:rPr>
          <w:sz w:val="24"/>
          <w:szCs w:val="24"/>
          <w:lang w:val="en-US"/>
        </w:rPr>
      </w:pPr>
      <w:r w:rsidRPr="006F5AE8">
        <w:rPr>
          <w:sz w:val="24"/>
          <w:szCs w:val="24"/>
          <w:lang w:val="en-US"/>
        </w:rPr>
        <w:t xml:space="preserve">Available pharmacodynamic/toxicological data in animals have shown excretion of ticagrelor and its active metabolites in milk (see section 5.3). A risk to newborns/infants cannot be excluded. A decision must be made whether to discontinue breast-feeding or to discontinue/abstain from ticagrelor therapy </w:t>
      </w:r>
      <w:proofErr w:type="gramStart"/>
      <w:r w:rsidRPr="006F5AE8">
        <w:rPr>
          <w:sz w:val="24"/>
          <w:szCs w:val="24"/>
          <w:lang w:val="en-US"/>
        </w:rPr>
        <w:t>taking into account</w:t>
      </w:r>
      <w:proofErr w:type="gramEnd"/>
      <w:r w:rsidRPr="006F5AE8">
        <w:rPr>
          <w:sz w:val="24"/>
          <w:szCs w:val="24"/>
          <w:lang w:val="en-US"/>
        </w:rPr>
        <w:t xml:space="preserve"> the benefit of breast-feeding for the child and the benefit of therapy for the woman.</w:t>
      </w:r>
    </w:p>
    <w:p w14:paraId="41EB791A" w14:textId="77777777" w:rsidR="0074039C" w:rsidRPr="006F5AE8" w:rsidRDefault="0074039C" w:rsidP="00B4050A">
      <w:pPr>
        <w:ind w:left="851"/>
        <w:rPr>
          <w:sz w:val="24"/>
          <w:szCs w:val="24"/>
          <w:lang w:val="en-US"/>
        </w:rPr>
      </w:pPr>
    </w:p>
    <w:p w14:paraId="0191BBEE" w14:textId="77777777" w:rsidR="0074039C" w:rsidRPr="006F5AE8" w:rsidRDefault="0074039C" w:rsidP="00B4050A">
      <w:pPr>
        <w:ind w:left="851"/>
        <w:rPr>
          <w:sz w:val="24"/>
          <w:szCs w:val="24"/>
          <w:u w:val="single"/>
          <w:lang w:val="en-US"/>
        </w:rPr>
      </w:pPr>
      <w:r w:rsidRPr="006F5AE8">
        <w:rPr>
          <w:sz w:val="24"/>
          <w:szCs w:val="24"/>
          <w:u w:val="single"/>
          <w:lang w:val="en-US"/>
        </w:rPr>
        <w:t>Fertility</w:t>
      </w:r>
    </w:p>
    <w:p w14:paraId="4EE35900" w14:textId="77777777" w:rsidR="0074039C" w:rsidRPr="006F5AE8" w:rsidRDefault="0074039C" w:rsidP="00B4050A">
      <w:pPr>
        <w:ind w:left="851"/>
        <w:rPr>
          <w:sz w:val="24"/>
          <w:szCs w:val="24"/>
          <w:lang w:val="en-US"/>
        </w:rPr>
      </w:pPr>
      <w:r w:rsidRPr="006F5AE8">
        <w:rPr>
          <w:sz w:val="24"/>
          <w:szCs w:val="24"/>
          <w:lang w:val="en-US"/>
        </w:rPr>
        <w:t>Ticagrelor had no effect on male or female fertility in animals (see section 5.3).</w:t>
      </w:r>
    </w:p>
    <w:p w14:paraId="1EDF45F8" w14:textId="77777777" w:rsidR="007C5D2A" w:rsidRPr="006F5AE8" w:rsidRDefault="007C5D2A" w:rsidP="003E0341">
      <w:pPr>
        <w:tabs>
          <w:tab w:val="left" w:pos="851"/>
        </w:tabs>
        <w:ind w:left="851"/>
        <w:rPr>
          <w:sz w:val="24"/>
          <w:szCs w:val="24"/>
          <w:lang w:val="en-GB"/>
        </w:rPr>
      </w:pPr>
    </w:p>
    <w:p w14:paraId="768BECEB" w14:textId="77777777" w:rsidR="007C5D2A" w:rsidRPr="006F5AE8" w:rsidRDefault="007C5D2A" w:rsidP="007C5D2A">
      <w:pPr>
        <w:tabs>
          <w:tab w:val="left" w:pos="851"/>
        </w:tabs>
        <w:ind w:left="851" w:hanging="851"/>
        <w:rPr>
          <w:b/>
          <w:sz w:val="24"/>
          <w:szCs w:val="24"/>
          <w:lang w:val="en-GB"/>
        </w:rPr>
      </w:pPr>
      <w:r w:rsidRPr="006F5AE8">
        <w:rPr>
          <w:b/>
          <w:sz w:val="24"/>
          <w:szCs w:val="24"/>
          <w:lang w:val="en-GB"/>
        </w:rPr>
        <w:t>4.7</w:t>
      </w:r>
      <w:r w:rsidRPr="006F5AE8">
        <w:rPr>
          <w:b/>
          <w:sz w:val="24"/>
          <w:szCs w:val="24"/>
          <w:lang w:val="en-GB"/>
        </w:rPr>
        <w:tab/>
        <w:t>Effects on ability to drive and use machines</w:t>
      </w:r>
    </w:p>
    <w:p w14:paraId="0B3E4D2C" w14:textId="77777777" w:rsidR="00257C8C" w:rsidRDefault="00257C8C" w:rsidP="00B4050A">
      <w:pPr>
        <w:ind w:left="851"/>
        <w:rPr>
          <w:sz w:val="24"/>
          <w:szCs w:val="24"/>
          <w:lang w:val="en-US"/>
        </w:rPr>
      </w:pPr>
      <w:r>
        <w:rPr>
          <w:sz w:val="24"/>
          <w:szCs w:val="24"/>
          <w:lang w:val="en-US"/>
        </w:rPr>
        <w:t>No traffic warning.</w:t>
      </w:r>
    </w:p>
    <w:p w14:paraId="0F1B768B" w14:textId="1645B505" w:rsidR="0074039C" w:rsidRPr="006F5AE8" w:rsidRDefault="0074039C" w:rsidP="00B4050A">
      <w:pPr>
        <w:ind w:left="851"/>
        <w:rPr>
          <w:sz w:val="24"/>
          <w:szCs w:val="24"/>
          <w:lang w:val="en-US"/>
        </w:rPr>
      </w:pPr>
      <w:r w:rsidRPr="006F5AE8">
        <w:rPr>
          <w:sz w:val="24"/>
          <w:szCs w:val="24"/>
          <w:lang w:val="en-US"/>
        </w:rPr>
        <w:t>Ticagrelor has no or negligible influence on the ability to drive and use machines. During treatment with ticagrelor, dizziness and confusion have been reported. Therefore, patients who experience these symptoms should be cautious while driving or using machines.</w:t>
      </w:r>
    </w:p>
    <w:p w14:paraId="17B58DEA" w14:textId="77777777" w:rsidR="007C5D2A" w:rsidRPr="006F5AE8" w:rsidRDefault="007C5D2A" w:rsidP="003E0341">
      <w:pPr>
        <w:tabs>
          <w:tab w:val="left" w:pos="851"/>
        </w:tabs>
        <w:ind w:left="851"/>
        <w:rPr>
          <w:sz w:val="24"/>
          <w:szCs w:val="24"/>
          <w:lang w:val="en-GB"/>
        </w:rPr>
      </w:pPr>
    </w:p>
    <w:p w14:paraId="2B121011" w14:textId="77777777" w:rsidR="007C5D2A" w:rsidRPr="006F5AE8" w:rsidRDefault="007C5D2A" w:rsidP="007C5D2A">
      <w:pPr>
        <w:tabs>
          <w:tab w:val="left" w:pos="851"/>
        </w:tabs>
        <w:ind w:left="851" w:hanging="851"/>
        <w:rPr>
          <w:b/>
          <w:sz w:val="24"/>
          <w:szCs w:val="24"/>
          <w:lang w:val="en-GB"/>
        </w:rPr>
      </w:pPr>
      <w:r w:rsidRPr="006F5AE8">
        <w:rPr>
          <w:b/>
          <w:sz w:val="24"/>
          <w:szCs w:val="24"/>
          <w:lang w:val="en-GB"/>
        </w:rPr>
        <w:t>4.8</w:t>
      </w:r>
      <w:r w:rsidRPr="006F5AE8">
        <w:rPr>
          <w:b/>
          <w:sz w:val="24"/>
          <w:szCs w:val="24"/>
          <w:lang w:val="en-GB"/>
        </w:rPr>
        <w:tab/>
        <w:t>Undesirable effects</w:t>
      </w:r>
    </w:p>
    <w:p w14:paraId="148D4E77" w14:textId="77777777" w:rsidR="00257C8C" w:rsidRDefault="00257C8C" w:rsidP="00B4050A">
      <w:pPr>
        <w:ind w:left="851"/>
        <w:rPr>
          <w:sz w:val="24"/>
          <w:szCs w:val="24"/>
          <w:u w:val="single"/>
          <w:lang w:val="en-US"/>
        </w:rPr>
      </w:pPr>
    </w:p>
    <w:p w14:paraId="582FFA1C" w14:textId="702347FB" w:rsidR="0074039C" w:rsidRPr="006F5AE8" w:rsidRDefault="0074039C" w:rsidP="00B4050A">
      <w:pPr>
        <w:ind w:left="851"/>
        <w:rPr>
          <w:sz w:val="24"/>
          <w:szCs w:val="24"/>
          <w:u w:val="single"/>
          <w:lang w:val="en-US"/>
        </w:rPr>
      </w:pPr>
      <w:r w:rsidRPr="006F5AE8">
        <w:rPr>
          <w:sz w:val="24"/>
          <w:szCs w:val="24"/>
          <w:u w:val="single"/>
          <w:lang w:val="en-US"/>
        </w:rPr>
        <w:t>Summary of the safety profile</w:t>
      </w:r>
    </w:p>
    <w:p w14:paraId="439ADE03" w14:textId="77777777" w:rsidR="0074039C" w:rsidRPr="006F5AE8" w:rsidRDefault="0074039C" w:rsidP="00B4050A">
      <w:pPr>
        <w:ind w:left="851"/>
        <w:rPr>
          <w:sz w:val="24"/>
          <w:szCs w:val="24"/>
          <w:lang w:val="en-US"/>
        </w:rPr>
      </w:pPr>
      <w:r w:rsidRPr="006F5AE8">
        <w:rPr>
          <w:sz w:val="24"/>
          <w:szCs w:val="24"/>
          <w:lang w:val="en-US"/>
        </w:rPr>
        <w:t>The safety profile of ticagrelor has been evaluated in two large phase 3 outcome trials (PLATO and PEGASUS) including more than 39,000 patients (see section 5.1).</w:t>
      </w:r>
    </w:p>
    <w:p w14:paraId="2743EAC3" w14:textId="77777777" w:rsidR="0074039C" w:rsidRPr="006F5AE8" w:rsidRDefault="0074039C" w:rsidP="00B4050A">
      <w:pPr>
        <w:ind w:left="851"/>
        <w:rPr>
          <w:sz w:val="24"/>
          <w:szCs w:val="24"/>
          <w:lang w:val="en-US"/>
        </w:rPr>
      </w:pPr>
    </w:p>
    <w:p w14:paraId="7392143A" w14:textId="77777777" w:rsidR="0074039C" w:rsidRPr="006F5AE8" w:rsidRDefault="0074039C" w:rsidP="00B4050A">
      <w:pPr>
        <w:ind w:left="851"/>
        <w:rPr>
          <w:sz w:val="24"/>
          <w:szCs w:val="24"/>
          <w:lang w:val="en-US"/>
        </w:rPr>
      </w:pPr>
      <w:r w:rsidRPr="006F5AE8">
        <w:rPr>
          <w:sz w:val="24"/>
          <w:szCs w:val="24"/>
          <w:lang w:val="en-US"/>
        </w:rPr>
        <w:t xml:space="preserve">In PLATO, patients on ticagrelor had a higher incidence of discontinuation due to adverse events than clopidogrel (7.4% vs. 5.4%). In PEGASUS, patients on ticagrelor had a higher incidence of discontinuation due to adverse events compared to ASA therapy alone (16.1% for ticagrelor 60 mg with ASA vs. 8.5% for ASA therapy alone). The most commonly reported adverse reactions in patients treated with ticagrelor were bleeding and </w:t>
      </w:r>
      <w:proofErr w:type="spellStart"/>
      <w:r w:rsidRPr="006F5AE8">
        <w:rPr>
          <w:sz w:val="24"/>
          <w:szCs w:val="24"/>
          <w:lang w:val="en-US"/>
        </w:rPr>
        <w:t>dyspnoea</w:t>
      </w:r>
      <w:proofErr w:type="spellEnd"/>
      <w:r w:rsidRPr="006F5AE8">
        <w:rPr>
          <w:sz w:val="24"/>
          <w:szCs w:val="24"/>
          <w:lang w:val="en-US"/>
        </w:rPr>
        <w:t xml:space="preserve"> (see section 4.4).</w:t>
      </w:r>
    </w:p>
    <w:p w14:paraId="461EE9A9" w14:textId="77777777" w:rsidR="0074039C" w:rsidRPr="006F5AE8" w:rsidRDefault="0074039C" w:rsidP="00B4050A">
      <w:pPr>
        <w:ind w:left="851"/>
        <w:rPr>
          <w:sz w:val="24"/>
          <w:szCs w:val="24"/>
          <w:lang w:val="en-US"/>
        </w:rPr>
      </w:pPr>
    </w:p>
    <w:p w14:paraId="2AF6C426" w14:textId="77777777" w:rsidR="0074039C" w:rsidRPr="006F5AE8" w:rsidRDefault="0074039C" w:rsidP="00B4050A">
      <w:pPr>
        <w:ind w:left="851"/>
        <w:rPr>
          <w:sz w:val="24"/>
          <w:szCs w:val="24"/>
          <w:u w:val="single"/>
          <w:lang w:val="en-US"/>
        </w:rPr>
      </w:pPr>
      <w:r w:rsidRPr="006F5AE8">
        <w:rPr>
          <w:sz w:val="24"/>
          <w:szCs w:val="24"/>
          <w:u w:val="single"/>
          <w:lang w:val="en-US"/>
        </w:rPr>
        <w:t>Tabulated list of adverse reactions</w:t>
      </w:r>
    </w:p>
    <w:p w14:paraId="57CFB1C8" w14:textId="77777777" w:rsidR="0074039C" w:rsidRPr="006F5AE8" w:rsidRDefault="0074039C" w:rsidP="00B4050A">
      <w:pPr>
        <w:ind w:left="851"/>
        <w:rPr>
          <w:sz w:val="24"/>
          <w:szCs w:val="24"/>
          <w:lang w:val="en-US"/>
        </w:rPr>
      </w:pPr>
      <w:r w:rsidRPr="006F5AE8">
        <w:rPr>
          <w:sz w:val="24"/>
          <w:szCs w:val="24"/>
          <w:lang w:val="en-US"/>
        </w:rPr>
        <w:t>The following adverse reactions have been identified following studies or have been reported in post-marketing experience with ticagrelor (Table 1).</w:t>
      </w:r>
    </w:p>
    <w:p w14:paraId="55E4268A" w14:textId="77777777" w:rsidR="0074039C" w:rsidRPr="006F5AE8" w:rsidRDefault="0074039C" w:rsidP="00B4050A">
      <w:pPr>
        <w:ind w:left="851"/>
        <w:rPr>
          <w:sz w:val="24"/>
          <w:szCs w:val="24"/>
          <w:lang w:val="en-US"/>
        </w:rPr>
      </w:pPr>
    </w:p>
    <w:p w14:paraId="2CA750A7" w14:textId="77777777" w:rsidR="0074039C" w:rsidRPr="006F5AE8" w:rsidRDefault="0074039C" w:rsidP="00B4050A">
      <w:pPr>
        <w:ind w:left="851"/>
        <w:rPr>
          <w:sz w:val="24"/>
          <w:szCs w:val="24"/>
          <w:lang w:val="en-US"/>
        </w:rPr>
      </w:pPr>
      <w:r w:rsidRPr="006F5AE8">
        <w:rPr>
          <w:sz w:val="24"/>
          <w:szCs w:val="24"/>
          <w:lang w:val="en-US"/>
        </w:rPr>
        <w:t>Adverse reactions are listed by MedDRA System Organ Class (SOC). Within each SOC the adverse reactions are ranked by frequency category. Frequency categories are defined according to the following conventions: Very common (≥1/10), common (≥1/100 to &lt;1/10), uncommon (≥1/1 000 to &lt;1/100), rare (≥1/10 000 to &lt;1/1 000), very rare (&lt;1/10 000), not known (cannot be estimated from the available data).</w:t>
      </w:r>
    </w:p>
    <w:p w14:paraId="29CDEC50" w14:textId="77777777" w:rsidR="0074039C" w:rsidRPr="006F5AE8" w:rsidRDefault="0074039C" w:rsidP="00B4050A">
      <w:pPr>
        <w:ind w:left="851"/>
        <w:rPr>
          <w:sz w:val="24"/>
          <w:szCs w:val="24"/>
          <w:lang w:val="en-US"/>
        </w:rPr>
      </w:pPr>
    </w:p>
    <w:p w14:paraId="5BEF8424" w14:textId="77777777" w:rsidR="0074039C" w:rsidRPr="006F5AE8" w:rsidRDefault="0074039C" w:rsidP="0074039C">
      <w:pPr>
        <w:rPr>
          <w:i/>
          <w:iCs/>
          <w:sz w:val="24"/>
          <w:szCs w:val="24"/>
          <w:u w:val="single"/>
          <w:lang w:val="en-US"/>
        </w:rPr>
      </w:pPr>
      <w:r w:rsidRPr="006F5AE8">
        <w:rPr>
          <w:i/>
          <w:iCs/>
          <w:sz w:val="24"/>
          <w:szCs w:val="24"/>
          <w:u w:val="single"/>
          <w:lang w:val="en-US"/>
        </w:rPr>
        <w:t>Table 1 – Adverse reactions by frequency and system organ class (SOC)</w:t>
      </w:r>
    </w:p>
    <w:p w14:paraId="0EAD3312" w14:textId="77777777" w:rsidR="0074039C" w:rsidRPr="006F5AE8" w:rsidRDefault="0074039C" w:rsidP="0074039C">
      <w:pPr>
        <w:rPr>
          <w:sz w:val="24"/>
          <w:szCs w:val="24"/>
          <w:lang w:val="en-US"/>
        </w:rPr>
      </w:pPr>
    </w:p>
    <w:tbl>
      <w:tblPr>
        <w:tblStyle w:val="Tabel-Gitter"/>
        <w:tblW w:w="5000" w:type="pct"/>
        <w:tblInd w:w="0" w:type="dxa"/>
        <w:tblLook w:val="04A0" w:firstRow="1" w:lastRow="0" w:firstColumn="1" w:lastColumn="0" w:noHBand="0" w:noVBand="1"/>
      </w:tblPr>
      <w:tblGrid>
        <w:gridCol w:w="1889"/>
        <w:gridCol w:w="1895"/>
        <w:gridCol w:w="1881"/>
        <w:gridCol w:w="1891"/>
        <w:gridCol w:w="2072"/>
      </w:tblGrid>
      <w:tr w:rsidR="0074039C" w:rsidRPr="006F5AE8" w14:paraId="025F5161" w14:textId="77777777" w:rsidTr="00B4050A">
        <w:trPr>
          <w:tblHeader/>
        </w:trPr>
        <w:tc>
          <w:tcPr>
            <w:tcW w:w="981" w:type="pct"/>
            <w:tcBorders>
              <w:top w:val="single" w:sz="4" w:space="0" w:color="auto"/>
              <w:left w:val="single" w:sz="4" w:space="0" w:color="auto"/>
              <w:bottom w:val="single" w:sz="4" w:space="0" w:color="auto"/>
              <w:right w:val="single" w:sz="4" w:space="0" w:color="auto"/>
            </w:tcBorders>
            <w:hideMark/>
          </w:tcPr>
          <w:p w14:paraId="258CF2C9" w14:textId="77777777" w:rsidR="0074039C" w:rsidRPr="006F5AE8" w:rsidRDefault="0074039C">
            <w:pPr>
              <w:rPr>
                <w:i/>
                <w:iCs/>
                <w:sz w:val="24"/>
                <w:szCs w:val="24"/>
              </w:rPr>
            </w:pPr>
            <w:r w:rsidRPr="006F5AE8">
              <w:rPr>
                <w:i/>
                <w:iCs/>
                <w:sz w:val="24"/>
                <w:szCs w:val="24"/>
              </w:rPr>
              <w:t>SOC</w:t>
            </w:r>
          </w:p>
        </w:tc>
        <w:tc>
          <w:tcPr>
            <w:tcW w:w="984" w:type="pct"/>
            <w:tcBorders>
              <w:top w:val="single" w:sz="4" w:space="0" w:color="auto"/>
              <w:left w:val="single" w:sz="4" w:space="0" w:color="auto"/>
              <w:bottom w:val="single" w:sz="4" w:space="0" w:color="auto"/>
              <w:right w:val="single" w:sz="4" w:space="0" w:color="auto"/>
            </w:tcBorders>
            <w:hideMark/>
          </w:tcPr>
          <w:p w14:paraId="2B4ADA2B" w14:textId="77777777" w:rsidR="0074039C" w:rsidRPr="006F5AE8" w:rsidRDefault="0074039C">
            <w:pPr>
              <w:rPr>
                <w:i/>
                <w:iCs/>
                <w:sz w:val="24"/>
                <w:szCs w:val="24"/>
              </w:rPr>
            </w:pPr>
            <w:r w:rsidRPr="006F5AE8">
              <w:rPr>
                <w:i/>
                <w:iCs/>
                <w:sz w:val="24"/>
                <w:szCs w:val="24"/>
              </w:rPr>
              <w:t>Very common</w:t>
            </w:r>
          </w:p>
        </w:tc>
        <w:tc>
          <w:tcPr>
            <w:tcW w:w="977" w:type="pct"/>
            <w:tcBorders>
              <w:top w:val="single" w:sz="4" w:space="0" w:color="auto"/>
              <w:left w:val="single" w:sz="4" w:space="0" w:color="auto"/>
              <w:bottom w:val="single" w:sz="4" w:space="0" w:color="auto"/>
              <w:right w:val="single" w:sz="4" w:space="0" w:color="auto"/>
            </w:tcBorders>
            <w:hideMark/>
          </w:tcPr>
          <w:p w14:paraId="71A07298" w14:textId="77777777" w:rsidR="0074039C" w:rsidRPr="006F5AE8" w:rsidRDefault="0074039C">
            <w:pPr>
              <w:rPr>
                <w:i/>
                <w:iCs/>
                <w:sz w:val="24"/>
                <w:szCs w:val="24"/>
              </w:rPr>
            </w:pPr>
            <w:r w:rsidRPr="006F5AE8">
              <w:rPr>
                <w:i/>
                <w:iCs/>
                <w:sz w:val="24"/>
                <w:szCs w:val="24"/>
              </w:rPr>
              <w:t>Common</w:t>
            </w:r>
          </w:p>
        </w:tc>
        <w:tc>
          <w:tcPr>
            <w:tcW w:w="982" w:type="pct"/>
            <w:tcBorders>
              <w:top w:val="single" w:sz="4" w:space="0" w:color="auto"/>
              <w:left w:val="single" w:sz="4" w:space="0" w:color="auto"/>
              <w:bottom w:val="single" w:sz="4" w:space="0" w:color="auto"/>
              <w:right w:val="single" w:sz="4" w:space="0" w:color="auto"/>
            </w:tcBorders>
            <w:hideMark/>
          </w:tcPr>
          <w:p w14:paraId="33591C4B" w14:textId="77777777" w:rsidR="0074039C" w:rsidRPr="006F5AE8" w:rsidRDefault="0074039C">
            <w:pPr>
              <w:rPr>
                <w:i/>
                <w:iCs/>
                <w:sz w:val="24"/>
                <w:szCs w:val="24"/>
              </w:rPr>
            </w:pPr>
            <w:r w:rsidRPr="006F5AE8">
              <w:rPr>
                <w:i/>
                <w:iCs/>
                <w:sz w:val="24"/>
                <w:szCs w:val="24"/>
              </w:rPr>
              <w:t>Uncommon</w:t>
            </w:r>
          </w:p>
        </w:tc>
        <w:tc>
          <w:tcPr>
            <w:tcW w:w="1076" w:type="pct"/>
            <w:tcBorders>
              <w:top w:val="single" w:sz="4" w:space="0" w:color="auto"/>
              <w:left w:val="single" w:sz="4" w:space="0" w:color="auto"/>
              <w:bottom w:val="single" w:sz="4" w:space="0" w:color="auto"/>
              <w:right w:val="single" w:sz="4" w:space="0" w:color="auto"/>
            </w:tcBorders>
            <w:hideMark/>
          </w:tcPr>
          <w:p w14:paraId="7C9F3273" w14:textId="77777777" w:rsidR="0074039C" w:rsidRPr="006F5AE8" w:rsidRDefault="0074039C">
            <w:pPr>
              <w:rPr>
                <w:i/>
                <w:iCs/>
                <w:sz w:val="24"/>
                <w:szCs w:val="24"/>
              </w:rPr>
            </w:pPr>
            <w:r w:rsidRPr="006F5AE8">
              <w:rPr>
                <w:i/>
                <w:iCs/>
                <w:sz w:val="24"/>
                <w:szCs w:val="24"/>
              </w:rPr>
              <w:t>Not known</w:t>
            </w:r>
          </w:p>
        </w:tc>
      </w:tr>
      <w:tr w:rsidR="0074039C" w:rsidRPr="006F5AE8" w14:paraId="26A0B188" w14:textId="77777777" w:rsidTr="00B4050A">
        <w:tc>
          <w:tcPr>
            <w:tcW w:w="981" w:type="pct"/>
            <w:tcBorders>
              <w:top w:val="single" w:sz="4" w:space="0" w:color="auto"/>
              <w:left w:val="single" w:sz="4" w:space="0" w:color="auto"/>
              <w:bottom w:val="single" w:sz="4" w:space="0" w:color="auto"/>
              <w:right w:val="single" w:sz="4" w:space="0" w:color="auto"/>
            </w:tcBorders>
            <w:hideMark/>
          </w:tcPr>
          <w:p w14:paraId="1DC1A36C" w14:textId="77777777" w:rsidR="0074039C" w:rsidRPr="006F5AE8" w:rsidRDefault="0074039C">
            <w:pPr>
              <w:rPr>
                <w:sz w:val="24"/>
                <w:szCs w:val="24"/>
              </w:rPr>
            </w:pPr>
            <w:r w:rsidRPr="006F5AE8">
              <w:rPr>
                <w:sz w:val="24"/>
                <w:szCs w:val="24"/>
              </w:rPr>
              <w:t>Neoplasms benign, malignant and unspecified (including cysts and polyps)</w:t>
            </w:r>
          </w:p>
        </w:tc>
        <w:tc>
          <w:tcPr>
            <w:tcW w:w="984" w:type="pct"/>
            <w:tcBorders>
              <w:top w:val="single" w:sz="4" w:space="0" w:color="auto"/>
              <w:left w:val="single" w:sz="4" w:space="0" w:color="auto"/>
              <w:bottom w:val="single" w:sz="4" w:space="0" w:color="auto"/>
              <w:right w:val="single" w:sz="4" w:space="0" w:color="auto"/>
            </w:tcBorders>
          </w:tcPr>
          <w:p w14:paraId="28A72E05" w14:textId="77777777" w:rsidR="0074039C" w:rsidRPr="006F5AE8" w:rsidRDefault="0074039C">
            <w:pPr>
              <w:rPr>
                <w:sz w:val="24"/>
                <w:szCs w:val="24"/>
              </w:rPr>
            </w:pPr>
          </w:p>
        </w:tc>
        <w:tc>
          <w:tcPr>
            <w:tcW w:w="977" w:type="pct"/>
            <w:tcBorders>
              <w:top w:val="single" w:sz="4" w:space="0" w:color="auto"/>
              <w:left w:val="single" w:sz="4" w:space="0" w:color="auto"/>
              <w:bottom w:val="single" w:sz="4" w:space="0" w:color="auto"/>
              <w:right w:val="single" w:sz="4" w:space="0" w:color="auto"/>
            </w:tcBorders>
          </w:tcPr>
          <w:p w14:paraId="309D40BF" w14:textId="77777777" w:rsidR="0074039C" w:rsidRPr="006F5AE8" w:rsidRDefault="0074039C">
            <w:pPr>
              <w:rPr>
                <w:sz w:val="24"/>
                <w:szCs w:val="24"/>
              </w:rPr>
            </w:pPr>
          </w:p>
        </w:tc>
        <w:tc>
          <w:tcPr>
            <w:tcW w:w="982" w:type="pct"/>
            <w:tcBorders>
              <w:top w:val="single" w:sz="4" w:space="0" w:color="auto"/>
              <w:left w:val="single" w:sz="4" w:space="0" w:color="auto"/>
              <w:bottom w:val="single" w:sz="4" w:space="0" w:color="auto"/>
              <w:right w:val="single" w:sz="4" w:space="0" w:color="auto"/>
            </w:tcBorders>
            <w:hideMark/>
          </w:tcPr>
          <w:p w14:paraId="1BC9AB71" w14:textId="77777777" w:rsidR="0074039C" w:rsidRPr="006F5AE8" w:rsidRDefault="0074039C">
            <w:pPr>
              <w:rPr>
                <w:sz w:val="24"/>
                <w:szCs w:val="24"/>
              </w:rPr>
            </w:pPr>
            <w:r w:rsidRPr="006F5AE8">
              <w:rPr>
                <w:sz w:val="24"/>
                <w:szCs w:val="24"/>
              </w:rPr>
              <w:t xml:space="preserve">Tumour </w:t>
            </w:r>
            <w:proofErr w:type="spellStart"/>
            <w:r w:rsidRPr="006F5AE8">
              <w:rPr>
                <w:sz w:val="24"/>
                <w:szCs w:val="24"/>
              </w:rPr>
              <w:t>bleedings</w:t>
            </w:r>
            <w:r w:rsidRPr="006F5AE8">
              <w:rPr>
                <w:sz w:val="24"/>
                <w:szCs w:val="24"/>
                <w:vertAlign w:val="superscript"/>
              </w:rPr>
              <w:t>a</w:t>
            </w:r>
            <w:proofErr w:type="spellEnd"/>
          </w:p>
        </w:tc>
        <w:tc>
          <w:tcPr>
            <w:tcW w:w="1076" w:type="pct"/>
            <w:tcBorders>
              <w:top w:val="single" w:sz="4" w:space="0" w:color="auto"/>
              <w:left w:val="single" w:sz="4" w:space="0" w:color="auto"/>
              <w:bottom w:val="single" w:sz="4" w:space="0" w:color="auto"/>
              <w:right w:val="single" w:sz="4" w:space="0" w:color="auto"/>
            </w:tcBorders>
          </w:tcPr>
          <w:p w14:paraId="22C2CF8A" w14:textId="77777777" w:rsidR="0074039C" w:rsidRPr="006F5AE8" w:rsidRDefault="0074039C">
            <w:pPr>
              <w:rPr>
                <w:sz w:val="24"/>
                <w:szCs w:val="24"/>
              </w:rPr>
            </w:pPr>
          </w:p>
        </w:tc>
      </w:tr>
      <w:tr w:rsidR="0074039C" w:rsidRPr="006F5AE8" w14:paraId="07E2574F" w14:textId="77777777" w:rsidTr="00B4050A">
        <w:tc>
          <w:tcPr>
            <w:tcW w:w="981" w:type="pct"/>
            <w:tcBorders>
              <w:top w:val="single" w:sz="4" w:space="0" w:color="auto"/>
              <w:left w:val="single" w:sz="4" w:space="0" w:color="auto"/>
              <w:bottom w:val="single" w:sz="4" w:space="0" w:color="auto"/>
              <w:right w:val="single" w:sz="4" w:space="0" w:color="auto"/>
            </w:tcBorders>
            <w:hideMark/>
          </w:tcPr>
          <w:p w14:paraId="7DC7846C" w14:textId="77777777" w:rsidR="0074039C" w:rsidRPr="006F5AE8" w:rsidRDefault="0074039C">
            <w:pPr>
              <w:rPr>
                <w:sz w:val="24"/>
                <w:szCs w:val="24"/>
              </w:rPr>
            </w:pPr>
            <w:r w:rsidRPr="006F5AE8">
              <w:rPr>
                <w:sz w:val="24"/>
                <w:szCs w:val="24"/>
              </w:rPr>
              <w:t>Blood and lymphatic system disorders</w:t>
            </w:r>
          </w:p>
        </w:tc>
        <w:tc>
          <w:tcPr>
            <w:tcW w:w="984" w:type="pct"/>
            <w:tcBorders>
              <w:top w:val="single" w:sz="4" w:space="0" w:color="auto"/>
              <w:left w:val="single" w:sz="4" w:space="0" w:color="auto"/>
              <w:bottom w:val="single" w:sz="4" w:space="0" w:color="auto"/>
              <w:right w:val="single" w:sz="4" w:space="0" w:color="auto"/>
            </w:tcBorders>
            <w:hideMark/>
          </w:tcPr>
          <w:p w14:paraId="6A301127" w14:textId="77777777" w:rsidR="0074039C" w:rsidRPr="006F5AE8" w:rsidRDefault="0074039C">
            <w:pPr>
              <w:rPr>
                <w:sz w:val="24"/>
                <w:szCs w:val="24"/>
              </w:rPr>
            </w:pPr>
            <w:r w:rsidRPr="006F5AE8">
              <w:rPr>
                <w:sz w:val="24"/>
                <w:szCs w:val="24"/>
              </w:rPr>
              <w:t xml:space="preserve">Blood disorder </w:t>
            </w:r>
            <w:proofErr w:type="spellStart"/>
            <w:r w:rsidRPr="006F5AE8">
              <w:rPr>
                <w:sz w:val="24"/>
                <w:szCs w:val="24"/>
              </w:rPr>
              <w:t>bleedings</w:t>
            </w:r>
            <w:r w:rsidRPr="006F5AE8">
              <w:rPr>
                <w:sz w:val="24"/>
                <w:szCs w:val="24"/>
                <w:vertAlign w:val="superscript"/>
              </w:rPr>
              <w:t>b</w:t>
            </w:r>
            <w:proofErr w:type="spellEnd"/>
          </w:p>
        </w:tc>
        <w:tc>
          <w:tcPr>
            <w:tcW w:w="977" w:type="pct"/>
            <w:tcBorders>
              <w:top w:val="single" w:sz="4" w:space="0" w:color="auto"/>
              <w:left w:val="single" w:sz="4" w:space="0" w:color="auto"/>
              <w:bottom w:val="single" w:sz="4" w:space="0" w:color="auto"/>
              <w:right w:val="single" w:sz="4" w:space="0" w:color="auto"/>
            </w:tcBorders>
          </w:tcPr>
          <w:p w14:paraId="510EF0FD" w14:textId="77777777" w:rsidR="0074039C" w:rsidRPr="006F5AE8" w:rsidRDefault="0074039C">
            <w:pPr>
              <w:rPr>
                <w:sz w:val="24"/>
                <w:szCs w:val="24"/>
              </w:rPr>
            </w:pPr>
          </w:p>
        </w:tc>
        <w:tc>
          <w:tcPr>
            <w:tcW w:w="982" w:type="pct"/>
            <w:tcBorders>
              <w:top w:val="single" w:sz="4" w:space="0" w:color="auto"/>
              <w:left w:val="single" w:sz="4" w:space="0" w:color="auto"/>
              <w:bottom w:val="single" w:sz="4" w:space="0" w:color="auto"/>
              <w:right w:val="single" w:sz="4" w:space="0" w:color="auto"/>
            </w:tcBorders>
          </w:tcPr>
          <w:p w14:paraId="4540025C" w14:textId="77777777" w:rsidR="0074039C" w:rsidRPr="006F5AE8" w:rsidRDefault="0074039C">
            <w:pPr>
              <w:rPr>
                <w:sz w:val="24"/>
                <w:szCs w:val="24"/>
              </w:rPr>
            </w:pPr>
          </w:p>
        </w:tc>
        <w:tc>
          <w:tcPr>
            <w:tcW w:w="1076" w:type="pct"/>
            <w:tcBorders>
              <w:top w:val="single" w:sz="4" w:space="0" w:color="auto"/>
              <w:left w:val="single" w:sz="4" w:space="0" w:color="auto"/>
              <w:bottom w:val="single" w:sz="4" w:space="0" w:color="auto"/>
              <w:right w:val="single" w:sz="4" w:space="0" w:color="auto"/>
            </w:tcBorders>
            <w:hideMark/>
          </w:tcPr>
          <w:p w14:paraId="43A76534" w14:textId="77777777" w:rsidR="0074039C" w:rsidRPr="006F5AE8" w:rsidRDefault="0074039C">
            <w:pPr>
              <w:rPr>
                <w:sz w:val="24"/>
                <w:szCs w:val="24"/>
              </w:rPr>
            </w:pPr>
            <w:r w:rsidRPr="006F5AE8">
              <w:rPr>
                <w:sz w:val="24"/>
                <w:szCs w:val="24"/>
              </w:rPr>
              <w:t xml:space="preserve">Thrombotic Thrombocytopenic </w:t>
            </w:r>
            <w:proofErr w:type="spellStart"/>
            <w:r w:rsidRPr="006F5AE8">
              <w:rPr>
                <w:sz w:val="24"/>
                <w:szCs w:val="24"/>
              </w:rPr>
              <w:t>Purpura</w:t>
            </w:r>
            <w:r w:rsidRPr="006F5AE8">
              <w:rPr>
                <w:sz w:val="24"/>
                <w:szCs w:val="24"/>
                <w:vertAlign w:val="superscript"/>
              </w:rPr>
              <w:t>c</w:t>
            </w:r>
            <w:proofErr w:type="spellEnd"/>
          </w:p>
        </w:tc>
      </w:tr>
      <w:tr w:rsidR="0074039C" w:rsidRPr="006F5AE8" w14:paraId="7D7031C0" w14:textId="77777777" w:rsidTr="00B4050A">
        <w:tc>
          <w:tcPr>
            <w:tcW w:w="981" w:type="pct"/>
            <w:tcBorders>
              <w:top w:val="single" w:sz="4" w:space="0" w:color="auto"/>
              <w:left w:val="single" w:sz="4" w:space="0" w:color="auto"/>
              <w:bottom w:val="single" w:sz="4" w:space="0" w:color="auto"/>
              <w:right w:val="single" w:sz="4" w:space="0" w:color="auto"/>
            </w:tcBorders>
            <w:hideMark/>
          </w:tcPr>
          <w:p w14:paraId="113C15E5" w14:textId="77777777" w:rsidR="0074039C" w:rsidRPr="006F5AE8" w:rsidRDefault="0074039C">
            <w:pPr>
              <w:rPr>
                <w:sz w:val="24"/>
                <w:szCs w:val="24"/>
              </w:rPr>
            </w:pPr>
            <w:r w:rsidRPr="006F5AE8">
              <w:rPr>
                <w:sz w:val="24"/>
                <w:szCs w:val="24"/>
              </w:rPr>
              <w:t>Immune system disorders</w:t>
            </w:r>
          </w:p>
        </w:tc>
        <w:tc>
          <w:tcPr>
            <w:tcW w:w="984" w:type="pct"/>
            <w:tcBorders>
              <w:top w:val="single" w:sz="4" w:space="0" w:color="auto"/>
              <w:left w:val="single" w:sz="4" w:space="0" w:color="auto"/>
              <w:bottom w:val="single" w:sz="4" w:space="0" w:color="auto"/>
              <w:right w:val="single" w:sz="4" w:space="0" w:color="auto"/>
            </w:tcBorders>
          </w:tcPr>
          <w:p w14:paraId="49209B67" w14:textId="77777777" w:rsidR="0074039C" w:rsidRPr="006F5AE8" w:rsidRDefault="0074039C">
            <w:pPr>
              <w:rPr>
                <w:sz w:val="24"/>
                <w:szCs w:val="24"/>
              </w:rPr>
            </w:pPr>
          </w:p>
        </w:tc>
        <w:tc>
          <w:tcPr>
            <w:tcW w:w="977" w:type="pct"/>
            <w:tcBorders>
              <w:top w:val="single" w:sz="4" w:space="0" w:color="auto"/>
              <w:left w:val="single" w:sz="4" w:space="0" w:color="auto"/>
              <w:bottom w:val="single" w:sz="4" w:space="0" w:color="auto"/>
              <w:right w:val="single" w:sz="4" w:space="0" w:color="auto"/>
            </w:tcBorders>
          </w:tcPr>
          <w:p w14:paraId="02F69484" w14:textId="77777777" w:rsidR="0074039C" w:rsidRPr="006F5AE8" w:rsidRDefault="0074039C">
            <w:pPr>
              <w:rPr>
                <w:sz w:val="24"/>
                <w:szCs w:val="24"/>
              </w:rPr>
            </w:pPr>
          </w:p>
        </w:tc>
        <w:tc>
          <w:tcPr>
            <w:tcW w:w="982" w:type="pct"/>
            <w:tcBorders>
              <w:top w:val="single" w:sz="4" w:space="0" w:color="auto"/>
              <w:left w:val="single" w:sz="4" w:space="0" w:color="auto"/>
              <w:bottom w:val="single" w:sz="4" w:space="0" w:color="auto"/>
              <w:right w:val="single" w:sz="4" w:space="0" w:color="auto"/>
            </w:tcBorders>
            <w:hideMark/>
          </w:tcPr>
          <w:p w14:paraId="48AC341D" w14:textId="77777777" w:rsidR="0074039C" w:rsidRPr="006F5AE8" w:rsidRDefault="0074039C">
            <w:pPr>
              <w:rPr>
                <w:sz w:val="24"/>
                <w:szCs w:val="24"/>
              </w:rPr>
            </w:pPr>
            <w:r w:rsidRPr="006F5AE8">
              <w:rPr>
                <w:sz w:val="24"/>
                <w:szCs w:val="24"/>
              </w:rPr>
              <w:t xml:space="preserve">Hypersensitivity including </w:t>
            </w:r>
            <w:proofErr w:type="spellStart"/>
            <w:r w:rsidRPr="006F5AE8">
              <w:rPr>
                <w:sz w:val="24"/>
                <w:szCs w:val="24"/>
              </w:rPr>
              <w:t>angioedema</w:t>
            </w:r>
            <w:r w:rsidRPr="006F5AE8">
              <w:rPr>
                <w:sz w:val="24"/>
                <w:szCs w:val="24"/>
                <w:vertAlign w:val="superscript"/>
              </w:rPr>
              <w:t>c</w:t>
            </w:r>
            <w:proofErr w:type="spellEnd"/>
          </w:p>
        </w:tc>
        <w:tc>
          <w:tcPr>
            <w:tcW w:w="1076" w:type="pct"/>
            <w:tcBorders>
              <w:top w:val="single" w:sz="4" w:space="0" w:color="auto"/>
              <w:left w:val="single" w:sz="4" w:space="0" w:color="auto"/>
              <w:bottom w:val="single" w:sz="4" w:space="0" w:color="auto"/>
              <w:right w:val="single" w:sz="4" w:space="0" w:color="auto"/>
            </w:tcBorders>
          </w:tcPr>
          <w:p w14:paraId="1158242B" w14:textId="77777777" w:rsidR="0074039C" w:rsidRPr="006F5AE8" w:rsidRDefault="0074039C">
            <w:pPr>
              <w:rPr>
                <w:sz w:val="24"/>
                <w:szCs w:val="24"/>
              </w:rPr>
            </w:pPr>
          </w:p>
        </w:tc>
      </w:tr>
      <w:tr w:rsidR="0074039C" w:rsidRPr="006F5AE8" w14:paraId="123B3C6D" w14:textId="77777777" w:rsidTr="00B4050A">
        <w:tc>
          <w:tcPr>
            <w:tcW w:w="981" w:type="pct"/>
            <w:tcBorders>
              <w:top w:val="single" w:sz="4" w:space="0" w:color="auto"/>
              <w:left w:val="single" w:sz="4" w:space="0" w:color="auto"/>
              <w:bottom w:val="single" w:sz="4" w:space="0" w:color="auto"/>
              <w:right w:val="single" w:sz="4" w:space="0" w:color="auto"/>
            </w:tcBorders>
            <w:hideMark/>
          </w:tcPr>
          <w:p w14:paraId="5431926D" w14:textId="77777777" w:rsidR="0074039C" w:rsidRPr="006F5AE8" w:rsidRDefault="0074039C">
            <w:pPr>
              <w:rPr>
                <w:sz w:val="24"/>
                <w:szCs w:val="24"/>
              </w:rPr>
            </w:pPr>
            <w:r w:rsidRPr="006F5AE8">
              <w:rPr>
                <w:sz w:val="24"/>
                <w:szCs w:val="24"/>
              </w:rPr>
              <w:t>Metabolism and nutrition disorders</w:t>
            </w:r>
          </w:p>
        </w:tc>
        <w:tc>
          <w:tcPr>
            <w:tcW w:w="984" w:type="pct"/>
            <w:tcBorders>
              <w:top w:val="single" w:sz="4" w:space="0" w:color="auto"/>
              <w:left w:val="single" w:sz="4" w:space="0" w:color="auto"/>
              <w:bottom w:val="single" w:sz="4" w:space="0" w:color="auto"/>
              <w:right w:val="single" w:sz="4" w:space="0" w:color="auto"/>
            </w:tcBorders>
            <w:hideMark/>
          </w:tcPr>
          <w:p w14:paraId="0CCB4D39" w14:textId="77777777" w:rsidR="0074039C" w:rsidRPr="006F5AE8" w:rsidRDefault="0074039C">
            <w:pPr>
              <w:rPr>
                <w:sz w:val="24"/>
                <w:szCs w:val="24"/>
              </w:rPr>
            </w:pPr>
            <w:proofErr w:type="spellStart"/>
            <w:r w:rsidRPr="006F5AE8">
              <w:rPr>
                <w:sz w:val="24"/>
                <w:szCs w:val="24"/>
              </w:rPr>
              <w:t>Hyperuricaemia</w:t>
            </w:r>
            <w:r w:rsidRPr="006F5AE8">
              <w:rPr>
                <w:sz w:val="24"/>
                <w:szCs w:val="24"/>
                <w:vertAlign w:val="superscript"/>
              </w:rPr>
              <w:t>d</w:t>
            </w:r>
            <w:proofErr w:type="spellEnd"/>
          </w:p>
        </w:tc>
        <w:tc>
          <w:tcPr>
            <w:tcW w:w="977" w:type="pct"/>
            <w:tcBorders>
              <w:top w:val="single" w:sz="4" w:space="0" w:color="auto"/>
              <w:left w:val="single" w:sz="4" w:space="0" w:color="auto"/>
              <w:bottom w:val="single" w:sz="4" w:space="0" w:color="auto"/>
              <w:right w:val="single" w:sz="4" w:space="0" w:color="auto"/>
            </w:tcBorders>
            <w:hideMark/>
          </w:tcPr>
          <w:p w14:paraId="6E5E2D37" w14:textId="77777777" w:rsidR="0074039C" w:rsidRPr="006F5AE8" w:rsidRDefault="0074039C">
            <w:pPr>
              <w:rPr>
                <w:sz w:val="24"/>
                <w:szCs w:val="24"/>
              </w:rPr>
            </w:pPr>
            <w:r w:rsidRPr="006F5AE8">
              <w:rPr>
                <w:sz w:val="24"/>
                <w:szCs w:val="24"/>
              </w:rPr>
              <w:t>Gout/ Gouty Arthritis</w:t>
            </w:r>
          </w:p>
        </w:tc>
        <w:tc>
          <w:tcPr>
            <w:tcW w:w="982" w:type="pct"/>
            <w:tcBorders>
              <w:top w:val="single" w:sz="4" w:space="0" w:color="auto"/>
              <w:left w:val="single" w:sz="4" w:space="0" w:color="auto"/>
              <w:bottom w:val="single" w:sz="4" w:space="0" w:color="auto"/>
              <w:right w:val="single" w:sz="4" w:space="0" w:color="auto"/>
            </w:tcBorders>
          </w:tcPr>
          <w:p w14:paraId="2DF988F3" w14:textId="77777777" w:rsidR="0074039C" w:rsidRPr="006F5AE8" w:rsidRDefault="0074039C">
            <w:pPr>
              <w:rPr>
                <w:sz w:val="24"/>
                <w:szCs w:val="24"/>
              </w:rPr>
            </w:pPr>
          </w:p>
        </w:tc>
        <w:tc>
          <w:tcPr>
            <w:tcW w:w="1076" w:type="pct"/>
            <w:tcBorders>
              <w:top w:val="single" w:sz="4" w:space="0" w:color="auto"/>
              <w:left w:val="single" w:sz="4" w:space="0" w:color="auto"/>
              <w:bottom w:val="single" w:sz="4" w:space="0" w:color="auto"/>
              <w:right w:val="single" w:sz="4" w:space="0" w:color="auto"/>
            </w:tcBorders>
          </w:tcPr>
          <w:p w14:paraId="59079064" w14:textId="77777777" w:rsidR="0074039C" w:rsidRPr="006F5AE8" w:rsidRDefault="0074039C">
            <w:pPr>
              <w:rPr>
                <w:sz w:val="24"/>
                <w:szCs w:val="24"/>
              </w:rPr>
            </w:pPr>
          </w:p>
        </w:tc>
      </w:tr>
      <w:tr w:rsidR="0074039C" w:rsidRPr="006F5AE8" w14:paraId="6606A051" w14:textId="77777777" w:rsidTr="00B4050A">
        <w:tc>
          <w:tcPr>
            <w:tcW w:w="981" w:type="pct"/>
            <w:tcBorders>
              <w:top w:val="single" w:sz="4" w:space="0" w:color="auto"/>
              <w:left w:val="single" w:sz="4" w:space="0" w:color="auto"/>
              <w:bottom w:val="single" w:sz="4" w:space="0" w:color="auto"/>
              <w:right w:val="single" w:sz="4" w:space="0" w:color="auto"/>
            </w:tcBorders>
            <w:hideMark/>
          </w:tcPr>
          <w:p w14:paraId="0589CAE3" w14:textId="77777777" w:rsidR="0074039C" w:rsidRPr="006F5AE8" w:rsidRDefault="0074039C">
            <w:pPr>
              <w:rPr>
                <w:sz w:val="24"/>
                <w:szCs w:val="24"/>
              </w:rPr>
            </w:pPr>
            <w:r w:rsidRPr="006F5AE8">
              <w:rPr>
                <w:sz w:val="24"/>
                <w:szCs w:val="24"/>
              </w:rPr>
              <w:t>Psychiatric disorders</w:t>
            </w:r>
          </w:p>
        </w:tc>
        <w:tc>
          <w:tcPr>
            <w:tcW w:w="984" w:type="pct"/>
            <w:tcBorders>
              <w:top w:val="single" w:sz="4" w:space="0" w:color="auto"/>
              <w:left w:val="single" w:sz="4" w:space="0" w:color="auto"/>
              <w:bottom w:val="single" w:sz="4" w:space="0" w:color="auto"/>
              <w:right w:val="single" w:sz="4" w:space="0" w:color="auto"/>
            </w:tcBorders>
          </w:tcPr>
          <w:p w14:paraId="12391D2A" w14:textId="77777777" w:rsidR="0074039C" w:rsidRPr="006F5AE8" w:rsidRDefault="0074039C">
            <w:pPr>
              <w:rPr>
                <w:sz w:val="24"/>
                <w:szCs w:val="24"/>
              </w:rPr>
            </w:pPr>
          </w:p>
        </w:tc>
        <w:tc>
          <w:tcPr>
            <w:tcW w:w="977" w:type="pct"/>
            <w:tcBorders>
              <w:top w:val="single" w:sz="4" w:space="0" w:color="auto"/>
              <w:left w:val="single" w:sz="4" w:space="0" w:color="auto"/>
              <w:bottom w:val="single" w:sz="4" w:space="0" w:color="auto"/>
              <w:right w:val="single" w:sz="4" w:space="0" w:color="auto"/>
            </w:tcBorders>
          </w:tcPr>
          <w:p w14:paraId="34209EAA" w14:textId="77777777" w:rsidR="0074039C" w:rsidRPr="006F5AE8" w:rsidRDefault="0074039C">
            <w:pPr>
              <w:rPr>
                <w:sz w:val="24"/>
                <w:szCs w:val="24"/>
              </w:rPr>
            </w:pPr>
          </w:p>
        </w:tc>
        <w:tc>
          <w:tcPr>
            <w:tcW w:w="982" w:type="pct"/>
            <w:tcBorders>
              <w:top w:val="single" w:sz="4" w:space="0" w:color="auto"/>
              <w:left w:val="single" w:sz="4" w:space="0" w:color="auto"/>
              <w:bottom w:val="single" w:sz="4" w:space="0" w:color="auto"/>
              <w:right w:val="single" w:sz="4" w:space="0" w:color="auto"/>
            </w:tcBorders>
            <w:hideMark/>
          </w:tcPr>
          <w:p w14:paraId="6273A165" w14:textId="77777777" w:rsidR="0074039C" w:rsidRPr="006F5AE8" w:rsidRDefault="0074039C">
            <w:pPr>
              <w:rPr>
                <w:sz w:val="24"/>
                <w:szCs w:val="24"/>
              </w:rPr>
            </w:pPr>
            <w:r w:rsidRPr="006F5AE8">
              <w:rPr>
                <w:sz w:val="24"/>
                <w:szCs w:val="24"/>
              </w:rPr>
              <w:t>Confusion</w:t>
            </w:r>
          </w:p>
        </w:tc>
        <w:tc>
          <w:tcPr>
            <w:tcW w:w="1076" w:type="pct"/>
            <w:tcBorders>
              <w:top w:val="single" w:sz="4" w:space="0" w:color="auto"/>
              <w:left w:val="single" w:sz="4" w:space="0" w:color="auto"/>
              <w:bottom w:val="single" w:sz="4" w:space="0" w:color="auto"/>
              <w:right w:val="single" w:sz="4" w:space="0" w:color="auto"/>
            </w:tcBorders>
          </w:tcPr>
          <w:p w14:paraId="09037E08" w14:textId="77777777" w:rsidR="0074039C" w:rsidRPr="006F5AE8" w:rsidRDefault="0074039C">
            <w:pPr>
              <w:rPr>
                <w:sz w:val="24"/>
                <w:szCs w:val="24"/>
              </w:rPr>
            </w:pPr>
          </w:p>
        </w:tc>
      </w:tr>
      <w:tr w:rsidR="0074039C" w:rsidRPr="006F5AE8" w14:paraId="4D66A4F3" w14:textId="77777777" w:rsidTr="00B4050A">
        <w:tc>
          <w:tcPr>
            <w:tcW w:w="981" w:type="pct"/>
            <w:tcBorders>
              <w:top w:val="single" w:sz="4" w:space="0" w:color="auto"/>
              <w:left w:val="single" w:sz="4" w:space="0" w:color="auto"/>
              <w:bottom w:val="single" w:sz="4" w:space="0" w:color="auto"/>
              <w:right w:val="single" w:sz="4" w:space="0" w:color="auto"/>
            </w:tcBorders>
            <w:hideMark/>
          </w:tcPr>
          <w:p w14:paraId="27413219" w14:textId="77777777" w:rsidR="0074039C" w:rsidRPr="006F5AE8" w:rsidRDefault="0074039C">
            <w:pPr>
              <w:rPr>
                <w:sz w:val="24"/>
                <w:szCs w:val="24"/>
              </w:rPr>
            </w:pPr>
            <w:r w:rsidRPr="006F5AE8">
              <w:rPr>
                <w:sz w:val="24"/>
                <w:szCs w:val="24"/>
              </w:rPr>
              <w:t>Nervous system disorders</w:t>
            </w:r>
          </w:p>
        </w:tc>
        <w:tc>
          <w:tcPr>
            <w:tcW w:w="984" w:type="pct"/>
            <w:tcBorders>
              <w:top w:val="single" w:sz="4" w:space="0" w:color="auto"/>
              <w:left w:val="single" w:sz="4" w:space="0" w:color="auto"/>
              <w:bottom w:val="single" w:sz="4" w:space="0" w:color="auto"/>
              <w:right w:val="single" w:sz="4" w:space="0" w:color="auto"/>
            </w:tcBorders>
          </w:tcPr>
          <w:p w14:paraId="0B2BA76D" w14:textId="77777777" w:rsidR="0074039C" w:rsidRPr="006F5AE8" w:rsidRDefault="0074039C">
            <w:pPr>
              <w:rPr>
                <w:sz w:val="24"/>
                <w:szCs w:val="24"/>
              </w:rPr>
            </w:pPr>
          </w:p>
        </w:tc>
        <w:tc>
          <w:tcPr>
            <w:tcW w:w="977" w:type="pct"/>
            <w:tcBorders>
              <w:top w:val="single" w:sz="4" w:space="0" w:color="auto"/>
              <w:left w:val="single" w:sz="4" w:space="0" w:color="auto"/>
              <w:bottom w:val="single" w:sz="4" w:space="0" w:color="auto"/>
              <w:right w:val="single" w:sz="4" w:space="0" w:color="auto"/>
            </w:tcBorders>
            <w:hideMark/>
          </w:tcPr>
          <w:p w14:paraId="24C2B8DF" w14:textId="77777777" w:rsidR="0074039C" w:rsidRPr="006F5AE8" w:rsidRDefault="0074039C">
            <w:pPr>
              <w:rPr>
                <w:sz w:val="24"/>
                <w:szCs w:val="24"/>
              </w:rPr>
            </w:pPr>
            <w:r w:rsidRPr="006F5AE8">
              <w:rPr>
                <w:sz w:val="24"/>
                <w:szCs w:val="24"/>
              </w:rPr>
              <w:t>Dizziness, Syncope, Headache</w:t>
            </w:r>
          </w:p>
        </w:tc>
        <w:tc>
          <w:tcPr>
            <w:tcW w:w="982" w:type="pct"/>
            <w:tcBorders>
              <w:top w:val="single" w:sz="4" w:space="0" w:color="auto"/>
              <w:left w:val="single" w:sz="4" w:space="0" w:color="auto"/>
              <w:bottom w:val="single" w:sz="4" w:space="0" w:color="auto"/>
              <w:right w:val="single" w:sz="4" w:space="0" w:color="auto"/>
            </w:tcBorders>
            <w:hideMark/>
          </w:tcPr>
          <w:p w14:paraId="5D3B064C" w14:textId="77777777" w:rsidR="0074039C" w:rsidRPr="006F5AE8" w:rsidRDefault="0074039C">
            <w:pPr>
              <w:rPr>
                <w:sz w:val="24"/>
                <w:szCs w:val="24"/>
              </w:rPr>
            </w:pPr>
            <w:r w:rsidRPr="006F5AE8">
              <w:rPr>
                <w:sz w:val="24"/>
                <w:szCs w:val="24"/>
              </w:rPr>
              <w:t xml:space="preserve">Intracranial </w:t>
            </w:r>
            <w:proofErr w:type="spellStart"/>
            <w:r w:rsidRPr="006F5AE8">
              <w:rPr>
                <w:sz w:val="24"/>
                <w:szCs w:val="24"/>
              </w:rPr>
              <w:t>haemorrhage</w:t>
            </w:r>
            <w:r w:rsidRPr="006F5AE8">
              <w:rPr>
                <w:sz w:val="24"/>
                <w:szCs w:val="24"/>
                <w:vertAlign w:val="superscript"/>
              </w:rPr>
              <w:t>m</w:t>
            </w:r>
            <w:proofErr w:type="spellEnd"/>
          </w:p>
        </w:tc>
        <w:tc>
          <w:tcPr>
            <w:tcW w:w="1076" w:type="pct"/>
            <w:tcBorders>
              <w:top w:val="single" w:sz="4" w:space="0" w:color="auto"/>
              <w:left w:val="single" w:sz="4" w:space="0" w:color="auto"/>
              <w:bottom w:val="single" w:sz="4" w:space="0" w:color="auto"/>
              <w:right w:val="single" w:sz="4" w:space="0" w:color="auto"/>
            </w:tcBorders>
          </w:tcPr>
          <w:p w14:paraId="3C6D6FCB" w14:textId="77777777" w:rsidR="0074039C" w:rsidRPr="006F5AE8" w:rsidRDefault="0074039C">
            <w:pPr>
              <w:rPr>
                <w:sz w:val="24"/>
                <w:szCs w:val="24"/>
              </w:rPr>
            </w:pPr>
          </w:p>
        </w:tc>
      </w:tr>
      <w:tr w:rsidR="0074039C" w:rsidRPr="006F5AE8" w14:paraId="3FBE0887" w14:textId="77777777" w:rsidTr="00B4050A">
        <w:tc>
          <w:tcPr>
            <w:tcW w:w="981" w:type="pct"/>
            <w:tcBorders>
              <w:top w:val="single" w:sz="4" w:space="0" w:color="auto"/>
              <w:left w:val="single" w:sz="4" w:space="0" w:color="auto"/>
              <w:bottom w:val="single" w:sz="4" w:space="0" w:color="auto"/>
              <w:right w:val="single" w:sz="4" w:space="0" w:color="auto"/>
            </w:tcBorders>
            <w:hideMark/>
          </w:tcPr>
          <w:p w14:paraId="75D2CED3" w14:textId="77777777" w:rsidR="0074039C" w:rsidRPr="006F5AE8" w:rsidRDefault="0074039C">
            <w:pPr>
              <w:rPr>
                <w:sz w:val="24"/>
                <w:szCs w:val="24"/>
              </w:rPr>
            </w:pPr>
            <w:r w:rsidRPr="006F5AE8">
              <w:rPr>
                <w:sz w:val="24"/>
                <w:szCs w:val="24"/>
              </w:rPr>
              <w:t>Eye disorders</w:t>
            </w:r>
          </w:p>
        </w:tc>
        <w:tc>
          <w:tcPr>
            <w:tcW w:w="984" w:type="pct"/>
            <w:tcBorders>
              <w:top w:val="single" w:sz="4" w:space="0" w:color="auto"/>
              <w:left w:val="single" w:sz="4" w:space="0" w:color="auto"/>
              <w:bottom w:val="single" w:sz="4" w:space="0" w:color="auto"/>
              <w:right w:val="single" w:sz="4" w:space="0" w:color="auto"/>
            </w:tcBorders>
          </w:tcPr>
          <w:p w14:paraId="3355589C" w14:textId="77777777" w:rsidR="0074039C" w:rsidRPr="006F5AE8" w:rsidRDefault="0074039C">
            <w:pPr>
              <w:rPr>
                <w:sz w:val="24"/>
                <w:szCs w:val="24"/>
              </w:rPr>
            </w:pPr>
          </w:p>
        </w:tc>
        <w:tc>
          <w:tcPr>
            <w:tcW w:w="977" w:type="pct"/>
            <w:tcBorders>
              <w:top w:val="single" w:sz="4" w:space="0" w:color="auto"/>
              <w:left w:val="single" w:sz="4" w:space="0" w:color="auto"/>
              <w:bottom w:val="single" w:sz="4" w:space="0" w:color="auto"/>
              <w:right w:val="single" w:sz="4" w:space="0" w:color="auto"/>
            </w:tcBorders>
          </w:tcPr>
          <w:p w14:paraId="6C351822" w14:textId="77777777" w:rsidR="0074039C" w:rsidRPr="006F5AE8" w:rsidRDefault="0074039C">
            <w:pPr>
              <w:rPr>
                <w:sz w:val="24"/>
                <w:szCs w:val="24"/>
              </w:rPr>
            </w:pPr>
          </w:p>
        </w:tc>
        <w:tc>
          <w:tcPr>
            <w:tcW w:w="982" w:type="pct"/>
            <w:tcBorders>
              <w:top w:val="single" w:sz="4" w:space="0" w:color="auto"/>
              <w:left w:val="single" w:sz="4" w:space="0" w:color="auto"/>
              <w:bottom w:val="single" w:sz="4" w:space="0" w:color="auto"/>
              <w:right w:val="single" w:sz="4" w:space="0" w:color="auto"/>
            </w:tcBorders>
            <w:hideMark/>
          </w:tcPr>
          <w:p w14:paraId="4BEBCAC9" w14:textId="77777777" w:rsidR="0074039C" w:rsidRPr="006F5AE8" w:rsidRDefault="0074039C">
            <w:pPr>
              <w:rPr>
                <w:sz w:val="24"/>
                <w:szCs w:val="24"/>
              </w:rPr>
            </w:pPr>
            <w:r w:rsidRPr="006F5AE8">
              <w:rPr>
                <w:sz w:val="24"/>
                <w:szCs w:val="24"/>
              </w:rPr>
              <w:t xml:space="preserve">Eye </w:t>
            </w:r>
            <w:proofErr w:type="spellStart"/>
            <w:r w:rsidRPr="006F5AE8">
              <w:rPr>
                <w:sz w:val="24"/>
                <w:szCs w:val="24"/>
              </w:rPr>
              <w:t>haemorrhage</w:t>
            </w:r>
            <w:r w:rsidRPr="006F5AE8">
              <w:rPr>
                <w:sz w:val="24"/>
                <w:szCs w:val="24"/>
                <w:vertAlign w:val="superscript"/>
              </w:rPr>
              <w:t>e</w:t>
            </w:r>
            <w:proofErr w:type="spellEnd"/>
          </w:p>
        </w:tc>
        <w:tc>
          <w:tcPr>
            <w:tcW w:w="1076" w:type="pct"/>
            <w:tcBorders>
              <w:top w:val="single" w:sz="4" w:space="0" w:color="auto"/>
              <w:left w:val="single" w:sz="4" w:space="0" w:color="auto"/>
              <w:bottom w:val="single" w:sz="4" w:space="0" w:color="auto"/>
              <w:right w:val="single" w:sz="4" w:space="0" w:color="auto"/>
            </w:tcBorders>
          </w:tcPr>
          <w:p w14:paraId="2FCF535E" w14:textId="77777777" w:rsidR="0074039C" w:rsidRPr="006F5AE8" w:rsidRDefault="0074039C">
            <w:pPr>
              <w:rPr>
                <w:sz w:val="24"/>
                <w:szCs w:val="24"/>
              </w:rPr>
            </w:pPr>
          </w:p>
        </w:tc>
      </w:tr>
      <w:tr w:rsidR="0074039C" w:rsidRPr="006F5AE8" w14:paraId="1ADCF925" w14:textId="77777777" w:rsidTr="00B4050A">
        <w:tc>
          <w:tcPr>
            <w:tcW w:w="981" w:type="pct"/>
            <w:tcBorders>
              <w:top w:val="single" w:sz="4" w:space="0" w:color="auto"/>
              <w:left w:val="single" w:sz="4" w:space="0" w:color="auto"/>
              <w:bottom w:val="single" w:sz="4" w:space="0" w:color="auto"/>
              <w:right w:val="single" w:sz="4" w:space="0" w:color="auto"/>
            </w:tcBorders>
            <w:hideMark/>
          </w:tcPr>
          <w:p w14:paraId="7859F28A" w14:textId="77777777" w:rsidR="0074039C" w:rsidRPr="006F5AE8" w:rsidRDefault="0074039C">
            <w:pPr>
              <w:rPr>
                <w:sz w:val="24"/>
                <w:szCs w:val="24"/>
              </w:rPr>
            </w:pPr>
            <w:r w:rsidRPr="006F5AE8">
              <w:rPr>
                <w:sz w:val="24"/>
                <w:szCs w:val="24"/>
              </w:rPr>
              <w:t>Ear and labyrinth disorders</w:t>
            </w:r>
          </w:p>
        </w:tc>
        <w:tc>
          <w:tcPr>
            <w:tcW w:w="984" w:type="pct"/>
            <w:tcBorders>
              <w:top w:val="single" w:sz="4" w:space="0" w:color="auto"/>
              <w:left w:val="single" w:sz="4" w:space="0" w:color="auto"/>
              <w:bottom w:val="single" w:sz="4" w:space="0" w:color="auto"/>
              <w:right w:val="single" w:sz="4" w:space="0" w:color="auto"/>
            </w:tcBorders>
          </w:tcPr>
          <w:p w14:paraId="2DBA8D9F" w14:textId="77777777" w:rsidR="0074039C" w:rsidRPr="006F5AE8" w:rsidRDefault="0074039C">
            <w:pPr>
              <w:rPr>
                <w:sz w:val="24"/>
                <w:szCs w:val="24"/>
              </w:rPr>
            </w:pPr>
          </w:p>
        </w:tc>
        <w:tc>
          <w:tcPr>
            <w:tcW w:w="977" w:type="pct"/>
            <w:tcBorders>
              <w:top w:val="single" w:sz="4" w:space="0" w:color="auto"/>
              <w:left w:val="single" w:sz="4" w:space="0" w:color="auto"/>
              <w:bottom w:val="single" w:sz="4" w:space="0" w:color="auto"/>
              <w:right w:val="single" w:sz="4" w:space="0" w:color="auto"/>
            </w:tcBorders>
            <w:hideMark/>
          </w:tcPr>
          <w:p w14:paraId="68D7DF68" w14:textId="77777777" w:rsidR="0074039C" w:rsidRPr="006F5AE8" w:rsidRDefault="0074039C">
            <w:pPr>
              <w:rPr>
                <w:sz w:val="24"/>
                <w:szCs w:val="24"/>
              </w:rPr>
            </w:pPr>
            <w:r w:rsidRPr="006F5AE8">
              <w:rPr>
                <w:sz w:val="24"/>
                <w:szCs w:val="24"/>
              </w:rPr>
              <w:t>Vertigo</w:t>
            </w:r>
          </w:p>
        </w:tc>
        <w:tc>
          <w:tcPr>
            <w:tcW w:w="982" w:type="pct"/>
            <w:tcBorders>
              <w:top w:val="single" w:sz="4" w:space="0" w:color="auto"/>
              <w:left w:val="single" w:sz="4" w:space="0" w:color="auto"/>
              <w:bottom w:val="single" w:sz="4" w:space="0" w:color="auto"/>
              <w:right w:val="single" w:sz="4" w:space="0" w:color="auto"/>
            </w:tcBorders>
            <w:hideMark/>
          </w:tcPr>
          <w:p w14:paraId="3CA28008" w14:textId="77777777" w:rsidR="0074039C" w:rsidRPr="006F5AE8" w:rsidRDefault="0074039C">
            <w:pPr>
              <w:rPr>
                <w:sz w:val="24"/>
                <w:szCs w:val="24"/>
              </w:rPr>
            </w:pPr>
            <w:r w:rsidRPr="006F5AE8">
              <w:rPr>
                <w:sz w:val="24"/>
                <w:szCs w:val="24"/>
              </w:rPr>
              <w:t>Ear haemorrhage</w:t>
            </w:r>
          </w:p>
        </w:tc>
        <w:tc>
          <w:tcPr>
            <w:tcW w:w="1076" w:type="pct"/>
            <w:tcBorders>
              <w:top w:val="single" w:sz="4" w:space="0" w:color="auto"/>
              <w:left w:val="single" w:sz="4" w:space="0" w:color="auto"/>
              <w:bottom w:val="single" w:sz="4" w:space="0" w:color="auto"/>
              <w:right w:val="single" w:sz="4" w:space="0" w:color="auto"/>
            </w:tcBorders>
          </w:tcPr>
          <w:p w14:paraId="41169849" w14:textId="77777777" w:rsidR="0074039C" w:rsidRPr="006F5AE8" w:rsidRDefault="0074039C">
            <w:pPr>
              <w:rPr>
                <w:sz w:val="24"/>
                <w:szCs w:val="24"/>
              </w:rPr>
            </w:pPr>
          </w:p>
        </w:tc>
      </w:tr>
      <w:tr w:rsidR="0074039C" w:rsidRPr="006F5AE8" w14:paraId="4426B03B" w14:textId="77777777" w:rsidTr="00B4050A">
        <w:tc>
          <w:tcPr>
            <w:tcW w:w="981" w:type="pct"/>
            <w:tcBorders>
              <w:top w:val="single" w:sz="4" w:space="0" w:color="auto"/>
              <w:left w:val="single" w:sz="4" w:space="0" w:color="auto"/>
              <w:bottom w:val="single" w:sz="4" w:space="0" w:color="auto"/>
              <w:right w:val="single" w:sz="4" w:space="0" w:color="auto"/>
            </w:tcBorders>
            <w:hideMark/>
          </w:tcPr>
          <w:p w14:paraId="2A4EC501" w14:textId="77777777" w:rsidR="0074039C" w:rsidRPr="006F5AE8" w:rsidRDefault="0074039C">
            <w:pPr>
              <w:rPr>
                <w:sz w:val="24"/>
                <w:szCs w:val="24"/>
              </w:rPr>
            </w:pPr>
            <w:r w:rsidRPr="006F5AE8">
              <w:rPr>
                <w:sz w:val="24"/>
                <w:szCs w:val="24"/>
              </w:rPr>
              <w:t>Cardiac disorders</w:t>
            </w:r>
          </w:p>
        </w:tc>
        <w:tc>
          <w:tcPr>
            <w:tcW w:w="984" w:type="pct"/>
            <w:tcBorders>
              <w:top w:val="single" w:sz="4" w:space="0" w:color="auto"/>
              <w:left w:val="single" w:sz="4" w:space="0" w:color="auto"/>
              <w:bottom w:val="single" w:sz="4" w:space="0" w:color="auto"/>
              <w:right w:val="single" w:sz="4" w:space="0" w:color="auto"/>
            </w:tcBorders>
          </w:tcPr>
          <w:p w14:paraId="2AE8728F" w14:textId="77777777" w:rsidR="0074039C" w:rsidRPr="006F5AE8" w:rsidRDefault="0074039C">
            <w:pPr>
              <w:rPr>
                <w:sz w:val="24"/>
                <w:szCs w:val="24"/>
              </w:rPr>
            </w:pPr>
          </w:p>
        </w:tc>
        <w:tc>
          <w:tcPr>
            <w:tcW w:w="977" w:type="pct"/>
            <w:tcBorders>
              <w:top w:val="single" w:sz="4" w:space="0" w:color="auto"/>
              <w:left w:val="single" w:sz="4" w:space="0" w:color="auto"/>
              <w:bottom w:val="single" w:sz="4" w:space="0" w:color="auto"/>
              <w:right w:val="single" w:sz="4" w:space="0" w:color="auto"/>
            </w:tcBorders>
          </w:tcPr>
          <w:p w14:paraId="327F9E75" w14:textId="77777777" w:rsidR="0074039C" w:rsidRPr="006F5AE8" w:rsidRDefault="0074039C">
            <w:pPr>
              <w:rPr>
                <w:sz w:val="24"/>
                <w:szCs w:val="24"/>
              </w:rPr>
            </w:pPr>
          </w:p>
        </w:tc>
        <w:tc>
          <w:tcPr>
            <w:tcW w:w="982" w:type="pct"/>
            <w:tcBorders>
              <w:top w:val="single" w:sz="4" w:space="0" w:color="auto"/>
              <w:left w:val="single" w:sz="4" w:space="0" w:color="auto"/>
              <w:bottom w:val="single" w:sz="4" w:space="0" w:color="auto"/>
              <w:right w:val="single" w:sz="4" w:space="0" w:color="auto"/>
            </w:tcBorders>
          </w:tcPr>
          <w:p w14:paraId="64EEC56B" w14:textId="77777777" w:rsidR="0074039C" w:rsidRPr="006F5AE8" w:rsidRDefault="0074039C">
            <w:pPr>
              <w:rPr>
                <w:sz w:val="24"/>
                <w:szCs w:val="24"/>
              </w:rPr>
            </w:pPr>
          </w:p>
        </w:tc>
        <w:tc>
          <w:tcPr>
            <w:tcW w:w="1076" w:type="pct"/>
            <w:tcBorders>
              <w:top w:val="single" w:sz="4" w:space="0" w:color="auto"/>
              <w:left w:val="single" w:sz="4" w:space="0" w:color="auto"/>
              <w:bottom w:val="single" w:sz="4" w:space="0" w:color="auto"/>
              <w:right w:val="single" w:sz="4" w:space="0" w:color="auto"/>
            </w:tcBorders>
            <w:hideMark/>
          </w:tcPr>
          <w:p w14:paraId="37188EAF" w14:textId="77777777" w:rsidR="0074039C" w:rsidRPr="006F5AE8" w:rsidRDefault="0074039C">
            <w:pPr>
              <w:rPr>
                <w:sz w:val="24"/>
                <w:szCs w:val="24"/>
              </w:rPr>
            </w:pPr>
            <w:r w:rsidRPr="006F5AE8">
              <w:rPr>
                <w:sz w:val="24"/>
                <w:szCs w:val="24"/>
              </w:rPr>
              <w:t xml:space="preserve">Bradyarrhythmia, AV </w:t>
            </w:r>
            <w:proofErr w:type="spellStart"/>
            <w:r w:rsidRPr="006F5AE8">
              <w:rPr>
                <w:sz w:val="24"/>
                <w:szCs w:val="24"/>
              </w:rPr>
              <w:t>block</w:t>
            </w:r>
            <w:r w:rsidRPr="006F5AE8">
              <w:rPr>
                <w:sz w:val="24"/>
                <w:szCs w:val="24"/>
                <w:vertAlign w:val="superscript"/>
              </w:rPr>
              <w:t>c</w:t>
            </w:r>
            <w:proofErr w:type="spellEnd"/>
          </w:p>
        </w:tc>
      </w:tr>
      <w:tr w:rsidR="0074039C" w:rsidRPr="006F5AE8" w14:paraId="79B201B9" w14:textId="77777777" w:rsidTr="00B4050A">
        <w:tc>
          <w:tcPr>
            <w:tcW w:w="981" w:type="pct"/>
            <w:tcBorders>
              <w:top w:val="single" w:sz="4" w:space="0" w:color="auto"/>
              <w:left w:val="single" w:sz="4" w:space="0" w:color="auto"/>
              <w:bottom w:val="single" w:sz="4" w:space="0" w:color="auto"/>
              <w:right w:val="single" w:sz="4" w:space="0" w:color="auto"/>
            </w:tcBorders>
            <w:hideMark/>
          </w:tcPr>
          <w:p w14:paraId="1B43AD6A" w14:textId="77777777" w:rsidR="0074039C" w:rsidRPr="006F5AE8" w:rsidRDefault="0074039C">
            <w:pPr>
              <w:rPr>
                <w:sz w:val="24"/>
                <w:szCs w:val="24"/>
              </w:rPr>
            </w:pPr>
            <w:r w:rsidRPr="006F5AE8">
              <w:rPr>
                <w:sz w:val="24"/>
                <w:szCs w:val="24"/>
              </w:rPr>
              <w:t>Vascular disorders</w:t>
            </w:r>
          </w:p>
        </w:tc>
        <w:tc>
          <w:tcPr>
            <w:tcW w:w="984" w:type="pct"/>
            <w:tcBorders>
              <w:top w:val="single" w:sz="4" w:space="0" w:color="auto"/>
              <w:left w:val="single" w:sz="4" w:space="0" w:color="auto"/>
              <w:bottom w:val="single" w:sz="4" w:space="0" w:color="auto"/>
              <w:right w:val="single" w:sz="4" w:space="0" w:color="auto"/>
            </w:tcBorders>
          </w:tcPr>
          <w:p w14:paraId="0E607727" w14:textId="77777777" w:rsidR="0074039C" w:rsidRPr="006F5AE8" w:rsidRDefault="0074039C">
            <w:pPr>
              <w:rPr>
                <w:sz w:val="24"/>
                <w:szCs w:val="24"/>
              </w:rPr>
            </w:pPr>
          </w:p>
        </w:tc>
        <w:tc>
          <w:tcPr>
            <w:tcW w:w="977" w:type="pct"/>
            <w:tcBorders>
              <w:top w:val="single" w:sz="4" w:space="0" w:color="auto"/>
              <w:left w:val="single" w:sz="4" w:space="0" w:color="auto"/>
              <w:bottom w:val="single" w:sz="4" w:space="0" w:color="auto"/>
              <w:right w:val="single" w:sz="4" w:space="0" w:color="auto"/>
            </w:tcBorders>
            <w:hideMark/>
          </w:tcPr>
          <w:p w14:paraId="25C7DD20" w14:textId="77777777" w:rsidR="0074039C" w:rsidRPr="006F5AE8" w:rsidRDefault="0074039C">
            <w:pPr>
              <w:rPr>
                <w:sz w:val="24"/>
                <w:szCs w:val="24"/>
              </w:rPr>
            </w:pPr>
            <w:r w:rsidRPr="006F5AE8">
              <w:rPr>
                <w:sz w:val="24"/>
                <w:szCs w:val="24"/>
              </w:rPr>
              <w:t>Hypotension</w:t>
            </w:r>
          </w:p>
        </w:tc>
        <w:tc>
          <w:tcPr>
            <w:tcW w:w="982" w:type="pct"/>
            <w:tcBorders>
              <w:top w:val="single" w:sz="4" w:space="0" w:color="auto"/>
              <w:left w:val="single" w:sz="4" w:space="0" w:color="auto"/>
              <w:bottom w:val="single" w:sz="4" w:space="0" w:color="auto"/>
              <w:right w:val="single" w:sz="4" w:space="0" w:color="auto"/>
            </w:tcBorders>
          </w:tcPr>
          <w:p w14:paraId="7F7AD2D0" w14:textId="77777777" w:rsidR="0074039C" w:rsidRPr="006F5AE8" w:rsidRDefault="0074039C">
            <w:pPr>
              <w:rPr>
                <w:sz w:val="24"/>
                <w:szCs w:val="24"/>
              </w:rPr>
            </w:pPr>
          </w:p>
        </w:tc>
        <w:tc>
          <w:tcPr>
            <w:tcW w:w="1076" w:type="pct"/>
            <w:tcBorders>
              <w:top w:val="single" w:sz="4" w:space="0" w:color="auto"/>
              <w:left w:val="single" w:sz="4" w:space="0" w:color="auto"/>
              <w:bottom w:val="single" w:sz="4" w:space="0" w:color="auto"/>
              <w:right w:val="single" w:sz="4" w:space="0" w:color="auto"/>
            </w:tcBorders>
          </w:tcPr>
          <w:p w14:paraId="25F66CA0" w14:textId="77777777" w:rsidR="0074039C" w:rsidRPr="006F5AE8" w:rsidRDefault="0074039C">
            <w:pPr>
              <w:rPr>
                <w:sz w:val="24"/>
                <w:szCs w:val="24"/>
              </w:rPr>
            </w:pPr>
          </w:p>
        </w:tc>
      </w:tr>
      <w:tr w:rsidR="0074039C" w:rsidRPr="006F5AE8" w14:paraId="011BAA06" w14:textId="77777777" w:rsidTr="00B4050A">
        <w:tc>
          <w:tcPr>
            <w:tcW w:w="981" w:type="pct"/>
            <w:tcBorders>
              <w:top w:val="single" w:sz="4" w:space="0" w:color="auto"/>
              <w:left w:val="single" w:sz="4" w:space="0" w:color="auto"/>
              <w:bottom w:val="single" w:sz="4" w:space="0" w:color="auto"/>
              <w:right w:val="single" w:sz="4" w:space="0" w:color="auto"/>
            </w:tcBorders>
            <w:hideMark/>
          </w:tcPr>
          <w:p w14:paraId="3CF920FA" w14:textId="77777777" w:rsidR="0074039C" w:rsidRPr="006F5AE8" w:rsidRDefault="0074039C">
            <w:pPr>
              <w:rPr>
                <w:sz w:val="24"/>
                <w:szCs w:val="24"/>
              </w:rPr>
            </w:pPr>
            <w:r w:rsidRPr="006F5AE8">
              <w:rPr>
                <w:sz w:val="24"/>
                <w:szCs w:val="24"/>
              </w:rPr>
              <w:t>Respiratory, thoracic and mediastinal disorders</w:t>
            </w:r>
          </w:p>
        </w:tc>
        <w:tc>
          <w:tcPr>
            <w:tcW w:w="984" w:type="pct"/>
            <w:tcBorders>
              <w:top w:val="single" w:sz="4" w:space="0" w:color="auto"/>
              <w:left w:val="single" w:sz="4" w:space="0" w:color="auto"/>
              <w:bottom w:val="single" w:sz="4" w:space="0" w:color="auto"/>
              <w:right w:val="single" w:sz="4" w:space="0" w:color="auto"/>
            </w:tcBorders>
            <w:hideMark/>
          </w:tcPr>
          <w:p w14:paraId="3C72D995" w14:textId="77777777" w:rsidR="0074039C" w:rsidRPr="006F5AE8" w:rsidRDefault="0074039C">
            <w:pPr>
              <w:rPr>
                <w:sz w:val="24"/>
                <w:szCs w:val="24"/>
              </w:rPr>
            </w:pPr>
            <w:r w:rsidRPr="006F5AE8">
              <w:rPr>
                <w:sz w:val="24"/>
                <w:szCs w:val="24"/>
              </w:rPr>
              <w:t>Dyspnoea</w:t>
            </w:r>
          </w:p>
        </w:tc>
        <w:tc>
          <w:tcPr>
            <w:tcW w:w="977" w:type="pct"/>
            <w:tcBorders>
              <w:top w:val="single" w:sz="4" w:space="0" w:color="auto"/>
              <w:left w:val="single" w:sz="4" w:space="0" w:color="auto"/>
              <w:bottom w:val="single" w:sz="4" w:space="0" w:color="auto"/>
              <w:right w:val="single" w:sz="4" w:space="0" w:color="auto"/>
            </w:tcBorders>
            <w:hideMark/>
          </w:tcPr>
          <w:p w14:paraId="1D11FCE7" w14:textId="77777777" w:rsidR="0074039C" w:rsidRPr="006F5AE8" w:rsidRDefault="0074039C">
            <w:pPr>
              <w:rPr>
                <w:sz w:val="24"/>
                <w:szCs w:val="24"/>
              </w:rPr>
            </w:pPr>
            <w:r w:rsidRPr="006F5AE8">
              <w:rPr>
                <w:sz w:val="24"/>
                <w:szCs w:val="24"/>
              </w:rPr>
              <w:t xml:space="preserve">Respiratory system </w:t>
            </w:r>
            <w:proofErr w:type="spellStart"/>
            <w:r w:rsidRPr="006F5AE8">
              <w:rPr>
                <w:sz w:val="24"/>
                <w:szCs w:val="24"/>
              </w:rPr>
              <w:t>bleedings</w:t>
            </w:r>
            <w:r w:rsidRPr="006F5AE8">
              <w:rPr>
                <w:sz w:val="24"/>
                <w:szCs w:val="24"/>
                <w:vertAlign w:val="superscript"/>
              </w:rPr>
              <w:t>f</w:t>
            </w:r>
            <w:proofErr w:type="spellEnd"/>
          </w:p>
        </w:tc>
        <w:tc>
          <w:tcPr>
            <w:tcW w:w="982" w:type="pct"/>
            <w:tcBorders>
              <w:top w:val="single" w:sz="4" w:space="0" w:color="auto"/>
              <w:left w:val="single" w:sz="4" w:space="0" w:color="auto"/>
              <w:bottom w:val="single" w:sz="4" w:space="0" w:color="auto"/>
              <w:right w:val="single" w:sz="4" w:space="0" w:color="auto"/>
            </w:tcBorders>
          </w:tcPr>
          <w:p w14:paraId="561FE03D" w14:textId="77777777" w:rsidR="0074039C" w:rsidRPr="006F5AE8" w:rsidRDefault="0074039C">
            <w:pPr>
              <w:rPr>
                <w:sz w:val="24"/>
                <w:szCs w:val="24"/>
              </w:rPr>
            </w:pPr>
          </w:p>
        </w:tc>
        <w:tc>
          <w:tcPr>
            <w:tcW w:w="1076" w:type="pct"/>
            <w:tcBorders>
              <w:top w:val="single" w:sz="4" w:space="0" w:color="auto"/>
              <w:left w:val="single" w:sz="4" w:space="0" w:color="auto"/>
              <w:bottom w:val="single" w:sz="4" w:space="0" w:color="auto"/>
              <w:right w:val="single" w:sz="4" w:space="0" w:color="auto"/>
            </w:tcBorders>
          </w:tcPr>
          <w:p w14:paraId="1FEA7873" w14:textId="77777777" w:rsidR="0074039C" w:rsidRPr="006F5AE8" w:rsidRDefault="0074039C">
            <w:pPr>
              <w:rPr>
                <w:sz w:val="24"/>
                <w:szCs w:val="24"/>
              </w:rPr>
            </w:pPr>
          </w:p>
        </w:tc>
      </w:tr>
      <w:tr w:rsidR="0074039C" w:rsidRPr="006F5AE8" w14:paraId="060CDC53" w14:textId="77777777" w:rsidTr="00B4050A">
        <w:tc>
          <w:tcPr>
            <w:tcW w:w="981" w:type="pct"/>
            <w:tcBorders>
              <w:top w:val="single" w:sz="4" w:space="0" w:color="auto"/>
              <w:left w:val="single" w:sz="4" w:space="0" w:color="auto"/>
              <w:bottom w:val="single" w:sz="4" w:space="0" w:color="auto"/>
              <w:right w:val="single" w:sz="4" w:space="0" w:color="auto"/>
            </w:tcBorders>
            <w:hideMark/>
          </w:tcPr>
          <w:p w14:paraId="1D565E48" w14:textId="77777777" w:rsidR="0074039C" w:rsidRPr="006F5AE8" w:rsidRDefault="0074039C">
            <w:pPr>
              <w:rPr>
                <w:sz w:val="24"/>
                <w:szCs w:val="24"/>
              </w:rPr>
            </w:pPr>
            <w:r w:rsidRPr="006F5AE8">
              <w:rPr>
                <w:sz w:val="24"/>
                <w:szCs w:val="24"/>
              </w:rPr>
              <w:t>Gastrointestinal disorders</w:t>
            </w:r>
          </w:p>
        </w:tc>
        <w:tc>
          <w:tcPr>
            <w:tcW w:w="984" w:type="pct"/>
            <w:tcBorders>
              <w:top w:val="single" w:sz="4" w:space="0" w:color="auto"/>
              <w:left w:val="single" w:sz="4" w:space="0" w:color="auto"/>
              <w:bottom w:val="single" w:sz="4" w:space="0" w:color="auto"/>
              <w:right w:val="single" w:sz="4" w:space="0" w:color="auto"/>
            </w:tcBorders>
          </w:tcPr>
          <w:p w14:paraId="156BA92E" w14:textId="77777777" w:rsidR="0074039C" w:rsidRPr="006F5AE8" w:rsidRDefault="0074039C">
            <w:pPr>
              <w:rPr>
                <w:sz w:val="24"/>
                <w:szCs w:val="24"/>
              </w:rPr>
            </w:pPr>
          </w:p>
        </w:tc>
        <w:tc>
          <w:tcPr>
            <w:tcW w:w="977" w:type="pct"/>
            <w:tcBorders>
              <w:top w:val="single" w:sz="4" w:space="0" w:color="auto"/>
              <w:left w:val="single" w:sz="4" w:space="0" w:color="auto"/>
              <w:bottom w:val="single" w:sz="4" w:space="0" w:color="auto"/>
              <w:right w:val="single" w:sz="4" w:space="0" w:color="auto"/>
            </w:tcBorders>
            <w:hideMark/>
          </w:tcPr>
          <w:p w14:paraId="5E461174" w14:textId="77777777" w:rsidR="0074039C" w:rsidRPr="006F5AE8" w:rsidRDefault="0074039C">
            <w:pPr>
              <w:rPr>
                <w:sz w:val="24"/>
                <w:szCs w:val="24"/>
              </w:rPr>
            </w:pPr>
            <w:r w:rsidRPr="006F5AE8">
              <w:rPr>
                <w:sz w:val="24"/>
                <w:szCs w:val="24"/>
              </w:rPr>
              <w:t xml:space="preserve">Gastrointestinal </w:t>
            </w:r>
            <w:proofErr w:type="spellStart"/>
            <w:r w:rsidRPr="006F5AE8">
              <w:rPr>
                <w:sz w:val="24"/>
                <w:szCs w:val="24"/>
              </w:rPr>
              <w:t>haemorrhage</w:t>
            </w:r>
            <w:r w:rsidRPr="006F5AE8">
              <w:rPr>
                <w:sz w:val="24"/>
                <w:szCs w:val="24"/>
                <w:vertAlign w:val="superscript"/>
              </w:rPr>
              <w:t>g</w:t>
            </w:r>
            <w:proofErr w:type="spellEnd"/>
            <w:r w:rsidRPr="006F5AE8">
              <w:rPr>
                <w:sz w:val="24"/>
                <w:szCs w:val="24"/>
              </w:rPr>
              <w:t>, Diarrhoea, Nausea, Dyspepsia, Constipation</w:t>
            </w:r>
          </w:p>
        </w:tc>
        <w:tc>
          <w:tcPr>
            <w:tcW w:w="982" w:type="pct"/>
            <w:tcBorders>
              <w:top w:val="single" w:sz="4" w:space="0" w:color="auto"/>
              <w:left w:val="single" w:sz="4" w:space="0" w:color="auto"/>
              <w:bottom w:val="single" w:sz="4" w:space="0" w:color="auto"/>
              <w:right w:val="single" w:sz="4" w:space="0" w:color="auto"/>
            </w:tcBorders>
            <w:hideMark/>
          </w:tcPr>
          <w:p w14:paraId="41187921" w14:textId="77777777" w:rsidR="0074039C" w:rsidRPr="006F5AE8" w:rsidRDefault="0074039C">
            <w:pPr>
              <w:rPr>
                <w:sz w:val="24"/>
                <w:szCs w:val="24"/>
              </w:rPr>
            </w:pPr>
            <w:r w:rsidRPr="006F5AE8">
              <w:rPr>
                <w:sz w:val="24"/>
                <w:szCs w:val="24"/>
              </w:rPr>
              <w:t>Retroperitoneal haemorrhage</w:t>
            </w:r>
          </w:p>
        </w:tc>
        <w:tc>
          <w:tcPr>
            <w:tcW w:w="1076" w:type="pct"/>
            <w:tcBorders>
              <w:top w:val="single" w:sz="4" w:space="0" w:color="auto"/>
              <w:left w:val="single" w:sz="4" w:space="0" w:color="auto"/>
              <w:bottom w:val="single" w:sz="4" w:space="0" w:color="auto"/>
              <w:right w:val="single" w:sz="4" w:space="0" w:color="auto"/>
            </w:tcBorders>
          </w:tcPr>
          <w:p w14:paraId="62EBAB05" w14:textId="77777777" w:rsidR="0074039C" w:rsidRPr="006F5AE8" w:rsidRDefault="0074039C">
            <w:pPr>
              <w:rPr>
                <w:sz w:val="24"/>
                <w:szCs w:val="24"/>
              </w:rPr>
            </w:pPr>
          </w:p>
        </w:tc>
      </w:tr>
      <w:tr w:rsidR="0074039C" w:rsidRPr="006F5AE8" w14:paraId="42F6DA2C" w14:textId="77777777" w:rsidTr="00B4050A">
        <w:tc>
          <w:tcPr>
            <w:tcW w:w="981" w:type="pct"/>
            <w:tcBorders>
              <w:top w:val="single" w:sz="4" w:space="0" w:color="auto"/>
              <w:left w:val="single" w:sz="4" w:space="0" w:color="auto"/>
              <w:bottom w:val="single" w:sz="4" w:space="0" w:color="auto"/>
              <w:right w:val="single" w:sz="4" w:space="0" w:color="auto"/>
            </w:tcBorders>
            <w:hideMark/>
          </w:tcPr>
          <w:p w14:paraId="366D1925" w14:textId="77777777" w:rsidR="0074039C" w:rsidRPr="006F5AE8" w:rsidRDefault="0074039C">
            <w:pPr>
              <w:rPr>
                <w:sz w:val="24"/>
                <w:szCs w:val="24"/>
              </w:rPr>
            </w:pPr>
            <w:r w:rsidRPr="006F5AE8">
              <w:rPr>
                <w:sz w:val="24"/>
                <w:szCs w:val="24"/>
              </w:rPr>
              <w:t>Skin and subcutaneous tissue disorders</w:t>
            </w:r>
          </w:p>
        </w:tc>
        <w:tc>
          <w:tcPr>
            <w:tcW w:w="984" w:type="pct"/>
            <w:tcBorders>
              <w:top w:val="single" w:sz="4" w:space="0" w:color="auto"/>
              <w:left w:val="single" w:sz="4" w:space="0" w:color="auto"/>
              <w:bottom w:val="single" w:sz="4" w:space="0" w:color="auto"/>
              <w:right w:val="single" w:sz="4" w:space="0" w:color="auto"/>
            </w:tcBorders>
          </w:tcPr>
          <w:p w14:paraId="126A74BD" w14:textId="77777777" w:rsidR="0074039C" w:rsidRPr="006F5AE8" w:rsidRDefault="0074039C">
            <w:pPr>
              <w:rPr>
                <w:sz w:val="24"/>
                <w:szCs w:val="24"/>
              </w:rPr>
            </w:pPr>
          </w:p>
        </w:tc>
        <w:tc>
          <w:tcPr>
            <w:tcW w:w="977" w:type="pct"/>
            <w:tcBorders>
              <w:top w:val="single" w:sz="4" w:space="0" w:color="auto"/>
              <w:left w:val="single" w:sz="4" w:space="0" w:color="auto"/>
              <w:bottom w:val="single" w:sz="4" w:space="0" w:color="auto"/>
              <w:right w:val="single" w:sz="4" w:space="0" w:color="auto"/>
            </w:tcBorders>
            <w:hideMark/>
          </w:tcPr>
          <w:p w14:paraId="71B981FB" w14:textId="77777777" w:rsidR="00B04A37" w:rsidRDefault="0074039C">
            <w:pPr>
              <w:rPr>
                <w:sz w:val="24"/>
                <w:szCs w:val="24"/>
              </w:rPr>
            </w:pPr>
            <w:r w:rsidRPr="006F5AE8">
              <w:rPr>
                <w:sz w:val="24"/>
                <w:szCs w:val="24"/>
              </w:rPr>
              <w:t xml:space="preserve">Subcutaneous or dermal </w:t>
            </w:r>
            <w:proofErr w:type="spellStart"/>
            <w:r w:rsidRPr="006F5AE8">
              <w:rPr>
                <w:sz w:val="24"/>
                <w:szCs w:val="24"/>
              </w:rPr>
              <w:t>bleeding</w:t>
            </w:r>
            <w:r w:rsidRPr="006F5AE8">
              <w:rPr>
                <w:sz w:val="24"/>
                <w:szCs w:val="24"/>
                <w:vertAlign w:val="superscript"/>
              </w:rPr>
              <w:t>h</w:t>
            </w:r>
            <w:proofErr w:type="spellEnd"/>
            <w:r w:rsidRPr="006F5AE8">
              <w:rPr>
                <w:sz w:val="24"/>
                <w:szCs w:val="24"/>
              </w:rPr>
              <w:t xml:space="preserve">, </w:t>
            </w:r>
          </w:p>
          <w:p w14:paraId="7AD2FA9D" w14:textId="77777777" w:rsidR="00B04A37" w:rsidRDefault="0074039C">
            <w:pPr>
              <w:rPr>
                <w:sz w:val="24"/>
                <w:szCs w:val="24"/>
              </w:rPr>
            </w:pPr>
            <w:r w:rsidRPr="006F5AE8">
              <w:rPr>
                <w:sz w:val="24"/>
                <w:szCs w:val="24"/>
              </w:rPr>
              <w:t xml:space="preserve">Rash, </w:t>
            </w:r>
          </w:p>
          <w:p w14:paraId="190D3767" w14:textId="74BC6747" w:rsidR="0074039C" w:rsidRPr="006F5AE8" w:rsidRDefault="0074039C">
            <w:pPr>
              <w:rPr>
                <w:sz w:val="24"/>
                <w:szCs w:val="24"/>
              </w:rPr>
            </w:pPr>
            <w:r w:rsidRPr="006F5AE8">
              <w:rPr>
                <w:sz w:val="24"/>
                <w:szCs w:val="24"/>
              </w:rPr>
              <w:t>Pruritus</w:t>
            </w:r>
          </w:p>
        </w:tc>
        <w:tc>
          <w:tcPr>
            <w:tcW w:w="982" w:type="pct"/>
            <w:tcBorders>
              <w:top w:val="single" w:sz="4" w:space="0" w:color="auto"/>
              <w:left w:val="single" w:sz="4" w:space="0" w:color="auto"/>
              <w:bottom w:val="single" w:sz="4" w:space="0" w:color="auto"/>
              <w:right w:val="single" w:sz="4" w:space="0" w:color="auto"/>
            </w:tcBorders>
          </w:tcPr>
          <w:p w14:paraId="2B131B7F" w14:textId="77777777" w:rsidR="0074039C" w:rsidRPr="006F5AE8" w:rsidRDefault="0074039C">
            <w:pPr>
              <w:rPr>
                <w:sz w:val="24"/>
                <w:szCs w:val="24"/>
              </w:rPr>
            </w:pPr>
          </w:p>
        </w:tc>
        <w:tc>
          <w:tcPr>
            <w:tcW w:w="1076" w:type="pct"/>
            <w:tcBorders>
              <w:top w:val="single" w:sz="4" w:space="0" w:color="auto"/>
              <w:left w:val="single" w:sz="4" w:space="0" w:color="auto"/>
              <w:bottom w:val="single" w:sz="4" w:space="0" w:color="auto"/>
              <w:right w:val="single" w:sz="4" w:space="0" w:color="auto"/>
            </w:tcBorders>
          </w:tcPr>
          <w:p w14:paraId="1712B001" w14:textId="77777777" w:rsidR="0074039C" w:rsidRPr="006F5AE8" w:rsidRDefault="0074039C">
            <w:pPr>
              <w:rPr>
                <w:sz w:val="24"/>
                <w:szCs w:val="24"/>
              </w:rPr>
            </w:pPr>
          </w:p>
        </w:tc>
      </w:tr>
      <w:tr w:rsidR="0074039C" w:rsidRPr="006F5AE8" w14:paraId="3A4A0FEA" w14:textId="77777777" w:rsidTr="00B4050A">
        <w:tc>
          <w:tcPr>
            <w:tcW w:w="981" w:type="pct"/>
            <w:tcBorders>
              <w:top w:val="single" w:sz="4" w:space="0" w:color="auto"/>
              <w:left w:val="single" w:sz="4" w:space="0" w:color="auto"/>
              <w:bottom w:val="single" w:sz="4" w:space="0" w:color="auto"/>
              <w:right w:val="single" w:sz="4" w:space="0" w:color="auto"/>
            </w:tcBorders>
            <w:hideMark/>
          </w:tcPr>
          <w:p w14:paraId="131CB296" w14:textId="77777777" w:rsidR="0074039C" w:rsidRPr="006F5AE8" w:rsidRDefault="0074039C">
            <w:pPr>
              <w:rPr>
                <w:sz w:val="24"/>
                <w:szCs w:val="24"/>
              </w:rPr>
            </w:pPr>
            <w:r w:rsidRPr="006F5AE8">
              <w:rPr>
                <w:sz w:val="24"/>
                <w:szCs w:val="24"/>
              </w:rPr>
              <w:t>Musculoskeletal connective tissue and bone</w:t>
            </w:r>
          </w:p>
        </w:tc>
        <w:tc>
          <w:tcPr>
            <w:tcW w:w="984" w:type="pct"/>
            <w:tcBorders>
              <w:top w:val="single" w:sz="4" w:space="0" w:color="auto"/>
              <w:left w:val="single" w:sz="4" w:space="0" w:color="auto"/>
              <w:bottom w:val="single" w:sz="4" w:space="0" w:color="auto"/>
              <w:right w:val="single" w:sz="4" w:space="0" w:color="auto"/>
            </w:tcBorders>
          </w:tcPr>
          <w:p w14:paraId="4EFBEDD9" w14:textId="77777777" w:rsidR="0074039C" w:rsidRPr="006F5AE8" w:rsidRDefault="0074039C">
            <w:pPr>
              <w:rPr>
                <w:sz w:val="24"/>
                <w:szCs w:val="24"/>
              </w:rPr>
            </w:pPr>
          </w:p>
        </w:tc>
        <w:tc>
          <w:tcPr>
            <w:tcW w:w="977" w:type="pct"/>
            <w:tcBorders>
              <w:top w:val="single" w:sz="4" w:space="0" w:color="auto"/>
              <w:left w:val="single" w:sz="4" w:space="0" w:color="auto"/>
              <w:bottom w:val="single" w:sz="4" w:space="0" w:color="auto"/>
              <w:right w:val="single" w:sz="4" w:space="0" w:color="auto"/>
            </w:tcBorders>
          </w:tcPr>
          <w:p w14:paraId="31E07101" w14:textId="77777777" w:rsidR="0074039C" w:rsidRPr="006F5AE8" w:rsidRDefault="0074039C">
            <w:pPr>
              <w:rPr>
                <w:sz w:val="24"/>
                <w:szCs w:val="24"/>
              </w:rPr>
            </w:pPr>
          </w:p>
        </w:tc>
        <w:tc>
          <w:tcPr>
            <w:tcW w:w="982" w:type="pct"/>
            <w:tcBorders>
              <w:top w:val="single" w:sz="4" w:space="0" w:color="auto"/>
              <w:left w:val="single" w:sz="4" w:space="0" w:color="auto"/>
              <w:bottom w:val="single" w:sz="4" w:space="0" w:color="auto"/>
              <w:right w:val="single" w:sz="4" w:space="0" w:color="auto"/>
            </w:tcBorders>
            <w:hideMark/>
          </w:tcPr>
          <w:p w14:paraId="0A5BFEAB" w14:textId="77777777" w:rsidR="0074039C" w:rsidRPr="006F5AE8" w:rsidRDefault="0074039C">
            <w:pPr>
              <w:rPr>
                <w:sz w:val="24"/>
                <w:szCs w:val="24"/>
              </w:rPr>
            </w:pPr>
            <w:r w:rsidRPr="006F5AE8">
              <w:rPr>
                <w:sz w:val="24"/>
                <w:szCs w:val="24"/>
              </w:rPr>
              <w:t xml:space="preserve">Muscular </w:t>
            </w:r>
            <w:proofErr w:type="spellStart"/>
            <w:r w:rsidRPr="006F5AE8">
              <w:rPr>
                <w:sz w:val="24"/>
                <w:szCs w:val="24"/>
              </w:rPr>
              <w:t>bleedings</w:t>
            </w:r>
            <w:r w:rsidRPr="006F5AE8">
              <w:rPr>
                <w:sz w:val="24"/>
                <w:szCs w:val="24"/>
                <w:vertAlign w:val="superscript"/>
              </w:rPr>
              <w:t>i</w:t>
            </w:r>
            <w:proofErr w:type="spellEnd"/>
          </w:p>
        </w:tc>
        <w:tc>
          <w:tcPr>
            <w:tcW w:w="1076" w:type="pct"/>
            <w:tcBorders>
              <w:top w:val="single" w:sz="4" w:space="0" w:color="auto"/>
              <w:left w:val="single" w:sz="4" w:space="0" w:color="auto"/>
              <w:bottom w:val="single" w:sz="4" w:space="0" w:color="auto"/>
              <w:right w:val="single" w:sz="4" w:space="0" w:color="auto"/>
            </w:tcBorders>
          </w:tcPr>
          <w:p w14:paraId="0645AEA8" w14:textId="77777777" w:rsidR="0074039C" w:rsidRPr="006F5AE8" w:rsidRDefault="0074039C">
            <w:pPr>
              <w:rPr>
                <w:sz w:val="24"/>
                <w:szCs w:val="24"/>
              </w:rPr>
            </w:pPr>
          </w:p>
        </w:tc>
      </w:tr>
      <w:tr w:rsidR="0074039C" w:rsidRPr="006F5AE8" w14:paraId="09C0CD81" w14:textId="77777777" w:rsidTr="00B4050A">
        <w:tc>
          <w:tcPr>
            <w:tcW w:w="981" w:type="pct"/>
            <w:tcBorders>
              <w:top w:val="single" w:sz="4" w:space="0" w:color="auto"/>
              <w:left w:val="single" w:sz="4" w:space="0" w:color="auto"/>
              <w:bottom w:val="single" w:sz="4" w:space="0" w:color="auto"/>
              <w:right w:val="single" w:sz="4" w:space="0" w:color="auto"/>
            </w:tcBorders>
            <w:hideMark/>
          </w:tcPr>
          <w:p w14:paraId="46515647" w14:textId="77777777" w:rsidR="0074039C" w:rsidRPr="006F5AE8" w:rsidRDefault="0074039C">
            <w:pPr>
              <w:rPr>
                <w:sz w:val="24"/>
                <w:szCs w:val="24"/>
              </w:rPr>
            </w:pPr>
            <w:r w:rsidRPr="006F5AE8">
              <w:rPr>
                <w:sz w:val="24"/>
                <w:szCs w:val="24"/>
              </w:rPr>
              <w:t>Renal and urinary disorders</w:t>
            </w:r>
          </w:p>
        </w:tc>
        <w:tc>
          <w:tcPr>
            <w:tcW w:w="984" w:type="pct"/>
            <w:tcBorders>
              <w:top w:val="single" w:sz="4" w:space="0" w:color="auto"/>
              <w:left w:val="single" w:sz="4" w:space="0" w:color="auto"/>
              <w:bottom w:val="single" w:sz="4" w:space="0" w:color="auto"/>
              <w:right w:val="single" w:sz="4" w:space="0" w:color="auto"/>
            </w:tcBorders>
          </w:tcPr>
          <w:p w14:paraId="3967CC91" w14:textId="77777777" w:rsidR="0074039C" w:rsidRPr="006F5AE8" w:rsidRDefault="0074039C">
            <w:pPr>
              <w:rPr>
                <w:sz w:val="24"/>
                <w:szCs w:val="24"/>
              </w:rPr>
            </w:pPr>
          </w:p>
        </w:tc>
        <w:tc>
          <w:tcPr>
            <w:tcW w:w="977" w:type="pct"/>
            <w:tcBorders>
              <w:top w:val="single" w:sz="4" w:space="0" w:color="auto"/>
              <w:left w:val="single" w:sz="4" w:space="0" w:color="auto"/>
              <w:bottom w:val="single" w:sz="4" w:space="0" w:color="auto"/>
              <w:right w:val="single" w:sz="4" w:space="0" w:color="auto"/>
            </w:tcBorders>
            <w:hideMark/>
          </w:tcPr>
          <w:p w14:paraId="5E1FAA4B" w14:textId="77777777" w:rsidR="0074039C" w:rsidRPr="006F5AE8" w:rsidRDefault="0074039C">
            <w:pPr>
              <w:rPr>
                <w:sz w:val="24"/>
                <w:szCs w:val="24"/>
              </w:rPr>
            </w:pPr>
            <w:r w:rsidRPr="006F5AE8">
              <w:rPr>
                <w:sz w:val="24"/>
                <w:szCs w:val="24"/>
              </w:rPr>
              <w:t xml:space="preserve">Urinary tract </w:t>
            </w:r>
            <w:proofErr w:type="spellStart"/>
            <w:r w:rsidRPr="006F5AE8">
              <w:rPr>
                <w:sz w:val="24"/>
                <w:szCs w:val="24"/>
              </w:rPr>
              <w:t>bleeding</w:t>
            </w:r>
            <w:r w:rsidRPr="006F5AE8">
              <w:rPr>
                <w:sz w:val="24"/>
                <w:szCs w:val="24"/>
                <w:vertAlign w:val="superscript"/>
              </w:rPr>
              <w:t>j</w:t>
            </w:r>
            <w:proofErr w:type="spellEnd"/>
          </w:p>
        </w:tc>
        <w:tc>
          <w:tcPr>
            <w:tcW w:w="982" w:type="pct"/>
            <w:tcBorders>
              <w:top w:val="single" w:sz="4" w:space="0" w:color="auto"/>
              <w:left w:val="single" w:sz="4" w:space="0" w:color="auto"/>
              <w:bottom w:val="single" w:sz="4" w:space="0" w:color="auto"/>
              <w:right w:val="single" w:sz="4" w:space="0" w:color="auto"/>
            </w:tcBorders>
          </w:tcPr>
          <w:p w14:paraId="7FD4F45B" w14:textId="77777777" w:rsidR="0074039C" w:rsidRPr="006F5AE8" w:rsidRDefault="0074039C">
            <w:pPr>
              <w:rPr>
                <w:sz w:val="24"/>
                <w:szCs w:val="24"/>
              </w:rPr>
            </w:pPr>
          </w:p>
        </w:tc>
        <w:tc>
          <w:tcPr>
            <w:tcW w:w="1076" w:type="pct"/>
            <w:tcBorders>
              <w:top w:val="single" w:sz="4" w:space="0" w:color="auto"/>
              <w:left w:val="single" w:sz="4" w:space="0" w:color="auto"/>
              <w:bottom w:val="single" w:sz="4" w:space="0" w:color="auto"/>
              <w:right w:val="single" w:sz="4" w:space="0" w:color="auto"/>
            </w:tcBorders>
          </w:tcPr>
          <w:p w14:paraId="27AF4397" w14:textId="77777777" w:rsidR="0074039C" w:rsidRPr="006F5AE8" w:rsidRDefault="0074039C">
            <w:pPr>
              <w:rPr>
                <w:sz w:val="24"/>
                <w:szCs w:val="24"/>
              </w:rPr>
            </w:pPr>
          </w:p>
        </w:tc>
      </w:tr>
      <w:tr w:rsidR="0074039C" w:rsidRPr="006F5AE8" w14:paraId="26F81A21" w14:textId="77777777" w:rsidTr="00B4050A">
        <w:tc>
          <w:tcPr>
            <w:tcW w:w="981" w:type="pct"/>
            <w:tcBorders>
              <w:top w:val="single" w:sz="4" w:space="0" w:color="auto"/>
              <w:left w:val="single" w:sz="4" w:space="0" w:color="auto"/>
              <w:bottom w:val="single" w:sz="4" w:space="0" w:color="auto"/>
              <w:right w:val="single" w:sz="4" w:space="0" w:color="auto"/>
            </w:tcBorders>
            <w:hideMark/>
          </w:tcPr>
          <w:p w14:paraId="44987294" w14:textId="77777777" w:rsidR="0074039C" w:rsidRPr="006F5AE8" w:rsidRDefault="0074039C">
            <w:pPr>
              <w:rPr>
                <w:sz w:val="24"/>
                <w:szCs w:val="24"/>
              </w:rPr>
            </w:pPr>
            <w:r w:rsidRPr="006F5AE8">
              <w:rPr>
                <w:sz w:val="24"/>
                <w:szCs w:val="24"/>
              </w:rPr>
              <w:t>Reproductive system and breast disorders</w:t>
            </w:r>
          </w:p>
        </w:tc>
        <w:tc>
          <w:tcPr>
            <w:tcW w:w="984" w:type="pct"/>
            <w:tcBorders>
              <w:top w:val="single" w:sz="4" w:space="0" w:color="auto"/>
              <w:left w:val="single" w:sz="4" w:space="0" w:color="auto"/>
              <w:bottom w:val="single" w:sz="4" w:space="0" w:color="auto"/>
              <w:right w:val="single" w:sz="4" w:space="0" w:color="auto"/>
            </w:tcBorders>
          </w:tcPr>
          <w:p w14:paraId="277071C2" w14:textId="77777777" w:rsidR="0074039C" w:rsidRPr="006F5AE8" w:rsidRDefault="0074039C">
            <w:pPr>
              <w:rPr>
                <w:sz w:val="24"/>
                <w:szCs w:val="24"/>
              </w:rPr>
            </w:pPr>
          </w:p>
        </w:tc>
        <w:tc>
          <w:tcPr>
            <w:tcW w:w="977" w:type="pct"/>
            <w:tcBorders>
              <w:top w:val="single" w:sz="4" w:space="0" w:color="auto"/>
              <w:left w:val="single" w:sz="4" w:space="0" w:color="auto"/>
              <w:bottom w:val="single" w:sz="4" w:space="0" w:color="auto"/>
              <w:right w:val="single" w:sz="4" w:space="0" w:color="auto"/>
            </w:tcBorders>
          </w:tcPr>
          <w:p w14:paraId="1FC8D8B9" w14:textId="77777777" w:rsidR="0074039C" w:rsidRPr="006F5AE8" w:rsidRDefault="0074039C">
            <w:pPr>
              <w:rPr>
                <w:sz w:val="24"/>
                <w:szCs w:val="24"/>
              </w:rPr>
            </w:pPr>
          </w:p>
        </w:tc>
        <w:tc>
          <w:tcPr>
            <w:tcW w:w="982" w:type="pct"/>
            <w:tcBorders>
              <w:top w:val="single" w:sz="4" w:space="0" w:color="auto"/>
              <w:left w:val="single" w:sz="4" w:space="0" w:color="auto"/>
              <w:bottom w:val="single" w:sz="4" w:space="0" w:color="auto"/>
              <w:right w:val="single" w:sz="4" w:space="0" w:color="auto"/>
            </w:tcBorders>
            <w:hideMark/>
          </w:tcPr>
          <w:p w14:paraId="772F025A" w14:textId="77777777" w:rsidR="0074039C" w:rsidRPr="006F5AE8" w:rsidRDefault="0074039C">
            <w:pPr>
              <w:rPr>
                <w:sz w:val="24"/>
                <w:szCs w:val="24"/>
              </w:rPr>
            </w:pPr>
            <w:r w:rsidRPr="006F5AE8">
              <w:rPr>
                <w:sz w:val="24"/>
                <w:szCs w:val="24"/>
              </w:rPr>
              <w:t xml:space="preserve">Reproductive system </w:t>
            </w:r>
            <w:proofErr w:type="spellStart"/>
            <w:r w:rsidRPr="006F5AE8">
              <w:rPr>
                <w:sz w:val="24"/>
                <w:szCs w:val="24"/>
              </w:rPr>
              <w:t>bleedings</w:t>
            </w:r>
            <w:r w:rsidRPr="006F5AE8">
              <w:rPr>
                <w:sz w:val="24"/>
                <w:szCs w:val="24"/>
                <w:vertAlign w:val="superscript"/>
              </w:rPr>
              <w:t>k</w:t>
            </w:r>
            <w:proofErr w:type="spellEnd"/>
          </w:p>
        </w:tc>
        <w:tc>
          <w:tcPr>
            <w:tcW w:w="1076" w:type="pct"/>
            <w:tcBorders>
              <w:top w:val="single" w:sz="4" w:space="0" w:color="auto"/>
              <w:left w:val="single" w:sz="4" w:space="0" w:color="auto"/>
              <w:bottom w:val="single" w:sz="4" w:space="0" w:color="auto"/>
              <w:right w:val="single" w:sz="4" w:space="0" w:color="auto"/>
            </w:tcBorders>
          </w:tcPr>
          <w:p w14:paraId="617A2C08" w14:textId="77777777" w:rsidR="0074039C" w:rsidRPr="006F5AE8" w:rsidRDefault="0074039C">
            <w:pPr>
              <w:rPr>
                <w:sz w:val="24"/>
                <w:szCs w:val="24"/>
              </w:rPr>
            </w:pPr>
          </w:p>
        </w:tc>
      </w:tr>
      <w:tr w:rsidR="0074039C" w:rsidRPr="006F5AE8" w14:paraId="4B3036BB" w14:textId="77777777" w:rsidTr="00B4050A">
        <w:tc>
          <w:tcPr>
            <w:tcW w:w="981" w:type="pct"/>
            <w:tcBorders>
              <w:top w:val="single" w:sz="4" w:space="0" w:color="auto"/>
              <w:left w:val="single" w:sz="4" w:space="0" w:color="auto"/>
              <w:bottom w:val="single" w:sz="4" w:space="0" w:color="auto"/>
              <w:right w:val="single" w:sz="4" w:space="0" w:color="auto"/>
            </w:tcBorders>
            <w:hideMark/>
          </w:tcPr>
          <w:p w14:paraId="170F3B0F" w14:textId="77777777" w:rsidR="0074039C" w:rsidRPr="006F5AE8" w:rsidRDefault="0074039C">
            <w:pPr>
              <w:rPr>
                <w:sz w:val="24"/>
                <w:szCs w:val="24"/>
              </w:rPr>
            </w:pPr>
            <w:r w:rsidRPr="006F5AE8">
              <w:rPr>
                <w:sz w:val="24"/>
                <w:szCs w:val="24"/>
              </w:rPr>
              <w:t>Investigations</w:t>
            </w:r>
          </w:p>
        </w:tc>
        <w:tc>
          <w:tcPr>
            <w:tcW w:w="984" w:type="pct"/>
            <w:tcBorders>
              <w:top w:val="single" w:sz="4" w:space="0" w:color="auto"/>
              <w:left w:val="single" w:sz="4" w:space="0" w:color="auto"/>
              <w:bottom w:val="single" w:sz="4" w:space="0" w:color="auto"/>
              <w:right w:val="single" w:sz="4" w:space="0" w:color="auto"/>
            </w:tcBorders>
          </w:tcPr>
          <w:p w14:paraId="3E596479" w14:textId="77777777" w:rsidR="0074039C" w:rsidRPr="006F5AE8" w:rsidRDefault="0074039C">
            <w:pPr>
              <w:rPr>
                <w:sz w:val="24"/>
                <w:szCs w:val="24"/>
              </w:rPr>
            </w:pPr>
          </w:p>
        </w:tc>
        <w:tc>
          <w:tcPr>
            <w:tcW w:w="977" w:type="pct"/>
            <w:tcBorders>
              <w:top w:val="single" w:sz="4" w:space="0" w:color="auto"/>
              <w:left w:val="single" w:sz="4" w:space="0" w:color="auto"/>
              <w:bottom w:val="single" w:sz="4" w:space="0" w:color="auto"/>
              <w:right w:val="single" w:sz="4" w:space="0" w:color="auto"/>
            </w:tcBorders>
            <w:hideMark/>
          </w:tcPr>
          <w:p w14:paraId="06704E60" w14:textId="77777777" w:rsidR="0074039C" w:rsidRPr="006F5AE8" w:rsidRDefault="0074039C">
            <w:pPr>
              <w:rPr>
                <w:sz w:val="24"/>
                <w:szCs w:val="24"/>
              </w:rPr>
            </w:pPr>
            <w:r w:rsidRPr="006F5AE8">
              <w:rPr>
                <w:sz w:val="24"/>
                <w:szCs w:val="24"/>
              </w:rPr>
              <w:t xml:space="preserve">Blood creatinine </w:t>
            </w:r>
            <w:proofErr w:type="spellStart"/>
            <w:r w:rsidRPr="006F5AE8">
              <w:rPr>
                <w:sz w:val="24"/>
                <w:szCs w:val="24"/>
              </w:rPr>
              <w:t>increased</w:t>
            </w:r>
            <w:r w:rsidRPr="006F5AE8">
              <w:rPr>
                <w:sz w:val="24"/>
                <w:szCs w:val="24"/>
                <w:vertAlign w:val="superscript"/>
              </w:rPr>
              <w:t>d</w:t>
            </w:r>
            <w:proofErr w:type="spellEnd"/>
          </w:p>
        </w:tc>
        <w:tc>
          <w:tcPr>
            <w:tcW w:w="982" w:type="pct"/>
            <w:tcBorders>
              <w:top w:val="single" w:sz="4" w:space="0" w:color="auto"/>
              <w:left w:val="single" w:sz="4" w:space="0" w:color="auto"/>
              <w:bottom w:val="single" w:sz="4" w:space="0" w:color="auto"/>
              <w:right w:val="single" w:sz="4" w:space="0" w:color="auto"/>
            </w:tcBorders>
          </w:tcPr>
          <w:p w14:paraId="1D7B793E" w14:textId="77777777" w:rsidR="0074039C" w:rsidRPr="006F5AE8" w:rsidRDefault="0074039C">
            <w:pPr>
              <w:rPr>
                <w:sz w:val="24"/>
                <w:szCs w:val="24"/>
              </w:rPr>
            </w:pPr>
          </w:p>
        </w:tc>
        <w:tc>
          <w:tcPr>
            <w:tcW w:w="1076" w:type="pct"/>
            <w:tcBorders>
              <w:top w:val="single" w:sz="4" w:space="0" w:color="auto"/>
              <w:left w:val="single" w:sz="4" w:space="0" w:color="auto"/>
              <w:bottom w:val="single" w:sz="4" w:space="0" w:color="auto"/>
              <w:right w:val="single" w:sz="4" w:space="0" w:color="auto"/>
            </w:tcBorders>
          </w:tcPr>
          <w:p w14:paraId="24E6F420" w14:textId="77777777" w:rsidR="0074039C" w:rsidRPr="006F5AE8" w:rsidRDefault="0074039C">
            <w:pPr>
              <w:rPr>
                <w:sz w:val="24"/>
                <w:szCs w:val="24"/>
              </w:rPr>
            </w:pPr>
          </w:p>
        </w:tc>
      </w:tr>
      <w:tr w:rsidR="0074039C" w:rsidRPr="00DD435F" w14:paraId="6859F1E7" w14:textId="77777777" w:rsidTr="00B4050A">
        <w:tc>
          <w:tcPr>
            <w:tcW w:w="981" w:type="pct"/>
            <w:tcBorders>
              <w:top w:val="single" w:sz="4" w:space="0" w:color="auto"/>
              <w:left w:val="single" w:sz="4" w:space="0" w:color="auto"/>
              <w:bottom w:val="single" w:sz="4" w:space="0" w:color="auto"/>
              <w:right w:val="single" w:sz="4" w:space="0" w:color="auto"/>
            </w:tcBorders>
            <w:hideMark/>
          </w:tcPr>
          <w:p w14:paraId="13B08C3D" w14:textId="77777777" w:rsidR="0074039C" w:rsidRPr="006F5AE8" w:rsidRDefault="0074039C">
            <w:pPr>
              <w:rPr>
                <w:sz w:val="24"/>
                <w:szCs w:val="24"/>
              </w:rPr>
            </w:pPr>
            <w:r w:rsidRPr="006F5AE8">
              <w:rPr>
                <w:sz w:val="24"/>
                <w:szCs w:val="24"/>
              </w:rPr>
              <w:t>Injury, poisoning and procedural complications</w:t>
            </w:r>
          </w:p>
        </w:tc>
        <w:tc>
          <w:tcPr>
            <w:tcW w:w="984" w:type="pct"/>
            <w:tcBorders>
              <w:top w:val="single" w:sz="4" w:space="0" w:color="auto"/>
              <w:left w:val="single" w:sz="4" w:space="0" w:color="auto"/>
              <w:bottom w:val="single" w:sz="4" w:space="0" w:color="auto"/>
              <w:right w:val="single" w:sz="4" w:space="0" w:color="auto"/>
            </w:tcBorders>
          </w:tcPr>
          <w:p w14:paraId="7700ADA3" w14:textId="77777777" w:rsidR="0074039C" w:rsidRPr="006F5AE8" w:rsidRDefault="0074039C">
            <w:pPr>
              <w:rPr>
                <w:sz w:val="24"/>
                <w:szCs w:val="24"/>
              </w:rPr>
            </w:pPr>
          </w:p>
        </w:tc>
        <w:tc>
          <w:tcPr>
            <w:tcW w:w="977" w:type="pct"/>
            <w:tcBorders>
              <w:top w:val="single" w:sz="4" w:space="0" w:color="auto"/>
              <w:left w:val="single" w:sz="4" w:space="0" w:color="auto"/>
              <w:bottom w:val="single" w:sz="4" w:space="0" w:color="auto"/>
              <w:right w:val="single" w:sz="4" w:space="0" w:color="auto"/>
            </w:tcBorders>
            <w:hideMark/>
          </w:tcPr>
          <w:p w14:paraId="7012503B" w14:textId="77777777" w:rsidR="0074039C" w:rsidRPr="006F5AE8" w:rsidRDefault="0074039C">
            <w:pPr>
              <w:rPr>
                <w:sz w:val="24"/>
                <w:szCs w:val="24"/>
              </w:rPr>
            </w:pPr>
            <w:r w:rsidRPr="006F5AE8">
              <w:rPr>
                <w:sz w:val="24"/>
                <w:szCs w:val="24"/>
              </w:rPr>
              <w:t xml:space="preserve">Post procedural haemorrhage, Traumatic </w:t>
            </w:r>
            <w:proofErr w:type="spellStart"/>
            <w:r w:rsidRPr="006F5AE8">
              <w:rPr>
                <w:sz w:val="24"/>
                <w:szCs w:val="24"/>
              </w:rPr>
              <w:t>bleedings</w:t>
            </w:r>
            <w:r w:rsidRPr="006F5AE8">
              <w:rPr>
                <w:sz w:val="24"/>
                <w:szCs w:val="24"/>
                <w:vertAlign w:val="superscript"/>
              </w:rPr>
              <w:t>l</w:t>
            </w:r>
            <w:proofErr w:type="spellEnd"/>
          </w:p>
        </w:tc>
        <w:tc>
          <w:tcPr>
            <w:tcW w:w="982" w:type="pct"/>
            <w:tcBorders>
              <w:top w:val="single" w:sz="4" w:space="0" w:color="auto"/>
              <w:left w:val="single" w:sz="4" w:space="0" w:color="auto"/>
              <w:bottom w:val="single" w:sz="4" w:space="0" w:color="auto"/>
              <w:right w:val="single" w:sz="4" w:space="0" w:color="auto"/>
            </w:tcBorders>
          </w:tcPr>
          <w:p w14:paraId="099CD7C1" w14:textId="77777777" w:rsidR="0074039C" w:rsidRPr="006F5AE8" w:rsidRDefault="0074039C">
            <w:pPr>
              <w:rPr>
                <w:sz w:val="24"/>
                <w:szCs w:val="24"/>
              </w:rPr>
            </w:pPr>
          </w:p>
        </w:tc>
        <w:tc>
          <w:tcPr>
            <w:tcW w:w="1076" w:type="pct"/>
            <w:tcBorders>
              <w:top w:val="single" w:sz="4" w:space="0" w:color="auto"/>
              <w:left w:val="single" w:sz="4" w:space="0" w:color="auto"/>
              <w:bottom w:val="single" w:sz="4" w:space="0" w:color="auto"/>
              <w:right w:val="single" w:sz="4" w:space="0" w:color="auto"/>
            </w:tcBorders>
          </w:tcPr>
          <w:p w14:paraId="610DC561" w14:textId="77777777" w:rsidR="0074039C" w:rsidRPr="006F5AE8" w:rsidRDefault="0074039C">
            <w:pPr>
              <w:rPr>
                <w:sz w:val="24"/>
                <w:szCs w:val="24"/>
              </w:rPr>
            </w:pPr>
          </w:p>
        </w:tc>
      </w:tr>
      <w:tr w:rsidR="0074039C" w:rsidRPr="00DD435F" w14:paraId="49A1AAA4" w14:textId="77777777" w:rsidTr="00B4050A">
        <w:tc>
          <w:tcPr>
            <w:tcW w:w="5000" w:type="pct"/>
            <w:gridSpan w:val="5"/>
            <w:tcBorders>
              <w:top w:val="single" w:sz="4" w:space="0" w:color="auto"/>
              <w:left w:val="single" w:sz="4" w:space="0" w:color="auto"/>
              <w:bottom w:val="single" w:sz="4" w:space="0" w:color="auto"/>
              <w:right w:val="single" w:sz="4" w:space="0" w:color="auto"/>
            </w:tcBorders>
            <w:hideMark/>
          </w:tcPr>
          <w:p w14:paraId="5DA218B0" w14:textId="5A829F07" w:rsidR="0074039C" w:rsidRPr="006F5AE8" w:rsidRDefault="0074039C" w:rsidP="00B04A37">
            <w:pPr>
              <w:ind w:left="316" w:hanging="284"/>
              <w:rPr>
                <w:sz w:val="24"/>
                <w:szCs w:val="24"/>
              </w:rPr>
            </w:pPr>
            <w:proofErr w:type="spellStart"/>
            <w:r w:rsidRPr="006F5AE8">
              <w:rPr>
                <w:sz w:val="24"/>
                <w:szCs w:val="24"/>
                <w:vertAlign w:val="superscript"/>
              </w:rPr>
              <w:t>a</w:t>
            </w:r>
            <w:proofErr w:type="spellEnd"/>
            <w:r w:rsidRPr="006F5AE8">
              <w:rPr>
                <w:sz w:val="24"/>
                <w:szCs w:val="24"/>
              </w:rPr>
              <w:t xml:space="preserve"> </w:t>
            </w:r>
            <w:r w:rsidR="00B04A37">
              <w:rPr>
                <w:sz w:val="24"/>
                <w:szCs w:val="24"/>
              </w:rPr>
              <w:tab/>
            </w:r>
            <w:r w:rsidRPr="006F5AE8">
              <w:rPr>
                <w:sz w:val="24"/>
                <w:szCs w:val="24"/>
              </w:rPr>
              <w:t>e.g., bleeding from bladder cancer, gastric cancer, colon cancer</w:t>
            </w:r>
          </w:p>
          <w:p w14:paraId="2E99F5C0" w14:textId="601BBA77" w:rsidR="0074039C" w:rsidRPr="006F5AE8" w:rsidRDefault="0074039C" w:rsidP="00B04A37">
            <w:pPr>
              <w:ind w:left="316" w:hanging="284"/>
              <w:rPr>
                <w:sz w:val="24"/>
                <w:szCs w:val="24"/>
              </w:rPr>
            </w:pPr>
            <w:r w:rsidRPr="006F5AE8">
              <w:rPr>
                <w:sz w:val="24"/>
                <w:szCs w:val="24"/>
                <w:vertAlign w:val="superscript"/>
              </w:rPr>
              <w:t>b</w:t>
            </w:r>
            <w:r w:rsidRPr="006F5AE8">
              <w:rPr>
                <w:sz w:val="24"/>
                <w:szCs w:val="24"/>
              </w:rPr>
              <w:t xml:space="preserve"> </w:t>
            </w:r>
            <w:r w:rsidR="00B04A37">
              <w:rPr>
                <w:sz w:val="24"/>
                <w:szCs w:val="24"/>
              </w:rPr>
              <w:tab/>
            </w:r>
            <w:r w:rsidRPr="006F5AE8">
              <w:rPr>
                <w:sz w:val="24"/>
                <w:szCs w:val="24"/>
              </w:rPr>
              <w:t>e.g., increased tendency to bruise, spontaneous haematoma, haemorrhagic diathesis</w:t>
            </w:r>
          </w:p>
          <w:p w14:paraId="63758A1C" w14:textId="22CD48CA" w:rsidR="0074039C" w:rsidRPr="006F5AE8" w:rsidRDefault="0074039C" w:rsidP="00B04A37">
            <w:pPr>
              <w:ind w:left="316" w:hanging="284"/>
              <w:rPr>
                <w:sz w:val="24"/>
                <w:szCs w:val="24"/>
              </w:rPr>
            </w:pPr>
            <w:r w:rsidRPr="006F5AE8">
              <w:rPr>
                <w:sz w:val="24"/>
                <w:szCs w:val="24"/>
                <w:vertAlign w:val="superscript"/>
              </w:rPr>
              <w:t>c</w:t>
            </w:r>
            <w:r w:rsidRPr="006F5AE8">
              <w:rPr>
                <w:sz w:val="24"/>
                <w:szCs w:val="24"/>
              </w:rPr>
              <w:t xml:space="preserve"> </w:t>
            </w:r>
            <w:r w:rsidR="00B04A37">
              <w:rPr>
                <w:sz w:val="24"/>
                <w:szCs w:val="24"/>
              </w:rPr>
              <w:tab/>
            </w:r>
            <w:r w:rsidRPr="006F5AE8">
              <w:rPr>
                <w:sz w:val="24"/>
                <w:szCs w:val="24"/>
              </w:rPr>
              <w:t>Identified in post-marketing experience</w:t>
            </w:r>
          </w:p>
          <w:p w14:paraId="2F403954" w14:textId="386E33E4" w:rsidR="0074039C" w:rsidRPr="006F5AE8" w:rsidRDefault="0074039C" w:rsidP="00B04A37">
            <w:pPr>
              <w:ind w:left="316" w:hanging="284"/>
              <w:rPr>
                <w:sz w:val="24"/>
                <w:szCs w:val="24"/>
              </w:rPr>
            </w:pPr>
            <w:r w:rsidRPr="006F5AE8">
              <w:rPr>
                <w:sz w:val="24"/>
                <w:szCs w:val="24"/>
                <w:vertAlign w:val="superscript"/>
              </w:rPr>
              <w:t>d</w:t>
            </w:r>
            <w:r w:rsidRPr="006F5AE8">
              <w:rPr>
                <w:sz w:val="24"/>
                <w:szCs w:val="24"/>
              </w:rPr>
              <w:t xml:space="preserve"> </w:t>
            </w:r>
            <w:r w:rsidR="00B04A37">
              <w:rPr>
                <w:sz w:val="24"/>
                <w:szCs w:val="24"/>
              </w:rPr>
              <w:tab/>
            </w:r>
            <w:r w:rsidRPr="006F5AE8">
              <w:rPr>
                <w:sz w:val="24"/>
                <w:szCs w:val="24"/>
              </w:rPr>
              <w:t>Frequencies derived from lab observations (Uric acid increases to &gt;upper limit of normal from baseline below or within reference range. Creatinine increases of &gt;50% from baseline.) and not crude adverse event report frequency.</w:t>
            </w:r>
          </w:p>
          <w:p w14:paraId="4DE4073C" w14:textId="76C988BE" w:rsidR="0074039C" w:rsidRPr="006F5AE8" w:rsidRDefault="0074039C" w:rsidP="00B04A37">
            <w:pPr>
              <w:ind w:left="316" w:hanging="284"/>
              <w:rPr>
                <w:sz w:val="24"/>
                <w:szCs w:val="24"/>
              </w:rPr>
            </w:pPr>
            <w:r w:rsidRPr="006F5AE8">
              <w:rPr>
                <w:sz w:val="24"/>
                <w:szCs w:val="24"/>
                <w:vertAlign w:val="superscript"/>
              </w:rPr>
              <w:t>e</w:t>
            </w:r>
            <w:r w:rsidRPr="006F5AE8">
              <w:rPr>
                <w:sz w:val="24"/>
                <w:szCs w:val="24"/>
              </w:rPr>
              <w:t xml:space="preserve"> </w:t>
            </w:r>
            <w:r w:rsidR="00B04A37">
              <w:rPr>
                <w:sz w:val="24"/>
                <w:szCs w:val="24"/>
              </w:rPr>
              <w:tab/>
            </w:r>
            <w:r w:rsidRPr="006F5AE8">
              <w:rPr>
                <w:sz w:val="24"/>
                <w:szCs w:val="24"/>
              </w:rPr>
              <w:t>e.g., conjunctival, retinal, intraocular bleeding</w:t>
            </w:r>
          </w:p>
          <w:p w14:paraId="3FF659B8" w14:textId="2C8FD5D7" w:rsidR="0074039C" w:rsidRPr="006F5AE8" w:rsidRDefault="0074039C" w:rsidP="00B04A37">
            <w:pPr>
              <w:ind w:left="316" w:hanging="284"/>
              <w:rPr>
                <w:sz w:val="24"/>
                <w:szCs w:val="24"/>
              </w:rPr>
            </w:pPr>
            <w:r w:rsidRPr="006F5AE8">
              <w:rPr>
                <w:sz w:val="24"/>
                <w:szCs w:val="24"/>
                <w:vertAlign w:val="superscript"/>
              </w:rPr>
              <w:t>f</w:t>
            </w:r>
            <w:r w:rsidRPr="006F5AE8">
              <w:rPr>
                <w:sz w:val="24"/>
                <w:szCs w:val="24"/>
              </w:rPr>
              <w:t xml:space="preserve"> </w:t>
            </w:r>
            <w:r w:rsidR="00B04A37">
              <w:rPr>
                <w:sz w:val="24"/>
                <w:szCs w:val="24"/>
              </w:rPr>
              <w:tab/>
            </w:r>
            <w:r w:rsidRPr="006F5AE8">
              <w:rPr>
                <w:sz w:val="24"/>
                <w:szCs w:val="24"/>
              </w:rPr>
              <w:t>e.g., epistaxis, haemoptysis</w:t>
            </w:r>
          </w:p>
          <w:p w14:paraId="68DCC846" w14:textId="250B537A" w:rsidR="0074039C" w:rsidRPr="006F5AE8" w:rsidRDefault="0074039C" w:rsidP="00B04A37">
            <w:pPr>
              <w:ind w:left="316" w:hanging="284"/>
              <w:rPr>
                <w:sz w:val="24"/>
                <w:szCs w:val="24"/>
              </w:rPr>
            </w:pPr>
            <w:r w:rsidRPr="006F5AE8">
              <w:rPr>
                <w:sz w:val="24"/>
                <w:szCs w:val="24"/>
                <w:vertAlign w:val="superscript"/>
              </w:rPr>
              <w:t>g</w:t>
            </w:r>
            <w:r w:rsidRPr="006F5AE8">
              <w:rPr>
                <w:sz w:val="24"/>
                <w:szCs w:val="24"/>
              </w:rPr>
              <w:t xml:space="preserve"> </w:t>
            </w:r>
            <w:r w:rsidR="00B04A37">
              <w:rPr>
                <w:sz w:val="24"/>
                <w:szCs w:val="24"/>
              </w:rPr>
              <w:tab/>
            </w:r>
            <w:r w:rsidRPr="006F5AE8">
              <w:rPr>
                <w:sz w:val="24"/>
                <w:szCs w:val="24"/>
              </w:rPr>
              <w:t>e.g., gingival bleeding, rectal haemorrhage, gastric ulcer haemorrhage</w:t>
            </w:r>
          </w:p>
          <w:p w14:paraId="78FC1CDD" w14:textId="3E8E35E7" w:rsidR="0074039C" w:rsidRPr="006F5AE8" w:rsidRDefault="0074039C" w:rsidP="00B04A37">
            <w:pPr>
              <w:ind w:left="316" w:hanging="284"/>
              <w:rPr>
                <w:sz w:val="24"/>
                <w:szCs w:val="24"/>
              </w:rPr>
            </w:pPr>
            <w:r w:rsidRPr="006F5AE8">
              <w:rPr>
                <w:sz w:val="24"/>
                <w:szCs w:val="24"/>
                <w:vertAlign w:val="superscript"/>
              </w:rPr>
              <w:t>h</w:t>
            </w:r>
            <w:r w:rsidRPr="006F5AE8">
              <w:rPr>
                <w:sz w:val="24"/>
                <w:szCs w:val="24"/>
              </w:rPr>
              <w:t xml:space="preserve"> </w:t>
            </w:r>
            <w:r w:rsidR="00B04A37">
              <w:rPr>
                <w:sz w:val="24"/>
                <w:szCs w:val="24"/>
              </w:rPr>
              <w:tab/>
            </w:r>
            <w:r w:rsidRPr="006F5AE8">
              <w:rPr>
                <w:sz w:val="24"/>
                <w:szCs w:val="24"/>
              </w:rPr>
              <w:t>e.g., ecchymosis, skin haemorrhage, petechiae</w:t>
            </w:r>
          </w:p>
          <w:p w14:paraId="7AEC38A7" w14:textId="70B6BCCD" w:rsidR="0074039C" w:rsidRPr="006F5AE8" w:rsidRDefault="0074039C" w:rsidP="00B04A37">
            <w:pPr>
              <w:ind w:left="316" w:hanging="284"/>
              <w:rPr>
                <w:sz w:val="24"/>
                <w:szCs w:val="24"/>
              </w:rPr>
            </w:pPr>
            <w:r w:rsidRPr="006F5AE8">
              <w:rPr>
                <w:sz w:val="24"/>
                <w:szCs w:val="24"/>
                <w:vertAlign w:val="superscript"/>
              </w:rPr>
              <w:t>i</w:t>
            </w:r>
            <w:r w:rsidRPr="006F5AE8">
              <w:rPr>
                <w:sz w:val="24"/>
                <w:szCs w:val="24"/>
              </w:rPr>
              <w:t xml:space="preserve"> </w:t>
            </w:r>
            <w:r w:rsidR="00B04A37">
              <w:rPr>
                <w:sz w:val="24"/>
                <w:szCs w:val="24"/>
              </w:rPr>
              <w:tab/>
            </w:r>
            <w:r w:rsidRPr="006F5AE8">
              <w:rPr>
                <w:sz w:val="24"/>
                <w:szCs w:val="24"/>
              </w:rPr>
              <w:t xml:space="preserve">e.g., </w:t>
            </w:r>
            <w:proofErr w:type="spellStart"/>
            <w:r w:rsidRPr="006F5AE8">
              <w:rPr>
                <w:sz w:val="24"/>
                <w:szCs w:val="24"/>
              </w:rPr>
              <w:t>haemarthrosis</w:t>
            </w:r>
            <w:proofErr w:type="spellEnd"/>
            <w:r w:rsidRPr="006F5AE8">
              <w:rPr>
                <w:sz w:val="24"/>
                <w:szCs w:val="24"/>
              </w:rPr>
              <w:t>, muscle haemorrhage</w:t>
            </w:r>
          </w:p>
          <w:p w14:paraId="53464DF0" w14:textId="2D75F52B" w:rsidR="0074039C" w:rsidRPr="006F5AE8" w:rsidRDefault="0074039C" w:rsidP="00B04A37">
            <w:pPr>
              <w:ind w:left="316" w:hanging="284"/>
              <w:rPr>
                <w:sz w:val="24"/>
                <w:szCs w:val="24"/>
              </w:rPr>
            </w:pPr>
            <w:r w:rsidRPr="006F5AE8">
              <w:rPr>
                <w:sz w:val="24"/>
                <w:szCs w:val="24"/>
                <w:vertAlign w:val="superscript"/>
              </w:rPr>
              <w:t>j</w:t>
            </w:r>
            <w:r w:rsidRPr="006F5AE8">
              <w:rPr>
                <w:sz w:val="24"/>
                <w:szCs w:val="24"/>
              </w:rPr>
              <w:t xml:space="preserve"> </w:t>
            </w:r>
            <w:r w:rsidR="00B04A37">
              <w:rPr>
                <w:sz w:val="24"/>
                <w:szCs w:val="24"/>
              </w:rPr>
              <w:tab/>
            </w:r>
            <w:r w:rsidRPr="006F5AE8">
              <w:rPr>
                <w:sz w:val="24"/>
                <w:szCs w:val="24"/>
              </w:rPr>
              <w:t>e.g., haematuria, cystitis haemorrhagic</w:t>
            </w:r>
          </w:p>
          <w:p w14:paraId="4B28BFFC" w14:textId="214B2D4B" w:rsidR="0074039C" w:rsidRPr="006F5AE8" w:rsidRDefault="0074039C" w:rsidP="00B04A37">
            <w:pPr>
              <w:ind w:left="316" w:hanging="284"/>
              <w:rPr>
                <w:sz w:val="24"/>
                <w:szCs w:val="24"/>
              </w:rPr>
            </w:pPr>
            <w:r w:rsidRPr="006F5AE8">
              <w:rPr>
                <w:sz w:val="24"/>
                <w:szCs w:val="24"/>
                <w:vertAlign w:val="superscript"/>
              </w:rPr>
              <w:t>k</w:t>
            </w:r>
            <w:r w:rsidRPr="006F5AE8">
              <w:rPr>
                <w:sz w:val="24"/>
                <w:szCs w:val="24"/>
              </w:rPr>
              <w:t xml:space="preserve"> </w:t>
            </w:r>
            <w:r w:rsidR="00B04A37">
              <w:rPr>
                <w:sz w:val="24"/>
                <w:szCs w:val="24"/>
              </w:rPr>
              <w:tab/>
            </w:r>
            <w:r w:rsidRPr="006F5AE8">
              <w:rPr>
                <w:sz w:val="24"/>
                <w:szCs w:val="24"/>
              </w:rPr>
              <w:t xml:space="preserve">e.g., vaginal haemorrhage, </w:t>
            </w:r>
            <w:proofErr w:type="spellStart"/>
            <w:r w:rsidRPr="006F5AE8">
              <w:rPr>
                <w:sz w:val="24"/>
                <w:szCs w:val="24"/>
              </w:rPr>
              <w:t>haematospermia</w:t>
            </w:r>
            <w:proofErr w:type="spellEnd"/>
            <w:r w:rsidRPr="006F5AE8">
              <w:rPr>
                <w:sz w:val="24"/>
                <w:szCs w:val="24"/>
              </w:rPr>
              <w:t>, postmenopausal haemorrhage</w:t>
            </w:r>
          </w:p>
          <w:p w14:paraId="755A118B" w14:textId="5C155256" w:rsidR="0074039C" w:rsidRPr="006F5AE8" w:rsidRDefault="0074039C" w:rsidP="00B04A37">
            <w:pPr>
              <w:ind w:left="316" w:hanging="284"/>
              <w:rPr>
                <w:sz w:val="24"/>
                <w:szCs w:val="24"/>
              </w:rPr>
            </w:pPr>
            <w:r w:rsidRPr="006F5AE8">
              <w:rPr>
                <w:sz w:val="24"/>
                <w:szCs w:val="24"/>
                <w:vertAlign w:val="superscript"/>
              </w:rPr>
              <w:t>l</w:t>
            </w:r>
            <w:r w:rsidRPr="006F5AE8">
              <w:rPr>
                <w:sz w:val="24"/>
                <w:szCs w:val="24"/>
              </w:rPr>
              <w:t xml:space="preserve"> </w:t>
            </w:r>
            <w:r w:rsidR="00B04A37">
              <w:rPr>
                <w:sz w:val="24"/>
                <w:szCs w:val="24"/>
              </w:rPr>
              <w:tab/>
            </w:r>
            <w:r w:rsidRPr="006F5AE8">
              <w:rPr>
                <w:sz w:val="24"/>
                <w:szCs w:val="24"/>
              </w:rPr>
              <w:t>e.g., contusion, traumatic haematoma, traumatic haemorrhage</w:t>
            </w:r>
          </w:p>
          <w:p w14:paraId="1B5FEA06" w14:textId="3913C0AB" w:rsidR="0074039C" w:rsidRPr="006F5AE8" w:rsidRDefault="0074039C" w:rsidP="00B04A37">
            <w:pPr>
              <w:ind w:left="316" w:hanging="284"/>
              <w:rPr>
                <w:sz w:val="24"/>
                <w:szCs w:val="24"/>
              </w:rPr>
            </w:pPr>
            <w:r w:rsidRPr="006F5AE8">
              <w:rPr>
                <w:sz w:val="24"/>
                <w:szCs w:val="24"/>
                <w:vertAlign w:val="superscript"/>
              </w:rPr>
              <w:t>m</w:t>
            </w:r>
            <w:r w:rsidRPr="006F5AE8">
              <w:rPr>
                <w:sz w:val="24"/>
                <w:szCs w:val="24"/>
              </w:rPr>
              <w:t xml:space="preserve"> </w:t>
            </w:r>
            <w:r w:rsidR="00B04A37">
              <w:rPr>
                <w:sz w:val="24"/>
                <w:szCs w:val="24"/>
              </w:rPr>
              <w:tab/>
            </w:r>
            <w:r w:rsidRPr="006F5AE8">
              <w:rPr>
                <w:sz w:val="24"/>
                <w:szCs w:val="24"/>
              </w:rPr>
              <w:t>i.e., spontaneous, procedure related or traumatic intracranial haemorrhage</w:t>
            </w:r>
          </w:p>
        </w:tc>
      </w:tr>
    </w:tbl>
    <w:p w14:paraId="5A1C33D6" w14:textId="77777777" w:rsidR="0074039C" w:rsidRPr="006F5AE8" w:rsidRDefault="0074039C" w:rsidP="0074039C">
      <w:pPr>
        <w:rPr>
          <w:sz w:val="24"/>
          <w:szCs w:val="24"/>
          <w:lang w:val="en-GB" w:eastAsia="en-US"/>
        </w:rPr>
      </w:pPr>
    </w:p>
    <w:p w14:paraId="06FD85EB" w14:textId="77777777" w:rsidR="0074039C" w:rsidRPr="006F5AE8" w:rsidRDefault="0074039C" w:rsidP="00B4050A">
      <w:pPr>
        <w:ind w:left="851"/>
        <w:rPr>
          <w:sz w:val="24"/>
          <w:szCs w:val="24"/>
          <w:u w:val="single"/>
          <w:lang w:val="en-US"/>
        </w:rPr>
      </w:pPr>
      <w:r w:rsidRPr="006F5AE8">
        <w:rPr>
          <w:sz w:val="24"/>
          <w:szCs w:val="24"/>
          <w:u w:val="single"/>
          <w:lang w:val="en-US"/>
        </w:rPr>
        <w:t>Description of selected adverse reactions</w:t>
      </w:r>
    </w:p>
    <w:p w14:paraId="47072E6F" w14:textId="77777777" w:rsidR="0074039C" w:rsidRPr="006F5AE8" w:rsidRDefault="0074039C" w:rsidP="00B4050A">
      <w:pPr>
        <w:ind w:left="851"/>
        <w:rPr>
          <w:i/>
          <w:iCs/>
          <w:sz w:val="24"/>
          <w:szCs w:val="24"/>
          <w:u w:val="single"/>
          <w:lang w:val="en-US"/>
        </w:rPr>
      </w:pPr>
      <w:r w:rsidRPr="006F5AE8">
        <w:rPr>
          <w:i/>
          <w:iCs/>
          <w:sz w:val="24"/>
          <w:szCs w:val="24"/>
          <w:u w:val="single"/>
          <w:lang w:val="en-US"/>
        </w:rPr>
        <w:t>Bleeding</w:t>
      </w:r>
    </w:p>
    <w:p w14:paraId="798D3CA6" w14:textId="77777777" w:rsidR="0074039C" w:rsidRPr="006F5AE8" w:rsidRDefault="0074039C" w:rsidP="00B4050A">
      <w:pPr>
        <w:ind w:left="851"/>
        <w:rPr>
          <w:i/>
          <w:iCs/>
          <w:sz w:val="24"/>
          <w:szCs w:val="24"/>
          <w:lang w:val="en-US"/>
        </w:rPr>
      </w:pPr>
      <w:r w:rsidRPr="006F5AE8">
        <w:rPr>
          <w:i/>
          <w:iCs/>
          <w:sz w:val="24"/>
          <w:szCs w:val="24"/>
          <w:lang w:val="en-US"/>
        </w:rPr>
        <w:t>Bleeding findings in PLATO</w:t>
      </w:r>
    </w:p>
    <w:p w14:paraId="3A5CB4D3" w14:textId="77777777" w:rsidR="0074039C" w:rsidRPr="006F5AE8" w:rsidRDefault="0074039C" w:rsidP="00B4050A">
      <w:pPr>
        <w:ind w:left="851"/>
        <w:rPr>
          <w:sz w:val="24"/>
          <w:szCs w:val="24"/>
          <w:lang w:val="en-US"/>
        </w:rPr>
      </w:pPr>
      <w:r w:rsidRPr="006F5AE8">
        <w:rPr>
          <w:sz w:val="24"/>
          <w:szCs w:val="24"/>
          <w:lang w:val="en-US"/>
        </w:rPr>
        <w:t>Overall outcome of bleeding rates in the PLATO study are shown in Table 2.</w:t>
      </w:r>
    </w:p>
    <w:p w14:paraId="1191DAB2" w14:textId="77777777" w:rsidR="0074039C" w:rsidRPr="006F5AE8" w:rsidRDefault="0074039C" w:rsidP="00B4050A">
      <w:pPr>
        <w:ind w:left="851"/>
        <w:rPr>
          <w:sz w:val="24"/>
          <w:szCs w:val="24"/>
          <w:lang w:val="en-US"/>
        </w:rPr>
      </w:pPr>
    </w:p>
    <w:p w14:paraId="237FA28D" w14:textId="77777777" w:rsidR="0074039C" w:rsidRPr="006F5AE8" w:rsidRDefault="0074039C" w:rsidP="0074039C">
      <w:pPr>
        <w:rPr>
          <w:i/>
          <w:iCs/>
          <w:sz w:val="24"/>
          <w:szCs w:val="24"/>
          <w:u w:val="single"/>
          <w:lang w:val="en-US"/>
        </w:rPr>
      </w:pPr>
      <w:r w:rsidRPr="006F5AE8">
        <w:rPr>
          <w:i/>
          <w:iCs/>
          <w:sz w:val="24"/>
          <w:szCs w:val="24"/>
          <w:u w:val="single"/>
          <w:lang w:val="en-US"/>
        </w:rPr>
        <w:t>Table 2 – Analysis of overall bleeding events, Kaplan-Meier estimates at 12 months (PLATO)</w:t>
      </w:r>
    </w:p>
    <w:p w14:paraId="728BC46D" w14:textId="77777777" w:rsidR="0074039C" w:rsidRPr="006F5AE8" w:rsidRDefault="0074039C" w:rsidP="0074039C">
      <w:pPr>
        <w:rPr>
          <w:sz w:val="24"/>
          <w:szCs w:val="24"/>
          <w:lang w:val="en-US"/>
        </w:rPr>
      </w:pPr>
    </w:p>
    <w:tbl>
      <w:tblPr>
        <w:tblStyle w:val="Tabel-Gitter"/>
        <w:tblW w:w="5000" w:type="pct"/>
        <w:tblInd w:w="0" w:type="dxa"/>
        <w:tblLook w:val="04A0" w:firstRow="1" w:lastRow="0" w:firstColumn="1" w:lastColumn="0" w:noHBand="0" w:noVBand="1"/>
      </w:tblPr>
      <w:tblGrid>
        <w:gridCol w:w="4107"/>
        <w:gridCol w:w="1841"/>
        <w:gridCol w:w="1841"/>
        <w:gridCol w:w="1839"/>
      </w:tblGrid>
      <w:tr w:rsidR="0074039C" w:rsidRPr="006F5AE8" w14:paraId="1E283F47" w14:textId="77777777" w:rsidTr="00B4050A">
        <w:tc>
          <w:tcPr>
            <w:tcW w:w="2133" w:type="pct"/>
            <w:tcBorders>
              <w:top w:val="single" w:sz="4" w:space="0" w:color="auto"/>
              <w:left w:val="single" w:sz="4" w:space="0" w:color="auto"/>
              <w:bottom w:val="single" w:sz="4" w:space="0" w:color="auto"/>
              <w:right w:val="single" w:sz="4" w:space="0" w:color="auto"/>
            </w:tcBorders>
          </w:tcPr>
          <w:p w14:paraId="76FB7531" w14:textId="77777777" w:rsidR="0074039C" w:rsidRPr="006F5AE8" w:rsidRDefault="0074039C">
            <w:pPr>
              <w:rPr>
                <w:sz w:val="24"/>
                <w:szCs w:val="24"/>
              </w:rPr>
            </w:pPr>
          </w:p>
        </w:tc>
        <w:tc>
          <w:tcPr>
            <w:tcW w:w="956" w:type="pct"/>
            <w:tcBorders>
              <w:top w:val="single" w:sz="4" w:space="0" w:color="auto"/>
              <w:left w:val="single" w:sz="4" w:space="0" w:color="auto"/>
              <w:bottom w:val="single" w:sz="4" w:space="0" w:color="auto"/>
              <w:right w:val="single" w:sz="4" w:space="0" w:color="auto"/>
            </w:tcBorders>
            <w:hideMark/>
          </w:tcPr>
          <w:p w14:paraId="27CBD2B6" w14:textId="0FF4FF87" w:rsidR="0074039C" w:rsidRPr="006F5AE8" w:rsidRDefault="0074039C">
            <w:pPr>
              <w:rPr>
                <w:sz w:val="24"/>
                <w:szCs w:val="24"/>
              </w:rPr>
            </w:pPr>
            <w:r w:rsidRPr="006F5AE8">
              <w:rPr>
                <w:sz w:val="24"/>
                <w:szCs w:val="24"/>
              </w:rPr>
              <w:t>Ticagrelor 90</w:t>
            </w:r>
            <w:r w:rsidR="00B4050A" w:rsidRPr="006F5AE8">
              <w:rPr>
                <w:sz w:val="24"/>
                <w:szCs w:val="24"/>
              </w:rPr>
              <w:t xml:space="preserve"> </w:t>
            </w:r>
            <w:r w:rsidRPr="006F5AE8">
              <w:rPr>
                <w:sz w:val="24"/>
                <w:szCs w:val="24"/>
              </w:rPr>
              <w:t>mg twice daily</w:t>
            </w:r>
          </w:p>
          <w:p w14:paraId="515F57F9" w14:textId="77777777" w:rsidR="0074039C" w:rsidRPr="006F5AE8" w:rsidRDefault="0074039C">
            <w:pPr>
              <w:rPr>
                <w:sz w:val="24"/>
                <w:szCs w:val="24"/>
              </w:rPr>
            </w:pPr>
            <w:r w:rsidRPr="006F5AE8">
              <w:rPr>
                <w:sz w:val="24"/>
                <w:szCs w:val="24"/>
              </w:rPr>
              <w:t>N=9235</w:t>
            </w:r>
          </w:p>
        </w:tc>
        <w:tc>
          <w:tcPr>
            <w:tcW w:w="956" w:type="pct"/>
            <w:tcBorders>
              <w:top w:val="single" w:sz="4" w:space="0" w:color="auto"/>
              <w:left w:val="single" w:sz="4" w:space="0" w:color="auto"/>
              <w:bottom w:val="single" w:sz="4" w:space="0" w:color="auto"/>
              <w:right w:val="single" w:sz="4" w:space="0" w:color="auto"/>
            </w:tcBorders>
          </w:tcPr>
          <w:p w14:paraId="51BECCB7" w14:textId="77777777" w:rsidR="0074039C" w:rsidRPr="006F5AE8" w:rsidRDefault="0074039C">
            <w:pPr>
              <w:rPr>
                <w:sz w:val="24"/>
                <w:szCs w:val="24"/>
              </w:rPr>
            </w:pPr>
            <w:r w:rsidRPr="006F5AE8">
              <w:rPr>
                <w:sz w:val="24"/>
                <w:szCs w:val="24"/>
              </w:rPr>
              <w:t>Clopidogrel</w:t>
            </w:r>
          </w:p>
          <w:p w14:paraId="1FC0597B" w14:textId="77777777" w:rsidR="0074039C" w:rsidRPr="006F5AE8" w:rsidRDefault="0074039C">
            <w:pPr>
              <w:rPr>
                <w:sz w:val="24"/>
                <w:szCs w:val="24"/>
              </w:rPr>
            </w:pPr>
          </w:p>
          <w:p w14:paraId="313584B9" w14:textId="77777777" w:rsidR="0074039C" w:rsidRPr="006F5AE8" w:rsidRDefault="0074039C">
            <w:pPr>
              <w:rPr>
                <w:sz w:val="24"/>
                <w:szCs w:val="24"/>
              </w:rPr>
            </w:pPr>
            <w:r w:rsidRPr="006F5AE8">
              <w:rPr>
                <w:sz w:val="24"/>
                <w:szCs w:val="24"/>
              </w:rPr>
              <w:t>N=9186</w:t>
            </w:r>
          </w:p>
        </w:tc>
        <w:tc>
          <w:tcPr>
            <w:tcW w:w="956" w:type="pct"/>
            <w:tcBorders>
              <w:top w:val="single" w:sz="4" w:space="0" w:color="auto"/>
              <w:left w:val="single" w:sz="4" w:space="0" w:color="auto"/>
              <w:bottom w:val="single" w:sz="4" w:space="0" w:color="auto"/>
              <w:right w:val="single" w:sz="4" w:space="0" w:color="auto"/>
            </w:tcBorders>
            <w:hideMark/>
          </w:tcPr>
          <w:p w14:paraId="6D317A28" w14:textId="77777777" w:rsidR="0074039C" w:rsidRPr="006F5AE8" w:rsidRDefault="0074039C">
            <w:pPr>
              <w:rPr>
                <w:sz w:val="24"/>
                <w:szCs w:val="24"/>
              </w:rPr>
            </w:pPr>
            <w:r w:rsidRPr="006F5AE8">
              <w:rPr>
                <w:i/>
                <w:iCs/>
                <w:sz w:val="24"/>
                <w:szCs w:val="24"/>
              </w:rPr>
              <w:t>p</w:t>
            </w:r>
            <w:r w:rsidRPr="006F5AE8">
              <w:rPr>
                <w:sz w:val="24"/>
                <w:szCs w:val="24"/>
              </w:rPr>
              <w:t>-value*</w:t>
            </w:r>
          </w:p>
        </w:tc>
      </w:tr>
      <w:tr w:rsidR="0074039C" w:rsidRPr="006F5AE8" w14:paraId="27EF8C97" w14:textId="77777777" w:rsidTr="00B4050A">
        <w:tc>
          <w:tcPr>
            <w:tcW w:w="2133" w:type="pct"/>
            <w:tcBorders>
              <w:top w:val="single" w:sz="4" w:space="0" w:color="auto"/>
              <w:left w:val="single" w:sz="4" w:space="0" w:color="auto"/>
              <w:bottom w:val="single" w:sz="4" w:space="0" w:color="auto"/>
              <w:right w:val="single" w:sz="4" w:space="0" w:color="auto"/>
            </w:tcBorders>
            <w:hideMark/>
          </w:tcPr>
          <w:p w14:paraId="09104C41" w14:textId="77777777" w:rsidR="0074039C" w:rsidRPr="006F5AE8" w:rsidRDefault="0074039C">
            <w:pPr>
              <w:rPr>
                <w:sz w:val="24"/>
                <w:szCs w:val="24"/>
              </w:rPr>
            </w:pPr>
            <w:r w:rsidRPr="006F5AE8">
              <w:rPr>
                <w:sz w:val="24"/>
                <w:szCs w:val="24"/>
              </w:rPr>
              <w:t>PLATO Total Major</w:t>
            </w:r>
          </w:p>
        </w:tc>
        <w:tc>
          <w:tcPr>
            <w:tcW w:w="956" w:type="pct"/>
            <w:tcBorders>
              <w:top w:val="single" w:sz="4" w:space="0" w:color="auto"/>
              <w:left w:val="single" w:sz="4" w:space="0" w:color="auto"/>
              <w:bottom w:val="single" w:sz="4" w:space="0" w:color="auto"/>
              <w:right w:val="single" w:sz="4" w:space="0" w:color="auto"/>
            </w:tcBorders>
            <w:hideMark/>
          </w:tcPr>
          <w:p w14:paraId="514A1BB3" w14:textId="77777777" w:rsidR="0074039C" w:rsidRPr="006F5AE8" w:rsidRDefault="0074039C">
            <w:pPr>
              <w:rPr>
                <w:sz w:val="24"/>
                <w:szCs w:val="24"/>
              </w:rPr>
            </w:pPr>
            <w:r w:rsidRPr="006F5AE8">
              <w:rPr>
                <w:sz w:val="24"/>
                <w:szCs w:val="24"/>
              </w:rPr>
              <w:t>11.6</w:t>
            </w:r>
          </w:p>
        </w:tc>
        <w:tc>
          <w:tcPr>
            <w:tcW w:w="956" w:type="pct"/>
            <w:tcBorders>
              <w:top w:val="single" w:sz="4" w:space="0" w:color="auto"/>
              <w:left w:val="single" w:sz="4" w:space="0" w:color="auto"/>
              <w:bottom w:val="single" w:sz="4" w:space="0" w:color="auto"/>
              <w:right w:val="single" w:sz="4" w:space="0" w:color="auto"/>
            </w:tcBorders>
            <w:hideMark/>
          </w:tcPr>
          <w:p w14:paraId="231583D0" w14:textId="77777777" w:rsidR="0074039C" w:rsidRPr="006F5AE8" w:rsidRDefault="0074039C">
            <w:pPr>
              <w:rPr>
                <w:sz w:val="24"/>
                <w:szCs w:val="24"/>
              </w:rPr>
            </w:pPr>
            <w:r w:rsidRPr="006F5AE8">
              <w:rPr>
                <w:sz w:val="24"/>
                <w:szCs w:val="24"/>
              </w:rPr>
              <w:t>11.2</w:t>
            </w:r>
          </w:p>
        </w:tc>
        <w:tc>
          <w:tcPr>
            <w:tcW w:w="956" w:type="pct"/>
            <w:tcBorders>
              <w:top w:val="single" w:sz="4" w:space="0" w:color="auto"/>
              <w:left w:val="single" w:sz="4" w:space="0" w:color="auto"/>
              <w:bottom w:val="single" w:sz="4" w:space="0" w:color="auto"/>
              <w:right w:val="single" w:sz="4" w:space="0" w:color="auto"/>
            </w:tcBorders>
            <w:hideMark/>
          </w:tcPr>
          <w:p w14:paraId="0B6E779E" w14:textId="77777777" w:rsidR="0074039C" w:rsidRPr="006F5AE8" w:rsidRDefault="0074039C">
            <w:pPr>
              <w:rPr>
                <w:sz w:val="24"/>
                <w:szCs w:val="24"/>
              </w:rPr>
            </w:pPr>
            <w:r w:rsidRPr="006F5AE8">
              <w:rPr>
                <w:sz w:val="24"/>
                <w:szCs w:val="24"/>
              </w:rPr>
              <w:t>0.4336</w:t>
            </w:r>
          </w:p>
        </w:tc>
      </w:tr>
      <w:tr w:rsidR="0074039C" w:rsidRPr="006F5AE8" w14:paraId="6D6A7277" w14:textId="77777777" w:rsidTr="00B4050A">
        <w:tc>
          <w:tcPr>
            <w:tcW w:w="2133" w:type="pct"/>
            <w:tcBorders>
              <w:top w:val="single" w:sz="4" w:space="0" w:color="auto"/>
              <w:left w:val="single" w:sz="4" w:space="0" w:color="auto"/>
              <w:bottom w:val="single" w:sz="4" w:space="0" w:color="auto"/>
              <w:right w:val="single" w:sz="4" w:space="0" w:color="auto"/>
            </w:tcBorders>
            <w:hideMark/>
          </w:tcPr>
          <w:p w14:paraId="2BF14C6E" w14:textId="77777777" w:rsidR="0074039C" w:rsidRPr="006F5AE8" w:rsidRDefault="0074039C">
            <w:pPr>
              <w:rPr>
                <w:sz w:val="24"/>
                <w:szCs w:val="24"/>
              </w:rPr>
            </w:pPr>
            <w:r w:rsidRPr="006F5AE8">
              <w:rPr>
                <w:sz w:val="24"/>
                <w:szCs w:val="24"/>
              </w:rPr>
              <w:t>PLATO Major Fatal/ Life-Threatening</w:t>
            </w:r>
          </w:p>
        </w:tc>
        <w:tc>
          <w:tcPr>
            <w:tcW w:w="956" w:type="pct"/>
            <w:tcBorders>
              <w:top w:val="single" w:sz="4" w:space="0" w:color="auto"/>
              <w:left w:val="single" w:sz="4" w:space="0" w:color="auto"/>
              <w:bottom w:val="single" w:sz="4" w:space="0" w:color="auto"/>
              <w:right w:val="single" w:sz="4" w:space="0" w:color="auto"/>
            </w:tcBorders>
            <w:hideMark/>
          </w:tcPr>
          <w:p w14:paraId="630DEE0D" w14:textId="77777777" w:rsidR="0074039C" w:rsidRPr="006F5AE8" w:rsidRDefault="0074039C">
            <w:pPr>
              <w:rPr>
                <w:sz w:val="24"/>
                <w:szCs w:val="24"/>
              </w:rPr>
            </w:pPr>
            <w:r w:rsidRPr="006F5AE8">
              <w:rPr>
                <w:sz w:val="24"/>
                <w:szCs w:val="24"/>
              </w:rPr>
              <w:t>5.8</w:t>
            </w:r>
          </w:p>
        </w:tc>
        <w:tc>
          <w:tcPr>
            <w:tcW w:w="956" w:type="pct"/>
            <w:tcBorders>
              <w:top w:val="single" w:sz="4" w:space="0" w:color="auto"/>
              <w:left w:val="single" w:sz="4" w:space="0" w:color="auto"/>
              <w:bottom w:val="single" w:sz="4" w:space="0" w:color="auto"/>
              <w:right w:val="single" w:sz="4" w:space="0" w:color="auto"/>
            </w:tcBorders>
            <w:hideMark/>
          </w:tcPr>
          <w:p w14:paraId="28725D9D" w14:textId="77777777" w:rsidR="0074039C" w:rsidRPr="006F5AE8" w:rsidRDefault="0074039C">
            <w:pPr>
              <w:rPr>
                <w:sz w:val="24"/>
                <w:szCs w:val="24"/>
              </w:rPr>
            </w:pPr>
            <w:r w:rsidRPr="006F5AE8">
              <w:rPr>
                <w:sz w:val="24"/>
                <w:szCs w:val="24"/>
              </w:rPr>
              <w:t>5.8</w:t>
            </w:r>
          </w:p>
        </w:tc>
        <w:tc>
          <w:tcPr>
            <w:tcW w:w="956" w:type="pct"/>
            <w:tcBorders>
              <w:top w:val="single" w:sz="4" w:space="0" w:color="auto"/>
              <w:left w:val="single" w:sz="4" w:space="0" w:color="auto"/>
              <w:bottom w:val="single" w:sz="4" w:space="0" w:color="auto"/>
              <w:right w:val="single" w:sz="4" w:space="0" w:color="auto"/>
            </w:tcBorders>
            <w:hideMark/>
          </w:tcPr>
          <w:p w14:paraId="467E114C" w14:textId="77777777" w:rsidR="0074039C" w:rsidRPr="006F5AE8" w:rsidRDefault="0074039C">
            <w:pPr>
              <w:rPr>
                <w:sz w:val="24"/>
                <w:szCs w:val="24"/>
              </w:rPr>
            </w:pPr>
            <w:r w:rsidRPr="006F5AE8">
              <w:rPr>
                <w:sz w:val="24"/>
                <w:szCs w:val="24"/>
              </w:rPr>
              <w:t>0.6988</w:t>
            </w:r>
          </w:p>
        </w:tc>
      </w:tr>
      <w:tr w:rsidR="0074039C" w:rsidRPr="006F5AE8" w14:paraId="22413CAA" w14:textId="77777777" w:rsidTr="00B4050A">
        <w:tc>
          <w:tcPr>
            <w:tcW w:w="2133" w:type="pct"/>
            <w:tcBorders>
              <w:top w:val="single" w:sz="4" w:space="0" w:color="auto"/>
              <w:left w:val="single" w:sz="4" w:space="0" w:color="auto"/>
              <w:bottom w:val="single" w:sz="4" w:space="0" w:color="auto"/>
              <w:right w:val="single" w:sz="4" w:space="0" w:color="auto"/>
            </w:tcBorders>
            <w:hideMark/>
          </w:tcPr>
          <w:p w14:paraId="27B6219D" w14:textId="77777777" w:rsidR="0074039C" w:rsidRPr="006F5AE8" w:rsidRDefault="0074039C">
            <w:pPr>
              <w:rPr>
                <w:sz w:val="24"/>
                <w:szCs w:val="24"/>
              </w:rPr>
            </w:pPr>
            <w:r w:rsidRPr="006F5AE8">
              <w:rPr>
                <w:sz w:val="24"/>
                <w:szCs w:val="24"/>
              </w:rPr>
              <w:t>Non-CABG PLATO Major</w:t>
            </w:r>
          </w:p>
        </w:tc>
        <w:tc>
          <w:tcPr>
            <w:tcW w:w="956" w:type="pct"/>
            <w:tcBorders>
              <w:top w:val="single" w:sz="4" w:space="0" w:color="auto"/>
              <w:left w:val="single" w:sz="4" w:space="0" w:color="auto"/>
              <w:bottom w:val="single" w:sz="4" w:space="0" w:color="auto"/>
              <w:right w:val="single" w:sz="4" w:space="0" w:color="auto"/>
            </w:tcBorders>
            <w:hideMark/>
          </w:tcPr>
          <w:p w14:paraId="11344A8C" w14:textId="77777777" w:rsidR="0074039C" w:rsidRPr="006F5AE8" w:rsidRDefault="0074039C">
            <w:pPr>
              <w:rPr>
                <w:sz w:val="24"/>
                <w:szCs w:val="24"/>
              </w:rPr>
            </w:pPr>
            <w:r w:rsidRPr="006F5AE8">
              <w:rPr>
                <w:sz w:val="24"/>
                <w:szCs w:val="24"/>
              </w:rPr>
              <w:t>4.5</w:t>
            </w:r>
          </w:p>
        </w:tc>
        <w:tc>
          <w:tcPr>
            <w:tcW w:w="956" w:type="pct"/>
            <w:tcBorders>
              <w:top w:val="single" w:sz="4" w:space="0" w:color="auto"/>
              <w:left w:val="single" w:sz="4" w:space="0" w:color="auto"/>
              <w:bottom w:val="single" w:sz="4" w:space="0" w:color="auto"/>
              <w:right w:val="single" w:sz="4" w:space="0" w:color="auto"/>
            </w:tcBorders>
            <w:hideMark/>
          </w:tcPr>
          <w:p w14:paraId="1E1C8D6A" w14:textId="77777777" w:rsidR="0074039C" w:rsidRPr="006F5AE8" w:rsidRDefault="0074039C">
            <w:pPr>
              <w:rPr>
                <w:sz w:val="24"/>
                <w:szCs w:val="24"/>
              </w:rPr>
            </w:pPr>
            <w:r w:rsidRPr="006F5AE8">
              <w:rPr>
                <w:sz w:val="24"/>
                <w:szCs w:val="24"/>
              </w:rPr>
              <w:t>3.8</w:t>
            </w:r>
          </w:p>
        </w:tc>
        <w:tc>
          <w:tcPr>
            <w:tcW w:w="956" w:type="pct"/>
            <w:tcBorders>
              <w:top w:val="single" w:sz="4" w:space="0" w:color="auto"/>
              <w:left w:val="single" w:sz="4" w:space="0" w:color="auto"/>
              <w:bottom w:val="single" w:sz="4" w:space="0" w:color="auto"/>
              <w:right w:val="single" w:sz="4" w:space="0" w:color="auto"/>
            </w:tcBorders>
            <w:hideMark/>
          </w:tcPr>
          <w:p w14:paraId="4869E9F5" w14:textId="77777777" w:rsidR="0074039C" w:rsidRPr="006F5AE8" w:rsidRDefault="0074039C">
            <w:pPr>
              <w:rPr>
                <w:sz w:val="24"/>
                <w:szCs w:val="24"/>
              </w:rPr>
            </w:pPr>
            <w:r w:rsidRPr="006F5AE8">
              <w:rPr>
                <w:sz w:val="24"/>
                <w:szCs w:val="24"/>
              </w:rPr>
              <w:t>0.0264</w:t>
            </w:r>
          </w:p>
        </w:tc>
      </w:tr>
      <w:tr w:rsidR="0074039C" w:rsidRPr="006F5AE8" w14:paraId="24721655" w14:textId="77777777" w:rsidTr="00B4050A">
        <w:tc>
          <w:tcPr>
            <w:tcW w:w="2133" w:type="pct"/>
            <w:tcBorders>
              <w:top w:val="single" w:sz="4" w:space="0" w:color="auto"/>
              <w:left w:val="single" w:sz="4" w:space="0" w:color="auto"/>
              <w:bottom w:val="single" w:sz="4" w:space="0" w:color="auto"/>
              <w:right w:val="single" w:sz="4" w:space="0" w:color="auto"/>
            </w:tcBorders>
            <w:hideMark/>
          </w:tcPr>
          <w:p w14:paraId="3BC1055F" w14:textId="77777777" w:rsidR="0074039C" w:rsidRPr="006F5AE8" w:rsidRDefault="0074039C">
            <w:pPr>
              <w:rPr>
                <w:sz w:val="24"/>
                <w:szCs w:val="24"/>
              </w:rPr>
            </w:pPr>
            <w:r w:rsidRPr="006F5AE8">
              <w:rPr>
                <w:sz w:val="24"/>
                <w:szCs w:val="24"/>
              </w:rPr>
              <w:t>Non-Procedural PLATO Major</w:t>
            </w:r>
          </w:p>
        </w:tc>
        <w:tc>
          <w:tcPr>
            <w:tcW w:w="956" w:type="pct"/>
            <w:tcBorders>
              <w:top w:val="single" w:sz="4" w:space="0" w:color="auto"/>
              <w:left w:val="single" w:sz="4" w:space="0" w:color="auto"/>
              <w:bottom w:val="single" w:sz="4" w:space="0" w:color="auto"/>
              <w:right w:val="single" w:sz="4" w:space="0" w:color="auto"/>
            </w:tcBorders>
            <w:hideMark/>
          </w:tcPr>
          <w:p w14:paraId="76F7EF84" w14:textId="77777777" w:rsidR="0074039C" w:rsidRPr="006F5AE8" w:rsidRDefault="0074039C">
            <w:pPr>
              <w:rPr>
                <w:sz w:val="24"/>
                <w:szCs w:val="24"/>
              </w:rPr>
            </w:pPr>
            <w:r w:rsidRPr="006F5AE8">
              <w:rPr>
                <w:sz w:val="24"/>
                <w:szCs w:val="24"/>
              </w:rPr>
              <w:t>3.1</w:t>
            </w:r>
          </w:p>
        </w:tc>
        <w:tc>
          <w:tcPr>
            <w:tcW w:w="956" w:type="pct"/>
            <w:tcBorders>
              <w:top w:val="single" w:sz="4" w:space="0" w:color="auto"/>
              <w:left w:val="single" w:sz="4" w:space="0" w:color="auto"/>
              <w:bottom w:val="single" w:sz="4" w:space="0" w:color="auto"/>
              <w:right w:val="single" w:sz="4" w:space="0" w:color="auto"/>
            </w:tcBorders>
            <w:hideMark/>
          </w:tcPr>
          <w:p w14:paraId="20AC8B46" w14:textId="77777777" w:rsidR="0074039C" w:rsidRPr="006F5AE8" w:rsidRDefault="0074039C">
            <w:pPr>
              <w:rPr>
                <w:sz w:val="24"/>
                <w:szCs w:val="24"/>
              </w:rPr>
            </w:pPr>
            <w:r w:rsidRPr="006F5AE8">
              <w:rPr>
                <w:sz w:val="24"/>
                <w:szCs w:val="24"/>
              </w:rPr>
              <w:t>2.3</w:t>
            </w:r>
          </w:p>
        </w:tc>
        <w:tc>
          <w:tcPr>
            <w:tcW w:w="956" w:type="pct"/>
            <w:tcBorders>
              <w:top w:val="single" w:sz="4" w:space="0" w:color="auto"/>
              <w:left w:val="single" w:sz="4" w:space="0" w:color="auto"/>
              <w:bottom w:val="single" w:sz="4" w:space="0" w:color="auto"/>
              <w:right w:val="single" w:sz="4" w:space="0" w:color="auto"/>
            </w:tcBorders>
            <w:hideMark/>
          </w:tcPr>
          <w:p w14:paraId="1667BAB3" w14:textId="77777777" w:rsidR="0074039C" w:rsidRPr="006F5AE8" w:rsidRDefault="0074039C">
            <w:pPr>
              <w:rPr>
                <w:sz w:val="24"/>
                <w:szCs w:val="24"/>
              </w:rPr>
            </w:pPr>
            <w:r w:rsidRPr="006F5AE8">
              <w:rPr>
                <w:sz w:val="24"/>
                <w:szCs w:val="24"/>
              </w:rPr>
              <w:t>0.0058</w:t>
            </w:r>
          </w:p>
        </w:tc>
      </w:tr>
      <w:tr w:rsidR="0074039C" w:rsidRPr="006F5AE8" w14:paraId="1A16AC04" w14:textId="77777777" w:rsidTr="00B4050A">
        <w:tc>
          <w:tcPr>
            <w:tcW w:w="2133" w:type="pct"/>
            <w:tcBorders>
              <w:top w:val="single" w:sz="4" w:space="0" w:color="auto"/>
              <w:left w:val="single" w:sz="4" w:space="0" w:color="auto"/>
              <w:bottom w:val="single" w:sz="4" w:space="0" w:color="auto"/>
              <w:right w:val="single" w:sz="4" w:space="0" w:color="auto"/>
            </w:tcBorders>
            <w:hideMark/>
          </w:tcPr>
          <w:p w14:paraId="47CF8249" w14:textId="77777777" w:rsidR="0074039C" w:rsidRPr="006F5AE8" w:rsidRDefault="0074039C">
            <w:pPr>
              <w:rPr>
                <w:sz w:val="24"/>
                <w:szCs w:val="24"/>
              </w:rPr>
            </w:pPr>
            <w:r w:rsidRPr="006F5AE8">
              <w:rPr>
                <w:sz w:val="24"/>
                <w:szCs w:val="24"/>
              </w:rPr>
              <w:t>PLATO Total Major + Minor</w:t>
            </w:r>
          </w:p>
        </w:tc>
        <w:tc>
          <w:tcPr>
            <w:tcW w:w="956" w:type="pct"/>
            <w:tcBorders>
              <w:top w:val="single" w:sz="4" w:space="0" w:color="auto"/>
              <w:left w:val="single" w:sz="4" w:space="0" w:color="auto"/>
              <w:bottom w:val="single" w:sz="4" w:space="0" w:color="auto"/>
              <w:right w:val="single" w:sz="4" w:space="0" w:color="auto"/>
            </w:tcBorders>
            <w:hideMark/>
          </w:tcPr>
          <w:p w14:paraId="7EC60854" w14:textId="77777777" w:rsidR="0074039C" w:rsidRPr="006F5AE8" w:rsidRDefault="0074039C">
            <w:pPr>
              <w:rPr>
                <w:sz w:val="24"/>
                <w:szCs w:val="24"/>
              </w:rPr>
            </w:pPr>
            <w:r w:rsidRPr="006F5AE8">
              <w:rPr>
                <w:sz w:val="24"/>
                <w:szCs w:val="24"/>
              </w:rPr>
              <w:t>16.1</w:t>
            </w:r>
          </w:p>
        </w:tc>
        <w:tc>
          <w:tcPr>
            <w:tcW w:w="956" w:type="pct"/>
            <w:tcBorders>
              <w:top w:val="single" w:sz="4" w:space="0" w:color="auto"/>
              <w:left w:val="single" w:sz="4" w:space="0" w:color="auto"/>
              <w:bottom w:val="single" w:sz="4" w:space="0" w:color="auto"/>
              <w:right w:val="single" w:sz="4" w:space="0" w:color="auto"/>
            </w:tcBorders>
            <w:hideMark/>
          </w:tcPr>
          <w:p w14:paraId="0E3A683E" w14:textId="77777777" w:rsidR="0074039C" w:rsidRPr="006F5AE8" w:rsidRDefault="0074039C">
            <w:pPr>
              <w:rPr>
                <w:sz w:val="24"/>
                <w:szCs w:val="24"/>
              </w:rPr>
            </w:pPr>
            <w:r w:rsidRPr="006F5AE8">
              <w:rPr>
                <w:sz w:val="24"/>
                <w:szCs w:val="24"/>
              </w:rPr>
              <w:t>14.6</w:t>
            </w:r>
          </w:p>
        </w:tc>
        <w:tc>
          <w:tcPr>
            <w:tcW w:w="956" w:type="pct"/>
            <w:tcBorders>
              <w:top w:val="single" w:sz="4" w:space="0" w:color="auto"/>
              <w:left w:val="single" w:sz="4" w:space="0" w:color="auto"/>
              <w:bottom w:val="single" w:sz="4" w:space="0" w:color="auto"/>
              <w:right w:val="single" w:sz="4" w:space="0" w:color="auto"/>
            </w:tcBorders>
            <w:hideMark/>
          </w:tcPr>
          <w:p w14:paraId="71BDD163" w14:textId="77777777" w:rsidR="0074039C" w:rsidRPr="006F5AE8" w:rsidRDefault="0074039C">
            <w:pPr>
              <w:rPr>
                <w:sz w:val="24"/>
                <w:szCs w:val="24"/>
              </w:rPr>
            </w:pPr>
            <w:r w:rsidRPr="006F5AE8">
              <w:rPr>
                <w:sz w:val="24"/>
                <w:szCs w:val="24"/>
              </w:rPr>
              <w:t>0.0084</w:t>
            </w:r>
          </w:p>
        </w:tc>
      </w:tr>
      <w:tr w:rsidR="0074039C" w:rsidRPr="006F5AE8" w14:paraId="545ED81D" w14:textId="77777777" w:rsidTr="00B4050A">
        <w:tc>
          <w:tcPr>
            <w:tcW w:w="2133" w:type="pct"/>
            <w:tcBorders>
              <w:top w:val="single" w:sz="4" w:space="0" w:color="auto"/>
              <w:left w:val="single" w:sz="4" w:space="0" w:color="auto"/>
              <w:bottom w:val="single" w:sz="4" w:space="0" w:color="auto"/>
              <w:right w:val="single" w:sz="4" w:space="0" w:color="auto"/>
            </w:tcBorders>
            <w:hideMark/>
          </w:tcPr>
          <w:p w14:paraId="72D1E267" w14:textId="77777777" w:rsidR="0074039C" w:rsidRPr="006F5AE8" w:rsidRDefault="0074039C">
            <w:pPr>
              <w:rPr>
                <w:sz w:val="24"/>
                <w:szCs w:val="24"/>
              </w:rPr>
            </w:pPr>
            <w:r w:rsidRPr="006F5AE8">
              <w:rPr>
                <w:sz w:val="24"/>
                <w:szCs w:val="24"/>
              </w:rPr>
              <w:t>Non-Procedural PLATO Major + Minor</w:t>
            </w:r>
          </w:p>
        </w:tc>
        <w:tc>
          <w:tcPr>
            <w:tcW w:w="956" w:type="pct"/>
            <w:tcBorders>
              <w:top w:val="single" w:sz="4" w:space="0" w:color="auto"/>
              <w:left w:val="single" w:sz="4" w:space="0" w:color="auto"/>
              <w:bottom w:val="single" w:sz="4" w:space="0" w:color="auto"/>
              <w:right w:val="single" w:sz="4" w:space="0" w:color="auto"/>
            </w:tcBorders>
            <w:hideMark/>
          </w:tcPr>
          <w:p w14:paraId="78E77829" w14:textId="77777777" w:rsidR="0074039C" w:rsidRPr="006F5AE8" w:rsidRDefault="0074039C">
            <w:pPr>
              <w:rPr>
                <w:sz w:val="24"/>
                <w:szCs w:val="24"/>
              </w:rPr>
            </w:pPr>
            <w:r w:rsidRPr="006F5AE8">
              <w:rPr>
                <w:sz w:val="24"/>
                <w:szCs w:val="24"/>
              </w:rPr>
              <w:t>5.9</w:t>
            </w:r>
          </w:p>
        </w:tc>
        <w:tc>
          <w:tcPr>
            <w:tcW w:w="956" w:type="pct"/>
            <w:tcBorders>
              <w:top w:val="single" w:sz="4" w:space="0" w:color="auto"/>
              <w:left w:val="single" w:sz="4" w:space="0" w:color="auto"/>
              <w:bottom w:val="single" w:sz="4" w:space="0" w:color="auto"/>
              <w:right w:val="single" w:sz="4" w:space="0" w:color="auto"/>
            </w:tcBorders>
            <w:hideMark/>
          </w:tcPr>
          <w:p w14:paraId="62F9A8B7" w14:textId="77777777" w:rsidR="0074039C" w:rsidRPr="006F5AE8" w:rsidRDefault="0074039C">
            <w:pPr>
              <w:rPr>
                <w:sz w:val="24"/>
                <w:szCs w:val="24"/>
              </w:rPr>
            </w:pPr>
            <w:r w:rsidRPr="006F5AE8">
              <w:rPr>
                <w:sz w:val="24"/>
                <w:szCs w:val="24"/>
              </w:rPr>
              <w:t>4.3</w:t>
            </w:r>
          </w:p>
        </w:tc>
        <w:tc>
          <w:tcPr>
            <w:tcW w:w="956" w:type="pct"/>
            <w:tcBorders>
              <w:top w:val="single" w:sz="4" w:space="0" w:color="auto"/>
              <w:left w:val="single" w:sz="4" w:space="0" w:color="auto"/>
              <w:bottom w:val="single" w:sz="4" w:space="0" w:color="auto"/>
              <w:right w:val="single" w:sz="4" w:space="0" w:color="auto"/>
            </w:tcBorders>
            <w:hideMark/>
          </w:tcPr>
          <w:p w14:paraId="1ECA5D02" w14:textId="77777777" w:rsidR="0074039C" w:rsidRPr="006F5AE8" w:rsidRDefault="0074039C">
            <w:pPr>
              <w:rPr>
                <w:sz w:val="24"/>
                <w:szCs w:val="24"/>
              </w:rPr>
            </w:pPr>
            <w:r w:rsidRPr="006F5AE8">
              <w:rPr>
                <w:sz w:val="24"/>
                <w:szCs w:val="24"/>
              </w:rPr>
              <w:t>&lt;0.0001</w:t>
            </w:r>
          </w:p>
        </w:tc>
      </w:tr>
      <w:tr w:rsidR="0074039C" w:rsidRPr="006F5AE8" w14:paraId="51B46C87" w14:textId="77777777" w:rsidTr="00B4050A">
        <w:tc>
          <w:tcPr>
            <w:tcW w:w="2133" w:type="pct"/>
            <w:tcBorders>
              <w:top w:val="single" w:sz="4" w:space="0" w:color="auto"/>
              <w:left w:val="single" w:sz="4" w:space="0" w:color="auto"/>
              <w:bottom w:val="single" w:sz="4" w:space="0" w:color="auto"/>
              <w:right w:val="single" w:sz="4" w:space="0" w:color="auto"/>
            </w:tcBorders>
            <w:hideMark/>
          </w:tcPr>
          <w:p w14:paraId="5595A7D3" w14:textId="77777777" w:rsidR="0074039C" w:rsidRPr="006F5AE8" w:rsidRDefault="0074039C">
            <w:pPr>
              <w:rPr>
                <w:sz w:val="24"/>
                <w:szCs w:val="24"/>
              </w:rPr>
            </w:pPr>
            <w:r w:rsidRPr="006F5AE8">
              <w:rPr>
                <w:sz w:val="24"/>
                <w:szCs w:val="24"/>
              </w:rPr>
              <w:t>TIMI-defined Major</w:t>
            </w:r>
          </w:p>
        </w:tc>
        <w:tc>
          <w:tcPr>
            <w:tcW w:w="956" w:type="pct"/>
            <w:tcBorders>
              <w:top w:val="single" w:sz="4" w:space="0" w:color="auto"/>
              <w:left w:val="single" w:sz="4" w:space="0" w:color="auto"/>
              <w:bottom w:val="single" w:sz="4" w:space="0" w:color="auto"/>
              <w:right w:val="single" w:sz="4" w:space="0" w:color="auto"/>
            </w:tcBorders>
            <w:hideMark/>
          </w:tcPr>
          <w:p w14:paraId="69543AF1" w14:textId="77777777" w:rsidR="0074039C" w:rsidRPr="006F5AE8" w:rsidRDefault="0074039C">
            <w:pPr>
              <w:rPr>
                <w:sz w:val="24"/>
                <w:szCs w:val="24"/>
              </w:rPr>
            </w:pPr>
            <w:r w:rsidRPr="006F5AE8">
              <w:rPr>
                <w:sz w:val="24"/>
                <w:szCs w:val="24"/>
              </w:rPr>
              <w:t>7.9</w:t>
            </w:r>
          </w:p>
        </w:tc>
        <w:tc>
          <w:tcPr>
            <w:tcW w:w="956" w:type="pct"/>
            <w:tcBorders>
              <w:top w:val="single" w:sz="4" w:space="0" w:color="auto"/>
              <w:left w:val="single" w:sz="4" w:space="0" w:color="auto"/>
              <w:bottom w:val="single" w:sz="4" w:space="0" w:color="auto"/>
              <w:right w:val="single" w:sz="4" w:space="0" w:color="auto"/>
            </w:tcBorders>
            <w:hideMark/>
          </w:tcPr>
          <w:p w14:paraId="5F6621F7" w14:textId="77777777" w:rsidR="0074039C" w:rsidRPr="006F5AE8" w:rsidRDefault="0074039C">
            <w:pPr>
              <w:rPr>
                <w:sz w:val="24"/>
                <w:szCs w:val="24"/>
              </w:rPr>
            </w:pPr>
            <w:r w:rsidRPr="006F5AE8">
              <w:rPr>
                <w:sz w:val="24"/>
                <w:szCs w:val="24"/>
              </w:rPr>
              <w:t>7.7</w:t>
            </w:r>
          </w:p>
        </w:tc>
        <w:tc>
          <w:tcPr>
            <w:tcW w:w="956" w:type="pct"/>
            <w:tcBorders>
              <w:top w:val="single" w:sz="4" w:space="0" w:color="auto"/>
              <w:left w:val="single" w:sz="4" w:space="0" w:color="auto"/>
              <w:bottom w:val="single" w:sz="4" w:space="0" w:color="auto"/>
              <w:right w:val="single" w:sz="4" w:space="0" w:color="auto"/>
            </w:tcBorders>
            <w:hideMark/>
          </w:tcPr>
          <w:p w14:paraId="6C31E894" w14:textId="77777777" w:rsidR="0074039C" w:rsidRPr="006F5AE8" w:rsidRDefault="0074039C">
            <w:pPr>
              <w:rPr>
                <w:sz w:val="24"/>
                <w:szCs w:val="24"/>
              </w:rPr>
            </w:pPr>
            <w:r w:rsidRPr="006F5AE8">
              <w:rPr>
                <w:sz w:val="24"/>
                <w:szCs w:val="24"/>
              </w:rPr>
              <w:t>0.5669</w:t>
            </w:r>
          </w:p>
        </w:tc>
      </w:tr>
      <w:tr w:rsidR="0074039C" w:rsidRPr="006F5AE8" w14:paraId="12EB34C2" w14:textId="77777777" w:rsidTr="00B4050A">
        <w:tc>
          <w:tcPr>
            <w:tcW w:w="2133" w:type="pct"/>
            <w:tcBorders>
              <w:top w:val="single" w:sz="4" w:space="0" w:color="auto"/>
              <w:left w:val="single" w:sz="4" w:space="0" w:color="auto"/>
              <w:bottom w:val="single" w:sz="4" w:space="0" w:color="auto"/>
              <w:right w:val="single" w:sz="4" w:space="0" w:color="auto"/>
            </w:tcBorders>
            <w:hideMark/>
          </w:tcPr>
          <w:p w14:paraId="11B44D24" w14:textId="77777777" w:rsidR="0074039C" w:rsidRPr="006F5AE8" w:rsidRDefault="0074039C">
            <w:pPr>
              <w:rPr>
                <w:sz w:val="24"/>
                <w:szCs w:val="24"/>
              </w:rPr>
            </w:pPr>
            <w:r w:rsidRPr="006F5AE8">
              <w:rPr>
                <w:sz w:val="24"/>
                <w:szCs w:val="24"/>
              </w:rPr>
              <w:t>TIMI-defined Major + Minor</w:t>
            </w:r>
          </w:p>
        </w:tc>
        <w:tc>
          <w:tcPr>
            <w:tcW w:w="956" w:type="pct"/>
            <w:tcBorders>
              <w:top w:val="single" w:sz="4" w:space="0" w:color="auto"/>
              <w:left w:val="single" w:sz="4" w:space="0" w:color="auto"/>
              <w:bottom w:val="single" w:sz="4" w:space="0" w:color="auto"/>
              <w:right w:val="single" w:sz="4" w:space="0" w:color="auto"/>
            </w:tcBorders>
            <w:hideMark/>
          </w:tcPr>
          <w:p w14:paraId="4D00063D" w14:textId="77777777" w:rsidR="0074039C" w:rsidRPr="006F5AE8" w:rsidRDefault="0074039C">
            <w:pPr>
              <w:rPr>
                <w:sz w:val="24"/>
                <w:szCs w:val="24"/>
              </w:rPr>
            </w:pPr>
            <w:r w:rsidRPr="006F5AE8">
              <w:rPr>
                <w:sz w:val="24"/>
                <w:szCs w:val="24"/>
              </w:rPr>
              <w:t>11.4</w:t>
            </w:r>
          </w:p>
        </w:tc>
        <w:tc>
          <w:tcPr>
            <w:tcW w:w="956" w:type="pct"/>
            <w:tcBorders>
              <w:top w:val="single" w:sz="4" w:space="0" w:color="auto"/>
              <w:left w:val="single" w:sz="4" w:space="0" w:color="auto"/>
              <w:bottom w:val="single" w:sz="4" w:space="0" w:color="auto"/>
              <w:right w:val="single" w:sz="4" w:space="0" w:color="auto"/>
            </w:tcBorders>
            <w:hideMark/>
          </w:tcPr>
          <w:p w14:paraId="14FC39CA" w14:textId="77777777" w:rsidR="0074039C" w:rsidRPr="006F5AE8" w:rsidRDefault="0074039C">
            <w:pPr>
              <w:rPr>
                <w:sz w:val="24"/>
                <w:szCs w:val="24"/>
              </w:rPr>
            </w:pPr>
            <w:r w:rsidRPr="006F5AE8">
              <w:rPr>
                <w:sz w:val="24"/>
                <w:szCs w:val="24"/>
              </w:rPr>
              <w:t>10.9</w:t>
            </w:r>
          </w:p>
        </w:tc>
        <w:tc>
          <w:tcPr>
            <w:tcW w:w="956" w:type="pct"/>
            <w:tcBorders>
              <w:top w:val="single" w:sz="4" w:space="0" w:color="auto"/>
              <w:left w:val="single" w:sz="4" w:space="0" w:color="auto"/>
              <w:bottom w:val="single" w:sz="4" w:space="0" w:color="auto"/>
              <w:right w:val="single" w:sz="4" w:space="0" w:color="auto"/>
            </w:tcBorders>
            <w:hideMark/>
          </w:tcPr>
          <w:p w14:paraId="2B41B5E1" w14:textId="77777777" w:rsidR="0074039C" w:rsidRPr="006F5AE8" w:rsidRDefault="0074039C">
            <w:pPr>
              <w:rPr>
                <w:sz w:val="24"/>
                <w:szCs w:val="24"/>
              </w:rPr>
            </w:pPr>
            <w:r w:rsidRPr="006F5AE8">
              <w:rPr>
                <w:sz w:val="24"/>
                <w:szCs w:val="24"/>
              </w:rPr>
              <w:t>0.3272</w:t>
            </w:r>
          </w:p>
        </w:tc>
      </w:tr>
      <w:tr w:rsidR="0074039C" w:rsidRPr="00DD435F" w14:paraId="2191B8CD" w14:textId="77777777" w:rsidTr="00B4050A">
        <w:tc>
          <w:tcPr>
            <w:tcW w:w="5000" w:type="pct"/>
            <w:gridSpan w:val="4"/>
            <w:tcBorders>
              <w:top w:val="single" w:sz="4" w:space="0" w:color="auto"/>
              <w:left w:val="single" w:sz="4" w:space="0" w:color="auto"/>
              <w:bottom w:val="single" w:sz="4" w:space="0" w:color="auto"/>
              <w:right w:val="single" w:sz="4" w:space="0" w:color="auto"/>
            </w:tcBorders>
            <w:hideMark/>
          </w:tcPr>
          <w:p w14:paraId="6453BCE8" w14:textId="77777777" w:rsidR="0074039C" w:rsidRPr="006F5AE8" w:rsidRDefault="0074039C">
            <w:pPr>
              <w:rPr>
                <w:sz w:val="24"/>
                <w:szCs w:val="24"/>
              </w:rPr>
            </w:pPr>
            <w:r w:rsidRPr="006F5AE8">
              <w:rPr>
                <w:sz w:val="24"/>
                <w:szCs w:val="24"/>
                <w:u w:val="single"/>
              </w:rPr>
              <w:t>Bleeding category definitions</w:t>
            </w:r>
            <w:r w:rsidRPr="006F5AE8">
              <w:rPr>
                <w:sz w:val="24"/>
                <w:szCs w:val="24"/>
              </w:rPr>
              <w:t>:</w:t>
            </w:r>
          </w:p>
          <w:p w14:paraId="7B830697" w14:textId="77777777" w:rsidR="0074039C" w:rsidRPr="006F5AE8" w:rsidRDefault="0074039C">
            <w:pPr>
              <w:rPr>
                <w:sz w:val="24"/>
                <w:szCs w:val="24"/>
              </w:rPr>
            </w:pPr>
            <w:r w:rsidRPr="006F5AE8">
              <w:rPr>
                <w:i/>
                <w:iCs/>
                <w:sz w:val="24"/>
                <w:szCs w:val="24"/>
              </w:rPr>
              <w:t>Major Fatal/Life-threatening Bleed</w:t>
            </w:r>
            <w:r w:rsidRPr="006F5AE8">
              <w:rPr>
                <w:sz w:val="24"/>
                <w:szCs w:val="24"/>
              </w:rPr>
              <w:t xml:space="preserve">: Clinically apparent with &gt;50 g/L decrease in haemoglobin or ≥4 red cell units transfused; or fatal; or intracranial; or intrapericardial with cardiac tamponade; or with hypovolaemic shock or severe hypotension requiring </w:t>
            </w:r>
            <w:proofErr w:type="spellStart"/>
            <w:r w:rsidRPr="006F5AE8">
              <w:rPr>
                <w:sz w:val="24"/>
                <w:szCs w:val="24"/>
              </w:rPr>
              <w:t>pressors</w:t>
            </w:r>
            <w:proofErr w:type="spellEnd"/>
            <w:r w:rsidRPr="006F5AE8">
              <w:rPr>
                <w:sz w:val="24"/>
                <w:szCs w:val="24"/>
              </w:rPr>
              <w:t xml:space="preserve"> or surgery.</w:t>
            </w:r>
          </w:p>
          <w:p w14:paraId="6CA0C7CA" w14:textId="77777777" w:rsidR="0074039C" w:rsidRPr="006F5AE8" w:rsidRDefault="0074039C">
            <w:pPr>
              <w:rPr>
                <w:sz w:val="24"/>
                <w:szCs w:val="24"/>
              </w:rPr>
            </w:pPr>
            <w:r w:rsidRPr="006F5AE8">
              <w:rPr>
                <w:i/>
                <w:iCs/>
                <w:sz w:val="24"/>
                <w:szCs w:val="24"/>
              </w:rPr>
              <w:t>Major Other</w:t>
            </w:r>
            <w:r w:rsidRPr="006F5AE8">
              <w:rPr>
                <w:sz w:val="24"/>
                <w:szCs w:val="24"/>
              </w:rPr>
              <w:t>: Clinically apparent with 30-50 g/L decrease in haemoglobin or 2-3 red cell units transfused; or significantly disabling.</w:t>
            </w:r>
          </w:p>
          <w:p w14:paraId="6F1D70D0" w14:textId="77777777" w:rsidR="0074039C" w:rsidRPr="006F5AE8" w:rsidRDefault="0074039C">
            <w:pPr>
              <w:rPr>
                <w:sz w:val="24"/>
                <w:szCs w:val="24"/>
              </w:rPr>
            </w:pPr>
            <w:r w:rsidRPr="006F5AE8">
              <w:rPr>
                <w:i/>
                <w:iCs/>
                <w:sz w:val="24"/>
                <w:szCs w:val="24"/>
              </w:rPr>
              <w:t>Minor Bleed</w:t>
            </w:r>
            <w:r w:rsidRPr="006F5AE8">
              <w:rPr>
                <w:sz w:val="24"/>
                <w:szCs w:val="24"/>
              </w:rPr>
              <w:t>: Requires medical intervention to stop or treat bleeding.</w:t>
            </w:r>
          </w:p>
          <w:p w14:paraId="577DD312" w14:textId="77777777" w:rsidR="0074039C" w:rsidRPr="006F5AE8" w:rsidRDefault="0074039C">
            <w:pPr>
              <w:rPr>
                <w:sz w:val="24"/>
                <w:szCs w:val="24"/>
              </w:rPr>
            </w:pPr>
            <w:r w:rsidRPr="006F5AE8">
              <w:rPr>
                <w:i/>
                <w:iCs/>
                <w:sz w:val="24"/>
                <w:szCs w:val="24"/>
              </w:rPr>
              <w:t>TIMI Major Bleed</w:t>
            </w:r>
            <w:r w:rsidRPr="006F5AE8">
              <w:rPr>
                <w:sz w:val="24"/>
                <w:szCs w:val="24"/>
              </w:rPr>
              <w:t>: Clinically apparent with &gt;50 g/L decrease in haemoglobin or intracranial haemorrhage.</w:t>
            </w:r>
          </w:p>
          <w:p w14:paraId="11174EF4" w14:textId="77777777" w:rsidR="0074039C" w:rsidRPr="006F5AE8" w:rsidRDefault="0074039C">
            <w:pPr>
              <w:rPr>
                <w:sz w:val="24"/>
                <w:szCs w:val="24"/>
              </w:rPr>
            </w:pPr>
            <w:r w:rsidRPr="006F5AE8">
              <w:rPr>
                <w:i/>
                <w:iCs/>
                <w:sz w:val="24"/>
                <w:szCs w:val="24"/>
              </w:rPr>
              <w:t>TIMI Minor Bleed</w:t>
            </w:r>
            <w:r w:rsidRPr="006F5AE8">
              <w:rPr>
                <w:sz w:val="24"/>
                <w:szCs w:val="24"/>
              </w:rPr>
              <w:t>: Clinically apparent with 30-50 g/L decrease in haemoglobin.</w:t>
            </w:r>
          </w:p>
          <w:p w14:paraId="463CB251" w14:textId="77777777" w:rsidR="0074039C" w:rsidRPr="006F5AE8" w:rsidRDefault="0074039C">
            <w:pPr>
              <w:rPr>
                <w:sz w:val="24"/>
                <w:szCs w:val="24"/>
              </w:rPr>
            </w:pPr>
            <w:r w:rsidRPr="006F5AE8">
              <w:rPr>
                <w:sz w:val="24"/>
                <w:szCs w:val="24"/>
              </w:rPr>
              <w:t>*</w:t>
            </w:r>
            <w:r w:rsidRPr="006F5AE8">
              <w:rPr>
                <w:i/>
                <w:iCs/>
                <w:sz w:val="24"/>
                <w:szCs w:val="24"/>
              </w:rPr>
              <w:t>p</w:t>
            </w:r>
            <w:r w:rsidRPr="006F5AE8">
              <w:rPr>
                <w:sz w:val="24"/>
                <w:szCs w:val="24"/>
              </w:rPr>
              <w:t>-value calculated from Cox proportional hazards model with treatment group as the only explanatory variable.</w:t>
            </w:r>
          </w:p>
        </w:tc>
      </w:tr>
    </w:tbl>
    <w:p w14:paraId="6E6B4F1C" w14:textId="77777777" w:rsidR="0074039C" w:rsidRPr="006F5AE8" w:rsidRDefault="0074039C" w:rsidP="0074039C">
      <w:pPr>
        <w:rPr>
          <w:sz w:val="24"/>
          <w:szCs w:val="24"/>
          <w:lang w:val="en-GB" w:eastAsia="en-US"/>
        </w:rPr>
      </w:pPr>
    </w:p>
    <w:p w14:paraId="25C6DFAE" w14:textId="77777777" w:rsidR="0074039C" w:rsidRPr="006F5AE8" w:rsidRDefault="0074039C" w:rsidP="00B4050A">
      <w:pPr>
        <w:ind w:left="851"/>
        <w:rPr>
          <w:sz w:val="24"/>
          <w:szCs w:val="24"/>
          <w:lang w:val="en-US"/>
        </w:rPr>
      </w:pPr>
      <w:r w:rsidRPr="006F5AE8">
        <w:rPr>
          <w:sz w:val="24"/>
          <w:szCs w:val="24"/>
          <w:lang w:val="en-US"/>
        </w:rPr>
        <w:t>Ticagrelor and clopidogrel did not differ in rates of PLATO Major Fatal/Life-threatening bleeding, PLATO total Major bleeding, TIMI Major bleeding, or TIMI Minor bleeding (Table 2). However, more PLATO combined Major + Minor bleeding occurred with ticagrelor compared with clopidogrel. Few patients in PLATO had fatal bleeds: 20 (0.2%) for ticagrelor and 23 (0.3%) for clopidogrel (see section 4.4).</w:t>
      </w:r>
    </w:p>
    <w:p w14:paraId="597FEF73" w14:textId="77777777" w:rsidR="0074039C" w:rsidRPr="006F5AE8" w:rsidRDefault="0074039C" w:rsidP="00B4050A">
      <w:pPr>
        <w:ind w:left="851"/>
        <w:rPr>
          <w:sz w:val="24"/>
          <w:szCs w:val="24"/>
          <w:lang w:val="en-US"/>
        </w:rPr>
      </w:pPr>
    </w:p>
    <w:p w14:paraId="1C11F56E" w14:textId="77777777" w:rsidR="0074039C" w:rsidRPr="006F5AE8" w:rsidRDefault="0074039C" w:rsidP="00B4050A">
      <w:pPr>
        <w:ind w:left="851"/>
        <w:rPr>
          <w:sz w:val="24"/>
          <w:szCs w:val="24"/>
          <w:lang w:val="en-US"/>
        </w:rPr>
      </w:pPr>
      <w:r w:rsidRPr="006F5AE8">
        <w:rPr>
          <w:sz w:val="24"/>
          <w:szCs w:val="24"/>
          <w:lang w:val="en-US"/>
        </w:rPr>
        <w:t xml:space="preserve">Age, sex, weight, race, geographic region, concurrent conditions, concomitant therapy and medical history, including a previous stroke or transient </w:t>
      </w:r>
      <w:proofErr w:type="spellStart"/>
      <w:r w:rsidRPr="006F5AE8">
        <w:rPr>
          <w:sz w:val="24"/>
          <w:szCs w:val="24"/>
          <w:lang w:val="en-US"/>
        </w:rPr>
        <w:t>ischaemic</w:t>
      </w:r>
      <w:proofErr w:type="spellEnd"/>
      <w:r w:rsidRPr="006F5AE8">
        <w:rPr>
          <w:sz w:val="24"/>
          <w:szCs w:val="24"/>
          <w:lang w:val="en-US"/>
        </w:rPr>
        <w:t xml:space="preserve"> attack, all did not predict either overall or non-procedural PLATO Major bleeding. Thus, no particular group was identified at risk for any subset of bleeding.</w:t>
      </w:r>
    </w:p>
    <w:p w14:paraId="780150F4" w14:textId="77777777" w:rsidR="0074039C" w:rsidRPr="006F5AE8" w:rsidRDefault="0074039C" w:rsidP="00B4050A">
      <w:pPr>
        <w:ind w:left="851"/>
        <w:rPr>
          <w:sz w:val="24"/>
          <w:szCs w:val="24"/>
          <w:lang w:val="en-US"/>
        </w:rPr>
      </w:pPr>
    </w:p>
    <w:p w14:paraId="658B923B" w14:textId="77777777" w:rsidR="0074039C" w:rsidRPr="006F5AE8" w:rsidRDefault="0074039C" w:rsidP="00B4050A">
      <w:pPr>
        <w:ind w:left="851"/>
        <w:rPr>
          <w:sz w:val="24"/>
          <w:szCs w:val="24"/>
          <w:lang w:val="en-US"/>
        </w:rPr>
      </w:pPr>
      <w:r w:rsidRPr="006F5AE8">
        <w:rPr>
          <w:sz w:val="24"/>
          <w:szCs w:val="24"/>
          <w:lang w:val="en-US"/>
        </w:rPr>
        <w:t>CABG-related bleeding:</w:t>
      </w:r>
    </w:p>
    <w:p w14:paraId="3675C95C" w14:textId="77777777" w:rsidR="0074039C" w:rsidRPr="006F5AE8" w:rsidRDefault="0074039C" w:rsidP="00B4050A">
      <w:pPr>
        <w:ind w:left="851"/>
        <w:rPr>
          <w:sz w:val="24"/>
          <w:szCs w:val="24"/>
          <w:lang w:val="en-US"/>
        </w:rPr>
      </w:pPr>
      <w:r w:rsidRPr="006F5AE8">
        <w:rPr>
          <w:sz w:val="24"/>
          <w:szCs w:val="24"/>
          <w:lang w:val="en-US"/>
        </w:rPr>
        <w:t>In PLATO, 42% of the 1584 patients (12% of cohort) who underwent coronary artery bypass graft (CABG) surgery had a PLATO Major Fatal/Life-threatening bleeding with no difference between treatment groups. Fatal CABG bleeding occurred in 6 patients in each treatment group (see section 4.4).</w:t>
      </w:r>
    </w:p>
    <w:p w14:paraId="5FBAA5C9" w14:textId="77777777" w:rsidR="0074039C" w:rsidRPr="006F5AE8" w:rsidRDefault="0074039C" w:rsidP="00B4050A">
      <w:pPr>
        <w:ind w:left="851"/>
        <w:rPr>
          <w:sz w:val="24"/>
          <w:szCs w:val="24"/>
          <w:lang w:val="en-US"/>
        </w:rPr>
      </w:pPr>
    </w:p>
    <w:p w14:paraId="16770848" w14:textId="77777777" w:rsidR="0074039C" w:rsidRPr="006F5AE8" w:rsidRDefault="0074039C" w:rsidP="00B4050A">
      <w:pPr>
        <w:ind w:left="851"/>
        <w:rPr>
          <w:sz w:val="24"/>
          <w:szCs w:val="24"/>
          <w:lang w:val="en-US"/>
        </w:rPr>
      </w:pPr>
      <w:r w:rsidRPr="006F5AE8">
        <w:rPr>
          <w:sz w:val="24"/>
          <w:szCs w:val="24"/>
          <w:lang w:val="en-US"/>
        </w:rPr>
        <w:t>Non-CABG related bleeding and non-procedural related bleeding:</w:t>
      </w:r>
    </w:p>
    <w:p w14:paraId="6F857A16" w14:textId="77777777" w:rsidR="0074039C" w:rsidRPr="006F5AE8" w:rsidRDefault="0074039C" w:rsidP="00B4050A">
      <w:pPr>
        <w:ind w:left="851"/>
        <w:rPr>
          <w:sz w:val="24"/>
          <w:szCs w:val="24"/>
          <w:lang w:val="en-US"/>
        </w:rPr>
      </w:pPr>
      <w:r w:rsidRPr="006F5AE8">
        <w:rPr>
          <w:sz w:val="24"/>
          <w:szCs w:val="24"/>
          <w:lang w:val="en-US"/>
        </w:rPr>
        <w:t>Ticagrelor and clopidogrel did not differ in non-CABG PLATO-defined Major Fatal/Life-threatening bleeding, but PLATO-defined Total Major, TIMI Major, and TIMI Major + Minor bleeding were more common with ticagrelor. Similarly, when removing all procedure related bleeds, more bleeding occurred with ticagrelor than with clopidogrel (Table 2). Discontinuation of treatment due to non-procedural bleeding was more common for ticagrelor (2.9%) than for clopidogrel (1.2%; p&lt;0.001).</w:t>
      </w:r>
    </w:p>
    <w:p w14:paraId="6EA98637" w14:textId="77777777" w:rsidR="0074039C" w:rsidRPr="006F5AE8" w:rsidRDefault="0074039C" w:rsidP="00B4050A">
      <w:pPr>
        <w:ind w:left="851"/>
        <w:rPr>
          <w:sz w:val="24"/>
          <w:szCs w:val="24"/>
          <w:lang w:val="en-US"/>
        </w:rPr>
      </w:pPr>
    </w:p>
    <w:p w14:paraId="788EDF4B" w14:textId="77777777" w:rsidR="0074039C" w:rsidRPr="006F5AE8" w:rsidRDefault="0074039C" w:rsidP="00B4050A">
      <w:pPr>
        <w:ind w:left="851"/>
        <w:rPr>
          <w:sz w:val="24"/>
          <w:szCs w:val="24"/>
          <w:lang w:val="en-US"/>
        </w:rPr>
      </w:pPr>
      <w:r w:rsidRPr="006F5AE8">
        <w:rPr>
          <w:sz w:val="24"/>
          <w:szCs w:val="24"/>
          <w:lang w:val="en-US"/>
        </w:rPr>
        <w:t>Intracranial bleeding:</w:t>
      </w:r>
    </w:p>
    <w:p w14:paraId="1C192F11" w14:textId="77777777" w:rsidR="0074039C" w:rsidRPr="006F5AE8" w:rsidRDefault="0074039C" w:rsidP="00B4050A">
      <w:pPr>
        <w:ind w:left="851"/>
        <w:rPr>
          <w:sz w:val="24"/>
          <w:szCs w:val="24"/>
          <w:lang w:val="en-US"/>
        </w:rPr>
      </w:pPr>
      <w:r w:rsidRPr="006F5AE8">
        <w:rPr>
          <w:sz w:val="24"/>
          <w:szCs w:val="24"/>
          <w:lang w:val="en-US"/>
        </w:rPr>
        <w:t>There were more intracranial non-procedural bleeds with ticagrelor (n=27 bleeds in 26 patients, 0.3%) than with clopidogrel (n=14 bleeds, 0.2%), of which 11 bleeds with ticagrelor and 1 with clopidogrel were fatal. There was no difference in overall fatal bleeds.</w:t>
      </w:r>
    </w:p>
    <w:p w14:paraId="0D2F6B88" w14:textId="77777777" w:rsidR="0074039C" w:rsidRPr="006F5AE8" w:rsidRDefault="0074039C" w:rsidP="00B4050A">
      <w:pPr>
        <w:ind w:left="851"/>
        <w:rPr>
          <w:sz w:val="24"/>
          <w:szCs w:val="24"/>
          <w:lang w:val="en-US"/>
        </w:rPr>
      </w:pPr>
    </w:p>
    <w:p w14:paraId="6F3CF767" w14:textId="77777777" w:rsidR="0074039C" w:rsidRPr="006F5AE8" w:rsidRDefault="0074039C" w:rsidP="00B4050A">
      <w:pPr>
        <w:ind w:left="851"/>
        <w:rPr>
          <w:i/>
          <w:iCs/>
          <w:sz w:val="24"/>
          <w:szCs w:val="24"/>
          <w:lang w:val="en-US"/>
        </w:rPr>
      </w:pPr>
      <w:r w:rsidRPr="006F5AE8">
        <w:rPr>
          <w:i/>
          <w:iCs/>
          <w:sz w:val="24"/>
          <w:szCs w:val="24"/>
          <w:lang w:val="en-US"/>
        </w:rPr>
        <w:t>Bleeding findings in PEGASUS</w:t>
      </w:r>
    </w:p>
    <w:p w14:paraId="10EC10B3" w14:textId="77777777" w:rsidR="0074039C" w:rsidRPr="006F5AE8" w:rsidRDefault="0074039C" w:rsidP="00B4050A">
      <w:pPr>
        <w:ind w:left="851"/>
        <w:rPr>
          <w:sz w:val="24"/>
          <w:szCs w:val="24"/>
          <w:lang w:val="en-US"/>
        </w:rPr>
      </w:pPr>
      <w:r w:rsidRPr="006F5AE8">
        <w:rPr>
          <w:sz w:val="24"/>
          <w:szCs w:val="24"/>
          <w:lang w:val="en-US"/>
        </w:rPr>
        <w:t>Overall outcome of bleeding events in the PEGASUS study are shown in Table 3.</w:t>
      </w:r>
    </w:p>
    <w:p w14:paraId="4B495441" w14:textId="77777777" w:rsidR="0074039C" w:rsidRPr="006F5AE8" w:rsidRDefault="0074039C" w:rsidP="00B4050A">
      <w:pPr>
        <w:ind w:left="851"/>
        <w:rPr>
          <w:sz w:val="24"/>
          <w:szCs w:val="24"/>
          <w:lang w:val="en-US"/>
        </w:rPr>
      </w:pPr>
    </w:p>
    <w:p w14:paraId="5732286A" w14:textId="77777777" w:rsidR="0074039C" w:rsidRPr="006F5AE8" w:rsidRDefault="0074039C" w:rsidP="0074039C">
      <w:pPr>
        <w:rPr>
          <w:i/>
          <w:iCs/>
          <w:sz w:val="24"/>
          <w:szCs w:val="24"/>
          <w:u w:val="single"/>
          <w:lang w:val="en-US"/>
        </w:rPr>
      </w:pPr>
      <w:r w:rsidRPr="006F5AE8">
        <w:rPr>
          <w:i/>
          <w:iCs/>
          <w:sz w:val="24"/>
          <w:szCs w:val="24"/>
          <w:u w:val="single"/>
          <w:lang w:val="en-US"/>
        </w:rPr>
        <w:t>Table 3 – Analysis of overall bleeding events, Kaplan-Meier estimates at 36 months (PEGASUS)</w:t>
      </w:r>
    </w:p>
    <w:p w14:paraId="3A454C71" w14:textId="77777777" w:rsidR="0074039C" w:rsidRPr="006F5AE8" w:rsidRDefault="0074039C" w:rsidP="0074039C">
      <w:pPr>
        <w:rPr>
          <w:sz w:val="24"/>
          <w:szCs w:val="24"/>
          <w:lang w:val="en-US"/>
        </w:rPr>
      </w:pPr>
    </w:p>
    <w:tbl>
      <w:tblPr>
        <w:tblStyle w:val="Tabel-Gitter"/>
        <w:tblW w:w="5000" w:type="pct"/>
        <w:tblInd w:w="0" w:type="dxa"/>
        <w:tblLook w:val="04A0" w:firstRow="1" w:lastRow="0" w:firstColumn="1" w:lastColumn="0" w:noHBand="0" w:noVBand="1"/>
      </w:tblPr>
      <w:tblGrid>
        <w:gridCol w:w="4010"/>
        <w:gridCol w:w="1435"/>
        <w:gridCol w:w="1531"/>
        <w:gridCol w:w="1435"/>
        <w:gridCol w:w="1217"/>
      </w:tblGrid>
      <w:tr w:rsidR="0074039C" w:rsidRPr="006F5AE8" w14:paraId="47FA84CE" w14:textId="77777777" w:rsidTr="00B4050A">
        <w:tc>
          <w:tcPr>
            <w:tcW w:w="2083" w:type="pct"/>
            <w:vMerge w:val="restart"/>
            <w:tcBorders>
              <w:top w:val="single" w:sz="4" w:space="0" w:color="auto"/>
              <w:left w:val="single" w:sz="4" w:space="0" w:color="auto"/>
              <w:bottom w:val="single" w:sz="4" w:space="0" w:color="auto"/>
              <w:right w:val="single" w:sz="4" w:space="0" w:color="auto"/>
            </w:tcBorders>
            <w:hideMark/>
          </w:tcPr>
          <w:p w14:paraId="0F924E0A" w14:textId="77777777" w:rsidR="0074039C" w:rsidRPr="006F5AE8" w:rsidRDefault="0074039C">
            <w:pPr>
              <w:rPr>
                <w:sz w:val="24"/>
                <w:szCs w:val="24"/>
              </w:rPr>
            </w:pPr>
            <w:r w:rsidRPr="006F5AE8">
              <w:rPr>
                <w:sz w:val="24"/>
                <w:szCs w:val="24"/>
              </w:rPr>
              <w:t>Safety Endpoints</w:t>
            </w:r>
          </w:p>
        </w:tc>
        <w:tc>
          <w:tcPr>
            <w:tcW w:w="1540" w:type="pct"/>
            <w:gridSpan w:val="2"/>
            <w:tcBorders>
              <w:top w:val="single" w:sz="4" w:space="0" w:color="auto"/>
              <w:left w:val="single" w:sz="4" w:space="0" w:color="auto"/>
              <w:bottom w:val="single" w:sz="4" w:space="0" w:color="auto"/>
              <w:right w:val="single" w:sz="4" w:space="0" w:color="auto"/>
            </w:tcBorders>
            <w:hideMark/>
          </w:tcPr>
          <w:p w14:paraId="7AC897F1" w14:textId="77777777" w:rsidR="0074039C" w:rsidRPr="006F5AE8" w:rsidRDefault="0074039C">
            <w:pPr>
              <w:rPr>
                <w:sz w:val="24"/>
                <w:szCs w:val="24"/>
              </w:rPr>
            </w:pPr>
            <w:r w:rsidRPr="006F5AE8">
              <w:rPr>
                <w:sz w:val="24"/>
                <w:szCs w:val="24"/>
              </w:rPr>
              <w:t>Ticagrelor 60 mg twice daily + ASA</w:t>
            </w:r>
          </w:p>
          <w:p w14:paraId="7C79EF3C" w14:textId="77777777" w:rsidR="0074039C" w:rsidRPr="006F5AE8" w:rsidRDefault="0074039C">
            <w:pPr>
              <w:rPr>
                <w:sz w:val="24"/>
                <w:szCs w:val="24"/>
              </w:rPr>
            </w:pPr>
            <w:r w:rsidRPr="006F5AE8">
              <w:rPr>
                <w:sz w:val="24"/>
                <w:szCs w:val="24"/>
              </w:rPr>
              <w:t>N=6958</w:t>
            </w:r>
          </w:p>
        </w:tc>
        <w:tc>
          <w:tcPr>
            <w:tcW w:w="745" w:type="pct"/>
            <w:tcBorders>
              <w:top w:val="single" w:sz="4" w:space="0" w:color="auto"/>
              <w:left w:val="single" w:sz="4" w:space="0" w:color="auto"/>
              <w:bottom w:val="single" w:sz="4" w:space="0" w:color="auto"/>
              <w:right w:val="single" w:sz="4" w:space="0" w:color="auto"/>
            </w:tcBorders>
          </w:tcPr>
          <w:p w14:paraId="6CDBC635" w14:textId="77777777" w:rsidR="0074039C" w:rsidRPr="006F5AE8" w:rsidRDefault="0074039C">
            <w:pPr>
              <w:rPr>
                <w:sz w:val="24"/>
                <w:szCs w:val="24"/>
              </w:rPr>
            </w:pPr>
            <w:r w:rsidRPr="006F5AE8">
              <w:rPr>
                <w:sz w:val="24"/>
                <w:szCs w:val="24"/>
              </w:rPr>
              <w:t>ASA alone</w:t>
            </w:r>
          </w:p>
          <w:p w14:paraId="464FD15F" w14:textId="77777777" w:rsidR="0074039C" w:rsidRPr="006F5AE8" w:rsidRDefault="0074039C">
            <w:pPr>
              <w:rPr>
                <w:sz w:val="24"/>
                <w:szCs w:val="24"/>
              </w:rPr>
            </w:pPr>
          </w:p>
          <w:p w14:paraId="7F1FF58F" w14:textId="77777777" w:rsidR="0074039C" w:rsidRPr="006F5AE8" w:rsidRDefault="0074039C">
            <w:pPr>
              <w:rPr>
                <w:sz w:val="24"/>
                <w:szCs w:val="24"/>
              </w:rPr>
            </w:pPr>
            <w:r w:rsidRPr="006F5AE8">
              <w:rPr>
                <w:sz w:val="24"/>
                <w:szCs w:val="24"/>
              </w:rPr>
              <w:t>N=6996</w:t>
            </w:r>
          </w:p>
        </w:tc>
        <w:tc>
          <w:tcPr>
            <w:tcW w:w="632" w:type="pct"/>
            <w:vMerge w:val="restart"/>
            <w:tcBorders>
              <w:top w:val="single" w:sz="4" w:space="0" w:color="auto"/>
              <w:left w:val="single" w:sz="4" w:space="0" w:color="auto"/>
              <w:bottom w:val="single" w:sz="4" w:space="0" w:color="auto"/>
              <w:right w:val="single" w:sz="4" w:space="0" w:color="auto"/>
            </w:tcBorders>
            <w:hideMark/>
          </w:tcPr>
          <w:p w14:paraId="081C7D2B" w14:textId="77777777" w:rsidR="0074039C" w:rsidRPr="006F5AE8" w:rsidRDefault="0074039C">
            <w:pPr>
              <w:rPr>
                <w:sz w:val="24"/>
                <w:szCs w:val="24"/>
              </w:rPr>
            </w:pPr>
            <w:r w:rsidRPr="006F5AE8">
              <w:rPr>
                <w:i/>
                <w:iCs/>
                <w:sz w:val="24"/>
                <w:szCs w:val="24"/>
              </w:rPr>
              <w:t>p</w:t>
            </w:r>
            <w:r w:rsidRPr="006F5AE8">
              <w:rPr>
                <w:sz w:val="24"/>
                <w:szCs w:val="24"/>
              </w:rPr>
              <w:t>-value</w:t>
            </w:r>
          </w:p>
        </w:tc>
      </w:tr>
      <w:tr w:rsidR="0074039C" w:rsidRPr="006F5AE8" w14:paraId="5941DFA0" w14:textId="77777777" w:rsidTr="00B4050A">
        <w:trPr>
          <w:tblHeader/>
        </w:trPr>
        <w:tc>
          <w:tcPr>
            <w:tcW w:w="2083" w:type="pct"/>
            <w:vMerge/>
            <w:tcBorders>
              <w:top w:val="single" w:sz="4" w:space="0" w:color="auto"/>
              <w:left w:val="single" w:sz="4" w:space="0" w:color="auto"/>
              <w:bottom w:val="single" w:sz="4" w:space="0" w:color="auto"/>
              <w:right w:val="single" w:sz="4" w:space="0" w:color="auto"/>
            </w:tcBorders>
            <w:vAlign w:val="center"/>
            <w:hideMark/>
          </w:tcPr>
          <w:p w14:paraId="70C5B6CA" w14:textId="77777777" w:rsidR="0074039C" w:rsidRPr="006F5AE8" w:rsidRDefault="0074039C">
            <w:pPr>
              <w:rPr>
                <w:rFonts w:eastAsia="Times New Roman"/>
                <w:sz w:val="24"/>
                <w:szCs w:val="24"/>
                <w:lang w:eastAsia="en-US"/>
              </w:rPr>
            </w:pPr>
          </w:p>
        </w:tc>
        <w:tc>
          <w:tcPr>
            <w:tcW w:w="745" w:type="pct"/>
            <w:tcBorders>
              <w:top w:val="single" w:sz="4" w:space="0" w:color="auto"/>
              <w:left w:val="single" w:sz="4" w:space="0" w:color="auto"/>
              <w:bottom w:val="single" w:sz="4" w:space="0" w:color="auto"/>
              <w:right w:val="single" w:sz="4" w:space="0" w:color="auto"/>
            </w:tcBorders>
            <w:hideMark/>
          </w:tcPr>
          <w:p w14:paraId="6C02490F" w14:textId="77777777" w:rsidR="0074039C" w:rsidRPr="006F5AE8" w:rsidRDefault="0074039C">
            <w:pPr>
              <w:rPr>
                <w:sz w:val="24"/>
                <w:szCs w:val="24"/>
              </w:rPr>
            </w:pPr>
            <w:r w:rsidRPr="006F5AE8">
              <w:rPr>
                <w:sz w:val="24"/>
                <w:szCs w:val="24"/>
              </w:rPr>
              <w:t>KM%</w:t>
            </w:r>
          </w:p>
        </w:tc>
        <w:tc>
          <w:tcPr>
            <w:tcW w:w="795" w:type="pct"/>
            <w:tcBorders>
              <w:top w:val="single" w:sz="4" w:space="0" w:color="auto"/>
              <w:left w:val="single" w:sz="4" w:space="0" w:color="auto"/>
              <w:bottom w:val="single" w:sz="4" w:space="0" w:color="auto"/>
              <w:right w:val="single" w:sz="4" w:space="0" w:color="auto"/>
            </w:tcBorders>
            <w:hideMark/>
          </w:tcPr>
          <w:p w14:paraId="2EB9B106" w14:textId="77777777" w:rsidR="0074039C" w:rsidRPr="006F5AE8" w:rsidRDefault="0074039C">
            <w:pPr>
              <w:rPr>
                <w:sz w:val="24"/>
                <w:szCs w:val="24"/>
              </w:rPr>
            </w:pPr>
            <w:r w:rsidRPr="006F5AE8">
              <w:rPr>
                <w:sz w:val="24"/>
                <w:szCs w:val="24"/>
              </w:rPr>
              <w:t>Hazard Ratio (95% CI)</w:t>
            </w:r>
          </w:p>
        </w:tc>
        <w:tc>
          <w:tcPr>
            <w:tcW w:w="745" w:type="pct"/>
            <w:tcBorders>
              <w:top w:val="single" w:sz="4" w:space="0" w:color="auto"/>
              <w:left w:val="single" w:sz="4" w:space="0" w:color="auto"/>
              <w:bottom w:val="single" w:sz="4" w:space="0" w:color="auto"/>
              <w:right w:val="single" w:sz="4" w:space="0" w:color="auto"/>
            </w:tcBorders>
            <w:hideMark/>
          </w:tcPr>
          <w:p w14:paraId="24C8EE4D" w14:textId="77777777" w:rsidR="0074039C" w:rsidRPr="006F5AE8" w:rsidRDefault="0074039C">
            <w:pPr>
              <w:rPr>
                <w:sz w:val="24"/>
                <w:szCs w:val="24"/>
              </w:rPr>
            </w:pPr>
            <w:r w:rsidRPr="006F5AE8">
              <w:rPr>
                <w:sz w:val="24"/>
                <w:szCs w:val="24"/>
              </w:rPr>
              <w:t>KM%</w:t>
            </w:r>
          </w:p>
        </w:tc>
        <w:tc>
          <w:tcPr>
            <w:tcW w:w="632" w:type="pct"/>
            <w:vMerge/>
            <w:tcBorders>
              <w:top w:val="single" w:sz="4" w:space="0" w:color="auto"/>
              <w:left w:val="single" w:sz="4" w:space="0" w:color="auto"/>
              <w:bottom w:val="single" w:sz="4" w:space="0" w:color="auto"/>
              <w:right w:val="single" w:sz="4" w:space="0" w:color="auto"/>
            </w:tcBorders>
            <w:vAlign w:val="center"/>
            <w:hideMark/>
          </w:tcPr>
          <w:p w14:paraId="4B6ABF83" w14:textId="77777777" w:rsidR="0074039C" w:rsidRPr="006F5AE8" w:rsidRDefault="0074039C">
            <w:pPr>
              <w:rPr>
                <w:rFonts w:eastAsia="Times New Roman"/>
                <w:sz w:val="24"/>
                <w:szCs w:val="24"/>
                <w:lang w:eastAsia="en-US"/>
              </w:rPr>
            </w:pPr>
          </w:p>
        </w:tc>
      </w:tr>
      <w:tr w:rsidR="0074039C" w:rsidRPr="006F5AE8" w14:paraId="0A3C057F" w14:textId="77777777" w:rsidTr="00B4050A">
        <w:tc>
          <w:tcPr>
            <w:tcW w:w="5000" w:type="pct"/>
            <w:gridSpan w:val="5"/>
            <w:tcBorders>
              <w:top w:val="single" w:sz="4" w:space="0" w:color="auto"/>
              <w:left w:val="single" w:sz="4" w:space="0" w:color="auto"/>
              <w:bottom w:val="single" w:sz="4" w:space="0" w:color="auto"/>
              <w:right w:val="single" w:sz="4" w:space="0" w:color="auto"/>
            </w:tcBorders>
            <w:hideMark/>
          </w:tcPr>
          <w:p w14:paraId="4F2CF190" w14:textId="77777777" w:rsidR="0074039C" w:rsidRPr="006F5AE8" w:rsidRDefault="0074039C">
            <w:pPr>
              <w:rPr>
                <w:sz w:val="24"/>
                <w:szCs w:val="24"/>
              </w:rPr>
            </w:pPr>
            <w:r w:rsidRPr="006F5AE8">
              <w:rPr>
                <w:sz w:val="24"/>
                <w:szCs w:val="24"/>
              </w:rPr>
              <w:t>TIMI-defined bleeding categories</w:t>
            </w:r>
          </w:p>
        </w:tc>
      </w:tr>
      <w:tr w:rsidR="0074039C" w:rsidRPr="006F5AE8" w14:paraId="7FC28049" w14:textId="77777777" w:rsidTr="00B4050A">
        <w:tc>
          <w:tcPr>
            <w:tcW w:w="2083" w:type="pct"/>
            <w:tcBorders>
              <w:top w:val="single" w:sz="4" w:space="0" w:color="auto"/>
              <w:left w:val="single" w:sz="4" w:space="0" w:color="auto"/>
              <w:bottom w:val="single" w:sz="4" w:space="0" w:color="auto"/>
              <w:right w:val="single" w:sz="4" w:space="0" w:color="auto"/>
            </w:tcBorders>
            <w:hideMark/>
          </w:tcPr>
          <w:p w14:paraId="3BAB86FE" w14:textId="77777777" w:rsidR="0074039C" w:rsidRPr="006F5AE8" w:rsidRDefault="0074039C">
            <w:pPr>
              <w:rPr>
                <w:sz w:val="24"/>
                <w:szCs w:val="24"/>
              </w:rPr>
            </w:pPr>
            <w:r w:rsidRPr="006F5AE8">
              <w:rPr>
                <w:sz w:val="24"/>
                <w:szCs w:val="24"/>
              </w:rPr>
              <w:t>TIMI Major</w:t>
            </w:r>
          </w:p>
        </w:tc>
        <w:tc>
          <w:tcPr>
            <w:tcW w:w="745" w:type="pct"/>
            <w:tcBorders>
              <w:top w:val="single" w:sz="4" w:space="0" w:color="auto"/>
              <w:left w:val="single" w:sz="4" w:space="0" w:color="auto"/>
              <w:bottom w:val="single" w:sz="4" w:space="0" w:color="auto"/>
              <w:right w:val="single" w:sz="4" w:space="0" w:color="auto"/>
            </w:tcBorders>
            <w:hideMark/>
          </w:tcPr>
          <w:p w14:paraId="3E669E68" w14:textId="77777777" w:rsidR="0074039C" w:rsidRPr="006F5AE8" w:rsidRDefault="0074039C">
            <w:pPr>
              <w:rPr>
                <w:sz w:val="24"/>
                <w:szCs w:val="24"/>
              </w:rPr>
            </w:pPr>
            <w:r w:rsidRPr="006F5AE8">
              <w:rPr>
                <w:sz w:val="24"/>
                <w:szCs w:val="24"/>
              </w:rPr>
              <w:t>2.3</w:t>
            </w:r>
          </w:p>
        </w:tc>
        <w:tc>
          <w:tcPr>
            <w:tcW w:w="795" w:type="pct"/>
            <w:tcBorders>
              <w:top w:val="single" w:sz="4" w:space="0" w:color="auto"/>
              <w:left w:val="single" w:sz="4" w:space="0" w:color="auto"/>
              <w:bottom w:val="single" w:sz="4" w:space="0" w:color="auto"/>
              <w:right w:val="single" w:sz="4" w:space="0" w:color="auto"/>
            </w:tcBorders>
            <w:hideMark/>
          </w:tcPr>
          <w:p w14:paraId="01D7D759" w14:textId="77777777" w:rsidR="0074039C" w:rsidRPr="006F5AE8" w:rsidRDefault="0074039C">
            <w:pPr>
              <w:rPr>
                <w:sz w:val="24"/>
                <w:szCs w:val="24"/>
              </w:rPr>
            </w:pPr>
            <w:r w:rsidRPr="006F5AE8">
              <w:rPr>
                <w:sz w:val="24"/>
                <w:szCs w:val="24"/>
              </w:rPr>
              <w:t>2.32</w:t>
            </w:r>
          </w:p>
          <w:p w14:paraId="506D2375" w14:textId="77777777" w:rsidR="0074039C" w:rsidRPr="006F5AE8" w:rsidRDefault="0074039C">
            <w:pPr>
              <w:rPr>
                <w:sz w:val="24"/>
                <w:szCs w:val="24"/>
              </w:rPr>
            </w:pPr>
            <w:r w:rsidRPr="006F5AE8">
              <w:rPr>
                <w:sz w:val="24"/>
                <w:szCs w:val="24"/>
              </w:rPr>
              <w:t>(1.68, 3.21)</w:t>
            </w:r>
          </w:p>
        </w:tc>
        <w:tc>
          <w:tcPr>
            <w:tcW w:w="745" w:type="pct"/>
            <w:tcBorders>
              <w:top w:val="single" w:sz="4" w:space="0" w:color="auto"/>
              <w:left w:val="single" w:sz="4" w:space="0" w:color="auto"/>
              <w:bottom w:val="single" w:sz="4" w:space="0" w:color="auto"/>
              <w:right w:val="single" w:sz="4" w:space="0" w:color="auto"/>
            </w:tcBorders>
            <w:hideMark/>
          </w:tcPr>
          <w:p w14:paraId="05F62D35" w14:textId="77777777" w:rsidR="0074039C" w:rsidRPr="006F5AE8" w:rsidRDefault="0074039C">
            <w:pPr>
              <w:rPr>
                <w:sz w:val="24"/>
                <w:szCs w:val="24"/>
              </w:rPr>
            </w:pPr>
            <w:r w:rsidRPr="006F5AE8">
              <w:rPr>
                <w:sz w:val="24"/>
                <w:szCs w:val="24"/>
              </w:rPr>
              <w:t>1.1</w:t>
            </w:r>
          </w:p>
        </w:tc>
        <w:tc>
          <w:tcPr>
            <w:tcW w:w="632" w:type="pct"/>
            <w:tcBorders>
              <w:top w:val="single" w:sz="4" w:space="0" w:color="auto"/>
              <w:left w:val="single" w:sz="4" w:space="0" w:color="auto"/>
              <w:bottom w:val="single" w:sz="4" w:space="0" w:color="auto"/>
              <w:right w:val="single" w:sz="4" w:space="0" w:color="auto"/>
            </w:tcBorders>
            <w:hideMark/>
          </w:tcPr>
          <w:p w14:paraId="5030EB5F" w14:textId="77777777" w:rsidR="0074039C" w:rsidRPr="006F5AE8" w:rsidRDefault="0074039C">
            <w:pPr>
              <w:rPr>
                <w:sz w:val="24"/>
                <w:szCs w:val="24"/>
              </w:rPr>
            </w:pPr>
            <w:r w:rsidRPr="006F5AE8">
              <w:rPr>
                <w:sz w:val="24"/>
                <w:szCs w:val="24"/>
              </w:rPr>
              <w:t>&lt;0.0001</w:t>
            </w:r>
          </w:p>
        </w:tc>
      </w:tr>
      <w:tr w:rsidR="0074039C" w:rsidRPr="006F5AE8" w14:paraId="3D0B3290" w14:textId="77777777" w:rsidTr="00B4050A">
        <w:tc>
          <w:tcPr>
            <w:tcW w:w="2083" w:type="pct"/>
            <w:tcBorders>
              <w:top w:val="single" w:sz="4" w:space="0" w:color="auto"/>
              <w:left w:val="single" w:sz="4" w:space="0" w:color="auto"/>
              <w:bottom w:val="single" w:sz="4" w:space="0" w:color="auto"/>
              <w:right w:val="single" w:sz="4" w:space="0" w:color="auto"/>
            </w:tcBorders>
            <w:hideMark/>
          </w:tcPr>
          <w:p w14:paraId="63C07C7C" w14:textId="77777777" w:rsidR="0074039C" w:rsidRPr="006F5AE8" w:rsidRDefault="0074039C">
            <w:pPr>
              <w:ind w:left="510"/>
              <w:rPr>
                <w:sz w:val="24"/>
                <w:szCs w:val="24"/>
              </w:rPr>
            </w:pPr>
            <w:r w:rsidRPr="006F5AE8">
              <w:rPr>
                <w:sz w:val="24"/>
                <w:szCs w:val="24"/>
              </w:rPr>
              <w:t>Fatal</w:t>
            </w:r>
          </w:p>
        </w:tc>
        <w:tc>
          <w:tcPr>
            <w:tcW w:w="745" w:type="pct"/>
            <w:tcBorders>
              <w:top w:val="single" w:sz="4" w:space="0" w:color="auto"/>
              <w:left w:val="single" w:sz="4" w:space="0" w:color="auto"/>
              <w:bottom w:val="single" w:sz="4" w:space="0" w:color="auto"/>
              <w:right w:val="single" w:sz="4" w:space="0" w:color="auto"/>
            </w:tcBorders>
            <w:hideMark/>
          </w:tcPr>
          <w:p w14:paraId="6A748693" w14:textId="77777777" w:rsidR="0074039C" w:rsidRPr="006F5AE8" w:rsidRDefault="0074039C">
            <w:pPr>
              <w:rPr>
                <w:sz w:val="24"/>
                <w:szCs w:val="24"/>
              </w:rPr>
            </w:pPr>
            <w:r w:rsidRPr="006F5AE8">
              <w:rPr>
                <w:sz w:val="24"/>
                <w:szCs w:val="24"/>
              </w:rPr>
              <w:t>0.3</w:t>
            </w:r>
          </w:p>
        </w:tc>
        <w:tc>
          <w:tcPr>
            <w:tcW w:w="795" w:type="pct"/>
            <w:tcBorders>
              <w:top w:val="single" w:sz="4" w:space="0" w:color="auto"/>
              <w:left w:val="single" w:sz="4" w:space="0" w:color="auto"/>
              <w:bottom w:val="single" w:sz="4" w:space="0" w:color="auto"/>
              <w:right w:val="single" w:sz="4" w:space="0" w:color="auto"/>
            </w:tcBorders>
            <w:hideMark/>
          </w:tcPr>
          <w:p w14:paraId="135B93F7" w14:textId="77777777" w:rsidR="0074039C" w:rsidRPr="006F5AE8" w:rsidRDefault="0074039C">
            <w:pPr>
              <w:rPr>
                <w:sz w:val="24"/>
                <w:szCs w:val="24"/>
              </w:rPr>
            </w:pPr>
            <w:r w:rsidRPr="006F5AE8">
              <w:rPr>
                <w:sz w:val="24"/>
                <w:szCs w:val="24"/>
              </w:rPr>
              <w:t>1.00</w:t>
            </w:r>
          </w:p>
          <w:p w14:paraId="3B48270C" w14:textId="77777777" w:rsidR="0074039C" w:rsidRPr="006F5AE8" w:rsidRDefault="0074039C">
            <w:pPr>
              <w:rPr>
                <w:sz w:val="24"/>
                <w:szCs w:val="24"/>
              </w:rPr>
            </w:pPr>
            <w:r w:rsidRPr="006F5AE8">
              <w:rPr>
                <w:sz w:val="24"/>
                <w:szCs w:val="24"/>
              </w:rPr>
              <w:t>(0.44, 2.27)</w:t>
            </w:r>
          </w:p>
        </w:tc>
        <w:tc>
          <w:tcPr>
            <w:tcW w:w="745" w:type="pct"/>
            <w:tcBorders>
              <w:top w:val="single" w:sz="4" w:space="0" w:color="auto"/>
              <w:left w:val="single" w:sz="4" w:space="0" w:color="auto"/>
              <w:bottom w:val="single" w:sz="4" w:space="0" w:color="auto"/>
              <w:right w:val="single" w:sz="4" w:space="0" w:color="auto"/>
            </w:tcBorders>
            <w:hideMark/>
          </w:tcPr>
          <w:p w14:paraId="5A0ED9AA" w14:textId="77777777" w:rsidR="0074039C" w:rsidRPr="006F5AE8" w:rsidRDefault="0074039C">
            <w:pPr>
              <w:rPr>
                <w:sz w:val="24"/>
                <w:szCs w:val="24"/>
              </w:rPr>
            </w:pPr>
            <w:r w:rsidRPr="006F5AE8">
              <w:rPr>
                <w:sz w:val="24"/>
                <w:szCs w:val="24"/>
              </w:rPr>
              <w:t>0.3</w:t>
            </w:r>
          </w:p>
        </w:tc>
        <w:tc>
          <w:tcPr>
            <w:tcW w:w="632" w:type="pct"/>
            <w:tcBorders>
              <w:top w:val="single" w:sz="4" w:space="0" w:color="auto"/>
              <w:left w:val="single" w:sz="4" w:space="0" w:color="auto"/>
              <w:bottom w:val="single" w:sz="4" w:space="0" w:color="auto"/>
              <w:right w:val="single" w:sz="4" w:space="0" w:color="auto"/>
            </w:tcBorders>
            <w:hideMark/>
          </w:tcPr>
          <w:p w14:paraId="06C13497" w14:textId="77777777" w:rsidR="0074039C" w:rsidRPr="006F5AE8" w:rsidRDefault="0074039C">
            <w:pPr>
              <w:rPr>
                <w:sz w:val="24"/>
                <w:szCs w:val="24"/>
              </w:rPr>
            </w:pPr>
            <w:r w:rsidRPr="006F5AE8">
              <w:rPr>
                <w:sz w:val="24"/>
                <w:szCs w:val="24"/>
              </w:rPr>
              <w:t>1.0000</w:t>
            </w:r>
          </w:p>
        </w:tc>
      </w:tr>
      <w:tr w:rsidR="0074039C" w:rsidRPr="006F5AE8" w14:paraId="0607044E" w14:textId="77777777" w:rsidTr="00B4050A">
        <w:tc>
          <w:tcPr>
            <w:tcW w:w="2083" w:type="pct"/>
            <w:tcBorders>
              <w:top w:val="single" w:sz="4" w:space="0" w:color="auto"/>
              <w:left w:val="single" w:sz="4" w:space="0" w:color="auto"/>
              <w:bottom w:val="single" w:sz="4" w:space="0" w:color="auto"/>
              <w:right w:val="single" w:sz="4" w:space="0" w:color="auto"/>
            </w:tcBorders>
            <w:hideMark/>
          </w:tcPr>
          <w:p w14:paraId="719F9082" w14:textId="77777777" w:rsidR="0074039C" w:rsidRPr="006F5AE8" w:rsidRDefault="0074039C">
            <w:pPr>
              <w:ind w:left="510"/>
              <w:rPr>
                <w:sz w:val="24"/>
                <w:szCs w:val="24"/>
              </w:rPr>
            </w:pPr>
            <w:r w:rsidRPr="006F5AE8">
              <w:rPr>
                <w:sz w:val="24"/>
                <w:szCs w:val="24"/>
              </w:rPr>
              <w:t>ICH</w:t>
            </w:r>
          </w:p>
        </w:tc>
        <w:tc>
          <w:tcPr>
            <w:tcW w:w="745" w:type="pct"/>
            <w:tcBorders>
              <w:top w:val="single" w:sz="4" w:space="0" w:color="auto"/>
              <w:left w:val="single" w:sz="4" w:space="0" w:color="auto"/>
              <w:bottom w:val="single" w:sz="4" w:space="0" w:color="auto"/>
              <w:right w:val="single" w:sz="4" w:space="0" w:color="auto"/>
            </w:tcBorders>
            <w:hideMark/>
          </w:tcPr>
          <w:p w14:paraId="1177AF09" w14:textId="77777777" w:rsidR="0074039C" w:rsidRPr="006F5AE8" w:rsidRDefault="0074039C">
            <w:pPr>
              <w:rPr>
                <w:sz w:val="24"/>
                <w:szCs w:val="24"/>
              </w:rPr>
            </w:pPr>
            <w:r w:rsidRPr="006F5AE8">
              <w:rPr>
                <w:sz w:val="24"/>
                <w:szCs w:val="24"/>
              </w:rPr>
              <w:t>0.6</w:t>
            </w:r>
          </w:p>
        </w:tc>
        <w:tc>
          <w:tcPr>
            <w:tcW w:w="795" w:type="pct"/>
            <w:tcBorders>
              <w:top w:val="single" w:sz="4" w:space="0" w:color="auto"/>
              <w:left w:val="single" w:sz="4" w:space="0" w:color="auto"/>
              <w:bottom w:val="single" w:sz="4" w:space="0" w:color="auto"/>
              <w:right w:val="single" w:sz="4" w:space="0" w:color="auto"/>
            </w:tcBorders>
            <w:hideMark/>
          </w:tcPr>
          <w:p w14:paraId="37829DA6" w14:textId="77777777" w:rsidR="0074039C" w:rsidRPr="006F5AE8" w:rsidRDefault="0074039C">
            <w:pPr>
              <w:rPr>
                <w:sz w:val="24"/>
                <w:szCs w:val="24"/>
              </w:rPr>
            </w:pPr>
            <w:r w:rsidRPr="006F5AE8">
              <w:rPr>
                <w:sz w:val="24"/>
                <w:szCs w:val="24"/>
              </w:rPr>
              <w:t>1.33</w:t>
            </w:r>
          </w:p>
          <w:p w14:paraId="28E6B7AE" w14:textId="77777777" w:rsidR="0074039C" w:rsidRPr="006F5AE8" w:rsidRDefault="0074039C">
            <w:pPr>
              <w:rPr>
                <w:sz w:val="24"/>
                <w:szCs w:val="24"/>
              </w:rPr>
            </w:pPr>
            <w:r w:rsidRPr="006F5AE8">
              <w:rPr>
                <w:sz w:val="24"/>
                <w:szCs w:val="24"/>
              </w:rPr>
              <w:t>(0.77, 2.31)</w:t>
            </w:r>
          </w:p>
        </w:tc>
        <w:tc>
          <w:tcPr>
            <w:tcW w:w="745" w:type="pct"/>
            <w:tcBorders>
              <w:top w:val="single" w:sz="4" w:space="0" w:color="auto"/>
              <w:left w:val="single" w:sz="4" w:space="0" w:color="auto"/>
              <w:bottom w:val="single" w:sz="4" w:space="0" w:color="auto"/>
              <w:right w:val="single" w:sz="4" w:space="0" w:color="auto"/>
            </w:tcBorders>
            <w:hideMark/>
          </w:tcPr>
          <w:p w14:paraId="362167E7" w14:textId="77777777" w:rsidR="0074039C" w:rsidRPr="006F5AE8" w:rsidRDefault="0074039C">
            <w:pPr>
              <w:rPr>
                <w:sz w:val="24"/>
                <w:szCs w:val="24"/>
              </w:rPr>
            </w:pPr>
            <w:r w:rsidRPr="006F5AE8">
              <w:rPr>
                <w:sz w:val="24"/>
                <w:szCs w:val="24"/>
              </w:rPr>
              <w:t>0.5</w:t>
            </w:r>
          </w:p>
        </w:tc>
        <w:tc>
          <w:tcPr>
            <w:tcW w:w="632" w:type="pct"/>
            <w:tcBorders>
              <w:top w:val="single" w:sz="4" w:space="0" w:color="auto"/>
              <w:left w:val="single" w:sz="4" w:space="0" w:color="auto"/>
              <w:bottom w:val="single" w:sz="4" w:space="0" w:color="auto"/>
              <w:right w:val="single" w:sz="4" w:space="0" w:color="auto"/>
            </w:tcBorders>
            <w:hideMark/>
          </w:tcPr>
          <w:p w14:paraId="3A9BCCA7" w14:textId="77777777" w:rsidR="0074039C" w:rsidRPr="006F5AE8" w:rsidRDefault="0074039C">
            <w:pPr>
              <w:rPr>
                <w:sz w:val="24"/>
                <w:szCs w:val="24"/>
              </w:rPr>
            </w:pPr>
            <w:r w:rsidRPr="006F5AE8">
              <w:rPr>
                <w:sz w:val="24"/>
                <w:szCs w:val="24"/>
              </w:rPr>
              <w:t>0.3130</w:t>
            </w:r>
          </w:p>
        </w:tc>
      </w:tr>
      <w:tr w:rsidR="0074039C" w:rsidRPr="006F5AE8" w14:paraId="0013ABF8" w14:textId="77777777" w:rsidTr="00B4050A">
        <w:tc>
          <w:tcPr>
            <w:tcW w:w="2083" w:type="pct"/>
            <w:tcBorders>
              <w:top w:val="single" w:sz="4" w:space="0" w:color="auto"/>
              <w:left w:val="single" w:sz="4" w:space="0" w:color="auto"/>
              <w:bottom w:val="single" w:sz="4" w:space="0" w:color="auto"/>
              <w:right w:val="single" w:sz="4" w:space="0" w:color="auto"/>
            </w:tcBorders>
            <w:hideMark/>
          </w:tcPr>
          <w:p w14:paraId="563CCB73" w14:textId="77777777" w:rsidR="0074039C" w:rsidRPr="006F5AE8" w:rsidRDefault="0074039C">
            <w:pPr>
              <w:ind w:left="510"/>
              <w:rPr>
                <w:sz w:val="24"/>
                <w:szCs w:val="24"/>
              </w:rPr>
            </w:pPr>
            <w:r w:rsidRPr="006F5AE8">
              <w:rPr>
                <w:sz w:val="24"/>
                <w:szCs w:val="24"/>
              </w:rPr>
              <w:t>Other TIMI Major</w:t>
            </w:r>
          </w:p>
        </w:tc>
        <w:tc>
          <w:tcPr>
            <w:tcW w:w="745" w:type="pct"/>
            <w:tcBorders>
              <w:top w:val="single" w:sz="4" w:space="0" w:color="auto"/>
              <w:left w:val="single" w:sz="4" w:space="0" w:color="auto"/>
              <w:bottom w:val="single" w:sz="4" w:space="0" w:color="auto"/>
              <w:right w:val="single" w:sz="4" w:space="0" w:color="auto"/>
            </w:tcBorders>
            <w:hideMark/>
          </w:tcPr>
          <w:p w14:paraId="7555CD92" w14:textId="77777777" w:rsidR="0074039C" w:rsidRPr="006F5AE8" w:rsidRDefault="0074039C">
            <w:pPr>
              <w:rPr>
                <w:sz w:val="24"/>
                <w:szCs w:val="24"/>
              </w:rPr>
            </w:pPr>
            <w:r w:rsidRPr="006F5AE8">
              <w:rPr>
                <w:sz w:val="24"/>
                <w:szCs w:val="24"/>
              </w:rPr>
              <w:t>1.6</w:t>
            </w:r>
          </w:p>
        </w:tc>
        <w:tc>
          <w:tcPr>
            <w:tcW w:w="795" w:type="pct"/>
            <w:tcBorders>
              <w:top w:val="single" w:sz="4" w:space="0" w:color="auto"/>
              <w:left w:val="single" w:sz="4" w:space="0" w:color="auto"/>
              <w:bottom w:val="single" w:sz="4" w:space="0" w:color="auto"/>
              <w:right w:val="single" w:sz="4" w:space="0" w:color="auto"/>
            </w:tcBorders>
            <w:hideMark/>
          </w:tcPr>
          <w:p w14:paraId="77BC4F39" w14:textId="77777777" w:rsidR="0074039C" w:rsidRPr="006F5AE8" w:rsidRDefault="0074039C">
            <w:pPr>
              <w:rPr>
                <w:sz w:val="24"/>
                <w:szCs w:val="24"/>
              </w:rPr>
            </w:pPr>
            <w:r w:rsidRPr="006F5AE8">
              <w:rPr>
                <w:sz w:val="24"/>
                <w:szCs w:val="24"/>
              </w:rPr>
              <w:t>3.61</w:t>
            </w:r>
          </w:p>
          <w:p w14:paraId="0E384136" w14:textId="77777777" w:rsidR="0074039C" w:rsidRPr="006F5AE8" w:rsidRDefault="0074039C">
            <w:pPr>
              <w:rPr>
                <w:sz w:val="24"/>
                <w:szCs w:val="24"/>
              </w:rPr>
            </w:pPr>
            <w:r w:rsidRPr="006F5AE8">
              <w:rPr>
                <w:sz w:val="24"/>
                <w:szCs w:val="24"/>
              </w:rPr>
              <w:t>(2.31, 5.65)</w:t>
            </w:r>
          </w:p>
        </w:tc>
        <w:tc>
          <w:tcPr>
            <w:tcW w:w="745" w:type="pct"/>
            <w:tcBorders>
              <w:top w:val="single" w:sz="4" w:space="0" w:color="auto"/>
              <w:left w:val="single" w:sz="4" w:space="0" w:color="auto"/>
              <w:bottom w:val="single" w:sz="4" w:space="0" w:color="auto"/>
              <w:right w:val="single" w:sz="4" w:space="0" w:color="auto"/>
            </w:tcBorders>
            <w:hideMark/>
          </w:tcPr>
          <w:p w14:paraId="1F2A5FB4" w14:textId="77777777" w:rsidR="0074039C" w:rsidRPr="006F5AE8" w:rsidRDefault="0074039C">
            <w:pPr>
              <w:rPr>
                <w:sz w:val="24"/>
                <w:szCs w:val="24"/>
              </w:rPr>
            </w:pPr>
            <w:r w:rsidRPr="006F5AE8">
              <w:rPr>
                <w:sz w:val="24"/>
                <w:szCs w:val="24"/>
              </w:rPr>
              <w:t>0.5</w:t>
            </w:r>
          </w:p>
        </w:tc>
        <w:tc>
          <w:tcPr>
            <w:tcW w:w="632" w:type="pct"/>
            <w:tcBorders>
              <w:top w:val="single" w:sz="4" w:space="0" w:color="auto"/>
              <w:left w:val="single" w:sz="4" w:space="0" w:color="auto"/>
              <w:bottom w:val="single" w:sz="4" w:space="0" w:color="auto"/>
              <w:right w:val="single" w:sz="4" w:space="0" w:color="auto"/>
            </w:tcBorders>
            <w:hideMark/>
          </w:tcPr>
          <w:p w14:paraId="37A640E0" w14:textId="77777777" w:rsidR="0074039C" w:rsidRPr="006F5AE8" w:rsidRDefault="0074039C">
            <w:pPr>
              <w:rPr>
                <w:sz w:val="24"/>
                <w:szCs w:val="24"/>
              </w:rPr>
            </w:pPr>
            <w:r w:rsidRPr="006F5AE8">
              <w:rPr>
                <w:sz w:val="24"/>
                <w:szCs w:val="24"/>
              </w:rPr>
              <w:t>&lt;0.0001</w:t>
            </w:r>
          </w:p>
        </w:tc>
      </w:tr>
      <w:tr w:rsidR="0074039C" w:rsidRPr="006F5AE8" w14:paraId="3E814626" w14:textId="77777777" w:rsidTr="00B4050A">
        <w:tc>
          <w:tcPr>
            <w:tcW w:w="2083" w:type="pct"/>
            <w:tcBorders>
              <w:top w:val="single" w:sz="4" w:space="0" w:color="auto"/>
              <w:left w:val="single" w:sz="4" w:space="0" w:color="auto"/>
              <w:bottom w:val="single" w:sz="4" w:space="0" w:color="auto"/>
              <w:right w:val="single" w:sz="4" w:space="0" w:color="auto"/>
            </w:tcBorders>
            <w:hideMark/>
          </w:tcPr>
          <w:p w14:paraId="0DB8ED5D" w14:textId="77777777" w:rsidR="0074039C" w:rsidRPr="006F5AE8" w:rsidRDefault="0074039C">
            <w:pPr>
              <w:rPr>
                <w:sz w:val="24"/>
                <w:szCs w:val="24"/>
              </w:rPr>
            </w:pPr>
            <w:r w:rsidRPr="006F5AE8">
              <w:rPr>
                <w:sz w:val="24"/>
                <w:szCs w:val="24"/>
              </w:rPr>
              <w:t>TIMI Major or Minor</w:t>
            </w:r>
          </w:p>
        </w:tc>
        <w:tc>
          <w:tcPr>
            <w:tcW w:w="745" w:type="pct"/>
            <w:tcBorders>
              <w:top w:val="single" w:sz="4" w:space="0" w:color="auto"/>
              <w:left w:val="single" w:sz="4" w:space="0" w:color="auto"/>
              <w:bottom w:val="single" w:sz="4" w:space="0" w:color="auto"/>
              <w:right w:val="single" w:sz="4" w:space="0" w:color="auto"/>
            </w:tcBorders>
            <w:hideMark/>
          </w:tcPr>
          <w:p w14:paraId="0A76B8F8" w14:textId="77777777" w:rsidR="0074039C" w:rsidRPr="006F5AE8" w:rsidRDefault="0074039C">
            <w:pPr>
              <w:rPr>
                <w:sz w:val="24"/>
                <w:szCs w:val="24"/>
              </w:rPr>
            </w:pPr>
            <w:r w:rsidRPr="006F5AE8">
              <w:rPr>
                <w:sz w:val="24"/>
                <w:szCs w:val="24"/>
              </w:rPr>
              <w:t>3.4</w:t>
            </w:r>
          </w:p>
        </w:tc>
        <w:tc>
          <w:tcPr>
            <w:tcW w:w="795" w:type="pct"/>
            <w:tcBorders>
              <w:top w:val="single" w:sz="4" w:space="0" w:color="auto"/>
              <w:left w:val="single" w:sz="4" w:space="0" w:color="auto"/>
              <w:bottom w:val="single" w:sz="4" w:space="0" w:color="auto"/>
              <w:right w:val="single" w:sz="4" w:space="0" w:color="auto"/>
            </w:tcBorders>
            <w:hideMark/>
          </w:tcPr>
          <w:p w14:paraId="07A2BB5D" w14:textId="77777777" w:rsidR="0074039C" w:rsidRPr="006F5AE8" w:rsidRDefault="0074039C">
            <w:pPr>
              <w:rPr>
                <w:sz w:val="24"/>
                <w:szCs w:val="24"/>
              </w:rPr>
            </w:pPr>
            <w:r w:rsidRPr="006F5AE8">
              <w:rPr>
                <w:sz w:val="24"/>
                <w:szCs w:val="24"/>
              </w:rPr>
              <w:t>2.54</w:t>
            </w:r>
          </w:p>
          <w:p w14:paraId="08FA81B9" w14:textId="77777777" w:rsidR="0074039C" w:rsidRPr="006F5AE8" w:rsidRDefault="0074039C">
            <w:pPr>
              <w:rPr>
                <w:sz w:val="24"/>
                <w:szCs w:val="24"/>
              </w:rPr>
            </w:pPr>
            <w:r w:rsidRPr="006F5AE8">
              <w:rPr>
                <w:sz w:val="24"/>
                <w:szCs w:val="24"/>
              </w:rPr>
              <w:t>(1.93, 3.35)</w:t>
            </w:r>
          </w:p>
        </w:tc>
        <w:tc>
          <w:tcPr>
            <w:tcW w:w="745" w:type="pct"/>
            <w:tcBorders>
              <w:top w:val="single" w:sz="4" w:space="0" w:color="auto"/>
              <w:left w:val="single" w:sz="4" w:space="0" w:color="auto"/>
              <w:bottom w:val="single" w:sz="4" w:space="0" w:color="auto"/>
              <w:right w:val="single" w:sz="4" w:space="0" w:color="auto"/>
            </w:tcBorders>
            <w:hideMark/>
          </w:tcPr>
          <w:p w14:paraId="0D4F5A90" w14:textId="77777777" w:rsidR="0074039C" w:rsidRPr="006F5AE8" w:rsidRDefault="0074039C">
            <w:pPr>
              <w:rPr>
                <w:sz w:val="24"/>
                <w:szCs w:val="24"/>
              </w:rPr>
            </w:pPr>
            <w:r w:rsidRPr="006F5AE8">
              <w:rPr>
                <w:sz w:val="24"/>
                <w:szCs w:val="24"/>
              </w:rPr>
              <w:t>1.4</w:t>
            </w:r>
          </w:p>
        </w:tc>
        <w:tc>
          <w:tcPr>
            <w:tcW w:w="632" w:type="pct"/>
            <w:tcBorders>
              <w:top w:val="single" w:sz="4" w:space="0" w:color="auto"/>
              <w:left w:val="single" w:sz="4" w:space="0" w:color="auto"/>
              <w:bottom w:val="single" w:sz="4" w:space="0" w:color="auto"/>
              <w:right w:val="single" w:sz="4" w:space="0" w:color="auto"/>
            </w:tcBorders>
            <w:hideMark/>
          </w:tcPr>
          <w:p w14:paraId="38520B1E" w14:textId="77777777" w:rsidR="0074039C" w:rsidRPr="006F5AE8" w:rsidRDefault="0074039C">
            <w:pPr>
              <w:rPr>
                <w:sz w:val="24"/>
                <w:szCs w:val="24"/>
              </w:rPr>
            </w:pPr>
            <w:r w:rsidRPr="006F5AE8">
              <w:rPr>
                <w:sz w:val="24"/>
                <w:szCs w:val="24"/>
              </w:rPr>
              <w:t>&lt;0.0001</w:t>
            </w:r>
          </w:p>
        </w:tc>
      </w:tr>
      <w:tr w:rsidR="0074039C" w:rsidRPr="006F5AE8" w14:paraId="70A2F079" w14:textId="77777777" w:rsidTr="00B4050A">
        <w:tc>
          <w:tcPr>
            <w:tcW w:w="2083" w:type="pct"/>
            <w:tcBorders>
              <w:top w:val="single" w:sz="4" w:space="0" w:color="auto"/>
              <w:left w:val="single" w:sz="4" w:space="0" w:color="auto"/>
              <w:bottom w:val="single" w:sz="4" w:space="0" w:color="auto"/>
              <w:right w:val="single" w:sz="4" w:space="0" w:color="auto"/>
            </w:tcBorders>
            <w:hideMark/>
          </w:tcPr>
          <w:p w14:paraId="006CF5AD" w14:textId="77777777" w:rsidR="0074039C" w:rsidRPr="006F5AE8" w:rsidRDefault="0074039C">
            <w:pPr>
              <w:rPr>
                <w:sz w:val="24"/>
                <w:szCs w:val="24"/>
              </w:rPr>
            </w:pPr>
            <w:r w:rsidRPr="006F5AE8">
              <w:rPr>
                <w:sz w:val="24"/>
                <w:szCs w:val="24"/>
              </w:rPr>
              <w:t>TIMI Major or Minor or Requiring medical attention</w:t>
            </w:r>
          </w:p>
        </w:tc>
        <w:tc>
          <w:tcPr>
            <w:tcW w:w="745" w:type="pct"/>
            <w:tcBorders>
              <w:top w:val="single" w:sz="4" w:space="0" w:color="auto"/>
              <w:left w:val="single" w:sz="4" w:space="0" w:color="auto"/>
              <w:bottom w:val="single" w:sz="4" w:space="0" w:color="auto"/>
              <w:right w:val="single" w:sz="4" w:space="0" w:color="auto"/>
            </w:tcBorders>
            <w:hideMark/>
          </w:tcPr>
          <w:p w14:paraId="6F19A777" w14:textId="77777777" w:rsidR="0074039C" w:rsidRPr="006F5AE8" w:rsidRDefault="0074039C">
            <w:pPr>
              <w:rPr>
                <w:sz w:val="24"/>
                <w:szCs w:val="24"/>
              </w:rPr>
            </w:pPr>
            <w:r w:rsidRPr="006F5AE8">
              <w:rPr>
                <w:sz w:val="24"/>
                <w:szCs w:val="24"/>
              </w:rPr>
              <w:t>16.6</w:t>
            </w:r>
          </w:p>
        </w:tc>
        <w:tc>
          <w:tcPr>
            <w:tcW w:w="795" w:type="pct"/>
            <w:tcBorders>
              <w:top w:val="single" w:sz="4" w:space="0" w:color="auto"/>
              <w:left w:val="single" w:sz="4" w:space="0" w:color="auto"/>
              <w:bottom w:val="single" w:sz="4" w:space="0" w:color="auto"/>
              <w:right w:val="single" w:sz="4" w:space="0" w:color="auto"/>
            </w:tcBorders>
            <w:hideMark/>
          </w:tcPr>
          <w:p w14:paraId="463A7438" w14:textId="77777777" w:rsidR="0074039C" w:rsidRPr="006F5AE8" w:rsidRDefault="0074039C">
            <w:pPr>
              <w:rPr>
                <w:sz w:val="24"/>
                <w:szCs w:val="24"/>
              </w:rPr>
            </w:pPr>
            <w:r w:rsidRPr="006F5AE8">
              <w:rPr>
                <w:sz w:val="24"/>
                <w:szCs w:val="24"/>
              </w:rPr>
              <w:t>2.64</w:t>
            </w:r>
          </w:p>
          <w:p w14:paraId="4B89749D" w14:textId="77777777" w:rsidR="0074039C" w:rsidRPr="006F5AE8" w:rsidRDefault="0074039C">
            <w:pPr>
              <w:rPr>
                <w:sz w:val="24"/>
                <w:szCs w:val="24"/>
              </w:rPr>
            </w:pPr>
            <w:r w:rsidRPr="006F5AE8">
              <w:rPr>
                <w:sz w:val="24"/>
                <w:szCs w:val="24"/>
              </w:rPr>
              <w:t>(2.35, 2.97)</w:t>
            </w:r>
          </w:p>
        </w:tc>
        <w:tc>
          <w:tcPr>
            <w:tcW w:w="745" w:type="pct"/>
            <w:tcBorders>
              <w:top w:val="single" w:sz="4" w:space="0" w:color="auto"/>
              <w:left w:val="single" w:sz="4" w:space="0" w:color="auto"/>
              <w:bottom w:val="single" w:sz="4" w:space="0" w:color="auto"/>
              <w:right w:val="single" w:sz="4" w:space="0" w:color="auto"/>
            </w:tcBorders>
            <w:hideMark/>
          </w:tcPr>
          <w:p w14:paraId="734B96EE" w14:textId="77777777" w:rsidR="0074039C" w:rsidRPr="006F5AE8" w:rsidRDefault="0074039C">
            <w:pPr>
              <w:rPr>
                <w:sz w:val="24"/>
                <w:szCs w:val="24"/>
              </w:rPr>
            </w:pPr>
            <w:r w:rsidRPr="006F5AE8">
              <w:rPr>
                <w:sz w:val="24"/>
                <w:szCs w:val="24"/>
              </w:rPr>
              <w:t>7.0</w:t>
            </w:r>
          </w:p>
        </w:tc>
        <w:tc>
          <w:tcPr>
            <w:tcW w:w="632" w:type="pct"/>
            <w:tcBorders>
              <w:top w:val="single" w:sz="4" w:space="0" w:color="auto"/>
              <w:left w:val="single" w:sz="4" w:space="0" w:color="auto"/>
              <w:bottom w:val="single" w:sz="4" w:space="0" w:color="auto"/>
              <w:right w:val="single" w:sz="4" w:space="0" w:color="auto"/>
            </w:tcBorders>
            <w:hideMark/>
          </w:tcPr>
          <w:p w14:paraId="35EA17E1" w14:textId="77777777" w:rsidR="0074039C" w:rsidRPr="006F5AE8" w:rsidRDefault="0074039C">
            <w:pPr>
              <w:rPr>
                <w:sz w:val="24"/>
                <w:szCs w:val="24"/>
              </w:rPr>
            </w:pPr>
            <w:r w:rsidRPr="006F5AE8">
              <w:rPr>
                <w:sz w:val="24"/>
                <w:szCs w:val="24"/>
              </w:rPr>
              <w:t>&lt;0.0001</w:t>
            </w:r>
          </w:p>
        </w:tc>
      </w:tr>
      <w:tr w:rsidR="0074039C" w:rsidRPr="006F5AE8" w14:paraId="5B23138A" w14:textId="77777777" w:rsidTr="00B4050A">
        <w:tc>
          <w:tcPr>
            <w:tcW w:w="5000" w:type="pct"/>
            <w:gridSpan w:val="5"/>
            <w:tcBorders>
              <w:top w:val="single" w:sz="4" w:space="0" w:color="auto"/>
              <w:left w:val="single" w:sz="4" w:space="0" w:color="auto"/>
              <w:bottom w:val="single" w:sz="4" w:space="0" w:color="auto"/>
              <w:right w:val="single" w:sz="4" w:space="0" w:color="auto"/>
            </w:tcBorders>
            <w:hideMark/>
          </w:tcPr>
          <w:p w14:paraId="35F034B7" w14:textId="77777777" w:rsidR="0074039C" w:rsidRPr="006F5AE8" w:rsidRDefault="0074039C">
            <w:pPr>
              <w:rPr>
                <w:sz w:val="24"/>
                <w:szCs w:val="24"/>
              </w:rPr>
            </w:pPr>
            <w:r w:rsidRPr="006F5AE8">
              <w:rPr>
                <w:sz w:val="24"/>
                <w:szCs w:val="24"/>
              </w:rPr>
              <w:t>PLATO-defined bleeding categories</w:t>
            </w:r>
          </w:p>
        </w:tc>
      </w:tr>
      <w:tr w:rsidR="0074039C" w:rsidRPr="006F5AE8" w14:paraId="5CE852BF" w14:textId="77777777" w:rsidTr="00B4050A">
        <w:tc>
          <w:tcPr>
            <w:tcW w:w="2083" w:type="pct"/>
            <w:tcBorders>
              <w:top w:val="single" w:sz="4" w:space="0" w:color="auto"/>
              <w:left w:val="single" w:sz="4" w:space="0" w:color="auto"/>
              <w:bottom w:val="single" w:sz="4" w:space="0" w:color="auto"/>
              <w:right w:val="single" w:sz="4" w:space="0" w:color="auto"/>
            </w:tcBorders>
            <w:hideMark/>
          </w:tcPr>
          <w:p w14:paraId="6BB184C6" w14:textId="77777777" w:rsidR="0074039C" w:rsidRPr="006F5AE8" w:rsidRDefault="0074039C">
            <w:pPr>
              <w:rPr>
                <w:sz w:val="24"/>
                <w:szCs w:val="24"/>
              </w:rPr>
            </w:pPr>
            <w:r w:rsidRPr="006F5AE8">
              <w:rPr>
                <w:sz w:val="24"/>
                <w:szCs w:val="24"/>
              </w:rPr>
              <w:t>PLATO Major</w:t>
            </w:r>
          </w:p>
        </w:tc>
        <w:tc>
          <w:tcPr>
            <w:tcW w:w="745" w:type="pct"/>
            <w:tcBorders>
              <w:top w:val="single" w:sz="4" w:space="0" w:color="auto"/>
              <w:left w:val="single" w:sz="4" w:space="0" w:color="auto"/>
              <w:bottom w:val="single" w:sz="4" w:space="0" w:color="auto"/>
              <w:right w:val="single" w:sz="4" w:space="0" w:color="auto"/>
            </w:tcBorders>
            <w:hideMark/>
          </w:tcPr>
          <w:p w14:paraId="143F9280" w14:textId="77777777" w:rsidR="0074039C" w:rsidRPr="006F5AE8" w:rsidRDefault="0074039C">
            <w:pPr>
              <w:rPr>
                <w:sz w:val="24"/>
                <w:szCs w:val="24"/>
              </w:rPr>
            </w:pPr>
            <w:r w:rsidRPr="006F5AE8">
              <w:rPr>
                <w:sz w:val="24"/>
                <w:szCs w:val="24"/>
              </w:rPr>
              <w:t>3.5</w:t>
            </w:r>
          </w:p>
        </w:tc>
        <w:tc>
          <w:tcPr>
            <w:tcW w:w="795" w:type="pct"/>
            <w:tcBorders>
              <w:top w:val="single" w:sz="4" w:space="0" w:color="auto"/>
              <w:left w:val="single" w:sz="4" w:space="0" w:color="auto"/>
              <w:bottom w:val="single" w:sz="4" w:space="0" w:color="auto"/>
              <w:right w:val="single" w:sz="4" w:space="0" w:color="auto"/>
            </w:tcBorders>
            <w:hideMark/>
          </w:tcPr>
          <w:p w14:paraId="65E3E1A2" w14:textId="77777777" w:rsidR="0074039C" w:rsidRPr="006F5AE8" w:rsidRDefault="0074039C">
            <w:pPr>
              <w:rPr>
                <w:sz w:val="24"/>
                <w:szCs w:val="24"/>
              </w:rPr>
            </w:pPr>
            <w:r w:rsidRPr="006F5AE8">
              <w:rPr>
                <w:sz w:val="24"/>
                <w:szCs w:val="24"/>
              </w:rPr>
              <w:t>2.57</w:t>
            </w:r>
          </w:p>
          <w:p w14:paraId="7253F956" w14:textId="77777777" w:rsidR="0074039C" w:rsidRPr="006F5AE8" w:rsidRDefault="0074039C">
            <w:pPr>
              <w:rPr>
                <w:sz w:val="24"/>
                <w:szCs w:val="24"/>
              </w:rPr>
            </w:pPr>
            <w:r w:rsidRPr="006F5AE8">
              <w:rPr>
                <w:sz w:val="24"/>
                <w:szCs w:val="24"/>
              </w:rPr>
              <w:t>(1.95, 3.37)</w:t>
            </w:r>
          </w:p>
        </w:tc>
        <w:tc>
          <w:tcPr>
            <w:tcW w:w="745" w:type="pct"/>
            <w:tcBorders>
              <w:top w:val="single" w:sz="4" w:space="0" w:color="auto"/>
              <w:left w:val="single" w:sz="4" w:space="0" w:color="auto"/>
              <w:bottom w:val="single" w:sz="4" w:space="0" w:color="auto"/>
              <w:right w:val="single" w:sz="4" w:space="0" w:color="auto"/>
            </w:tcBorders>
            <w:hideMark/>
          </w:tcPr>
          <w:p w14:paraId="1A915141" w14:textId="77777777" w:rsidR="0074039C" w:rsidRPr="006F5AE8" w:rsidRDefault="0074039C">
            <w:pPr>
              <w:rPr>
                <w:sz w:val="24"/>
                <w:szCs w:val="24"/>
              </w:rPr>
            </w:pPr>
            <w:r w:rsidRPr="006F5AE8">
              <w:rPr>
                <w:sz w:val="24"/>
                <w:szCs w:val="24"/>
              </w:rPr>
              <w:t>1.4</w:t>
            </w:r>
          </w:p>
        </w:tc>
        <w:tc>
          <w:tcPr>
            <w:tcW w:w="632" w:type="pct"/>
            <w:tcBorders>
              <w:top w:val="single" w:sz="4" w:space="0" w:color="auto"/>
              <w:left w:val="single" w:sz="4" w:space="0" w:color="auto"/>
              <w:bottom w:val="single" w:sz="4" w:space="0" w:color="auto"/>
              <w:right w:val="single" w:sz="4" w:space="0" w:color="auto"/>
            </w:tcBorders>
            <w:hideMark/>
          </w:tcPr>
          <w:p w14:paraId="53E6EB93" w14:textId="77777777" w:rsidR="0074039C" w:rsidRPr="006F5AE8" w:rsidRDefault="0074039C">
            <w:pPr>
              <w:rPr>
                <w:sz w:val="24"/>
                <w:szCs w:val="24"/>
              </w:rPr>
            </w:pPr>
            <w:r w:rsidRPr="006F5AE8">
              <w:rPr>
                <w:sz w:val="24"/>
                <w:szCs w:val="24"/>
              </w:rPr>
              <w:t>&lt;0.0001</w:t>
            </w:r>
          </w:p>
        </w:tc>
      </w:tr>
      <w:tr w:rsidR="0074039C" w:rsidRPr="006F5AE8" w14:paraId="1DF06C80" w14:textId="77777777" w:rsidTr="00B4050A">
        <w:tc>
          <w:tcPr>
            <w:tcW w:w="2083" w:type="pct"/>
            <w:tcBorders>
              <w:top w:val="single" w:sz="4" w:space="0" w:color="auto"/>
              <w:left w:val="single" w:sz="4" w:space="0" w:color="auto"/>
              <w:bottom w:val="single" w:sz="4" w:space="0" w:color="auto"/>
              <w:right w:val="single" w:sz="4" w:space="0" w:color="auto"/>
            </w:tcBorders>
            <w:hideMark/>
          </w:tcPr>
          <w:p w14:paraId="57BB5C40" w14:textId="77777777" w:rsidR="0074039C" w:rsidRPr="006F5AE8" w:rsidRDefault="0074039C">
            <w:pPr>
              <w:ind w:left="780"/>
              <w:rPr>
                <w:sz w:val="24"/>
                <w:szCs w:val="24"/>
              </w:rPr>
            </w:pPr>
            <w:r w:rsidRPr="006F5AE8">
              <w:rPr>
                <w:sz w:val="24"/>
                <w:szCs w:val="24"/>
              </w:rPr>
              <w:t>Fatal/Life-threatening</w:t>
            </w:r>
          </w:p>
        </w:tc>
        <w:tc>
          <w:tcPr>
            <w:tcW w:w="745" w:type="pct"/>
            <w:tcBorders>
              <w:top w:val="single" w:sz="4" w:space="0" w:color="auto"/>
              <w:left w:val="single" w:sz="4" w:space="0" w:color="auto"/>
              <w:bottom w:val="single" w:sz="4" w:space="0" w:color="auto"/>
              <w:right w:val="single" w:sz="4" w:space="0" w:color="auto"/>
            </w:tcBorders>
            <w:hideMark/>
          </w:tcPr>
          <w:p w14:paraId="49CEEE8C" w14:textId="77777777" w:rsidR="0074039C" w:rsidRPr="006F5AE8" w:rsidRDefault="0074039C">
            <w:pPr>
              <w:rPr>
                <w:sz w:val="24"/>
                <w:szCs w:val="24"/>
              </w:rPr>
            </w:pPr>
            <w:r w:rsidRPr="006F5AE8">
              <w:rPr>
                <w:sz w:val="24"/>
                <w:szCs w:val="24"/>
              </w:rPr>
              <w:t>2.4</w:t>
            </w:r>
          </w:p>
        </w:tc>
        <w:tc>
          <w:tcPr>
            <w:tcW w:w="795" w:type="pct"/>
            <w:tcBorders>
              <w:top w:val="single" w:sz="4" w:space="0" w:color="auto"/>
              <w:left w:val="single" w:sz="4" w:space="0" w:color="auto"/>
              <w:bottom w:val="single" w:sz="4" w:space="0" w:color="auto"/>
              <w:right w:val="single" w:sz="4" w:space="0" w:color="auto"/>
            </w:tcBorders>
            <w:hideMark/>
          </w:tcPr>
          <w:p w14:paraId="22A24EE6" w14:textId="77777777" w:rsidR="0074039C" w:rsidRPr="006F5AE8" w:rsidRDefault="0074039C">
            <w:pPr>
              <w:rPr>
                <w:sz w:val="24"/>
                <w:szCs w:val="24"/>
              </w:rPr>
            </w:pPr>
            <w:r w:rsidRPr="006F5AE8">
              <w:rPr>
                <w:sz w:val="24"/>
                <w:szCs w:val="24"/>
              </w:rPr>
              <w:t>2.38</w:t>
            </w:r>
          </w:p>
          <w:p w14:paraId="47B97F75" w14:textId="77777777" w:rsidR="0074039C" w:rsidRPr="006F5AE8" w:rsidRDefault="0074039C">
            <w:pPr>
              <w:rPr>
                <w:sz w:val="24"/>
                <w:szCs w:val="24"/>
              </w:rPr>
            </w:pPr>
            <w:r w:rsidRPr="006F5AE8">
              <w:rPr>
                <w:sz w:val="24"/>
                <w:szCs w:val="24"/>
              </w:rPr>
              <w:t>(1.73, 3.26)</w:t>
            </w:r>
          </w:p>
        </w:tc>
        <w:tc>
          <w:tcPr>
            <w:tcW w:w="745" w:type="pct"/>
            <w:tcBorders>
              <w:top w:val="single" w:sz="4" w:space="0" w:color="auto"/>
              <w:left w:val="single" w:sz="4" w:space="0" w:color="auto"/>
              <w:bottom w:val="single" w:sz="4" w:space="0" w:color="auto"/>
              <w:right w:val="single" w:sz="4" w:space="0" w:color="auto"/>
            </w:tcBorders>
            <w:hideMark/>
          </w:tcPr>
          <w:p w14:paraId="325B844C" w14:textId="77777777" w:rsidR="0074039C" w:rsidRPr="006F5AE8" w:rsidRDefault="0074039C">
            <w:pPr>
              <w:rPr>
                <w:sz w:val="24"/>
                <w:szCs w:val="24"/>
              </w:rPr>
            </w:pPr>
            <w:r w:rsidRPr="006F5AE8">
              <w:rPr>
                <w:sz w:val="24"/>
                <w:szCs w:val="24"/>
              </w:rPr>
              <w:t>1.1</w:t>
            </w:r>
          </w:p>
        </w:tc>
        <w:tc>
          <w:tcPr>
            <w:tcW w:w="632" w:type="pct"/>
            <w:tcBorders>
              <w:top w:val="single" w:sz="4" w:space="0" w:color="auto"/>
              <w:left w:val="single" w:sz="4" w:space="0" w:color="auto"/>
              <w:bottom w:val="single" w:sz="4" w:space="0" w:color="auto"/>
              <w:right w:val="single" w:sz="4" w:space="0" w:color="auto"/>
            </w:tcBorders>
            <w:hideMark/>
          </w:tcPr>
          <w:p w14:paraId="7BEF1473" w14:textId="77777777" w:rsidR="0074039C" w:rsidRPr="006F5AE8" w:rsidRDefault="0074039C">
            <w:pPr>
              <w:rPr>
                <w:sz w:val="24"/>
                <w:szCs w:val="24"/>
              </w:rPr>
            </w:pPr>
            <w:r w:rsidRPr="006F5AE8">
              <w:rPr>
                <w:sz w:val="24"/>
                <w:szCs w:val="24"/>
              </w:rPr>
              <w:t>&lt;0.0001</w:t>
            </w:r>
          </w:p>
        </w:tc>
      </w:tr>
      <w:tr w:rsidR="0074039C" w:rsidRPr="006F5AE8" w14:paraId="75D24224" w14:textId="77777777" w:rsidTr="00B4050A">
        <w:tc>
          <w:tcPr>
            <w:tcW w:w="2083" w:type="pct"/>
            <w:tcBorders>
              <w:top w:val="single" w:sz="4" w:space="0" w:color="auto"/>
              <w:left w:val="single" w:sz="4" w:space="0" w:color="auto"/>
              <w:bottom w:val="single" w:sz="4" w:space="0" w:color="auto"/>
              <w:right w:val="single" w:sz="4" w:space="0" w:color="auto"/>
            </w:tcBorders>
            <w:hideMark/>
          </w:tcPr>
          <w:p w14:paraId="2B7F338F" w14:textId="77777777" w:rsidR="0074039C" w:rsidRPr="006F5AE8" w:rsidRDefault="0074039C">
            <w:pPr>
              <w:ind w:left="780"/>
              <w:rPr>
                <w:sz w:val="24"/>
                <w:szCs w:val="24"/>
              </w:rPr>
            </w:pPr>
            <w:proofErr w:type="gramStart"/>
            <w:r w:rsidRPr="006F5AE8">
              <w:rPr>
                <w:sz w:val="24"/>
                <w:szCs w:val="24"/>
              </w:rPr>
              <w:t>Other</w:t>
            </w:r>
            <w:proofErr w:type="gramEnd"/>
            <w:r w:rsidRPr="006F5AE8">
              <w:rPr>
                <w:sz w:val="24"/>
                <w:szCs w:val="24"/>
              </w:rPr>
              <w:t xml:space="preserve"> PLATO Major</w:t>
            </w:r>
          </w:p>
        </w:tc>
        <w:tc>
          <w:tcPr>
            <w:tcW w:w="745" w:type="pct"/>
            <w:tcBorders>
              <w:top w:val="single" w:sz="4" w:space="0" w:color="auto"/>
              <w:left w:val="single" w:sz="4" w:space="0" w:color="auto"/>
              <w:bottom w:val="single" w:sz="4" w:space="0" w:color="auto"/>
              <w:right w:val="single" w:sz="4" w:space="0" w:color="auto"/>
            </w:tcBorders>
            <w:hideMark/>
          </w:tcPr>
          <w:p w14:paraId="49E9AC3F" w14:textId="77777777" w:rsidR="0074039C" w:rsidRPr="006F5AE8" w:rsidRDefault="0074039C">
            <w:pPr>
              <w:rPr>
                <w:sz w:val="24"/>
                <w:szCs w:val="24"/>
              </w:rPr>
            </w:pPr>
            <w:r w:rsidRPr="006F5AE8">
              <w:rPr>
                <w:sz w:val="24"/>
                <w:szCs w:val="24"/>
              </w:rPr>
              <w:t>1.1</w:t>
            </w:r>
          </w:p>
        </w:tc>
        <w:tc>
          <w:tcPr>
            <w:tcW w:w="795" w:type="pct"/>
            <w:tcBorders>
              <w:top w:val="single" w:sz="4" w:space="0" w:color="auto"/>
              <w:left w:val="single" w:sz="4" w:space="0" w:color="auto"/>
              <w:bottom w:val="single" w:sz="4" w:space="0" w:color="auto"/>
              <w:right w:val="single" w:sz="4" w:space="0" w:color="auto"/>
            </w:tcBorders>
            <w:hideMark/>
          </w:tcPr>
          <w:p w14:paraId="2481C8AD" w14:textId="77777777" w:rsidR="0074039C" w:rsidRPr="006F5AE8" w:rsidRDefault="0074039C">
            <w:pPr>
              <w:rPr>
                <w:sz w:val="24"/>
                <w:szCs w:val="24"/>
              </w:rPr>
            </w:pPr>
            <w:r w:rsidRPr="006F5AE8">
              <w:rPr>
                <w:sz w:val="24"/>
                <w:szCs w:val="24"/>
              </w:rPr>
              <w:t>3.37</w:t>
            </w:r>
          </w:p>
          <w:p w14:paraId="21FC5BE2" w14:textId="77777777" w:rsidR="0074039C" w:rsidRPr="006F5AE8" w:rsidRDefault="0074039C">
            <w:pPr>
              <w:rPr>
                <w:sz w:val="24"/>
                <w:szCs w:val="24"/>
              </w:rPr>
            </w:pPr>
            <w:r w:rsidRPr="006F5AE8">
              <w:rPr>
                <w:sz w:val="24"/>
                <w:szCs w:val="24"/>
              </w:rPr>
              <w:t>(1.95, 5.83)</w:t>
            </w:r>
          </w:p>
        </w:tc>
        <w:tc>
          <w:tcPr>
            <w:tcW w:w="745" w:type="pct"/>
            <w:tcBorders>
              <w:top w:val="single" w:sz="4" w:space="0" w:color="auto"/>
              <w:left w:val="single" w:sz="4" w:space="0" w:color="auto"/>
              <w:bottom w:val="single" w:sz="4" w:space="0" w:color="auto"/>
              <w:right w:val="single" w:sz="4" w:space="0" w:color="auto"/>
            </w:tcBorders>
            <w:hideMark/>
          </w:tcPr>
          <w:p w14:paraId="695DA811" w14:textId="77777777" w:rsidR="0074039C" w:rsidRPr="006F5AE8" w:rsidRDefault="0074039C">
            <w:pPr>
              <w:rPr>
                <w:sz w:val="24"/>
                <w:szCs w:val="24"/>
              </w:rPr>
            </w:pPr>
            <w:r w:rsidRPr="006F5AE8">
              <w:rPr>
                <w:sz w:val="24"/>
                <w:szCs w:val="24"/>
              </w:rPr>
              <w:t>0.3</w:t>
            </w:r>
          </w:p>
        </w:tc>
        <w:tc>
          <w:tcPr>
            <w:tcW w:w="632" w:type="pct"/>
            <w:tcBorders>
              <w:top w:val="single" w:sz="4" w:space="0" w:color="auto"/>
              <w:left w:val="single" w:sz="4" w:space="0" w:color="auto"/>
              <w:bottom w:val="single" w:sz="4" w:space="0" w:color="auto"/>
              <w:right w:val="single" w:sz="4" w:space="0" w:color="auto"/>
            </w:tcBorders>
            <w:hideMark/>
          </w:tcPr>
          <w:p w14:paraId="49059281" w14:textId="77777777" w:rsidR="0074039C" w:rsidRPr="006F5AE8" w:rsidRDefault="0074039C">
            <w:pPr>
              <w:rPr>
                <w:sz w:val="24"/>
                <w:szCs w:val="24"/>
              </w:rPr>
            </w:pPr>
            <w:r w:rsidRPr="006F5AE8">
              <w:rPr>
                <w:sz w:val="24"/>
                <w:szCs w:val="24"/>
              </w:rPr>
              <w:t>&lt;0.0001</w:t>
            </w:r>
          </w:p>
        </w:tc>
      </w:tr>
      <w:tr w:rsidR="0074039C" w:rsidRPr="006F5AE8" w14:paraId="03657C7D" w14:textId="77777777" w:rsidTr="00B4050A">
        <w:tc>
          <w:tcPr>
            <w:tcW w:w="2083" w:type="pct"/>
            <w:tcBorders>
              <w:top w:val="single" w:sz="4" w:space="0" w:color="auto"/>
              <w:left w:val="single" w:sz="4" w:space="0" w:color="auto"/>
              <w:bottom w:val="single" w:sz="4" w:space="0" w:color="auto"/>
              <w:right w:val="single" w:sz="4" w:space="0" w:color="auto"/>
            </w:tcBorders>
            <w:hideMark/>
          </w:tcPr>
          <w:p w14:paraId="1E4052C5" w14:textId="77777777" w:rsidR="0074039C" w:rsidRPr="006F5AE8" w:rsidRDefault="0074039C">
            <w:pPr>
              <w:rPr>
                <w:sz w:val="24"/>
                <w:szCs w:val="24"/>
              </w:rPr>
            </w:pPr>
            <w:r w:rsidRPr="006F5AE8">
              <w:rPr>
                <w:sz w:val="24"/>
                <w:szCs w:val="24"/>
              </w:rPr>
              <w:t>PLATO Major or Minor</w:t>
            </w:r>
          </w:p>
        </w:tc>
        <w:tc>
          <w:tcPr>
            <w:tcW w:w="745" w:type="pct"/>
            <w:tcBorders>
              <w:top w:val="single" w:sz="4" w:space="0" w:color="auto"/>
              <w:left w:val="single" w:sz="4" w:space="0" w:color="auto"/>
              <w:bottom w:val="single" w:sz="4" w:space="0" w:color="auto"/>
              <w:right w:val="single" w:sz="4" w:space="0" w:color="auto"/>
            </w:tcBorders>
            <w:hideMark/>
          </w:tcPr>
          <w:p w14:paraId="24B4146D" w14:textId="77777777" w:rsidR="0074039C" w:rsidRPr="006F5AE8" w:rsidRDefault="0074039C">
            <w:pPr>
              <w:rPr>
                <w:sz w:val="24"/>
                <w:szCs w:val="24"/>
              </w:rPr>
            </w:pPr>
            <w:r w:rsidRPr="006F5AE8">
              <w:rPr>
                <w:sz w:val="24"/>
                <w:szCs w:val="24"/>
              </w:rPr>
              <w:t>15.2</w:t>
            </w:r>
          </w:p>
        </w:tc>
        <w:tc>
          <w:tcPr>
            <w:tcW w:w="795" w:type="pct"/>
            <w:tcBorders>
              <w:top w:val="single" w:sz="4" w:space="0" w:color="auto"/>
              <w:left w:val="single" w:sz="4" w:space="0" w:color="auto"/>
              <w:bottom w:val="single" w:sz="4" w:space="0" w:color="auto"/>
              <w:right w:val="single" w:sz="4" w:space="0" w:color="auto"/>
            </w:tcBorders>
            <w:hideMark/>
          </w:tcPr>
          <w:p w14:paraId="2B8070AA" w14:textId="77777777" w:rsidR="0074039C" w:rsidRPr="006F5AE8" w:rsidRDefault="0074039C">
            <w:pPr>
              <w:rPr>
                <w:sz w:val="24"/>
                <w:szCs w:val="24"/>
              </w:rPr>
            </w:pPr>
            <w:r w:rsidRPr="006F5AE8">
              <w:rPr>
                <w:sz w:val="24"/>
                <w:szCs w:val="24"/>
              </w:rPr>
              <w:t>2.71</w:t>
            </w:r>
          </w:p>
          <w:p w14:paraId="796F0624" w14:textId="77777777" w:rsidR="0074039C" w:rsidRPr="006F5AE8" w:rsidRDefault="0074039C">
            <w:pPr>
              <w:rPr>
                <w:sz w:val="24"/>
                <w:szCs w:val="24"/>
              </w:rPr>
            </w:pPr>
            <w:r w:rsidRPr="006F5AE8">
              <w:rPr>
                <w:sz w:val="24"/>
                <w:szCs w:val="24"/>
              </w:rPr>
              <w:t>(2.40, 3.08)</w:t>
            </w:r>
          </w:p>
        </w:tc>
        <w:tc>
          <w:tcPr>
            <w:tcW w:w="745" w:type="pct"/>
            <w:tcBorders>
              <w:top w:val="single" w:sz="4" w:space="0" w:color="auto"/>
              <w:left w:val="single" w:sz="4" w:space="0" w:color="auto"/>
              <w:bottom w:val="single" w:sz="4" w:space="0" w:color="auto"/>
              <w:right w:val="single" w:sz="4" w:space="0" w:color="auto"/>
            </w:tcBorders>
            <w:hideMark/>
          </w:tcPr>
          <w:p w14:paraId="334B91DC" w14:textId="77777777" w:rsidR="0074039C" w:rsidRPr="006F5AE8" w:rsidRDefault="0074039C">
            <w:pPr>
              <w:rPr>
                <w:sz w:val="24"/>
                <w:szCs w:val="24"/>
              </w:rPr>
            </w:pPr>
            <w:r w:rsidRPr="006F5AE8">
              <w:rPr>
                <w:sz w:val="24"/>
                <w:szCs w:val="24"/>
              </w:rPr>
              <w:t>6.2</w:t>
            </w:r>
          </w:p>
        </w:tc>
        <w:tc>
          <w:tcPr>
            <w:tcW w:w="632" w:type="pct"/>
            <w:tcBorders>
              <w:top w:val="single" w:sz="4" w:space="0" w:color="auto"/>
              <w:left w:val="single" w:sz="4" w:space="0" w:color="auto"/>
              <w:bottom w:val="single" w:sz="4" w:space="0" w:color="auto"/>
              <w:right w:val="single" w:sz="4" w:space="0" w:color="auto"/>
            </w:tcBorders>
            <w:hideMark/>
          </w:tcPr>
          <w:p w14:paraId="75276548" w14:textId="77777777" w:rsidR="0074039C" w:rsidRPr="006F5AE8" w:rsidRDefault="0074039C">
            <w:pPr>
              <w:rPr>
                <w:sz w:val="24"/>
                <w:szCs w:val="24"/>
              </w:rPr>
            </w:pPr>
            <w:r w:rsidRPr="006F5AE8">
              <w:rPr>
                <w:sz w:val="24"/>
                <w:szCs w:val="24"/>
              </w:rPr>
              <w:t>&lt;0.0001</w:t>
            </w:r>
          </w:p>
        </w:tc>
      </w:tr>
      <w:tr w:rsidR="0074039C" w:rsidRPr="00DD435F" w14:paraId="5AF1F16B" w14:textId="77777777" w:rsidTr="00B4050A">
        <w:tc>
          <w:tcPr>
            <w:tcW w:w="5000" w:type="pct"/>
            <w:gridSpan w:val="5"/>
            <w:tcBorders>
              <w:top w:val="single" w:sz="4" w:space="0" w:color="auto"/>
              <w:left w:val="single" w:sz="4" w:space="0" w:color="auto"/>
              <w:bottom w:val="single" w:sz="4" w:space="0" w:color="auto"/>
              <w:right w:val="single" w:sz="4" w:space="0" w:color="auto"/>
            </w:tcBorders>
            <w:hideMark/>
          </w:tcPr>
          <w:p w14:paraId="6765684D" w14:textId="77777777" w:rsidR="0074039C" w:rsidRPr="006F5AE8" w:rsidRDefault="0074039C">
            <w:pPr>
              <w:rPr>
                <w:sz w:val="24"/>
                <w:szCs w:val="24"/>
              </w:rPr>
            </w:pPr>
            <w:r w:rsidRPr="006F5AE8">
              <w:rPr>
                <w:sz w:val="24"/>
                <w:szCs w:val="24"/>
                <w:u w:val="single"/>
              </w:rPr>
              <w:t>Bleeding category definitions</w:t>
            </w:r>
            <w:r w:rsidRPr="006F5AE8">
              <w:rPr>
                <w:sz w:val="24"/>
                <w:szCs w:val="24"/>
              </w:rPr>
              <w:t>:</w:t>
            </w:r>
          </w:p>
          <w:p w14:paraId="385F4836" w14:textId="77777777" w:rsidR="0074039C" w:rsidRPr="006F5AE8" w:rsidRDefault="0074039C">
            <w:pPr>
              <w:rPr>
                <w:sz w:val="24"/>
                <w:szCs w:val="24"/>
              </w:rPr>
            </w:pPr>
            <w:r w:rsidRPr="006F5AE8">
              <w:rPr>
                <w:i/>
                <w:iCs/>
                <w:sz w:val="24"/>
                <w:szCs w:val="24"/>
              </w:rPr>
              <w:t>TIMI Major</w:t>
            </w:r>
            <w:r w:rsidRPr="006F5AE8">
              <w:rPr>
                <w:sz w:val="24"/>
                <w:szCs w:val="24"/>
              </w:rPr>
              <w:t xml:space="preserve">: Fatal bleeding, OR any intracranial bleeding, OR clinically overt signs of haemorrhage associated with a </w:t>
            </w:r>
            <w:proofErr w:type="gramStart"/>
            <w:r w:rsidRPr="006F5AE8">
              <w:rPr>
                <w:sz w:val="24"/>
                <w:szCs w:val="24"/>
              </w:rPr>
              <w:t>drop in</w:t>
            </w:r>
            <w:proofErr w:type="gramEnd"/>
            <w:r w:rsidRPr="006F5AE8">
              <w:rPr>
                <w:sz w:val="24"/>
                <w:szCs w:val="24"/>
              </w:rPr>
              <w:t xml:space="preserve"> haemoglobin (Hgb) of ≥50 g/L, or when Hgb is not available, a fall in haematocrit (</w:t>
            </w:r>
            <w:proofErr w:type="spellStart"/>
            <w:r w:rsidRPr="006F5AE8">
              <w:rPr>
                <w:sz w:val="24"/>
                <w:szCs w:val="24"/>
              </w:rPr>
              <w:t>Hct</w:t>
            </w:r>
            <w:proofErr w:type="spellEnd"/>
            <w:r w:rsidRPr="006F5AE8">
              <w:rPr>
                <w:sz w:val="24"/>
                <w:szCs w:val="24"/>
              </w:rPr>
              <w:t>) of 15%.</w:t>
            </w:r>
          </w:p>
          <w:p w14:paraId="3A620B38" w14:textId="77777777" w:rsidR="0074039C" w:rsidRPr="006F5AE8" w:rsidRDefault="0074039C">
            <w:pPr>
              <w:rPr>
                <w:sz w:val="24"/>
                <w:szCs w:val="24"/>
              </w:rPr>
            </w:pPr>
            <w:r w:rsidRPr="006F5AE8">
              <w:rPr>
                <w:i/>
                <w:iCs/>
                <w:sz w:val="24"/>
                <w:szCs w:val="24"/>
              </w:rPr>
              <w:t>Fatal</w:t>
            </w:r>
            <w:r w:rsidRPr="006F5AE8">
              <w:rPr>
                <w:sz w:val="24"/>
                <w:szCs w:val="24"/>
              </w:rPr>
              <w:t>: A bleeding event that directly led to death within 7 days.</w:t>
            </w:r>
          </w:p>
          <w:p w14:paraId="5E5547BF" w14:textId="77777777" w:rsidR="0074039C" w:rsidRPr="006F5AE8" w:rsidRDefault="0074039C">
            <w:pPr>
              <w:rPr>
                <w:sz w:val="24"/>
                <w:szCs w:val="24"/>
              </w:rPr>
            </w:pPr>
            <w:r w:rsidRPr="006F5AE8">
              <w:rPr>
                <w:i/>
                <w:iCs/>
                <w:sz w:val="24"/>
                <w:szCs w:val="24"/>
              </w:rPr>
              <w:t>ICH</w:t>
            </w:r>
            <w:r w:rsidRPr="006F5AE8">
              <w:rPr>
                <w:sz w:val="24"/>
                <w:szCs w:val="24"/>
              </w:rPr>
              <w:t>: Intracranial haemorrhage.</w:t>
            </w:r>
          </w:p>
          <w:p w14:paraId="08AE5384" w14:textId="77777777" w:rsidR="0074039C" w:rsidRPr="006F5AE8" w:rsidRDefault="0074039C">
            <w:pPr>
              <w:rPr>
                <w:sz w:val="24"/>
                <w:szCs w:val="24"/>
              </w:rPr>
            </w:pPr>
            <w:r w:rsidRPr="006F5AE8">
              <w:rPr>
                <w:i/>
                <w:iCs/>
                <w:sz w:val="24"/>
                <w:szCs w:val="24"/>
              </w:rPr>
              <w:t>Other TIMI Major</w:t>
            </w:r>
            <w:r w:rsidRPr="006F5AE8">
              <w:rPr>
                <w:sz w:val="24"/>
                <w:szCs w:val="24"/>
              </w:rPr>
              <w:t>: Non-fatal non-ICH TIMI Major bleeding.</w:t>
            </w:r>
          </w:p>
          <w:p w14:paraId="22C69C5D" w14:textId="77777777" w:rsidR="0074039C" w:rsidRPr="006F5AE8" w:rsidRDefault="0074039C">
            <w:pPr>
              <w:rPr>
                <w:sz w:val="24"/>
                <w:szCs w:val="24"/>
              </w:rPr>
            </w:pPr>
            <w:r w:rsidRPr="006F5AE8">
              <w:rPr>
                <w:i/>
                <w:iCs/>
                <w:sz w:val="24"/>
                <w:szCs w:val="24"/>
              </w:rPr>
              <w:t>TIMI Minor</w:t>
            </w:r>
            <w:r w:rsidRPr="006F5AE8">
              <w:rPr>
                <w:sz w:val="24"/>
                <w:szCs w:val="24"/>
              </w:rPr>
              <w:t>: Clinically apparent with 30-50 g/L decrease in haemoglobin.</w:t>
            </w:r>
          </w:p>
          <w:p w14:paraId="3869521C" w14:textId="77777777" w:rsidR="0074039C" w:rsidRPr="006F5AE8" w:rsidRDefault="0074039C">
            <w:pPr>
              <w:rPr>
                <w:sz w:val="24"/>
                <w:szCs w:val="24"/>
              </w:rPr>
            </w:pPr>
            <w:r w:rsidRPr="006F5AE8">
              <w:rPr>
                <w:i/>
                <w:iCs/>
                <w:sz w:val="24"/>
                <w:szCs w:val="24"/>
              </w:rPr>
              <w:t>TIMI Requiring medical attention</w:t>
            </w:r>
            <w:r w:rsidRPr="006F5AE8">
              <w:rPr>
                <w:sz w:val="24"/>
                <w:szCs w:val="24"/>
              </w:rPr>
              <w:t>: Requiring intervention, OR leading to hospitalisation, OR prompting evaluation.</w:t>
            </w:r>
          </w:p>
          <w:p w14:paraId="3B7FCA19" w14:textId="77777777" w:rsidR="0074039C" w:rsidRPr="006F5AE8" w:rsidRDefault="0074039C">
            <w:pPr>
              <w:rPr>
                <w:sz w:val="24"/>
                <w:szCs w:val="24"/>
              </w:rPr>
            </w:pPr>
            <w:r w:rsidRPr="006F5AE8">
              <w:rPr>
                <w:i/>
                <w:iCs/>
                <w:sz w:val="24"/>
                <w:szCs w:val="24"/>
              </w:rPr>
              <w:t>PLATO Major Fatal/life-threatening</w:t>
            </w:r>
            <w:r w:rsidRPr="006F5AE8">
              <w:rPr>
                <w:sz w:val="24"/>
                <w:szCs w:val="24"/>
              </w:rPr>
              <w:t xml:space="preserve">: Fatal bleeding, OR any intracranial bleeding, OR intrapericardial with cardiac tamponade, OR with hypovolaemic shock or severe hypotension requiring </w:t>
            </w:r>
            <w:proofErr w:type="spellStart"/>
            <w:r w:rsidRPr="006F5AE8">
              <w:rPr>
                <w:sz w:val="24"/>
                <w:szCs w:val="24"/>
              </w:rPr>
              <w:t>pressors</w:t>
            </w:r>
            <w:proofErr w:type="spellEnd"/>
            <w:r w:rsidRPr="006F5AE8">
              <w:rPr>
                <w:sz w:val="24"/>
                <w:szCs w:val="24"/>
              </w:rPr>
              <w:t>/inotropes or surgery OR clinically apparent with &gt;50 g/L decrease in haemoglobin or ≥4 red cell units transfused.</w:t>
            </w:r>
          </w:p>
          <w:p w14:paraId="3078F753" w14:textId="77777777" w:rsidR="0074039C" w:rsidRPr="006F5AE8" w:rsidRDefault="0074039C">
            <w:pPr>
              <w:rPr>
                <w:sz w:val="24"/>
                <w:szCs w:val="24"/>
              </w:rPr>
            </w:pPr>
            <w:r w:rsidRPr="006F5AE8">
              <w:rPr>
                <w:i/>
                <w:iCs/>
                <w:sz w:val="24"/>
                <w:szCs w:val="24"/>
              </w:rPr>
              <w:t>PLATO Major Other</w:t>
            </w:r>
            <w:r w:rsidRPr="006F5AE8">
              <w:rPr>
                <w:sz w:val="24"/>
                <w:szCs w:val="24"/>
              </w:rPr>
              <w:t>: Significantly disabling, OR clinically apparent with 30-50 g/L decrease in haemoglobin, OR 2-3 red cell units transfused.</w:t>
            </w:r>
          </w:p>
          <w:p w14:paraId="2BB5079E" w14:textId="77777777" w:rsidR="0074039C" w:rsidRPr="006F5AE8" w:rsidRDefault="0074039C">
            <w:pPr>
              <w:rPr>
                <w:sz w:val="24"/>
                <w:szCs w:val="24"/>
              </w:rPr>
            </w:pPr>
            <w:r w:rsidRPr="006F5AE8">
              <w:rPr>
                <w:i/>
                <w:iCs/>
                <w:sz w:val="24"/>
                <w:szCs w:val="24"/>
              </w:rPr>
              <w:t>PLATO Minor</w:t>
            </w:r>
            <w:r w:rsidRPr="006F5AE8">
              <w:rPr>
                <w:sz w:val="24"/>
                <w:szCs w:val="24"/>
              </w:rPr>
              <w:t>: Requires medical intervention to stop or treat bleeding.</w:t>
            </w:r>
          </w:p>
        </w:tc>
      </w:tr>
    </w:tbl>
    <w:p w14:paraId="0EC7787B" w14:textId="77777777" w:rsidR="0074039C" w:rsidRPr="006F5AE8" w:rsidRDefault="0074039C" w:rsidP="0074039C">
      <w:pPr>
        <w:rPr>
          <w:sz w:val="24"/>
          <w:szCs w:val="24"/>
          <w:lang w:val="en-GB" w:eastAsia="en-US"/>
        </w:rPr>
      </w:pPr>
    </w:p>
    <w:p w14:paraId="1565BBA9" w14:textId="77777777" w:rsidR="0074039C" w:rsidRPr="006F5AE8" w:rsidRDefault="0074039C" w:rsidP="00B4050A">
      <w:pPr>
        <w:ind w:left="851"/>
        <w:rPr>
          <w:sz w:val="24"/>
          <w:szCs w:val="24"/>
          <w:lang w:val="en-US"/>
        </w:rPr>
      </w:pPr>
      <w:r w:rsidRPr="006F5AE8">
        <w:rPr>
          <w:sz w:val="24"/>
          <w:szCs w:val="24"/>
          <w:lang w:val="en-US"/>
        </w:rPr>
        <w:t xml:space="preserve">In PEGASUS, TIMI Major bleeding for ticagrelor 60 mg twice daily was higher than for ASA alone. No increased bleeding risk was seen for fatal bleeding and only a minor increase was observed in intracranial </w:t>
      </w:r>
      <w:proofErr w:type="spellStart"/>
      <w:r w:rsidRPr="006F5AE8">
        <w:rPr>
          <w:sz w:val="24"/>
          <w:szCs w:val="24"/>
          <w:lang w:val="en-US"/>
        </w:rPr>
        <w:t>haemorrhages</w:t>
      </w:r>
      <w:proofErr w:type="spellEnd"/>
      <w:r w:rsidRPr="006F5AE8">
        <w:rPr>
          <w:sz w:val="24"/>
          <w:szCs w:val="24"/>
          <w:lang w:val="en-US"/>
        </w:rPr>
        <w:t>, as compared to ASA therapy alone. There were few fatal bleeding events in the study, 11 (0.3%) for ticagrelor 60 mg and 12 (0.3%) for ASA therapy alone. The observed increased risk of TIMI Major bleeding with ticagrelor 60 mg was primarily due to a higher frequency of Other TIMI Major bleedings driven by events in the gastrointestinal SOC.</w:t>
      </w:r>
    </w:p>
    <w:p w14:paraId="7ADD05FA" w14:textId="77777777" w:rsidR="0074039C" w:rsidRPr="006F5AE8" w:rsidRDefault="0074039C" w:rsidP="00B4050A">
      <w:pPr>
        <w:ind w:left="851"/>
        <w:rPr>
          <w:sz w:val="24"/>
          <w:szCs w:val="24"/>
          <w:lang w:val="en-US"/>
        </w:rPr>
      </w:pPr>
    </w:p>
    <w:p w14:paraId="0C3B41E2" w14:textId="77777777" w:rsidR="0074039C" w:rsidRPr="006F5AE8" w:rsidRDefault="0074039C" w:rsidP="00B4050A">
      <w:pPr>
        <w:ind w:left="851"/>
        <w:rPr>
          <w:sz w:val="24"/>
          <w:szCs w:val="24"/>
          <w:lang w:val="en-US"/>
        </w:rPr>
      </w:pPr>
      <w:r w:rsidRPr="006F5AE8">
        <w:rPr>
          <w:sz w:val="24"/>
          <w:szCs w:val="24"/>
          <w:lang w:val="en-US"/>
        </w:rPr>
        <w:t xml:space="preserve">Increased bleeding patterns similar to TIMI Major were seen for TIMI Major or Minor and PLATO Major and PLATO Major or Minor bleeding categories (see Table 3). Discontinuation of treatment due to bleeding was more common with ticagrelor 60 mg compared to ASA therapy alone (6.2% and 1.5%, respectively). The majority of these bleedings were of less severity (classified as TIMI Requiring medical attention), e.g., epistaxis, bruising and </w:t>
      </w:r>
      <w:proofErr w:type="spellStart"/>
      <w:r w:rsidRPr="006F5AE8">
        <w:rPr>
          <w:sz w:val="24"/>
          <w:szCs w:val="24"/>
          <w:lang w:val="en-US"/>
        </w:rPr>
        <w:t>haematomas</w:t>
      </w:r>
      <w:proofErr w:type="spellEnd"/>
      <w:r w:rsidRPr="006F5AE8">
        <w:rPr>
          <w:sz w:val="24"/>
          <w:szCs w:val="24"/>
          <w:lang w:val="en-US"/>
        </w:rPr>
        <w:t>.</w:t>
      </w:r>
    </w:p>
    <w:p w14:paraId="585B2A88" w14:textId="77777777" w:rsidR="0074039C" w:rsidRPr="006F5AE8" w:rsidRDefault="0074039C" w:rsidP="00B4050A">
      <w:pPr>
        <w:ind w:left="851"/>
        <w:rPr>
          <w:sz w:val="24"/>
          <w:szCs w:val="24"/>
          <w:lang w:val="en-US"/>
        </w:rPr>
      </w:pPr>
    </w:p>
    <w:p w14:paraId="3C7B7C6C" w14:textId="77777777" w:rsidR="0074039C" w:rsidRPr="006F5AE8" w:rsidRDefault="0074039C" w:rsidP="00B4050A">
      <w:pPr>
        <w:ind w:left="851"/>
        <w:rPr>
          <w:sz w:val="24"/>
          <w:szCs w:val="24"/>
          <w:lang w:val="en-US"/>
        </w:rPr>
      </w:pPr>
      <w:r w:rsidRPr="006F5AE8">
        <w:rPr>
          <w:sz w:val="24"/>
          <w:szCs w:val="24"/>
          <w:lang w:val="en-US"/>
        </w:rPr>
        <w:t>The bleeding profile of ticagrelor 60 mg was consistent across multiple pre-defined subgroups (e.g., by age, gender, weight, race, geographic region, concurrent conditions, concomitant therapy and medical history) for TIMI Major, TIMI Major or Minor and PLATO Major bleeding events.</w:t>
      </w:r>
    </w:p>
    <w:p w14:paraId="68610CFB" w14:textId="77777777" w:rsidR="0074039C" w:rsidRPr="006F5AE8" w:rsidRDefault="0074039C" w:rsidP="00B4050A">
      <w:pPr>
        <w:ind w:left="851"/>
        <w:rPr>
          <w:sz w:val="24"/>
          <w:szCs w:val="24"/>
          <w:lang w:val="en-US"/>
        </w:rPr>
      </w:pPr>
    </w:p>
    <w:p w14:paraId="6E3BD98A" w14:textId="77777777" w:rsidR="0074039C" w:rsidRPr="006F5AE8" w:rsidRDefault="0074039C" w:rsidP="00B4050A">
      <w:pPr>
        <w:ind w:left="851"/>
        <w:rPr>
          <w:sz w:val="24"/>
          <w:szCs w:val="24"/>
          <w:lang w:val="en-US"/>
        </w:rPr>
      </w:pPr>
      <w:r w:rsidRPr="006F5AE8">
        <w:rPr>
          <w:sz w:val="24"/>
          <w:szCs w:val="24"/>
          <w:lang w:val="en-US"/>
        </w:rPr>
        <w:t>Intracranial bleeding:</w:t>
      </w:r>
    </w:p>
    <w:p w14:paraId="0915739B" w14:textId="77777777" w:rsidR="0074039C" w:rsidRPr="006F5AE8" w:rsidRDefault="0074039C" w:rsidP="00B4050A">
      <w:pPr>
        <w:ind w:left="851"/>
        <w:rPr>
          <w:sz w:val="24"/>
          <w:szCs w:val="24"/>
          <w:lang w:val="en-US"/>
        </w:rPr>
      </w:pPr>
      <w:r w:rsidRPr="006F5AE8">
        <w:rPr>
          <w:sz w:val="24"/>
          <w:szCs w:val="24"/>
          <w:lang w:val="en-US"/>
        </w:rPr>
        <w:t>Spontaneous ICHs were reported in similar rates for ticagrelor 60 mg and ASA therapy alone (n=13, 0.2% in both treatment groups). Traumatic and procedural ICHs showed a minor increase with ticagrelor 60 mg treatment, (n=15, 0.2%) compared with ASA therapy alone (n=10, 0.1%). There were 6 fatal ICHs with ticagrelor 60 mg and 5 fatal ICHs with ASA therapy alone. The incidence of intracranial bleeding was low in both treatment groups given the significant comorbidity and CV risk factors of the population under study.</w:t>
      </w:r>
    </w:p>
    <w:p w14:paraId="1700A726" w14:textId="77777777" w:rsidR="0074039C" w:rsidRPr="006F5AE8" w:rsidRDefault="0074039C" w:rsidP="00B4050A">
      <w:pPr>
        <w:ind w:left="851"/>
        <w:rPr>
          <w:sz w:val="24"/>
          <w:szCs w:val="24"/>
          <w:lang w:val="en-US"/>
        </w:rPr>
      </w:pPr>
    </w:p>
    <w:p w14:paraId="0F192C3B" w14:textId="77777777" w:rsidR="0074039C" w:rsidRPr="00DD435F" w:rsidRDefault="0074039C" w:rsidP="00B4050A">
      <w:pPr>
        <w:ind w:left="851"/>
        <w:rPr>
          <w:i/>
          <w:iCs/>
          <w:sz w:val="24"/>
          <w:szCs w:val="24"/>
          <w:u w:val="single"/>
          <w:lang w:val="en-US"/>
        </w:rPr>
      </w:pPr>
      <w:proofErr w:type="spellStart"/>
      <w:r w:rsidRPr="00DD435F">
        <w:rPr>
          <w:i/>
          <w:iCs/>
          <w:sz w:val="24"/>
          <w:szCs w:val="24"/>
          <w:u w:val="single"/>
          <w:lang w:val="en-US"/>
        </w:rPr>
        <w:t>Dyspnoea</w:t>
      </w:r>
      <w:proofErr w:type="spellEnd"/>
    </w:p>
    <w:p w14:paraId="53C29B97" w14:textId="77777777" w:rsidR="0074039C" w:rsidRPr="006F5AE8" w:rsidRDefault="0074039C" w:rsidP="00B4050A">
      <w:pPr>
        <w:ind w:left="851"/>
        <w:rPr>
          <w:sz w:val="24"/>
          <w:szCs w:val="24"/>
          <w:lang w:val="en-US"/>
        </w:rPr>
      </w:pPr>
      <w:proofErr w:type="spellStart"/>
      <w:r w:rsidRPr="006F5AE8">
        <w:rPr>
          <w:sz w:val="24"/>
          <w:szCs w:val="24"/>
          <w:lang w:val="en-US"/>
        </w:rPr>
        <w:t>Dyspnoea</w:t>
      </w:r>
      <w:proofErr w:type="spellEnd"/>
      <w:r w:rsidRPr="006F5AE8">
        <w:rPr>
          <w:sz w:val="24"/>
          <w:szCs w:val="24"/>
          <w:lang w:val="en-US"/>
        </w:rPr>
        <w:t xml:space="preserve">, a sensation of breathlessness, is reported by patients treated with ticagrelor. In PLATO, </w:t>
      </w:r>
      <w:proofErr w:type="spellStart"/>
      <w:r w:rsidRPr="006F5AE8">
        <w:rPr>
          <w:sz w:val="24"/>
          <w:szCs w:val="24"/>
          <w:lang w:val="en-US"/>
        </w:rPr>
        <w:t>dyspnoea</w:t>
      </w:r>
      <w:proofErr w:type="spellEnd"/>
      <w:r w:rsidRPr="006F5AE8">
        <w:rPr>
          <w:sz w:val="24"/>
          <w:szCs w:val="24"/>
          <w:lang w:val="en-US"/>
        </w:rPr>
        <w:t xml:space="preserve"> adverse events (AEs) (</w:t>
      </w:r>
      <w:proofErr w:type="spellStart"/>
      <w:r w:rsidRPr="006F5AE8">
        <w:rPr>
          <w:sz w:val="24"/>
          <w:szCs w:val="24"/>
          <w:lang w:val="en-US"/>
        </w:rPr>
        <w:t>dyspnoea</w:t>
      </w:r>
      <w:proofErr w:type="spellEnd"/>
      <w:r w:rsidRPr="006F5AE8">
        <w:rPr>
          <w:sz w:val="24"/>
          <w:szCs w:val="24"/>
          <w:lang w:val="en-US"/>
        </w:rPr>
        <w:t xml:space="preserve">, </w:t>
      </w:r>
      <w:proofErr w:type="spellStart"/>
      <w:r w:rsidRPr="006F5AE8">
        <w:rPr>
          <w:sz w:val="24"/>
          <w:szCs w:val="24"/>
          <w:lang w:val="en-US"/>
        </w:rPr>
        <w:t>dyspnoea</w:t>
      </w:r>
      <w:proofErr w:type="spellEnd"/>
      <w:r w:rsidRPr="006F5AE8">
        <w:rPr>
          <w:sz w:val="24"/>
          <w:szCs w:val="24"/>
          <w:lang w:val="en-US"/>
        </w:rPr>
        <w:t xml:space="preserve"> at rest, </w:t>
      </w:r>
      <w:proofErr w:type="spellStart"/>
      <w:r w:rsidRPr="006F5AE8">
        <w:rPr>
          <w:sz w:val="24"/>
          <w:szCs w:val="24"/>
          <w:lang w:val="en-US"/>
        </w:rPr>
        <w:t>dyspnoea</w:t>
      </w:r>
      <w:proofErr w:type="spellEnd"/>
      <w:r w:rsidRPr="006F5AE8">
        <w:rPr>
          <w:sz w:val="24"/>
          <w:szCs w:val="24"/>
          <w:lang w:val="en-US"/>
        </w:rPr>
        <w:t xml:space="preserve"> exertional, </w:t>
      </w:r>
      <w:proofErr w:type="spellStart"/>
      <w:r w:rsidRPr="006F5AE8">
        <w:rPr>
          <w:sz w:val="24"/>
          <w:szCs w:val="24"/>
          <w:lang w:val="en-US"/>
        </w:rPr>
        <w:t>dyspnoea</w:t>
      </w:r>
      <w:proofErr w:type="spellEnd"/>
      <w:r w:rsidRPr="006F5AE8">
        <w:rPr>
          <w:sz w:val="24"/>
          <w:szCs w:val="24"/>
          <w:lang w:val="en-US"/>
        </w:rPr>
        <w:t xml:space="preserve"> paroxysmal nocturnal and nocturnal </w:t>
      </w:r>
      <w:proofErr w:type="spellStart"/>
      <w:r w:rsidRPr="006F5AE8">
        <w:rPr>
          <w:sz w:val="24"/>
          <w:szCs w:val="24"/>
          <w:lang w:val="en-US"/>
        </w:rPr>
        <w:t>dyspnoea</w:t>
      </w:r>
      <w:proofErr w:type="spellEnd"/>
      <w:r w:rsidRPr="006F5AE8">
        <w:rPr>
          <w:sz w:val="24"/>
          <w:szCs w:val="24"/>
          <w:lang w:val="en-US"/>
        </w:rPr>
        <w:t xml:space="preserve">), when combined, was reported by 13.8% of patients treated with ticagrelor and by 7.8% of patients treated with clopidogrel. In 2.2% of patients taking ticagrelor and by 0.6% taking clopidogrel investigators considered the </w:t>
      </w:r>
      <w:proofErr w:type="spellStart"/>
      <w:r w:rsidRPr="006F5AE8">
        <w:rPr>
          <w:sz w:val="24"/>
          <w:szCs w:val="24"/>
          <w:lang w:val="en-US"/>
        </w:rPr>
        <w:t>dyspnoea</w:t>
      </w:r>
      <w:proofErr w:type="spellEnd"/>
      <w:r w:rsidRPr="006F5AE8">
        <w:rPr>
          <w:sz w:val="24"/>
          <w:szCs w:val="24"/>
          <w:lang w:val="en-US"/>
        </w:rPr>
        <w:t xml:space="preserve"> causally related to treatment in the PLATO study and few were serious (0.14% ticagrelor; 0.02% clopidogrel), (see section 4.4). Most reported symptoms of </w:t>
      </w:r>
      <w:proofErr w:type="spellStart"/>
      <w:r w:rsidRPr="006F5AE8">
        <w:rPr>
          <w:sz w:val="24"/>
          <w:szCs w:val="24"/>
          <w:lang w:val="en-US"/>
        </w:rPr>
        <w:t>dyspnoea</w:t>
      </w:r>
      <w:proofErr w:type="spellEnd"/>
      <w:r w:rsidRPr="006F5AE8">
        <w:rPr>
          <w:sz w:val="24"/>
          <w:szCs w:val="24"/>
          <w:lang w:val="en-US"/>
        </w:rPr>
        <w:t xml:space="preserve"> were mild to moderate in intensity, and most were reported as a single episode early after starting treatment.</w:t>
      </w:r>
    </w:p>
    <w:p w14:paraId="6BD7C69F" w14:textId="77777777" w:rsidR="0074039C" w:rsidRPr="006F5AE8" w:rsidRDefault="0074039C" w:rsidP="00B4050A">
      <w:pPr>
        <w:ind w:left="851"/>
        <w:rPr>
          <w:sz w:val="24"/>
          <w:szCs w:val="24"/>
          <w:lang w:val="en-US"/>
        </w:rPr>
      </w:pPr>
    </w:p>
    <w:p w14:paraId="4FEBA8A3" w14:textId="77777777" w:rsidR="0074039C" w:rsidRPr="006F5AE8" w:rsidRDefault="0074039C" w:rsidP="00B4050A">
      <w:pPr>
        <w:ind w:left="851"/>
        <w:rPr>
          <w:sz w:val="24"/>
          <w:szCs w:val="24"/>
          <w:lang w:val="en-US"/>
        </w:rPr>
      </w:pPr>
      <w:r w:rsidRPr="006F5AE8">
        <w:rPr>
          <w:sz w:val="24"/>
          <w:szCs w:val="24"/>
          <w:lang w:val="en-US"/>
        </w:rPr>
        <w:t xml:space="preserve">Compared with clopidogrel, patients with asthma/COPD treated with ticagrelor may have an increased risk of experiencing non-serious </w:t>
      </w:r>
      <w:proofErr w:type="spellStart"/>
      <w:r w:rsidRPr="006F5AE8">
        <w:rPr>
          <w:sz w:val="24"/>
          <w:szCs w:val="24"/>
          <w:lang w:val="en-US"/>
        </w:rPr>
        <w:t>dyspnoea</w:t>
      </w:r>
      <w:proofErr w:type="spellEnd"/>
      <w:r w:rsidRPr="006F5AE8">
        <w:rPr>
          <w:sz w:val="24"/>
          <w:szCs w:val="24"/>
          <w:lang w:val="en-US"/>
        </w:rPr>
        <w:t xml:space="preserve"> (3.29% ticagrelor versus 0.53% clopidogrel) and serious </w:t>
      </w:r>
      <w:proofErr w:type="spellStart"/>
      <w:r w:rsidRPr="006F5AE8">
        <w:rPr>
          <w:sz w:val="24"/>
          <w:szCs w:val="24"/>
          <w:lang w:val="en-US"/>
        </w:rPr>
        <w:t>dyspnoea</w:t>
      </w:r>
      <w:proofErr w:type="spellEnd"/>
      <w:r w:rsidRPr="006F5AE8">
        <w:rPr>
          <w:sz w:val="24"/>
          <w:szCs w:val="24"/>
          <w:lang w:val="en-US"/>
        </w:rPr>
        <w:t xml:space="preserve"> (0.38% ticagrelor versus 0.00% clopidogrel). In absolute terms, this risk was higher than in the overall PLATO population. Ticagrelor should be used with caution in patients with history of asthma and/or COPD (see section 4.4).</w:t>
      </w:r>
    </w:p>
    <w:p w14:paraId="1EB15E31" w14:textId="77777777" w:rsidR="0074039C" w:rsidRPr="006F5AE8" w:rsidRDefault="0074039C" w:rsidP="00B4050A">
      <w:pPr>
        <w:ind w:left="851"/>
        <w:rPr>
          <w:sz w:val="24"/>
          <w:szCs w:val="24"/>
          <w:lang w:val="en-US"/>
        </w:rPr>
      </w:pPr>
    </w:p>
    <w:p w14:paraId="157743A3" w14:textId="77777777" w:rsidR="0074039C" w:rsidRPr="006F5AE8" w:rsidRDefault="0074039C" w:rsidP="00B4050A">
      <w:pPr>
        <w:ind w:left="851"/>
        <w:rPr>
          <w:sz w:val="24"/>
          <w:szCs w:val="24"/>
          <w:lang w:val="en-US"/>
        </w:rPr>
      </w:pPr>
      <w:r w:rsidRPr="006F5AE8">
        <w:rPr>
          <w:sz w:val="24"/>
          <w:szCs w:val="24"/>
          <w:lang w:val="en-US"/>
        </w:rPr>
        <w:t xml:space="preserve">About 30% of episodes resolved within 7 days. PLATO included patients with baseline congestive heart failure, COPD or asthma; these patients, and the elderly, were more likely to report </w:t>
      </w:r>
      <w:proofErr w:type="spellStart"/>
      <w:r w:rsidRPr="006F5AE8">
        <w:rPr>
          <w:sz w:val="24"/>
          <w:szCs w:val="24"/>
          <w:lang w:val="en-US"/>
        </w:rPr>
        <w:t>dyspnoea</w:t>
      </w:r>
      <w:proofErr w:type="spellEnd"/>
      <w:r w:rsidRPr="006F5AE8">
        <w:rPr>
          <w:sz w:val="24"/>
          <w:szCs w:val="24"/>
          <w:lang w:val="en-US"/>
        </w:rPr>
        <w:t xml:space="preserve">. For ticagrelor, 0.9% of patients discontinued study drug because of </w:t>
      </w:r>
      <w:proofErr w:type="spellStart"/>
      <w:r w:rsidRPr="006F5AE8">
        <w:rPr>
          <w:sz w:val="24"/>
          <w:szCs w:val="24"/>
          <w:lang w:val="en-US"/>
        </w:rPr>
        <w:t>dyspnoea</w:t>
      </w:r>
      <w:proofErr w:type="spellEnd"/>
      <w:r w:rsidRPr="006F5AE8">
        <w:rPr>
          <w:sz w:val="24"/>
          <w:szCs w:val="24"/>
          <w:lang w:val="en-US"/>
        </w:rPr>
        <w:t xml:space="preserve"> compared with 0.1% taking clopidogrel. The higher incidence of </w:t>
      </w:r>
      <w:proofErr w:type="spellStart"/>
      <w:r w:rsidRPr="006F5AE8">
        <w:rPr>
          <w:sz w:val="24"/>
          <w:szCs w:val="24"/>
          <w:lang w:val="en-US"/>
        </w:rPr>
        <w:t>dyspnoea</w:t>
      </w:r>
      <w:proofErr w:type="spellEnd"/>
      <w:r w:rsidRPr="006F5AE8">
        <w:rPr>
          <w:sz w:val="24"/>
          <w:szCs w:val="24"/>
          <w:lang w:val="en-US"/>
        </w:rPr>
        <w:t xml:space="preserve"> with ticagrelor is not associated with new or worsening heart or lung disease (see section 4.4). Ticagrelor does not affect tests of pulmonary function.</w:t>
      </w:r>
    </w:p>
    <w:p w14:paraId="1B6A82C8" w14:textId="77777777" w:rsidR="0074039C" w:rsidRPr="006F5AE8" w:rsidRDefault="0074039C" w:rsidP="00B4050A">
      <w:pPr>
        <w:ind w:left="851"/>
        <w:rPr>
          <w:sz w:val="24"/>
          <w:szCs w:val="24"/>
          <w:lang w:val="en-US"/>
        </w:rPr>
      </w:pPr>
    </w:p>
    <w:p w14:paraId="6027FFD5" w14:textId="77777777" w:rsidR="0074039C" w:rsidRPr="006F5AE8" w:rsidRDefault="0074039C" w:rsidP="00B4050A">
      <w:pPr>
        <w:ind w:left="851"/>
        <w:rPr>
          <w:sz w:val="24"/>
          <w:szCs w:val="24"/>
          <w:lang w:val="en-US"/>
        </w:rPr>
      </w:pPr>
      <w:r w:rsidRPr="006F5AE8">
        <w:rPr>
          <w:sz w:val="24"/>
          <w:szCs w:val="24"/>
          <w:lang w:val="en-US"/>
        </w:rPr>
        <w:t xml:space="preserve">In PEGASUS, </w:t>
      </w:r>
      <w:proofErr w:type="spellStart"/>
      <w:r w:rsidRPr="006F5AE8">
        <w:rPr>
          <w:sz w:val="24"/>
          <w:szCs w:val="24"/>
          <w:lang w:val="en-US"/>
        </w:rPr>
        <w:t>dyspnoea</w:t>
      </w:r>
      <w:proofErr w:type="spellEnd"/>
      <w:r w:rsidRPr="006F5AE8">
        <w:rPr>
          <w:sz w:val="24"/>
          <w:szCs w:val="24"/>
          <w:lang w:val="en-US"/>
        </w:rPr>
        <w:t xml:space="preserve"> was reported in 14.2% of patients taking ticagrelor 60 mg twice daily and in 5.5% of patients taking ASA alone. As in PLATO, most reported </w:t>
      </w:r>
      <w:proofErr w:type="spellStart"/>
      <w:r w:rsidRPr="006F5AE8">
        <w:rPr>
          <w:sz w:val="24"/>
          <w:szCs w:val="24"/>
          <w:lang w:val="en-US"/>
        </w:rPr>
        <w:t>dyspnoea</w:t>
      </w:r>
      <w:proofErr w:type="spellEnd"/>
      <w:r w:rsidRPr="006F5AE8">
        <w:rPr>
          <w:sz w:val="24"/>
          <w:szCs w:val="24"/>
          <w:lang w:val="en-US"/>
        </w:rPr>
        <w:t xml:space="preserve"> was mild to moderate in intensity (see section 4.4). Patients who reported </w:t>
      </w:r>
      <w:proofErr w:type="spellStart"/>
      <w:r w:rsidRPr="006F5AE8">
        <w:rPr>
          <w:sz w:val="24"/>
          <w:szCs w:val="24"/>
          <w:lang w:val="en-US"/>
        </w:rPr>
        <w:t>dyspnoea</w:t>
      </w:r>
      <w:proofErr w:type="spellEnd"/>
      <w:r w:rsidRPr="006F5AE8">
        <w:rPr>
          <w:sz w:val="24"/>
          <w:szCs w:val="24"/>
          <w:lang w:val="en-US"/>
        </w:rPr>
        <w:t xml:space="preserve"> tended to be older and more frequently had </w:t>
      </w:r>
      <w:proofErr w:type="spellStart"/>
      <w:r w:rsidRPr="006F5AE8">
        <w:rPr>
          <w:sz w:val="24"/>
          <w:szCs w:val="24"/>
          <w:lang w:val="en-US"/>
        </w:rPr>
        <w:t>dyspnoea</w:t>
      </w:r>
      <w:proofErr w:type="spellEnd"/>
      <w:r w:rsidRPr="006F5AE8">
        <w:rPr>
          <w:sz w:val="24"/>
          <w:szCs w:val="24"/>
          <w:lang w:val="en-US"/>
        </w:rPr>
        <w:t>, COPD or asthma at baseline.</w:t>
      </w:r>
    </w:p>
    <w:p w14:paraId="798E6BA9" w14:textId="77777777" w:rsidR="0074039C" w:rsidRPr="006F5AE8" w:rsidRDefault="0074039C" w:rsidP="00B4050A">
      <w:pPr>
        <w:ind w:left="851"/>
        <w:rPr>
          <w:sz w:val="24"/>
          <w:szCs w:val="24"/>
          <w:lang w:val="en-US"/>
        </w:rPr>
      </w:pPr>
    </w:p>
    <w:p w14:paraId="67C53811" w14:textId="77777777" w:rsidR="0074039C" w:rsidRPr="006F5AE8" w:rsidRDefault="0074039C" w:rsidP="00B4050A">
      <w:pPr>
        <w:ind w:left="851"/>
        <w:rPr>
          <w:i/>
          <w:iCs/>
          <w:sz w:val="24"/>
          <w:szCs w:val="24"/>
          <w:u w:val="single"/>
          <w:lang w:val="en-US"/>
        </w:rPr>
      </w:pPr>
      <w:r w:rsidRPr="006F5AE8">
        <w:rPr>
          <w:i/>
          <w:iCs/>
          <w:sz w:val="24"/>
          <w:szCs w:val="24"/>
          <w:u w:val="single"/>
          <w:lang w:val="en-US"/>
        </w:rPr>
        <w:t>Investigations</w:t>
      </w:r>
    </w:p>
    <w:p w14:paraId="1404BFD1" w14:textId="77777777" w:rsidR="0074039C" w:rsidRPr="006F5AE8" w:rsidRDefault="0074039C" w:rsidP="00B4050A">
      <w:pPr>
        <w:ind w:left="851"/>
        <w:rPr>
          <w:sz w:val="24"/>
          <w:szCs w:val="24"/>
          <w:lang w:val="en-US"/>
        </w:rPr>
      </w:pPr>
      <w:r w:rsidRPr="006F5AE8">
        <w:rPr>
          <w:sz w:val="24"/>
          <w:szCs w:val="24"/>
          <w:lang w:val="en-US"/>
        </w:rPr>
        <w:t>Uric acid elevations: In PLATO, serum uric acid increased to more than upper limit of normal in 22% of patients receiving ticagrelor compared to 13% of patients receiving clopidogrel. The corresponding numbers in PEGASUS were 9.1%, 8.8% and 5.5% for ticagrelor 90 mg, 60 mg and placebo, respectively. Mean serum uric acid increased approximately 15% with ticagrelor compared to approximately 7.5% with clopidogrel and after treatment was stopped, decreased to approximately 7% on ticagrelor but with no decrease observed for clopidogrel. In PEGASUS, a reversible increase in mean serum uric acid levels of 6.3% and 5.6% was found for ticagrelor 90 mg and 60 mg, respectively, compared to a 1.5% decrease in the placebo group. In PLATO, the frequency of gouty arthritis was 0.2% for ticagrelor vs. 0.1% for clopidogrel. The corresponding numbers for gout/gouty arthritis in PEGASUS were 1.6%, 1.5% and 1.1% for ticagrelor 90 mg, 60 mg and placebo, respectively.</w:t>
      </w:r>
    </w:p>
    <w:p w14:paraId="153F6E06" w14:textId="77777777" w:rsidR="0074039C" w:rsidRPr="006F5AE8" w:rsidRDefault="0074039C" w:rsidP="00B4050A">
      <w:pPr>
        <w:ind w:left="851"/>
        <w:rPr>
          <w:sz w:val="24"/>
          <w:szCs w:val="24"/>
          <w:lang w:val="en-US"/>
        </w:rPr>
      </w:pPr>
    </w:p>
    <w:p w14:paraId="59A0829D" w14:textId="77777777" w:rsidR="00B4050A" w:rsidRPr="006F5AE8" w:rsidRDefault="00B4050A" w:rsidP="00B4050A">
      <w:pPr>
        <w:ind w:left="851"/>
        <w:rPr>
          <w:sz w:val="24"/>
          <w:szCs w:val="24"/>
          <w:u w:val="single"/>
          <w:lang w:val="en-GB"/>
        </w:rPr>
      </w:pPr>
      <w:r w:rsidRPr="006F5AE8">
        <w:rPr>
          <w:sz w:val="24"/>
          <w:szCs w:val="24"/>
          <w:u w:val="single"/>
          <w:lang w:val="en-GB"/>
        </w:rPr>
        <w:t>Reporting of suspected adverse reactions</w:t>
      </w:r>
    </w:p>
    <w:p w14:paraId="7DBF9A0C" w14:textId="77777777" w:rsidR="00B4050A" w:rsidRPr="006F5AE8" w:rsidRDefault="00B4050A" w:rsidP="00B4050A">
      <w:pPr>
        <w:ind w:left="851"/>
        <w:rPr>
          <w:sz w:val="24"/>
          <w:szCs w:val="24"/>
          <w:lang w:val="en-GB"/>
        </w:rPr>
      </w:pPr>
      <w:r w:rsidRPr="006F5AE8">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3A85B678" w14:textId="77777777" w:rsidR="00B4050A" w:rsidRPr="006F5AE8" w:rsidRDefault="00B4050A" w:rsidP="00B4050A">
      <w:pPr>
        <w:ind w:left="851"/>
        <w:rPr>
          <w:sz w:val="24"/>
          <w:szCs w:val="24"/>
          <w:lang w:val="en-GB"/>
        </w:rPr>
      </w:pPr>
    </w:p>
    <w:p w14:paraId="36B5FA07" w14:textId="77777777" w:rsidR="00B4050A" w:rsidRPr="006F5AE8" w:rsidRDefault="00B4050A" w:rsidP="00B4050A">
      <w:pPr>
        <w:ind w:left="851"/>
        <w:rPr>
          <w:sz w:val="24"/>
          <w:szCs w:val="24"/>
        </w:rPr>
      </w:pPr>
      <w:r w:rsidRPr="006F5AE8">
        <w:rPr>
          <w:sz w:val="24"/>
          <w:szCs w:val="24"/>
        </w:rPr>
        <w:t>Lægemiddelstyrelsen</w:t>
      </w:r>
    </w:p>
    <w:p w14:paraId="7E45AF9D" w14:textId="77777777" w:rsidR="00B4050A" w:rsidRPr="006F5AE8" w:rsidRDefault="00B4050A" w:rsidP="00B4050A">
      <w:pPr>
        <w:ind w:left="851"/>
        <w:rPr>
          <w:sz w:val="24"/>
          <w:szCs w:val="24"/>
        </w:rPr>
      </w:pPr>
      <w:r w:rsidRPr="006F5AE8">
        <w:rPr>
          <w:sz w:val="24"/>
          <w:szCs w:val="24"/>
        </w:rPr>
        <w:t>Axel Heides Gade 1</w:t>
      </w:r>
    </w:p>
    <w:p w14:paraId="526F0867" w14:textId="77777777" w:rsidR="00B4050A" w:rsidRPr="006F5AE8" w:rsidRDefault="00B4050A" w:rsidP="00B4050A">
      <w:pPr>
        <w:ind w:left="851"/>
        <w:rPr>
          <w:sz w:val="24"/>
          <w:szCs w:val="24"/>
        </w:rPr>
      </w:pPr>
      <w:r w:rsidRPr="006F5AE8">
        <w:rPr>
          <w:sz w:val="24"/>
          <w:szCs w:val="24"/>
        </w:rPr>
        <w:t>DK-2300 København S</w:t>
      </w:r>
    </w:p>
    <w:p w14:paraId="08A246B1" w14:textId="77777777" w:rsidR="00B4050A" w:rsidRPr="00DD435F" w:rsidRDefault="00B4050A" w:rsidP="00B4050A">
      <w:pPr>
        <w:ind w:left="851"/>
        <w:rPr>
          <w:sz w:val="24"/>
          <w:szCs w:val="24"/>
          <w:lang w:val="en-US"/>
        </w:rPr>
      </w:pPr>
      <w:r w:rsidRPr="00DD435F">
        <w:rPr>
          <w:sz w:val="24"/>
          <w:szCs w:val="24"/>
          <w:lang w:val="en-US"/>
        </w:rPr>
        <w:t>Website: www.meldenbivirkning.dk</w:t>
      </w:r>
    </w:p>
    <w:p w14:paraId="4ED3B41E" w14:textId="77777777" w:rsidR="007C5D2A" w:rsidRPr="006F5AE8" w:rsidRDefault="007C5D2A" w:rsidP="007A4CC6">
      <w:pPr>
        <w:tabs>
          <w:tab w:val="left" w:pos="851"/>
        </w:tabs>
        <w:ind w:left="851"/>
        <w:rPr>
          <w:sz w:val="24"/>
          <w:szCs w:val="24"/>
          <w:lang w:val="en-GB"/>
        </w:rPr>
      </w:pPr>
    </w:p>
    <w:p w14:paraId="2AB1C162" w14:textId="77777777" w:rsidR="007C5D2A" w:rsidRPr="006F5AE8" w:rsidRDefault="007C5D2A" w:rsidP="007C5D2A">
      <w:pPr>
        <w:tabs>
          <w:tab w:val="left" w:pos="851"/>
        </w:tabs>
        <w:ind w:left="851" w:hanging="851"/>
        <w:rPr>
          <w:b/>
          <w:sz w:val="24"/>
          <w:szCs w:val="24"/>
          <w:lang w:val="en-GB"/>
        </w:rPr>
      </w:pPr>
      <w:r w:rsidRPr="006F5AE8">
        <w:rPr>
          <w:b/>
          <w:sz w:val="24"/>
          <w:szCs w:val="24"/>
          <w:lang w:val="en-GB"/>
        </w:rPr>
        <w:t>4.9</w:t>
      </w:r>
      <w:r w:rsidRPr="006F5AE8">
        <w:rPr>
          <w:b/>
          <w:sz w:val="24"/>
          <w:szCs w:val="24"/>
          <w:lang w:val="en-GB"/>
        </w:rPr>
        <w:tab/>
        <w:t>Overdose</w:t>
      </w:r>
    </w:p>
    <w:p w14:paraId="4717D841" w14:textId="77777777" w:rsidR="0074039C" w:rsidRPr="006F5AE8" w:rsidRDefault="0074039C" w:rsidP="00B4050A">
      <w:pPr>
        <w:ind w:left="851"/>
        <w:rPr>
          <w:sz w:val="24"/>
          <w:szCs w:val="24"/>
          <w:lang w:val="en-US"/>
        </w:rPr>
      </w:pPr>
      <w:r w:rsidRPr="006F5AE8">
        <w:rPr>
          <w:sz w:val="24"/>
          <w:szCs w:val="24"/>
          <w:lang w:val="en-US"/>
        </w:rPr>
        <w:t xml:space="preserve">Ticagrelor is well tolerated in single doses up to 900 mg. Gastrointestinal toxicity was dose-limiting in a single ascending dose study. Other clinically meaningful adverse reactions which may occur with overdose include </w:t>
      </w:r>
      <w:proofErr w:type="spellStart"/>
      <w:r w:rsidRPr="006F5AE8">
        <w:rPr>
          <w:sz w:val="24"/>
          <w:szCs w:val="24"/>
          <w:lang w:val="en-US"/>
        </w:rPr>
        <w:t>dyspnoea</w:t>
      </w:r>
      <w:proofErr w:type="spellEnd"/>
      <w:r w:rsidRPr="006F5AE8">
        <w:rPr>
          <w:sz w:val="24"/>
          <w:szCs w:val="24"/>
          <w:lang w:val="en-US"/>
        </w:rPr>
        <w:t xml:space="preserve"> and ventricular pauses (see section 4.8).</w:t>
      </w:r>
    </w:p>
    <w:p w14:paraId="78D00D5A" w14:textId="77777777" w:rsidR="0074039C" w:rsidRPr="006F5AE8" w:rsidRDefault="0074039C" w:rsidP="00B4050A">
      <w:pPr>
        <w:ind w:left="851"/>
        <w:rPr>
          <w:sz w:val="24"/>
          <w:szCs w:val="24"/>
          <w:lang w:val="en-US"/>
        </w:rPr>
      </w:pPr>
    </w:p>
    <w:p w14:paraId="609D2A6F" w14:textId="77777777" w:rsidR="0074039C" w:rsidRPr="006F5AE8" w:rsidRDefault="0074039C" w:rsidP="00B4050A">
      <w:pPr>
        <w:ind w:left="851"/>
        <w:rPr>
          <w:sz w:val="24"/>
          <w:szCs w:val="24"/>
          <w:lang w:val="en-US"/>
        </w:rPr>
      </w:pPr>
      <w:r w:rsidRPr="006F5AE8">
        <w:rPr>
          <w:sz w:val="24"/>
          <w:szCs w:val="24"/>
          <w:lang w:val="en-US"/>
        </w:rPr>
        <w:t>In the event of an overdose, the above potential adverse reactions could occur and ECG monitoring should be considered.</w:t>
      </w:r>
    </w:p>
    <w:p w14:paraId="0871BE2B" w14:textId="77777777" w:rsidR="0074039C" w:rsidRPr="006F5AE8" w:rsidRDefault="0074039C" w:rsidP="00B4050A">
      <w:pPr>
        <w:ind w:left="851"/>
        <w:rPr>
          <w:sz w:val="24"/>
          <w:szCs w:val="24"/>
          <w:lang w:val="en-US"/>
        </w:rPr>
      </w:pPr>
    </w:p>
    <w:p w14:paraId="0E9922EF" w14:textId="77777777" w:rsidR="0074039C" w:rsidRPr="006F5AE8" w:rsidRDefault="0074039C" w:rsidP="00B4050A">
      <w:pPr>
        <w:ind w:left="851"/>
        <w:rPr>
          <w:sz w:val="24"/>
          <w:szCs w:val="24"/>
          <w:lang w:val="en-US"/>
        </w:rPr>
      </w:pPr>
      <w:r w:rsidRPr="006F5AE8">
        <w:rPr>
          <w:sz w:val="24"/>
          <w:szCs w:val="24"/>
          <w:lang w:val="en-US"/>
        </w:rPr>
        <w:t xml:space="preserve">There is currently no known antidote to reverse the effects of ticagrelor, and ticagrelor is not </w:t>
      </w:r>
      <w:proofErr w:type="spellStart"/>
      <w:r w:rsidRPr="006F5AE8">
        <w:rPr>
          <w:sz w:val="24"/>
          <w:szCs w:val="24"/>
          <w:lang w:val="en-US"/>
        </w:rPr>
        <w:t>dialysable</w:t>
      </w:r>
      <w:proofErr w:type="spellEnd"/>
      <w:r w:rsidRPr="006F5AE8">
        <w:rPr>
          <w:sz w:val="24"/>
          <w:szCs w:val="24"/>
          <w:lang w:val="en-US"/>
        </w:rPr>
        <w:t xml:space="preserve"> (see section 5.2). Treatment of overdose should follow local standard medical practice. The expected effect of excessive ticagrelor dosing is prolonged duration of bleeding risk associated with platelet inhibition. Platelet transfusion is unlikely to be of clinical benefit in patients with bleeding (see section 4.4). If bleeding occurs other appropriate supportive measures should be taken.</w:t>
      </w:r>
    </w:p>
    <w:p w14:paraId="4AC9EB7D" w14:textId="77777777" w:rsidR="007C5D2A" w:rsidRPr="006F5AE8" w:rsidRDefault="007C5D2A" w:rsidP="003E0341">
      <w:pPr>
        <w:tabs>
          <w:tab w:val="left" w:pos="851"/>
        </w:tabs>
        <w:ind w:left="851"/>
        <w:rPr>
          <w:sz w:val="24"/>
          <w:szCs w:val="24"/>
          <w:lang w:val="en-GB"/>
        </w:rPr>
      </w:pPr>
    </w:p>
    <w:p w14:paraId="3F5BFFDD" w14:textId="77777777" w:rsidR="008F2F8C" w:rsidRPr="006F5AE8" w:rsidRDefault="0042292D" w:rsidP="0042292D">
      <w:pPr>
        <w:tabs>
          <w:tab w:val="left" w:pos="851"/>
        </w:tabs>
        <w:rPr>
          <w:b/>
          <w:sz w:val="24"/>
          <w:szCs w:val="24"/>
          <w:lang w:val="en-GB"/>
        </w:rPr>
      </w:pPr>
      <w:r w:rsidRPr="006F5AE8">
        <w:rPr>
          <w:b/>
          <w:sz w:val="24"/>
          <w:szCs w:val="24"/>
          <w:lang w:val="en-GB"/>
        </w:rPr>
        <w:t>4.10</w:t>
      </w:r>
      <w:r w:rsidRPr="006F5AE8">
        <w:rPr>
          <w:b/>
          <w:sz w:val="24"/>
          <w:szCs w:val="24"/>
          <w:lang w:val="en-GB"/>
        </w:rPr>
        <w:tab/>
        <w:t>Legal status</w:t>
      </w:r>
    </w:p>
    <w:p w14:paraId="4773A743" w14:textId="0982C551" w:rsidR="00AD2E36" w:rsidRPr="006F5AE8" w:rsidRDefault="00B4050A" w:rsidP="00AD2E36">
      <w:pPr>
        <w:tabs>
          <w:tab w:val="left" w:pos="851"/>
        </w:tabs>
        <w:ind w:left="851"/>
        <w:rPr>
          <w:sz w:val="24"/>
          <w:szCs w:val="24"/>
          <w:lang w:val="en-GB"/>
        </w:rPr>
      </w:pPr>
      <w:r w:rsidRPr="006F5AE8">
        <w:rPr>
          <w:sz w:val="24"/>
          <w:szCs w:val="24"/>
          <w:lang w:val="en-GB"/>
        </w:rPr>
        <w:t>B</w:t>
      </w:r>
    </w:p>
    <w:p w14:paraId="3AE49759" w14:textId="77777777" w:rsidR="007C5D2A" w:rsidRPr="006F5AE8" w:rsidRDefault="007C5D2A" w:rsidP="003E0341">
      <w:pPr>
        <w:tabs>
          <w:tab w:val="left" w:pos="851"/>
        </w:tabs>
        <w:ind w:left="851"/>
        <w:rPr>
          <w:sz w:val="24"/>
          <w:szCs w:val="24"/>
          <w:lang w:val="en-GB"/>
        </w:rPr>
      </w:pPr>
    </w:p>
    <w:p w14:paraId="6E8EFB49" w14:textId="77777777" w:rsidR="00AD2E36" w:rsidRPr="006F5AE8" w:rsidRDefault="00AD2E36" w:rsidP="003E0341">
      <w:pPr>
        <w:tabs>
          <w:tab w:val="left" w:pos="851"/>
        </w:tabs>
        <w:ind w:left="851"/>
        <w:rPr>
          <w:sz w:val="24"/>
          <w:szCs w:val="24"/>
          <w:lang w:val="en-GB"/>
        </w:rPr>
      </w:pPr>
    </w:p>
    <w:p w14:paraId="7E4B0412" w14:textId="77777777" w:rsidR="007C5D2A" w:rsidRPr="006F5AE8" w:rsidRDefault="007C5D2A" w:rsidP="007C5D2A">
      <w:pPr>
        <w:tabs>
          <w:tab w:val="left" w:pos="851"/>
        </w:tabs>
        <w:rPr>
          <w:b/>
          <w:sz w:val="24"/>
          <w:szCs w:val="24"/>
          <w:lang w:val="en-GB"/>
        </w:rPr>
      </w:pPr>
      <w:r w:rsidRPr="006F5AE8">
        <w:rPr>
          <w:b/>
          <w:sz w:val="24"/>
          <w:szCs w:val="24"/>
          <w:lang w:val="en-GB"/>
        </w:rPr>
        <w:t>5.</w:t>
      </w:r>
      <w:r w:rsidRPr="006F5AE8">
        <w:rPr>
          <w:b/>
          <w:sz w:val="24"/>
          <w:szCs w:val="24"/>
          <w:lang w:val="en-GB"/>
        </w:rPr>
        <w:tab/>
        <w:t>PHARMACOLOGICAL PROPERTIES</w:t>
      </w:r>
    </w:p>
    <w:p w14:paraId="1EE81DC1" w14:textId="77777777" w:rsidR="007C5D2A" w:rsidRPr="006F5AE8" w:rsidRDefault="007C5D2A" w:rsidP="003E0341">
      <w:pPr>
        <w:tabs>
          <w:tab w:val="left" w:pos="851"/>
        </w:tabs>
        <w:ind w:left="851"/>
        <w:rPr>
          <w:sz w:val="24"/>
          <w:szCs w:val="24"/>
          <w:lang w:val="en-GB"/>
        </w:rPr>
      </w:pPr>
    </w:p>
    <w:p w14:paraId="49CA284A" w14:textId="77777777" w:rsidR="007C5D2A" w:rsidRPr="006F5AE8" w:rsidRDefault="007C5D2A" w:rsidP="007C5D2A">
      <w:pPr>
        <w:tabs>
          <w:tab w:val="left" w:pos="851"/>
        </w:tabs>
        <w:ind w:left="851" w:hanging="851"/>
        <w:rPr>
          <w:b/>
          <w:sz w:val="24"/>
          <w:szCs w:val="24"/>
          <w:lang w:val="en-GB"/>
        </w:rPr>
      </w:pPr>
      <w:r w:rsidRPr="006F5AE8">
        <w:rPr>
          <w:b/>
          <w:sz w:val="24"/>
          <w:szCs w:val="24"/>
          <w:lang w:val="en-GB"/>
        </w:rPr>
        <w:t>5.1</w:t>
      </w:r>
      <w:r w:rsidRPr="006F5AE8">
        <w:rPr>
          <w:b/>
          <w:sz w:val="24"/>
          <w:szCs w:val="24"/>
          <w:lang w:val="en-GB"/>
        </w:rPr>
        <w:tab/>
        <w:t>Pharmacodynamic properties</w:t>
      </w:r>
      <w:r w:rsidRPr="006F5AE8">
        <w:rPr>
          <w:b/>
          <w:sz w:val="24"/>
          <w:szCs w:val="24"/>
          <w:lang w:val="en-GB"/>
        </w:rPr>
        <w:tab/>
      </w:r>
    </w:p>
    <w:p w14:paraId="34F1DD8C" w14:textId="77777777" w:rsidR="0074039C" w:rsidRPr="006F5AE8" w:rsidRDefault="0074039C" w:rsidP="00B4050A">
      <w:pPr>
        <w:ind w:left="851"/>
        <w:rPr>
          <w:sz w:val="24"/>
          <w:szCs w:val="24"/>
          <w:lang w:val="en-US"/>
        </w:rPr>
      </w:pPr>
      <w:r w:rsidRPr="006F5AE8">
        <w:rPr>
          <w:sz w:val="24"/>
          <w:szCs w:val="24"/>
          <w:lang w:val="en-US"/>
        </w:rPr>
        <w:t>Pharmacotherapeutic group: Antithrombotic agents; Platelet aggregation inhibitors excl. heparin, ATC code: B01AC24.</w:t>
      </w:r>
    </w:p>
    <w:p w14:paraId="3DCD24EE" w14:textId="77777777" w:rsidR="0074039C" w:rsidRPr="006F5AE8" w:rsidRDefault="0074039C" w:rsidP="00B4050A">
      <w:pPr>
        <w:ind w:left="851"/>
        <w:rPr>
          <w:sz w:val="24"/>
          <w:szCs w:val="24"/>
          <w:lang w:val="en-US"/>
        </w:rPr>
      </w:pPr>
    </w:p>
    <w:p w14:paraId="020E9139" w14:textId="77777777" w:rsidR="0074039C" w:rsidRPr="006F5AE8" w:rsidRDefault="0074039C" w:rsidP="00B4050A">
      <w:pPr>
        <w:ind w:left="851"/>
        <w:rPr>
          <w:sz w:val="24"/>
          <w:szCs w:val="24"/>
          <w:u w:val="single"/>
          <w:lang w:val="en-US"/>
        </w:rPr>
      </w:pPr>
      <w:r w:rsidRPr="006F5AE8">
        <w:rPr>
          <w:sz w:val="24"/>
          <w:szCs w:val="24"/>
          <w:u w:val="single"/>
          <w:lang w:val="en-US"/>
        </w:rPr>
        <w:t>Mechanism of action</w:t>
      </w:r>
    </w:p>
    <w:p w14:paraId="03E5EFE8" w14:textId="77777777" w:rsidR="0074039C" w:rsidRPr="006F5AE8" w:rsidRDefault="0074039C" w:rsidP="00B4050A">
      <w:pPr>
        <w:ind w:left="851"/>
        <w:rPr>
          <w:sz w:val="24"/>
          <w:szCs w:val="24"/>
          <w:lang w:val="en-US"/>
        </w:rPr>
      </w:pPr>
      <w:r w:rsidRPr="006F5AE8">
        <w:rPr>
          <w:sz w:val="24"/>
          <w:szCs w:val="24"/>
          <w:lang w:val="en-US"/>
        </w:rPr>
        <w:t xml:space="preserve">Ticagrelor, a member of the chemical class </w:t>
      </w:r>
      <w:proofErr w:type="spellStart"/>
      <w:r w:rsidRPr="006F5AE8">
        <w:rPr>
          <w:sz w:val="24"/>
          <w:szCs w:val="24"/>
          <w:lang w:val="en-US"/>
        </w:rPr>
        <w:t>cyclopentyltriazolopyrimidines</w:t>
      </w:r>
      <w:proofErr w:type="spellEnd"/>
      <w:r w:rsidRPr="006F5AE8">
        <w:rPr>
          <w:sz w:val="24"/>
          <w:szCs w:val="24"/>
          <w:lang w:val="en-US"/>
        </w:rPr>
        <w:t xml:space="preserve"> (CPTP), is an oral, direct acting, selective and reversibly binding P2Y12 receptor antagonist that prevents ADP-mediated P2Y12 dependent platelet activation and aggregation. Ticagrelor does not prevent ADP binding but when bound to the P2Y12 receptor prevents ADP-induced signal transduction. Since platelets participate in the initiation and/or evolution of thrombotic complications of atherosclerotic disease, inhibition of platelet function has been shown to reduce the risk of CV events such as death, MI or stroke.</w:t>
      </w:r>
    </w:p>
    <w:p w14:paraId="2731539A" w14:textId="77777777" w:rsidR="0074039C" w:rsidRPr="006F5AE8" w:rsidRDefault="0074039C" w:rsidP="00B4050A">
      <w:pPr>
        <w:ind w:left="851"/>
        <w:rPr>
          <w:sz w:val="24"/>
          <w:szCs w:val="24"/>
          <w:lang w:val="en-US"/>
        </w:rPr>
      </w:pPr>
    </w:p>
    <w:p w14:paraId="2A610DE2" w14:textId="77777777" w:rsidR="0074039C" w:rsidRPr="006F5AE8" w:rsidRDefault="0074039C" w:rsidP="00B4050A">
      <w:pPr>
        <w:ind w:left="851"/>
        <w:rPr>
          <w:sz w:val="24"/>
          <w:szCs w:val="24"/>
          <w:lang w:val="en-US"/>
        </w:rPr>
      </w:pPr>
      <w:r w:rsidRPr="006F5AE8">
        <w:rPr>
          <w:sz w:val="24"/>
          <w:szCs w:val="24"/>
          <w:lang w:val="en-US"/>
        </w:rPr>
        <w:t xml:space="preserve">Ticagrelor also increases local endogenous adenosine levels by inhibiting the </w:t>
      </w:r>
      <w:proofErr w:type="spellStart"/>
      <w:r w:rsidRPr="006F5AE8">
        <w:rPr>
          <w:sz w:val="24"/>
          <w:szCs w:val="24"/>
          <w:lang w:val="en-US"/>
        </w:rPr>
        <w:t>equilibrative</w:t>
      </w:r>
      <w:proofErr w:type="spellEnd"/>
      <w:r w:rsidRPr="006F5AE8">
        <w:rPr>
          <w:sz w:val="24"/>
          <w:szCs w:val="24"/>
          <w:lang w:val="en-US"/>
        </w:rPr>
        <w:t xml:space="preserve"> nucleoside transporter-1 (ENT-1).</w:t>
      </w:r>
    </w:p>
    <w:p w14:paraId="685E649D" w14:textId="77777777" w:rsidR="0074039C" w:rsidRPr="006F5AE8" w:rsidRDefault="0074039C" w:rsidP="00B4050A">
      <w:pPr>
        <w:ind w:left="851"/>
        <w:rPr>
          <w:sz w:val="24"/>
          <w:szCs w:val="24"/>
          <w:lang w:val="en-US"/>
        </w:rPr>
      </w:pPr>
    </w:p>
    <w:p w14:paraId="0846C480" w14:textId="77777777" w:rsidR="0074039C" w:rsidRPr="006F5AE8" w:rsidRDefault="0074039C" w:rsidP="00B4050A">
      <w:pPr>
        <w:ind w:left="851"/>
        <w:rPr>
          <w:sz w:val="24"/>
          <w:szCs w:val="24"/>
          <w:lang w:val="en-US"/>
        </w:rPr>
      </w:pPr>
      <w:r w:rsidRPr="006F5AE8">
        <w:rPr>
          <w:sz w:val="24"/>
          <w:szCs w:val="24"/>
          <w:lang w:val="en-US"/>
        </w:rPr>
        <w:t xml:space="preserve">Ticagrelor has been documented to augment the following adenosine-induced effects in healthy subjects and in patients with ACS: vasodilation (measured by coronary blood flow increases in healthy volunteers and ACS patients; headache), inhibition of platelet function (in human whole blood in vitro) and </w:t>
      </w:r>
      <w:proofErr w:type="spellStart"/>
      <w:r w:rsidRPr="006F5AE8">
        <w:rPr>
          <w:sz w:val="24"/>
          <w:szCs w:val="24"/>
          <w:lang w:val="en-US"/>
        </w:rPr>
        <w:t>dyspnoea</w:t>
      </w:r>
      <w:proofErr w:type="spellEnd"/>
      <w:r w:rsidRPr="006F5AE8">
        <w:rPr>
          <w:sz w:val="24"/>
          <w:szCs w:val="24"/>
          <w:lang w:val="en-US"/>
        </w:rPr>
        <w:t>. However, a link between the observed increases in adenosine and clinical outcomes (e.g., morbidity-mortality) has not been clearly elucidated.</w:t>
      </w:r>
    </w:p>
    <w:p w14:paraId="1DED1C0C" w14:textId="77777777" w:rsidR="0074039C" w:rsidRPr="006F5AE8" w:rsidRDefault="0074039C" w:rsidP="00B4050A">
      <w:pPr>
        <w:ind w:left="851"/>
        <w:rPr>
          <w:sz w:val="24"/>
          <w:szCs w:val="24"/>
          <w:lang w:val="en-US"/>
        </w:rPr>
      </w:pPr>
    </w:p>
    <w:p w14:paraId="2C59BF05" w14:textId="77777777" w:rsidR="0074039C" w:rsidRPr="006F5AE8" w:rsidRDefault="0074039C" w:rsidP="00B4050A">
      <w:pPr>
        <w:ind w:left="851"/>
        <w:rPr>
          <w:sz w:val="24"/>
          <w:szCs w:val="24"/>
          <w:u w:val="single"/>
          <w:lang w:val="en-US"/>
        </w:rPr>
      </w:pPr>
      <w:r w:rsidRPr="006F5AE8">
        <w:rPr>
          <w:sz w:val="24"/>
          <w:szCs w:val="24"/>
          <w:u w:val="single"/>
          <w:lang w:val="en-US"/>
        </w:rPr>
        <w:t>Pharmacodynamic effects</w:t>
      </w:r>
    </w:p>
    <w:p w14:paraId="0A01E14F" w14:textId="77777777" w:rsidR="0074039C" w:rsidRPr="006F5AE8" w:rsidRDefault="0074039C" w:rsidP="00B4050A">
      <w:pPr>
        <w:ind w:left="851"/>
        <w:rPr>
          <w:i/>
          <w:iCs/>
          <w:sz w:val="24"/>
          <w:szCs w:val="24"/>
          <w:lang w:val="en-US"/>
        </w:rPr>
      </w:pPr>
      <w:r w:rsidRPr="006F5AE8">
        <w:rPr>
          <w:i/>
          <w:iCs/>
          <w:sz w:val="24"/>
          <w:szCs w:val="24"/>
          <w:lang w:val="en-US"/>
        </w:rPr>
        <w:t>Onset of action</w:t>
      </w:r>
    </w:p>
    <w:p w14:paraId="052D59E9" w14:textId="77777777" w:rsidR="0074039C" w:rsidRPr="006F5AE8" w:rsidRDefault="0074039C" w:rsidP="00B4050A">
      <w:pPr>
        <w:ind w:left="851"/>
        <w:rPr>
          <w:sz w:val="24"/>
          <w:szCs w:val="24"/>
          <w:lang w:val="en-US"/>
        </w:rPr>
      </w:pPr>
      <w:r w:rsidRPr="006F5AE8">
        <w:rPr>
          <w:sz w:val="24"/>
          <w:szCs w:val="24"/>
          <w:lang w:val="en-US"/>
        </w:rPr>
        <w:t>In patients with stable coronary artery disease (CAD) on ASA, ticagrelor demonstrates a rapid onset of pharmacological effect as demonstrated by a mean inhibition of platelet aggregation (IPA) for ticagrelor at 0.5 hours after 180 mg loading dose of about 41%, with the maximum IPA effect of 89% by 2-4 hours post dose, and maintained between 2-8 hours. 90% of patients had final extent IPA&gt;70% by 2 hours post dose.</w:t>
      </w:r>
    </w:p>
    <w:p w14:paraId="37DEFAB0" w14:textId="77777777" w:rsidR="0074039C" w:rsidRPr="006F5AE8" w:rsidRDefault="0074039C" w:rsidP="00B4050A">
      <w:pPr>
        <w:ind w:left="851"/>
        <w:rPr>
          <w:sz w:val="24"/>
          <w:szCs w:val="24"/>
          <w:lang w:val="en-US"/>
        </w:rPr>
      </w:pPr>
    </w:p>
    <w:p w14:paraId="004410E0" w14:textId="77777777" w:rsidR="0074039C" w:rsidRPr="006F5AE8" w:rsidRDefault="0074039C" w:rsidP="00B4050A">
      <w:pPr>
        <w:ind w:left="851"/>
        <w:rPr>
          <w:i/>
          <w:iCs/>
          <w:sz w:val="24"/>
          <w:szCs w:val="24"/>
          <w:lang w:val="en-US"/>
        </w:rPr>
      </w:pPr>
      <w:r w:rsidRPr="006F5AE8">
        <w:rPr>
          <w:i/>
          <w:iCs/>
          <w:sz w:val="24"/>
          <w:szCs w:val="24"/>
          <w:lang w:val="en-US"/>
        </w:rPr>
        <w:t>Offset of action</w:t>
      </w:r>
    </w:p>
    <w:p w14:paraId="4E481A2C" w14:textId="77777777" w:rsidR="0074039C" w:rsidRPr="006F5AE8" w:rsidRDefault="0074039C" w:rsidP="00B4050A">
      <w:pPr>
        <w:ind w:left="851"/>
        <w:rPr>
          <w:sz w:val="24"/>
          <w:szCs w:val="24"/>
          <w:lang w:val="en-US"/>
        </w:rPr>
      </w:pPr>
      <w:r w:rsidRPr="006F5AE8">
        <w:rPr>
          <w:sz w:val="24"/>
          <w:szCs w:val="24"/>
          <w:lang w:val="en-US"/>
        </w:rPr>
        <w:t>If a CABG procedure is planned, ticagrelor bleeding risk is increased compared to clopidogrel when discontinued within less than 96 hours prior to procedure.</w:t>
      </w:r>
    </w:p>
    <w:p w14:paraId="3F20D7B0" w14:textId="77777777" w:rsidR="0074039C" w:rsidRPr="006F5AE8" w:rsidRDefault="0074039C" w:rsidP="00B4050A">
      <w:pPr>
        <w:ind w:left="851"/>
        <w:rPr>
          <w:sz w:val="24"/>
          <w:szCs w:val="24"/>
          <w:lang w:val="en-US"/>
        </w:rPr>
      </w:pPr>
    </w:p>
    <w:p w14:paraId="69FF4AA9" w14:textId="77777777" w:rsidR="0074039C" w:rsidRPr="006F5AE8" w:rsidRDefault="0074039C" w:rsidP="00B4050A">
      <w:pPr>
        <w:ind w:left="851"/>
        <w:rPr>
          <w:i/>
          <w:iCs/>
          <w:sz w:val="24"/>
          <w:szCs w:val="24"/>
          <w:lang w:val="en-US"/>
        </w:rPr>
      </w:pPr>
      <w:r w:rsidRPr="006F5AE8">
        <w:rPr>
          <w:i/>
          <w:iCs/>
          <w:sz w:val="24"/>
          <w:szCs w:val="24"/>
          <w:lang w:val="en-US"/>
        </w:rPr>
        <w:t>Switching data</w:t>
      </w:r>
    </w:p>
    <w:p w14:paraId="01E0196E" w14:textId="77777777" w:rsidR="0074039C" w:rsidRPr="006F5AE8" w:rsidRDefault="0074039C" w:rsidP="00B4050A">
      <w:pPr>
        <w:ind w:left="851"/>
        <w:rPr>
          <w:sz w:val="24"/>
          <w:szCs w:val="24"/>
          <w:lang w:val="en-US"/>
        </w:rPr>
      </w:pPr>
      <w:r w:rsidRPr="006F5AE8">
        <w:rPr>
          <w:sz w:val="24"/>
          <w:szCs w:val="24"/>
          <w:lang w:val="en-US"/>
        </w:rPr>
        <w:t>Switching from clopidogrel 75 mg to ticagrelor 90 mg twice daily results in an absolute IPA increase of 26.4% and switching from ticagrelor to clopidogrel results in an absolute IPA decrease of 24.5%. Patients can be switched from clopidogrel to ticagrelor without any interruption of antiplatelet effect (see section 4.2).</w:t>
      </w:r>
    </w:p>
    <w:p w14:paraId="0D3C30E2" w14:textId="77777777" w:rsidR="0074039C" w:rsidRPr="006F5AE8" w:rsidRDefault="0074039C" w:rsidP="00B4050A">
      <w:pPr>
        <w:ind w:left="851"/>
        <w:rPr>
          <w:sz w:val="24"/>
          <w:szCs w:val="24"/>
          <w:lang w:val="en-US"/>
        </w:rPr>
      </w:pPr>
    </w:p>
    <w:p w14:paraId="592C101D" w14:textId="77777777" w:rsidR="0074039C" w:rsidRPr="006F5AE8" w:rsidRDefault="0074039C" w:rsidP="00B4050A">
      <w:pPr>
        <w:ind w:left="851"/>
        <w:rPr>
          <w:sz w:val="24"/>
          <w:szCs w:val="24"/>
          <w:u w:val="single"/>
          <w:lang w:val="en-US"/>
        </w:rPr>
      </w:pPr>
      <w:r w:rsidRPr="006F5AE8">
        <w:rPr>
          <w:sz w:val="24"/>
          <w:szCs w:val="24"/>
          <w:u w:val="single"/>
          <w:lang w:val="en-US"/>
        </w:rPr>
        <w:t>Clinical efficacy and safety</w:t>
      </w:r>
    </w:p>
    <w:p w14:paraId="0A731A58" w14:textId="77777777" w:rsidR="0074039C" w:rsidRPr="006F5AE8" w:rsidRDefault="0074039C" w:rsidP="00B4050A">
      <w:pPr>
        <w:ind w:left="851"/>
        <w:rPr>
          <w:sz w:val="24"/>
          <w:szCs w:val="24"/>
          <w:lang w:val="en-US"/>
        </w:rPr>
      </w:pPr>
      <w:r w:rsidRPr="006F5AE8">
        <w:rPr>
          <w:sz w:val="24"/>
          <w:szCs w:val="24"/>
          <w:lang w:val="en-US"/>
        </w:rPr>
        <w:t>The clinical evidence for the efficacy and safety of ticagrelor is derived from two phase 3 trials:</w:t>
      </w:r>
    </w:p>
    <w:p w14:paraId="7CC66926" w14:textId="77777777" w:rsidR="0074039C" w:rsidRPr="007D5DEA" w:rsidRDefault="0074039C" w:rsidP="007D5DEA">
      <w:pPr>
        <w:pStyle w:val="Listeafsnit"/>
        <w:numPr>
          <w:ilvl w:val="0"/>
          <w:numId w:val="15"/>
        </w:numPr>
        <w:tabs>
          <w:tab w:val="clear" w:pos="567"/>
        </w:tabs>
        <w:ind w:left="1276" w:hanging="425"/>
        <w:rPr>
          <w:sz w:val="24"/>
          <w:szCs w:val="24"/>
        </w:rPr>
      </w:pPr>
      <w:r w:rsidRPr="007D5DEA">
        <w:rPr>
          <w:sz w:val="24"/>
          <w:szCs w:val="24"/>
        </w:rPr>
        <w:t>The PLATO [</w:t>
      </w:r>
      <w:proofErr w:type="spellStart"/>
      <w:r w:rsidRPr="007D5DEA">
        <w:rPr>
          <w:sz w:val="24"/>
          <w:szCs w:val="24"/>
        </w:rPr>
        <w:t>PLATelet</w:t>
      </w:r>
      <w:proofErr w:type="spellEnd"/>
      <w:r w:rsidRPr="007D5DEA">
        <w:rPr>
          <w:sz w:val="24"/>
          <w:szCs w:val="24"/>
        </w:rPr>
        <w:t xml:space="preserve"> Inhibition and Patient Outcomes] study, a comparison of ticagrelor to clopidogrel, both given in combination with ASA and other standard therapy.</w:t>
      </w:r>
    </w:p>
    <w:p w14:paraId="62BCC612" w14:textId="77777777" w:rsidR="0074039C" w:rsidRPr="007D5DEA" w:rsidRDefault="0074039C" w:rsidP="007D5DEA">
      <w:pPr>
        <w:pStyle w:val="Listeafsnit"/>
        <w:numPr>
          <w:ilvl w:val="0"/>
          <w:numId w:val="15"/>
        </w:numPr>
        <w:tabs>
          <w:tab w:val="clear" w:pos="567"/>
        </w:tabs>
        <w:ind w:left="1276" w:hanging="425"/>
        <w:rPr>
          <w:sz w:val="24"/>
          <w:szCs w:val="24"/>
        </w:rPr>
      </w:pPr>
      <w:r w:rsidRPr="007D5DEA">
        <w:rPr>
          <w:sz w:val="24"/>
          <w:szCs w:val="24"/>
        </w:rPr>
        <w:t>The PEGASUS TIMI-54 [</w:t>
      </w:r>
      <w:proofErr w:type="spellStart"/>
      <w:r w:rsidRPr="007D5DEA">
        <w:rPr>
          <w:sz w:val="24"/>
          <w:szCs w:val="24"/>
        </w:rPr>
        <w:t>PrEvention</w:t>
      </w:r>
      <w:proofErr w:type="spellEnd"/>
      <w:r w:rsidRPr="007D5DEA">
        <w:rPr>
          <w:sz w:val="24"/>
          <w:szCs w:val="24"/>
        </w:rPr>
        <w:t xml:space="preserve"> with </w:t>
      </w:r>
      <w:proofErr w:type="spellStart"/>
      <w:r w:rsidRPr="007D5DEA">
        <w:rPr>
          <w:sz w:val="24"/>
          <w:szCs w:val="24"/>
        </w:rPr>
        <w:t>TicaGrelor</w:t>
      </w:r>
      <w:proofErr w:type="spellEnd"/>
      <w:r w:rsidRPr="007D5DEA">
        <w:rPr>
          <w:sz w:val="24"/>
          <w:szCs w:val="24"/>
        </w:rPr>
        <w:t xml:space="preserve"> of </w:t>
      </w:r>
      <w:proofErr w:type="spellStart"/>
      <w:r w:rsidRPr="007D5DEA">
        <w:rPr>
          <w:sz w:val="24"/>
          <w:szCs w:val="24"/>
        </w:rPr>
        <w:t>SecondAry</w:t>
      </w:r>
      <w:proofErr w:type="spellEnd"/>
      <w:r w:rsidRPr="007D5DEA">
        <w:rPr>
          <w:sz w:val="24"/>
          <w:szCs w:val="24"/>
        </w:rPr>
        <w:t xml:space="preserve"> Thrombotic Events in </w:t>
      </w:r>
      <w:proofErr w:type="spellStart"/>
      <w:r w:rsidRPr="007D5DEA">
        <w:rPr>
          <w:sz w:val="24"/>
          <w:szCs w:val="24"/>
        </w:rPr>
        <w:t>High-RiSk</w:t>
      </w:r>
      <w:proofErr w:type="spellEnd"/>
      <w:r w:rsidRPr="007D5DEA">
        <w:rPr>
          <w:sz w:val="24"/>
          <w:szCs w:val="24"/>
        </w:rPr>
        <w:t xml:space="preserve"> </w:t>
      </w:r>
      <w:proofErr w:type="spellStart"/>
      <w:r w:rsidRPr="007D5DEA">
        <w:rPr>
          <w:sz w:val="24"/>
          <w:szCs w:val="24"/>
        </w:rPr>
        <w:t>AcUte</w:t>
      </w:r>
      <w:proofErr w:type="spellEnd"/>
      <w:r w:rsidRPr="007D5DEA">
        <w:rPr>
          <w:sz w:val="24"/>
          <w:szCs w:val="24"/>
        </w:rPr>
        <w:t xml:space="preserve"> Coronary Syndrome Patients] study, a comparison of ticagrelor combined with ASA to ASA therapy alone.</w:t>
      </w:r>
    </w:p>
    <w:p w14:paraId="7F0796B3" w14:textId="77777777" w:rsidR="0074039C" w:rsidRPr="006F5AE8" w:rsidRDefault="0074039C" w:rsidP="00B4050A">
      <w:pPr>
        <w:ind w:left="851"/>
        <w:rPr>
          <w:sz w:val="24"/>
          <w:szCs w:val="24"/>
          <w:lang w:val="en-US"/>
        </w:rPr>
      </w:pPr>
    </w:p>
    <w:p w14:paraId="612D3C06" w14:textId="77777777" w:rsidR="0074039C" w:rsidRPr="006F5AE8" w:rsidRDefault="0074039C" w:rsidP="00B4050A">
      <w:pPr>
        <w:ind w:left="851"/>
        <w:rPr>
          <w:i/>
          <w:iCs/>
          <w:sz w:val="24"/>
          <w:szCs w:val="24"/>
          <w:u w:val="single"/>
          <w:lang w:val="en-US"/>
        </w:rPr>
      </w:pPr>
      <w:r w:rsidRPr="006F5AE8">
        <w:rPr>
          <w:i/>
          <w:iCs/>
          <w:sz w:val="24"/>
          <w:szCs w:val="24"/>
          <w:u w:val="single"/>
          <w:lang w:val="en-US"/>
        </w:rPr>
        <w:t>PLATO study (Acute Coronary Syndromes)</w:t>
      </w:r>
    </w:p>
    <w:p w14:paraId="1F649AB5" w14:textId="77777777" w:rsidR="0074039C" w:rsidRPr="006F5AE8" w:rsidRDefault="0074039C" w:rsidP="00B4050A">
      <w:pPr>
        <w:ind w:left="851"/>
        <w:rPr>
          <w:sz w:val="24"/>
          <w:szCs w:val="24"/>
          <w:lang w:val="en-US"/>
        </w:rPr>
      </w:pPr>
      <w:r w:rsidRPr="006F5AE8">
        <w:rPr>
          <w:sz w:val="24"/>
          <w:szCs w:val="24"/>
          <w:lang w:val="en-US"/>
        </w:rPr>
        <w:t xml:space="preserve">The PLATO study included 18,624 patients who presented within 24 hours of onset of symptoms of unstable angina (UA), </w:t>
      </w:r>
      <w:proofErr w:type="gramStart"/>
      <w:r w:rsidRPr="006F5AE8">
        <w:rPr>
          <w:sz w:val="24"/>
          <w:szCs w:val="24"/>
          <w:lang w:val="en-US"/>
        </w:rPr>
        <w:t>non ST</w:t>
      </w:r>
      <w:proofErr w:type="gramEnd"/>
      <w:r w:rsidRPr="006F5AE8">
        <w:rPr>
          <w:sz w:val="24"/>
          <w:szCs w:val="24"/>
          <w:lang w:val="en-US"/>
        </w:rPr>
        <w:t xml:space="preserve"> elevation myocardial infarction (NSTEMI) or ST elevation myocardial infarction (STEMI), and were initially managed medically, or with percutaneous coronary intervention (PCI), or with CABG.</w:t>
      </w:r>
    </w:p>
    <w:p w14:paraId="718FD423" w14:textId="77777777" w:rsidR="0074039C" w:rsidRPr="006F5AE8" w:rsidRDefault="0074039C" w:rsidP="00B4050A">
      <w:pPr>
        <w:ind w:left="851"/>
        <w:rPr>
          <w:sz w:val="24"/>
          <w:szCs w:val="24"/>
          <w:lang w:val="en-US"/>
        </w:rPr>
      </w:pPr>
    </w:p>
    <w:p w14:paraId="35CA405F" w14:textId="77777777" w:rsidR="0074039C" w:rsidRPr="006F5AE8" w:rsidRDefault="0074039C" w:rsidP="00B4050A">
      <w:pPr>
        <w:ind w:left="851"/>
        <w:rPr>
          <w:i/>
          <w:iCs/>
          <w:sz w:val="24"/>
          <w:szCs w:val="24"/>
          <w:lang w:val="en-US"/>
        </w:rPr>
      </w:pPr>
      <w:r w:rsidRPr="006F5AE8">
        <w:rPr>
          <w:i/>
          <w:iCs/>
          <w:sz w:val="24"/>
          <w:szCs w:val="24"/>
          <w:lang w:val="en-US"/>
        </w:rPr>
        <w:t>Clinical efficacy</w:t>
      </w:r>
    </w:p>
    <w:p w14:paraId="2B144784" w14:textId="77777777" w:rsidR="0074039C" w:rsidRPr="006F5AE8" w:rsidRDefault="0074039C" w:rsidP="00B4050A">
      <w:pPr>
        <w:ind w:left="851"/>
        <w:rPr>
          <w:sz w:val="24"/>
          <w:szCs w:val="24"/>
          <w:lang w:val="en-US"/>
        </w:rPr>
      </w:pPr>
      <w:r w:rsidRPr="006F5AE8">
        <w:rPr>
          <w:sz w:val="24"/>
          <w:szCs w:val="24"/>
          <w:lang w:val="en-US"/>
        </w:rPr>
        <w:t>On a background of daily ASA, ticagrelor 90 mg twice daily showed superiority to 75 mg daily clopidogrel in preventing the composite endpoint of CV death, MI or stroke, with the difference driven by CV death and MI. Patients received a 300 mg loading dose of clopidogrel (600 mg possible if having PCI) or 180 mg of ticagrelor.</w:t>
      </w:r>
    </w:p>
    <w:p w14:paraId="440865F9" w14:textId="77777777" w:rsidR="0074039C" w:rsidRPr="006F5AE8" w:rsidRDefault="0074039C" w:rsidP="00B4050A">
      <w:pPr>
        <w:ind w:left="851"/>
        <w:rPr>
          <w:sz w:val="24"/>
          <w:szCs w:val="24"/>
          <w:lang w:val="en-US"/>
        </w:rPr>
      </w:pPr>
    </w:p>
    <w:p w14:paraId="113CE531" w14:textId="77777777" w:rsidR="0074039C" w:rsidRPr="006F5AE8" w:rsidRDefault="0074039C" w:rsidP="00B4050A">
      <w:pPr>
        <w:ind w:left="851"/>
        <w:rPr>
          <w:sz w:val="24"/>
          <w:szCs w:val="24"/>
          <w:lang w:val="en-US"/>
        </w:rPr>
      </w:pPr>
      <w:r w:rsidRPr="006F5AE8">
        <w:rPr>
          <w:sz w:val="24"/>
          <w:szCs w:val="24"/>
          <w:lang w:val="en-US"/>
        </w:rPr>
        <w:t>The result appeared early (absolute risk reduction [ARR] 0.6% and relative risk reduction [RRR] of 12% at 30 days), with a constant treatment effect over the entire 12-month period, yielding ARR 1.9% per year with RRR of 16%. This suggests it is appropriate to treat patients with ticagrelor 90 mg twice daily for 12 months (see section 4.2). Treating 54 ACS patients with ticagrelor instead of clopidogrel will prevent 1 atherothrombotic event; treating 91 will prevent 1 CV death (see Figure 1 and Table 4).</w:t>
      </w:r>
    </w:p>
    <w:p w14:paraId="68313335" w14:textId="77777777" w:rsidR="0074039C" w:rsidRPr="006F5AE8" w:rsidRDefault="0074039C" w:rsidP="00B4050A">
      <w:pPr>
        <w:ind w:left="851"/>
        <w:rPr>
          <w:sz w:val="24"/>
          <w:szCs w:val="24"/>
          <w:lang w:val="en-US"/>
        </w:rPr>
      </w:pPr>
    </w:p>
    <w:p w14:paraId="4286711D" w14:textId="77777777" w:rsidR="0074039C" w:rsidRPr="006F5AE8" w:rsidRDefault="0074039C" w:rsidP="00B4050A">
      <w:pPr>
        <w:ind w:left="851"/>
        <w:rPr>
          <w:sz w:val="24"/>
          <w:szCs w:val="24"/>
          <w:lang w:val="en-US"/>
        </w:rPr>
      </w:pPr>
      <w:r w:rsidRPr="006F5AE8">
        <w:rPr>
          <w:sz w:val="24"/>
          <w:szCs w:val="24"/>
          <w:lang w:val="en-US"/>
        </w:rPr>
        <w:t xml:space="preserve">The treatment effect of ticagrelor over clopidogrel appears consistent across many subgroups, including weight; sex; medical history of diabetes mellitus, transient </w:t>
      </w:r>
      <w:proofErr w:type="spellStart"/>
      <w:r w:rsidRPr="006F5AE8">
        <w:rPr>
          <w:sz w:val="24"/>
          <w:szCs w:val="24"/>
          <w:lang w:val="en-US"/>
        </w:rPr>
        <w:t>ischaemic</w:t>
      </w:r>
      <w:proofErr w:type="spellEnd"/>
      <w:r w:rsidRPr="006F5AE8">
        <w:rPr>
          <w:sz w:val="24"/>
          <w:szCs w:val="24"/>
          <w:lang w:val="en-US"/>
        </w:rPr>
        <w:t xml:space="preserve"> attack or non-</w:t>
      </w:r>
      <w:proofErr w:type="spellStart"/>
      <w:r w:rsidRPr="006F5AE8">
        <w:rPr>
          <w:sz w:val="24"/>
          <w:szCs w:val="24"/>
          <w:lang w:val="en-US"/>
        </w:rPr>
        <w:t>haemorrhagic</w:t>
      </w:r>
      <w:proofErr w:type="spellEnd"/>
      <w:r w:rsidRPr="006F5AE8">
        <w:rPr>
          <w:sz w:val="24"/>
          <w:szCs w:val="24"/>
          <w:lang w:val="en-US"/>
        </w:rPr>
        <w:t xml:space="preserve"> stroke, or </w:t>
      </w:r>
      <w:proofErr w:type="spellStart"/>
      <w:r w:rsidRPr="006F5AE8">
        <w:rPr>
          <w:sz w:val="24"/>
          <w:szCs w:val="24"/>
          <w:lang w:val="en-US"/>
        </w:rPr>
        <w:t>revascularisation</w:t>
      </w:r>
      <w:proofErr w:type="spellEnd"/>
      <w:r w:rsidRPr="006F5AE8">
        <w:rPr>
          <w:sz w:val="24"/>
          <w:szCs w:val="24"/>
          <w:lang w:val="en-US"/>
        </w:rPr>
        <w:t xml:space="preserve">; concomitant therapies including heparins, </w:t>
      </w:r>
      <w:proofErr w:type="spellStart"/>
      <w:r w:rsidRPr="006F5AE8">
        <w:rPr>
          <w:sz w:val="24"/>
          <w:szCs w:val="24"/>
          <w:lang w:val="en-US"/>
        </w:rPr>
        <w:t>GpIIb</w:t>
      </w:r>
      <w:proofErr w:type="spellEnd"/>
      <w:r w:rsidRPr="006F5AE8">
        <w:rPr>
          <w:sz w:val="24"/>
          <w:szCs w:val="24"/>
          <w:lang w:val="en-US"/>
        </w:rPr>
        <w:t xml:space="preserve">/IIIa inhibitors and proton pump inhibitors (see section 4.5); final index event diagnosis (STEMI, NSTEMI or UA); and treatment pathway intended at </w:t>
      </w:r>
      <w:proofErr w:type="spellStart"/>
      <w:r w:rsidRPr="006F5AE8">
        <w:rPr>
          <w:sz w:val="24"/>
          <w:szCs w:val="24"/>
          <w:lang w:val="en-US"/>
        </w:rPr>
        <w:t>randomisation</w:t>
      </w:r>
      <w:proofErr w:type="spellEnd"/>
      <w:r w:rsidRPr="006F5AE8">
        <w:rPr>
          <w:sz w:val="24"/>
          <w:szCs w:val="24"/>
          <w:lang w:val="en-US"/>
        </w:rPr>
        <w:t xml:space="preserve"> (invasive or medical).</w:t>
      </w:r>
    </w:p>
    <w:p w14:paraId="3AAE3EDA" w14:textId="77777777" w:rsidR="0074039C" w:rsidRPr="006F5AE8" w:rsidRDefault="0074039C" w:rsidP="00B4050A">
      <w:pPr>
        <w:ind w:left="851"/>
        <w:rPr>
          <w:sz w:val="24"/>
          <w:szCs w:val="24"/>
          <w:lang w:val="en-US"/>
        </w:rPr>
      </w:pPr>
    </w:p>
    <w:p w14:paraId="49ADF874" w14:textId="77777777" w:rsidR="0074039C" w:rsidRPr="006F5AE8" w:rsidRDefault="0074039C" w:rsidP="00B4050A">
      <w:pPr>
        <w:ind w:left="851"/>
        <w:rPr>
          <w:sz w:val="24"/>
          <w:szCs w:val="24"/>
          <w:lang w:val="en-US"/>
        </w:rPr>
      </w:pPr>
      <w:r w:rsidRPr="006F5AE8">
        <w:rPr>
          <w:sz w:val="24"/>
          <w:szCs w:val="24"/>
          <w:lang w:val="en-US"/>
        </w:rPr>
        <w:t xml:space="preserve">A weakly significant treatment interaction was observed with region whereby the hazard ratio (HR) for the primary endpoint </w:t>
      </w:r>
      <w:proofErr w:type="spellStart"/>
      <w:r w:rsidRPr="006F5AE8">
        <w:rPr>
          <w:sz w:val="24"/>
          <w:szCs w:val="24"/>
          <w:lang w:val="en-US"/>
        </w:rPr>
        <w:t>favours</w:t>
      </w:r>
      <w:proofErr w:type="spellEnd"/>
      <w:r w:rsidRPr="006F5AE8">
        <w:rPr>
          <w:sz w:val="24"/>
          <w:szCs w:val="24"/>
          <w:lang w:val="en-US"/>
        </w:rPr>
        <w:t xml:space="preserve"> ticagrelor in the rest of world but </w:t>
      </w:r>
      <w:proofErr w:type="spellStart"/>
      <w:r w:rsidRPr="006F5AE8">
        <w:rPr>
          <w:sz w:val="24"/>
          <w:szCs w:val="24"/>
          <w:lang w:val="en-US"/>
        </w:rPr>
        <w:t>favours</w:t>
      </w:r>
      <w:proofErr w:type="spellEnd"/>
      <w:r w:rsidRPr="006F5AE8">
        <w:rPr>
          <w:sz w:val="24"/>
          <w:szCs w:val="24"/>
          <w:lang w:val="en-US"/>
        </w:rPr>
        <w:t xml:space="preserve"> clopidogrel in North America, which represented approximately 10% of the overall population studied (interaction p-value=0.045). Exploratory analyses suggest a possible association with ASA dose such that reduced efficacy was observed with ticagrelor with increasing ASA doses. Chronic daily ASA doses to accompany ticagrelor should be 75-150 mg (see sections 4.2 and 4.4).</w:t>
      </w:r>
    </w:p>
    <w:p w14:paraId="32214A04" w14:textId="77777777" w:rsidR="0074039C" w:rsidRPr="006F5AE8" w:rsidRDefault="0074039C" w:rsidP="00B4050A">
      <w:pPr>
        <w:ind w:left="851"/>
        <w:rPr>
          <w:sz w:val="24"/>
          <w:szCs w:val="24"/>
          <w:lang w:val="en-US"/>
        </w:rPr>
      </w:pPr>
    </w:p>
    <w:p w14:paraId="4221470E" w14:textId="77777777" w:rsidR="0074039C" w:rsidRPr="006F5AE8" w:rsidRDefault="0074039C" w:rsidP="00B4050A">
      <w:pPr>
        <w:ind w:left="851"/>
        <w:rPr>
          <w:sz w:val="24"/>
          <w:szCs w:val="24"/>
          <w:lang w:val="en-US"/>
        </w:rPr>
      </w:pPr>
      <w:r w:rsidRPr="006F5AE8">
        <w:rPr>
          <w:sz w:val="24"/>
          <w:szCs w:val="24"/>
          <w:lang w:val="en-US"/>
        </w:rPr>
        <w:t>Figure 1 shows the estimate of the risk to the first occurrence of any event in the composite efficacy endpoint.</w:t>
      </w:r>
    </w:p>
    <w:p w14:paraId="11AFC87E" w14:textId="77777777" w:rsidR="0074039C" w:rsidRPr="006F5AE8" w:rsidRDefault="0074039C" w:rsidP="00B4050A">
      <w:pPr>
        <w:ind w:left="851"/>
        <w:rPr>
          <w:sz w:val="24"/>
          <w:szCs w:val="24"/>
          <w:lang w:val="en-US"/>
        </w:rPr>
      </w:pPr>
    </w:p>
    <w:p w14:paraId="1FAB4C89" w14:textId="77777777" w:rsidR="0074039C" w:rsidRPr="006F5AE8" w:rsidRDefault="0074039C" w:rsidP="0074039C">
      <w:pPr>
        <w:pStyle w:val="Brdtekst"/>
        <w:kinsoku w:val="0"/>
        <w:overflowPunct w:val="0"/>
        <w:ind w:right="1037"/>
        <w:rPr>
          <w:color w:val="auto"/>
          <w:sz w:val="24"/>
          <w:szCs w:val="24"/>
          <w:u w:val="single"/>
        </w:rPr>
      </w:pPr>
      <w:r w:rsidRPr="006F5AE8">
        <w:rPr>
          <w:color w:val="auto"/>
          <w:sz w:val="24"/>
          <w:szCs w:val="24"/>
          <w:u w:val="single"/>
        </w:rPr>
        <w:t>Figure 1 – Analysis of primary clinical composite endpoint of CV death, MI and stroke (PLATO)</w:t>
      </w:r>
    </w:p>
    <w:p w14:paraId="09A3F78B" w14:textId="463B9786" w:rsidR="0074039C" w:rsidRPr="006F5AE8" w:rsidRDefault="0074039C" w:rsidP="0074039C">
      <w:pPr>
        <w:pStyle w:val="Brdtekst"/>
        <w:kinsoku w:val="0"/>
        <w:overflowPunct w:val="0"/>
        <w:rPr>
          <w:b/>
          <w:bCs/>
          <w:color w:val="auto"/>
          <w:sz w:val="24"/>
          <w:szCs w:val="24"/>
        </w:rPr>
      </w:pPr>
      <w:r w:rsidRPr="006F5AE8">
        <w:rPr>
          <w:b/>
          <w:noProof/>
          <w:color w:val="auto"/>
          <w:sz w:val="24"/>
          <w:szCs w:val="24"/>
          <w:lang w:eastAsia="en-GB"/>
        </w:rPr>
        <w:drawing>
          <wp:inline distT="0" distB="0" distL="0" distR="0" wp14:anchorId="167F2AF5" wp14:editId="3D50222B">
            <wp:extent cx="5646420" cy="4114800"/>
            <wp:effectExtent l="0" t="0" r="0" b="0"/>
            <wp:docPr id="3" name="Billede 3"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6420" cy="4114800"/>
                    </a:xfrm>
                    <a:prstGeom prst="rect">
                      <a:avLst/>
                    </a:prstGeom>
                    <a:noFill/>
                    <a:ln>
                      <a:noFill/>
                    </a:ln>
                  </pic:spPr>
                </pic:pic>
              </a:graphicData>
            </a:graphic>
          </wp:inline>
        </w:drawing>
      </w:r>
    </w:p>
    <w:p w14:paraId="725C45D1" w14:textId="77777777" w:rsidR="0074039C" w:rsidRPr="006F5AE8" w:rsidRDefault="0074039C" w:rsidP="0074039C">
      <w:pPr>
        <w:rPr>
          <w:sz w:val="24"/>
          <w:szCs w:val="24"/>
        </w:rPr>
      </w:pPr>
    </w:p>
    <w:p w14:paraId="58EF5737" w14:textId="77777777" w:rsidR="0074039C" w:rsidRPr="006F5AE8" w:rsidRDefault="0074039C" w:rsidP="00B4050A">
      <w:pPr>
        <w:ind w:left="851"/>
        <w:rPr>
          <w:sz w:val="24"/>
          <w:szCs w:val="24"/>
          <w:lang w:val="en-US"/>
        </w:rPr>
      </w:pPr>
      <w:r w:rsidRPr="006F5AE8">
        <w:rPr>
          <w:sz w:val="24"/>
          <w:szCs w:val="24"/>
          <w:lang w:val="en-US"/>
        </w:rPr>
        <w:t>Ticagrelor reduced the occurrence of the primary composite endpoint compared to clopidogrel in both the UA/NSTEMI and STEMI population (Table 4). Thus, ticagrelor 90 mg twice daily together with low-dose ASA can be used in patients with ACS (unstable angina, non-ST elevation Myocardial Infarction [NSTEMI] or ST elevation Myocardial Infarction [STEMI]); including patients managed medically, and those who are managed with percutaneous coronary intervention (PCI) or coronary artery by-pass grafting (CABG).</w:t>
      </w:r>
    </w:p>
    <w:p w14:paraId="70F1AF38" w14:textId="77777777" w:rsidR="0074039C" w:rsidRPr="006F5AE8" w:rsidRDefault="0074039C" w:rsidP="00B4050A">
      <w:pPr>
        <w:ind w:left="851"/>
        <w:rPr>
          <w:sz w:val="24"/>
          <w:szCs w:val="24"/>
          <w:lang w:val="en-US"/>
        </w:rPr>
      </w:pPr>
    </w:p>
    <w:p w14:paraId="02DBFA2C" w14:textId="77777777" w:rsidR="0074039C" w:rsidRPr="006F5AE8" w:rsidRDefault="0074039C" w:rsidP="0074039C">
      <w:pPr>
        <w:rPr>
          <w:i/>
          <w:iCs/>
          <w:sz w:val="24"/>
          <w:szCs w:val="24"/>
          <w:u w:val="single"/>
          <w:lang w:val="en-US"/>
        </w:rPr>
      </w:pPr>
      <w:r w:rsidRPr="006F5AE8">
        <w:rPr>
          <w:i/>
          <w:iCs/>
          <w:sz w:val="24"/>
          <w:szCs w:val="24"/>
          <w:u w:val="single"/>
          <w:lang w:val="en-US"/>
        </w:rPr>
        <w:t>Table 4 - Analysis of primary and secondary efficacy endpoints (PLATO)</w:t>
      </w:r>
    </w:p>
    <w:p w14:paraId="4C192327" w14:textId="77777777" w:rsidR="0074039C" w:rsidRPr="006F5AE8" w:rsidRDefault="0074039C" w:rsidP="0074039C">
      <w:pPr>
        <w:rPr>
          <w:sz w:val="24"/>
          <w:szCs w:val="24"/>
          <w:lang w:val="en-US"/>
        </w:rPr>
      </w:pPr>
    </w:p>
    <w:tbl>
      <w:tblPr>
        <w:tblStyle w:val="Tabel-Gitter"/>
        <w:tblW w:w="5000" w:type="pct"/>
        <w:tblInd w:w="0" w:type="dxa"/>
        <w:tblLook w:val="04A0" w:firstRow="1" w:lastRow="0" w:firstColumn="1" w:lastColumn="0" w:noHBand="0" w:noVBand="1"/>
      </w:tblPr>
      <w:tblGrid>
        <w:gridCol w:w="1604"/>
        <w:gridCol w:w="1604"/>
        <w:gridCol w:w="1604"/>
        <w:gridCol w:w="1604"/>
        <w:gridCol w:w="1604"/>
        <w:gridCol w:w="1608"/>
      </w:tblGrid>
      <w:tr w:rsidR="0074039C" w:rsidRPr="006F5AE8" w14:paraId="0B7EDAD2" w14:textId="77777777" w:rsidTr="00B4050A">
        <w:tc>
          <w:tcPr>
            <w:tcW w:w="833" w:type="pct"/>
            <w:tcBorders>
              <w:top w:val="single" w:sz="4" w:space="0" w:color="auto"/>
              <w:left w:val="single" w:sz="4" w:space="0" w:color="auto"/>
              <w:bottom w:val="single" w:sz="4" w:space="0" w:color="auto"/>
              <w:right w:val="single" w:sz="4" w:space="0" w:color="auto"/>
            </w:tcBorders>
          </w:tcPr>
          <w:p w14:paraId="7B667FB6" w14:textId="77777777" w:rsidR="0074039C" w:rsidRPr="006F5AE8" w:rsidRDefault="0074039C">
            <w:pPr>
              <w:rPr>
                <w:sz w:val="24"/>
                <w:szCs w:val="24"/>
              </w:rPr>
            </w:pPr>
          </w:p>
        </w:tc>
        <w:tc>
          <w:tcPr>
            <w:tcW w:w="833" w:type="pct"/>
            <w:tcBorders>
              <w:top w:val="single" w:sz="4" w:space="0" w:color="auto"/>
              <w:left w:val="single" w:sz="4" w:space="0" w:color="auto"/>
              <w:bottom w:val="single" w:sz="4" w:space="0" w:color="auto"/>
              <w:right w:val="single" w:sz="4" w:space="0" w:color="auto"/>
            </w:tcBorders>
            <w:hideMark/>
          </w:tcPr>
          <w:p w14:paraId="263E5338" w14:textId="77777777" w:rsidR="0074039C" w:rsidRPr="006F5AE8" w:rsidRDefault="0074039C">
            <w:pPr>
              <w:rPr>
                <w:sz w:val="24"/>
                <w:szCs w:val="24"/>
              </w:rPr>
            </w:pPr>
            <w:r w:rsidRPr="006F5AE8">
              <w:rPr>
                <w:sz w:val="24"/>
                <w:szCs w:val="24"/>
              </w:rPr>
              <w:t>Ticagrelor 90mg twice daily (% patients with event)</w:t>
            </w:r>
          </w:p>
          <w:p w14:paraId="400B469D" w14:textId="77777777" w:rsidR="0074039C" w:rsidRPr="006F5AE8" w:rsidRDefault="0074039C">
            <w:pPr>
              <w:rPr>
                <w:sz w:val="24"/>
                <w:szCs w:val="24"/>
              </w:rPr>
            </w:pPr>
            <w:r w:rsidRPr="006F5AE8">
              <w:rPr>
                <w:sz w:val="24"/>
                <w:szCs w:val="24"/>
              </w:rPr>
              <w:t>N=9333</w:t>
            </w:r>
          </w:p>
        </w:tc>
        <w:tc>
          <w:tcPr>
            <w:tcW w:w="833" w:type="pct"/>
            <w:tcBorders>
              <w:top w:val="single" w:sz="4" w:space="0" w:color="auto"/>
              <w:left w:val="single" w:sz="4" w:space="0" w:color="auto"/>
              <w:bottom w:val="single" w:sz="4" w:space="0" w:color="auto"/>
              <w:right w:val="single" w:sz="4" w:space="0" w:color="auto"/>
            </w:tcBorders>
            <w:hideMark/>
          </w:tcPr>
          <w:p w14:paraId="0BA0C284" w14:textId="77777777" w:rsidR="0074039C" w:rsidRPr="006F5AE8" w:rsidRDefault="0074039C">
            <w:pPr>
              <w:rPr>
                <w:sz w:val="24"/>
                <w:szCs w:val="24"/>
              </w:rPr>
            </w:pPr>
            <w:r w:rsidRPr="006F5AE8">
              <w:rPr>
                <w:sz w:val="24"/>
                <w:szCs w:val="24"/>
              </w:rPr>
              <w:t>Clopidogrel 75 mg once daily (% patients with event)</w:t>
            </w:r>
          </w:p>
          <w:p w14:paraId="3152EE63" w14:textId="77777777" w:rsidR="0074039C" w:rsidRPr="006F5AE8" w:rsidRDefault="0074039C">
            <w:pPr>
              <w:rPr>
                <w:sz w:val="24"/>
                <w:szCs w:val="24"/>
              </w:rPr>
            </w:pPr>
            <w:r w:rsidRPr="006F5AE8">
              <w:rPr>
                <w:sz w:val="24"/>
                <w:szCs w:val="24"/>
              </w:rPr>
              <w:t>N=9291</w:t>
            </w:r>
          </w:p>
        </w:tc>
        <w:tc>
          <w:tcPr>
            <w:tcW w:w="833" w:type="pct"/>
            <w:tcBorders>
              <w:top w:val="single" w:sz="4" w:space="0" w:color="auto"/>
              <w:left w:val="single" w:sz="4" w:space="0" w:color="auto"/>
              <w:bottom w:val="single" w:sz="4" w:space="0" w:color="auto"/>
              <w:right w:val="single" w:sz="4" w:space="0" w:color="auto"/>
            </w:tcBorders>
            <w:hideMark/>
          </w:tcPr>
          <w:p w14:paraId="55901ACA" w14:textId="77777777" w:rsidR="0074039C" w:rsidRPr="006F5AE8" w:rsidRDefault="0074039C">
            <w:pPr>
              <w:rPr>
                <w:sz w:val="24"/>
                <w:szCs w:val="24"/>
              </w:rPr>
            </w:pPr>
            <w:proofErr w:type="spellStart"/>
            <w:r w:rsidRPr="006F5AE8">
              <w:rPr>
                <w:sz w:val="24"/>
                <w:szCs w:val="24"/>
              </w:rPr>
              <w:t>ARR</w:t>
            </w:r>
            <w:r w:rsidRPr="006F5AE8">
              <w:rPr>
                <w:sz w:val="24"/>
                <w:szCs w:val="24"/>
                <w:vertAlign w:val="superscript"/>
              </w:rPr>
              <w:t>a</w:t>
            </w:r>
            <w:proofErr w:type="spellEnd"/>
            <w:r w:rsidRPr="006F5AE8">
              <w:rPr>
                <w:sz w:val="24"/>
                <w:szCs w:val="24"/>
              </w:rPr>
              <w:t xml:space="preserve"> (%/</w:t>
            </w:r>
            <w:proofErr w:type="spellStart"/>
            <w:r w:rsidRPr="006F5AE8">
              <w:rPr>
                <w:sz w:val="24"/>
                <w:szCs w:val="24"/>
              </w:rPr>
              <w:t>yr</w:t>
            </w:r>
            <w:proofErr w:type="spellEnd"/>
            <w:r w:rsidRPr="006F5AE8">
              <w:rPr>
                <w:sz w:val="24"/>
                <w:szCs w:val="24"/>
              </w:rPr>
              <w:t>)</w:t>
            </w:r>
          </w:p>
        </w:tc>
        <w:tc>
          <w:tcPr>
            <w:tcW w:w="833" w:type="pct"/>
            <w:tcBorders>
              <w:top w:val="single" w:sz="4" w:space="0" w:color="auto"/>
              <w:left w:val="single" w:sz="4" w:space="0" w:color="auto"/>
              <w:bottom w:val="single" w:sz="4" w:space="0" w:color="auto"/>
              <w:right w:val="single" w:sz="4" w:space="0" w:color="auto"/>
            </w:tcBorders>
            <w:hideMark/>
          </w:tcPr>
          <w:p w14:paraId="14609486" w14:textId="77777777" w:rsidR="0074039C" w:rsidRPr="006F5AE8" w:rsidRDefault="0074039C">
            <w:pPr>
              <w:rPr>
                <w:sz w:val="24"/>
                <w:szCs w:val="24"/>
              </w:rPr>
            </w:pPr>
            <w:proofErr w:type="spellStart"/>
            <w:r w:rsidRPr="006F5AE8">
              <w:rPr>
                <w:sz w:val="24"/>
                <w:szCs w:val="24"/>
              </w:rPr>
              <w:t>RRR</w:t>
            </w:r>
            <w:r w:rsidRPr="006F5AE8">
              <w:rPr>
                <w:sz w:val="24"/>
                <w:szCs w:val="24"/>
                <w:vertAlign w:val="superscript"/>
              </w:rPr>
              <w:t>a</w:t>
            </w:r>
            <w:proofErr w:type="spellEnd"/>
            <w:r w:rsidRPr="006F5AE8">
              <w:rPr>
                <w:sz w:val="24"/>
                <w:szCs w:val="24"/>
              </w:rPr>
              <w:t xml:space="preserve"> (%) (95% CI)</w:t>
            </w:r>
          </w:p>
        </w:tc>
        <w:tc>
          <w:tcPr>
            <w:tcW w:w="834" w:type="pct"/>
            <w:tcBorders>
              <w:top w:val="single" w:sz="4" w:space="0" w:color="auto"/>
              <w:left w:val="single" w:sz="4" w:space="0" w:color="auto"/>
              <w:bottom w:val="single" w:sz="4" w:space="0" w:color="auto"/>
              <w:right w:val="single" w:sz="4" w:space="0" w:color="auto"/>
            </w:tcBorders>
            <w:hideMark/>
          </w:tcPr>
          <w:p w14:paraId="582E83B0" w14:textId="77777777" w:rsidR="0074039C" w:rsidRPr="006F5AE8" w:rsidRDefault="0074039C">
            <w:pPr>
              <w:rPr>
                <w:sz w:val="24"/>
                <w:szCs w:val="24"/>
              </w:rPr>
            </w:pPr>
            <w:r w:rsidRPr="006F5AE8">
              <w:rPr>
                <w:i/>
                <w:iCs/>
                <w:sz w:val="24"/>
                <w:szCs w:val="24"/>
              </w:rPr>
              <w:t>p</w:t>
            </w:r>
            <w:r w:rsidRPr="006F5AE8">
              <w:rPr>
                <w:sz w:val="24"/>
                <w:szCs w:val="24"/>
              </w:rPr>
              <w:t>-value</w:t>
            </w:r>
          </w:p>
        </w:tc>
      </w:tr>
      <w:tr w:rsidR="0074039C" w:rsidRPr="006F5AE8" w14:paraId="7A793A7F" w14:textId="77777777" w:rsidTr="00B4050A">
        <w:tc>
          <w:tcPr>
            <w:tcW w:w="833" w:type="pct"/>
            <w:tcBorders>
              <w:top w:val="single" w:sz="4" w:space="0" w:color="auto"/>
              <w:left w:val="single" w:sz="4" w:space="0" w:color="auto"/>
              <w:bottom w:val="single" w:sz="4" w:space="0" w:color="auto"/>
              <w:right w:val="single" w:sz="4" w:space="0" w:color="auto"/>
            </w:tcBorders>
            <w:hideMark/>
          </w:tcPr>
          <w:p w14:paraId="1C9D62A3" w14:textId="77777777" w:rsidR="0074039C" w:rsidRPr="006F5AE8" w:rsidRDefault="0074039C">
            <w:pPr>
              <w:rPr>
                <w:sz w:val="24"/>
                <w:szCs w:val="24"/>
              </w:rPr>
            </w:pPr>
            <w:r w:rsidRPr="006F5AE8">
              <w:rPr>
                <w:sz w:val="24"/>
                <w:szCs w:val="24"/>
              </w:rPr>
              <w:t>CV death, MI (excl. silent MI) or stroke</w:t>
            </w:r>
          </w:p>
        </w:tc>
        <w:tc>
          <w:tcPr>
            <w:tcW w:w="833" w:type="pct"/>
            <w:tcBorders>
              <w:top w:val="single" w:sz="4" w:space="0" w:color="auto"/>
              <w:left w:val="single" w:sz="4" w:space="0" w:color="auto"/>
              <w:bottom w:val="single" w:sz="4" w:space="0" w:color="auto"/>
              <w:right w:val="single" w:sz="4" w:space="0" w:color="auto"/>
            </w:tcBorders>
            <w:hideMark/>
          </w:tcPr>
          <w:p w14:paraId="5CDDD178" w14:textId="77777777" w:rsidR="0074039C" w:rsidRPr="006F5AE8" w:rsidRDefault="0074039C">
            <w:pPr>
              <w:rPr>
                <w:sz w:val="24"/>
                <w:szCs w:val="24"/>
              </w:rPr>
            </w:pPr>
            <w:r w:rsidRPr="006F5AE8">
              <w:rPr>
                <w:sz w:val="24"/>
                <w:szCs w:val="24"/>
              </w:rPr>
              <w:t>9.3</w:t>
            </w:r>
          </w:p>
        </w:tc>
        <w:tc>
          <w:tcPr>
            <w:tcW w:w="833" w:type="pct"/>
            <w:tcBorders>
              <w:top w:val="single" w:sz="4" w:space="0" w:color="auto"/>
              <w:left w:val="single" w:sz="4" w:space="0" w:color="auto"/>
              <w:bottom w:val="single" w:sz="4" w:space="0" w:color="auto"/>
              <w:right w:val="single" w:sz="4" w:space="0" w:color="auto"/>
            </w:tcBorders>
            <w:hideMark/>
          </w:tcPr>
          <w:p w14:paraId="44B9C2A8" w14:textId="77777777" w:rsidR="0074039C" w:rsidRPr="006F5AE8" w:rsidRDefault="0074039C">
            <w:pPr>
              <w:rPr>
                <w:sz w:val="24"/>
                <w:szCs w:val="24"/>
              </w:rPr>
            </w:pPr>
            <w:r w:rsidRPr="006F5AE8">
              <w:rPr>
                <w:sz w:val="24"/>
                <w:szCs w:val="24"/>
              </w:rPr>
              <w:t>10.9</w:t>
            </w:r>
          </w:p>
        </w:tc>
        <w:tc>
          <w:tcPr>
            <w:tcW w:w="833" w:type="pct"/>
            <w:tcBorders>
              <w:top w:val="single" w:sz="4" w:space="0" w:color="auto"/>
              <w:left w:val="single" w:sz="4" w:space="0" w:color="auto"/>
              <w:bottom w:val="single" w:sz="4" w:space="0" w:color="auto"/>
              <w:right w:val="single" w:sz="4" w:space="0" w:color="auto"/>
            </w:tcBorders>
            <w:hideMark/>
          </w:tcPr>
          <w:p w14:paraId="256D8D9C" w14:textId="77777777" w:rsidR="0074039C" w:rsidRPr="006F5AE8" w:rsidRDefault="0074039C">
            <w:pPr>
              <w:rPr>
                <w:sz w:val="24"/>
                <w:szCs w:val="24"/>
              </w:rPr>
            </w:pPr>
            <w:r w:rsidRPr="006F5AE8">
              <w:rPr>
                <w:sz w:val="24"/>
                <w:szCs w:val="24"/>
              </w:rPr>
              <w:t>1.9</w:t>
            </w:r>
          </w:p>
        </w:tc>
        <w:tc>
          <w:tcPr>
            <w:tcW w:w="833" w:type="pct"/>
            <w:tcBorders>
              <w:top w:val="single" w:sz="4" w:space="0" w:color="auto"/>
              <w:left w:val="single" w:sz="4" w:space="0" w:color="auto"/>
              <w:bottom w:val="single" w:sz="4" w:space="0" w:color="auto"/>
              <w:right w:val="single" w:sz="4" w:space="0" w:color="auto"/>
            </w:tcBorders>
            <w:hideMark/>
          </w:tcPr>
          <w:p w14:paraId="76DE66B2" w14:textId="77777777" w:rsidR="0074039C" w:rsidRPr="006F5AE8" w:rsidRDefault="0074039C">
            <w:pPr>
              <w:rPr>
                <w:sz w:val="24"/>
                <w:szCs w:val="24"/>
              </w:rPr>
            </w:pPr>
            <w:r w:rsidRPr="006F5AE8">
              <w:rPr>
                <w:sz w:val="24"/>
                <w:szCs w:val="24"/>
              </w:rPr>
              <w:t>16 (8, 23)</w:t>
            </w:r>
          </w:p>
        </w:tc>
        <w:tc>
          <w:tcPr>
            <w:tcW w:w="834" w:type="pct"/>
            <w:tcBorders>
              <w:top w:val="single" w:sz="4" w:space="0" w:color="auto"/>
              <w:left w:val="single" w:sz="4" w:space="0" w:color="auto"/>
              <w:bottom w:val="single" w:sz="4" w:space="0" w:color="auto"/>
              <w:right w:val="single" w:sz="4" w:space="0" w:color="auto"/>
            </w:tcBorders>
            <w:hideMark/>
          </w:tcPr>
          <w:p w14:paraId="4D16B060" w14:textId="77777777" w:rsidR="0074039C" w:rsidRPr="006F5AE8" w:rsidRDefault="0074039C">
            <w:pPr>
              <w:rPr>
                <w:sz w:val="24"/>
                <w:szCs w:val="24"/>
              </w:rPr>
            </w:pPr>
            <w:r w:rsidRPr="006F5AE8">
              <w:rPr>
                <w:sz w:val="24"/>
                <w:szCs w:val="24"/>
              </w:rPr>
              <w:t>0.0003</w:t>
            </w:r>
          </w:p>
        </w:tc>
      </w:tr>
      <w:tr w:rsidR="0074039C" w:rsidRPr="006F5AE8" w14:paraId="793E2114" w14:textId="77777777" w:rsidTr="00B4050A">
        <w:tc>
          <w:tcPr>
            <w:tcW w:w="833" w:type="pct"/>
            <w:tcBorders>
              <w:top w:val="single" w:sz="4" w:space="0" w:color="auto"/>
              <w:left w:val="single" w:sz="4" w:space="0" w:color="auto"/>
              <w:bottom w:val="single" w:sz="4" w:space="0" w:color="auto"/>
              <w:right w:val="single" w:sz="4" w:space="0" w:color="auto"/>
            </w:tcBorders>
            <w:hideMark/>
          </w:tcPr>
          <w:p w14:paraId="17C6225C" w14:textId="77777777" w:rsidR="0074039C" w:rsidRPr="006F5AE8" w:rsidRDefault="0074039C">
            <w:pPr>
              <w:rPr>
                <w:sz w:val="24"/>
                <w:szCs w:val="24"/>
              </w:rPr>
            </w:pPr>
            <w:r w:rsidRPr="006F5AE8">
              <w:rPr>
                <w:sz w:val="24"/>
                <w:szCs w:val="24"/>
              </w:rPr>
              <w:t>Invasive intent</w:t>
            </w:r>
          </w:p>
        </w:tc>
        <w:tc>
          <w:tcPr>
            <w:tcW w:w="833" w:type="pct"/>
            <w:tcBorders>
              <w:top w:val="single" w:sz="4" w:space="0" w:color="auto"/>
              <w:left w:val="single" w:sz="4" w:space="0" w:color="auto"/>
              <w:bottom w:val="single" w:sz="4" w:space="0" w:color="auto"/>
              <w:right w:val="single" w:sz="4" w:space="0" w:color="auto"/>
            </w:tcBorders>
            <w:hideMark/>
          </w:tcPr>
          <w:p w14:paraId="2720DF97" w14:textId="77777777" w:rsidR="0074039C" w:rsidRPr="006F5AE8" w:rsidRDefault="0074039C">
            <w:pPr>
              <w:rPr>
                <w:sz w:val="24"/>
                <w:szCs w:val="24"/>
              </w:rPr>
            </w:pPr>
            <w:r w:rsidRPr="006F5AE8">
              <w:rPr>
                <w:sz w:val="24"/>
                <w:szCs w:val="24"/>
              </w:rPr>
              <w:t>8.5</w:t>
            </w:r>
          </w:p>
        </w:tc>
        <w:tc>
          <w:tcPr>
            <w:tcW w:w="833" w:type="pct"/>
            <w:tcBorders>
              <w:top w:val="single" w:sz="4" w:space="0" w:color="auto"/>
              <w:left w:val="single" w:sz="4" w:space="0" w:color="auto"/>
              <w:bottom w:val="single" w:sz="4" w:space="0" w:color="auto"/>
              <w:right w:val="single" w:sz="4" w:space="0" w:color="auto"/>
            </w:tcBorders>
            <w:hideMark/>
          </w:tcPr>
          <w:p w14:paraId="332E783A" w14:textId="77777777" w:rsidR="0074039C" w:rsidRPr="006F5AE8" w:rsidRDefault="0074039C">
            <w:pPr>
              <w:rPr>
                <w:sz w:val="24"/>
                <w:szCs w:val="24"/>
              </w:rPr>
            </w:pPr>
            <w:r w:rsidRPr="006F5AE8">
              <w:rPr>
                <w:sz w:val="24"/>
                <w:szCs w:val="24"/>
              </w:rPr>
              <w:t>10.0</w:t>
            </w:r>
          </w:p>
        </w:tc>
        <w:tc>
          <w:tcPr>
            <w:tcW w:w="833" w:type="pct"/>
            <w:tcBorders>
              <w:top w:val="single" w:sz="4" w:space="0" w:color="auto"/>
              <w:left w:val="single" w:sz="4" w:space="0" w:color="auto"/>
              <w:bottom w:val="single" w:sz="4" w:space="0" w:color="auto"/>
              <w:right w:val="single" w:sz="4" w:space="0" w:color="auto"/>
            </w:tcBorders>
            <w:hideMark/>
          </w:tcPr>
          <w:p w14:paraId="18C710C8" w14:textId="77777777" w:rsidR="0074039C" w:rsidRPr="006F5AE8" w:rsidRDefault="0074039C">
            <w:pPr>
              <w:rPr>
                <w:sz w:val="24"/>
                <w:szCs w:val="24"/>
              </w:rPr>
            </w:pPr>
            <w:r w:rsidRPr="006F5AE8">
              <w:rPr>
                <w:sz w:val="24"/>
                <w:szCs w:val="24"/>
              </w:rPr>
              <w:t>1.7</w:t>
            </w:r>
          </w:p>
        </w:tc>
        <w:tc>
          <w:tcPr>
            <w:tcW w:w="833" w:type="pct"/>
            <w:tcBorders>
              <w:top w:val="single" w:sz="4" w:space="0" w:color="auto"/>
              <w:left w:val="single" w:sz="4" w:space="0" w:color="auto"/>
              <w:bottom w:val="single" w:sz="4" w:space="0" w:color="auto"/>
              <w:right w:val="single" w:sz="4" w:space="0" w:color="auto"/>
            </w:tcBorders>
            <w:hideMark/>
          </w:tcPr>
          <w:p w14:paraId="27DB759D" w14:textId="77777777" w:rsidR="0074039C" w:rsidRPr="006F5AE8" w:rsidRDefault="0074039C">
            <w:pPr>
              <w:rPr>
                <w:sz w:val="24"/>
                <w:szCs w:val="24"/>
              </w:rPr>
            </w:pPr>
            <w:r w:rsidRPr="006F5AE8">
              <w:rPr>
                <w:sz w:val="24"/>
                <w:szCs w:val="24"/>
              </w:rPr>
              <w:t>16 (6, 25)</w:t>
            </w:r>
          </w:p>
        </w:tc>
        <w:tc>
          <w:tcPr>
            <w:tcW w:w="834" w:type="pct"/>
            <w:tcBorders>
              <w:top w:val="single" w:sz="4" w:space="0" w:color="auto"/>
              <w:left w:val="single" w:sz="4" w:space="0" w:color="auto"/>
              <w:bottom w:val="single" w:sz="4" w:space="0" w:color="auto"/>
              <w:right w:val="single" w:sz="4" w:space="0" w:color="auto"/>
            </w:tcBorders>
            <w:hideMark/>
          </w:tcPr>
          <w:p w14:paraId="293BE147" w14:textId="77777777" w:rsidR="0074039C" w:rsidRPr="006F5AE8" w:rsidRDefault="0074039C">
            <w:pPr>
              <w:rPr>
                <w:sz w:val="24"/>
                <w:szCs w:val="24"/>
              </w:rPr>
            </w:pPr>
            <w:r w:rsidRPr="006F5AE8">
              <w:rPr>
                <w:sz w:val="24"/>
                <w:szCs w:val="24"/>
              </w:rPr>
              <w:t>0.0025</w:t>
            </w:r>
          </w:p>
        </w:tc>
      </w:tr>
      <w:tr w:rsidR="0074039C" w:rsidRPr="006F5AE8" w14:paraId="0FA7E6D4" w14:textId="77777777" w:rsidTr="00B4050A">
        <w:tc>
          <w:tcPr>
            <w:tcW w:w="833" w:type="pct"/>
            <w:tcBorders>
              <w:top w:val="single" w:sz="4" w:space="0" w:color="auto"/>
              <w:left w:val="single" w:sz="4" w:space="0" w:color="auto"/>
              <w:bottom w:val="single" w:sz="4" w:space="0" w:color="auto"/>
              <w:right w:val="single" w:sz="4" w:space="0" w:color="auto"/>
            </w:tcBorders>
            <w:hideMark/>
          </w:tcPr>
          <w:p w14:paraId="5F87F69F" w14:textId="77777777" w:rsidR="0074039C" w:rsidRPr="006F5AE8" w:rsidRDefault="0074039C">
            <w:pPr>
              <w:rPr>
                <w:sz w:val="24"/>
                <w:szCs w:val="24"/>
              </w:rPr>
            </w:pPr>
            <w:r w:rsidRPr="006F5AE8">
              <w:rPr>
                <w:sz w:val="24"/>
                <w:szCs w:val="24"/>
              </w:rPr>
              <w:t>Medical intent</w:t>
            </w:r>
          </w:p>
        </w:tc>
        <w:tc>
          <w:tcPr>
            <w:tcW w:w="833" w:type="pct"/>
            <w:tcBorders>
              <w:top w:val="single" w:sz="4" w:space="0" w:color="auto"/>
              <w:left w:val="single" w:sz="4" w:space="0" w:color="auto"/>
              <w:bottom w:val="single" w:sz="4" w:space="0" w:color="auto"/>
              <w:right w:val="single" w:sz="4" w:space="0" w:color="auto"/>
            </w:tcBorders>
            <w:hideMark/>
          </w:tcPr>
          <w:p w14:paraId="7E0D236D" w14:textId="77777777" w:rsidR="0074039C" w:rsidRPr="006F5AE8" w:rsidRDefault="0074039C">
            <w:pPr>
              <w:rPr>
                <w:sz w:val="24"/>
                <w:szCs w:val="24"/>
              </w:rPr>
            </w:pPr>
            <w:r w:rsidRPr="006F5AE8">
              <w:rPr>
                <w:sz w:val="24"/>
                <w:szCs w:val="24"/>
              </w:rPr>
              <w:t>11.3</w:t>
            </w:r>
          </w:p>
        </w:tc>
        <w:tc>
          <w:tcPr>
            <w:tcW w:w="833" w:type="pct"/>
            <w:tcBorders>
              <w:top w:val="single" w:sz="4" w:space="0" w:color="auto"/>
              <w:left w:val="single" w:sz="4" w:space="0" w:color="auto"/>
              <w:bottom w:val="single" w:sz="4" w:space="0" w:color="auto"/>
              <w:right w:val="single" w:sz="4" w:space="0" w:color="auto"/>
            </w:tcBorders>
            <w:hideMark/>
          </w:tcPr>
          <w:p w14:paraId="5914FB7E" w14:textId="77777777" w:rsidR="0074039C" w:rsidRPr="006F5AE8" w:rsidRDefault="0074039C">
            <w:pPr>
              <w:rPr>
                <w:sz w:val="24"/>
                <w:szCs w:val="24"/>
              </w:rPr>
            </w:pPr>
            <w:r w:rsidRPr="006F5AE8">
              <w:rPr>
                <w:sz w:val="24"/>
                <w:szCs w:val="24"/>
              </w:rPr>
              <w:t>13.2</w:t>
            </w:r>
          </w:p>
        </w:tc>
        <w:tc>
          <w:tcPr>
            <w:tcW w:w="833" w:type="pct"/>
            <w:tcBorders>
              <w:top w:val="single" w:sz="4" w:space="0" w:color="auto"/>
              <w:left w:val="single" w:sz="4" w:space="0" w:color="auto"/>
              <w:bottom w:val="single" w:sz="4" w:space="0" w:color="auto"/>
              <w:right w:val="single" w:sz="4" w:space="0" w:color="auto"/>
            </w:tcBorders>
            <w:hideMark/>
          </w:tcPr>
          <w:p w14:paraId="1500E406" w14:textId="77777777" w:rsidR="0074039C" w:rsidRPr="006F5AE8" w:rsidRDefault="0074039C">
            <w:pPr>
              <w:rPr>
                <w:sz w:val="24"/>
                <w:szCs w:val="24"/>
              </w:rPr>
            </w:pPr>
            <w:r w:rsidRPr="006F5AE8">
              <w:rPr>
                <w:sz w:val="24"/>
                <w:szCs w:val="24"/>
              </w:rPr>
              <w:t>2.3</w:t>
            </w:r>
          </w:p>
        </w:tc>
        <w:tc>
          <w:tcPr>
            <w:tcW w:w="833" w:type="pct"/>
            <w:tcBorders>
              <w:top w:val="single" w:sz="4" w:space="0" w:color="auto"/>
              <w:left w:val="single" w:sz="4" w:space="0" w:color="auto"/>
              <w:bottom w:val="single" w:sz="4" w:space="0" w:color="auto"/>
              <w:right w:val="single" w:sz="4" w:space="0" w:color="auto"/>
            </w:tcBorders>
            <w:hideMark/>
          </w:tcPr>
          <w:p w14:paraId="5E386616" w14:textId="77777777" w:rsidR="0074039C" w:rsidRPr="006F5AE8" w:rsidRDefault="0074039C">
            <w:pPr>
              <w:rPr>
                <w:sz w:val="24"/>
                <w:szCs w:val="24"/>
              </w:rPr>
            </w:pPr>
            <w:r w:rsidRPr="006F5AE8">
              <w:rPr>
                <w:sz w:val="24"/>
                <w:szCs w:val="24"/>
              </w:rPr>
              <w:t>15 (0.3, 27)</w:t>
            </w:r>
          </w:p>
        </w:tc>
        <w:tc>
          <w:tcPr>
            <w:tcW w:w="834" w:type="pct"/>
            <w:tcBorders>
              <w:top w:val="single" w:sz="4" w:space="0" w:color="auto"/>
              <w:left w:val="single" w:sz="4" w:space="0" w:color="auto"/>
              <w:bottom w:val="single" w:sz="4" w:space="0" w:color="auto"/>
              <w:right w:val="single" w:sz="4" w:space="0" w:color="auto"/>
            </w:tcBorders>
            <w:hideMark/>
          </w:tcPr>
          <w:p w14:paraId="34B144C4" w14:textId="77777777" w:rsidR="0074039C" w:rsidRPr="006F5AE8" w:rsidRDefault="0074039C">
            <w:pPr>
              <w:rPr>
                <w:sz w:val="24"/>
                <w:szCs w:val="24"/>
              </w:rPr>
            </w:pPr>
            <w:r w:rsidRPr="006F5AE8">
              <w:rPr>
                <w:sz w:val="24"/>
                <w:szCs w:val="24"/>
              </w:rPr>
              <w:t>0.0444</w:t>
            </w:r>
            <w:r w:rsidRPr="006F5AE8">
              <w:rPr>
                <w:sz w:val="24"/>
                <w:szCs w:val="24"/>
                <w:vertAlign w:val="superscript"/>
              </w:rPr>
              <w:t>d</w:t>
            </w:r>
          </w:p>
        </w:tc>
      </w:tr>
      <w:tr w:rsidR="0074039C" w:rsidRPr="006F5AE8" w14:paraId="6A944F65" w14:textId="77777777" w:rsidTr="00B4050A">
        <w:tc>
          <w:tcPr>
            <w:tcW w:w="833" w:type="pct"/>
            <w:tcBorders>
              <w:top w:val="single" w:sz="4" w:space="0" w:color="auto"/>
              <w:left w:val="single" w:sz="4" w:space="0" w:color="auto"/>
              <w:bottom w:val="single" w:sz="4" w:space="0" w:color="auto"/>
              <w:right w:val="single" w:sz="4" w:space="0" w:color="auto"/>
            </w:tcBorders>
            <w:hideMark/>
          </w:tcPr>
          <w:p w14:paraId="374EFB67" w14:textId="77777777" w:rsidR="0074039C" w:rsidRPr="006F5AE8" w:rsidRDefault="0074039C">
            <w:pPr>
              <w:rPr>
                <w:sz w:val="24"/>
                <w:szCs w:val="24"/>
              </w:rPr>
            </w:pPr>
            <w:r w:rsidRPr="006F5AE8">
              <w:rPr>
                <w:sz w:val="24"/>
                <w:szCs w:val="24"/>
              </w:rPr>
              <w:t>CV death</w:t>
            </w:r>
          </w:p>
        </w:tc>
        <w:tc>
          <w:tcPr>
            <w:tcW w:w="833" w:type="pct"/>
            <w:tcBorders>
              <w:top w:val="single" w:sz="4" w:space="0" w:color="auto"/>
              <w:left w:val="single" w:sz="4" w:space="0" w:color="auto"/>
              <w:bottom w:val="single" w:sz="4" w:space="0" w:color="auto"/>
              <w:right w:val="single" w:sz="4" w:space="0" w:color="auto"/>
            </w:tcBorders>
            <w:hideMark/>
          </w:tcPr>
          <w:p w14:paraId="6C0F7495" w14:textId="77777777" w:rsidR="0074039C" w:rsidRPr="006F5AE8" w:rsidRDefault="0074039C">
            <w:pPr>
              <w:rPr>
                <w:sz w:val="24"/>
                <w:szCs w:val="24"/>
              </w:rPr>
            </w:pPr>
            <w:r w:rsidRPr="006F5AE8">
              <w:rPr>
                <w:sz w:val="24"/>
                <w:szCs w:val="24"/>
              </w:rPr>
              <w:t>3.8</w:t>
            </w:r>
          </w:p>
        </w:tc>
        <w:tc>
          <w:tcPr>
            <w:tcW w:w="833" w:type="pct"/>
            <w:tcBorders>
              <w:top w:val="single" w:sz="4" w:space="0" w:color="auto"/>
              <w:left w:val="single" w:sz="4" w:space="0" w:color="auto"/>
              <w:bottom w:val="single" w:sz="4" w:space="0" w:color="auto"/>
              <w:right w:val="single" w:sz="4" w:space="0" w:color="auto"/>
            </w:tcBorders>
            <w:hideMark/>
          </w:tcPr>
          <w:p w14:paraId="27F873FD" w14:textId="77777777" w:rsidR="0074039C" w:rsidRPr="006F5AE8" w:rsidRDefault="0074039C">
            <w:pPr>
              <w:rPr>
                <w:sz w:val="24"/>
                <w:szCs w:val="24"/>
              </w:rPr>
            </w:pPr>
            <w:r w:rsidRPr="006F5AE8">
              <w:rPr>
                <w:sz w:val="24"/>
                <w:szCs w:val="24"/>
              </w:rPr>
              <w:t>4.8</w:t>
            </w:r>
          </w:p>
        </w:tc>
        <w:tc>
          <w:tcPr>
            <w:tcW w:w="833" w:type="pct"/>
            <w:tcBorders>
              <w:top w:val="single" w:sz="4" w:space="0" w:color="auto"/>
              <w:left w:val="single" w:sz="4" w:space="0" w:color="auto"/>
              <w:bottom w:val="single" w:sz="4" w:space="0" w:color="auto"/>
              <w:right w:val="single" w:sz="4" w:space="0" w:color="auto"/>
            </w:tcBorders>
            <w:hideMark/>
          </w:tcPr>
          <w:p w14:paraId="01866E21" w14:textId="77777777" w:rsidR="0074039C" w:rsidRPr="006F5AE8" w:rsidRDefault="0074039C">
            <w:pPr>
              <w:rPr>
                <w:sz w:val="24"/>
                <w:szCs w:val="24"/>
              </w:rPr>
            </w:pPr>
            <w:r w:rsidRPr="006F5AE8">
              <w:rPr>
                <w:sz w:val="24"/>
                <w:szCs w:val="24"/>
              </w:rPr>
              <w:t>1.1</w:t>
            </w:r>
          </w:p>
        </w:tc>
        <w:tc>
          <w:tcPr>
            <w:tcW w:w="833" w:type="pct"/>
            <w:tcBorders>
              <w:top w:val="single" w:sz="4" w:space="0" w:color="auto"/>
              <w:left w:val="single" w:sz="4" w:space="0" w:color="auto"/>
              <w:bottom w:val="single" w:sz="4" w:space="0" w:color="auto"/>
              <w:right w:val="single" w:sz="4" w:space="0" w:color="auto"/>
            </w:tcBorders>
            <w:hideMark/>
          </w:tcPr>
          <w:p w14:paraId="1D3BAAD4" w14:textId="77777777" w:rsidR="0074039C" w:rsidRPr="006F5AE8" w:rsidRDefault="0074039C">
            <w:pPr>
              <w:rPr>
                <w:sz w:val="24"/>
                <w:szCs w:val="24"/>
              </w:rPr>
            </w:pPr>
            <w:r w:rsidRPr="006F5AE8">
              <w:rPr>
                <w:sz w:val="24"/>
                <w:szCs w:val="24"/>
              </w:rPr>
              <w:t>21 (9, 31)</w:t>
            </w:r>
          </w:p>
        </w:tc>
        <w:tc>
          <w:tcPr>
            <w:tcW w:w="834" w:type="pct"/>
            <w:tcBorders>
              <w:top w:val="single" w:sz="4" w:space="0" w:color="auto"/>
              <w:left w:val="single" w:sz="4" w:space="0" w:color="auto"/>
              <w:bottom w:val="single" w:sz="4" w:space="0" w:color="auto"/>
              <w:right w:val="single" w:sz="4" w:space="0" w:color="auto"/>
            </w:tcBorders>
            <w:hideMark/>
          </w:tcPr>
          <w:p w14:paraId="15153B65" w14:textId="77777777" w:rsidR="0074039C" w:rsidRPr="006F5AE8" w:rsidRDefault="0074039C">
            <w:pPr>
              <w:rPr>
                <w:sz w:val="24"/>
                <w:szCs w:val="24"/>
              </w:rPr>
            </w:pPr>
            <w:r w:rsidRPr="006F5AE8">
              <w:rPr>
                <w:sz w:val="24"/>
                <w:szCs w:val="24"/>
              </w:rPr>
              <w:t>0.0013</w:t>
            </w:r>
          </w:p>
        </w:tc>
      </w:tr>
      <w:tr w:rsidR="0074039C" w:rsidRPr="006F5AE8" w14:paraId="3C00F464" w14:textId="77777777" w:rsidTr="00B4050A">
        <w:tc>
          <w:tcPr>
            <w:tcW w:w="833" w:type="pct"/>
            <w:tcBorders>
              <w:top w:val="single" w:sz="4" w:space="0" w:color="auto"/>
              <w:left w:val="single" w:sz="4" w:space="0" w:color="auto"/>
              <w:bottom w:val="single" w:sz="4" w:space="0" w:color="auto"/>
              <w:right w:val="single" w:sz="4" w:space="0" w:color="auto"/>
            </w:tcBorders>
            <w:hideMark/>
          </w:tcPr>
          <w:p w14:paraId="56B6B2A4" w14:textId="77777777" w:rsidR="0074039C" w:rsidRPr="006F5AE8" w:rsidRDefault="0074039C">
            <w:pPr>
              <w:rPr>
                <w:sz w:val="24"/>
                <w:szCs w:val="24"/>
              </w:rPr>
            </w:pPr>
            <w:r w:rsidRPr="006F5AE8">
              <w:rPr>
                <w:sz w:val="24"/>
                <w:szCs w:val="24"/>
              </w:rPr>
              <w:t xml:space="preserve">MI (excl. silent </w:t>
            </w:r>
            <w:proofErr w:type="gramStart"/>
            <w:r w:rsidRPr="006F5AE8">
              <w:rPr>
                <w:sz w:val="24"/>
                <w:szCs w:val="24"/>
              </w:rPr>
              <w:t>MI)</w:t>
            </w:r>
            <w:r w:rsidRPr="006F5AE8">
              <w:rPr>
                <w:sz w:val="24"/>
                <w:szCs w:val="24"/>
                <w:vertAlign w:val="superscript"/>
              </w:rPr>
              <w:t>b</w:t>
            </w:r>
            <w:proofErr w:type="gramEnd"/>
          </w:p>
        </w:tc>
        <w:tc>
          <w:tcPr>
            <w:tcW w:w="833" w:type="pct"/>
            <w:tcBorders>
              <w:top w:val="single" w:sz="4" w:space="0" w:color="auto"/>
              <w:left w:val="single" w:sz="4" w:space="0" w:color="auto"/>
              <w:bottom w:val="single" w:sz="4" w:space="0" w:color="auto"/>
              <w:right w:val="single" w:sz="4" w:space="0" w:color="auto"/>
            </w:tcBorders>
            <w:hideMark/>
          </w:tcPr>
          <w:p w14:paraId="39F010C0" w14:textId="77777777" w:rsidR="0074039C" w:rsidRPr="006F5AE8" w:rsidRDefault="0074039C">
            <w:pPr>
              <w:rPr>
                <w:sz w:val="24"/>
                <w:szCs w:val="24"/>
              </w:rPr>
            </w:pPr>
            <w:r w:rsidRPr="006F5AE8">
              <w:rPr>
                <w:sz w:val="24"/>
                <w:szCs w:val="24"/>
              </w:rPr>
              <w:t>5.4</w:t>
            </w:r>
          </w:p>
        </w:tc>
        <w:tc>
          <w:tcPr>
            <w:tcW w:w="833" w:type="pct"/>
            <w:tcBorders>
              <w:top w:val="single" w:sz="4" w:space="0" w:color="auto"/>
              <w:left w:val="single" w:sz="4" w:space="0" w:color="auto"/>
              <w:bottom w:val="single" w:sz="4" w:space="0" w:color="auto"/>
              <w:right w:val="single" w:sz="4" w:space="0" w:color="auto"/>
            </w:tcBorders>
            <w:hideMark/>
          </w:tcPr>
          <w:p w14:paraId="49BF610D" w14:textId="77777777" w:rsidR="0074039C" w:rsidRPr="006F5AE8" w:rsidRDefault="0074039C">
            <w:pPr>
              <w:rPr>
                <w:sz w:val="24"/>
                <w:szCs w:val="24"/>
              </w:rPr>
            </w:pPr>
            <w:r w:rsidRPr="006F5AE8">
              <w:rPr>
                <w:sz w:val="24"/>
                <w:szCs w:val="24"/>
              </w:rPr>
              <w:t>6.4</w:t>
            </w:r>
          </w:p>
        </w:tc>
        <w:tc>
          <w:tcPr>
            <w:tcW w:w="833" w:type="pct"/>
            <w:tcBorders>
              <w:top w:val="single" w:sz="4" w:space="0" w:color="auto"/>
              <w:left w:val="single" w:sz="4" w:space="0" w:color="auto"/>
              <w:bottom w:val="single" w:sz="4" w:space="0" w:color="auto"/>
              <w:right w:val="single" w:sz="4" w:space="0" w:color="auto"/>
            </w:tcBorders>
            <w:hideMark/>
          </w:tcPr>
          <w:p w14:paraId="4DFB1E9E" w14:textId="77777777" w:rsidR="0074039C" w:rsidRPr="006F5AE8" w:rsidRDefault="0074039C">
            <w:pPr>
              <w:rPr>
                <w:sz w:val="24"/>
                <w:szCs w:val="24"/>
              </w:rPr>
            </w:pPr>
            <w:r w:rsidRPr="006F5AE8">
              <w:rPr>
                <w:sz w:val="24"/>
                <w:szCs w:val="24"/>
              </w:rPr>
              <w:t>1.1</w:t>
            </w:r>
          </w:p>
        </w:tc>
        <w:tc>
          <w:tcPr>
            <w:tcW w:w="833" w:type="pct"/>
            <w:tcBorders>
              <w:top w:val="single" w:sz="4" w:space="0" w:color="auto"/>
              <w:left w:val="single" w:sz="4" w:space="0" w:color="auto"/>
              <w:bottom w:val="single" w:sz="4" w:space="0" w:color="auto"/>
              <w:right w:val="single" w:sz="4" w:space="0" w:color="auto"/>
            </w:tcBorders>
            <w:hideMark/>
          </w:tcPr>
          <w:p w14:paraId="35D266A5" w14:textId="77777777" w:rsidR="0074039C" w:rsidRPr="006F5AE8" w:rsidRDefault="0074039C">
            <w:pPr>
              <w:rPr>
                <w:sz w:val="24"/>
                <w:szCs w:val="24"/>
              </w:rPr>
            </w:pPr>
            <w:r w:rsidRPr="006F5AE8">
              <w:rPr>
                <w:sz w:val="24"/>
                <w:szCs w:val="24"/>
              </w:rPr>
              <w:t>16 (5, 25)</w:t>
            </w:r>
          </w:p>
        </w:tc>
        <w:tc>
          <w:tcPr>
            <w:tcW w:w="834" w:type="pct"/>
            <w:tcBorders>
              <w:top w:val="single" w:sz="4" w:space="0" w:color="auto"/>
              <w:left w:val="single" w:sz="4" w:space="0" w:color="auto"/>
              <w:bottom w:val="single" w:sz="4" w:space="0" w:color="auto"/>
              <w:right w:val="single" w:sz="4" w:space="0" w:color="auto"/>
            </w:tcBorders>
            <w:hideMark/>
          </w:tcPr>
          <w:p w14:paraId="63B89A36" w14:textId="77777777" w:rsidR="0074039C" w:rsidRPr="006F5AE8" w:rsidRDefault="0074039C">
            <w:pPr>
              <w:rPr>
                <w:sz w:val="24"/>
                <w:szCs w:val="24"/>
              </w:rPr>
            </w:pPr>
            <w:r w:rsidRPr="006F5AE8">
              <w:rPr>
                <w:sz w:val="24"/>
                <w:szCs w:val="24"/>
              </w:rPr>
              <w:t>0.0045</w:t>
            </w:r>
          </w:p>
        </w:tc>
      </w:tr>
      <w:tr w:rsidR="0074039C" w:rsidRPr="006F5AE8" w14:paraId="4E28F9C5" w14:textId="77777777" w:rsidTr="00B4050A">
        <w:tc>
          <w:tcPr>
            <w:tcW w:w="833" w:type="pct"/>
            <w:tcBorders>
              <w:top w:val="single" w:sz="4" w:space="0" w:color="auto"/>
              <w:left w:val="single" w:sz="4" w:space="0" w:color="auto"/>
              <w:bottom w:val="single" w:sz="4" w:space="0" w:color="auto"/>
              <w:right w:val="single" w:sz="4" w:space="0" w:color="auto"/>
            </w:tcBorders>
            <w:hideMark/>
          </w:tcPr>
          <w:p w14:paraId="0BAC73F4" w14:textId="77777777" w:rsidR="0074039C" w:rsidRPr="006F5AE8" w:rsidRDefault="0074039C">
            <w:pPr>
              <w:rPr>
                <w:sz w:val="24"/>
                <w:szCs w:val="24"/>
              </w:rPr>
            </w:pPr>
            <w:r w:rsidRPr="006F5AE8">
              <w:rPr>
                <w:sz w:val="24"/>
                <w:szCs w:val="24"/>
              </w:rPr>
              <w:t>Stroke</w:t>
            </w:r>
          </w:p>
        </w:tc>
        <w:tc>
          <w:tcPr>
            <w:tcW w:w="833" w:type="pct"/>
            <w:tcBorders>
              <w:top w:val="single" w:sz="4" w:space="0" w:color="auto"/>
              <w:left w:val="single" w:sz="4" w:space="0" w:color="auto"/>
              <w:bottom w:val="single" w:sz="4" w:space="0" w:color="auto"/>
              <w:right w:val="single" w:sz="4" w:space="0" w:color="auto"/>
            </w:tcBorders>
            <w:hideMark/>
          </w:tcPr>
          <w:p w14:paraId="71E90006" w14:textId="77777777" w:rsidR="0074039C" w:rsidRPr="006F5AE8" w:rsidRDefault="0074039C">
            <w:pPr>
              <w:rPr>
                <w:sz w:val="24"/>
                <w:szCs w:val="24"/>
              </w:rPr>
            </w:pPr>
            <w:r w:rsidRPr="006F5AE8">
              <w:rPr>
                <w:sz w:val="24"/>
                <w:szCs w:val="24"/>
              </w:rPr>
              <w:t>1.3</w:t>
            </w:r>
          </w:p>
        </w:tc>
        <w:tc>
          <w:tcPr>
            <w:tcW w:w="833" w:type="pct"/>
            <w:tcBorders>
              <w:top w:val="single" w:sz="4" w:space="0" w:color="auto"/>
              <w:left w:val="single" w:sz="4" w:space="0" w:color="auto"/>
              <w:bottom w:val="single" w:sz="4" w:space="0" w:color="auto"/>
              <w:right w:val="single" w:sz="4" w:space="0" w:color="auto"/>
            </w:tcBorders>
            <w:hideMark/>
          </w:tcPr>
          <w:p w14:paraId="12B2E2B7" w14:textId="77777777" w:rsidR="0074039C" w:rsidRPr="006F5AE8" w:rsidRDefault="0074039C">
            <w:pPr>
              <w:rPr>
                <w:sz w:val="24"/>
                <w:szCs w:val="24"/>
              </w:rPr>
            </w:pPr>
            <w:r w:rsidRPr="006F5AE8">
              <w:rPr>
                <w:sz w:val="24"/>
                <w:szCs w:val="24"/>
              </w:rPr>
              <w:t>1.1</w:t>
            </w:r>
          </w:p>
        </w:tc>
        <w:tc>
          <w:tcPr>
            <w:tcW w:w="833" w:type="pct"/>
            <w:tcBorders>
              <w:top w:val="single" w:sz="4" w:space="0" w:color="auto"/>
              <w:left w:val="single" w:sz="4" w:space="0" w:color="auto"/>
              <w:bottom w:val="single" w:sz="4" w:space="0" w:color="auto"/>
              <w:right w:val="single" w:sz="4" w:space="0" w:color="auto"/>
            </w:tcBorders>
            <w:hideMark/>
          </w:tcPr>
          <w:p w14:paraId="73B035C2" w14:textId="77777777" w:rsidR="0074039C" w:rsidRPr="006F5AE8" w:rsidRDefault="0074039C">
            <w:pPr>
              <w:rPr>
                <w:sz w:val="24"/>
                <w:szCs w:val="24"/>
              </w:rPr>
            </w:pPr>
            <w:r w:rsidRPr="006F5AE8">
              <w:rPr>
                <w:sz w:val="24"/>
                <w:szCs w:val="24"/>
              </w:rPr>
              <w:t>-0.2</w:t>
            </w:r>
          </w:p>
        </w:tc>
        <w:tc>
          <w:tcPr>
            <w:tcW w:w="833" w:type="pct"/>
            <w:tcBorders>
              <w:top w:val="single" w:sz="4" w:space="0" w:color="auto"/>
              <w:left w:val="single" w:sz="4" w:space="0" w:color="auto"/>
              <w:bottom w:val="single" w:sz="4" w:space="0" w:color="auto"/>
              <w:right w:val="single" w:sz="4" w:space="0" w:color="auto"/>
            </w:tcBorders>
            <w:hideMark/>
          </w:tcPr>
          <w:p w14:paraId="4A0B44EB" w14:textId="77777777" w:rsidR="0074039C" w:rsidRPr="006F5AE8" w:rsidRDefault="0074039C">
            <w:pPr>
              <w:rPr>
                <w:sz w:val="24"/>
                <w:szCs w:val="24"/>
              </w:rPr>
            </w:pPr>
            <w:r w:rsidRPr="006F5AE8">
              <w:rPr>
                <w:sz w:val="24"/>
                <w:szCs w:val="24"/>
              </w:rPr>
              <w:t>-17 (-52, 9)</w:t>
            </w:r>
          </w:p>
        </w:tc>
        <w:tc>
          <w:tcPr>
            <w:tcW w:w="834" w:type="pct"/>
            <w:tcBorders>
              <w:top w:val="single" w:sz="4" w:space="0" w:color="auto"/>
              <w:left w:val="single" w:sz="4" w:space="0" w:color="auto"/>
              <w:bottom w:val="single" w:sz="4" w:space="0" w:color="auto"/>
              <w:right w:val="single" w:sz="4" w:space="0" w:color="auto"/>
            </w:tcBorders>
            <w:hideMark/>
          </w:tcPr>
          <w:p w14:paraId="2D5FC583" w14:textId="77777777" w:rsidR="0074039C" w:rsidRPr="006F5AE8" w:rsidRDefault="0074039C">
            <w:pPr>
              <w:rPr>
                <w:sz w:val="24"/>
                <w:szCs w:val="24"/>
              </w:rPr>
            </w:pPr>
            <w:r w:rsidRPr="006F5AE8">
              <w:rPr>
                <w:sz w:val="24"/>
                <w:szCs w:val="24"/>
              </w:rPr>
              <w:t>0.2249</w:t>
            </w:r>
          </w:p>
        </w:tc>
      </w:tr>
      <w:tr w:rsidR="0074039C" w:rsidRPr="006F5AE8" w14:paraId="40E4F294" w14:textId="77777777" w:rsidTr="00B4050A">
        <w:tc>
          <w:tcPr>
            <w:tcW w:w="833" w:type="pct"/>
            <w:tcBorders>
              <w:top w:val="single" w:sz="4" w:space="0" w:color="auto"/>
              <w:left w:val="single" w:sz="4" w:space="0" w:color="auto"/>
              <w:bottom w:val="single" w:sz="4" w:space="0" w:color="auto"/>
              <w:right w:val="single" w:sz="4" w:space="0" w:color="auto"/>
            </w:tcBorders>
            <w:hideMark/>
          </w:tcPr>
          <w:p w14:paraId="1502E9D6" w14:textId="77777777" w:rsidR="0074039C" w:rsidRPr="006F5AE8" w:rsidRDefault="0074039C">
            <w:pPr>
              <w:rPr>
                <w:sz w:val="24"/>
                <w:szCs w:val="24"/>
              </w:rPr>
            </w:pPr>
            <w:r w:rsidRPr="006F5AE8">
              <w:rPr>
                <w:sz w:val="24"/>
                <w:szCs w:val="24"/>
              </w:rPr>
              <w:t>All-cause mortality, MI (excl. silent MI) or stroke</w:t>
            </w:r>
          </w:p>
        </w:tc>
        <w:tc>
          <w:tcPr>
            <w:tcW w:w="833" w:type="pct"/>
            <w:tcBorders>
              <w:top w:val="single" w:sz="4" w:space="0" w:color="auto"/>
              <w:left w:val="single" w:sz="4" w:space="0" w:color="auto"/>
              <w:bottom w:val="single" w:sz="4" w:space="0" w:color="auto"/>
              <w:right w:val="single" w:sz="4" w:space="0" w:color="auto"/>
            </w:tcBorders>
            <w:hideMark/>
          </w:tcPr>
          <w:p w14:paraId="2BD18678" w14:textId="77777777" w:rsidR="0074039C" w:rsidRPr="006F5AE8" w:rsidRDefault="0074039C">
            <w:pPr>
              <w:rPr>
                <w:sz w:val="24"/>
                <w:szCs w:val="24"/>
              </w:rPr>
            </w:pPr>
            <w:r w:rsidRPr="006F5AE8">
              <w:rPr>
                <w:sz w:val="24"/>
                <w:szCs w:val="24"/>
              </w:rPr>
              <w:t>9.7</w:t>
            </w:r>
          </w:p>
        </w:tc>
        <w:tc>
          <w:tcPr>
            <w:tcW w:w="833" w:type="pct"/>
            <w:tcBorders>
              <w:top w:val="single" w:sz="4" w:space="0" w:color="auto"/>
              <w:left w:val="single" w:sz="4" w:space="0" w:color="auto"/>
              <w:bottom w:val="single" w:sz="4" w:space="0" w:color="auto"/>
              <w:right w:val="single" w:sz="4" w:space="0" w:color="auto"/>
            </w:tcBorders>
            <w:hideMark/>
          </w:tcPr>
          <w:p w14:paraId="20206743" w14:textId="77777777" w:rsidR="0074039C" w:rsidRPr="006F5AE8" w:rsidRDefault="0074039C">
            <w:pPr>
              <w:rPr>
                <w:sz w:val="24"/>
                <w:szCs w:val="24"/>
              </w:rPr>
            </w:pPr>
            <w:r w:rsidRPr="006F5AE8">
              <w:rPr>
                <w:sz w:val="24"/>
                <w:szCs w:val="24"/>
              </w:rPr>
              <w:t>11.5</w:t>
            </w:r>
          </w:p>
        </w:tc>
        <w:tc>
          <w:tcPr>
            <w:tcW w:w="833" w:type="pct"/>
            <w:tcBorders>
              <w:top w:val="single" w:sz="4" w:space="0" w:color="auto"/>
              <w:left w:val="single" w:sz="4" w:space="0" w:color="auto"/>
              <w:bottom w:val="single" w:sz="4" w:space="0" w:color="auto"/>
              <w:right w:val="single" w:sz="4" w:space="0" w:color="auto"/>
            </w:tcBorders>
            <w:hideMark/>
          </w:tcPr>
          <w:p w14:paraId="16263BA0" w14:textId="77777777" w:rsidR="0074039C" w:rsidRPr="006F5AE8" w:rsidRDefault="0074039C">
            <w:pPr>
              <w:rPr>
                <w:sz w:val="24"/>
                <w:szCs w:val="24"/>
              </w:rPr>
            </w:pPr>
            <w:r w:rsidRPr="006F5AE8">
              <w:rPr>
                <w:sz w:val="24"/>
                <w:szCs w:val="24"/>
              </w:rPr>
              <w:t>2.1</w:t>
            </w:r>
          </w:p>
        </w:tc>
        <w:tc>
          <w:tcPr>
            <w:tcW w:w="833" w:type="pct"/>
            <w:tcBorders>
              <w:top w:val="single" w:sz="4" w:space="0" w:color="auto"/>
              <w:left w:val="single" w:sz="4" w:space="0" w:color="auto"/>
              <w:bottom w:val="single" w:sz="4" w:space="0" w:color="auto"/>
              <w:right w:val="single" w:sz="4" w:space="0" w:color="auto"/>
            </w:tcBorders>
            <w:hideMark/>
          </w:tcPr>
          <w:p w14:paraId="53CA2B23" w14:textId="77777777" w:rsidR="0074039C" w:rsidRPr="006F5AE8" w:rsidRDefault="0074039C">
            <w:pPr>
              <w:rPr>
                <w:sz w:val="24"/>
                <w:szCs w:val="24"/>
              </w:rPr>
            </w:pPr>
            <w:r w:rsidRPr="006F5AE8">
              <w:rPr>
                <w:sz w:val="24"/>
                <w:szCs w:val="24"/>
              </w:rPr>
              <w:t>16 (8, 23)</w:t>
            </w:r>
          </w:p>
        </w:tc>
        <w:tc>
          <w:tcPr>
            <w:tcW w:w="834" w:type="pct"/>
            <w:tcBorders>
              <w:top w:val="single" w:sz="4" w:space="0" w:color="auto"/>
              <w:left w:val="single" w:sz="4" w:space="0" w:color="auto"/>
              <w:bottom w:val="single" w:sz="4" w:space="0" w:color="auto"/>
              <w:right w:val="single" w:sz="4" w:space="0" w:color="auto"/>
            </w:tcBorders>
            <w:hideMark/>
          </w:tcPr>
          <w:p w14:paraId="0DE5B888" w14:textId="77777777" w:rsidR="0074039C" w:rsidRPr="006F5AE8" w:rsidRDefault="0074039C">
            <w:pPr>
              <w:rPr>
                <w:sz w:val="24"/>
                <w:szCs w:val="24"/>
              </w:rPr>
            </w:pPr>
            <w:r w:rsidRPr="006F5AE8">
              <w:rPr>
                <w:sz w:val="24"/>
                <w:szCs w:val="24"/>
              </w:rPr>
              <w:t>0.0001</w:t>
            </w:r>
          </w:p>
        </w:tc>
      </w:tr>
      <w:tr w:rsidR="0074039C" w:rsidRPr="006F5AE8" w14:paraId="3D7E6FEB" w14:textId="77777777" w:rsidTr="00B4050A">
        <w:tc>
          <w:tcPr>
            <w:tcW w:w="833" w:type="pct"/>
            <w:tcBorders>
              <w:top w:val="single" w:sz="4" w:space="0" w:color="auto"/>
              <w:left w:val="single" w:sz="4" w:space="0" w:color="auto"/>
              <w:bottom w:val="single" w:sz="4" w:space="0" w:color="auto"/>
              <w:right w:val="single" w:sz="4" w:space="0" w:color="auto"/>
            </w:tcBorders>
            <w:hideMark/>
          </w:tcPr>
          <w:p w14:paraId="2A3AE1F2" w14:textId="77777777" w:rsidR="0074039C" w:rsidRPr="006F5AE8" w:rsidRDefault="0074039C">
            <w:pPr>
              <w:rPr>
                <w:sz w:val="24"/>
                <w:szCs w:val="24"/>
              </w:rPr>
            </w:pPr>
            <w:r w:rsidRPr="006F5AE8">
              <w:rPr>
                <w:sz w:val="24"/>
                <w:szCs w:val="24"/>
              </w:rPr>
              <w:t xml:space="preserve">CV death, total MI, stroke, SRI, RI, TIA or other </w:t>
            </w:r>
            <w:proofErr w:type="spellStart"/>
            <w:r w:rsidRPr="006F5AE8">
              <w:rPr>
                <w:sz w:val="24"/>
                <w:szCs w:val="24"/>
              </w:rPr>
              <w:t>ATE</w:t>
            </w:r>
            <w:r w:rsidRPr="006F5AE8">
              <w:rPr>
                <w:sz w:val="24"/>
                <w:szCs w:val="24"/>
                <w:vertAlign w:val="superscript"/>
              </w:rPr>
              <w:t>c</w:t>
            </w:r>
            <w:proofErr w:type="spellEnd"/>
          </w:p>
        </w:tc>
        <w:tc>
          <w:tcPr>
            <w:tcW w:w="833" w:type="pct"/>
            <w:tcBorders>
              <w:top w:val="single" w:sz="4" w:space="0" w:color="auto"/>
              <w:left w:val="single" w:sz="4" w:space="0" w:color="auto"/>
              <w:bottom w:val="single" w:sz="4" w:space="0" w:color="auto"/>
              <w:right w:val="single" w:sz="4" w:space="0" w:color="auto"/>
            </w:tcBorders>
            <w:hideMark/>
          </w:tcPr>
          <w:p w14:paraId="2FFAD403" w14:textId="77777777" w:rsidR="0074039C" w:rsidRPr="006F5AE8" w:rsidRDefault="0074039C">
            <w:pPr>
              <w:rPr>
                <w:sz w:val="24"/>
                <w:szCs w:val="24"/>
              </w:rPr>
            </w:pPr>
            <w:r w:rsidRPr="006F5AE8">
              <w:rPr>
                <w:sz w:val="24"/>
                <w:szCs w:val="24"/>
              </w:rPr>
              <w:t>13.8</w:t>
            </w:r>
          </w:p>
        </w:tc>
        <w:tc>
          <w:tcPr>
            <w:tcW w:w="833" w:type="pct"/>
            <w:tcBorders>
              <w:top w:val="single" w:sz="4" w:space="0" w:color="auto"/>
              <w:left w:val="single" w:sz="4" w:space="0" w:color="auto"/>
              <w:bottom w:val="single" w:sz="4" w:space="0" w:color="auto"/>
              <w:right w:val="single" w:sz="4" w:space="0" w:color="auto"/>
            </w:tcBorders>
            <w:hideMark/>
          </w:tcPr>
          <w:p w14:paraId="44A43B6D" w14:textId="77777777" w:rsidR="0074039C" w:rsidRPr="006F5AE8" w:rsidRDefault="0074039C">
            <w:pPr>
              <w:rPr>
                <w:sz w:val="24"/>
                <w:szCs w:val="24"/>
              </w:rPr>
            </w:pPr>
            <w:r w:rsidRPr="006F5AE8">
              <w:rPr>
                <w:sz w:val="24"/>
                <w:szCs w:val="24"/>
              </w:rPr>
              <w:t>15.7</w:t>
            </w:r>
          </w:p>
        </w:tc>
        <w:tc>
          <w:tcPr>
            <w:tcW w:w="833" w:type="pct"/>
            <w:tcBorders>
              <w:top w:val="single" w:sz="4" w:space="0" w:color="auto"/>
              <w:left w:val="single" w:sz="4" w:space="0" w:color="auto"/>
              <w:bottom w:val="single" w:sz="4" w:space="0" w:color="auto"/>
              <w:right w:val="single" w:sz="4" w:space="0" w:color="auto"/>
            </w:tcBorders>
            <w:hideMark/>
          </w:tcPr>
          <w:p w14:paraId="6B88913F" w14:textId="77777777" w:rsidR="0074039C" w:rsidRPr="006F5AE8" w:rsidRDefault="0074039C">
            <w:pPr>
              <w:rPr>
                <w:sz w:val="24"/>
                <w:szCs w:val="24"/>
              </w:rPr>
            </w:pPr>
            <w:r w:rsidRPr="006F5AE8">
              <w:rPr>
                <w:sz w:val="24"/>
                <w:szCs w:val="24"/>
              </w:rPr>
              <w:t>2.1</w:t>
            </w:r>
          </w:p>
        </w:tc>
        <w:tc>
          <w:tcPr>
            <w:tcW w:w="833" w:type="pct"/>
            <w:tcBorders>
              <w:top w:val="single" w:sz="4" w:space="0" w:color="auto"/>
              <w:left w:val="single" w:sz="4" w:space="0" w:color="auto"/>
              <w:bottom w:val="single" w:sz="4" w:space="0" w:color="auto"/>
              <w:right w:val="single" w:sz="4" w:space="0" w:color="auto"/>
            </w:tcBorders>
            <w:hideMark/>
          </w:tcPr>
          <w:p w14:paraId="7139171E" w14:textId="77777777" w:rsidR="0074039C" w:rsidRPr="006F5AE8" w:rsidRDefault="0074039C">
            <w:pPr>
              <w:rPr>
                <w:sz w:val="24"/>
                <w:szCs w:val="24"/>
              </w:rPr>
            </w:pPr>
            <w:r w:rsidRPr="006F5AE8">
              <w:rPr>
                <w:sz w:val="24"/>
                <w:szCs w:val="24"/>
              </w:rPr>
              <w:t>12 (5, 19)</w:t>
            </w:r>
          </w:p>
        </w:tc>
        <w:tc>
          <w:tcPr>
            <w:tcW w:w="834" w:type="pct"/>
            <w:tcBorders>
              <w:top w:val="single" w:sz="4" w:space="0" w:color="auto"/>
              <w:left w:val="single" w:sz="4" w:space="0" w:color="auto"/>
              <w:bottom w:val="single" w:sz="4" w:space="0" w:color="auto"/>
              <w:right w:val="single" w:sz="4" w:space="0" w:color="auto"/>
            </w:tcBorders>
            <w:hideMark/>
          </w:tcPr>
          <w:p w14:paraId="3638D635" w14:textId="77777777" w:rsidR="0074039C" w:rsidRPr="006F5AE8" w:rsidRDefault="0074039C">
            <w:pPr>
              <w:rPr>
                <w:sz w:val="24"/>
                <w:szCs w:val="24"/>
              </w:rPr>
            </w:pPr>
            <w:r w:rsidRPr="006F5AE8">
              <w:rPr>
                <w:sz w:val="24"/>
                <w:szCs w:val="24"/>
              </w:rPr>
              <w:t>0.0006</w:t>
            </w:r>
          </w:p>
        </w:tc>
      </w:tr>
      <w:tr w:rsidR="0074039C" w:rsidRPr="006F5AE8" w14:paraId="51129E07" w14:textId="77777777" w:rsidTr="00B4050A">
        <w:tc>
          <w:tcPr>
            <w:tcW w:w="833" w:type="pct"/>
            <w:tcBorders>
              <w:top w:val="single" w:sz="4" w:space="0" w:color="auto"/>
              <w:left w:val="single" w:sz="4" w:space="0" w:color="auto"/>
              <w:bottom w:val="single" w:sz="4" w:space="0" w:color="auto"/>
              <w:right w:val="single" w:sz="4" w:space="0" w:color="auto"/>
            </w:tcBorders>
            <w:hideMark/>
          </w:tcPr>
          <w:p w14:paraId="36985AD8" w14:textId="77777777" w:rsidR="0074039C" w:rsidRPr="006F5AE8" w:rsidRDefault="0074039C">
            <w:pPr>
              <w:rPr>
                <w:sz w:val="24"/>
                <w:szCs w:val="24"/>
              </w:rPr>
            </w:pPr>
            <w:r w:rsidRPr="006F5AE8">
              <w:rPr>
                <w:sz w:val="24"/>
                <w:szCs w:val="24"/>
              </w:rPr>
              <w:t>All-cause mortality</w:t>
            </w:r>
          </w:p>
        </w:tc>
        <w:tc>
          <w:tcPr>
            <w:tcW w:w="833" w:type="pct"/>
            <w:tcBorders>
              <w:top w:val="single" w:sz="4" w:space="0" w:color="auto"/>
              <w:left w:val="single" w:sz="4" w:space="0" w:color="auto"/>
              <w:bottom w:val="single" w:sz="4" w:space="0" w:color="auto"/>
              <w:right w:val="single" w:sz="4" w:space="0" w:color="auto"/>
            </w:tcBorders>
            <w:hideMark/>
          </w:tcPr>
          <w:p w14:paraId="0DE1ED75" w14:textId="77777777" w:rsidR="0074039C" w:rsidRPr="006F5AE8" w:rsidRDefault="0074039C">
            <w:pPr>
              <w:rPr>
                <w:sz w:val="24"/>
                <w:szCs w:val="24"/>
              </w:rPr>
            </w:pPr>
            <w:r w:rsidRPr="006F5AE8">
              <w:rPr>
                <w:sz w:val="24"/>
                <w:szCs w:val="24"/>
              </w:rPr>
              <w:t>4.3</w:t>
            </w:r>
          </w:p>
        </w:tc>
        <w:tc>
          <w:tcPr>
            <w:tcW w:w="833" w:type="pct"/>
            <w:tcBorders>
              <w:top w:val="single" w:sz="4" w:space="0" w:color="auto"/>
              <w:left w:val="single" w:sz="4" w:space="0" w:color="auto"/>
              <w:bottom w:val="single" w:sz="4" w:space="0" w:color="auto"/>
              <w:right w:val="single" w:sz="4" w:space="0" w:color="auto"/>
            </w:tcBorders>
            <w:hideMark/>
          </w:tcPr>
          <w:p w14:paraId="2F5F64F1" w14:textId="77777777" w:rsidR="0074039C" w:rsidRPr="006F5AE8" w:rsidRDefault="0074039C">
            <w:pPr>
              <w:rPr>
                <w:sz w:val="24"/>
                <w:szCs w:val="24"/>
              </w:rPr>
            </w:pPr>
            <w:r w:rsidRPr="006F5AE8">
              <w:rPr>
                <w:sz w:val="24"/>
                <w:szCs w:val="24"/>
              </w:rPr>
              <w:t>5.4</w:t>
            </w:r>
          </w:p>
        </w:tc>
        <w:tc>
          <w:tcPr>
            <w:tcW w:w="833" w:type="pct"/>
            <w:tcBorders>
              <w:top w:val="single" w:sz="4" w:space="0" w:color="auto"/>
              <w:left w:val="single" w:sz="4" w:space="0" w:color="auto"/>
              <w:bottom w:val="single" w:sz="4" w:space="0" w:color="auto"/>
              <w:right w:val="single" w:sz="4" w:space="0" w:color="auto"/>
            </w:tcBorders>
            <w:hideMark/>
          </w:tcPr>
          <w:p w14:paraId="79B0374E" w14:textId="77777777" w:rsidR="0074039C" w:rsidRPr="006F5AE8" w:rsidRDefault="0074039C">
            <w:pPr>
              <w:rPr>
                <w:sz w:val="24"/>
                <w:szCs w:val="24"/>
              </w:rPr>
            </w:pPr>
            <w:r w:rsidRPr="006F5AE8">
              <w:rPr>
                <w:sz w:val="24"/>
                <w:szCs w:val="24"/>
              </w:rPr>
              <w:t>1.4</w:t>
            </w:r>
          </w:p>
        </w:tc>
        <w:tc>
          <w:tcPr>
            <w:tcW w:w="833" w:type="pct"/>
            <w:tcBorders>
              <w:top w:val="single" w:sz="4" w:space="0" w:color="auto"/>
              <w:left w:val="single" w:sz="4" w:space="0" w:color="auto"/>
              <w:bottom w:val="single" w:sz="4" w:space="0" w:color="auto"/>
              <w:right w:val="single" w:sz="4" w:space="0" w:color="auto"/>
            </w:tcBorders>
            <w:hideMark/>
          </w:tcPr>
          <w:p w14:paraId="7846AFA8" w14:textId="77777777" w:rsidR="0074039C" w:rsidRPr="006F5AE8" w:rsidRDefault="0074039C">
            <w:pPr>
              <w:rPr>
                <w:sz w:val="24"/>
                <w:szCs w:val="24"/>
              </w:rPr>
            </w:pPr>
            <w:r w:rsidRPr="006F5AE8">
              <w:rPr>
                <w:sz w:val="24"/>
                <w:szCs w:val="24"/>
              </w:rPr>
              <w:t>22 (11, 31)</w:t>
            </w:r>
          </w:p>
        </w:tc>
        <w:tc>
          <w:tcPr>
            <w:tcW w:w="834" w:type="pct"/>
            <w:tcBorders>
              <w:top w:val="single" w:sz="4" w:space="0" w:color="auto"/>
              <w:left w:val="single" w:sz="4" w:space="0" w:color="auto"/>
              <w:bottom w:val="single" w:sz="4" w:space="0" w:color="auto"/>
              <w:right w:val="single" w:sz="4" w:space="0" w:color="auto"/>
            </w:tcBorders>
            <w:hideMark/>
          </w:tcPr>
          <w:p w14:paraId="4ACDB7D7" w14:textId="77777777" w:rsidR="0074039C" w:rsidRPr="006F5AE8" w:rsidRDefault="0074039C">
            <w:pPr>
              <w:rPr>
                <w:sz w:val="24"/>
                <w:szCs w:val="24"/>
              </w:rPr>
            </w:pPr>
            <w:r w:rsidRPr="006F5AE8">
              <w:rPr>
                <w:sz w:val="24"/>
                <w:szCs w:val="24"/>
              </w:rPr>
              <w:t>0.0003</w:t>
            </w:r>
            <w:r w:rsidRPr="006F5AE8">
              <w:rPr>
                <w:sz w:val="24"/>
                <w:szCs w:val="24"/>
                <w:vertAlign w:val="superscript"/>
              </w:rPr>
              <w:t>d</w:t>
            </w:r>
          </w:p>
        </w:tc>
      </w:tr>
      <w:tr w:rsidR="0074039C" w:rsidRPr="006F5AE8" w14:paraId="4EF02D77" w14:textId="77777777" w:rsidTr="00B4050A">
        <w:tc>
          <w:tcPr>
            <w:tcW w:w="833" w:type="pct"/>
            <w:tcBorders>
              <w:top w:val="single" w:sz="4" w:space="0" w:color="auto"/>
              <w:left w:val="single" w:sz="4" w:space="0" w:color="auto"/>
              <w:bottom w:val="single" w:sz="4" w:space="0" w:color="auto"/>
              <w:right w:val="single" w:sz="4" w:space="0" w:color="auto"/>
            </w:tcBorders>
            <w:hideMark/>
          </w:tcPr>
          <w:p w14:paraId="52455419" w14:textId="77777777" w:rsidR="0074039C" w:rsidRPr="006F5AE8" w:rsidRDefault="0074039C">
            <w:pPr>
              <w:rPr>
                <w:sz w:val="24"/>
                <w:szCs w:val="24"/>
              </w:rPr>
            </w:pPr>
            <w:r w:rsidRPr="006F5AE8">
              <w:rPr>
                <w:sz w:val="24"/>
                <w:szCs w:val="24"/>
              </w:rPr>
              <w:t>Definite stent thrombosis</w:t>
            </w:r>
          </w:p>
        </w:tc>
        <w:tc>
          <w:tcPr>
            <w:tcW w:w="833" w:type="pct"/>
            <w:tcBorders>
              <w:top w:val="single" w:sz="4" w:space="0" w:color="auto"/>
              <w:left w:val="single" w:sz="4" w:space="0" w:color="auto"/>
              <w:bottom w:val="single" w:sz="4" w:space="0" w:color="auto"/>
              <w:right w:val="single" w:sz="4" w:space="0" w:color="auto"/>
            </w:tcBorders>
            <w:hideMark/>
          </w:tcPr>
          <w:p w14:paraId="48B82FF4" w14:textId="77777777" w:rsidR="0074039C" w:rsidRPr="006F5AE8" w:rsidRDefault="0074039C">
            <w:pPr>
              <w:rPr>
                <w:sz w:val="24"/>
                <w:szCs w:val="24"/>
              </w:rPr>
            </w:pPr>
            <w:r w:rsidRPr="006F5AE8">
              <w:rPr>
                <w:sz w:val="24"/>
                <w:szCs w:val="24"/>
              </w:rPr>
              <w:t>1.2</w:t>
            </w:r>
          </w:p>
        </w:tc>
        <w:tc>
          <w:tcPr>
            <w:tcW w:w="833" w:type="pct"/>
            <w:tcBorders>
              <w:top w:val="single" w:sz="4" w:space="0" w:color="auto"/>
              <w:left w:val="single" w:sz="4" w:space="0" w:color="auto"/>
              <w:bottom w:val="single" w:sz="4" w:space="0" w:color="auto"/>
              <w:right w:val="single" w:sz="4" w:space="0" w:color="auto"/>
            </w:tcBorders>
            <w:hideMark/>
          </w:tcPr>
          <w:p w14:paraId="5D147A8E" w14:textId="77777777" w:rsidR="0074039C" w:rsidRPr="006F5AE8" w:rsidRDefault="0074039C">
            <w:pPr>
              <w:rPr>
                <w:sz w:val="24"/>
                <w:szCs w:val="24"/>
              </w:rPr>
            </w:pPr>
            <w:r w:rsidRPr="006F5AE8">
              <w:rPr>
                <w:sz w:val="24"/>
                <w:szCs w:val="24"/>
              </w:rPr>
              <w:t>1.7</w:t>
            </w:r>
          </w:p>
        </w:tc>
        <w:tc>
          <w:tcPr>
            <w:tcW w:w="833" w:type="pct"/>
            <w:tcBorders>
              <w:top w:val="single" w:sz="4" w:space="0" w:color="auto"/>
              <w:left w:val="single" w:sz="4" w:space="0" w:color="auto"/>
              <w:bottom w:val="single" w:sz="4" w:space="0" w:color="auto"/>
              <w:right w:val="single" w:sz="4" w:space="0" w:color="auto"/>
            </w:tcBorders>
            <w:hideMark/>
          </w:tcPr>
          <w:p w14:paraId="75AE8E65" w14:textId="77777777" w:rsidR="0074039C" w:rsidRPr="006F5AE8" w:rsidRDefault="0074039C">
            <w:pPr>
              <w:rPr>
                <w:sz w:val="24"/>
                <w:szCs w:val="24"/>
              </w:rPr>
            </w:pPr>
            <w:r w:rsidRPr="006F5AE8">
              <w:rPr>
                <w:sz w:val="24"/>
                <w:szCs w:val="24"/>
              </w:rPr>
              <w:t>0.6</w:t>
            </w:r>
          </w:p>
        </w:tc>
        <w:tc>
          <w:tcPr>
            <w:tcW w:w="833" w:type="pct"/>
            <w:tcBorders>
              <w:top w:val="single" w:sz="4" w:space="0" w:color="auto"/>
              <w:left w:val="single" w:sz="4" w:space="0" w:color="auto"/>
              <w:bottom w:val="single" w:sz="4" w:space="0" w:color="auto"/>
              <w:right w:val="single" w:sz="4" w:space="0" w:color="auto"/>
            </w:tcBorders>
            <w:hideMark/>
          </w:tcPr>
          <w:p w14:paraId="4499BFB6" w14:textId="77777777" w:rsidR="0074039C" w:rsidRPr="006F5AE8" w:rsidRDefault="0074039C">
            <w:pPr>
              <w:rPr>
                <w:sz w:val="24"/>
                <w:szCs w:val="24"/>
              </w:rPr>
            </w:pPr>
            <w:r w:rsidRPr="006F5AE8">
              <w:rPr>
                <w:sz w:val="24"/>
                <w:szCs w:val="24"/>
              </w:rPr>
              <w:t>32 (8, 49)</w:t>
            </w:r>
          </w:p>
        </w:tc>
        <w:tc>
          <w:tcPr>
            <w:tcW w:w="834" w:type="pct"/>
            <w:tcBorders>
              <w:top w:val="single" w:sz="4" w:space="0" w:color="auto"/>
              <w:left w:val="single" w:sz="4" w:space="0" w:color="auto"/>
              <w:bottom w:val="single" w:sz="4" w:space="0" w:color="auto"/>
              <w:right w:val="single" w:sz="4" w:space="0" w:color="auto"/>
            </w:tcBorders>
            <w:hideMark/>
          </w:tcPr>
          <w:p w14:paraId="595C8F3E" w14:textId="77777777" w:rsidR="0074039C" w:rsidRPr="006F5AE8" w:rsidRDefault="0074039C">
            <w:pPr>
              <w:rPr>
                <w:sz w:val="24"/>
                <w:szCs w:val="24"/>
              </w:rPr>
            </w:pPr>
            <w:r w:rsidRPr="006F5AE8">
              <w:rPr>
                <w:sz w:val="24"/>
                <w:szCs w:val="24"/>
              </w:rPr>
              <w:t>0.0123</w:t>
            </w:r>
            <w:r w:rsidRPr="006F5AE8">
              <w:rPr>
                <w:sz w:val="24"/>
                <w:szCs w:val="24"/>
                <w:vertAlign w:val="superscript"/>
              </w:rPr>
              <w:t>d</w:t>
            </w:r>
          </w:p>
        </w:tc>
      </w:tr>
      <w:tr w:rsidR="0074039C" w:rsidRPr="00DD435F" w14:paraId="2ED6FB81" w14:textId="77777777" w:rsidTr="00B4050A">
        <w:tc>
          <w:tcPr>
            <w:tcW w:w="5000" w:type="pct"/>
            <w:gridSpan w:val="6"/>
            <w:tcBorders>
              <w:top w:val="single" w:sz="4" w:space="0" w:color="auto"/>
              <w:left w:val="single" w:sz="4" w:space="0" w:color="auto"/>
              <w:bottom w:val="single" w:sz="4" w:space="0" w:color="auto"/>
              <w:right w:val="single" w:sz="4" w:space="0" w:color="auto"/>
            </w:tcBorders>
            <w:hideMark/>
          </w:tcPr>
          <w:p w14:paraId="6F0D164E" w14:textId="53ECFFB2" w:rsidR="0074039C" w:rsidRPr="006F5AE8" w:rsidRDefault="0074039C" w:rsidP="00061ED9">
            <w:pPr>
              <w:ind w:left="316" w:hanging="284"/>
              <w:rPr>
                <w:sz w:val="24"/>
                <w:szCs w:val="24"/>
              </w:rPr>
            </w:pPr>
            <w:proofErr w:type="gramStart"/>
            <w:r w:rsidRPr="006F5AE8">
              <w:rPr>
                <w:sz w:val="24"/>
                <w:szCs w:val="24"/>
                <w:vertAlign w:val="superscript"/>
              </w:rPr>
              <w:t>a</w:t>
            </w:r>
            <w:proofErr w:type="gramEnd"/>
            <w:r w:rsidRPr="006F5AE8">
              <w:rPr>
                <w:sz w:val="24"/>
                <w:szCs w:val="24"/>
              </w:rPr>
              <w:t xml:space="preserve"> </w:t>
            </w:r>
            <w:r w:rsidR="00061ED9">
              <w:rPr>
                <w:sz w:val="24"/>
                <w:szCs w:val="24"/>
              </w:rPr>
              <w:tab/>
            </w:r>
            <w:r w:rsidRPr="006F5AE8">
              <w:rPr>
                <w:sz w:val="24"/>
                <w:szCs w:val="24"/>
              </w:rPr>
              <w:t>ARR = absolute risk reduction; RRR = relative risk reduction = (1-Hazard ratio) x 100%. A negative RRR indicates a relative risk increase.</w:t>
            </w:r>
          </w:p>
          <w:p w14:paraId="641D93A3" w14:textId="461A3F28" w:rsidR="0074039C" w:rsidRPr="006F5AE8" w:rsidRDefault="0074039C" w:rsidP="00061ED9">
            <w:pPr>
              <w:ind w:left="316" w:hanging="284"/>
              <w:rPr>
                <w:sz w:val="24"/>
                <w:szCs w:val="24"/>
              </w:rPr>
            </w:pPr>
            <w:r w:rsidRPr="006F5AE8">
              <w:rPr>
                <w:sz w:val="24"/>
                <w:szCs w:val="24"/>
                <w:vertAlign w:val="superscript"/>
              </w:rPr>
              <w:t>b</w:t>
            </w:r>
            <w:r w:rsidRPr="006F5AE8">
              <w:rPr>
                <w:sz w:val="24"/>
                <w:szCs w:val="24"/>
              </w:rPr>
              <w:t xml:space="preserve"> </w:t>
            </w:r>
            <w:r w:rsidR="00061ED9">
              <w:rPr>
                <w:sz w:val="24"/>
                <w:szCs w:val="24"/>
              </w:rPr>
              <w:tab/>
            </w:r>
            <w:r w:rsidRPr="006F5AE8">
              <w:rPr>
                <w:sz w:val="24"/>
                <w:szCs w:val="24"/>
              </w:rPr>
              <w:t>Excluding silent MI.</w:t>
            </w:r>
          </w:p>
          <w:p w14:paraId="5DB5C43B" w14:textId="77F5C628" w:rsidR="0074039C" w:rsidRPr="006F5AE8" w:rsidRDefault="0074039C" w:rsidP="00061ED9">
            <w:pPr>
              <w:ind w:left="316" w:hanging="284"/>
              <w:rPr>
                <w:sz w:val="24"/>
                <w:szCs w:val="24"/>
              </w:rPr>
            </w:pPr>
            <w:r w:rsidRPr="006F5AE8">
              <w:rPr>
                <w:sz w:val="24"/>
                <w:szCs w:val="24"/>
                <w:vertAlign w:val="superscript"/>
              </w:rPr>
              <w:t>c</w:t>
            </w:r>
            <w:r w:rsidRPr="006F5AE8">
              <w:rPr>
                <w:sz w:val="24"/>
                <w:szCs w:val="24"/>
              </w:rPr>
              <w:t xml:space="preserve"> </w:t>
            </w:r>
            <w:r w:rsidR="00061ED9">
              <w:rPr>
                <w:sz w:val="24"/>
                <w:szCs w:val="24"/>
              </w:rPr>
              <w:tab/>
            </w:r>
            <w:r w:rsidRPr="006F5AE8">
              <w:rPr>
                <w:sz w:val="24"/>
                <w:szCs w:val="24"/>
              </w:rPr>
              <w:t>SRI = serious recurrent ischaemia; RI = recurrent ischaemia; TIA = transient ischaemic attack; ATE = arterial thrombotic event. Total MI includes silent MI, with date of event set to date when discovered.</w:t>
            </w:r>
          </w:p>
          <w:p w14:paraId="2135FA7B" w14:textId="2ABFEA90" w:rsidR="0074039C" w:rsidRPr="006F5AE8" w:rsidRDefault="0074039C" w:rsidP="00061ED9">
            <w:pPr>
              <w:ind w:left="316" w:hanging="284"/>
              <w:rPr>
                <w:sz w:val="24"/>
                <w:szCs w:val="24"/>
              </w:rPr>
            </w:pPr>
            <w:r w:rsidRPr="006F5AE8">
              <w:rPr>
                <w:sz w:val="24"/>
                <w:szCs w:val="24"/>
                <w:vertAlign w:val="superscript"/>
              </w:rPr>
              <w:t>d</w:t>
            </w:r>
            <w:r w:rsidRPr="006F5AE8">
              <w:rPr>
                <w:sz w:val="24"/>
                <w:szCs w:val="24"/>
              </w:rPr>
              <w:t xml:space="preserve"> </w:t>
            </w:r>
            <w:r w:rsidR="00061ED9">
              <w:rPr>
                <w:sz w:val="24"/>
                <w:szCs w:val="24"/>
              </w:rPr>
              <w:tab/>
            </w:r>
            <w:r w:rsidRPr="006F5AE8">
              <w:rPr>
                <w:sz w:val="24"/>
                <w:szCs w:val="24"/>
              </w:rPr>
              <w:t>Nominal significance value; all others are formally statistically significant by pre-defined hierarchical testing.</w:t>
            </w:r>
          </w:p>
        </w:tc>
      </w:tr>
    </w:tbl>
    <w:p w14:paraId="087B4DE5" w14:textId="77777777" w:rsidR="0074039C" w:rsidRPr="006F5AE8" w:rsidRDefault="0074039C" w:rsidP="0074039C">
      <w:pPr>
        <w:rPr>
          <w:sz w:val="24"/>
          <w:szCs w:val="24"/>
          <w:lang w:val="en-GB" w:eastAsia="en-US"/>
        </w:rPr>
      </w:pPr>
    </w:p>
    <w:p w14:paraId="7D680F59" w14:textId="77777777" w:rsidR="0074039C" w:rsidRPr="006F5AE8" w:rsidRDefault="0074039C" w:rsidP="00B4050A">
      <w:pPr>
        <w:ind w:left="851"/>
        <w:rPr>
          <w:i/>
          <w:iCs/>
          <w:sz w:val="24"/>
          <w:szCs w:val="24"/>
          <w:lang w:val="en-US"/>
        </w:rPr>
      </w:pPr>
      <w:r w:rsidRPr="006F5AE8">
        <w:rPr>
          <w:i/>
          <w:iCs/>
          <w:sz w:val="24"/>
          <w:szCs w:val="24"/>
          <w:lang w:val="en-US"/>
        </w:rPr>
        <w:t xml:space="preserve">PLATO genetic </w:t>
      </w:r>
      <w:proofErr w:type="spellStart"/>
      <w:r w:rsidRPr="006F5AE8">
        <w:rPr>
          <w:i/>
          <w:iCs/>
          <w:sz w:val="24"/>
          <w:szCs w:val="24"/>
          <w:lang w:val="en-US"/>
        </w:rPr>
        <w:t>substudy</w:t>
      </w:r>
      <w:proofErr w:type="spellEnd"/>
    </w:p>
    <w:p w14:paraId="1C21BC46" w14:textId="77777777" w:rsidR="0074039C" w:rsidRPr="006F5AE8" w:rsidRDefault="0074039C" w:rsidP="00B4050A">
      <w:pPr>
        <w:ind w:left="851"/>
        <w:rPr>
          <w:sz w:val="24"/>
          <w:szCs w:val="24"/>
          <w:lang w:val="en-US"/>
        </w:rPr>
      </w:pPr>
      <w:r w:rsidRPr="006F5AE8">
        <w:rPr>
          <w:sz w:val="24"/>
          <w:szCs w:val="24"/>
          <w:lang w:val="en-US"/>
        </w:rPr>
        <w:t>CYP2C19 and ABCB1 genotyping of 10,285 patients in PLATO provided associations of genotype groups with PLATO outcomes. The superiority of ticagrelor over clopidogrel in reducing major CV events was not significantly affected by patient CYP2C19 or ABCB1 genotype. Similar to the overall PLATO study, total PLATO Major bleeding did not differ between ticagrelor and clopidogrel, regardless of CYP2C19 or ABCB1 genotype. Non-CABG PLATO Major bleeding was increased with ticagrelor compared clopidogrel in patients with one or more CYP2C19 loss of function alleles, but similar to clopidogrel in patients with no loss of function allele.</w:t>
      </w:r>
    </w:p>
    <w:p w14:paraId="5540957B" w14:textId="77777777" w:rsidR="0074039C" w:rsidRPr="006F5AE8" w:rsidRDefault="0074039C" w:rsidP="00B4050A">
      <w:pPr>
        <w:ind w:left="851"/>
        <w:rPr>
          <w:sz w:val="24"/>
          <w:szCs w:val="24"/>
          <w:lang w:val="en-US"/>
        </w:rPr>
      </w:pPr>
    </w:p>
    <w:p w14:paraId="29B37789" w14:textId="77777777" w:rsidR="0074039C" w:rsidRPr="006F5AE8" w:rsidRDefault="0074039C" w:rsidP="00B4050A">
      <w:pPr>
        <w:ind w:left="851"/>
        <w:rPr>
          <w:i/>
          <w:iCs/>
          <w:sz w:val="24"/>
          <w:szCs w:val="24"/>
          <w:lang w:val="en-US"/>
        </w:rPr>
      </w:pPr>
      <w:r w:rsidRPr="006F5AE8">
        <w:rPr>
          <w:i/>
          <w:iCs/>
          <w:sz w:val="24"/>
          <w:szCs w:val="24"/>
          <w:lang w:val="en-US"/>
        </w:rPr>
        <w:t>Combined efficacy and safety composite</w:t>
      </w:r>
    </w:p>
    <w:p w14:paraId="64FD932A" w14:textId="77777777" w:rsidR="0074039C" w:rsidRPr="006F5AE8" w:rsidRDefault="0074039C" w:rsidP="00B4050A">
      <w:pPr>
        <w:ind w:left="851"/>
        <w:rPr>
          <w:sz w:val="24"/>
          <w:szCs w:val="24"/>
          <w:lang w:val="en-US"/>
        </w:rPr>
      </w:pPr>
      <w:r w:rsidRPr="006F5AE8">
        <w:rPr>
          <w:sz w:val="24"/>
          <w:szCs w:val="24"/>
          <w:lang w:val="en-US"/>
        </w:rPr>
        <w:t>A combined efficacy and safety composite (CV death, MI, stroke or PLATO-defined ‘Total Major’ bleeding) indicates that the benefit in efficacy of ticagrelor compared to clopidogrel is not offset by the major bleeding events (ARR 1.4%, RRR 8%, HR 0.92; p=0.0257) over 12 months after ACS.</w:t>
      </w:r>
    </w:p>
    <w:p w14:paraId="6F03AEA3" w14:textId="77777777" w:rsidR="0074039C" w:rsidRPr="006F5AE8" w:rsidRDefault="0074039C" w:rsidP="00B4050A">
      <w:pPr>
        <w:ind w:left="851"/>
        <w:rPr>
          <w:sz w:val="24"/>
          <w:szCs w:val="24"/>
          <w:lang w:val="en-US"/>
        </w:rPr>
      </w:pPr>
    </w:p>
    <w:p w14:paraId="7B4F9122" w14:textId="77777777" w:rsidR="0074039C" w:rsidRPr="006F5AE8" w:rsidRDefault="0074039C" w:rsidP="00B4050A">
      <w:pPr>
        <w:ind w:left="851"/>
        <w:rPr>
          <w:i/>
          <w:iCs/>
          <w:sz w:val="24"/>
          <w:szCs w:val="24"/>
          <w:lang w:val="en-US"/>
        </w:rPr>
      </w:pPr>
      <w:r w:rsidRPr="006F5AE8">
        <w:rPr>
          <w:i/>
          <w:iCs/>
          <w:sz w:val="24"/>
          <w:szCs w:val="24"/>
          <w:lang w:val="en-US"/>
        </w:rPr>
        <w:t>Clinical safety</w:t>
      </w:r>
    </w:p>
    <w:p w14:paraId="367FB12D" w14:textId="77777777" w:rsidR="0074039C" w:rsidRPr="006F5AE8" w:rsidRDefault="0074039C" w:rsidP="00B4050A">
      <w:pPr>
        <w:ind w:left="851"/>
        <w:rPr>
          <w:sz w:val="24"/>
          <w:szCs w:val="24"/>
          <w:lang w:val="en-US"/>
        </w:rPr>
      </w:pPr>
      <w:r w:rsidRPr="006F5AE8">
        <w:rPr>
          <w:sz w:val="24"/>
          <w:szCs w:val="24"/>
          <w:lang w:val="en-US"/>
        </w:rPr>
        <w:t xml:space="preserve">Holter </w:t>
      </w:r>
      <w:proofErr w:type="spellStart"/>
      <w:r w:rsidRPr="006F5AE8">
        <w:rPr>
          <w:sz w:val="24"/>
          <w:szCs w:val="24"/>
          <w:lang w:val="en-US"/>
        </w:rPr>
        <w:t>substudy</w:t>
      </w:r>
      <w:proofErr w:type="spellEnd"/>
      <w:r w:rsidRPr="006F5AE8">
        <w:rPr>
          <w:sz w:val="24"/>
          <w:szCs w:val="24"/>
          <w:lang w:val="en-US"/>
        </w:rPr>
        <w:t>:</w:t>
      </w:r>
    </w:p>
    <w:p w14:paraId="5BBCCD82" w14:textId="77777777" w:rsidR="0074039C" w:rsidRPr="006F5AE8" w:rsidRDefault="0074039C" w:rsidP="00B4050A">
      <w:pPr>
        <w:ind w:left="851"/>
        <w:rPr>
          <w:sz w:val="24"/>
          <w:szCs w:val="24"/>
          <w:lang w:val="en-US"/>
        </w:rPr>
      </w:pPr>
      <w:r w:rsidRPr="006F5AE8">
        <w:rPr>
          <w:sz w:val="24"/>
          <w:szCs w:val="24"/>
          <w:lang w:val="en-US"/>
        </w:rPr>
        <w:t>To study the occurrence of ventricular pauses and other arrhythmic episodes during PLATO, investigators performed Holter monitoring in a subset of nearly 3000 patients, of whom approximately 2000 had recordings both in the acute phase of their ACS and after one month. The primary variable of interest was the occurrence of ventricular pauses ≥3 seconds. More patients had ventricular pauses with ticagrelor (6.0%) than with clopidogrel (3.5%) in the acute phase; and 2.2% and 1.6%, respectively, after 1 month (see section 4.4). The increase in ventricular pauses in the acute phase of ACS was more pronounced in ticagrelor patients with history of CHF (9.2% versus 5.4% in patients without CHF history; for clopidogrel patients, 4.0% in those with versus 3.6% in those without CHF history). This imbalance did not occur at one month: 2.0% versus 2.1% for ticagrelor patients with and without CHF history, respectively; and 3.8% versus 1.4% with clopidogrel. There were no adverse clinical consequences associated with this imbalance (including pacemaker insertions) in this population of patients.</w:t>
      </w:r>
    </w:p>
    <w:p w14:paraId="7524DCF9" w14:textId="77777777" w:rsidR="0074039C" w:rsidRPr="006F5AE8" w:rsidRDefault="0074039C" w:rsidP="00B4050A">
      <w:pPr>
        <w:ind w:left="851"/>
        <w:rPr>
          <w:sz w:val="24"/>
          <w:szCs w:val="24"/>
          <w:lang w:val="en-US"/>
        </w:rPr>
      </w:pPr>
    </w:p>
    <w:p w14:paraId="223E3A1D" w14:textId="77777777" w:rsidR="0074039C" w:rsidRPr="006F5AE8" w:rsidRDefault="0074039C" w:rsidP="00B4050A">
      <w:pPr>
        <w:ind w:left="851"/>
        <w:rPr>
          <w:i/>
          <w:iCs/>
          <w:sz w:val="24"/>
          <w:szCs w:val="24"/>
          <w:u w:val="single"/>
          <w:lang w:val="en-US"/>
        </w:rPr>
      </w:pPr>
      <w:r w:rsidRPr="006F5AE8">
        <w:rPr>
          <w:i/>
          <w:iCs/>
          <w:sz w:val="24"/>
          <w:szCs w:val="24"/>
          <w:u w:val="single"/>
          <w:lang w:val="en-US"/>
        </w:rPr>
        <w:t>PEGASUS study (History of Myocardial Infarction)</w:t>
      </w:r>
    </w:p>
    <w:p w14:paraId="4848358A" w14:textId="77777777" w:rsidR="0074039C" w:rsidRPr="006F5AE8" w:rsidRDefault="0074039C" w:rsidP="00B4050A">
      <w:pPr>
        <w:ind w:left="851"/>
        <w:rPr>
          <w:sz w:val="24"/>
          <w:szCs w:val="24"/>
          <w:lang w:val="en-US"/>
        </w:rPr>
      </w:pPr>
      <w:r w:rsidRPr="006F5AE8">
        <w:rPr>
          <w:sz w:val="24"/>
          <w:szCs w:val="24"/>
          <w:lang w:val="en-US"/>
        </w:rPr>
        <w:t xml:space="preserve">The PEGASUS TIMI-54 study was a 21,162 patient, event-driven, </w:t>
      </w:r>
      <w:proofErr w:type="spellStart"/>
      <w:r w:rsidRPr="006F5AE8">
        <w:rPr>
          <w:sz w:val="24"/>
          <w:szCs w:val="24"/>
          <w:lang w:val="en-US"/>
        </w:rPr>
        <w:t>randomised</w:t>
      </w:r>
      <w:proofErr w:type="spellEnd"/>
      <w:r w:rsidRPr="006F5AE8">
        <w:rPr>
          <w:sz w:val="24"/>
          <w:szCs w:val="24"/>
          <w:lang w:val="en-US"/>
        </w:rPr>
        <w:t xml:space="preserve">, double-blind, placebo-controlled, parallel group, international </w:t>
      </w:r>
      <w:proofErr w:type="spellStart"/>
      <w:r w:rsidRPr="006F5AE8">
        <w:rPr>
          <w:sz w:val="24"/>
          <w:szCs w:val="24"/>
          <w:lang w:val="en-US"/>
        </w:rPr>
        <w:t>multicentre</w:t>
      </w:r>
      <w:proofErr w:type="spellEnd"/>
      <w:r w:rsidRPr="006F5AE8">
        <w:rPr>
          <w:sz w:val="24"/>
          <w:szCs w:val="24"/>
          <w:lang w:val="en-US"/>
        </w:rPr>
        <w:t xml:space="preserve"> study to assess the prevention of atherothrombotic events with ticagrelor given at 2 doses (either 90 mg twice daily or 60 mg twice daily) combined with low dose ASA (75-150 mg), compared to ASA therapy alone in patients with history of MI and additional risk factors for atherothrombosis.</w:t>
      </w:r>
    </w:p>
    <w:p w14:paraId="153AC228" w14:textId="77777777" w:rsidR="0074039C" w:rsidRPr="006F5AE8" w:rsidRDefault="0074039C" w:rsidP="00B4050A">
      <w:pPr>
        <w:ind w:left="851"/>
        <w:rPr>
          <w:sz w:val="24"/>
          <w:szCs w:val="24"/>
          <w:lang w:val="en-US"/>
        </w:rPr>
      </w:pPr>
    </w:p>
    <w:p w14:paraId="0A3735E7" w14:textId="77777777" w:rsidR="0074039C" w:rsidRPr="006F5AE8" w:rsidRDefault="0074039C" w:rsidP="00B4050A">
      <w:pPr>
        <w:ind w:left="851"/>
        <w:rPr>
          <w:sz w:val="24"/>
          <w:szCs w:val="24"/>
          <w:lang w:val="en-US"/>
        </w:rPr>
      </w:pPr>
      <w:r w:rsidRPr="006F5AE8">
        <w:rPr>
          <w:sz w:val="24"/>
          <w:szCs w:val="24"/>
          <w:lang w:val="en-US"/>
        </w:rPr>
        <w:t xml:space="preserve">Patients were eligible to participate if they were aged 50 years or over, with a history of MI (1 to 3 years prior to </w:t>
      </w:r>
      <w:proofErr w:type="spellStart"/>
      <w:r w:rsidRPr="006F5AE8">
        <w:rPr>
          <w:sz w:val="24"/>
          <w:szCs w:val="24"/>
          <w:lang w:val="en-US"/>
        </w:rPr>
        <w:t>randomisation</w:t>
      </w:r>
      <w:proofErr w:type="spellEnd"/>
      <w:r w:rsidRPr="006F5AE8">
        <w:rPr>
          <w:sz w:val="24"/>
          <w:szCs w:val="24"/>
          <w:lang w:val="en-US"/>
        </w:rPr>
        <w:t>), and had at least one of the following risk factors for atherothrombosis: age ≥65 years, diabetes mellitus requiring medication, a second prior MI, evidence of multivessel CAD or chronic non-end-stage renal dysfunction.</w:t>
      </w:r>
    </w:p>
    <w:p w14:paraId="031B8955" w14:textId="77777777" w:rsidR="0074039C" w:rsidRPr="006F5AE8" w:rsidRDefault="0074039C" w:rsidP="00B4050A">
      <w:pPr>
        <w:ind w:left="851"/>
        <w:rPr>
          <w:sz w:val="24"/>
          <w:szCs w:val="24"/>
          <w:lang w:val="en-US"/>
        </w:rPr>
      </w:pPr>
    </w:p>
    <w:p w14:paraId="52702E03" w14:textId="77777777" w:rsidR="0074039C" w:rsidRPr="006F5AE8" w:rsidRDefault="0074039C" w:rsidP="00B4050A">
      <w:pPr>
        <w:ind w:left="851"/>
        <w:rPr>
          <w:sz w:val="24"/>
          <w:szCs w:val="24"/>
          <w:lang w:val="en-US"/>
        </w:rPr>
      </w:pPr>
      <w:r w:rsidRPr="006F5AE8">
        <w:rPr>
          <w:sz w:val="24"/>
          <w:szCs w:val="24"/>
          <w:lang w:val="en-US"/>
        </w:rPr>
        <w:t xml:space="preserve">Patients were ineligible if there was planned use of a P2Y12 receptor antagonist, dipyridamole, cilostazol, or anticoagulant therapy during the study period; if they had a bleeding disorder or a history of an </w:t>
      </w:r>
      <w:proofErr w:type="spellStart"/>
      <w:r w:rsidRPr="006F5AE8">
        <w:rPr>
          <w:sz w:val="24"/>
          <w:szCs w:val="24"/>
          <w:lang w:val="en-US"/>
        </w:rPr>
        <w:t>ischaemic</w:t>
      </w:r>
      <w:proofErr w:type="spellEnd"/>
      <w:r w:rsidRPr="006F5AE8">
        <w:rPr>
          <w:sz w:val="24"/>
          <w:szCs w:val="24"/>
          <w:lang w:val="en-US"/>
        </w:rPr>
        <w:t xml:space="preserve"> stroke or intracranial bleeding, a central nervous system tumour or an intracranial vascular abnormality; if they had had gastrointestinal bleeding within the previous 6 months or major surgery within the previous 30 days.</w:t>
      </w:r>
    </w:p>
    <w:p w14:paraId="34A20268" w14:textId="77777777" w:rsidR="0074039C" w:rsidRPr="006F5AE8" w:rsidRDefault="0074039C" w:rsidP="00B4050A">
      <w:pPr>
        <w:ind w:left="851"/>
        <w:rPr>
          <w:sz w:val="24"/>
          <w:szCs w:val="24"/>
          <w:lang w:val="en-US"/>
        </w:rPr>
      </w:pPr>
    </w:p>
    <w:p w14:paraId="46432E0A" w14:textId="77777777" w:rsidR="0074039C" w:rsidRPr="006F5AE8" w:rsidRDefault="0074039C" w:rsidP="0074039C">
      <w:pPr>
        <w:rPr>
          <w:i/>
          <w:iCs/>
          <w:sz w:val="24"/>
          <w:szCs w:val="24"/>
          <w:lang w:val="en-US"/>
        </w:rPr>
      </w:pPr>
      <w:r w:rsidRPr="006F5AE8">
        <w:rPr>
          <w:i/>
          <w:iCs/>
          <w:sz w:val="24"/>
          <w:szCs w:val="24"/>
          <w:lang w:val="en-US"/>
        </w:rPr>
        <w:t>Clinical efficacy</w:t>
      </w:r>
    </w:p>
    <w:p w14:paraId="1A4A22CE" w14:textId="77777777" w:rsidR="0074039C" w:rsidRPr="006F5AE8" w:rsidRDefault="0074039C" w:rsidP="0074039C">
      <w:pPr>
        <w:rPr>
          <w:i/>
          <w:iCs/>
          <w:sz w:val="24"/>
          <w:szCs w:val="24"/>
          <w:u w:val="single"/>
          <w:lang w:val="en-US"/>
        </w:rPr>
      </w:pPr>
      <w:r w:rsidRPr="006F5AE8">
        <w:rPr>
          <w:i/>
          <w:iCs/>
          <w:sz w:val="24"/>
          <w:szCs w:val="24"/>
          <w:u w:val="single"/>
          <w:lang w:val="en-US"/>
        </w:rPr>
        <w:t>Figure 2 - Analysis of primary clinical composite endpoint of CV death, MI and stroke (PEGASUS)</w:t>
      </w:r>
    </w:p>
    <w:p w14:paraId="29260544" w14:textId="4003F04F" w:rsidR="0074039C" w:rsidRPr="006F5AE8" w:rsidRDefault="0074039C" w:rsidP="00B4050A">
      <w:pPr>
        <w:tabs>
          <w:tab w:val="left" w:pos="1304"/>
        </w:tabs>
        <w:kinsoku w:val="0"/>
        <w:overflowPunct w:val="0"/>
        <w:autoSpaceDE w:val="0"/>
        <w:autoSpaceDN w:val="0"/>
        <w:adjustRightInd w:val="0"/>
        <w:rPr>
          <w:rFonts w:eastAsia="SimSun"/>
          <w:sz w:val="24"/>
          <w:szCs w:val="24"/>
          <w:lang w:val="en-US" w:eastAsia="en-GB"/>
        </w:rPr>
      </w:pPr>
      <w:r w:rsidRPr="006F5AE8">
        <w:rPr>
          <w:rFonts w:eastAsia="SimSun"/>
          <w:noProof/>
          <w:sz w:val="24"/>
          <w:szCs w:val="24"/>
          <w:lang w:eastAsia="en-GB"/>
        </w:rPr>
        <w:drawing>
          <wp:inline distT="0" distB="0" distL="0" distR="0" wp14:anchorId="279FB510" wp14:editId="453FEA15">
            <wp:extent cx="5402580" cy="3467100"/>
            <wp:effectExtent l="0" t="0" r="7620" b="0"/>
            <wp:docPr id="2" name="Billed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t, line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2580" cy="3467100"/>
                    </a:xfrm>
                    <a:prstGeom prst="rect">
                      <a:avLst/>
                    </a:prstGeom>
                    <a:noFill/>
                    <a:ln>
                      <a:noFill/>
                    </a:ln>
                  </pic:spPr>
                </pic:pic>
              </a:graphicData>
            </a:graphic>
          </wp:inline>
        </w:drawing>
      </w:r>
    </w:p>
    <w:p w14:paraId="32A4BFAC" w14:textId="77777777" w:rsidR="0074039C" w:rsidRPr="006F5AE8" w:rsidRDefault="0074039C" w:rsidP="0074039C">
      <w:pPr>
        <w:rPr>
          <w:sz w:val="24"/>
          <w:szCs w:val="24"/>
          <w:lang w:val="en-GB" w:eastAsia="en-US"/>
        </w:rPr>
      </w:pPr>
    </w:p>
    <w:p w14:paraId="7559E546" w14:textId="77777777" w:rsidR="0074039C" w:rsidRPr="006F5AE8" w:rsidRDefault="0074039C" w:rsidP="0074039C">
      <w:pPr>
        <w:rPr>
          <w:i/>
          <w:iCs/>
          <w:sz w:val="24"/>
          <w:szCs w:val="24"/>
          <w:u w:val="single"/>
          <w:lang w:val="en-US"/>
        </w:rPr>
      </w:pPr>
      <w:r w:rsidRPr="006F5AE8">
        <w:rPr>
          <w:i/>
          <w:iCs/>
          <w:sz w:val="24"/>
          <w:szCs w:val="24"/>
          <w:u w:val="single"/>
          <w:lang w:val="en-US"/>
        </w:rPr>
        <w:t>Table 5 - Analysis of primary and secondary efficacy endpoints (PEGASUS)</w:t>
      </w:r>
    </w:p>
    <w:p w14:paraId="14BDACB0" w14:textId="77777777" w:rsidR="0074039C" w:rsidRPr="006F5AE8" w:rsidRDefault="0074039C" w:rsidP="0074039C">
      <w:pPr>
        <w:rPr>
          <w:sz w:val="24"/>
          <w:szCs w:val="24"/>
          <w:lang w:val="en-US"/>
        </w:rPr>
      </w:pPr>
    </w:p>
    <w:tbl>
      <w:tblPr>
        <w:tblStyle w:val="Tabel-Gitter"/>
        <w:tblW w:w="5000" w:type="pct"/>
        <w:tblInd w:w="0" w:type="dxa"/>
        <w:tblLook w:val="04A0" w:firstRow="1" w:lastRow="0" w:firstColumn="1" w:lastColumn="0" w:noHBand="0" w:noVBand="1"/>
      </w:tblPr>
      <w:tblGrid>
        <w:gridCol w:w="1814"/>
        <w:gridCol w:w="1319"/>
        <w:gridCol w:w="1071"/>
        <w:gridCol w:w="1517"/>
        <w:gridCol w:w="1319"/>
        <w:gridCol w:w="1290"/>
        <w:gridCol w:w="1298"/>
      </w:tblGrid>
      <w:tr w:rsidR="0074039C" w:rsidRPr="006F5AE8" w14:paraId="34E0AEDA" w14:textId="77777777" w:rsidTr="0022759B">
        <w:tc>
          <w:tcPr>
            <w:tcW w:w="942" w:type="pct"/>
            <w:vMerge w:val="restart"/>
            <w:tcBorders>
              <w:top w:val="single" w:sz="4" w:space="0" w:color="auto"/>
              <w:left w:val="single" w:sz="4" w:space="0" w:color="auto"/>
              <w:bottom w:val="single" w:sz="4" w:space="0" w:color="auto"/>
              <w:right w:val="single" w:sz="4" w:space="0" w:color="auto"/>
            </w:tcBorders>
            <w:hideMark/>
          </w:tcPr>
          <w:p w14:paraId="4B9691F6" w14:textId="77777777" w:rsidR="0074039C" w:rsidRPr="006F5AE8" w:rsidRDefault="0074039C">
            <w:pPr>
              <w:rPr>
                <w:sz w:val="24"/>
                <w:szCs w:val="24"/>
              </w:rPr>
            </w:pPr>
            <w:r w:rsidRPr="006F5AE8">
              <w:rPr>
                <w:sz w:val="24"/>
                <w:szCs w:val="24"/>
              </w:rPr>
              <w:t>Characteristic</w:t>
            </w:r>
          </w:p>
        </w:tc>
        <w:tc>
          <w:tcPr>
            <w:tcW w:w="2028" w:type="pct"/>
            <w:gridSpan w:val="3"/>
            <w:tcBorders>
              <w:top w:val="single" w:sz="4" w:space="0" w:color="auto"/>
              <w:left w:val="single" w:sz="4" w:space="0" w:color="auto"/>
              <w:bottom w:val="single" w:sz="4" w:space="0" w:color="auto"/>
              <w:right w:val="single" w:sz="4" w:space="0" w:color="auto"/>
            </w:tcBorders>
            <w:hideMark/>
          </w:tcPr>
          <w:p w14:paraId="6A6A62C8" w14:textId="77777777" w:rsidR="0074039C" w:rsidRPr="006F5AE8" w:rsidRDefault="0074039C">
            <w:pPr>
              <w:rPr>
                <w:sz w:val="24"/>
                <w:szCs w:val="24"/>
              </w:rPr>
            </w:pPr>
            <w:r w:rsidRPr="006F5AE8">
              <w:rPr>
                <w:sz w:val="24"/>
                <w:szCs w:val="24"/>
              </w:rPr>
              <w:t>Ticagrelor 60 mg twice daily +ASA</w:t>
            </w:r>
          </w:p>
          <w:p w14:paraId="0E5C7963" w14:textId="77777777" w:rsidR="0074039C" w:rsidRPr="006F5AE8" w:rsidRDefault="0074039C">
            <w:pPr>
              <w:rPr>
                <w:sz w:val="24"/>
                <w:szCs w:val="24"/>
              </w:rPr>
            </w:pPr>
            <w:r w:rsidRPr="006F5AE8">
              <w:rPr>
                <w:sz w:val="24"/>
                <w:szCs w:val="24"/>
              </w:rPr>
              <w:t>N = 7045</w:t>
            </w:r>
          </w:p>
        </w:tc>
        <w:tc>
          <w:tcPr>
            <w:tcW w:w="1355" w:type="pct"/>
            <w:gridSpan w:val="2"/>
            <w:tcBorders>
              <w:top w:val="single" w:sz="4" w:space="0" w:color="auto"/>
              <w:left w:val="single" w:sz="4" w:space="0" w:color="auto"/>
              <w:bottom w:val="single" w:sz="4" w:space="0" w:color="auto"/>
              <w:right w:val="single" w:sz="4" w:space="0" w:color="auto"/>
            </w:tcBorders>
            <w:hideMark/>
          </w:tcPr>
          <w:p w14:paraId="0CA97F91" w14:textId="77777777" w:rsidR="0074039C" w:rsidRPr="006F5AE8" w:rsidRDefault="0074039C">
            <w:pPr>
              <w:rPr>
                <w:sz w:val="24"/>
                <w:szCs w:val="24"/>
              </w:rPr>
            </w:pPr>
            <w:r w:rsidRPr="006F5AE8">
              <w:rPr>
                <w:sz w:val="24"/>
                <w:szCs w:val="24"/>
              </w:rPr>
              <w:t>ASA alone</w:t>
            </w:r>
          </w:p>
          <w:p w14:paraId="5D8FA4C8" w14:textId="77777777" w:rsidR="0074039C" w:rsidRPr="006F5AE8" w:rsidRDefault="0074039C">
            <w:pPr>
              <w:rPr>
                <w:sz w:val="24"/>
                <w:szCs w:val="24"/>
              </w:rPr>
            </w:pPr>
            <w:r w:rsidRPr="006F5AE8">
              <w:rPr>
                <w:sz w:val="24"/>
                <w:szCs w:val="24"/>
              </w:rPr>
              <w:t>N = 7067</w:t>
            </w:r>
          </w:p>
        </w:tc>
        <w:tc>
          <w:tcPr>
            <w:tcW w:w="675" w:type="pct"/>
            <w:vMerge w:val="restart"/>
            <w:tcBorders>
              <w:top w:val="single" w:sz="4" w:space="0" w:color="auto"/>
              <w:left w:val="single" w:sz="4" w:space="0" w:color="auto"/>
              <w:bottom w:val="single" w:sz="4" w:space="0" w:color="auto"/>
              <w:right w:val="single" w:sz="4" w:space="0" w:color="auto"/>
            </w:tcBorders>
            <w:hideMark/>
          </w:tcPr>
          <w:p w14:paraId="6AB174F4" w14:textId="77777777" w:rsidR="0074039C" w:rsidRPr="006F5AE8" w:rsidRDefault="0074039C">
            <w:pPr>
              <w:rPr>
                <w:sz w:val="24"/>
                <w:szCs w:val="24"/>
              </w:rPr>
            </w:pPr>
            <w:r w:rsidRPr="006F5AE8">
              <w:rPr>
                <w:i/>
                <w:iCs/>
                <w:sz w:val="24"/>
                <w:szCs w:val="24"/>
              </w:rPr>
              <w:t>p</w:t>
            </w:r>
            <w:r w:rsidRPr="006F5AE8">
              <w:rPr>
                <w:sz w:val="24"/>
                <w:szCs w:val="24"/>
              </w:rPr>
              <w:t>-value</w:t>
            </w:r>
          </w:p>
        </w:tc>
      </w:tr>
      <w:tr w:rsidR="0074039C" w:rsidRPr="006F5AE8" w14:paraId="24156601" w14:textId="77777777" w:rsidTr="0022759B">
        <w:trPr>
          <w:tblHeader/>
        </w:trPr>
        <w:tc>
          <w:tcPr>
            <w:tcW w:w="942" w:type="pct"/>
            <w:vMerge/>
            <w:tcBorders>
              <w:top w:val="single" w:sz="4" w:space="0" w:color="auto"/>
              <w:left w:val="single" w:sz="4" w:space="0" w:color="auto"/>
              <w:bottom w:val="single" w:sz="4" w:space="0" w:color="auto"/>
              <w:right w:val="single" w:sz="4" w:space="0" w:color="auto"/>
            </w:tcBorders>
            <w:vAlign w:val="center"/>
            <w:hideMark/>
          </w:tcPr>
          <w:p w14:paraId="2AA09E7D" w14:textId="77777777" w:rsidR="0074039C" w:rsidRPr="006F5AE8" w:rsidRDefault="0074039C">
            <w:pPr>
              <w:rPr>
                <w:rFonts w:eastAsia="Times New Roman"/>
                <w:sz w:val="24"/>
                <w:szCs w:val="24"/>
                <w:lang w:eastAsia="en-US"/>
              </w:rPr>
            </w:pPr>
          </w:p>
        </w:tc>
        <w:tc>
          <w:tcPr>
            <w:tcW w:w="685" w:type="pct"/>
            <w:tcBorders>
              <w:top w:val="single" w:sz="4" w:space="0" w:color="auto"/>
              <w:left w:val="single" w:sz="4" w:space="0" w:color="auto"/>
              <w:bottom w:val="single" w:sz="4" w:space="0" w:color="auto"/>
              <w:right w:val="single" w:sz="4" w:space="0" w:color="auto"/>
            </w:tcBorders>
            <w:hideMark/>
          </w:tcPr>
          <w:p w14:paraId="6EECEB36" w14:textId="77777777" w:rsidR="0074039C" w:rsidRPr="006F5AE8" w:rsidRDefault="0074039C">
            <w:pPr>
              <w:rPr>
                <w:sz w:val="24"/>
                <w:szCs w:val="24"/>
              </w:rPr>
            </w:pPr>
            <w:r w:rsidRPr="006F5AE8">
              <w:rPr>
                <w:sz w:val="24"/>
                <w:szCs w:val="24"/>
              </w:rPr>
              <w:t>Patients with events</w:t>
            </w:r>
          </w:p>
        </w:tc>
        <w:tc>
          <w:tcPr>
            <w:tcW w:w="556" w:type="pct"/>
            <w:tcBorders>
              <w:top w:val="single" w:sz="4" w:space="0" w:color="auto"/>
              <w:left w:val="single" w:sz="4" w:space="0" w:color="auto"/>
              <w:bottom w:val="single" w:sz="4" w:space="0" w:color="auto"/>
              <w:right w:val="single" w:sz="4" w:space="0" w:color="auto"/>
            </w:tcBorders>
            <w:hideMark/>
          </w:tcPr>
          <w:p w14:paraId="1208739A" w14:textId="77777777" w:rsidR="0074039C" w:rsidRPr="006F5AE8" w:rsidRDefault="0074039C">
            <w:pPr>
              <w:rPr>
                <w:sz w:val="24"/>
                <w:szCs w:val="24"/>
              </w:rPr>
            </w:pPr>
            <w:r w:rsidRPr="006F5AE8">
              <w:rPr>
                <w:sz w:val="24"/>
                <w:szCs w:val="24"/>
              </w:rPr>
              <w:t>KM %</w:t>
            </w:r>
          </w:p>
        </w:tc>
        <w:tc>
          <w:tcPr>
            <w:tcW w:w="788" w:type="pct"/>
            <w:tcBorders>
              <w:top w:val="single" w:sz="4" w:space="0" w:color="auto"/>
              <w:left w:val="single" w:sz="4" w:space="0" w:color="auto"/>
              <w:bottom w:val="single" w:sz="4" w:space="0" w:color="auto"/>
              <w:right w:val="single" w:sz="4" w:space="0" w:color="auto"/>
            </w:tcBorders>
            <w:hideMark/>
          </w:tcPr>
          <w:p w14:paraId="69478D85" w14:textId="77777777" w:rsidR="0074039C" w:rsidRPr="006F5AE8" w:rsidRDefault="0074039C">
            <w:pPr>
              <w:rPr>
                <w:sz w:val="24"/>
                <w:szCs w:val="24"/>
              </w:rPr>
            </w:pPr>
            <w:r w:rsidRPr="006F5AE8">
              <w:rPr>
                <w:sz w:val="24"/>
                <w:szCs w:val="24"/>
              </w:rPr>
              <w:t>HR</w:t>
            </w:r>
          </w:p>
          <w:p w14:paraId="790D1874" w14:textId="77777777" w:rsidR="0074039C" w:rsidRPr="006F5AE8" w:rsidRDefault="0074039C">
            <w:pPr>
              <w:rPr>
                <w:sz w:val="24"/>
                <w:szCs w:val="24"/>
              </w:rPr>
            </w:pPr>
            <w:r w:rsidRPr="006F5AE8">
              <w:rPr>
                <w:sz w:val="24"/>
                <w:szCs w:val="24"/>
              </w:rPr>
              <w:t>(95% CI)</w:t>
            </w:r>
          </w:p>
        </w:tc>
        <w:tc>
          <w:tcPr>
            <w:tcW w:w="685" w:type="pct"/>
            <w:tcBorders>
              <w:top w:val="single" w:sz="4" w:space="0" w:color="auto"/>
              <w:left w:val="single" w:sz="4" w:space="0" w:color="auto"/>
              <w:bottom w:val="single" w:sz="4" w:space="0" w:color="auto"/>
              <w:right w:val="single" w:sz="4" w:space="0" w:color="auto"/>
            </w:tcBorders>
            <w:hideMark/>
          </w:tcPr>
          <w:p w14:paraId="067024FD" w14:textId="77777777" w:rsidR="0074039C" w:rsidRPr="006F5AE8" w:rsidRDefault="0074039C">
            <w:pPr>
              <w:rPr>
                <w:sz w:val="24"/>
                <w:szCs w:val="24"/>
              </w:rPr>
            </w:pPr>
            <w:r w:rsidRPr="006F5AE8">
              <w:rPr>
                <w:sz w:val="24"/>
                <w:szCs w:val="24"/>
              </w:rPr>
              <w:t>Patients with events</w:t>
            </w:r>
          </w:p>
        </w:tc>
        <w:tc>
          <w:tcPr>
            <w:tcW w:w="669" w:type="pct"/>
            <w:tcBorders>
              <w:top w:val="single" w:sz="4" w:space="0" w:color="auto"/>
              <w:left w:val="single" w:sz="4" w:space="0" w:color="auto"/>
              <w:bottom w:val="single" w:sz="4" w:space="0" w:color="auto"/>
              <w:right w:val="single" w:sz="4" w:space="0" w:color="auto"/>
            </w:tcBorders>
            <w:hideMark/>
          </w:tcPr>
          <w:p w14:paraId="1747A15B" w14:textId="77777777" w:rsidR="0074039C" w:rsidRPr="006F5AE8" w:rsidRDefault="0074039C">
            <w:pPr>
              <w:rPr>
                <w:sz w:val="24"/>
                <w:szCs w:val="24"/>
              </w:rPr>
            </w:pPr>
            <w:r w:rsidRPr="006F5AE8">
              <w:rPr>
                <w:sz w:val="24"/>
                <w:szCs w:val="24"/>
              </w:rPr>
              <w:t>KM %</w:t>
            </w:r>
          </w:p>
        </w:tc>
        <w:tc>
          <w:tcPr>
            <w:tcW w:w="675" w:type="pct"/>
            <w:vMerge/>
            <w:tcBorders>
              <w:top w:val="single" w:sz="4" w:space="0" w:color="auto"/>
              <w:left w:val="single" w:sz="4" w:space="0" w:color="auto"/>
              <w:bottom w:val="single" w:sz="4" w:space="0" w:color="auto"/>
              <w:right w:val="single" w:sz="4" w:space="0" w:color="auto"/>
            </w:tcBorders>
            <w:vAlign w:val="center"/>
            <w:hideMark/>
          </w:tcPr>
          <w:p w14:paraId="3205D050" w14:textId="77777777" w:rsidR="0074039C" w:rsidRPr="006F5AE8" w:rsidRDefault="0074039C">
            <w:pPr>
              <w:rPr>
                <w:rFonts w:eastAsia="Times New Roman"/>
                <w:sz w:val="24"/>
                <w:szCs w:val="24"/>
                <w:lang w:eastAsia="en-US"/>
              </w:rPr>
            </w:pPr>
          </w:p>
        </w:tc>
      </w:tr>
      <w:tr w:rsidR="0074039C" w:rsidRPr="006F5AE8" w14:paraId="15A6EC8F" w14:textId="77777777" w:rsidTr="0022759B">
        <w:tc>
          <w:tcPr>
            <w:tcW w:w="5000" w:type="pct"/>
            <w:gridSpan w:val="7"/>
            <w:tcBorders>
              <w:top w:val="single" w:sz="4" w:space="0" w:color="auto"/>
              <w:left w:val="single" w:sz="4" w:space="0" w:color="auto"/>
              <w:bottom w:val="single" w:sz="4" w:space="0" w:color="auto"/>
              <w:right w:val="single" w:sz="4" w:space="0" w:color="auto"/>
            </w:tcBorders>
            <w:hideMark/>
          </w:tcPr>
          <w:p w14:paraId="63F6FF24" w14:textId="77777777" w:rsidR="0074039C" w:rsidRPr="006F5AE8" w:rsidRDefault="0074039C">
            <w:pPr>
              <w:rPr>
                <w:sz w:val="24"/>
                <w:szCs w:val="24"/>
              </w:rPr>
            </w:pPr>
            <w:r w:rsidRPr="006F5AE8">
              <w:rPr>
                <w:sz w:val="24"/>
                <w:szCs w:val="24"/>
              </w:rPr>
              <w:t>Primary endpoint</w:t>
            </w:r>
          </w:p>
        </w:tc>
      </w:tr>
      <w:tr w:rsidR="0074039C" w:rsidRPr="006F5AE8" w14:paraId="330297EE" w14:textId="77777777" w:rsidTr="0022759B">
        <w:tc>
          <w:tcPr>
            <w:tcW w:w="942" w:type="pct"/>
            <w:tcBorders>
              <w:top w:val="single" w:sz="4" w:space="0" w:color="auto"/>
              <w:left w:val="single" w:sz="4" w:space="0" w:color="auto"/>
              <w:bottom w:val="single" w:sz="4" w:space="0" w:color="auto"/>
              <w:right w:val="single" w:sz="4" w:space="0" w:color="auto"/>
            </w:tcBorders>
            <w:hideMark/>
          </w:tcPr>
          <w:p w14:paraId="3FCDF3AE" w14:textId="77777777" w:rsidR="0074039C" w:rsidRPr="006F5AE8" w:rsidRDefault="0074039C">
            <w:pPr>
              <w:rPr>
                <w:sz w:val="24"/>
                <w:szCs w:val="24"/>
              </w:rPr>
            </w:pPr>
            <w:r w:rsidRPr="006F5AE8">
              <w:rPr>
                <w:sz w:val="24"/>
                <w:szCs w:val="24"/>
              </w:rPr>
              <w:t>Composite of CV Death/ MI/ Stroke</w:t>
            </w:r>
          </w:p>
        </w:tc>
        <w:tc>
          <w:tcPr>
            <w:tcW w:w="685" w:type="pct"/>
            <w:tcBorders>
              <w:top w:val="single" w:sz="4" w:space="0" w:color="auto"/>
              <w:left w:val="single" w:sz="4" w:space="0" w:color="auto"/>
              <w:bottom w:val="single" w:sz="4" w:space="0" w:color="auto"/>
              <w:right w:val="single" w:sz="4" w:space="0" w:color="auto"/>
            </w:tcBorders>
            <w:hideMark/>
          </w:tcPr>
          <w:p w14:paraId="5B0A29DC" w14:textId="77777777" w:rsidR="0074039C" w:rsidRPr="006F5AE8" w:rsidRDefault="0074039C">
            <w:pPr>
              <w:rPr>
                <w:sz w:val="24"/>
                <w:szCs w:val="24"/>
              </w:rPr>
            </w:pPr>
            <w:r w:rsidRPr="006F5AE8">
              <w:rPr>
                <w:sz w:val="24"/>
                <w:szCs w:val="24"/>
              </w:rPr>
              <w:t>487 (6.9%)</w:t>
            </w:r>
          </w:p>
        </w:tc>
        <w:tc>
          <w:tcPr>
            <w:tcW w:w="556" w:type="pct"/>
            <w:tcBorders>
              <w:top w:val="single" w:sz="4" w:space="0" w:color="auto"/>
              <w:left w:val="single" w:sz="4" w:space="0" w:color="auto"/>
              <w:bottom w:val="single" w:sz="4" w:space="0" w:color="auto"/>
              <w:right w:val="single" w:sz="4" w:space="0" w:color="auto"/>
            </w:tcBorders>
            <w:hideMark/>
          </w:tcPr>
          <w:p w14:paraId="2FF4B9FC" w14:textId="77777777" w:rsidR="0074039C" w:rsidRPr="006F5AE8" w:rsidRDefault="0074039C">
            <w:pPr>
              <w:rPr>
                <w:sz w:val="24"/>
                <w:szCs w:val="24"/>
              </w:rPr>
            </w:pPr>
            <w:r w:rsidRPr="006F5AE8">
              <w:rPr>
                <w:sz w:val="24"/>
                <w:szCs w:val="24"/>
              </w:rPr>
              <w:t>7.8%</w:t>
            </w:r>
          </w:p>
        </w:tc>
        <w:tc>
          <w:tcPr>
            <w:tcW w:w="788" w:type="pct"/>
            <w:tcBorders>
              <w:top w:val="single" w:sz="4" w:space="0" w:color="auto"/>
              <w:left w:val="single" w:sz="4" w:space="0" w:color="auto"/>
              <w:bottom w:val="single" w:sz="4" w:space="0" w:color="auto"/>
              <w:right w:val="single" w:sz="4" w:space="0" w:color="auto"/>
            </w:tcBorders>
            <w:hideMark/>
          </w:tcPr>
          <w:p w14:paraId="5A8FC2F3" w14:textId="77777777" w:rsidR="0074039C" w:rsidRPr="006F5AE8" w:rsidRDefault="0074039C">
            <w:pPr>
              <w:rPr>
                <w:sz w:val="24"/>
                <w:szCs w:val="24"/>
              </w:rPr>
            </w:pPr>
            <w:r w:rsidRPr="006F5AE8">
              <w:rPr>
                <w:sz w:val="24"/>
                <w:szCs w:val="24"/>
              </w:rPr>
              <w:t>0.84</w:t>
            </w:r>
          </w:p>
          <w:p w14:paraId="5836CC47" w14:textId="77777777" w:rsidR="0074039C" w:rsidRPr="006F5AE8" w:rsidRDefault="0074039C">
            <w:pPr>
              <w:rPr>
                <w:sz w:val="24"/>
                <w:szCs w:val="24"/>
              </w:rPr>
            </w:pPr>
            <w:r w:rsidRPr="006F5AE8">
              <w:rPr>
                <w:sz w:val="24"/>
                <w:szCs w:val="24"/>
              </w:rPr>
              <w:t>(0.74, 0.95)</w:t>
            </w:r>
          </w:p>
        </w:tc>
        <w:tc>
          <w:tcPr>
            <w:tcW w:w="685" w:type="pct"/>
            <w:tcBorders>
              <w:top w:val="single" w:sz="4" w:space="0" w:color="auto"/>
              <w:left w:val="single" w:sz="4" w:space="0" w:color="auto"/>
              <w:bottom w:val="single" w:sz="4" w:space="0" w:color="auto"/>
              <w:right w:val="single" w:sz="4" w:space="0" w:color="auto"/>
            </w:tcBorders>
            <w:hideMark/>
          </w:tcPr>
          <w:p w14:paraId="49479E21" w14:textId="77777777" w:rsidR="0074039C" w:rsidRPr="006F5AE8" w:rsidRDefault="0074039C">
            <w:pPr>
              <w:rPr>
                <w:sz w:val="24"/>
                <w:szCs w:val="24"/>
              </w:rPr>
            </w:pPr>
            <w:r w:rsidRPr="006F5AE8">
              <w:rPr>
                <w:sz w:val="24"/>
                <w:szCs w:val="24"/>
              </w:rPr>
              <w:t>578 (8.2%)</w:t>
            </w:r>
          </w:p>
        </w:tc>
        <w:tc>
          <w:tcPr>
            <w:tcW w:w="669" w:type="pct"/>
            <w:tcBorders>
              <w:top w:val="single" w:sz="4" w:space="0" w:color="auto"/>
              <w:left w:val="single" w:sz="4" w:space="0" w:color="auto"/>
              <w:bottom w:val="single" w:sz="4" w:space="0" w:color="auto"/>
              <w:right w:val="single" w:sz="4" w:space="0" w:color="auto"/>
            </w:tcBorders>
            <w:hideMark/>
          </w:tcPr>
          <w:p w14:paraId="5B8A25C3" w14:textId="77777777" w:rsidR="0074039C" w:rsidRPr="006F5AE8" w:rsidRDefault="0074039C">
            <w:pPr>
              <w:rPr>
                <w:sz w:val="24"/>
                <w:szCs w:val="24"/>
              </w:rPr>
            </w:pPr>
            <w:r w:rsidRPr="006F5AE8">
              <w:rPr>
                <w:sz w:val="24"/>
                <w:szCs w:val="24"/>
              </w:rPr>
              <w:t>9.0%</w:t>
            </w:r>
          </w:p>
        </w:tc>
        <w:tc>
          <w:tcPr>
            <w:tcW w:w="675" w:type="pct"/>
            <w:tcBorders>
              <w:top w:val="single" w:sz="4" w:space="0" w:color="auto"/>
              <w:left w:val="single" w:sz="4" w:space="0" w:color="auto"/>
              <w:bottom w:val="single" w:sz="4" w:space="0" w:color="auto"/>
              <w:right w:val="single" w:sz="4" w:space="0" w:color="auto"/>
            </w:tcBorders>
            <w:hideMark/>
          </w:tcPr>
          <w:p w14:paraId="5DD79882" w14:textId="77777777" w:rsidR="0074039C" w:rsidRPr="006F5AE8" w:rsidRDefault="0074039C">
            <w:pPr>
              <w:rPr>
                <w:sz w:val="24"/>
                <w:szCs w:val="24"/>
              </w:rPr>
            </w:pPr>
            <w:r w:rsidRPr="006F5AE8">
              <w:rPr>
                <w:sz w:val="24"/>
                <w:szCs w:val="24"/>
              </w:rPr>
              <w:t>0.0043 (s)</w:t>
            </w:r>
          </w:p>
        </w:tc>
      </w:tr>
      <w:tr w:rsidR="0074039C" w:rsidRPr="006F5AE8" w14:paraId="0F191EEA" w14:textId="77777777" w:rsidTr="0022759B">
        <w:tc>
          <w:tcPr>
            <w:tcW w:w="942" w:type="pct"/>
            <w:tcBorders>
              <w:top w:val="single" w:sz="4" w:space="0" w:color="auto"/>
              <w:left w:val="single" w:sz="4" w:space="0" w:color="auto"/>
              <w:bottom w:val="single" w:sz="4" w:space="0" w:color="auto"/>
              <w:right w:val="single" w:sz="4" w:space="0" w:color="auto"/>
            </w:tcBorders>
            <w:hideMark/>
          </w:tcPr>
          <w:p w14:paraId="058B6419" w14:textId="77777777" w:rsidR="0074039C" w:rsidRPr="006F5AE8" w:rsidRDefault="0074039C">
            <w:pPr>
              <w:rPr>
                <w:sz w:val="24"/>
                <w:szCs w:val="24"/>
              </w:rPr>
            </w:pPr>
            <w:r w:rsidRPr="006F5AE8">
              <w:rPr>
                <w:sz w:val="24"/>
                <w:szCs w:val="24"/>
              </w:rPr>
              <w:t>CV death</w:t>
            </w:r>
          </w:p>
        </w:tc>
        <w:tc>
          <w:tcPr>
            <w:tcW w:w="685" w:type="pct"/>
            <w:tcBorders>
              <w:top w:val="single" w:sz="4" w:space="0" w:color="auto"/>
              <w:left w:val="single" w:sz="4" w:space="0" w:color="auto"/>
              <w:bottom w:val="single" w:sz="4" w:space="0" w:color="auto"/>
              <w:right w:val="single" w:sz="4" w:space="0" w:color="auto"/>
            </w:tcBorders>
            <w:hideMark/>
          </w:tcPr>
          <w:p w14:paraId="4F8BD65E" w14:textId="77777777" w:rsidR="0074039C" w:rsidRPr="006F5AE8" w:rsidRDefault="0074039C">
            <w:pPr>
              <w:rPr>
                <w:sz w:val="24"/>
                <w:szCs w:val="24"/>
              </w:rPr>
            </w:pPr>
            <w:r w:rsidRPr="006F5AE8">
              <w:rPr>
                <w:sz w:val="24"/>
                <w:szCs w:val="24"/>
              </w:rPr>
              <w:t>174 (2.5%)</w:t>
            </w:r>
          </w:p>
        </w:tc>
        <w:tc>
          <w:tcPr>
            <w:tcW w:w="556" w:type="pct"/>
            <w:tcBorders>
              <w:top w:val="single" w:sz="4" w:space="0" w:color="auto"/>
              <w:left w:val="single" w:sz="4" w:space="0" w:color="auto"/>
              <w:bottom w:val="single" w:sz="4" w:space="0" w:color="auto"/>
              <w:right w:val="single" w:sz="4" w:space="0" w:color="auto"/>
            </w:tcBorders>
            <w:hideMark/>
          </w:tcPr>
          <w:p w14:paraId="42ABB255" w14:textId="77777777" w:rsidR="0074039C" w:rsidRPr="006F5AE8" w:rsidRDefault="0074039C">
            <w:pPr>
              <w:rPr>
                <w:sz w:val="24"/>
                <w:szCs w:val="24"/>
              </w:rPr>
            </w:pPr>
            <w:r w:rsidRPr="006F5AE8">
              <w:rPr>
                <w:sz w:val="24"/>
                <w:szCs w:val="24"/>
              </w:rPr>
              <w:t>2.9%</w:t>
            </w:r>
          </w:p>
        </w:tc>
        <w:tc>
          <w:tcPr>
            <w:tcW w:w="788" w:type="pct"/>
            <w:tcBorders>
              <w:top w:val="single" w:sz="4" w:space="0" w:color="auto"/>
              <w:left w:val="single" w:sz="4" w:space="0" w:color="auto"/>
              <w:bottom w:val="single" w:sz="4" w:space="0" w:color="auto"/>
              <w:right w:val="single" w:sz="4" w:space="0" w:color="auto"/>
            </w:tcBorders>
            <w:hideMark/>
          </w:tcPr>
          <w:p w14:paraId="4FE54D15" w14:textId="77777777" w:rsidR="0074039C" w:rsidRPr="006F5AE8" w:rsidRDefault="0074039C">
            <w:pPr>
              <w:rPr>
                <w:sz w:val="24"/>
                <w:szCs w:val="24"/>
              </w:rPr>
            </w:pPr>
            <w:r w:rsidRPr="006F5AE8">
              <w:rPr>
                <w:sz w:val="24"/>
                <w:szCs w:val="24"/>
              </w:rPr>
              <w:t>0.83</w:t>
            </w:r>
          </w:p>
          <w:p w14:paraId="2ACAEF2E" w14:textId="77777777" w:rsidR="0074039C" w:rsidRPr="006F5AE8" w:rsidRDefault="0074039C">
            <w:pPr>
              <w:rPr>
                <w:sz w:val="24"/>
                <w:szCs w:val="24"/>
              </w:rPr>
            </w:pPr>
            <w:r w:rsidRPr="006F5AE8">
              <w:rPr>
                <w:sz w:val="24"/>
                <w:szCs w:val="24"/>
              </w:rPr>
              <w:t>(0.68, 1.01)</w:t>
            </w:r>
          </w:p>
        </w:tc>
        <w:tc>
          <w:tcPr>
            <w:tcW w:w="685" w:type="pct"/>
            <w:tcBorders>
              <w:top w:val="single" w:sz="4" w:space="0" w:color="auto"/>
              <w:left w:val="single" w:sz="4" w:space="0" w:color="auto"/>
              <w:bottom w:val="single" w:sz="4" w:space="0" w:color="auto"/>
              <w:right w:val="single" w:sz="4" w:space="0" w:color="auto"/>
            </w:tcBorders>
            <w:hideMark/>
          </w:tcPr>
          <w:p w14:paraId="4646754D" w14:textId="77777777" w:rsidR="0074039C" w:rsidRPr="006F5AE8" w:rsidRDefault="0074039C">
            <w:pPr>
              <w:rPr>
                <w:sz w:val="24"/>
                <w:szCs w:val="24"/>
              </w:rPr>
            </w:pPr>
            <w:r w:rsidRPr="006F5AE8">
              <w:rPr>
                <w:sz w:val="24"/>
                <w:szCs w:val="24"/>
              </w:rPr>
              <w:t>210 (3.0%)</w:t>
            </w:r>
          </w:p>
        </w:tc>
        <w:tc>
          <w:tcPr>
            <w:tcW w:w="669" w:type="pct"/>
            <w:tcBorders>
              <w:top w:val="single" w:sz="4" w:space="0" w:color="auto"/>
              <w:left w:val="single" w:sz="4" w:space="0" w:color="auto"/>
              <w:bottom w:val="single" w:sz="4" w:space="0" w:color="auto"/>
              <w:right w:val="single" w:sz="4" w:space="0" w:color="auto"/>
            </w:tcBorders>
            <w:hideMark/>
          </w:tcPr>
          <w:p w14:paraId="180EF0A7" w14:textId="77777777" w:rsidR="0074039C" w:rsidRPr="006F5AE8" w:rsidRDefault="0074039C">
            <w:pPr>
              <w:rPr>
                <w:sz w:val="24"/>
                <w:szCs w:val="24"/>
              </w:rPr>
            </w:pPr>
            <w:r w:rsidRPr="006F5AE8">
              <w:rPr>
                <w:sz w:val="24"/>
                <w:szCs w:val="24"/>
              </w:rPr>
              <w:t>3.4%</w:t>
            </w:r>
          </w:p>
        </w:tc>
        <w:tc>
          <w:tcPr>
            <w:tcW w:w="675" w:type="pct"/>
            <w:tcBorders>
              <w:top w:val="single" w:sz="4" w:space="0" w:color="auto"/>
              <w:left w:val="single" w:sz="4" w:space="0" w:color="auto"/>
              <w:bottom w:val="single" w:sz="4" w:space="0" w:color="auto"/>
              <w:right w:val="single" w:sz="4" w:space="0" w:color="auto"/>
            </w:tcBorders>
            <w:hideMark/>
          </w:tcPr>
          <w:p w14:paraId="1032FCCE" w14:textId="77777777" w:rsidR="0074039C" w:rsidRPr="006F5AE8" w:rsidRDefault="0074039C">
            <w:pPr>
              <w:rPr>
                <w:sz w:val="24"/>
                <w:szCs w:val="24"/>
              </w:rPr>
            </w:pPr>
            <w:r w:rsidRPr="006F5AE8">
              <w:rPr>
                <w:sz w:val="24"/>
                <w:szCs w:val="24"/>
              </w:rPr>
              <w:t>0.0676</w:t>
            </w:r>
          </w:p>
        </w:tc>
      </w:tr>
      <w:tr w:rsidR="0074039C" w:rsidRPr="006F5AE8" w14:paraId="5DF66F6E" w14:textId="77777777" w:rsidTr="0022759B">
        <w:tc>
          <w:tcPr>
            <w:tcW w:w="942" w:type="pct"/>
            <w:tcBorders>
              <w:top w:val="single" w:sz="4" w:space="0" w:color="auto"/>
              <w:left w:val="single" w:sz="4" w:space="0" w:color="auto"/>
              <w:bottom w:val="single" w:sz="4" w:space="0" w:color="auto"/>
              <w:right w:val="single" w:sz="4" w:space="0" w:color="auto"/>
            </w:tcBorders>
            <w:hideMark/>
          </w:tcPr>
          <w:p w14:paraId="51C3B3B3" w14:textId="77777777" w:rsidR="0074039C" w:rsidRPr="006F5AE8" w:rsidRDefault="0074039C">
            <w:pPr>
              <w:rPr>
                <w:sz w:val="24"/>
                <w:szCs w:val="24"/>
              </w:rPr>
            </w:pPr>
            <w:r w:rsidRPr="006F5AE8">
              <w:rPr>
                <w:sz w:val="24"/>
                <w:szCs w:val="24"/>
              </w:rPr>
              <w:t>MI</w:t>
            </w:r>
          </w:p>
        </w:tc>
        <w:tc>
          <w:tcPr>
            <w:tcW w:w="685" w:type="pct"/>
            <w:tcBorders>
              <w:top w:val="single" w:sz="4" w:space="0" w:color="auto"/>
              <w:left w:val="single" w:sz="4" w:space="0" w:color="auto"/>
              <w:bottom w:val="single" w:sz="4" w:space="0" w:color="auto"/>
              <w:right w:val="single" w:sz="4" w:space="0" w:color="auto"/>
            </w:tcBorders>
            <w:hideMark/>
          </w:tcPr>
          <w:p w14:paraId="5BD1B8CF" w14:textId="77777777" w:rsidR="0074039C" w:rsidRPr="006F5AE8" w:rsidRDefault="0074039C">
            <w:pPr>
              <w:rPr>
                <w:sz w:val="24"/>
                <w:szCs w:val="24"/>
              </w:rPr>
            </w:pPr>
            <w:r w:rsidRPr="006F5AE8">
              <w:rPr>
                <w:sz w:val="24"/>
                <w:szCs w:val="24"/>
              </w:rPr>
              <w:t>285 (4.0%)</w:t>
            </w:r>
          </w:p>
        </w:tc>
        <w:tc>
          <w:tcPr>
            <w:tcW w:w="556" w:type="pct"/>
            <w:tcBorders>
              <w:top w:val="single" w:sz="4" w:space="0" w:color="auto"/>
              <w:left w:val="single" w:sz="4" w:space="0" w:color="auto"/>
              <w:bottom w:val="single" w:sz="4" w:space="0" w:color="auto"/>
              <w:right w:val="single" w:sz="4" w:space="0" w:color="auto"/>
            </w:tcBorders>
            <w:hideMark/>
          </w:tcPr>
          <w:p w14:paraId="17ABD4CA" w14:textId="77777777" w:rsidR="0074039C" w:rsidRPr="006F5AE8" w:rsidRDefault="0074039C">
            <w:pPr>
              <w:rPr>
                <w:sz w:val="24"/>
                <w:szCs w:val="24"/>
              </w:rPr>
            </w:pPr>
            <w:r w:rsidRPr="006F5AE8">
              <w:rPr>
                <w:sz w:val="24"/>
                <w:szCs w:val="24"/>
              </w:rPr>
              <w:t>4.5%</w:t>
            </w:r>
          </w:p>
        </w:tc>
        <w:tc>
          <w:tcPr>
            <w:tcW w:w="788" w:type="pct"/>
            <w:tcBorders>
              <w:top w:val="single" w:sz="4" w:space="0" w:color="auto"/>
              <w:left w:val="single" w:sz="4" w:space="0" w:color="auto"/>
              <w:bottom w:val="single" w:sz="4" w:space="0" w:color="auto"/>
              <w:right w:val="single" w:sz="4" w:space="0" w:color="auto"/>
            </w:tcBorders>
            <w:hideMark/>
          </w:tcPr>
          <w:p w14:paraId="360EF8F7" w14:textId="77777777" w:rsidR="0074039C" w:rsidRPr="006F5AE8" w:rsidRDefault="0074039C">
            <w:pPr>
              <w:rPr>
                <w:sz w:val="24"/>
                <w:szCs w:val="24"/>
              </w:rPr>
            </w:pPr>
            <w:r w:rsidRPr="006F5AE8">
              <w:rPr>
                <w:sz w:val="24"/>
                <w:szCs w:val="24"/>
              </w:rPr>
              <w:t>0.84</w:t>
            </w:r>
          </w:p>
          <w:p w14:paraId="7771DC51" w14:textId="77777777" w:rsidR="0074039C" w:rsidRPr="006F5AE8" w:rsidRDefault="0074039C">
            <w:pPr>
              <w:rPr>
                <w:sz w:val="24"/>
                <w:szCs w:val="24"/>
              </w:rPr>
            </w:pPr>
            <w:r w:rsidRPr="006F5AE8">
              <w:rPr>
                <w:sz w:val="24"/>
                <w:szCs w:val="24"/>
              </w:rPr>
              <w:t>(0.72, 0.98)</w:t>
            </w:r>
          </w:p>
        </w:tc>
        <w:tc>
          <w:tcPr>
            <w:tcW w:w="685" w:type="pct"/>
            <w:tcBorders>
              <w:top w:val="single" w:sz="4" w:space="0" w:color="auto"/>
              <w:left w:val="single" w:sz="4" w:space="0" w:color="auto"/>
              <w:bottom w:val="single" w:sz="4" w:space="0" w:color="auto"/>
              <w:right w:val="single" w:sz="4" w:space="0" w:color="auto"/>
            </w:tcBorders>
            <w:hideMark/>
          </w:tcPr>
          <w:p w14:paraId="661DFF4B" w14:textId="77777777" w:rsidR="0074039C" w:rsidRPr="006F5AE8" w:rsidRDefault="0074039C">
            <w:pPr>
              <w:rPr>
                <w:sz w:val="24"/>
                <w:szCs w:val="24"/>
              </w:rPr>
            </w:pPr>
            <w:r w:rsidRPr="006F5AE8">
              <w:rPr>
                <w:sz w:val="24"/>
                <w:szCs w:val="24"/>
              </w:rPr>
              <w:t>338 (4.8%)</w:t>
            </w:r>
          </w:p>
        </w:tc>
        <w:tc>
          <w:tcPr>
            <w:tcW w:w="669" w:type="pct"/>
            <w:tcBorders>
              <w:top w:val="single" w:sz="4" w:space="0" w:color="auto"/>
              <w:left w:val="single" w:sz="4" w:space="0" w:color="auto"/>
              <w:bottom w:val="single" w:sz="4" w:space="0" w:color="auto"/>
              <w:right w:val="single" w:sz="4" w:space="0" w:color="auto"/>
            </w:tcBorders>
            <w:hideMark/>
          </w:tcPr>
          <w:p w14:paraId="27D7C16E" w14:textId="77777777" w:rsidR="0074039C" w:rsidRPr="006F5AE8" w:rsidRDefault="0074039C">
            <w:pPr>
              <w:rPr>
                <w:sz w:val="24"/>
                <w:szCs w:val="24"/>
              </w:rPr>
            </w:pPr>
            <w:r w:rsidRPr="006F5AE8">
              <w:rPr>
                <w:sz w:val="24"/>
                <w:szCs w:val="24"/>
              </w:rPr>
              <w:t>5.2%</w:t>
            </w:r>
          </w:p>
        </w:tc>
        <w:tc>
          <w:tcPr>
            <w:tcW w:w="675" w:type="pct"/>
            <w:tcBorders>
              <w:top w:val="single" w:sz="4" w:space="0" w:color="auto"/>
              <w:left w:val="single" w:sz="4" w:space="0" w:color="auto"/>
              <w:bottom w:val="single" w:sz="4" w:space="0" w:color="auto"/>
              <w:right w:val="single" w:sz="4" w:space="0" w:color="auto"/>
            </w:tcBorders>
            <w:hideMark/>
          </w:tcPr>
          <w:p w14:paraId="1B2462FE" w14:textId="77777777" w:rsidR="0074039C" w:rsidRPr="006F5AE8" w:rsidRDefault="0074039C">
            <w:pPr>
              <w:rPr>
                <w:sz w:val="24"/>
                <w:szCs w:val="24"/>
              </w:rPr>
            </w:pPr>
            <w:r w:rsidRPr="006F5AE8">
              <w:rPr>
                <w:sz w:val="24"/>
                <w:szCs w:val="24"/>
              </w:rPr>
              <w:t>0.0314</w:t>
            </w:r>
          </w:p>
        </w:tc>
      </w:tr>
      <w:tr w:rsidR="0074039C" w:rsidRPr="006F5AE8" w14:paraId="602246C5" w14:textId="77777777" w:rsidTr="0022759B">
        <w:tc>
          <w:tcPr>
            <w:tcW w:w="942" w:type="pct"/>
            <w:tcBorders>
              <w:top w:val="single" w:sz="4" w:space="0" w:color="auto"/>
              <w:left w:val="single" w:sz="4" w:space="0" w:color="auto"/>
              <w:bottom w:val="single" w:sz="4" w:space="0" w:color="auto"/>
              <w:right w:val="single" w:sz="4" w:space="0" w:color="auto"/>
            </w:tcBorders>
            <w:hideMark/>
          </w:tcPr>
          <w:p w14:paraId="521DC1E6" w14:textId="77777777" w:rsidR="0074039C" w:rsidRPr="006F5AE8" w:rsidRDefault="0074039C">
            <w:pPr>
              <w:rPr>
                <w:sz w:val="24"/>
                <w:szCs w:val="24"/>
              </w:rPr>
            </w:pPr>
            <w:r w:rsidRPr="006F5AE8">
              <w:rPr>
                <w:sz w:val="24"/>
                <w:szCs w:val="24"/>
              </w:rPr>
              <w:t>Stroke</w:t>
            </w:r>
          </w:p>
        </w:tc>
        <w:tc>
          <w:tcPr>
            <w:tcW w:w="685" w:type="pct"/>
            <w:tcBorders>
              <w:top w:val="single" w:sz="4" w:space="0" w:color="auto"/>
              <w:left w:val="single" w:sz="4" w:space="0" w:color="auto"/>
              <w:bottom w:val="single" w:sz="4" w:space="0" w:color="auto"/>
              <w:right w:val="single" w:sz="4" w:space="0" w:color="auto"/>
            </w:tcBorders>
            <w:hideMark/>
          </w:tcPr>
          <w:p w14:paraId="5AA486D2" w14:textId="77777777" w:rsidR="0074039C" w:rsidRPr="006F5AE8" w:rsidRDefault="0074039C">
            <w:pPr>
              <w:rPr>
                <w:sz w:val="24"/>
                <w:szCs w:val="24"/>
              </w:rPr>
            </w:pPr>
            <w:r w:rsidRPr="006F5AE8">
              <w:rPr>
                <w:sz w:val="24"/>
                <w:szCs w:val="24"/>
              </w:rPr>
              <w:t>91 (1.3%)</w:t>
            </w:r>
          </w:p>
        </w:tc>
        <w:tc>
          <w:tcPr>
            <w:tcW w:w="556" w:type="pct"/>
            <w:tcBorders>
              <w:top w:val="single" w:sz="4" w:space="0" w:color="auto"/>
              <w:left w:val="single" w:sz="4" w:space="0" w:color="auto"/>
              <w:bottom w:val="single" w:sz="4" w:space="0" w:color="auto"/>
              <w:right w:val="single" w:sz="4" w:space="0" w:color="auto"/>
            </w:tcBorders>
            <w:hideMark/>
          </w:tcPr>
          <w:p w14:paraId="74D50033" w14:textId="77777777" w:rsidR="0074039C" w:rsidRPr="006F5AE8" w:rsidRDefault="0074039C">
            <w:pPr>
              <w:rPr>
                <w:sz w:val="24"/>
                <w:szCs w:val="24"/>
              </w:rPr>
            </w:pPr>
            <w:r w:rsidRPr="006F5AE8">
              <w:rPr>
                <w:sz w:val="24"/>
                <w:szCs w:val="24"/>
              </w:rPr>
              <w:t>1.5%</w:t>
            </w:r>
          </w:p>
        </w:tc>
        <w:tc>
          <w:tcPr>
            <w:tcW w:w="788" w:type="pct"/>
            <w:tcBorders>
              <w:top w:val="single" w:sz="4" w:space="0" w:color="auto"/>
              <w:left w:val="single" w:sz="4" w:space="0" w:color="auto"/>
              <w:bottom w:val="single" w:sz="4" w:space="0" w:color="auto"/>
              <w:right w:val="single" w:sz="4" w:space="0" w:color="auto"/>
            </w:tcBorders>
            <w:hideMark/>
          </w:tcPr>
          <w:p w14:paraId="2A75A388" w14:textId="77777777" w:rsidR="0074039C" w:rsidRPr="006F5AE8" w:rsidRDefault="0074039C">
            <w:pPr>
              <w:rPr>
                <w:sz w:val="24"/>
                <w:szCs w:val="24"/>
              </w:rPr>
            </w:pPr>
            <w:r w:rsidRPr="006F5AE8">
              <w:rPr>
                <w:sz w:val="24"/>
                <w:szCs w:val="24"/>
              </w:rPr>
              <w:t>0.75</w:t>
            </w:r>
          </w:p>
          <w:p w14:paraId="7E0F6DBF" w14:textId="77777777" w:rsidR="0074039C" w:rsidRPr="006F5AE8" w:rsidRDefault="0074039C">
            <w:pPr>
              <w:rPr>
                <w:sz w:val="24"/>
                <w:szCs w:val="24"/>
              </w:rPr>
            </w:pPr>
            <w:r w:rsidRPr="006F5AE8">
              <w:rPr>
                <w:sz w:val="24"/>
                <w:szCs w:val="24"/>
              </w:rPr>
              <w:t>(0.57, 0.98)</w:t>
            </w:r>
          </w:p>
        </w:tc>
        <w:tc>
          <w:tcPr>
            <w:tcW w:w="685" w:type="pct"/>
            <w:tcBorders>
              <w:top w:val="single" w:sz="4" w:space="0" w:color="auto"/>
              <w:left w:val="single" w:sz="4" w:space="0" w:color="auto"/>
              <w:bottom w:val="single" w:sz="4" w:space="0" w:color="auto"/>
              <w:right w:val="single" w:sz="4" w:space="0" w:color="auto"/>
            </w:tcBorders>
            <w:hideMark/>
          </w:tcPr>
          <w:p w14:paraId="30F23452" w14:textId="77777777" w:rsidR="0074039C" w:rsidRPr="006F5AE8" w:rsidRDefault="0074039C">
            <w:pPr>
              <w:rPr>
                <w:sz w:val="24"/>
                <w:szCs w:val="24"/>
              </w:rPr>
            </w:pPr>
            <w:r w:rsidRPr="006F5AE8">
              <w:rPr>
                <w:sz w:val="24"/>
                <w:szCs w:val="24"/>
              </w:rPr>
              <w:t>122 (1.7%)</w:t>
            </w:r>
          </w:p>
        </w:tc>
        <w:tc>
          <w:tcPr>
            <w:tcW w:w="669" w:type="pct"/>
            <w:tcBorders>
              <w:top w:val="single" w:sz="4" w:space="0" w:color="auto"/>
              <w:left w:val="single" w:sz="4" w:space="0" w:color="auto"/>
              <w:bottom w:val="single" w:sz="4" w:space="0" w:color="auto"/>
              <w:right w:val="single" w:sz="4" w:space="0" w:color="auto"/>
            </w:tcBorders>
            <w:hideMark/>
          </w:tcPr>
          <w:p w14:paraId="56CDF20C" w14:textId="77777777" w:rsidR="0074039C" w:rsidRPr="006F5AE8" w:rsidRDefault="0074039C">
            <w:pPr>
              <w:rPr>
                <w:sz w:val="24"/>
                <w:szCs w:val="24"/>
              </w:rPr>
            </w:pPr>
            <w:r w:rsidRPr="006F5AE8">
              <w:rPr>
                <w:sz w:val="24"/>
                <w:szCs w:val="24"/>
              </w:rPr>
              <w:t>1.9%</w:t>
            </w:r>
          </w:p>
        </w:tc>
        <w:tc>
          <w:tcPr>
            <w:tcW w:w="675" w:type="pct"/>
            <w:tcBorders>
              <w:top w:val="single" w:sz="4" w:space="0" w:color="auto"/>
              <w:left w:val="single" w:sz="4" w:space="0" w:color="auto"/>
              <w:bottom w:val="single" w:sz="4" w:space="0" w:color="auto"/>
              <w:right w:val="single" w:sz="4" w:space="0" w:color="auto"/>
            </w:tcBorders>
            <w:hideMark/>
          </w:tcPr>
          <w:p w14:paraId="35CBA268" w14:textId="77777777" w:rsidR="0074039C" w:rsidRPr="006F5AE8" w:rsidRDefault="0074039C">
            <w:pPr>
              <w:rPr>
                <w:sz w:val="24"/>
                <w:szCs w:val="24"/>
              </w:rPr>
            </w:pPr>
            <w:r w:rsidRPr="006F5AE8">
              <w:rPr>
                <w:sz w:val="24"/>
                <w:szCs w:val="24"/>
              </w:rPr>
              <w:t>0.0337</w:t>
            </w:r>
          </w:p>
        </w:tc>
      </w:tr>
      <w:tr w:rsidR="0074039C" w:rsidRPr="006F5AE8" w14:paraId="4B4805DE" w14:textId="77777777" w:rsidTr="0022759B">
        <w:tc>
          <w:tcPr>
            <w:tcW w:w="5000" w:type="pct"/>
            <w:gridSpan w:val="7"/>
            <w:tcBorders>
              <w:top w:val="single" w:sz="4" w:space="0" w:color="auto"/>
              <w:left w:val="single" w:sz="4" w:space="0" w:color="auto"/>
              <w:bottom w:val="single" w:sz="4" w:space="0" w:color="auto"/>
              <w:right w:val="single" w:sz="4" w:space="0" w:color="auto"/>
            </w:tcBorders>
            <w:hideMark/>
          </w:tcPr>
          <w:p w14:paraId="1E01EF5A" w14:textId="77777777" w:rsidR="0074039C" w:rsidRPr="006F5AE8" w:rsidRDefault="0074039C">
            <w:pPr>
              <w:rPr>
                <w:sz w:val="24"/>
                <w:szCs w:val="24"/>
              </w:rPr>
            </w:pPr>
            <w:r w:rsidRPr="006F5AE8">
              <w:rPr>
                <w:sz w:val="24"/>
                <w:szCs w:val="24"/>
              </w:rPr>
              <w:t>Secondary endpoint</w:t>
            </w:r>
          </w:p>
        </w:tc>
      </w:tr>
      <w:tr w:rsidR="0074039C" w:rsidRPr="006F5AE8" w14:paraId="7B3D2C2A" w14:textId="77777777" w:rsidTr="0022759B">
        <w:tc>
          <w:tcPr>
            <w:tcW w:w="942" w:type="pct"/>
            <w:tcBorders>
              <w:top w:val="single" w:sz="4" w:space="0" w:color="auto"/>
              <w:left w:val="single" w:sz="4" w:space="0" w:color="auto"/>
              <w:bottom w:val="single" w:sz="4" w:space="0" w:color="auto"/>
              <w:right w:val="single" w:sz="4" w:space="0" w:color="auto"/>
            </w:tcBorders>
            <w:hideMark/>
          </w:tcPr>
          <w:p w14:paraId="2515FC01" w14:textId="77777777" w:rsidR="0074039C" w:rsidRPr="006F5AE8" w:rsidRDefault="0074039C">
            <w:pPr>
              <w:rPr>
                <w:sz w:val="24"/>
                <w:szCs w:val="24"/>
              </w:rPr>
            </w:pPr>
            <w:r w:rsidRPr="006F5AE8">
              <w:rPr>
                <w:sz w:val="24"/>
                <w:szCs w:val="24"/>
              </w:rPr>
              <w:t>CV death</w:t>
            </w:r>
          </w:p>
        </w:tc>
        <w:tc>
          <w:tcPr>
            <w:tcW w:w="685" w:type="pct"/>
            <w:tcBorders>
              <w:top w:val="single" w:sz="4" w:space="0" w:color="auto"/>
              <w:left w:val="single" w:sz="4" w:space="0" w:color="auto"/>
              <w:bottom w:val="single" w:sz="4" w:space="0" w:color="auto"/>
              <w:right w:val="single" w:sz="4" w:space="0" w:color="auto"/>
            </w:tcBorders>
            <w:hideMark/>
          </w:tcPr>
          <w:p w14:paraId="57716A7C" w14:textId="77777777" w:rsidR="0074039C" w:rsidRPr="006F5AE8" w:rsidRDefault="0074039C">
            <w:pPr>
              <w:rPr>
                <w:sz w:val="24"/>
                <w:szCs w:val="24"/>
              </w:rPr>
            </w:pPr>
            <w:r w:rsidRPr="006F5AE8">
              <w:rPr>
                <w:sz w:val="24"/>
                <w:szCs w:val="24"/>
              </w:rPr>
              <w:t>174 (2.5%)</w:t>
            </w:r>
          </w:p>
        </w:tc>
        <w:tc>
          <w:tcPr>
            <w:tcW w:w="556" w:type="pct"/>
            <w:tcBorders>
              <w:top w:val="single" w:sz="4" w:space="0" w:color="auto"/>
              <w:left w:val="single" w:sz="4" w:space="0" w:color="auto"/>
              <w:bottom w:val="single" w:sz="4" w:space="0" w:color="auto"/>
              <w:right w:val="single" w:sz="4" w:space="0" w:color="auto"/>
            </w:tcBorders>
          </w:tcPr>
          <w:p w14:paraId="350EF2C3" w14:textId="77777777" w:rsidR="0074039C" w:rsidRPr="006F5AE8" w:rsidRDefault="0074039C">
            <w:pPr>
              <w:rPr>
                <w:sz w:val="24"/>
                <w:szCs w:val="24"/>
              </w:rPr>
            </w:pPr>
          </w:p>
        </w:tc>
        <w:tc>
          <w:tcPr>
            <w:tcW w:w="788" w:type="pct"/>
            <w:tcBorders>
              <w:top w:val="single" w:sz="4" w:space="0" w:color="auto"/>
              <w:left w:val="single" w:sz="4" w:space="0" w:color="auto"/>
              <w:bottom w:val="single" w:sz="4" w:space="0" w:color="auto"/>
              <w:right w:val="single" w:sz="4" w:space="0" w:color="auto"/>
            </w:tcBorders>
            <w:hideMark/>
          </w:tcPr>
          <w:p w14:paraId="1983E2E8" w14:textId="77777777" w:rsidR="0074039C" w:rsidRPr="006F5AE8" w:rsidRDefault="0074039C">
            <w:pPr>
              <w:rPr>
                <w:sz w:val="24"/>
                <w:szCs w:val="24"/>
              </w:rPr>
            </w:pPr>
            <w:r w:rsidRPr="006F5AE8">
              <w:rPr>
                <w:sz w:val="24"/>
                <w:szCs w:val="24"/>
              </w:rPr>
              <w:t>0.83</w:t>
            </w:r>
          </w:p>
          <w:p w14:paraId="73A49D5E" w14:textId="77777777" w:rsidR="0074039C" w:rsidRPr="006F5AE8" w:rsidRDefault="0074039C">
            <w:pPr>
              <w:rPr>
                <w:sz w:val="24"/>
                <w:szCs w:val="24"/>
              </w:rPr>
            </w:pPr>
            <w:r w:rsidRPr="006F5AE8">
              <w:rPr>
                <w:sz w:val="24"/>
                <w:szCs w:val="24"/>
              </w:rPr>
              <w:t>(0.68, 1.01)</w:t>
            </w:r>
          </w:p>
        </w:tc>
        <w:tc>
          <w:tcPr>
            <w:tcW w:w="685" w:type="pct"/>
            <w:tcBorders>
              <w:top w:val="single" w:sz="4" w:space="0" w:color="auto"/>
              <w:left w:val="single" w:sz="4" w:space="0" w:color="auto"/>
              <w:bottom w:val="single" w:sz="4" w:space="0" w:color="auto"/>
              <w:right w:val="single" w:sz="4" w:space="0" w:color="auto"/>
            </w:tcBorders>
            <w:hideMark/>
          </w:tcPr>
          <w:p w14:paraId="0D361D1B" w14:textId="77777777" w:rsidR="0074039C" w:rsidRPr="006F5AE8" w:rsidRDefault="0074039C">
            <w:pPr>
              <w:rPr>
                <w:sz w:val="24"/>
                <w:szCs w:val="24"/>
              </w:rPr>
            </w:pPr>
            <w:r w:rsidRPr="006F5AE8">
              <w:rPr>
                <w:sz w:val="24"/>
                <w:szCs w:val="24"/>
              </w:rPr>
              <w:t>210 (3.0%)</w:t>
            </w:r>
          </w:p>
        </w:tc>
        <w:tc>
          <w:tcPr>
            <w:tcW w:w="669" w:type="pct"/>
            <w:tcBorders>
              <w:top w:val="single" w:sz="4" w:space="0" w:color="auto"/>
              <w:left w:val="single" w:sz="4" w:space="0" w:color="auto"/>
              <w:bottom w:val="single" w:sz="4" w:space="0" w:color="auto"/>
              <w:right w:val="single" w:sz="4" w:space="0" w:color="auto"/>
            </w:tcBorders>
            <w:hideMark/>
          </w:tcPr>
          <w:p w14:paraId="70075552" w14:textId="77777777" w:rsidR="0074039C" w:rsidRPr="006F5AE8" w:rsidRDefault="0074039C">
            <w:pPr>
              <w:rPr>
                <w:sz w:val="24"/>
                <w:szCs w:val="24"/>
              </w:rPr>
            </w:pPr>
            <w:r w:rsidRPr="006F5AE8">
              <w:rPr>
                <w:sz w:val="24"/>
                <w:szCs w:val="24"/>
              </w:rPr>
              <w:t>3.4%</w:t>
            </w:r>
          </w:p>
        </w:tc>
        <w:tc>
          <w:tcPr>
            <w:tcW w:w="675" w:type="pct"/>
            <w:tcBorders>
              <w:top w:val="single" w:sz="4" w:space="0" w:color="auto"/>
              <w:left w:val="single" w:sz="4" w:space="0" w:color="auto"/>
              <w:bottom w:val="single" w:sz="4" w:space="0" w:color="auto"/>
              <w:right w:val="single" w:sz="4" w:space="0" w:color="auto"/>
            </w:tcBorders>
            <w:hideMark/>
          </w:tcPr>
          <w:p w14:paraId="646113B0" w14:textId="77777777" w:rsidR="0074039C" w:rsidRPr="006F5AE8" w:rsidRDefault="0074039C">
            <w:pPr>
              <w:rPr>
                <w:sz w:val="24"/>
                <w:szCs w:val="24"/>
              </w:rPr>
            </w:pPr>
            <w:r w:rsidRPr="006F5AE8">
              <w:rPr>
                <w:sz w:val="24"/>
                <w:szCs w:val="24"/>
              </w:rPr>
              <w:t>-</w:t>
            </w:r>
          </w:p>
        </w:tc>
      </w:tr>
      <w:tr w:rsidR="0074039C" w:rsidRPr="006F5AE8" w14:paraId="4EF0001B" w14:textId="77777777" w:rsidTr="0022759B">
        <w:tc>
          <w:tcPr>
            <w:tcW w:w="942" w:type="pct"/>
            <w:tcBorders>
              <w:top w:val="single" w:sz="4" w:space="0" w:color="auto"/>
              <w:left w:val="single" w:sz="4" w:space="0" w:color="auto"/>
              <w:bottom w:val="single" w:sz="4" w:space="0" w:color="auto"/>
              <w:right w:val="single" w:sz="4" w:space="0" w:color="auto"/>
            </w:tcBorders>
            <w:hideMark/>
          </w:tcPr>
          <w:p w14:paraId="74D4304E" w14:textId="77777777" w:rsidR="0074039C" w:rsidRPr="006F5AE8" w:rsidRDefault="0074039C">
            <w:pPr>
              <w:rPr>
                <w:sz w:val="24"/>
                <w:szCs w:val="24"/>
              </w:rPr>
            </w:pPr>
            <w:r w:rsidRPr="006F5AE8">
              <w:rPr>
                <w:sz w:val="24"/>
                <w:szCs w:val="24"/>
              </w:rPr>
              <w:t>All-cause mortality</w:t>
            </w:r>
          </w:p>
        </w:tc>
        <w:tc>
          <w:tcPr>
            <w:tcW w:w="685" w:type="pct"/>
            <w:tcBorders>
              <w:top w:val="single" w:sz="4" w:space="0" w:color="auto"/>
              <w:left w:val="single" w:sz="4" w:space="0" w:color="auto"/>
              <w:bottom w:val="single" w:sz="4" w:space="0" w:color="auto"/>
              <w:right w:val="single" w:sz="4" w:space="0" w:color="auto"/>
            </w:tcBorders>
            <w:hideMark/>
          </w:tcPr>
          <w:p w14:paraId="0B4E13A7" w14:textId="77777777" w:rsidR="0074039C" w:rsidRPr="006F5AE8" w:rsidRDefault="0074039C">
            <w:pPr>
              <w:rPr>
                <w:sz w:val="24"/>
                <w:szCs w:val="24"/>
              </w:rPr>
            </w:pPr>
            <w:r w:rsidRPr="006F5AE8">
              <w:rPr>
                <w:sz w:val="24"/>
                <w:szCs w:val="24"/>
              </w:rPr>
              <w:t>289 (4.1%)</w:t>
            </w:r>
          </w:p>
        </w:tc>
        <w:tc>
          <w:tcPr>
            <w:tcW w:w="556" w:type="pct"/>
            <w:tcBorders>
              <w:top w:val="single" w:sz="4" w:space="0" w:color="auto"/>
              <w:left w:val="single" w:sz="4" w:space="0" w:color="auto"/>
              <w:bottom w:val="single" w:sz="4" w:space="0" w:color="auto"/>
              <w:right w:val="single" w:sz="4" w:space="0" w:color="auto"/>
            </w:tcBorders>
            <w:hideMark/>
          </w:tcPr>
          <w:p w14:paraId="4D54B620" w14:textId="77777777" w:rsidR="0074039C" w:rsidRPr="006F5AE8" w:rsidRDefault="0074039C">
            <w:pPr>
              <w:rPr>
                <w:sz w:val="24"/>
                <w:szCs w:val="24"/>
              </w:rPr>
            </w:pPr>
            <w:r w:rsidRPr="006F5AE8">
              <w:rPr>
                <w:sz w:val="24"/>
                <w:szCs w:val="24"/>
              </w:rPr>
              <w:t>4.7%</w:t>
            </w:r>
          </w:p>
        </w:tc>
        <w:tc>
          <w:tcPr>
            <w:tcW w:w="788" w:type="pct"/>
            <w:tcBorders>
              <w:top w:val="single" w:sz="4" w:space="0" w:color="auto"/>
              <w:left w:val="single" w:sz="4" w:space="0" w:color="auto"/>
              <w:bottom w:val="single" w:sz="4" w:space="0" w:color="auto"/>
              <w:right w:val="single" w:sz="4" w:space="0" w:color="auto"/>
            </w:tcBorders>
            <w:hideMark/>
          </w:tcPr>
          <w:p w14:paraId="45DBB5E7" w14:textId="77777777" w:rsidR="0074039C" w:rsidRPr="006F5AE8" w:rsidRDefault="0074039C">
            <w:pPr>
              <w:rPr>
                <w:sz w:val="24"/>
                <w:szCs w:val="24"/>
              </w:rPr>
            </w:pPr>
            <w:r w:rsidRPr="006F5AE8">
              <w:rPr>
                <w:sz w:val="24"/>
                <w:szCs w:val="24"/>
              </w:rPr>
              <w:t>0.89</w:t>
            </w:r>
          </w:p>
          <w:p w14:paraId="18DE3550" w14:textId="77777777" w:rsidR="0074039C" w:rsidRPr="006F5AE8" w:rsidRDefault="0074039C">
            <w:pPr>
              <w:rPr>
                <w:sz w:val="24"/>
                <w:szCs w:val="24"/>
              </w:rPr>
            </w:pPr>
            <w:r w:rsidRPr="006F5AE8">
              <w:rPr>
                <w:sz w:val="24"/>
                <w:szCs w:val="24"/>
              </w:rPr>
              <w:t>(0.76, 1.04)</w:t>
            </w:r>
          </w:p>
        </w:tc>
        <w:tc>
          <w:tcPr>
            <w:tcW w:w="685" w:type="pct"/>
            <w:tcBorders>
              <w:top w:val="single" w:sz="4" w:space="0" w:color="auto"/>
              <w:left w:val="single" w:sz="4" w:space="0" w:color="auto"/>
              <w:bottom w:val="single" w:sz="4" w:space="0" w:color="auto"/>
              <w:right w:val="single" w:sz="4" w:space="0" w:color="auto"/>
            </w:tcBorders>
            <w:hideMark/>
          </w:tcPr>
          <w:p w14:paraId="1FB0021A" w14:textId="77777777" w:rsidR="0074039C" w:rsidRPr="006F5AE8" w:rsidRDefault="0074039C">
            <w:pPr>
              <w:rPr>
                <w:sz w:val="24"/>
                <w:szCs w:val="24"/>
              </w:rPr>
            </w:pPr>
            <w:r w:rsidRPr="006F5AE8">
              <w:rPr>
                <w:sz w:val="24"/>
                <w:szCs w:val="24"/>
              </w:rPr>
              <w:t>326 (4.6%)</w:t>
            </w:r>
          </w:p>
        </w:tc>
        <w:tc>
          <w:tcPr>
            <w:tcW w:w="669" w:type="pct"/>
            <w:tcBorders>
              <w:top w:val="single" w:sz="4" w:space="0" w:color="auto"/>
              <w:left w:val="single" w:sz="4" w:space="0" w:color="auto"/>
              <w:bottom w:val="single" w:sz="4" w:space="0" w:color="auto"/>
              <w:right w:val="single" w:sz="4" w:space="0" w:color="auto"/>
            </w:tcBorders>
            <w:hideMark/>
          </w:tcPr>
          <w:p w14:paraId="3E4D5039" w14:textId="77777777" w:rsidR="0074039C" w:rsidRPr="006F5AE8" w:rsidRDefault="0074039C">
            <w:pPr>
              <w:rPr>
                <w:sz w:val="24"/>
                <w:szCs w:val="24"/>
              </w:rPr>
            </w:pPr>
            <w:r w:rsidRPr="006F5AE8">
              <w:rPr>
                <w:sz w:val="24"/>
                <w:szCs w:val="24"/>
              </w:rPr>
              <w:t>5.2%</w:t>
            </w:r>
          </w:p>
        </w:tc>
        <w:tc>
          <w:tcPr>
            <w:tcW w:w="675" w:type="pct"/>
            <w:tcBorders>
              <w:top w:val="single" w:sz="4" w:space="0" w:color="auto"/>
              <w:left w:val="single" w:sz="4" w:space="0" w:color="auto"/>
              <w:bottom w:val="single" w:sz="4" w:space="0" w:color="auto"/>
              <w:right w:val="single" w:sz="4" w:space="0" w:color="auto"/>
            </w:tcBorders>
            <w:hideMark/>
          </w:tcPr>
          <w:p w14:paraId="370B7E10" w14:textId="77777777" w:rsidR="0074039C" w:rsidRPr="006F5AE8" w:rsidRDefault="0074039C">
            <w:pPr>
              <w:rPr>
                <w:sz w:val="24"/>
                <w:szCs w:val="24"/>
              </w:rPr>
            </w:pPr>
            <w:r w:rsidRPr="006F5AE8">
              <w:rPr>
                <w:sz w:val="24"/>
                <w:szCs w:val="24"/>
              </w:rPr>
              <w:t>-</w:t>
            </w:r>
          </w:p>
        </w:tc>
      </w:tr>
      <w:tr w:rsidR="0074039C" w:rsidRPr="00DD435F" w14:paraId="55A199FE" w14:textId="77777777" w:rsidTr="0022759B">
        <w:tc>
          <w:tcPr>
            <w:tcW w:w="5000" w:type="pct"/>
            <w:gridSpan w:val="7"/>
            <w:tcBorders>
              <w:top w:val="single" w:sz="4" w:space="0" w:color="auto"/>
              <w:left w:val="single" w:sz="4" w:space="0" w:color="auto"/>
              <w:bottom w:val="single" w:sz="4" w:space="0" w:color="auto"/>
              <w:right w:val="single" w:sz="4" w:space="0" w:color="auto"/>
            </w:tcBorders>
            <w:hideMark/>
          </w:tcPr>
          <w:p w14:paraId="6840F2E8" w14:textId="77777777" w:rsidR="0074039C" w:rsidRPr="006F5AE8" w:rsidRDefault="0074039C">
            <w:pPr>
              <w:rPr>
                <w:sz w:val="24"/>
                <w:szCs w:val="24"/>
              </w:rPr>
            </w:pPr>
            <w:r w:rsidRPr="006F5AE8">
              <w:rPr>
                <w:sz w:val="24"/>
                <w:szCs w:val="24"/>
              </w:rPr>
              <w:t>Hazard ratio and p-values are calculated separately for ticagrelor vs. ASA therapy alone from Cox proportional hazards model with treatment group as the only explanatory variable.</w:t>
            </w:r>
          </w:p>
          <w:p w14:paraId="1EB3AC17" w14:textId="77777777" w:rsidR="0074039C" w:rsidRPr="006F5AE8" w:rsidRDefault="0074039C">
            <w:pPr>
              <w:rPr>
                <w:sz w:val="24"/>
                <w:szCs w:val="24"/>
              </w:rPr>
            </w:pPr>
            <w:r w:rsidRPr="006F5AE8">
              <w:rPr>
                <w:sz w:val="24"/>
                <w:szCs w:val="24"/>
              </w:rPr>
              <w:t>KM percentage calculated at 36 months.</w:t>
            </w:r>
          </w:p>
          <w:p w14:paraId="6DDDA0DB" w14:textId="77777777" w:rsidR="0074039C" w:rsidRPr="006F5AE8" w:rsidRDefault="0074039C">
            <w:pPr>
              <w:rPr>
                <w:sz w:val="24"/>
                <w:szCs w:val="24"/>
              </w:rPr>
            </w:pPr>
            <w:r w:rsidRPr="006F5AE8">
              <w:rPr>
                <w:sz w:val="24"/>
                <w:szCs w:val="24"/>
              </w:rPr>
              <w:t xml:space="preserve">Note: the number of first events for the </w:t>
            </w:r>
            <w:proofErr w:type="gramStart"/>
            <w:r w:rsidRPr="006F5AE8">
              <w:rPr>
                <w:sz w:val="24"/>
                <w:szCs w:val="24"/>
              </w:rPr>
              <w:t>components</w:t>
            </w:r>
            <w:proofErr w:type="gramEnd"/>
            <w:r w:rsidRPr="006F5AE8">
              <w:rPr>
                <w:sz w:val="24"/>
                <w:szCs w:val="24"/>
              </w:rPr>
              <w:t xml:space="preserve"> CV death, MI and stroke are the actual number of first events for each component and do not add up to the number of events in the composite endpoint</w:t>
            </w:r>
          </w:p>
          <w:p w14:paraId="6A70DBBB" w14:textId="77777777" w:rsidR="0074039C" w:rsidRPr="006F5AE8" w:rsidRDefault="0074039C">
            <w:pPr>
              <w:rPr>
                <w:sz w:val="24"/>
                <w:szCs w:val="24"/>
              </w:rPr>
            </w:pPr>
            <w:r w:rsidRPr="006F5AE8">
              <w:rPr>
                <w:sz w:val="24"/>
                <w:szCs w:val="24"/>
              </w:rPr>
              <w:t>(s) Indicates statistical significance.</w:t>
            </w:r>
          </w:p>
          <w:p w14:paraId="06AA7D9D" w14:textId="77777777" w:rsidR="0074039C" w:rsidRPr="006F5AE8" w:rsidRDefault="0074039C">
            <w:pPr>
              <w:rPr>
                <w:sz w:val="24"/>
                <w:szCs w:val="24"/>
              </w:rPr>
            </w:pPr>
            <w:r w:rsidRPr="006F5AE8">
              <w:rPr>
                <w:sz w:val="24"/>
                <w:szCs w:val="24"/>
              </w:rPr>
              <w:t>CI = Confidence interval; CV = Cardiovascular; HR = Hazard ratio; KM = Kaplan-Meier; MI = Myocardial infarction; N = Number of patients.</w:t>
            </w:r>
          </w:p>
        </w:tc>
      </w:tr>
    </w:tbl>
    <w:p w14:paraId="339D9AB0" w14:textId="77777777" w:rsidR="0074039C" w:rsidRPr="006F5AE8" w:rsidRDefault="0074039C" w:rsidP="0074039C">
      <w:pPr>
        <w:rPr>
          <w:sz w:val="24"/>
          <w:szCs w:val="24"/>
          <w:lang w:val="en-GB" w:eastAsia="en-US"/>
        </w:rPr>
      </w:pPr>
    </w:p>
    <w:p w14:paraId="40441D9E" w14:textId="77777777" w:rsidR="0074039C" w:rsidRPr="006F5AE8" w:rsidRDefault="0074039C" w:rsidP="0022759B">
      <w:pPr>
        <w:ind w:left="851"/>
        <w:rPr>
          <w:sz w:val="24"/>
          <w:szCs w:val="24"/>
          <w:lang w:val="en-US"/>
        </w:rPr>
      </w:pPr>
      <w:r w:rsidRPr="006F5AE8">
        <w:rPr>
          <w:sz w:val="24"/>
          <w:szCs w:val="24"/>
          <w:lang w:val="en-US"/>
        </w:rPr>
        <w:t>Both 60 mg twice daily and 90 mg twice daily regimens of ticagrelor in combination with ASA were superior to ASA alone in the prevention of atherothrombotic events (composite endpoint: CV death, MI and stroke), with a consistent treatment effect over the entire study period, yielding a 16% RRR and 1.27% ARR for ticagrelor 60 mg and a 15% RRR and 1.19% ARR for ticagrelor 90 mg.</w:t>
      </w:r>
    </w:p>
    <w:p w14:paraId="1030FB69" w14:textId="77777777" w:rsidR="0074039C" w:rsidRPr="006F5AE8" w:rsidRDefault="0074039C" w:rsidP="0022759B">
      <w:pPr>
        <w:ind w:left="851"/>
        <w:rPr>
          <w:sz w:val="24"/>
          <w:szCs w:val="24"/>
          <w:lang w:val="en-US"/>
        </w:rPr>
      </w:pPr>
    </w:p>
    <w:p w14:paraId="4229A9C9" w14:textId="77777777" w:rsidR="0074039C" w:rsidRPr="006F5AE8" w:rsidRDefault="0074039C" w:rsidP="0022759B">
      <w:pPr>
        <w:ind w:left="851"/>
        <w:rPr>
          <w:sz w:val="24"/>
          <w:szCs w:val="24"/>
          <w:lang w:val="en-US"/>
        </w:rPr>
      </w:pPr>
      <w:r w:rsidRPr="006F5AE8">
        <w:rPr>
          <w:sz w:val="24"/>
          <w:szCs w:val="24"/>
          <w:lang w:val="en-US"/>
        </w:rPr>
        <w:t xml:space="preserve">Although the efficacy profiles of 90 mg and 60 mg were similar, there is evidence that the lower dose has a better tolerability and safety profile in relation to risk of the bleeding and </w:t>
      </w:r>
      <w:proofErr w:type="spellStart"/>
      <w:r w:rsidRPr="006F5AE8">
        <w:rPr>
          <w:sz w:val="24"/>
          <w:szCs w:val="24"/>
          <w:lang w:val="en-US"/>
        </w:rPr>
        <w:t>dyspnoea</w:t>
      </w:r>
      <w:proofErr w:type="spellEnd"/>
      <w:r w:rsidRPr="006F5AE8">
        <w:rPr>
          <w:sz w:val="24"/>
          <w:szCs w:val="24"/>
          <w:lang w:val="en-US"/>
        </w:rPr>
        <w:t>. Therefore, only ticagrelor 60 mg twice daily co-administered with ASA is recommended for the prevention atherothrombotic events (CV death, MI and stroke) in patients with a history of MI and a high risk of developing an atherothrombotic event.</w:t>
      </w:r>
    </w:p>
    <w:p w14:paraId="5363582A" w14:textId="77777777" w:rsidR="0074039C" w:rsidRPr="006F5AE8" w:rsidRDefault="0074039C" w:rsidP="0022759B">
      <w:pPr>
        <w:ind w:left="851"/>
        <w:rPr>
          <w:sz w:val="24"/>
          <w:szCs w:val="24"/>
          <w:lang w:val="en-US"/>
        </w:rPr>
      </w:pPr>
    </w:p>
    <w:p w14:paraId="253A1C6D" w14:textId="77777777" w:rsidR="0074039C" w:rsidRPr="006F5AE8" w:rsidRDefault="0074039C" w:rsidP="0022759B">
      <w:pPr>
        <w:ind w:left="851"/>
        <w:rPr>
          <w:sz w:val="24"/>
          <w:szCs w:val="24"/>
          <w:lang w:val="en-US"/>
        </w:rPr>
      </w:pPr>
      <w:r w:rsidRPr="006F5AE8">
        <w:rPr>
          <w:sz w:val="24"/>
          <w:szCs w:val="24"/>
          <w:lang w:val="en-US"/>
        </w:rPr>
        <w:t>Relative to ASA alone, ticagrelor 60 mg twice daily significantly reduced the primary composite endpoint of CV death, MI and stroke. Each of the components contributed to the reduction in the primary composite endpoint (CV death 17% RRR, MI 16% RRR and stroke 25% RRR).</w:t>
      </w:r>
    </w:p>
    <w:p w14:paraId="41613AEB" w14:textId="77777777" w:rsidR="0074039C" w:rsidRPr="006F5AE8" w:rsidRDefault="0074039C" w:rsidP="0022759B">
      <w:pPr>
        <w:ind w:left="851"/>
        <w:rPr>
          <w:sz w:val="24"/>
          <w:szCs w:val="24"/>
          <w:lang w:val="en-US"/>
        </w:rPr>
      </w:pPr>
    </w:p>
    <w:p w14:paraId="4A1E217D" w14:textId="77777777" w:rsidR="0074039C" w:rsidRPr="006F5AE8" w:rsidRDefault="0074039C" w:rsidP="0022759B">
      <w:pPr>
        <w:ind w:left="851"/>
        <w:rPr>
          <w:sz w:val="24"/>
          <w:szCs w:val="24"/>
          <w:lang w:val="en-US"/>
        </w:rPr>
      </w:pPr>
      <w:r w:rsidRPr="006F5AE8">
        <w:rPr>
          <w:sz w:val="24"/>
          <w:szCs w:val="24"/>
          <w:lang w:val="en-US"/>
        </w:rPr>
        <w:t>The RRR for the composite endpoint from 1 to 360 days (17% RRR) and from 361 days and onwards (16% RRR) was similar. There are limited data on the efficacy and safety of ticagrelor beyond 3 years of extended treatment.</w:t>
      </w:r>
    </w:p>
    <w:p w14:paraId="00F78345" w14:textId="77777777" w:rsidR="0074039C" w:rsidRPr="006F5AE8" w:rsidRDefault="0074039C" w:rsidP="0022759B">
      <w:pPr>
        <w:ind w:left="851"/>
        <w:rPr>
          <w:sz w:val="24"/>
          <w:szCs w:val="24"/>
          <w:lang w:val="en-US"/>
        </w:rPr>
      </w:pPr>
    </w:p>
    <w:p w14:paraId="32738CCA" w14:textId="77777777" w:rsidR="0074039C" w:rsidRPr="006F5AE8" w:rsidRDefault="0074039C" w:rsidP="0022759B">
      <w:pPr>
        <w:ind w:left="851"/>
        <w:rPr>
          <w:sz w:val="24"/>
          <w:szCs w:val="24"/>
          <w:lang w:val="en-US"/>
        </w:rPr>
      </w:pPr>
      <w:r w:rsidRPr="006F5AE8">
        <w:rPr>
          <w:sz w:val="24"/>
          <w:szCs w:val="24"/>
          <w:lang w:val="en-US"/>
        </w:rPr>
        <w:t>There was no evidence of benefit (no reduction in the primary composite endpoint of CV death, MI and stroke, but an increase in major bleeding) when ticagrelor 60 mg twice daily was introduced in clinically stable patients &gt;2 years from the MI, or more than one year after stopping previous ADP receptor inhibitor treatment (see also section 4.2).</w:t>
      </w:r>
    </w:p>
    <w:p w14:paraId="15ECE6FF" w14:textId="77777777" w:rsidR="0074039C" w:rsidRPr="006F5AE8" w:rsidRDefault="0074039C" w:rsidP="0022759B">
      <w:pPr>
        <w:ind w:left="851"/>
        <w:rPr>
          <w:sz w:val="24"/>
          <w:szCs w:val="24"/>
          <w:lang w:val="en-US"/>
        </w:rPr>
      </w:pPr>
    </w:p>
    <w:p w14:paraId="3C6679CD" w14:textId="77777777" w:rsidR="0074039C" w:rsidRPr="006F5AE8" w:rsidRDefault="0074039C" w:rsidP="0022759B">
      <w:pPr>
        <w:ind w:left="851"/>
        <w:rPr>
          <w:i/>
          <w:iCs/>
          <w:sz w:val="24"/>
          <w:szCs w:val="24"/>
          <w:lang w:val="en-US"/>
        </w:rPr>
      </w:pPr>
      <w:r w:rsidRPr="006F5AE8">
        <w:rPr>
          <w:i/>
          <w:iCs/>
          <w:sz w:val="24"/>
          <w:szCs w:val="24"/>
          <w:lang w:val="en-US"/>
        </w:rPr>
        <w:t>Clinical safety</w:t>
      </w:r>
    </w:p>
    <w:p w14:paraId="425B6F4C" w14:textId="77777777" w:rsidR="0074039C" w:rsidRPr="006F5AE8" w:rsidRDefault="0074039C" w:rsidP="0022759B">
      <w:pPr>
        <w:ind w:left="851"/>
        <w:rPr>
          <w:sz w:val="24"/>
          <w:szCs w:val="24"/>
          <w:lang w:val="en-US"/>
        </w:rPr>
      </w:pPr>
      <w:r w:rsidRPr="006F5AE8">
        <w:rPr>
          <w:sz w:val="24"/>
          <w:szCs w:val="24"/>
          <w:lang w:val="en-US"/>
        </w:rPr>
        <w:t xml:space="preserve">The rate of discontinuations with ticagrelor 60 mg due to bleeding and </w:t>
      </w:r>
      <w:proofErr w:type="spellStart"/>
      <w:r w:rsidRPr="006F5AE8">
        <w:rPr>
          <w:sz w:val="24"/>
          <w:szCs w:val="24"/>
          <w:lang w:val="en-US"/>
        </w:rPr>
        <w:t>dyspnoea</w:t>
      </w:r>
      <w:proofErr w:type="spellEnd"/>
      <w:r w:rsidRPr="006F5AE8">
        <w:rPr>
          <w:sz w:val="24"/>
          <w:szCs w:val="24"/>
          <w:lang w:val="en-US"/>
        </w:rPr>
        <w:t xml:space="preserve"> was higher in patients &gt;75 years (42%) than in younger patients (range: 23-31%), with a difference versus placebo higher than 10% (42% vs. 29%) in patients &gt;75 years.</w:t>
      </w:r>
    </w:p>
    <w:p w14:paraId="48C99338" w14:textId="77777777" w:rsidR="0074039C" w:rsidRPr="006F5AE8" w:rsidRDefault="0074039C" w:rsidP="0022759B">
      <w:pPr>
        <w:ind w:left="851"/>
        <w:rPr>
          <w:sz w:val="24"/>
          <w:szCs w:val="24"/>
          <w:lang w:val="en-US"/>
        </w:rPr>
      </w:pPr>
    </w:p>
    <w:p w14:paraId="7821B8A9" w14:textId="77777777" w:rsidR="0074039C" w:rsidRPr="006F5AE8" w:rsidRDefault="0074039C" w:rsidP="0022759B">
      <w:pPr>
        <w:ind w:left="851"/>
        <w:rPr>
          <w:sz w:val="24"/>
          <w:szCs w:val="24"/>
          <w:u w:val="single"/>
          <w:lang w:val="en-US"/>
        </w:rPr>
      </w:pPr>
      <w:r w:rsidRPr="006F5AE8">
        <w:rPr>
          <w:sz w:val="24"/>
          <w:szCs w:val="24"/>
          <w:u w:val="single"/>
          <w:lang w:val="en-US"/>
        </w:rPr>
        <w:t>Paediatric population</w:t>
      </w:r>
    </w:p>
    <w:p w14:paraId="40B62C1F" w14:textId="77777777" w:rsidR="0074039C" w:rsidRPr="006F5AE8" w:rsidRDefault="0074039C" w:rsidP="0022759B">
      <w:pPr>
        <w:ind w:left="851"/>
        <w:rPr>
          <w:sz w:val="24"/>
          <w:szCs w:val="24"/>
          <w:lang w:val="en-US"/>
        </w:rPr>
      </w:pPr>
      <w:r w:rsidRPr="006F5AE8">
        <w:rPr>
          <w:sz w:val="24"/>
          <w:szCs w:val="24"/>
          <w:lang w:val="en-US"/>
        </w:rPr>
        <w:t xml:space="preserve">In a </w:t>
      </w:r>
      <w:proofErr w:type="spellStart"/>
      <w:r w:rsidRPr="006F5AE8">
        <w:rPr>
          <w:sz w:val="24"/>
          <w:szCs w:val="24"/>
          <w:lang w:val="en-US"/>
        </w:rPr>
        <w:t>randomised</w:t>
      </w:r>
      <w:proofErr w:type="spellEnd"/>
      <w:r w:rsidRPr="006F5AE8">
        <w:rPr>
          <w:sz w:val="24"/>
          <w:szCs w:val="24"/>
          <w:lang w:val="en-US"/>
        </w:rPr>
        <w:t xml:space="preserve">, double-blind, parallel-group Phase III study (HESTIA 3), 193 paediatric patients (ages 2 to less than 18 years) with sickle cell disease were </w:t>
      </w:r>
      <w:proofErr w:type="spellStart"/>
      <w:r w:rsidRPr="006F5AE8">
        <w:rPr>
          <w:sz w:val="24"/>
          <w:szCs w:val="24"/>
          <w:lang w:val="en-US"/>
        </w:rPr>
        <w:t>randomised</w:t>
      </w:r>
      <w:proofErr w:type="spellEnd"/>
      <w:r w:rsidRPr="006F5AE8">
        <w:rPr>
          <w:sz w:val="24"/>
          <w:szCs w:val="24"/>
          <w:lang w:val="en-US"/>
        </w:rPr>
        <w:t xml:space="preserve"> to receive either placebo or ticagrelor at doses of 15 mg to 45 mg twice daily depending on body weight. Ticagrelor resulted in a median platelet inhibition of 35% at pre-dose and 56% at 2 hours post-dose at steady state.</w:t>
      </w:r>
    </w:p>
    <w:p w14:paraId="27C77D80" w14:textId="77777777" w:rsidR="0074039C" w:rsidRPr="006F5AE8" w:rsidRDefault="0074039C" w:rsidP="0022759B">
      <w:pPr>
        <w:ind w:left="851"/>
        <w:rPr>
          <w:sz w:val="24"/>
          <w:szCs w:val="24"/>
          <w:lang w:val="en-US"/>
        </w:rPr>
      </w:pPr>
    </w:p>
    <w:p w14:paraId="2B2661FB" w14:textId="77777777" w:rsidR="0074039C" w:rsidRPr="006F5AE8" w:rsidRDefault="0074039C" w:rsidP="0022759B">
      <w:pPr>
        <w:ind w:left="851"/>
        <w:rPr>
          <w:sz w:val="24"/>
          <w:szCs w:val="24"/>
          <w:lang w:val="en-US"/>
        </w:rPr>
      </w:pPr>
      <w:r w:rsidRPr="006F5AE8">
        <w:rPr>
          <w:sz w:val="24"/>
          <w:szCs w:val="24"/>
          <w:lang w:val="en-US"/>
        </w:rPr>
        <w:t xml:space="preserve">Compared to placebo, there was no treatment benefit of ticagrelor on the rate of </w:t>
      </w:r>
      <w:proofErr w:type="spellStart"/>
      <w:r w:rsidRPr="006F5AE8">
        <w:rPr>
          <w:sz w:val="24"/>
          <w:szCs w:val="24"/>
          <w:lang w:val="en-US"/>
        </w:rPr>
        <w:t>vaso</w:t>
      </w:r>
      <w:proofErr w:type="spellEnd"/>
      <w:r w:rsidRPr="006F5AE8">
        <w:rPr>
          <w:sz w:val="24"/>
          <w:szCs w:val="24"/>
          <w:lang w:val="en-US"/>
        </w:rPr>
        <w:t>-occlusive crises.</w:t>
      </w:r>
    </w:p>
    <w:p w14:paraId="7A89A2C9" w14:textId="77777777" w:rsidR="0074039C" w:rsidRPr="006F5AE8" w:rsidRDefault="0074039C" w:rsidP="0022759B">
      <w:pPr>
        <w:ind w:left="851"/>
        <w:rPr>
          <w:sz w:val="24"/>
          <w:szCs w:val="24"/>
          <w:lang w:val="en-US"/>
        </w:rPr>
      </w:pPr>
    </w:p>
    <w:p w14:paraId="0D36F99A" w14:textId="77777777" w:rsidR="0074039C" w:rsidRPr="006F5AE8" w:rsidRDefault="0074039C" w:rsidP="0022759B">
      <w:pPr>
        <w:ind w:left="851"/>
        <w:rPr>
          <w:sz w:val="24"/>
          <w:szCs w:val="24"/>
          <w:lang w:val="en-US"/>
        </w:rPr>
      </w:pPr>
      <w:r w:rsidRPr="006F5AE8">
        <w:rPr>
          <w:sz w:val="24"/>
          <w:szCs w:val="24"/>
          <w:lang w:val="en-US"/>
        </w:rPr>
        <w:t>The European Medicines Agency has waived the obligation to submit the results of studies with the reference medicinal product containing ticagrelor in all subsets of the paediatric population in acute coronary syndromes (ACS) and history of myocardial infarction (MI) (see section 4.2 for information on paediatric use).</w:t>
      </w:r>
    </w:p>
    <w:p w14:paraId="08153EE0" w14:textId="1F965DDF" w:rsidR="00061ED9" w:rsidRDefault="00061ED9">
      <w:pPr>
        <w:rPr>
          <w:sz w:val="24"/>
          <w:szCs w:val="24"/>
          <w:lang w:val="en-GB"/>
        </w:rPr>
      </w:pPr>
      <w:r>
        <w:rPr>
          <w:sz w:val="24"/>
          <w:szCs w:val="24"/>
          <w:lang w:val="en-GB"/>
        </w:rPr>
        <w:br w:type="page"/>
      </w:r>
    </w:p>
    <w:p w14:paraId="669BF965" w14:textId="77777777" w:rsidR="007C5D2A" w:rsidRPr="006F5AE8" w:rsidRDefault="007C5D2A" w:rsidP="003E0341">
      <w:pPr>
        <w:tabs>
          <w:tab w:val="left" w:pos="851"/>
        </w:tabs>
        <w:ind w:left="851"/>
        <w:rPr>
          <w:sz w:val="24"/>
          <w:szCs w:val="24"/>
          <w:lang w:val="en-GB"/>
        </w:rPr>
      </w:pPr>
    </w:p>
    <w:p w14:paraId="3219BDD0" w14:textId="77777777" w:rsidR="007C5D2A" w:rsidRPr="006F5AE8" w:rsidRDefault="007C5D2A" w:rsidP="007C5D2A">
      <w:pPr>
        <w:tabs>
          <w:tab w:val="left" w:pos="851"/>
        </w:tabs>
        <w:ind w:left="851" w:hanging="851"/>
        <w:rPr>
          <w:b/>
          <w:sz w:val="24"/>
          <w:szCs w:val="24"/>
          <w:lang w:val="en-GB"/>
        </w:rPr>
      </w:pPr>
      <w:r w:rsidRPr="006F5AE8">
        <w:rPr>
          <w:b/>
          <w:sz w:val="24"/>
          <w:szCs w:val="24"/>
          <w:lang w:val="en-GB"/>
        </w:rPr>
        <w:t>5.2</w:t>
      </w:r>
      <w:r w:rsidRPr="006F5AE8">
        <w:rPr>
          <w:b/>
          <w:sz w:val="24"/>
          <w:szCs w:val="24"/>
          <w:lang w:val="en-GB"/>
        </w:rPr>
        <w:tab/>
        <w:t>Pharmacokinetic properties</w:t>
      </w:r>
      <w:r w:rsidRPr="006F5AE8">
        <w:rPr>
          <w:b/>
          <w:sz w:val="24"/>
          <w:szCs w:val="24"/>
          <w:lang w:val="en-GB"/>
        </w:rPr>
        <w:tab/>
      </w:r>
    </w:p>
    <w:p w14:paraId="577363BD" w14:textId="77777777" w:rsidR="0074039C" w:rsidRPr="006F5AE8" w:rsidRDefault="0074039C" w:rsidP="0022759B">
      <w:pPr>
        <w:ind w:left="851"/>
        <w:rPr>
          <w:sz w:val="24"/>
          <w:szCs w:val="24"/>
          <w:lang w:val="en-US"/>
        </w:rPr>
      </w:pPr>
      <w:r w:rsidRPr="006F5AE8">
        <w:rPr>
          <w:sz w:val="24"/>
          <w:szCs w:val="24"/>
          <w:lang w:val="en-US"/>
        </w:rPr>
        <w:t>Ticagrelor demonstrates linear pharmacokinetics and exposure to ticagrelor and the active metabolite (AR-C124910XX) are approximately dose proportional up to 1260 mg.</w:t>
      </w:r>
    </w:p>
    <w:p w14:paraId="00C63D6E" w14:textId="77777777" w:rsidR="0074039C" w:rsidRPr="006F5AE8" w:rsidRDefault="0074039C" w:rsidP="0022759B">
      <w:pPr>
        <w:ind w:left="851"/>
        <w:rPr>
          <w:sz w:val="24"/>
          <w:szCs w:val="24"/>
          <w:lang w:val="en-US"/>
        </w:rPr>
      </w:pPr>
    </w:p>
    <w:p w14:paraId="502F4A6D" w14:textId="77777777" w:rsidR="0074039C" w:rsidRPr="006F5AE8" w:rsidRDefault="0074039C" w:rsidP="0022759B">
      <w:pPr>
        <w:ind w:left="851"/>
        <w:rPr>
          <w:sz w:val="24"/>
          <w:szCs w:val="24"/>
          <w:lang w:val="en-US"/>
        </w:rPr>
      </w:pPr>
      <w:r w:rsidRPr="006F5AE8">
        <w:rPr>
          <w:sz w:val="24"/>
          <w:szCs w:val="24"/>
          <w:u w:val="single"/>
          <w:lang w:val="en-US"/>
        </w:rPr>
        <w:t>Absorption</w:t>
      </w:r>
    </w:p>
    <w:p w14:paraId="41470A8B" w14:textId="1B2472E4" w:rsidR="0074039C" w:rsidRPr="006F5AE8" w:rsidRDefault="0074039C" w:rsidP="0022759B">
      <w:pPr>
        <w:ind w:left="851"/>
        <w:rPr>
          <w:sz w:val="24"/>
          <w:szCs w:val="24"/>
          <w:lang w:val="en-US"/>
        </w:rPr>
      </w:pPr>
      <w:r w:rsidRPr="006F5AE8">
        <w:rPr>
          <w:sz w:val="24"/>
          <w:szCs w:val="24"/>
          <w:lang w:val="en-US"/>
        </w:rPr>
        <w:t xml:space="preserve">Absorption of ticagrelor is rapid with a median </w:t>
      </w:r>
      <w:proofErr w:type="spellStart"/>
      <w:r w:rsidRPr="006F5AE8">
        <w:rPr>
          <w:sz w:val="24"/>
          <w:szCs w:val="24"/>
          <w:lang w:val="en-US"/>
        </w:rPr>
        <w:t>tmax</w:t>
      </w:r>
      <w:proofErr w:type="spellEnd"/>
      <w:r w:rsidRPr="006F5AE8">
        <w:rPr>
          <w:sz w:val="24"/>
          <w:szCs w:val="24"/>
          <w:lang w:val="en-US"/>
        </w:rPr>
        <w:t xml:space="preserve"> of approximately 1.5 hours. The formation of the major circulating metabolite AR-C124910XX (also active) from ticagrelor is rapid with a median </w:t>
      </w:r>
      <w:proofErr w:type="spellStart"/>
      <w:r w:rsidRPr="006F5AE8">
        <w:rPr>
          <w:sz w:val="24"/>
          <w:szCs w:val="24"/>
          <w:lang w:val="en-US"/>
        </w:rPr>
        <w:t>tmax</w:t>
      </w:r>
      <w:proofErr w:type="spellEnd"/>
      <w:r w:rsidRPr="006F5AE8">
        <w:rPr>
          <w:sz w:val="24"/>
          <w:szCs w:val="24"/>
          <w:lang w:val="en-US"/>
        </w:rPr>
        <w:t xml:space="preserve"> of approximately 2.5 hours. Following an oral ticagrelor 90 mg single dose under fasted conditions in healthy subjects, </w:t>
      </w:r>
      <w:proofErr w:type="spellStart"/>
      <w:r w:rsidRPr="006F5AE8">
        <w:rPr>
          <w:sz w:val="24"/>
          <w:szCs w:val="24"/>
          <w:lang w:val="en-US"/>
        </w:rPr>
        <w:t>Cmax</w:t>
      </w:r>
      <w:proofErr w:type="spellEnd"/>
      <w:r w:rsidRPr="006F5AE8">
        <w:rPr>
          <w:sz w:val="24"/>
          <w:szCs w:val="24"/>
          <w:lang w:val="en-US"/>
        </w:rPr>
        <w:t xml:space="preserve"> is 529 ng/ml and AUC is 3451 ng*h/ml. The metabolite parent ratios are 0.28 for </w:t>
      </w:r>
      <w:proofErr w:type="spellStart"/>
      <w:r w:rsidRPr="006F5AE8">
        <w:rPr>
          <w:sz w:val="24"/>
          <w:szCs w:val="24"/>
          <w:lang w:val="en-US"/>
        </w:rPr>
        <w:t>Cmax</w:t>
      </w:r>
      <w:proofErr w:type="spellEnd"/>
      <w:r w:rsidRPr="006F5AE8">
        <w:rPr>
          <w:sz w:val="24"/>
          <w:szCs w:val="24"/>
          <w:lang w:val="en-US"/>
        </w:rPr>
        <w:t xml:space="preserve"> and 0.42 for AUC. The pharmacokinetics of ticagrelor and AR-C124910XX in patients with a history of MI were generally similar to that in the ACS population. Based on a population pharmacokinetic analysis of the PEGASUS study the median ticagrelor </w:t>
      </w:r>
      <w:proofErr w:type="spellStart"/>
      <w:r w:rsidRPr="006F5AE8">
        <w:rPr>
          <w:sz w:val="24"/>
          <w:szCs w:val="24"/>
          <w:lang w:val="en-US"/>
        </w:rPr>
        <w:t>Cmax</w:t>
      </w:r>
      <w:proofErr w:type="spellEnd"/>
      <w:r w:rsidRPr="006F5AE8">
        <w:rPr>
          <w:sz w:val="24"/>
          <w:szCs w:val="24"/>
          <w:lang w:val="en-US"/>
        </w:rPr>
        <w:t xml:space="preserve"> was 391 ng/ml and AUC </w:t>
      </w:r>
      <w:proofErr w:type="gramStart"/>
      <w:r w:rsidRPr="006F5AE8">
        <w:rPr>
          <w:sz w:val="24"/>
          <w:szCs w:val="24"/>
          <w:lang w:val="en-US"/>
        </w:rPr>
        <w:t>was</w:t>
      </w:r>
      <w:proofErr w:type="gramEnd"/>
      <w:r w:rsidRPr="006F5AE8">
        <w:rPr>
          <w:sz w:val="24"/>
          <w:szCs w:val="24"/>
          <w:lang w:val="en-US"/>
        </w:rPr>
        <w:t xml:space="preserve"> 3801 ng*h/ml at steady state for ticagrelor 60 mg. For ticagrelor 90 mg </w:t>
      </w:r>
      <w:proofErr w:type="spellStart"/>
      <w:r w:rsidRPr="006F5AE8">
        <w:rPr>
          <w:sz w:val="24"/>
          <w:szCs w:val="24"/>
          <w:lang w:val="en-US"/>
        </w:rPr>
        <w:t>Cmax</w:t>
      </w:r>
      <w:proofErr w:type="spellEnd"/>
      <w:r w:rsidRPr="006F5AE8">
        <w:rPr>
          <w:sz w:val="24"/>
          <w:szCs w:val="24"/>
          <w:lang w:val="en-US"/>
        </w:rPr>
        <w:t xml:space="preserve"> was 627</w:t>
      </w:r>
      <w:r w:rsidR="00061ED9">
        <w:rPr>
          <w:sz w:val="24"/>
          <w:szCs w:val="24"/>
          <w:lang w:val="en-US"/>
        </w:rPr>
        <w:t> </w:t>
      </w:r>
      <w:r w:rsidRPr="006F5AE8">
        <w:rPr>
          <w:sz w:val="24"/>
          <w:szCs w:val="24"/>
          <w:lang w:val="en-US"/>
        </w:rPr>
        <w:t xml:space="preserve">ng/ml and AUC </w:t>
      </w:r>
      <w:proofErr w:type="gramStart"/>
      <w:r w:rsidRPr="006F5AE8">
        <w:rPr>
          <w:sz w:val="24"/>
          <w:szCs w:val="24"/>
          <w:lang w:val="en-US"/>
        </w:rPr>
        <w:t>was</w:t>
      </w:r>
      <w:proofErr w:type="gramEnd"/>
      <w:r w:rsidRPr="006F5AE8">
        <w:rPr>
          <w:sz w:val="24"/>
          <w:szCs w:val="24"/>
          <w:lang w:val="en-US"/>
        </w:rPr>
        <w:t xml:space="preserve"> 6255 ng*h/ml at steady state.</w:t>
      </w:r>
    </w:p>
    <w:p w14:paraId="5D6C5EB8" w14:textId="77777777" w:rsidR="0074039C" w:rsidRPr="006F5AE8" w:rsidRDefault="0074039C" w:rsidP="0022759B">
      <w:pPr>
        <w:ind w:left="851"/>
        <w:rPr>
          <w:sz w:val="24"/>
          <w:szCs w:val="24"/>
          <w:lang w:val="en-US"/>
        </w:rPr>
      </w:pPr>
    </w:p>
    <w:p w14:paraId="217AAC16" w14:textId="77777777" w:rsidR="0074039C" w:rsidRPr="006F5AE8" w:rsidRDefault="0074039C" w:rsidP="0022759B">
      <w:pPr>
        <w:ind w:left="851"/>
        <w:rPr>
          <w:sz w:val="24"/>
          <w:szCs w:val="24"/>
          <w:lang w:val="en-US"/>
        </w:rPr>
      </w:pPr>
      <w:r w:rsidRPr="006F5AE8">
        <w:rPr>
          <w:sz w:val="24"/>
          <w:szCs w:val="24"/>
          <w:lang w:val="en-US"/>
        </w:rPr>
        <w:t xml:space="preserve">The mean absolute bioavailability of ticagrelor was estimated to be 36%. Ingestion of a high-fat meal resulted in a 21% increase in ticagrelor AUC and 22% decrease in the active metabolite </w:t>
      </w:r>
      <w:proofErr w:type="spellStart"/>
      <w:r w:rsidRPr="006F5AE8">
        <w:rPr>
          <w:sz w:val="24"/>
          <w:szCs w:val="24"/>
          <w:lang w:val="en-US"/>
        </w:rPr>
        <w:t>Cmax</w:t>
      </w:r>
      <w:proofErr w:type="spellEnd"/>
      <w:r w:rsidRPr="006F5AE8">
        <w:rPr>
          <w:sz w:val="24"/>
          <w:szCs w:val="24"/>
          <w:lang w:val="en-US"/>
        </w:rPr>
        <w:t xml:space="preserve"> but had no effect on ticagrelor </w:t>
      </w:r>
      <w:proofErr w:type="spellStart"/>
      <w:r w:rsidRPr="006F5AE8">
        <w:rPr>
          <w:sz w:val="24"/>
          <w:szCs w:val="24"/>
          <w:lang w:val="en-US"/>
        </w:rPr>
        <w:t>Cmax</w:t>
      </w:r>
      <w:proofErr w:type="spellEnd"/>
      <w:r w:rsidRPr="006F5AE8">
        <w:rPr>
          <w:sz w:val="24"/>
          <w:szCs w:val="24"/>
          <w:lang w:val="en-US"/>
        </w:rPr>
        <w:t xml:space="preserve"> or the AUC of the active metabolite. These small changes are considered of minimal clinical significance; therefore, ticagrelor can be given with or without food. Ticagrelor as well as the active metabolite are P-</w:t>
      </w:r>
      <w:proofErr w:type="spellStart"/>
      <w:r w:rsidRPr="006F5AE8">
        <w:rPr>
          <w:sz w:val="24"/>
          <w:szCs w:val="24"/>
          <w:lang w:val="en-US"/>
        </w:rPr>
        <w:t>gp</w:t>
      </w:r>
      <w:proofErr w:type="spellEnd"/>
      <w:r w:rsidRPr="006F5AE8">
        <w:rPr>
          <w:sz w:val="24"/>
          <w:szCs w:val="24"/>
          <w:lang w:val="en-US"/>
        </w:rPr>
        <w:t xml:space="preserve"> substrates.</w:t>
      </w:r>
    </w:p>
    <w:p w14:paraId="7A288967" w14:textId="77777777" w:rsidR="0074039C" w:rsidRPr="006F5AE8" w:rsidRDefault="0074039C" w:rsidP="0022759B">
      <w:pPr>
        <w:ind w:left="851"/>
        <w:rPr>
          <w:sz w:val="24"/>
          <w:szCs w:val="24"/>
          <w:lang w:val="en-US"/>
        </w:rPr>
      </w:pPr>
    </w:p>
    <w:p w14:paraId="002C2437" w14:textId="77777777" w:rsidR="0074039C" w:rsidRPr="006F5AE8" w:rsidRDefault="0074039C" w:rsidP="0022759B">
      <w:pPr>
        <w:ind w:left="851"/>
        <w:rPr>
          <w:sz w:val="24"/>
          <w:szCs w:val="24"/>
          <w:lang w:val="en-US"/>
        </w:rPr>
      </w:pPr>
      <w:r w:rsidRPr="006F5AE8">
        <w:rPr>
          <w:sz w:val="24"/>
          <w:szCs w:val="24"/>
          <w:lang w:val="en-US"/>
        </w:rPr>
        <w:t xml:space="preserve">Ticagrelor as crushed tablets mixed in water, given orally or administered through a nasogastric tube into the stomach, has a comparable bioavailability to whole tablets with regards to AUC and </w:t>
      </w:r>
      <w:proofErr w:type="spellStart"/>
      <w:r w:rsidRPr="006F5AE8">
        <w:rPr>
          <w:sz w:val="24"/>
          <w:szCs w:val="24"/>
          <w:lang w:val="en-US"/>
        </w:rPr>
        <w:t>Cmax</w:t>
      </w:r>
      <w:proofErr w:type="spellEnd"/>
      <w:r w:rsidRPr="006F5AE8">
        <w:rPr>
          <w:sz w:val="24"/>
          <w:szCs w:val="24"/>
          <w:lang w:val="en-US"/>
        </w:rPr>
        <w:t xml:space="preserve"> for ticagrelor and the active metabolite. Initial exposure (0.5 and </w:t>
      </w:r>
      <w:proofErr w:type="gramStart"/>
      <w:r w:rsidRPr="006F5AE8">
        <w:rPr>
          <w:sz w:val="24"/>
          <w:szCs w:val="24"/>
          <w:lang w:val="en-US"/>
        </w:rPr>
        <w:t>1 hour</w:t>
      </w:r>
      <w:proofErr w:type="gramEnd"/>
      <w:r w:rsidRPr="006F5AE8">
        <w:rPr>
          <w:sz w:val="24"/>
          <w:szCs w:val="24"/>
          <w:lang w:val="en-US"/>
        </w:rPr>
        <w:t xml:space="preserve"> post-dose) from crushed ticagrelor tablets mixed in water was higher compared to whole tablets, with a generally identical concentration profile thereafter (2 to 48 hours).</w:t>
      </w:r>
    </w:p>
    <w:p w14:paraId="387605C2" w14:textId="77777777" w:rsidR="0074039C" w:rsidRPr="006F5AE8" w:rsidRDefault="0074039C" w:rsidP="0022759B">
      <w:pPr>
        <w:ind w:left="851"/>
        <w:rPr>
          <w:sz w:val="24"/>
          <w:szCs w:val="24"/>
          <w:lang w:val="en-US"/>
        </w:rPr>
      </w:pPr>
    </w:p>
    <w:p w14:paraId="22C7AAA9" w14:textId="77777777" w:rsidR="0074039C" w:rsidRPr="006F5AE8" w:rsidRDefault="0074039C" w:rsidP="0022759B">
      <w:pPr>
        <w:ind w:left="851"/>
        <w:rPr>
          <w:sz w:val="24"/>
          <w:szCs w:val="24"/>
          <w:lang w:val="en-US"/>
        </w:rPr>
      </w:pPr>
      <w:r w:rsidRPr="006F5AE8">
        <w:rPr>
          <w:sz w:val="24"/>
          <w:szCs w:val="24"/>
          <w:u w:val="single"/>
          <w:lang w:val="en-US"/>
        </w:rPr>
        <w:t>Distribution</w:t>
      </w:r>
    </w:p>
    <w:p w14:paraId="60EAECAF" w14:textId="77777777" w:rsidR="0074039C" w:rsidRPr="006F5AE8" w:rsidRDefault="0074039C" w:rsidP="0022759B">
      <w:pPr>
        <w:ind w:left="851"/>
        <w:rPr>
          <w:sz w:val="24"/>
          <w:szCs w:val="24"/>
          <w:lang w:val="en-US"/>
        </w:rPr>
      </w:pPr>
      <w:r w:rsidRPr="006F5AE8">
        <w:rPr>
          <w:sz w:val="24"/>
          <w:szCs w:val="24"/>
          <w:lang w:val="en-US"/>
        </w:rPr>
        <w:t>The steady state volume of distribution of ticagrelor is 87.5 l. Ticagrelor and the active metabolite is extensively bound to human plasma protein (&gt;99.0%).</w:t>
      </w:r>
    </w:p>
    <w:p w14:paraId="2F86E6DE" w14:textId="77777777" w:rsidR="0074039C" w:rsidRPr="006F5AE8" w:rsidRDefault="0074039C" w:rsidP="0022759B">
      <w:pPr>
        <w:ind w:left="851"/>
        <w:rPr>
          <w:sz w:val="24"/>
          <w:szCs w:val="24"/>
          <w:lang w:val="en-US"/>
        </w:rPr>
      </w:pPr>
    </w:p>
    <w:p w14:paraId="65539EB3" w14:textId="77777777" w:rsidR="0074039C" w:rsidRPr="006F5AE8" w:rsidRDefault="0074039C" w:rsidP="0022759B">
      <w:pPr>
        <w:ind w:left="851"/>
        <w:rPr>
          <w:sz w:val="24"/>
          <w:szCs w:val="24"/>
          <w:lang w:val="en-US"/>
        </w:rPr>
      </w:pPr>
      <w:r w:rsidRPr="006F5AE8">
        <w:rPr>
          <w:sz w:val="24"/>
          <w:szCs w:val="24"/>
          <w:u w:val="single"/>
          <w:lang w:val="en-US"/>
        </w:rPr>
        <w:t>Biotransformation</w:t>
      </w:r>
    </w:p>
    <w:p w14:paraId="53FC20E1" w14:textId="77777777" w:rsidR="0074039C" w:rsidRPr="006F5AE8" w:rsidRDefault="0074039C" w:rsidP="0022759B">
      <w:pPr>
        <w:ind w:left="851"/>
        <w:rPr>
          <w:sz w:val="24"/>
          <w:szCs w:val="24"/>
          <w:lang w:val="en-US"/>
        </w:rPr>
      </w:pPr>
      <w:r w:rsidRPr="006F5AE8">
        <w:rPr>
          <w:sz w:val="24"/>
          <w:szCs w:val="24"/>
          <w:lang w:val="en-US"/>
        </w:rPr>
        <w:t>CYP3A4 is the major enzyme responsible for ticagrelor metabolism and the formation of the active metabolite and their interactions with other CYP3A substrates ranges from activation through to inhibition.</w:t>
      </w:r>
    </w:p>
    <w:p w14:paraId="0A862824" w14:textId="77777777" w:rsidR="0074039C" w:rsidRPr="006F5AE8" w:rsidRDefault="0074039C" w:rsidP="0022759B">
      <w:pPr>
        <w:ind w:left="851"/>
        <w:rPr>
          <w:sz w:val="24"/>
          <w:szCs w:val="24"/>
          <w:lang w:val="en-US"/>
        </w:rPr>
      </w:pPr>
    </w:p>
    <w:p w14:paraId="57BE9CBB" w14:textId="77777777" w:rsidR="0074039C" w:rsidRPr="006F5AE8" w:rsidRDefault="0074039C" w:rsidP="0022759B">
      <w:pPr>
        <w:ind w:left="851"/>
        <w:rPr>
          <w:sz w:val="24"/>
          <w:szCs w:val="24"/>
          <w:lang w:val="en-US"/>
        </w:rPr>
      </w:pPr>
      <w:r w:rsidRPr="006F5AE8">
        <w:rPr>
          <w:sz w:val="24"/>
          <w:szCs w:val="24"/>
          <w:lang w:val="en-US"/>
        </w:rPr>
        <w:t>The major metabolite of ticagrelor is AR-C124910XX, which is also active as assessed by in vitro binding to the platelet P2Y12 ADP-receptor. The systemic exposure to the active metabolite is approximately 30-40% of that obtained for ticagrelor.</w:t>
      </w:r>
    </w:p>
    <w:p w14:paraId="468F9FDA" w14:textId="77777777" w:rsidR="0074039C" w:rsidRPr="006F5AE8" w:rsidRDefault="0074039C" w:rsidP="0022759B">
      <w:pPr>
        <w:ind w:left="851"/>
        <w:rPr>
          <w:sz w:val="24"/>
          <w:szCs w:val="24"/>
          <w:lang w:val="en-US"/>
        </w:rPr>
      </w:pPr>
    </w:p>
    <w:p w14:paraId="0EF459F2" w14:textId="77777777" w:rsidR="0074039C" w:rsidRPr="006F5AE8" w:rsidRDefault="0074039C" w:rsidP="0022759B">
      <w:pPr>
        <w:ind w:left="851"/>
        <w:rPr>
          <w:sz w:val="24"/>
          <w:szCs w:val="24"/>
          <w:lang w:val="en-US"/>
        </w:rPr>
      </w:pPr>
      <w:r w:rsidRPr="006F5AE8">
        <w:rPr>
          <w:sz w:val="24"/>
          <w:szCs w:val="24"/>
          <w:u w:val="single"/>
          <w:lang w:val="en-US"/>
        </w:rPr>
        <w:t>Elimination</w:t>
      </w:r>
    </w:p>
    <w:p w14:paraId="4F2B5408" w14:textId="77777777" w:rsidR="0074039C" w:rsidRPr="006F5AE8" w:rsidRDefault="0074039C" w:rsidP="0022759B">
      <w:pPr>
        <w:ind w:left="851"/>
        <w:rPr>
          <w:sz w:val="24"/>
          <w:szCs w:val="24"/>
          <w:lang w:val="en-US"/>
        </w:rPr>
      </w:pPr>
      <w:r w:rsidRPr="006F5AE8">
        <w:rPr>
          <w:sz w:val="24"/>
          <w:szCs w:val="24"/>
          <w:lang w:val="en-US"/>
        </w:rPr>
        <w:t xml:space="preserve">The primary route of ticagrelor elimination is via hepatic metabolism. When </w:t>
      </w:r>
      <w:proofErr w:type="spellStart"/>
      <w:r w:rsidRPr="006F5AE8">
        <w:rPr>
          <w:sz w:val="24"/>
          <w:szCs w:val="24"/>
          <w:lang w:val="en-US"/>
        </w:rPr>
        <w:t>radiolabelled</w:t>
      </w:r>
      <w:proofErr w:type="spellEnd"/>
      <w:r w:rsidRPr="006F5AE8">
        <w:rPr>
          <w:sz w:val="24"/>
          <w:szCs w:val="24"/>
          <w:lang w:val="en-US"/>
        </w:rPr>
        <w:t xml:space="preserve"> ticagrelor is administered, the mean recovery of radioactivity is approximately 84% (57.8% in </w:t>
      </w:r>
      <w:proofErr w:type="spellStart"/>
      <w:r w:rsidRPr="006F5AE8">
        <w:rPr>
          <w:sz w:val="24"/>
          <w:szCs w:val="24"/>
          <w:lang w:val="en-US"/>
        </w:rPr>
        <w:t>faeces</w:t>
      </w:r>
      <w:proofErr w:type="spellEnd"/>
      <w:r w:rsidRPr="006F5AE8">
        <w:rPr>
          <w:sz w:val="24"/>
          <w:szCs w:val="24"/>
          <w:lang w:val="en-US"/>
        </w:rPr>
        <w:t>, 26.5% in urine). Recoveries of ticagrelor and the active metabolite in urine were both less than 1% of the dose. The primary route of elimination for the active metabolite is most likely via biliary secretion. The mean t1/2 was approximately 7 hours for ticagrelor and 8.5 hours for the active metabolite.</w:t>
      </w:r>
    </w:p>
    <w:p w14:paraId="4C439CCF" w14:textId="77777777" w:rsidR="0074039C" w:rsidRPr="006F5AE8" w:rsidRDefault="0074039C" w:rsidP="0022759B">
      <w:pPr>
        <w:ind w:left="851"/>
        <w:rPr>
          <w:sz w:val="24"/>
          <w:szCs w:val="24"/>
          <w:lang w:val="en-US"/>
        </w:rPr>
      </w:pPr>
    </w:p>
    <w:p w14:paraId="58E38C3C" w14:textId="77777777" w:rsidR="0074039C" w:rsidRPr="006F5AE8" w:rsidRDefault="0074039C" w:rsidP="0022759B">
      <w:pPr>
        <w:ind w:left="851"/>
        <w:rPr>
          <w:sz w:val="24"/>
          <w:szCs w:val="24"/>
          <w:u w:val="single"/>
          <w:lang w:val="en-US"/>
        </w:rPr>
      </w:pPr>
      <w:r w:rsidRPr="006F5AE8">
        <w:rPr>
          <w:sz w:val="24"/>
          <w:szCs w:val="24"/>
          <w:u w:val="single"/>
          <w:lang w:val="en-US"/>
        </w:rPr>
        <w:t>Special populations</w:t>
      </w:r>
    </w:p>
    <w:p w14:paraId="2C87CE3D" w14:textId="77777777" w:rsidR="0074039C" w:rsidRPr="006F5AE8" w:rsidRDefault="0074039C" w:rsidP="0022759B">
      <w:pPr>
        <w:ind w:left="851"/>
        <w:rPr>
          <w:i/>
          <w:iCs/>
          <w:sz w:val="24"/>
          <w:szCs w:val="24"/>
          <w:lang w:val="en-US"/>
        </w:rPr>
      </w:pPr>
      <w:r w:rsidRPr="006F5AE8">
        <w:rPr>
          <w:i/>
          <w:iCs/>
          <w:sz w:val="24"/>
          <w:szCs w:val="24"/>
          <w:lang w:val="en-US"/>
        </w:rPr>
        <w:t>Elderly</w:t>
      </w:r>
    </w:p>
    <w:p w14:paraId="70FFB7F9" w14:textId="77777777" w:rsidR="0074039C" w:rsidRPr="006F5AE8" w:rsidRDefault="0074039C" w:rsidP="0022759B">
      <w:pPr>
        <w:ind w:left="851"/>
        <w:rPr>
          <w:sz w:val="24"/>
          <w:szCs w:val="24"/>
          <w:lang w:val="en-US"/>
        </w:rPr>
      </w:pPr>
      <w:r w:rsidRPr="006F5AE8">
        <w:rPr>
          <w:sz w:val="24"/>
          <w:szCs w:val="24"/>
          <w:lang w:val="en-US"/>
        </w:rPr>
        <w:t xml:space="preserve">Higher exposures to ticagrelor (approximately 25% for both </w:t>
      </w:r>
      <w:proofErr w:type="spellStart"/>
      <w:r w:rsidRPr="006F5AE8">
        <w:rPr>
          <w:sz w:val="24"/>
          <w:szCs w:val="24"/>
          <w:lang w:val="en-US"/>
        </w:rPr>
        <w:t>Cmax</w:t>
      </w:r>
      <w:proofErr w:type="spellEnd"/>
      <w:r w:rsidRPr="006F5AE8">
        <w:rPr>
          <w:sz w:val="24"/>
          <w:szCs w:val="24"/>
          <w:lang w:val="en-US"/>
        </w:rPr>
        <w:t xml:space="preserve"> and AUC) and the active metabolite were observed in elderly (≥75years) ACS patients compared to younger patients by the population pharmacokinetic analysis. These differences are not considered clinically significant (see section 4.2).</w:t>
      </w:r>
    </w:p>
    <w:p w14:paraId="1D41C60B" w14:textId="77777777" w:rsidR="0074039C" w:rsidRPr="006F5AE8" w:rsidRDefault="0074039C" w:rsidP="0022759B">
      <w:pPr>
        <w:ind w:left="851"/>
        <w:rPr>
          <w:sz w:val="24"/>
          <w:szCs w:val="24"/>
          <w:lang w:val="en-US"/>
        </w:rPr>
      </w:pPr>
    </w:p>
    <w:p w14:paraId="7F574DC3" w14:textId="77777777" w:rsidR="0074039C" w:rsidRPr="006F5AE8" w:rsidRDefault="0074039C" w:rsidP="0022759B">
      <w:pPr>
        <w:ind w:left="851"/>
        <w:rPr>
          <w:i/>
          <w:iCs/>
          <w:sz w:val="24"/>
          <w:szCs w:val="24"/>
          <w:lang w:val="en-US"/>
        </w:rPr>
      </w:pPr>
      <w:r w:rsidRPr="006F5AE8">
        <w:rPr>
          <w:i/>
          <w:iCs/>
          <w:sz w:val="24"/>
          <w:szCs w:val="24"/>
          <w:lang w:val="en-US"/>
        </w:rPr>
        <w:t>Paediatric population</w:t>
      </w:r>
    </w:p>
    <w:p w14:paraId="534F33C4" w14:textId="77777777" w:rsidR="0074039C" w:rsidRPr="006F5AE8" w:rsidRDefault="0074039C" w:rsidP="0022759B">
      <w:pPr>
        <w:ind w:left="851"/>
        <w:rPr>
          <w:sz w:val="24"/>
          <w:szCs w:val="24"/>
          <w:lang w:val="en-US"/>
        </w:rPr>
      </w:pPr>
      <w:r w:rsidRPr="006F5AE8">
        <w:rPr>
          <w:sz w:val="24"/>
          <w:szCs w:val="24"/>
          <w:lang w:val="en-US"/>
        </w:rPr>
        <w:t>Limited data are available in children with sickle cell disease (see sections 4.2 and 5.1).</w:t>
      </w:r>
    </w:p>
    <w:p w14:paraId="2081BED8" w14:textId="77777777" w:rsidR="0074039C" w:rsidRPr="006F5AE8" w:rsidRDefault="0074039C" w:rsidP="0022759B">
      <w:pPr>
        <w:ind w:left="851"/>
        <w:rPr>
          <w:sz w:val="24"/>
          <w:szCs w:val="24"/>
          <w:lang w:val="en-US"/>
        </w:rPr>
      </w:pPr>
    </w:p>
    <w:p w14:paraId="2C8339BD" w14:textId="77777777" w:rsidR="0074039C" w:rsidRPr="006F5AE8" w:rsidRDefault="0074039C" w:rsidP="0022759B">
      <w:pPr>
        <w:ind w:left="851"/>
        <w:rPr>
          <w:sz w:val="24"/>
          <w:szCs w:val="24"/>
          <w:lang w:val="en-US"/>
        </w:rPr>
      </w:pPr>
      <w:r w:rsidRPr="006F5AE8">
        <w:rPr>
          <w:sz w:val="24"/>
          <w:szCs w:val="24"/>
          <w:lang w:val="en-US"/>
        </w:rPr>
        <w:t xml:space="preserve">In the HESTIA 3 study, patients aged 2 to less than 18 years weighing ≥ 12 to ≤ 24 kg, &gt; 24 to ≤ 48 kg and &gt; 48 kg, were administered ticagrelor as paediatric dispersible 15 mg tablets at doses of respectively 15, 30 and 45 mg twice daily. Based on population pharmacokinetic analysis, the mean AUC ranged from 1095 ng*h/mL to 1458 ng*h/mL and the mean </w:t>
      </w:r>
      <w:proofErr w:type="spellStart"/>
      <w:r w:rsidRPr="006F5AE8">
        <w:rPr>
          <w:sz w:val="24"/>
          <w:szCs w:val="24"/>
          <w:lang w:val="en-US"/>
        </w:rPr>
        <w:t>Cmax</w:t>
      </w:r>
      <w:proofErr w:type="spellEnd"/>
      <w:r w:rsidRPr="006F5AE8">
        <w:rPr>
          <w:sz w:val="24"/>
          <w:szCs w:val="24"/>
          <w:lang w:val="en-US"/>
        </w:rPr>
        <w:t xml:space="preserve"> ranged from 143 ng/mL to 206 ng/mL at steady state.</w:t>
      </w:r>
    </w:p>
    <w:p w14:paraId="414AD643" w14:textId="77777777" w:rsidR="0074039C" w:rsidRPr="006F5AE8" w:rsidRDefault="0074039C" w:rsidP="0022759B">
      <w:pPr>
        <w:ind w:left="851"/>
        <w:rPr>
          <w:sz w:val="24"/>
          <w:szCs w:val="24"/>
          <w:lang w:val="en-US"/>
        </w:rPr>
      </w:pPr>
    </w:p>
    <w:p w14:paraId="6F0A9091" w14:textId="77777777" w:rsidR="0074039C" w:rsidRPr="006F5AE8" w:rsidRDefault="0074039C" w:rsidP="0022759B">
      <w:pPr>
        <w:ind w:left="851"/>
        <w:rPr>
          <w:i/>
          <w:iCs/>
          <w:sz w:val="24"/>
          <w:szCs w:val="24"/>
          <w:lang w:val="en-US"/>
        </w:rPr>
      </w:pPr>
      <w:r w:rsidRPr="006F5AE8">
        <w:rPr>
          <w:i/>
          <w:iCs/>
          <w:sz w:val="24"/>
          <w:szCs w:val="24"/>
          <w:lang w:val="en-US"/>
        </w:rPr>
        <w:t>Gender</w:t>
      </w:r>
    </w:p>
    <w:p w14:paraId="03590EC7" w14:textId="77777777" w:rsidR="0074039C" w:rsidRPr="006F5AE8" w:rsidRDefault="0074039C" w:rsidP="0022759B">
      <w:pPr>
        <w:ind w:left="851"/>
        <w:rPr>
          <w:sz w:val="24"/>
          <w:szCs w:val="24"/>
          <w:lang w:val="en-US"/>
        </w:rPr>
      </w:pPr>
      <w:r w:rsidRPr="006F5AE8">
        <w:rPr>
          <w:sz w:val="24"/>
          <w:szCs w:val="24"/>
          <w:lang w:val="en-US"/>
        </w:rPr>
        <w:t>Higher exposures to ticagrelor and the active metabolite were observed in women compared to men. These differences are not considered clinically significant.</w:t>
      </w:r>
    </w:p>
    <w:p w14:paraId="0A98A4C4" w14:textId="77777777" w:rsidR="0074039C" w:rsidRPr="006F5AE8" w:rsidRDefault="0074039C" w:rsidP="0022759B">
      <w:pPr>
        <w:ind w:left="851"/>
        <w:rPr>
          <w:sz w:val="24"/>
          <w:szCs w:val="24"/>
          <w:lang w:val="en-US"/>
        </w:rPr>
      </w:pPr>
    </w:p>
    <w:p w14:paraId="1CF596B9" w14:textId="77777777" w:rsidR="0074039C" w:rsidRPr="006F5AE8" w:rsidRDefault="0074039C" w:rsidP="0022759B">
      <w:pPr>
        <w:ind w:left="851"/>
        <w:rPr>
          <w:i/>
          <w:iCs/>
          <w:sz w:val="24"/>
          <w:szCs w:val="24"/>
          <w:lang w:val="en-US"/>
        </w:rPr>
      </w:pPr>
      <w:r w:rsidRPr="006F5AE8">
        <w:rPr>
          <w:i/>
          <w:iCs/>
          <w:sz w:val="24"/>
          <w:szCs w:val="24"/>
          <w:lang w:val="en-US"/>
        </w:rPr>
        <w:t>Renal impairment</w:t>
      </w:r>
    </w:p>
    <w:p w14:paraId="14A3EE6F" w14:textId="77777777" w:rsidR="0074039C" w:rsidRPr="006F5AE8" w:rsidRDefault="0074039C" w:rsidP="0022759B">
      <w:pPr>
        <w:ind w:left="851"/>
        <w:rPr>
          <w:sz w:val="24"/>
          <w:szCs w:val="24"/>
          <w:lang w:val="en-US"/>
        </w:rPr>
      </w:pPr>
      <w:r w:rsidRPr="006F5AE8">
        <w:rPr>
          <w:sz w:val="24"/>
          <w:szCs w:val="24"/>
          <w:lang w:val="en-US"/>
        </w:rPr>
        <w:t>Exposure to ticagrelor was approximately 20% lower and exposure to the active metabolite was approximately 17% higher in patients with severe renal impairment (creatinine clearance &lt;30 ml/min) compared to subjects with normal renal function.</w:t>
      </w:r>
    </w:p>
    <w:p w14:paraId="6FFEC6C7" w14:textId="77777777" w:rsidR="0074039C" w:rsidRPr="006F5AE8" w:rsidRDefault="0074039C" w:rsidP="0022759B">
      <w:pPr>
        <w:ind w:left="851"/>
        <w:rPr>
          <w:sz w:val="24"/>
          <w:szCs w:val="24"/>
          <w:lang w:val="en-US"/>
        </w:rPr>
      </w:pPr>
    </w:p>
    <w:p w14:paraId="1C1CB1D0" w14:textId="77777777" w:rsidR="0074039C" w:rsidRPr="006F5AE8" w:rsidRDefault="0074039C" w:rsidP="0022759B">
      <w:pPr>
        <w:ind w:left="851"/>
        <w:rPr>
          <w:sz w:val="24"/>
          <w:szCs w:val="24"/>
          <w:lang w:val="en-US"/>
        </w:rPr>
      </w:pPr>
      <w:r w:rsidRPr="006F5AE8">
        <w:rPr>
          <w:sz w:val="24"/>
          <w:szCs w:val="24"/>
          <w:lang w:val="en-US"/>
        </w:rPr>
        <w:t xml:space="preserve">In patients with end stage renal disease on </w:t>
      </w:r>
      <w:proofErr w:type="spellStart"/>
      <w:r w:rsidRPr="006F5AE8">
        <w:rPr>
          <w:sz w:val="24"/>
          <w:szCs w:val="24"/>
          <w:lang w:val="en-US"/>
        </w:rPr>
        <w:t>haemodialysis</w:t>
      </w:r>
      <w:proofErr w:type="spellEnd"/>
      <w:r w:rsidRPr="006F5AE8">
        <w:rPr>
          <w:sz w:val="24"/>
          <w:szCs w:val="24"/>
          <w:lang w:val="en-US"/>
        </w:rPr>
        <w:t xml:space="preserve"> AUC and </w:t>
      </w:r>
      <w:proofErr w:type="spellStart"/>
      <w:r w:rsidRPr="006F5AE8">
        <w:rPr>
          <w:sz w:val="24"/>
          <w:szCs w:val="24"/>
          <w:lang w:val="en-US"/>
        </w:rPr>
        <w:t>Cmax</w:t>
      </w:r>
      <w:proofErr w:type="spellEnd"/>
      <w:r w:rsidRPr="006F5AE8">
        <w:rPr>
          <w:sz w:val="24"/>
          <w:szCs w:val="24"/>
          <w:lang w:val="en-US"/>
        </w:rPr>
        <w:t xml:space="preserve"> of ticagrelor 90 mg administered on a day without dialysis were 38% and 51% higher compared to subjects with normal renal function. A similar increase in exposure was observed when ticagrelor was administered immediately prior to dialysis (49% and 61%, respectively) showing that ticagrelor is not </w:t>
      </w:r>
      <w:proofErr w:type="spellStart"/>
      <w:r w:rsidRPr="006F5AE8">
        <w:rPr>
          <w:sz w:val="24"/>
          <w:szCs w:val="24"/>
          <w:lang w:val="en-US"/>
        </w:rPr>
        <w:t>dialysable</w:t>
      </w:r>
      <w:proofErr w:type="spellEnd"/>
      <w:r w:rsidRPr="006F5AE8">
        <w:rPr>
          <w:sz w:val="24"/>
          <w:szCs w:val="24"/>
          <w:lang w:val="en-US"/>
        </w:rPr>
        <w:t xml:space="preserve">. Exposure of the active metabolite increased to a lesser extent (AUC 13-14% and </w:t>
      </w:r>
      <w:proofErr w:type="spellStart"/>
      <w:r w:rsidRPr="006F5AE8">
        <w:rPr>
          <w:sz w:val="24"/>
          <w:szCs w:val="24"/>
          <w:lang w:val="en-US"/>
        </w:rPr>
        <w:t>Cmax</w:t>
      </w:r>
      <w:proofErr w:type="spellEnd"/>
      <w:r w:rsidRPr="006F5AE8">
        <w:rPr>
          <w:sz w:val="24"/>
          <w:szCs w:val="24"/>
          <w:lang w:val="en-US"/>
        </w:rPr>
        <w:t xml:space="preserve"> 17-36%). The inhibition of platelet aggregation (IPA) effect of ticagrelor was independent of dialysis in patients with end stage renal disease and similar to subjects with normal renal function (see section 4.2).</w:t>
      </w:r>
    </w:p>
    <w:p w14:paraId="13DE333C" w14:textId="77777777" w:rsidR="0074039C" w:rsidRPr="006F5AE8" w:rsidRDefault="0074039C" w:rsidP="0022759B">
      <w:pPr>
        <w:ind w:left="851"/>
        <w:rPr>
          <w:sz w:val="24"/>
          <w:szCs w:val="24"/>
          <w:lang w:val="en-US"/>
        </w:rPr>
      </w:pPr>
    </w:p>
    <w:p w14:paraId="4E6040E4" w14:textId="77777777" w:rsidR="0074039C" w:rsidRPr="006F5AE8" w:rsidRDefault="0074039C" w:rsidP="0022759B">
      <w:pPr>
        <w:ind w:left="851"/>
        <w:rPr>
          <w:i/>
          <w:iCs/>
          <w:sz w:val="24"/>
          <w:szCs w:val="24"/>
          <w:lang w:val="en-US"/>
        </w:rPr>
      </w:pPr>
      <w:r w:rsidRPr="006F5AE8">
        <w:rPr>
          <w:i/>
          <w:iCs/>
          <w:sz w:val="24"/>
          <w:szCs w:val="24"/>
          <w:lang w:val="en-US"/>
        </w:rPr>
        <w:t>Hepatic impairment</w:t>
      </w:r>
    </w:p>
    <w:p w14:paraId="5DA6383A" w14:textId="77777777" w:rsidR="0074039C" w:rsidRPr="006F5AE8" w:rsidRDefault="0074039C" w:rsidP="0022759B">
      <w:pPr>
        <w:ind w:left="851"/>
        <w:rPr>
          <w:sz w:val="24"/>
          <w:szCs w:val="24"/>
          <w:lang w:val="en-US"/>
        </w:rPr>
      </w:pPr>
      <w:proofErr w:type="spellStart"/>
      <w:r w:rsidRPr="006F5AE8">
        <w:rPr>
          <w:sz w:val="24"/>
          <w:szCs w:val="24"/>
          <w:lang w:val="en-US"/>
        </w:rPr>
        <w:t>Cmax</w:t>
      </w:r>
      <w:proofErr w:type="spellEnd"/>
      <w:r w:rsidRPr="006F5AE8">
        <w:rPr>
          <w:sz w:val="24"/>
          <w:szCs w:val="24"/>
          <w:lang w:val="en-US"/>
        </w:rPr>
        <w:t xml:space="preserve"> and AUC for ticagrelor were 12% and 23% higher in patients with mild hepatic impairment compared to matched healthy subjects, respectively, however, the IPA effect of ticagrelor was similar between the two groups. No dose adjustment is needed for patients with mild hepatic impairment. Ticagrelor has not been studied in patients with severe hepatic impairment and there is no pharmacokinetic information in patients with moderate hepatic impairment. In patients that had moderate or severe elevation in one or more liver function tests at baseline, ticagrelor plasma concentrations were on average similar or slightly higher as compared to those without baseline elevations. No dose adjustment is recommended in patients with moderate hepatic impairment (see sections 4.2 and 4.4).</w:t>
      </w:r>
    </w:p>
    <w:p w14:paraId="4CC7FB43" w14:textId="77777777" w:rsidR="0074039C" w:rsidRPr="006F5AE8" w:rsidRDefault="0074039C" w:rsidP="0022759B">
      <w:pPr>
        <w:ind w:left="851"/>
        <w:rPr>
          <w:sz w:val="24"/>
          <w:szCs w:val="24"/>
          <w:lang w:val="en-US"/>
        </w:rPr>
      </w:pPr>
    </w:p>
    <w:p w14:paraId="2EFF0C49" w14:textId="77777777" w:rsidR="0074039C" w:rsidRPr="006F5AE8" w:rsidRDefault="0074039C" w:rsidP="0022759B">
      <w:pPr>
        <w:ind w:left="851"/>
        <w:rPr>
          <w:i/>
          <w:iCs/>
          <w:sz w:val="24"/>
          <w:szCs w:val="24"/>
          <w:lang w:val="en-US"/>
        </w:rPr>
      </w:pPr>
      <w:r w:rsidRPr="006F5AE8">
        <w:rPr>
          <w:i/>
          <w:iCs/>
          <w:sz w:val="24"/>
          <w:szCs w:val="24"/>
          <w:lang w:val="en-US"/>
        </w:rPr>
        <w:t>Ethnicity</w:t>
      </w:r>
    </w:p>
    <w:p w14:paraId="09872949" w14:textId="77777777" w:rsidR="0074039C" w:rsidRPr="006F5AE8" w:rsidRDefault="0074039C" w:rsidP="0022759B">
      <w:pPr>
        <w:ind w:left="851"/>
        <w:rPr>
          <w:sz w:val="24"/>
          <w:szCs w:val="24"/>
          <w:lang w:val="en-US"/>
        </w:rPr>
      </w:pPr>
      <w:r w:rsidRPr="006F5AE8">
        <w:rPr>
          <w:sz w:val="24"/>
          <w:szCs w:val="24"/>
          <w:lang w:val="en-US"/>
        </w:rPr>
        <w:t>Patients of Asian descent have a 39% higher mean bioavailability compared to Caucasian patients. Patients self-identified as black had an 18% lower bioavailability of ticagrelor compared to Caucasian patients, in clinical pharmacology studies, the exposure (</w:t>
      </w:r>
      <w:proofErr w:type="spellStart"/>
      <w:r w:rsidRPr="006F5AE8">
        <w:rPr>
          <w:sz w:val="24"/>
          <w:szCs w:val="24"/>
          <w:lang w:val="en-US"/>
        </w:rPr>
        <w:t>Cmax</w:t>
      </w:r>
      <w:proofErr w:type="spellEnd"/>
      <w:r w:rsidRPr="006F5AE8">
        <w:rPr>
          <w:sz w:val="24"/>
          <w:szCs w:val="24"/>
          <w:lang w:val="en-US"/>
        </w:rPr>
        <w:t xml:space="preserve"> and AUC) to ticagrelor in Japanese subjects was approximately 40% (20% after adjusting for body weight) higher compared to that in Caucasians. The exposure in patients self-identified as Hispanic or Latino was similar to that in Caucasians.</w:t>
      </w:r>
    </w:p>
    <w:p w14:paraId="5DA1CB10" w14:textId="77777777" w:rsidR="007C5D2A" w:rsidRPr="006F5AE8" w:rsidRDefault="007C5D2A" w:rsidP="003E0341">
      <w:pPr>
        <w:tabs>
          <w:tab w:val="left" w:pos="851"/>
        </w:tabs>
        <w:ind w:left="851"/>
        <w:rPr>
          <w:sz w:val="24"/>
          <w:szCs w:val="24"/>
          <w:lang w:val="en-GB"/>
        </w:rPr>
      </w:pPr>
    </w:p>
    <w:p w14:paraId="22F7FE94" w14:textId="77777777" w:rsidR="007C5D2A" w:rsidRPr="006F5AE8" w:rsidRDefault="00180A12" w:rsidP="007C5D2A">
      <w:pPr>
        <w:tabs>
          <w:tab w:val="left" w:pos="851"/>
        </w:tabs>
        <w:ind w:left="851" w:hanging="851"/>
        <w:rPr>
          <w:b/>
          <w:sz w:val="24"/>
          <w:szCs w:val="24"/>
          <w:lang w:val="en-GB"/>
        </w:rPr>
      </w:pPr>
      <w:r w:rsidRPr="006F5AE8">
        <w:rPr>
          <w:b/>
          <w:sz w:val="24"/>
          <w:szCs w:val="24"/>
          <w:lang w:val="en-GB"/>
        </w:rPr>
        <w:t>5.3</w:t>
      </w:r>
      <w:r w:rsidRPr="006F5AE8">
        <w:rPr>
          <w:b/>
          <w:sz w:val="24"/>
          <w:szCs w:val="24"/>
          <w:lang w:val="en-GB"/>
        </w:rPr>
        <w:tab/>
        <w:t>Preclinical safety data</w:t>
      </w:r>
    </w:p>
    <w:p w14:paraId="24A6E108" w14:textId="77777777" w:rsidR="0074039C" w:rsidRPr="006F5AE8" w:rsidRDefault="0074039C" w:rsidP="0022759B">
      <w:pPr>
        <w:ind w:left="851"/>
        <w:rPr>
          <w:sz w:val="24"/>
          <w:szCs w:val="24"/>
          <w:lang w:val="en-US"/>
        </w:rPr>
      </w:pPr>
      <w:r w:rsidRPr="006F5AE8">
        <w:rPr>
          <w:sz w:val="24"/>
          <w:szCs w:val="24"/>
          <w:lang w:val="en-US"/>
        </w:rPr>
        <w:t xml:space="preserve">Preclinical data for ticagrelor and its major metabolite </w:t>
      </w:r>
      <w:proofErr w:type="gramStart"/>
      <w:r w:rsidRPr="006F5AE8">
        <w:rPr>
          <w:sz w:val="24"/>
          <w:szCs w:val="24"/>
          <w:lang w:val="en-US"/>
        </w:rPr>
        <w:t>have</w:t>
      </w:r>
      <w:proofErr w:type="gramEnd"/>
      <w:r w:rsidRPr="006F5AE8">
        <w:rPr>
          <w:sz w:val="24"/>
          <w:szCs w:val="24"/>
          <w:lang w:val="en-US"/>
        </w:rPr>
        <w:t xml:space="preserve"> not demonstrated unacceptable risk for adverse effects for humans based on conventional studies of safety pharmacology, single and repeated dose toxicity and genotoxic potential.</w:t>
      </w:r>
    </w:p>
    <w:p w14:paraId="3113BB96" w14:textId="77777777" w:rsidR="0074039C" w:rsidRPr="006F5AE8" w:rsidRDefault="0074039C" w:rsidP="0022759B">
      <w:pPr>
        <w:ind w:left="851"/>
        <w:rPr>
          <w:sz w:val="24"/>
          <w:szCs w:val="24"/>
          <w:lang w:val="en-US"/>
        </w:rPr>
      </w:pPr>
    </w:p>
    <w:p w14:paraId="5D102E80" w14:textId="77777777" w:rsidR="0074039C" w:rsidRPr="006F5AE8" w:rsidRDefault="0074039C" w:rsidP="0022759B">
      <w:pPr>
        <w:ind w:left="851"/>
        <w:rPr>
          <w:sz w:val="24"/>
          <w:szCs w:val="24"/>
          <w:lang w:val="en-US"/>
        </w:rPr>
      </w:pPr>
      <w:r w:rsidRPr="006F5AE8">
        <w:rPr>
          <w:sz w:val="24"/>
          <w:szCs w:val="24"/>
          <w:lang w:val="en-US"/>
        </w:rPr>
        <w:t xml:space="preserve">Gastrointestinal irritation was observed in several animal species at </w:t>
      </w:r>
      <w:proofErr w:type="gramStart"/>
      <w:r w:rsidRPr="006F5AE8">
        <w:rPr>
          <w:sz w:val="24"/>
          <w:szCs w:val="24"/>
          <w:lang w:val="en-US"/>
        </w:rPr>
        <w:t>clinical</w:t>
      </w:r>
      <w:proofErr w:type="gramEnd"/>
      <w:r w:rsidRPr="006F5AE8">
        <w:rPr>
          <w:sz w:val="24"/>
          <w:szCs w:val="24"/>
          <w:lang w:val="en-US"/>
        </w:rPr>
        <w:t xml:space="preserve"> relevant exposure levels (see section 4.8).</w:t>
      </w:r>
    </w:p>
    <w:p w14:paraId="50D4C981" w14:textId="77777777" w:rsidR="0074039C" w:rsidRPr="006F5AE8" w:rsidRDefault="0074039C" w:rsidP="0022759B">
      <w:pPr>
        <w:ind w:left="851"/>
        <w:rPr>
          <w:sz w:val="24"/>
          <w:szCs w:val="24"/>
          <w:lang w:val="en-US"/>
        </w:rPr>
      </w:pPr>
    </w:p>
    <w:p w14:paraId="0E432E03" w14:textId="77777777" w:rsidR="0074039C" w:rsidRPr="006F5AE8" w:rsidRDefault="0074039C" w:rsidP="0022759B">
      <w:pPr>
        <w:ind w:left="851"/>
        <w:rPr>
          <w:sz w:val="24"/>
          <w:szCs w:val="24"/>
          <w:lang w:val="en-US"/>
        </w:rPr>
      </w:pPr>
      <w:r w:rsidRPr="006F5AE8">
        <w:rPr>
          <w:sz w:val="24"/>
          <w:szCs w:val="24"/>
          <w:lang w:val="en-US"/>
        </w:rPr>
        <w:t>In female rats, ticagrelor at high dose showed an increased incidence of uterine tumours (adenocarcinomas) and an increased incidence of hepatic adenomas. The mechanism for uterine tumours is likely hormonal imbalance which can lead to tumours in rats. The mechanism for the hepatic adenomas is likely due to a rodent-specific enzyme induction in the liver. Thus, the carcinogenicity findings are considered unlikely to be relevant for humans.</w:t>
      </w:r>
    </w:p>
    <w:p w14:paraId="4248DBE4" w14:textId="77777777" w:rsidR="0074039C" w:rsidRPr="006F5AE8" w:rsidRDefault="0074039C" w:rsidP="0022759B">
      <w:pPr>
        <w:ind w:left="851"/>
        <w:rPr>
          <w:sz w:val="24"/>
          <w:szCs w:val="24"/>
          <w:lang w:val="en-US"/>
        </w:rPr>
      </w:pPr>
    </w:p>
    <w:p w14:paraId="00289984" w14:textId="77777777" w:rsidR="0074039C" w:rsidRPr="006F5AE8" w:rsidRDefault="0074039C" w:rsidP="0022759B">
      <w:pPr>
        <w:ind w:left="851"/>
        <w:rPr>
          <w:sz w:val="24"/>
          <w:szCs w:val="24"/>
          <w:lang w:val="en-US"/>
        </w:rPr>
      </w:pPr>
      <w:r w:rsidRPr="006F5AE8">
        <w:rPr>
          <w:sz w:val="24"/>
          <w:szCs w:val="24"/>
          <w:lang w:val="en-US"/>
        </w:rPr>
        <w:t xml:space="preserve">In rats, minor developmental anomalies were seen at a maternal toxic dose (safety margin of 5.1). In rabbits, a slight delay in hepatic maturity and skeletal development was seen in </w:t>
      </w:r>
      <w:proofErr w:type="spellStart"/>
      <w:r w:rsidRPr="006F5AE8">
        <w:rPr>
          <w:sz w:val="24"/>
          <w:szCs w:val="24"/>
          <w:lang w:val="en-US"/>
        </w:rPr>
        <w:t>foetuses</w:t>
      </w:r>
      <w:proofErr w:type="spellEnd"/>
      <w:r w:rsidRPr="006F5AE8">
        <w:rPr>
          <w:sz w:val="24"/>
          <w:szCs w:val="24"/>
          <w:lang w:val="en-US"/>
        </w:rPr>
        <w:t xml:space="preserve"> from dams at high dose without showing maternal toxicity (safety margin of 4.5).</w:t>
      </w:r>
    </w:p>
    <w:p w14:paraId="30960EB5" w14:textId="77777777" w:rsidR="0074039C" w:rsidRPr="006F5AE8" w:rsidRDefault="0074039C" w:rsidP="0022759B">
      <w:pPr>
        <w:ind w:left="851"/>
        <w:rPr>
          <w:sz w:val="24"/>
          <w:szCs w:val="24"/>
          <w:lang w:val="en-US"/>
        </w:rPr>
      </w:pPr>
    </w:p>
    <w:p w14:paraId="07BF009D" w14:textId="77777777" w:rsidR="0074039C" w:rsidRPr="006F5AE8" w:rsidRDefault="0074039C" w:rsidP="0022759B">
      <w:pPr>
        <w:ind w:left="851"/>
        <w:rPr>
          <w:sz w:val="24"/>
          <w:szCs w:val="24"/>
          <w:lang w:val="en-US"/>
        </w:rPr>
      </w:pPr>
      <w:r w:rsidRPr="006F5AE8">
        <w:rPr>
          <w:sz w:val="24"/>
          <w:szCs w:val="24"/>
          <w:lang w:val="en-US"/>
        </w:rPr>
        <w:t xml:space="preserve">Studies in rats and rabbits have shown reproductive toxicity, with slightly reduced maternal body weight gain and reduced neonatal viability and birth weight, with delayed growth. Ticagrelor produced irregular cycles (mostly extended cycles) in female rats, but did not affect overall fertility in male and female rats. Pharmacokinetic studies performed with </w:t>
      </w:r>
      <w:proofErr w:type="spellStart"/>
      <w:r w:rsidRPr="006F5AE8">
        <w:rPr>
          <w:sz w:val="24"/>
          <w:szCs w:val="24"/>
          <w:lang w:val="en-US"/>
        </w:rPr>
        <w:t>radiolabelled</w:t>
      </w:r>
      <w:proofErr w:type="spellEnd"/>
      <w:r w:rsidRPr="006F5AE8">
        <w:rPr>
          <w:sz w:val="24"/>
          <w:szCs w:val="24"/>
          <w:lang w:val="en-US"/>
        </w:rPr>
        <w:t xml:space="preserve"> ticagrelor have shown that the parent compound and its metabolites are excreted in the milk of rats (see section 4.6).</w:t>
      </w:r>
    </w:p>
    <w:p w14:paraId="34DF5F1B" w14:textId="77777777" w:rsidR="007C5D2A" w:rsidRPr="006F5AE8" w:rsidRDefault="007C5D2A" w:rsidP="003E0341">
      <w:pPr>
        <w:tabs>
          <w:tab w:val="left" w:pos="851"/>
        </w:tabs>
        <w:ind w:left="851"/>
        <w:rPr>
          <w:sz w:val="24"/>
          <w:szCs w:val="24"/>
          <w:lang w:val="en-GB"/>
        </w:rPr>
      </w:pPr>
    </w:p>
    <w:p w14:paraId="78505CA8" w14:textId="77777777" w:rsidR="007C5D2A" w:rsidRPr="006F5AE8" w:rsidRDefault="007C5D2A" w:rsidP="003E0341">
      <w:pPr>
        <w:tabs>
          <w:tab w:val="left" w:pos="851"/>
        </w:tabs>
        <w:ind w:left="851"/>
        <w:rPr>
          <w:sz w:val="24"/>
          <w:szCs w:val="24"/>
          <w:lang w:val="en-GB"/>
        </w:rPr>
      </w:pPr>
    </w:p>
    <w:p w14:paraId="3DFF8EAB" w14:textId="77777777" w:rsidR="007C5D2A" w:rsidRPr="006F5AE8" w:rsidRDefault="009925C9" w:rsidP="007C5D2A">
      <w:pPr>
        <w:ind w:left="851" w:hanging="851"/>
        <w:rPr>
          <w:b/>
          <w:sz w:val="24"/>
          <w:szCs w:val="24"/>
          <w:lang w:val="en-GB"/>
        </w:rPr>
      </w:pPr>
      <w:r w:rsidRPr="006F5AE8">
        <w:rPr>
          <w:b/>
          <w:sz w:val="24"/>
          <w:szCs w:val="24"/>
          <w:lang w:val="en-GB"/>
        </w:rPr>
        <w:t>6.</w:t>
      </w:r>
      <w:r w:rsidR="007C5D2A" w:rsidRPr="006F5AE8">
        <w:rPr>
          <w:b/>
          <w:sz w:val="24"/>
          <w:szCs w:val="24"/>
          <w:lang w:val="en-GB"/>
        </w:rPr>
        <w:tab/>
        <w:t>PHARMACEUTICAL PARTICULARS</w:t>
      </w:r>
    </w:p>
    <w:p w14:paraId="101116DB" w14:textId="77777777" w:rsidR="007C5D2A" w:rsidRPr="006F5AE8" w:rsidRDefault="007C5D2A" w:rsidP="003E0341">
      <w:pPr>
        <w:tabs>
          <w:tab w:val="left" w:pos="851"/>
        </w:tabs>
        <w:ind w:left="851"/>
        <w:rPr>
          <w:sz w:val="24"/>
          <w:szCs w:val="24"/>
          <w:lang w:val="en-GB"/>
        </w:rPr>
      </w:pPr>
    </w:p>
    <w:p w14:paraId="7AA69623" w14:textId="77777777" w:rsidR="007C5D2A" w:rsidRPr="006F5AE8" w:rsidRDefault="007C5D2A" w:rsidP="007C5D2A">
      <w:pPr>
        <w:ind w:left="851" w:hanging="851"/>
        <w:rPr>
          <w:b/>
          <w:sz w:val="24"/>
          <w:szCs w:val="24"/>
          <w:lang w:val="en-GB"/>
        </w:rPr>
      </w:pPr>
      <w:r w:rsidRPr="006F5AE8">
        <w:rPr>
          <w:b/>
          <w:sz w:val="24"/>
          <w:szCs w:val="24"/>
          <w:lang w:val="en-GB"/>
        </w:rPr>
        <w:t>6.1</w:t>
      </w:r>
      <w:r w:rsidRPr="006F5AE8">
        <w:rPr>
          <w:b/>
          <w:sz w:val="24"/>
          <w:szCs w:val="24"/>
          <w:lang w:val="en-GB"/>
        </w:rPr>
        <w:tab/>
        <w:t>List of excipients</w:t>
      </w:r>
    </w:p>
    <w:p w14:paraId="529C1249" w14:textId="77777777" w:rsidR="007D5DEA" w:rsidRDefault="007D5DEA" w:rsidP="0022759B">
      <w:pPr>
        <w:ind w:left="851"/>
        <w:rPr>
          <w:sz w:val="24"/>
          <w:szCs w:val="24"/>
          <w:u w:val="single"/>
          <w:lang w:val="en-US"/>
        </w:rPr>
      </w:pPr>
    </w:p>
    <w:p w14:paraId="71F345C4" w14:textId="3FFFC7AD" w:rsidR="0074039C" w:rsidRPr="006F5AE8" w:rsidRDefault="0074039C" w:rsidP="0022759B">
      <w:pPr>
        <w:ind w:left="851"/>
        <w:rPr>
          <w:sz w:val="24"/>
          <w:szCs w:val="24"/>
          <w:u w:val="single"/>
          <w:lang w:val="en-US"/>
        </w:rPr>
      </w:pPr>
      <w:r w:rsidRPr="006F5AE8">
        <w:rPr>
          <w:sz w:val="24"/>
          <w:szCs w:val="24"/>
          <w:u w:val="single"/>
          <w:lang w:val="en-US"/>
        </w:rPr>
        <w:t>Core</w:t>
      </w:r>
    </w:p>
    <w:p w14:paraId="1CC85296" w14:textId="77777777" w:rsidR="0074039C" w:rsidRPr="006F5AE8" w:rsidRDefault="0074039C" w:rsidP="0022759B">
      <w:pPr>
        <w:ind w:left="851"/>
        <w:rPr>
          <w:sz w:val="24"/>
          <w:szCs w:val="24"/>
          <w:lang w:val="en-US"/>
        </w:rPr>
      </w:pPr>
      <w:r w:rsidRPr="006F5AE8">
        <w:rPr>
          <w:sz w:val="24"/>
          <w:szCs w:val="24"/>
          <w:lang w:val="en-US"/>
        </w:rPr>
        <w:t>Mannitol</w:t>
      </w:r>
    </w:p>
    <w:p w14:paraId="4C150B00" w14:textId="77777777" w:rsidR="0074039C" w:rsidRPr="006F5AE8" w:rsidRDefault="0074039C" w:rsidP="0022759B">
      <w:pPr>
        <w:ind w:left="851"/>
        <w:rPr>
          <w:sz w:val="24"/>
          <w:szCs w:val="24"/>
          <w:lang w:val="en-US"/>
        </w:rPr>
      </w:pPr>
      <w:r w:rsidRPr="006F5AE8">
        <w:rPr>
          <w:sz w:val="24"/>
          <w:szCs w:val="24"/>
          <w:lang w:val="en-US"/>
        </w:rPr>
        <w:t>Calcium hydrogen phosphate dihydrate</w:t>
      </w:r>
    </w:p>
    <w:p w14:paraId="5E53D5EA" w14:textId="77777777" w:rsidR="0074039C" w:rsidRPr="006F5AE8" w:rsidRDefault="0074039C" w:rsidP="0022759B">
      <w:pPr>
        <w:ind w:left="851"/>
        <w:rPr>
          <w:sz w:val="24"/>
          <w:szCs w:val="24"/>
          <w:lang w:val="en-US"/>
        </w:rPr>
      </w:pPr>
      <w:r w:rsidRPr="006F5AE8">
        <w:rPr>
          <w:sz w:val="24"/>
          <w:szCs w:val="24"/>
          <w:lang w:val="en-US"/>
        </w:rPr>
        <w:t>Croscarmellose Sodium</w:t>
      </w:r>
    </w:p>
    <w:p w14:paraId="514266D2" w14:textId="77777777" w:rsidR="0074039C" w:rsidRPr="006F5AE8" w:rsidRDefault="0074039C" w:rsidP="0022759B">
      <w:pPr>
        <w:ind w:left="851"/>
        <w:rPr>
          <w:sz w:val="24"/>
          <w:szCs w:val="24"/>
          <w:lang w:val="en-US"/>
        </w:rPr>
      </w:pPr>
      <w:r w:rsidRPr="006F5AE8">
        <w:rPr>
          <w:sz w:val="24"/>
          <w:szCs w:val="24"/>
          <w:lang w:val="en-US"/>
        </w:rPr>
        <w:t>Hydroxypropyl Cellulose</w:t>
      </w:r>
    </w:p>
    <w:p w14:paraId="7B6F66F1" w14:textId="77777777" w:rsidR="0074039C" w:rsidRPr="006F5AE8" w:rsidRDefault="0074039C" w:rsidP="0022759B">
      <w:pPr>
        <w:ind w:left="851"/>
        <w:rPr>
          <w:sz w:val="24"/>
          <w:szCs w:val="24"/>
          <w:lang w:val="en-US"/>
        </w:rPr>
      </w:pPr>
      <w:r w:rsidRPr="006F5AE8">
        <w:rPr>
          <w:sz w:val="24"/>
          <w:szCs w:val="24"/>
          <w:lang w:val="en-US"/>
        </w:rPr>
        <w:t>Magnesium Stearate</w:t>
      </w:r>
    </w:p>
    <w:p w14:paraId="7FF0AF2F" w14:textId="77777777" w:rsidR="007D5DEA" w:rsidRDefault="007D5DEA" w:rsidP="0022759B">
      <w:pPr>
        <w:ind w:left="851"/>
        <w:rPr>
          <w:sz w:val="24"/>
          <w:szCs w:val="24"/>
          <w:u w:val="single"/>
          <w:lang w:val="en-US"/>
        </w:rPr>
      </w:pPr>
    </w:p>
    <w:p w14:paraId="7BCD37E3" w14:textId="48765D93" w:rsidR="0074039C" w:rsidRPr="006F5AE8" w:rsidRDefault="0074039C" w:rsidP="0022759B">
      <w:pPr>
        <w:ind w:left="851"/>
        <w:rPr>
          <w:sz w:val="24"/>
          <w:szCs w:val="24"/>
          <w:u w:val="single"/>
          <w:lang w:val="en-US"/>
        </w:rPr>
      </w:pPr>
      <w:r w:rsidRPr="006F5AE8">
        <w:rPr>
          <w:sz w:val="24"/>
          <w:szCs w:val="24"/>
          <w:u w:val="single"/>
          <w:lang w:val="en-US"/>
        </w:rPr>
        <w:t>Coating</w:t>
      </w:r>
    </w:p>
    <w:p w14:paraId="0AE607EA" w14:textId="77777777" w:rsidR="0074039C" w:rsidRPr="006F5AE8" w:rsidRDefault="0074039C" w:rsidP="0022759B">
      <w:pPr>
        <w:ind w:left="851"/>
        <w:rPr>
          <w:sz w:val="24"/>
          <w:szCs w:val="24"/>
          <w:lang w:val="en-US"/>
        </w:rPr>
      </w:pPr>
      <w:r w:rsidRPr="006F5AE8">
        <w:rPr>
          <w:sz w:val="24"/>
          <w:szCs w:val="24"/>
          <w:lang w:val="en-US"/>
        </w:rPr>
        <w:t xml:space="preserve">Hypromellose </w:t>
      </w:r>
    </w:p>
    <w:p w14:paraId="35CA46A5" w14:textId="77777777" w:rsidR="0074039C" w:rsidRPr="006F5AE8" w:rsidRDefault="0074039C" w:rsidP="0022759B">
      <w:pPr>
        <w:ind w:left="851"/>
        <w:rPr>
          <w:sz w:val="24"/>
          <w:szCs w:val="24"/>
          <w:lang w:val="en-US"/>
        </w:rPr>
      </w:pPr>
      <w:r w:rsidRPr="006F5AE8">
        <w:rPr>
          <w:sz w:val="24"/>
          <w:szCs w:val="24"/>
          <w:lang w:val="en-US"/>
        </w:rPr>
        <w:t>Titanium dioxide (E171)</w:t>
      </w:r>
    </w:p>
    <w:p w14:paraId="2C04E8FB" w14:textId="77777777" w:rsidR="0074039C" w:rsidRPr="006F5AE8" w:rsidRDefault="0074039C" w:rsidP="0022759B">
      <w:pPr>
        <w:ind w:left="851"/>
        <w:rPr>
          <w:sz w:val="24"/>
          <w:szCs w:val="24"/>
          <w:lang w:val="en-US"/>
        </w:rPr>
      </w:pPr>
      <w:r w:rsidRPr="006F5AE8">
        <w:rPr>
          <w:sz w:val="24"/>
          <w:szCs w:val="24"/>
          <w:lang w:val="en-US"/>
        </w:rPr>
        <w:t>Macrogol 6000</w:t>
      </w:r>
    </w:p>
    <w:p w14:paraId="536AB222" w14:textId="77777777" w:rsidR="0074039C" w:rsidRPr="006F5AE8" w:rsidRDefault="0074039C" w:rsidP="0022759B">
      <w:pPr>
        <w:ind w:left="851"/>
        <w:rPr>
          <w:sz w:val="24"/>
          <w:szCs w:val="24"/>
          <w:lang w:val="en-US"/>
        </w:rPr>
      </w:pPr>
      <w:r w:rsidRPr="006F5AE8">
        <w:rPr>
          <w:sz w:val="24"/>
          <w:szCs w:val="24"/>
          <w:lang w:val="en-US"/>
        </w:rPr>
        <w:t>Red Iron Oxide (E172). (</w:t>
      </w:r>
      <w:r w:rsidRPr="006F5AE8">
        <w:rPr>
          <w:i/>
          <w:iCs/>
          <w:sz w:val="24"/>
          <w:szCs w:val="24"/>
          <w:lang w:val="en-US"/>
        </w:rPr>
        <w:t>for 60 mg concentration</w:t>
      </w:r>
      <w:r w:rsidRPr="006F5AE8">
        <w:rPr>
          <w:sz w:val="24"/>
          <w:szCs w:val="24"/>
          <w:lang w:val="en-US"/>
        </w:rPr>
        <w:t>)</w:t>
      </w:r>
    </w:p>
    <w:p w14:paraId="3F40B119" w14:textId="77777777" w:rsidR="0074039C" w:rsidRPr="006F5AE8" w:rsidRDefault="0074039C" w:rsidP="0022759B">
      <w:pPr>
        <w:ind w:left="851"/>
        <w:rPr>
          <w:sz w:val="24"/>
          <w:szCs w:val="24"/>
          <w:lang w:val="en-US"/>
        </w:rPr>
      </w:pPr>
      <w:r w:rsidRPr="006F5AE8">
        <w:rPr>
          <w:sz w:val="24"/>
          <w:szCs w:val="24"/>
          <w:lang w:val="en-US"/>
        </w:rPr>
        <w:t xml:space="preserve">Yellow Iron Oxide (E172) </w:t>
      </w:r>
      <w:r w:rsidRPr="006F5AE8">
        <w:rPr>
          <w:i/>
          <w:iCs/>
          <w:sz w:val="24"/>
          <w:szCs w:val="24"/>
          <w:lang w:val="en-US"/>
        </w:rPr>
        <w:t>for 90 mg concentration</w:t>
      </w:r>
      <w:r w:rsidRPr="006F5AE8">
        <w:rPr>
          <w:sz w:val="24"/>
          <w:szCs w:val="24"/>
          <w:lang w:val="en-US"/>
        </w:rPr>
        <w:t>)</w:t>
      </w:r>
    </w:p>
    <w:p w14:paraId="5A298E22" w14:textId="77777777" w:rsidR="007C5D2A" w:rsidRPr="006F5AE8" w:rsidRDefault="007C5D2A" w:rsidP="003D727E">
      <w:pPr>
        <w:tabs>
          <w:tab w:val="left" w:pos="851"/>
        </w:tabs>
        <w:ind w:left="851"/>
        <w:rPr>
          <w:sz w:val="24"/>
          <w:szCs w:val="24"/>
          <w:lang w:val="en-GB"/>
        </w:rPr>
      </w:pPr>
    </w:p>
    <w:p w14:paraId="073E965B" w14:textId="77777777" w:rsidR="007C5D2A" w:rsidRPr="006F5AE8" w:rsidRDefault="007C5D2A" w:rsidP="007C5D2A">
      <w:pPr>
        <w:ind w:left="851" w:hanging="851"/>
        <w:rPr>
          <w:b/>
          <w:sz w:val="24"/>
          <w:szCs w:val="24"/>
          <w:lang w:val="en-GB"/>
        </w:rPr>
      </w:pPr>
      <w:r w:rsidRPr="006F5AE8">
        <w:rPr>
          <w:b/>
          <w:sz w:val="24"/>
          <w:szCs w:val="24"/>
          <w:lang w:val="en-GB"/>
        </w:rPr>
        <w:t>6.2</w:t>
      </w:r>
      <w:r w:rsidRPr="006F5AE8">
        <w:rPr>
          <w:b/>
          <w:sz w:val="24"/>
          <w:szCs w:val="24"/>
          <w:lang w:val="en-GB"/>
        </w:rPr>
        <w:tab/>
        <w:t>Incompatibilities</w:t>
      </w:r>
    </w:p>
    <w:p w14:paraId="3A0591F9" w14:textId="77777777" w:rsidR="0074039C" w:rsidRPr="006F5AE8" w:rsidRDefault="0074039C" w:rsidP="0022759B">
      <w:pPr>
        <w:ind w:left="851"/>
        <w:rPr>
          <w:sz w:val="24"/>
          <w:szCs w:val="24"/>
          <w:lang w:val="en-US"/>
        </w:rPr>
      </w:pPr>
      <w:r w:rsidRPr="006F5AE8">
        <w:rPr>
          <w:sz w:val="24"/>
          <w:szCs w:val="24"/>
          <w:lang w:val="en-US"/>
        </w:rPr>
        <w:t>Not applicable.</w:t>
      </w:r>
    </w:p>
    <w:p w14:paraId="2C04D5AF" w14:textId="77777777" w:rsidR="007C5D2A" w:rsidRPr="006F5AE8" w:rsidRDefault="007C5D2A" w:rsidP="003E0341">
      <w:pPr>
        <w:tabs>
          <w:tab w:val="left" w:pos="851"/>
        </w:tabs>
        <w:ind w:left="851"/>
        <w:rPr>
          <w:sz w:val="24"/>
          <w:szCs w:val="24"/>
          <w:lang w:val="en-GB"/>
        </w:rPr>
      </w:pPr>
    </w:p>
    <w:p w14:paraId="508662E1" w14:textId="77777777" w:rsidR="007C5D2A" w:rsidRPr="006F5AE8" w:rsidRDefault="007C5D2A" w:rsidP="007C5D2A">
      <w:pPr>
        <w:ind w:left="851" w:hanging="851"/>
        <w:rPr>
          <w:b/>
          <w:sz w:val="24"/>
          <w:szCs w:val="24"/>
          <w:lang w:val="en-GB"/>
        </w:rPr>
      </w:pPr>
      <w:r w:rsidRPr="006F5AE8">
        <w:rPr>
          <w:b/>
          <w:sz w:val="24"/>
          <w:szCs w:val="24"/>
          <w:lang w:val="en-GB"/>
        </w:rPr>
        <w:t>6.3</w:t>
      </w:r>
      <w:r w:rsidRPr="006F5AE8">
        <w:rPr>
          <w:b/>
          <w:sz w:val="24"/>
          <w:szCs w:val="24"/>
          <w:lang w:val="en-GB"/>
        </w:rPr>
        <w:tab/>
        <w:t>Shelf</w:t>
      </w:r>
      <w:r w:rsidR="00B45DC5" w:rsidRPr="006F5AE8">
        <w:rPr>
          <w:b/>
          <w:sz w:val="24"/>
          <w:szCs w:val="24"/>
          <w:lang w:val="en-GB"/>
        </w:rPr>
        <w:t xml:space="preserve"> </w:t>
      </w:r>
      <w:r w:rsidRPr="006F5AE8">
        <w:rPr>
          <w:b/>
          <w:sz w:val="24"/>
          <w:szCs w:val="24"/>
          <w:lang w:val="en-GB"/>
        </w:rPr>
        <w:t>life</w:t>
      </w:r>
    </w:p>
    <w:p w14:paraId="43A61F1B" w14:textId="77777777" w:rsidR="0074039C" w:rsidRPr="006F5AE8" w:rsidRDefault="0074039C" w:rsidP="0022759B">
      <w:pPr>
        <w:ind w:left="851"/>
        <w:rPr>
          <w:sz w:val="24"/>
          <w:szCs w:val="24"/>
          <w:lang w:val="en-US"/>
        </w:rPr>
      </w:pPr>
      <w:r w:rsidRPr="006F5AE8">
        <w:rPr>
          <w:sz w:val="24"/>
          <w:szCs w:val="24"/>
          <w:lang w:val="en-US"/>
        </w:rPr>
        <w:t>3 years</w:t>
      </w:r>
    </w:p>
    <w:p w14:paraId="74116BAF" w14:textId="77777777" w:rsidR="007C5D2A" w:rsidRPr="006F5AE8" w:rsidRDefault="007C5D2A" w:rsidP="003E0341">
      <w:pPr>
        <w:tabs>
          <w:tab w:val="left" w:pos="851"/>
        </w:tabs>
        <w:ind w:left="851"/>
        <w:rPr>
          <w:sz w:val="24"/>
          <w:szCs w:val="24"/>
          <w:lang w:val="en-GB"/>
        </w:rPr>
      </w:pPr>
    </w:p>
    <w:p w14:paraId="5B5D0239" w14:textId="77777777" w:rsidR="007C5D2A" w:rsidRPr="006F5AE8" w:rsidRDefault="007C5D2A" w:rsidP="007C5D2A">
      <w:pPr>
        <w:ind w:left="851" w:hanging="851"/>
        <w:rPr>
          <w:b/>
          <w:sz w:val="24"/>
          <w:szCs w:val="24"/>
          <w:lang w:val="en-GB"/>
        </w:rPr>
      </w:pPr>
      <w:r w:rsidRPr="006F5AE8">
        <w:rPr>
          <w:b/>
          <w:sz w:val="24"/>
          <w:szCs w:val="24"/>
          <w:lang w:val="en-GB"/>
        </w:rPr>
        <w:t>6.4</w:t>
      </w:r>
      <w:r w:rsidRPr="006F5AE8">
        <w:rPr>
          <w:b/>
          <w:sz w:val="24"/>
          <w:szCs w:val="24"/>
          <w:lang w:val="en-GB"/>
        </w:rPr>
        <w:tab/>
        <w:t>Special precautions for storage</w:t>
      </w:r>
    </w:p>
    <w:p w14:paraId="48B79F33" w14:textId="77777777" w:rsidR="0074039C" w:rsidRPr="006F5AE8" w:rsidRDefault="0074039C" w:rsidP="0022759B">
      <w:pPr>
        <w:ind w:left="851"/>
        <w:rPr>
          <w:sz w:val="24"/>
          <w:szCs w:val="24"/>
          <w:lang w:val="en-US"/>
        </w:rPr>
      </w:pPr>
      <w:r w:rsidRPr="006F5AE8">
        <w:rPr>
          <w:sz w:val="24"/>
          <w:szCs w:val="24"/>
          <w:lang w:val="en-US"/>
        </w:rPr>
        <w:t>This medicinal product does not require any special storage conditions.</w:t>
      </w:r>
    </w:p>
    <w:p w14:paraId="03EC2AC7" w14:textId="77777777" w:rsidR="007C5D2A" w:rsidRPr="006F5AE8" w:rsidRDefault="007C5D2A" w:rsidP="003E0341">
      <w:pPr>
        <w:tabs>
          <w:tab w:val="left" w:pos="851"/>
        </w:tabs>
        <w:ind w:left="851"/>
        <w:rPr>
          <w:sz w:val="24"/>
          <w:szCs w:val="24"/>
          <w:lang w:val="en-GB"/>
        </w:rPr>
      </w:pPr>
    </w:p>
    <w:p w14:paraId="1631B63D" w14:textId="77777777" w:rsidR="007C5D2A" w:rsidRPr="006F5AE8" w:rsidRDefault="007C5D2A" w:rsidP="007C5D2A">
      <w:pPr>
        <w:ind w:left="851" w:hanging="851"/>
        <w:rPr>
          <w:b/>
          <w:sz w:val="24"/>
          <w:szCs w:val="24"/>
          <w:lang w:val="en-GB"/>
        </w:rPr>
      </w:pPr>
      <w:r w:rsidRPr="006F5AE8">
        <w:rPr>
          <w:b/>
          <w:sz w:val="24"/>
          <w:szCs w:val="24"/>
          <w:lang w:val="en-GB"/>
        </w:rPr>
        <w:t>6.5</w:t>
      </w:r>
      <w:r w:rsidRPr="006F5AE8">
        <w:rPr>
          <w:b/>
          <w:sz w:val="24"/>
          <w:szCs w:val="24"/>
          <w:lang w:val="en-GB"/>
        </w:rPr>
        <w:tab/>
        <w:t>Nature and contents of container</w:t>
      </w:r>
    </w:p>
    <w:p w14:paraId="61DDAEE3" w14:textId="77777777" w:rsidR="0074039C" w:rsidRPr="006F5AE8" w:rsidRDefault="0074039C" w:rsidP="0022759B">
      <w:pPr>
        <w:ind w:left="851"/>
        <w:rPr>
          <w:sz w:val="24"/>
          <w:szCs w:val="24"/>
          <w:lang w:val="en-US"/>
        </w:rPr>
      </w:pPr>
      <w:bookmarkStart w:id="2" w:name="_Hlk105423370"/>
      <w:r w:rsidRPr="006F5AE8">
        <w:rPr>
          <w:sz w:val="24"/>
          <w:szCs w:val="24"/>
          <w:lang w:val="en-US"/>
        </w:rPr>
        <w:t>PVC/</w:t>
      </w:r>
      <w:proofErr w:type="spellStart"/>
      <w:r w:rsidRPr="006F5AE8">
        <w:rPr>
          <w:sz w:val="24"/>
          <w:szCs w:val="24"/>
          <w:lang w:val="en-US"/>
        </w:rPr>
        <w:t>PVdC</w:t>
      </w:r>
      <w:proofErr w:type="spellEnd"/>
      <w:r w:rsidRPr="006F5AE8">
        <w:rPr>
          <w:sz w:val="24"/>
          <w:szCs w:val="24"/>
          <w:lang w:val="en-US"/>
        </w:rPr>
        <w:t>/</w:t>
      </w:r>
      <w:proofErr w:type="spellStart"/>
      <w:r w:rsidRPr="006F5AE8">
        <w:rPr>
          <w:sz w:val="24"/>
          <w:szCs w:val="24"/>
          <w:lang w:val="en-US"/>
        </w:rPr>
        <w:t>Aluminium</w:t>
      </w:r>
      <w:proofErr w:type="spellEnd"/>
      <w:r w:rsidRPr="006F5AE8">
        <w:rPr>
          <w:sz w:val="24"/>
          <w:szCs w:val="24"/>
          <w:lang w:val="en-US"/>
        </w:rPr>
        <w:t xml:space="preserve"> blisters in cartons of 14, 56, 60, 168 or 180 film-coated tablets.</w:t>
      </w:r>
    </w:p>
    <w:p w14:paraId="108B1954" w14:textId="77777777" w:rsidR="0074039C" w:rsidRPr="006F5AE8" w:rsidRDefault="0074039C" w:rsidP="0022759B">
      <w:pPr>
        <w:ind w:left="851"/>
        <w:rPr>
          <w:sz w:val="24"/>
          <w:szCs w:val="24"/>
          <w:lang w:val="en-US"/>
        </w:rPr>
      </w:pPr>
      <w:r w:rsidRPr="006F5AE8">
        <w:rPr>
          <w:sz w:val="24"/>
          <w:szCs w:val="24"/>
          <w:lang w:val="en-US"/>
        </w:rPr>
        <w:t>Not all pack sizes may be marketed.</w:t>
      </w:r>
      <w:bookmarkEnd w:id="2"/>
    </w:p>
    <w:p w14:paraId="1C050D23" w14:textId="77777777" w:rsidR="007C5D2A" w:rsidRPr="006F5AE8" w:rsidRDefault="007C5D2A" w:rsidP="003E0341">
      <w:pPr>
        <w:tabs>
          <w:tab w:val="left" w:pos="851"/>
        </w:tabs>
        <w:ind w:left="851"/>
        <w:rPr>
          <w:sz w:val="24"/>
          <w:szCs w:val="24"/>
          <w:lang w:val="en-GB"/>
        </w:rPr>
      </w:pPr>
    </w:p>
    <w:p w14:paraId="08D5BB01" w14:textId="77777777" w:rsidR="007C5D2A" w:rsidRPr="006F5AE8" w:rsidRDefault="007C5D2A" w:rsidP="007C5D2A">
      <w:pPr>
        <w:ind w:left="851" w:hanging="851"/>
        <w:rPr>
          <w:b/>
          <w:sz w:val="24"/>
          <w:szCs w:val="24"/>
          <w:lang w:val="en-GB"/>
        </w:rPr>
      </w:pPr>
      <w:r w:rsidRPr="006F5AE8">
        <w:rPr>
          <w:b/>
          <w:sz w:val="24"/>
          <w:szCs w:val="24"/>
          <w:lang w:val="en-GB"/>
        </w:rPr>
        <w:t>6.6</w:t>
      </w:r>
      <w:r w:rsidRPr="006F5AE8">
        <w:rPr>
          <w:b/>
          <w:sz w:val="24"/>
          <w:szCs w:val="24"/>
          <w:lang w:val="en-GB"/>
        </w:rPr>
        <w:tab/>
        <w:t>Special precautions for disposal and other handling</w:t>
      </w:r>
    </w:p>
    <w:p w14:paraId="6AB72BA6" w14:textId="77777777" w:rsidR="0074039C" w:rsidRPr="006F5AE8" w:rsidRDefault="0074039C" w:rsidP="0022759B">
      <w:pPr>
        <w:ind w:left="851"/>
        <w:rPr>
          <w:sz w:val="24"/>
          <w:szCs w:val="24"/>
          <w:lang w:val="en-US"/>
        </w:rPr>
      </w:pPr>
      <w:r w:rsidRPr="006F5AE8">
        <w:rPr>
          <w:sz w:val="24"/>
          <w:szCs w:val="24"/>
          <w:lang w:val="en-US"/>
        </w:rPr>
        <w:t>Any unused medicinal product or waste material should be disposed of in accordance with local requirements.</w:t>
      </w:r>
    </w:p>
    <w:p w14:paraId="17936A47" w14:textId="77777777" w:rsidR="007C5D2A" w:rsidRPr="006F5AE8" w:rsidRDefault="007C5D2A" w:rsidP="00AB4376">
      <w:pPr>
        <w:tabs>
          <w:tab w:val="left" w:pos="851"/>
        </w:tabs>
        <w:ind w:left="851"/>
        <w:rPr>
          <w:sz w:val="24"/>
          <w:szCs w:val="24"/>
          <w:lang w:val="en-GB"/>
        </w:rPr>
      </w:pPr>
    </w:p>
    <w:p w14:paraId="0D60F658" w14:textId="77777777" w:rsidR="007C5D2A" w:rsidRPr="006F5AE8" w:rsidRDefault="007C5D2A" w:rsidP="007C5D2A">
      <w:pPr>
        <w:tabs>
          <w:tab w:val="left" w:pos="851"/>
        </w:tabs>
        <w:ind w:left="851" w:hanging="851"/>
        <w:jc w:val="both"/>
        <w:rPr>
          <w:b/>
          <w:sz w:val="24"/>
          <w:szCs w:val="24"/>
          <w:lang w:val="en-GB"/>
        </w:rPr>
      </w:pPr>
      <w:r w:rsidRPr="006F5AE8">
        <w:rPr>
          <w:b/>
          <w:sz w:val="24"/>
          <w:szCs w:val="24"/>
          <w:lang w:val="en-GB"/>
        </w:rPr>
        <w:t>7.</w:t>
      </w:r>
      <w:r w:rsidRPr="006F5AE8">
        <w:rPr>
          <w:b/>
          <w:sz w:val="24"/>
          <w:szCs w:val="24"/>
          <w:lang w:val="en-GB"/>
        </w:rPr>
        <w:tab/>
        <w:t>MARKETING AUTHORISATION HOLDER</w:t>
      </w:r>
    </w:p>
    <w:p w14:paraId="6D7A92A0" w14:textId="18767221" w:rsidR="007C5D2A" w:rsidRDefault="00F96484" w:rsidP="003E0341">
      <w:pPr>
        <w:tabs>
          <w:tab w:val="left" w:pos="851"/>
        </w:tabs>
        <w:ind w:left="851"/>
        <w:jc w:val="both"/>
        <w:rPr>
          <w:sz w:val="24"/>
          <w:szCs w:val="24"/>
          <w:lang w:val="en-GB"/>
        </w:rPr>
      </w:pPr>
      <w:proofErr w:type="spellStart"/>
      <w:r w:rsidRPr="00F96484">
        <w:rPr>
          <w:sz w:val="24"/>
          <w:szCs w:val="24"/>
          <w:lang w:val="en-GB"/>
        </w:rPr>
        <w:t>Medochemie</w:t>
      </w:r>
      <w:proofErr w:type="spellEnd"/>
      <w:r w:rsidRPr="00F96484">
        <w:rPr>
          <w:sz w:val="24"/>
          <w:szCs w:val="24"/>
          <w:lang w:val="en-GB"/>
        </w:rPr>
        <w:t xml:space="preserve"> Limited</w:t>
      </w:r>
    </w:p>
    <w:p w14:paraId="1305232C" w14:textId="524C11E5" w:rsidR="00F96484" w:rsidRDefault="00F96484" w:rsidP="003E0341">
      <w:pPr>
        <w:tabs>
          <w:tab w:val="left" w:pos="851"/>
        </w:tabs>
        <w:ind w:left="851"/>
        <w:jc w:val="both"/>
        <w:rPr>
          <w:sz w:val="24"/>
          <w:szCs w:val="24"/>
          <w:lang w:val="en-GB"/>
        </w:rPr>
      </w:pPr>
      <w:r w:rsidRPr="00F96484">
        <w:rPr>
          <w:sz w:val="24"/>
          <w:szCs w:val="24"/>
          <w:lang w:val="en-GB"/>
        </w:rPr>
        <w:t xml:space="preserve">1-10 </w:t>
      </w:r>
      <w:proofErr w:type="spellStart"/>
      <w:r w:rsidRPr="00F96484">
        <w:rPr>
          <w:sz w:val="24"/>
          <w:szCs w:val="24"/>
          <w:lang w:val="en-GB"/>
        </w:rPr>
        <w:t>Constantinoupoleos</w:t>
      </w:r>
      <w:proofErr w:type="spellEnd"/>
    </w:p>
    <w:p w14:paraId="4B576691" w14:textId="3CD8C5B1" w:rsidR="00F96484" w:rsidRDefault="00F96484" w:rsidP="003E0341">
      <w:pPr>
        <w:tabs>
          <w:tab w:val="left" w:pos="851"/>
        </w:tabs>
        <w:ind w:left="851"/>
        <w:jc w:val="both"/>
        <w:rPr>
          <w:sz w:val="24"/>
          <w:szCs w:val="24"/>
          <w:lang w:val="en-GB"/>
        </w:rPr>
      </w:pPr>
      <w:r w:rsidRPr="00F96484">
        <w:rPr>
          <w:sz w:val="24"/>
          <w:szCs w:val="24"/>
          <w:lang w:val="en-GB"/>
        </w:rPr>
        <w:t>3011</w:t>
      </w:r>
      <w:r w:rsidR="00E75DBF">
        <w:rPr>
          <w:sz w:val="24"/>
          <w:szCs w:val="24"/>
          <w:lang w:val="en-GB"/>
        </w:rPr>
        <w:t xml:space="preserve"> </w:t>
      </w:r>
      <w:r w:rsidR="00E75DBF" w:rsidRPr="00E75DBF">
        <w:rPr>
          <w:sz w:val="24"/>
          <w:szCs w:val="24"/>
          <w:lang w:val="en-GB"/>
        </w:rPr>
        <w:t>Limassol</w:t>
      </w:r>
    </w:p>
    <w:p w14:paraId="6324ED2B" w14:textId="25B61289" w:rsidR="00E75DBF" w:rsidRDefault="00E75DBF" w:rsidP="003E0341">
      <w:pPr>
        <w:tabs>
          <w:tab w:val="left" w:pos="851"/>
        </w:tabs>
        <w:ind w:left="851"/>
        <w:jc w:val="both"/>
        <w:rPr>
          <w:sz w:val="24"/>
          <w:szCs w:val="24"/>
          <w:lang w:val="en-GB"/>
        </w:rPr>
      </w:pPr>
      <w:r w:rsidRPr="00E75DBF">
        <w:rPr>
          <w:sz w:val="24"/>
          <w:szCs w:val="24"/>
          <w:lang w:val="en-GB"/>
        </w:rPr>
        <w:t>Cyprus</w:t>
      </w:r>
    </w:p>
    <w:p w14:paraId="54F1C94A" w14:textId="77777777" w:rsidR="00E75DBF" w:rsidRPr="006F5AE8" w:rsidRDefault="00E75DBF" w:rsidP="003E0341">
      <w:pPr>
        <w:tabs>
          <w:tab w:val="left" w:pos="851"/>
        </w:tabs>
        <w:ind w:left="851"/>
        <w:jc w:val="both"/>
        <w:rPr>
          <w:sz w:val="24"/>
          <w:szCs w:val="24"/>
          <w:lang w:val="en-GB"/>
        </w:rPr>
      </w:pPr>
    </w:p>
    <w:p w14:paraId="131C8BEB" w14:textId="77777777" w:rsidR="007C5D2A" w:rsidRPr="006F5AE8" w:rsidRDefault="007C5D2A" w:rsidP="007C5D2A">
      <w:pPr>
        <w:ind w:left="851" w:hanging="851"/>
        <w:jc w:val="both"/>
        <w:rPr>
          <w:b/>
          <w:sz w:val="24"/>
          <w:szCs w:val="24"/>
          <w:lang w:val="en-GB"/>
        </w:rPr>
      </w:pPr>
      <w:r w:rsidRPr="006F5AE8">
        <w:rPr>
          <w:b/>
          <w:sz w:val="24"/>
          <w:szCs w:val="24"/>
          <w:lang w:val="en-GB"/>
        </w:rPr>
        <w:t>8.</w:t>
      </w:r>
      <w:r w:rsidRPr="006F5AE8">
        <w:rPr>
          <w:b/>
          <w:sz w:val="24"/>
          <w:szCs w:val="24"/>
          <w:lang w:val="en-GB"/>
        </w:rPr>
        <w:tab/>
        <w:t>MARKETING AUTHORISATION NUMBER(S)</w:t>
      </w:r>
    </w:p>
    <w:p w14:paraId="4930613B" w14:textId="07602CFF" w:rsidR="007C5D2A" w:rsidRPr="006F5AE8" w:rsidRDefault="00B4050A" w:rsidP="00A85D26">
      <w:pPr>
        <w:tabs>
          <w:tab w:val="left" w:pos="851"/>
        </w:tabs>
        <w:ind w:left="851"/>
        <w:jc w:val="both"/>
        <w:rPr>
          <w:sz w:val="24"/>
          <w:szCs w:val="24"/>
          <w:lang w:val="en-GB"/>
        </w:rPr>
      </w:pPr>
      <w:r w:rsidRPr="006F5AE8">
        <w:rPr>
          <w:sz w:val="24"/>
          <w:szCs w:val="24"/>
          <w:lang w:val="en-GB"/>
        </w:rPr>
        <w:t>60 mg: 68011</w:t>
      </w:r>
    </w:p>
    <w:p w14:paraId="2B60E4E1" w14:textId="52A7B27C" w:rsidR="00B4050A" w:rsidRPr="006F5AE8" w:rsidRDefault="00B4050A" w:rsidP="00A85D26">
      <w:pPr>
        <w:tabs>
          <w:tab w:val="left" w:pos="851"/>
        </w:tabs>
        <w:ind w:left="851"/>
        <w:jc w:val="both"/>
        <w:rPr>
          <w:sz w:val="24"/>
          <w:szCs w:val="24"/>
          <w:lang w:val="en-GB"/>
        </w:rPr>
      </w:pPr>
      <w:r w:rsidRPr="006F5AE8">
        <w:rPr>
          <w:sz w:val="24"/>
          <w:szCs w:val="24"/>
          <w:lang w:val="en-GB"/>
        </w:rPr>
        <w:t>90 mg: 68012</w:t>
      </w:r>
    </w:p>
    <w:p w14:paraId="600EEA60" w14:textId="77777777" w:rsidR="007C5D2A" w:rsidRPr="006F5AE8" w:rsidRDefault="007C5D2A" w:rsidP="00180A12">
      <w:pPr>
        <w:tabs>
          <w:tab w:val="left" w:pos="851"/>
        </w:tabs>
        <w:ind w:left="851"/>
        <w:jc w:val="both"/>
        <w:rPr>
          <w:sz w:val="24"/>
          <w:szCs w:val="24"/>
          <w:lang w:val="en-GB"/>
        </w:rPr>
      </w:pPr>
    </w:p>
    <w:p w14:paraId="37424BD4" w14:textId="77777777" w:rsidR="007C5D2A" w:rsidRPr="006F5AE8" w:rsidRDefault="007C5D2A" w:rsidP="007C5D2A">
      <w:pPr>
        <w:tabs>
          <w:tab w:val="left" w:pos="851"/>
        </w:tabs>
        <w:jc w:val="both"/>
        <w:rPr>
          <w:sz w:val="24"/>
          <w:szCs w:val="24"/>
          <w:lang w:val="en-GB"/>
        </w:rPr>
      </w:pPr>
      <w:r w:rsidRPr="006F5AE8">
        <w:rPr>
          <w:b/>
          <w:sz w:val="24"/>
          <w:szCs w:val="24"/>
          <w:lang w:val="en-GB"/>
        </w:rPr>
        <w:t>9.</w:t>
      </w:r>
      <w:r w:rsidRPr="006F5AE8">
        <w:rPr>
          <w:b/>
          <w:sz w:val="24"/>
          <w:szCs w:val="24"/>
          <w:lang w:val="en-GB"/>
        </w:rPr>
        <w:tab/>
        <w:t>DATE OF FIRST AUTHORISATION</w:t>
      </w:r>
    </w:p>
    <w:p w14:paraId="0563CD86" w14:textId="2DA76FBD" w:rsidR="007C5D2A" w:rsidRPr="006F5AE8" w:rsidRDefault="00DD435F" w:rsidP="00A85D26">
      <w:pPr>
        <w:ind w:left="851"/>
        <w:jc w:val="both"/>
        <w:rPr>
          <w:sz w:val="24"/>
          <w:szCs w:val="24"/>
          <w:lang w:val="en-GB"/>
        </w:rPr>
      </w:pPr>
      <w:r>
        <w:rPr>
          <w:sz w:val="24"/>
          <w:szCs w:val="24"/>
          <w:lang w:val="en-GB"/>
        </w:rPr>
        <w:t>11 April 2024</w:t>
      </w:r>
    </w:p>
    <w:p w14:paraId="60D0486C" w14:textId="77777777" w:rsidR="007C5D2A" w:rsidRPr="006F5AE8" w:rsidRDefault="007C5D2A" w:rsidP="003E0341">
      <w:pPr>
        <w:tabs>
          <w:tab w:val="left" w:pos="851"/>
        </w:tabs>
        <w:ind w:left="851"/>
        <w:jc w:val="both"/>
        <w:rPr>
          <w:sz w:val="24"/>
          <w:szCs w:val="24"/>
          <w:lang w:val="en-GB"/>
        </w:rPr>
      </w:pPr>
    </w:p>
    <w:p w14:paraId="317740A9" w14:textId="77777777" w:rsidR="007C5D2A" w:rsidRPr="006F5AE8" w:rsidRDefault="007C5D2A" w:rsidP="007C5D2A">
      <w:pPr>
        <w:tabs>
          <w:tab w:val="left" w:pos="851"/>
        </w:tabs>
        <w:jc w:val="both"/>
        <w:rPr>
          <w:sz w:val="24"/>
          <w:szCs w:val="24"/>
          <w:lang w:val="en-GB"/>
        </w:rPr>
      </w:pPr>
      <w:r w:rsidRPr="006F5AE8">
        <w:rPr>
          <w:b/>
          <w:sz w:val="24"/>
          <w:szCs w:val="24"/>
          <w:lang w:val="en-GB"/>
        </w:rPr>
        <w:t>10.</w:t>
      </w:r>
      <w:r w:rsidRPr="006F5AE8">
        <w:rPr>
          <w:b/>
          <w:sz w:val="24"/>
          <w:szCs w:val="24"/>
          <w:lang w:val="en-GB"/>
        </w:rPr>
        <w:tab/>
        <w:t>DATE OF REVISION OF THE TEXT</w:t>
      </w:r>
    </w:p>
    <w:p w14:paraId="46F85CAD" w14:textId="147ED9E2" w:rsidR="007C5D2A" w:rsidRPr="006F5AE8" w:rsidRDefault="00B4050A" w:rsidP="003E0341">
      <w:pPr>
        <w:tabs>
          <w:tab w:val="left" w:pos="851"/>
        </w:tabs>
        <w:ind w:left="851"/>
        <w:jc w:val="both"/>
        <w:rPr>
          <w:sz w:val="24"/>
          <w:szCs w:val="24"/>
          <w:lang w:val="en-GB"/>
        </w:rPr>
      </w:pPr>
      <w:r w:rsidRPr="006F5AE8">
        <w:rPr>
          <w:sz w:val="24"/>
          <w:szCs w:val="24"/>
          <w:lang w:val="en-GB"/>
        </w:rPr>
        <w:t>-</w:t>
      </w:r>
    </w:p>
    <w:sectPr w:rsidR="007C5D2A" w:rsidRPr="006F5AE8" w:rsidSect="004A3BF4">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90EB2" w14:textId="77777777" w:rsidR="00B4050A" w:rsidRDefault="00B4050A">
      <w:r>
        <w:separator/>
      </w:r>
    </w:p>
  </w:endnote>
  <w:endnote w:type="continuationSeparator" w:id="0">
    <w:p w14:paraId="02C91E1F" w14:textId="77777777" w:rsidR="00B4050A" w:rsidRDefault="00B4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35E27" w14:textId="77777777" w:rsidR="00B4050A" w:rsidRDefault="00B4050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D67BB" w14:textId="77777777" w:rsidR="00B4050A" w:rsidRDefault="00B4050A">
    <w:pPr>
      <w:pStyle w:val="Sidefod"/>
      <w:pBdr>
        <w:bottom w:val="single" w:sz="6" w:space="1" w:color="auto"/>
      </w:pBdr>
    </w:pPr>
  </w:p>
  <w:p w14:paraId="38A13319" w14:textId="77777777" w:rsidR="00B4050A" w:rsidRDefault="00B4050A">
    <w:pPr>
      <w:pStyle w:val="Sidefod"/>
      <w:tabs>
        <w:tab w:val="clear" w:pos="4819"/>
        <w:tab w:val="left" w:pos="8647"/>
      </w:tabs>
      <w:rPr>
        <w:i/>
        <w:snapToGrid w:val="0"/>
        <w:sz w:val="18"/>
      </w:rPr>
    </w:pPr>
  </w:p>
  <w:p w14:paraId="1B320879" w14:textId="2A827F8E" w:rsidR="00B4050A" w:rsidRDefault="00B4050A"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931F8D">
      <w:rPr>
        <w:i/>
        <w:noProof/>
        <w:snapToGrid w:val="0"/>
        <w:sz w:val="18"/>
      </w:rPr>
      <w:t>Croalcril, filmovertrukne tabletter 60 mg og 90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0FFDF" w14:textId="77777777" w:rsidR="00B4050A" w:rsidRDefault="00B4050A">
    <w:pPr>
      <w:pStyle w:val="Sidefod"/>
      <w:pBdr>
        <w:bottom w:val="single" w:sz="6" w:space="1" w:color="auto"/>
      </w:pBdr>
      <w:tabs>
        <w:tab w:val="clear" w:pos="4819"/>
        <w:tab w:val="left" w:pos="8789"/>
      </w:tabs>
      <w:rPr>
        <w:i/>
        <w:snapToGrid w:val="0"/>
        <w:sz w:val="18"/>
      </w:rPr>
    </w:pPr>
  </w:p>
  <w:p w14:paraId="739504C5" w14:textId="77777777" w:rsidR="00B4050A" w:rsidRDefault="00B4050A">
    <w:pPr>
      <w:pStyle w:val="Sidefod"/>
      <w:tabs>
        <w:tab w:val="clear" w:pos="4819"/>
        <w:tab w:val="left" w:pos="8789"/>
      </w:tabs>
      <w:rPr>
        <w:i/>
        <w:snapToGrid w:val="0"/>
        <w:sz w:val="18"/>
      </w:rPr>
    </w:pPr>
  </w:p>
  <w:p w14:paraId="36E4F606" w14:textId="7FC1A55A" w:rsidR="00B4050A" w:rsidRDefault="00B4050A">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931F8D">
      <w:rPr>
        <w:i/>
        <w:noProof/>
        <w:snapToGrid w:val="0"/>
        <w:sz w:val="18"/>
      </w:rPr>
      <w:t>Croalcril, filmovertrukne tabletter 60 mg og 90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872B5" w14:textId="77777777" w:rsidR="00B4050A" w:rsidRDefault="00B4050A">
      <w:r>
        <w:separator/>
      </w:r>
    </w:p>
  </w:footnote>
  <w:footnote w:type="continuationSeparator" w:id="0">
    <w:p w14:paraId="2CCC6233" w14:textId="77777777" w:rsidR="00B4050A" w:rsidRDefault="00B40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B7DCB" w14:textId="77777777" w:rsidR="00B4050A" w:rsidRDefault="00B4050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EF942" w14:textId="77777777" w:rsidR="00B4050A" w:rsidRDefault="00B4050A">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D6165" w14:textId="77777777" w:rsidR="00B4050A" w:rsidRDefault="00B4050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88429A2"/>
    <w:multiLevelType w:val="hybridMultilevel"/>
    <w:tmpl w:val="D95EA28C"/>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5C0CE3"/>
    <w:multiLevelType w:val="hybridMultilevel"/>
    <w:tmpl w:val="14824246"/>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2A251613"/>
    <w:multiLevelType w:val="hybridMultilevel"/>
    <w:tmpl w:val="074C6242"/>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3B23686F"/>
    <w:multiLevelType w:val="hybridMultilevel"/>
    <w:tmpl w:val="76D2D268"/>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FF9622F"/>
    <w:multiLevelType w:val="hybridMultilevel"/>
    <w:tmpl w:val="DFC4F840"/>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597C3A30"/>
    <w:multiLevelType w:val="hybridMultilevel"/>
    <w:tmpl w:val="090A3FBC"/>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65B51DD8"/>
    <w:multiLevelType w:val="hybridMultilevel"/>
    <w:tmpl w:val="38EAD47C"/>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1" w15:restartNumberingAfterBreak="0">
    <w:nsid w:val="7603110D"/>
    <w:multiLevelType w:val="hybridMultilevel"/>
    <w:tmpl w:val="C8225C24"/>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9132EBA"/>
    <w:multiLevelType w:val="hybridMultilevel"/>
    <w:tmpl w:val="AF084974"/>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A4A33C3"/>
    <w:multiLevelType w:val="hybridMultilevel"/>
    <w:tmpl w:val="11DA313A"/>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1"/>
  </w:num>
  <w:num w:numId="5">
    <w:abstractNumId w:val="11"/>
  </w:num>
  <w:num w:numId="6">
    <w:abstractNumId w:val="6"/>
  </w:num>
  <w:num w:numId="7">
    <w:abstractNumId w:val="12"/>
  </w:num>
  <w:num w:numId="8">
    <w:abstractNumId w:val="3"/>
  </w:num>
  <w:num w:numId="9">
    <w:abstractNumId w:val="13"/>
  </w:num>
  <w:num w:numId="10">
    <w:abstractNumId w:val="3"/>
  </w:num>
  <w:num w:numId="11">
    <w:abstractNumId w:val="9"/>
  </w:num>
  <w:num w:numId="12">
    <w:abstractNumId w:val="4"/>
  </w:num>
  <w:num w:numId="13">
    <w:abstractNumId w:val="7"/>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AAE"/>
    <w:rsid w:val="00033AAE"/>
    <w:rsid w:val="00056601"/>
    <w:rsid w:val="00061ED9"/>
    <w:rsid w:val="000C3846"/>
    <w:rsid w:val="000C6218"/>
    <w:rsid w:val="000D3C9D"/>
    <w:rsid w:val="000F0D47"/>
    <w:rsid w:val="001242DE"/>
    <w:rsid w:val="00180A12"/>
    <w:rsid w:val="00214331"/>
    <w:rsid w:val="00214CF4"/>
    <w:rsid w:val="0022759B"/>
    <w:rsid w:val="00257C8C"/>
    <w:rsid w:val="00281F03"/>
    <w:rsid w:val="0029458A"/>
    <w:rsid w:val="002A1587"/>
    <w:rsid w:val="002B27C5"/>
    <w:rsid w:val="002F6D9C"/>
    <w:rsid w:val="00303008"/>
    <w:rsid w:val="00373B55"/>
    <w:rsid w:val="003D727E"/>
    <w:rsid w:val="003E0341"/>
    <w:rsid w:val="003E3402"/>
    <w:rsid w:val="003F4736"/>
    <w:rsid w:val="00401B49"/>
    <w:rsid w:val="0042292D"/>
    <w:rsid w:val="00437D5B"/>
    <w:rsid w:val="00440254"/>
    <w:rsid w:val="004860D3"/>
    <w:rsid w:val="004A3BF4"/>
    <w:rsid w:val="004A5DB3"/>
    <w:rsid w:val="00506031"/>
    <w:rsid w:val="005152D9"/>
    <w:rsid w:val="00533AD4"/>
    <w:rsid w:val="00534849"/>
    <w:rsid w:val="00560102"/>
    <w:rsid w:val="00562EA1"/>
    <w:rsid w:val="005A498B"/>
    <w:rsid w:val="00617BB8"/>
    <w:rsid w:val="006207FF"/>
    <w:rsid w:val="00680052"/>
    <w:rsid w:val="00683267"/>
    <w:rsid w:val="006844E9"/>
    <w:rsid w:val="006B3847"/>
    <w:rsid w:val="006F5AE8"/>
    <w:rsid w:val="0074039C"/>
    <w:rsid w:val="0075453D"/>
    <w:rsid w:val="007A4CC6"/>
    <w:rsid w:val="007C3623"/>
    <w:rsid w:val="007C5D2A"/>
    <w:rsid w:val="007D5DEA"/>
    <w:rsid w:val="007F1E00"/>
    <w:rsid w:val="00827444"/>
    <w:rsid w:val="008400E3"/>
    <w:rsid w:val="00864538"/>
    <w:rsid w:val="00873B4F"/>
    <w:rsid w:val="008A24F6"/>
    <w:rsid w:val="008E51AE"/>
    <w:rsid w:val="008F2F8C"/>
    <w:rsid w:val="009254C3"/>
    <w:rsid w:val="00931F8D"/>
    <w:rsid w:val="009925C9"/>
    <w:rsid w:val="00A179D0"/>
    <w:rsid w:val="00A358A3"/>
    <w:rsid w:val="00A46747"/>
    <w:rsid w:val="00A65485"/>
    <w:rsid w:val="00A80446"/>
    <w:rsid w:val="00A85D26"/>
    <w:rsid w:val="00A9153A"/>
    <w:rsid w:val="00AB4376"/>
    <w:rsid w:val="00AC033C"/>
    <w:rsid w:val="00AD2E36"/>
    <w:rsid w:val="00B04A37"/>
    <w:rsid w:val="00B4050A"/>
    <w:rsid w:val="00B45DC5"/>
    <w:rsid w:val="00BD3490"/>
    <w:rsid w:val="00C26226"/>
    <w:rsid w:val="00C3571D"/>
    <w:rsid w:val="00C54F0B"/>
    <w:rsid w:val="00C82621"/>
    <w:rsid w:val="00CB1423"/>
    <w:rsid w:val="00D02508"/>
    <w:rsid w:val="00D778CC"/>
    <w:rsid w:val="00D82FE9"/>
    <w:rsid w:val="00D97B77"/>
    <w:rsid w:val="00DB6A85"/>
    <w:rsid w:val="00DD435F"/>
    <w:rsid w:val="00E06B32"/>
    <w:rsid w:val="00E1290F"/>
    <w:rsid w:val="00E36A80"/>
    <w:rsid w:val="00E75DBF"/>
    <w:rsid w:val="00EB21D7"/>
    <w:rsid w:val="00EE3EB7"/>
    <w:rsid w:val="00F0452D"/>
    <w:rsid w:val="00F57E16"/>
    <w:rsid w:val="00F60336"/>
    <w:rsid w:val="00F96484"/>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4BB48"/>
  <w15:chartTrackingRefBased/>
  <w15:docId w15:val="{8338F208-5265-432C-A145-8344352F3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Listeafsnit">
    <w:name w:val="List Paragraph"/>
    <w:basedOn w:val="Normal"/>
    <w:uiPriority w:val="1"/>
    <w:qFormat/>
    <w:rsid w:val="0074039C"/>
    <w:pPr>
      <w:tabs>
        <w:tab w:val="left" w:pos="567"/>
      </w:tabs>
      <w:spacing w:line="260" w:lineRule="exact"/>
      <w:ind w:left="720"/>
      <w:contextualSpacing/>
    </w:pPr>
    <w:rPr>
      <w:sz w:val="22"/>
      <w:lang w:val="en-GB" w:eastAsia="en-US"/>
    </w:rPr>
  </w:style>
  <w:style w:type="character" w:styleId="Hyperlink">
    <w:name w:val="Hyperlink"/>
    <w:semiHidden/>
    <w:unhideWhenUsed/>
    <w:rsid w:val="0074039C"/>
    <w:rPr>
      <w:color w:val="0000FF"/>
      <w:u w:val="single"/>
    </w:rPr>
  </w:style>
  <w:style w:type="table" w:styleId="Tabel-Gitter">
    <w:name w:val="Table Grid"/>
    <w:basedOn w:val="Tabel-Normal"/>
    <w:rsid w:val="0074039C"/>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semiHidden/>
    <w:unhideWhenUsed/>
    <w:rsid w:val="0074039C"/>
    <w:rPr>
      <w:i/>
      <w:color w:val="008000"/>
      <w:sz w:val="22"/>
      <w:lang w:val="en-GB" w:eastAsia="en-US"/>
    </w:rPr>
  </w:style>
  <w:style w:type="character" w:customStyle="1" w:styleId="BrdtekstTegn">
    <w:name w:val="Brødtekst Tegn"/>
    <w:basedOn w:val="Standardskrifttypeiafsnit"/>
    <w:link w:val="Brdtekst"/>
    <w:semiHidden/>
    <w:rsid w:val="0074039C"/>
    <w:rPr>
      <w:i/>
      <w:color w:val="008000"/>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34632">
      <w:bodyDiv w:val="1"/>
      <w:marLeft w:val="0"/>
      <w:marRight w:val="0"/>
      <w:marTop w:val="0"/>
      <w:marBottom w:val="0"/>
      <w:divBdr>
        <w:top w:val="none" w:sz="0" w:space="0" w:color="auto"/>
        <w:left w:val="none" w:sz="0" w:space="0" w:color="auto"/>
        <w:bottom w:val="none" w:sz="0" w:space="0" w:color="auto"/>
        <w:right w:val="none" w:sz="0" w:space="0" w:color="auto"/>
      </w:divBdr>
    </w:div>
    <w:div w:id="137959076">
      <w:bodyDiv w:val="1"/>
      <w:marLeft w:val="0"/>
      <w:marRight w:val="0"/>
      <w:marTop w:val="0"/>
      <w:marBottom w:val="0"/>
      <w:divBdr>
        <w:top w:val="none" w:sz="0" w:space="0" w:color="auto"/>
        <w:left w:val="none" w:sz="0" w:space="0" w:color="auto"/>
        <w:bottom w:val="none" w:sz="0" w:space="0" w:color="auto"/>
        <w:right w:val="none" w:sz="0" w:space="0" w:color="auto"/>
      </w:divBdr>
    </w:div>
    <w:div w:id="190921272">
      <w:bodyDiv w:val="1"/>
      <w:marLeft w:val="0"/>
      <w:marRight w:val="0"/>
      <w:marTop w:val="0"/>
      <w:marBottom w:val="0"/>
      <w:divBdr>
        <w:top w:val="none" w:sz="0" w:space="0" w:color="auto"/>
        <w:left w:val="none" w:sz="0" w:space="0" w:color="auto"/>
        <w:bottom w:val="none" w:sz="0" w:space="0" w:color="auto"/>
        <w:right w:val="none" w:sz="0" w:space="0" w:color="auto"/>
      </w:divBdr>
    </w:div>
    <w:div w:id="302273507">
      <w:bodyDiv w:val="1"/>
      <w:marLeft w:val="0"/>
      <w:marRight w:val="0"/>
      <w:marTop w:val="0"/>
      <w:marBottom w:val="0"/>
      <w:divBdr>
        <w:top w:val="none" w:sz="0" w:space="0" w:color="auto"/>
        <w:left w:val="none" w:sz="0" w:space="0" w:color="auto"/>
        <w:bottom w:val="none" w:sz="0" w:space="0" w:color="auto"/>
        <w:right w:val="none" w:sz="0" w:space="0" w:color="auto"/>
      </w:divBdr>
    </w:div>
    <w:div w:id="489255614">
      <w:bodyDiv w:val="1"/>
      <w:marLeft w:val="0"/>
      <w:marRight w:val="0"/>
      <w:marTop w:val="0"/>
      <w:marBottom w:val="0"/>
      <w:divBdr>
        <w:top w:val="none" w:sz="0" w:space="0" w:color="auto"/>
        <w:left w:val="none" w:sz="0" w:space="0" w:color="auto"/>
        <w:bottom w:val="none" w:sz="0" w:space="0" w:color="auto"/>
        <w:right w:val="none" w:sz="0" w:space="0" w:color="auto"/>
      </w:divBdr>
    </w:div>
    <w:div w:id="527645489">
      <w:bodyDiv w:val="1"/>
      <w:marLeft w:val="0"/>
      <w:marRight w:val="0"/>
      <w:marTop w:val="0"/>
      <w:marBottom w:val="0"/>
      <w:divBdr>
        <w:top w:val="none" w:sz="0" w:space="0" w:color="auto"/>
        <w:left w:val="none" w:sz="0" w:space="0" w:color="auto"/>
        <w:bottom w:val="none" w:sz="0" w:space="0" w:color="auto"/>
        <w:right w:val="none" w:sz="0" w:space="0" w:color="auto"/>
      </w:divBdr>
    </w:div>
    <w:div w:id="582451014">
      <w:bodyDiv w:val="1"/>
      <w:marLeft w:val="0"/>
      <w:marRight w:val="0"/>
      <w:marTop w:val="0"/>
      <w:marBottom w:val="0"/>
      <w:divBdr>
        <w:top w:val="none" w:sz="0" w:space="0" w:color="auto"/>
        <w:left w:val="none" w:sz="0" w:space="0" w:color="auto"/>
        <w:bottom w:val="none" w:sz="0" w:space="0" w:color="auto"/>
        <w:right w:val="none" w:sz="0" w:space="0" w:color="auto"/>
      </w:divBdr>
    </w:div>
    <w:div w:id="611211635">
      <w:bodyDiv w:val="1"/>
      <w:marLeft w:val="0"/>
      <w:marRight w:val="0"/>
      <w:marTop w:val="0"/>
      <w:marBottom w:val="0"/>
      <w:divBdr>
        <w:top w:val="none" w:sz="0" w:space="0" w:color="auto"/>
        <w:left w:val="none" w:sz="0" w:space="0" w:color="auto"/>
        <w:bottom w:val="none" w:sz="0" w:space="0" w:color="auto"/>
        <w:right w:val="none" w:sz="0" w:space="0" w:color="auto"/>
      </w:divBdr>
    </w:div>
    <w:div w:id="622268873">
      <w:bodyDiv w:val="1"/>
      <w:marLeft w:val="0"/>
      <w:marRight w:val="0"/>
      <w:marTop w:val="0"/>
      <w:marBottom w:val="0"/>
      <w:divBdr>
        <w:top w:val="none" w:sz="0" w:space="0" w:color="auto"/>
        <w:left w:val="none" w:sz="0" w:space="0" w:color="auto"/>
        <w:bottom w:val="none" w:sz="0" w:space="0" w:color="auto"/>
        <w:right w:val="none" w:sz="0" w:space="0" w:color="auto"/>
      </w:divBdr>
    </w:div>
    <w:div w:id="755249878">
      <w:bodyDiv w:val="1"/>
      <w:marLeft w:val="0"/>
      <w:marRight w:val="0"/>
      <w:marTop w:val="0"/>
      <w:marBottom w:val="0"/>
      <w:divBdr>
        <w:top w:val="none" w:sz="0" w:space="0" w:color="auto"/>
        <w:left w:val="none" w:sz="0" w:space="0" w:color="auto"/>
        <w:bottom w:val="none" w:sz="0" w:space="0" w:color="auto"/>
        <w:right w:val="none" w:sz="0" w:space="0" w:color="auto"/>
      </w:divBdr>
    </w:div>
    <w:div w:id="882254318">
      <w:bodyDiv w:val="1"/>
      <w:marLeft w:val="0"/>
      <w:marRight w:val="0"/>
      <w:marTop w:val="0"/>
      <w:marBottom w:val="0"/>
      <w:divBdr>
        <w:top w:val="none" w:sz="0" w:space="0" w:color="auto"/>
        <w:left w:val="none" w:sz="0" w:space="0" w:color="auto"/>
        <w:bottom w:val="none" w:sz="0" w:space="0" w:color="auto"/>
        <w:right w:val="none" w:sz="0" w:space="0" w:color="auto"/>
      </w:divBdr>
    </w:div>
    <w:div w:id="983508409">
      <w:bodyDiv w:val="1"/>
      <w:marLeft w:val="0"/>
      <w:marRight w:val="0"/>
      <w:marTop w:val="0"/>
      <w:marBottom w:val="0"/>
      <w:divBdr>
        <w:top w:val="none" w:sz="0" w:space="0" w:color="auto"/>
        <w:left w:val="none" w:sz="0" w:space="0" w:color="auto"/>
        <w:bottom w:val="none" w:sz="0" w:space="0" w:color="auto"/>
        <w:right w:val="none" w:sz="0" w:space="0" w:color="auto"/>
      </w:divBdr>
    </w:div>
    <w:div w:id="1017731266">
      <w:bodyDiv w:val="1"/>
      <w:marLeft w:val="0"/>
      <w:marRight w:val="0"/>
      <w:marTop w:val="0"/>
      <w:marBottom w:val="0"/>
      <w:divBdr>
        <w:top w:val="none" w:sz="0" w:space="0" w:color="auto"/>
        <w:left w:val="none" w:sz="0" w:space="0" w:color="auto"/>
        <w:bottom w:val="none" w:sz="0" w:space="0" w:color="auto"/>
        <w:right w:val="none" w:sz="0" w:space="0" w:color="auto"/>
      </w:divBdr>
    </w:div>
    <w:div w:id="1188298956">
      <w:bodyDiv w:val="1"/>
      <w:marLeft w:val="0"/>
      <w:marRight w:val="0"/>
      <w:marTop w:val="0"/>
      <w:marBottom w:val="0"/>
      <w:divBdr>
        <w:top w:val="none" w:sz="0" w:space="0" w:color="auto"/>
        <w:left w:val="none" w:sz="0" w:space="0" w:color="auto"/>
        <w:bottom w:val="none" w:sz="0" w:space="0" w:color="auto"/>
        <w:right w:val="none" w:sz="0" w:space="0" w:color="auto"/>
      </w:divBdr>
    </w:div>
    <w:div w:id="1365909376">
      <w:bodyDiv w:val="1"/>
      <w:marLeft w:val="0"/>
      <w:marRight w:val="0"/>
      <w:marTop w:val="0"/>
      <w:marBottom w:val="0"/>
      <w:divBdr>
        <w:top w:val="none" w:sz="0" w:space="0" w:color="auto"/>
        <w:left w:val="none" w:sz="0" w:space="0" w:color="auto"/>
        <w:bottom w:val="none" w:sz="0" w:space="0" w:color="auto"/>
        <w:right w:val="none" w:sz="0" w:space="0" w:color="auto"/>
      </w:divBdr>
    </w:div>
    <w:div w:id="1679386050">
      <w:bodyDiv w:val="1"/>
      <w:marLeft w:val="0"/>
      <w:marRight w:val="0"/>
      <w:marTop w:val="0"/>
      <w:marBottom w:val="0"/>
      <w:divBdr>
        <w:top w:val="none" w:sz="0" w:space="0" w:color="auto"/>
        <w:left w:val="none" w:sz="0" w:space="0" w:color="auto"/>
        <w:bottom w:val="none" w:sz="0" w:space="0" w:color="auto"/>
        <w:right w:val="none" w:sz="0" w:space="0" w:color="auto"/>
      </w:divBdr>
    </w:div>
    <w:div w:id="1841238813">
      <w:bodyDiv w:val="1"/>
      <w:marLeft w:val="0"/>
      <w:marRight w:val="0"/>
      <w:marTop w:val="0"/>
      <w:marBottom w:val="0"/>
      <w:divBdr>
        <w:top w:val="none" w:sz="0" w:space="0" w:color="auto"/>
        <w:left w:val="none" w:sz="0" w:space="0" w:color="auto"/>
        <w:bottom w:val="none" w:sz="0" w:space="0" w:color="auto"/>
        <w:right w:val="none" w:sz="0" w:space="0" w:color="auto"/>
      </w:divBdr>
    </w:div>
    <w:div w:id="1883785626">
      <w:bodyDiv w:val="1"/>
      <w:marLeft w:val="0"/>
      <w:marRight w:val="0"/>
      <w:marTop w:val="0"/>
      <w:marBottom w:val="0"/>
      <w:divBdr>
        <w:top w:val="none" w:sz="0" w:space="0" w:color="auto"/>
        <w:left w:val="none" w:sz="0" w:space="0" w:color="auto"/>
        <w:bottom w:val="none" w:sz="0" w:space="0" w:color="auto"/>
        <w:right w:val="none" w:sz="0" w:space="0" w:color="auto"/>
      </w:divBdr>
    </w:div>
    <w:div w:id="1930776340">
      <w:bodyDiv w:val="1"/>
      <w:marLeft w:val="0"/>
      <w:marRight w:val="0"/>
      <w:marTop w:val="0"/>
      <w:marBottom w:val="0"/>
      <w:divBdr>
        <w:top w:val="none" w:sz="0" w:space="0" w:color="auto"/>
        <w:left w:val="none" w:sz="0" w:space="0" w:color="auto"/>
        <w:bottom w:val="none" w:sz="0" w:space="0" w:color="auto"/>
        <w:right w:val="none" w:sz="0" w:space="0" w:color="auto"/>
      </w:divBdr>
    </w:div>
    <w:div w:id="1944459184">
      <w:bodyDiv w:val="1"/>
      <w:marLeft w:val="0"/>
      <w:marRight w:val="0"/>
      <w:marTop w:val="0"/>
      <w:marBottom w:val="0"/>
      <w:divBdr>
        <w:top w:val="none" w:sz="0" w:space="0" w:color="auto"/>
        <w:left w:val="none" w:sz="0" w:space="0" w:color="auto"/>
        <w:bottom w:val="none" w:sz="0" w:space="0" w:color="auto"/>
        <w:right w:val="none" w:sz="0" w:space="0" w:color="auto"/>
      </w:divBdr>
    </w:div>
    <w:div w:id="195451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103</TotalTime>
  <Pages>25</Pages>
  <Words>9084</Words>
  <Characters>52698</Characters>
  <Application>Microsoft Office Word</Application>
  <DocSecurity>0</DocSecurity>
  <Lines>439</Lines>
  <Paragraphs>123</Paragraphs>
  <ScaleCrop>false</ScaleCrop>
  <HeadingPairs>
    <vt:vector size="2" baseType="variant">
      <vt:variant>
        <vt:lpstr>Titel</vt:lpstr>
      </vt:variant>
      <vt:variant>
        <vt:i4>1</vt:i4>
      </vt:variant>
    </vt:vector>
  </HeadingPairs>
  <TitlesOfParts>
    <vt:vector size="1" baseType="lpstr">
      <vt:lpstr>SPC Hum skabelon - engelsk</vt:lpstr>
    </vt:vector>
  </TitlesOfParts>
  <Company/>
  <LinksUpToDate>false</LinksUpToDate>
  <CharactersWithSpaces>61659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2022070060, MT</dc:description>
  <cp:lastModifiedBy>Gitte Jørgensen</cp:lastModifiedBy>
  <cp:revision>13</cp:revision>
  <cp:lastPrinted>2006-02-24T09:31:00Z</cp:lastPrinted>
  <dcterms:created xsi:type="dcterms:W3CDTF">2024-04-11T08:46:00Z</dcterms:created>
  <dcterms:modified xsi:type="dcterms:W3CDTF">2024-04-11T11:06:00Z</dcterms:modified>
</cp:coreProperties>
</file>