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6A2" w:rsidRPr="008F49E1" w:rsidRDefault="007926A2" w:rsidP="007926A2">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CB826A4" wp14:editId="4FAF45F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926A2" w:rsidRPr="007A717F" w:rsidRDefault="00F2329D" w:rsidP="007A717F">
      <w:pPr>
        <w:pStyle w:val="Titel"/>
        <w:tabs>
          <w:tab w:val="right" w:pos="9356"/>
        </w:tabs>
        <w:jc w:val="right"/>
        <w:rPr>
          <w:szCs w:val="24"/>
          <w:lang w:eastAsia="en-US"/>
        </w:rPr>
      </w:pPr>
      <w:r>
        <w:rPr>
          <w:szCs w:val="24"/>
          <w:lang w:eastAsia="en-US"/>
        </w:rPr>
        <w:t xml:space="preserve">2. </w:t>
      </w:r>
      <w:r w:rsidR="004D260B">
        <w:rPr>
          <w:szCs w:val="24"/>
          <w:lang w:eastAsia="en-US"/>
        </w:rPr>
        <w:t>januar</w:t>
      </w:r>
      <w:r>
        <w:rPr>
          <w:szCs w:val="24"/>
          <w:lang w:eastAsia="en-US"/>
        </w:rPr>
        <w:t xml:space="preserve"> 202</w:t>
      </w:r>
      <w:r w:rsidR="004D260B">
        <w:rPr>
          <w:szCs w:val="24"/>
          <w:lang w:eastAsia="en-US"/>
        </w:rPr>
        <w:t>4</w:t>
      </w:r>
    </w:p>
    <w:p w:rsidR="007926A2" w:rsidRPr="00C84483" w:rsidRDefault="007926A2" w:rsidP="007926A2">
      <w:pPr>
        <w:pStyle w:val="Titel"/>
        <w:tabs>
          <w:tab w:val="left" w:pos="8222"/>
        </w:tabs>
        <w:jc w:val="left"/>
        <w:rPr>
          <w:b w:val="0"/>
          <w:szCs w:val="24"/>
        </w:rPr>
      </w:pPr>
    </w:p>
    <w:p w:rsidR="007926A2" w:rsidRPr="00C84483" w:rsidRDefault="007926A2" w:rsidP="007926A2">
      <w:pPr>
        <w:pStyle w:val="Titel"/>
        <w:jc w:val="left"/>
        <w:rPr>
          <w:b w:val="0"/>
          <w:szCs w:val="24"/>
        </w:rPr>
      </w:pPr>
    </w:p>
    <w:p w:rsidR="007926A2" w:rsidRPr="00C84483" w:rsidRDefault="007926A2" w:rsidP="007926A2">
      <w:pPr>
        <w:pStyle w:val="Titel"/>
        <w:jc w:val="left"/>
        <w:rPr>
          <w:b w:val="0"/>
          <w:szCs w:val="24"/>
        </w:rPr>
      </w:pPr>
    </w:p>
    <w:p w:rsidR="007926A2" w:rsidRPr="00C84483" w:rsidRDefault="00E32C3C" w:rsidP="00E32C3C">
      <w:pPr>
        <w:tabs>
          <w:tab w:val="center" w:pos="4819"/>
        </w:tabs>
        <w:rPr>
          <w:b/>
          <w:sz w:val="24"/>
          <w:szCs w:val="24"/>
        </w:rPr>
      </w:pPr>
      <w:r>
        <w:rPr>
          <w:b/>
          <w:sz w:val="24"/>
          <w:szCs w:val="24"/>
        </w:rPr>
        <w:tab/>
      </w:r>
      <w:r w:rsidR="007926A2" w:rsidRPr="00C84483">
        <w:rPr>
          <w:b/>
          <w:sz w:val="24"/>
          <w:szCs w:val="24"/>
        </w:rPr>
        <w:t>PRODUKTRESUMÉ</w:t>
      </w:r>
    </w:p>
    <w:p w:rsidR="007926A2" w:rsidRPr="00C84483" w:rsidRDefault="007926A2" w:rsidP="007926A2">
      <w:pPr>
        <w:jc w:val="center"/>
        <w:rPr>
          <w:b/>
          <w:sz w:val="24"/>
          <w:szCs w:val="24"/>
        </w:rPr>
      </w:pPr>
    </w:p>
    <w:p w:rsidR="007926A2" w:rsidRDefault="007926A2" w:rsidP="007926A2">
      <w:pPr>
        <w:jc w:val="center"/>
        <w:rPr>
          <w:b/>
          <w:sz w:val="24"/>
          <w:szCs w:val="24"/>
        </w:rPr>
      </w:pPr>
      <w:r w:rsidRPr="00C84483">
        <w:rPr>
          <w:b/>
          <w:sz w:val="24"/>
          <w:szCs w:val="24"/>
        </w:rPr>
        <w:t>for</w:t>
      </w:r>
    </w:p>
    <w:p w:rsidR="007926A2" w:rsidRPr="00C84483" w:rsidRDefault="00F5630C" w:rsidP="00F5630C">
      <w:pPr>
        <w:tabs>
          <w:tab w:val="left" w:pos="370"/>
        </w:tabs>
        <w:rPr>
          <w:b/>
          <w:sz w:val="24"/>
          <w:szCs w:val="24"/>
        </w:rPr>
      </w:pPr>
      <w:r>
        <w:rPr>
          <w:b/>
          <w:sz w:val="24"/>
          <w:szCs w:val="24"/>
        </w:rPr>
        <w:tab/>
      </w:r>
    </w:p>
    <w:p w:rsidR="007926A2" w:rsidRDefault="007926A2" w:rsidP="007926A2">
      <w:pPr>
        <w:jc w:val="center"/>
        <w:rPr>
          <w:b/>
          <w:sz w:val="24"/>
          <w:szCs w:val="24"/>
        </w:rPr>
      </w:pPr>
      <w:proofErr w:type="spellStart"/>
      <w:r>
        <w:rPr>
          <w:b/>
          <w:sz w:val="24"/>
          <w:szCs w:val="24"/>
        </w:rPr>
        <w:t>Cutaquig</w:t>
      </w:r>
      <w:proofErr w:type="spellEnd"/>
      <w:r>
        <w:rPr>
          <w:b/>
          <w:sz w:val="24"/>
          <w:szCs w:val="24"/>
        </w:rPr>
        <w:t>, injektionsvæske, opløsning</w:t>
      </w:r>
    </w:p>
    <w:p w:rsidR="007926A2" w:rsidRDefault="007926A2" w:rsidP="007926A2">
      <w:pPr>
        <w:rPr>
          <w:sz w:val="24"/>
          <w:szCs w:val="24"/>
        </w:rPr>
      </w:pPr>
    </w:p>
    <w:p w:rsidR="00F2329D" w:rsidRPr="00E81267" w:rsidRDefault="00F2329D" w:rsidP="00F2329D">
      <w:pPr>
        <w:rPr>
          <w:sz w:val="24"/>
          <w:szCs w:val="24"/>
          <w:lang w:eastAsia="da-DK"/>
        </w:rPr>
      </w:pPr>
      <w:r w:rsidRPr="00E81267">
        <w:rPr>
          <w:noProof/>
          <w:sz w:val="24"/>
          <w:szCs w:val="24"/>
          <w:lang w:val="en-IE" w:eastAsia="en-IE"/>
        </w:rPr>
        <w:drawing>
          <wp:inline distT="0" distB="0" distL="0" distR="0" wp14:anchorId="64979435" wp14:editId="261DAB6B">
            <wp:extent cx="198120" cy="167640"/>
            <wp:effectExtent l="0" t="0" r="0" b="3810"/>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Pr="00E81267">
        <w:rPr>
          <w:noProof/>
          <w:sz w:val="24"/>
          <w:szCs w:val="24"/>
        </w:rPr>
        <w:t xml:space="preserve">Dette lægemiddel er underlagt supplerende overvågning. Dermed kan nye sikkerhedsoplysninger hurtigt tilvejebringes. </w:t>
      </w:r>
      <w:r>
        <w:rPr>
          <w:noProof/>
          <w:sz w:val="24"/>
          <w:szCs w:val="24"/>
        </w:rPr>
        <w:t>S</w:t>
      </w:r>
      <w:r w:rsidRPr="00E81267">
        <w:rPr>
          <w:noProof/>
          <w:sz w:val="24"/>
          <w:szCs w:val="24"/>
        </w:rPr>
        <w:t>undhedspersone</w:t>
      </w:r>
      <w:r>
        <w:rPr>
          <w:noProof/>
          <w:sz w:val="24"/>
          <w:szCs w:val="24"/>
        </w:rPr>
        <w:t>r</w:t>
      </w:r>
      <w:r w:rsidRPr="00E81267">
        <w:rPr>
          <w:noProof/>
          <w:sz w:val="24"/>
          <w:szCs w:val="24"/>
        </w:rPr>
        <w:t xml:space="preserve"> anmodes om at indberette alle formodede bivirkninger. Se i pkt. 4.8, hvordan bivirkninger indberettes</w:t>
      </w:r>
      <w:r>
        <w:rPr>
          <w:noProof/>
          <w:sz w:val="24"/>
          <w:szCs w:val="24"/>
        </w:rPr>
        <w:t>.</w:t>
      </w:r>
    </w:p>
    <w:p w:rsidR="00F2329D" w:rsidRPr="00E81267" w:rsidRDefault="00F2329D" w:rsidP="007926A2">
      <w:pPr>
        <w:rPr>
          <w:sz w:val="24"/>
          <w:szCs w:val="24"/>
        </w:rPr>
      </w:pPr>
    </w:p>
    <w:p w:rsidR="007926A2" w:rsidRPr="00E81267" w:rsidRDefault="007926A2" w:rsidP="007926A2">
      <w:pPr>
        <w:jc w:val="both"/>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0.</w:t>
      </w:r>
      <w:r w:rsidRPr="00E81267">
        <w:rPr>
          <w:b/>
          <w:sz w:val="24"/>
          <w:szCs w:val="24"/>
        </w:rPr>
        <w:tab/>
        <w:t>D.SP.NR.</w:t>
      </w:r>
    </w:p>
    <w:p w:rsidR="007926A2" w:rsidRPr="00E81267" w:rsidRDefault="007926A2" w:rsidP="007926A2">
      <w:pPr>
        <w:tabs>
          <w:tab w:val="left" w:pos="851"/>
        </w:tabs>
        <w:ind w:left="851"/>
        <w:rPr>
          <w:sz w:val="24"/>
          <w:szCs w:val="24"/>
        </w:rPr>
      </w:pPr>
      <w:r w:rsidRPr="00E81267">
        <w:rPr>
          <w:sz w:val="24"/>
          <w:szCs w:val="24"/>
        </w:rPr>
        <w:t>30843</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1.</w:t>
      </w:r>
      <w:r w:rsidRPr="00E81267">
        <w:rPr>
          <w:b/>
          <w:sz w:val="24"/>
          <w:szCs w:val="24"/>
        </w:rPr>
        <w:tab/>
        <w:t>LÆGEMIDLETS NAVN</w:t>
      </w:r>
    </w:p>
    <w:p w:rsidR="007926A2" w:rsidRPr="00E81267" w:rsidRDefault="007926A2" w:rsidP="007926A2">
      <w:pPr>
        <w:tabs>
          <w:tab w:val="left" w:pos="851"/>
        </w:tabs>
        <w:ind w:left="851"/>
        <w:rPr>
          <w:sz w:val="24"/>
          <w:szCs w:val="24"/>
        </w:rPr>
      </w:pPr>
      <w:proofErr w:type="spellStart"/>
      <w:r w:rsidRPr="00E81267">
        <w:rPr>
          <w:sz w:val="24"/>
          <w:szCs w:val="24"/>
        </w:rPr>
        <w:t>Cutaquig</w:t>
      </w:r>
      <w:proofErr w:type="spellEnd"/>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2.</w:t>
      </w:r>
      <w:r w:rsidRPr="00E81267">
        <w:rPr>
          <w:b/>
          <w:sz w:val="24"/>
          <w:szCs w:val="24"/>
        </w:rPr>
        <w:tab/>
        <w:t>KVALITATIV OG KVANTITATIV SAMMENSÆTNING</w:t>
      </w:r>
    </w:p>
    <w:p w:rsidR="007926A2" w:rsidRPr="00E81267" w:rsidRDefault="007926A2" w:rsidP="007926A2">
      <w:pPr>
        <w:tabs>
          <w:tab w:val="left" w:pos="851"/>
        </w:tabs>
        <w:ind w:left="851"/>
        <w:rPr>
          <w:sz w:val="24"/>
          <w:szCs w:val="24"/>
          <w:lang w:eastAsia="da-DK"/>
        </w:rPr>
      </w:pPr>
      <w:r>
        <w:rPr>
          <w:sz w:val="24"/>
          <w:szCs w:val="24"/>
        </w:rPr>
        <w:t>Humant n</w:t>
      </w:r>
      <w:r w:rsidRPr="00E81267">
        <w:rPr>
          <w:sz w:val="24"/>
          <w:szCs w:val="24"/>
        </w:rPr>
        <w:t xml:space="preserve">ormalt </w:t>
      </w:r>
      <w:proofErr w:type="spellStart"/>
      <w:r w:rsidRPr="00E81267">
        <w:rPr>
          <w:sz w:val="24"/>
          <w:szCs w:val="24"/>
        </w:rPr>
        <w:t>immunglobulin</w:t>
      </w:r>
      <w:proofErr w:type="spellEnd"/>
      <w:r w:rsidRPr="00E81267">
        <w:rPr>
          <w:sz w:val="24"/>
          <w:szCs w:val="24"/>
        </w:rPr>
        <w:t xml:space="preserve"> (</w:t>
      </w:r>
      <w:proofErr w:type="spellStart"/>
      <w:r w:rsidRPr="00E81267">
        <w:rPr>
          <w:sz w:val="24"/>
          <w:szCs w:val="24"/>
        </w:rPr>
        <w:t>SCIg</w:t>
      </w:r>
      <w:proofErr w:type="spellEnd"/>
      <w:r w:rsidRPr="00E81267">
        <w:rPr>
          <w:sz w:val="24"/>
          <w:szCs w:val="24"/>
        </w:rPr>
        <w: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1 ml indeholder:</w:t>
      </w:r>
    </w:p>
    <w:p w:rsidR="007926A2" w:rsidRPr="00E81267" w:rsidRDefault="007926A2" w:rsidP="007926A2">
      <w:pPr>
        <w:tabs>
          <w:tab w:val="left" w:pos="851"/>
        </w:tabs>
        <w:ind w:left="851"/>
        <w:rPr>
          <w:sz w:val="24"/>
          <w:szCs w:val="24"/>
        </w:rPr>
      </w:pPr>
      <w:r>
        <w:rPr>
          <w:sz w:val="24"/>
          <w:szCs w:val="24"/>
        </w:rPr>
        <w:t>Humant n</w:t>
      </w:r>
      <w:r w:rsidRPr="00E81267">
        <w:rPr>
          <w:sz w:val="24"/>
          <w:szCs w:val="24"/>
        </w:rPr>
        <w:t xml:space="preserve">ormalt </w:t>
      </w:r>
      <w:proofErr w:type="spellStart"/>
      <w:r w:rsidRPr="00E81267">
        <w:rPr>
          <w:sz w:val="24"/>
          <w:szCs w:val="24"/>
        </w:rPr>
        <w:t>immunglobulin</w:t>
      </w:r>
      <w:proofErr w:type="spellEnd"/>
      <w:r w:rsidRPr="00E81267">
        <w:rPr>
          <w:sz w:val="24"/>
          <w:szCs w:val="24"/>
        </w:rPr>
        <w:t>…………………</w:t>
      </w:r>
      <w:proofErr w:type="gramStart"/>
      <w:r w:rsidRPr="00E81267">
        <w:rPr>
          <w:sz w:val="24"/>
          <w:szCs w:val="24"/>
        </w:rPr>
        <w:t>……......</w:t>
      </w:r>
      <w:proofErr w:type="gramEnd"/>
      <w:r w:rsidRPr="00E81267">
        <w:rPr>
          <w:sz w:val="24"/>
          <w:szCs w:val="24"/>
        </w:rPr>
        <w:t xml:space="preserve"> 165 mg</w:t>
      </w:r>
    </w:p>
    <w:p w:rsidR="007926A2" w:rsidRPr="00E81267" w:rsidRDefault="007926A2" w:rsidP="007926A2">
      <w:pPr>
        <w:tabs>
          <w:tab w:val="left" w:pos="851"/>
        </w:tabs>
        <w:ind w:left="851"/>
        <w:rPr>
          <w:sz w:val="24"/>
          <w:szCs w:val="24"/>
        </w:rPr>
      </w:pPr>
      <w:r w:rsidRPr="00E81267">
        <w:rPr>
          <w:sz w:val="24"/>
          <w:szCs w:val="24"/>
        </w:rPr>
        <w:t>(renhed: mindst 95</w:t>
      </w:r>
      <w:r>
        <w:rPr>
          <w:sz w:val="24"/>
          <w:szCs w:val="24"/>
        </w:rPr>
        <w:t xml:space="preserve"> %</w:t>
      </w:r>
      <w:r w:rsidRPr="00E81267">
        <w:rPr>
          <w:sz w:val="24"/>
          <w:szCs w:val="24"/>
        </w:rPr>
        <w:t xml:space="preserve"> er </w:t>
      </w:r>
      <w:proofErr w:type="spellStart"/>
      <w:r w:rsidRPr="00E81267">
        <w:rPr>
          <w:sz w:val="24"/>
          <w:szCs w:val="24"/>
        </w:rPr>
        <w:t>IgG</w:t>
      </w:r>
      <w:proofErr w:type="spellEnd"/>
      <w:r w:rsidRPr="00E81267">
        <w:rPr>
          <w:sz w:val="24"/>
          <w:szCs w:val="24"/>
        </w:rPr>
        <w: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 xml:space="preserve">Hvert hætteglas på 6 ml indeholder: 1 g humant normalt </w:t>
      </w:r>
      <w:proofErr w:type="spellStart"/>
      <w:r w:rsidRPr="00E81267">
        <w:rPr>
          <w:sz w:val="24"/>
          <w:szCs w:val="24"/>
        </w:rPr>
        <w:t>immunglobulin</w:t>
      </w:r>
      <w:proofErr w:type="spellEnd"/>
    </w:p>
    <w:p w:rsidR="007926A2" w:rsidRPr="00E81267" w:rsidRDefault="007926A2" w:rsidP="007926A2">
      <w:pPr>
        <w:tabs>
          <w:tab w:val="left" w:pos="851"/>
        </w:tabs>
        <w:ind w:left="851"/>
        <w:rPr>
          <w:sz w:val="24"/>
          <w:szCs w:val="24"/>
        </w:rPr>
      </w:pPr>
      <w:r w:rsidRPr="00E81267">
        <w:rPr>
          <w:sz w:val="24"/>
          <w:szCs w:val="24"/>
        </w:rPr>
        <w:t xml:space="preserve">Hvert hætteglas på 10 ml indeholder: 1,65 g humant normalt </w:t>
      </w:r>
      <w:proofErr w:type="spellStart"/>
      <w:r w:rsidRPr="00E81267">
        <w:rPr>
          <w:sz w:val="24"/>
          <w:szCs w:val="24"/>
        </w:rPr>
        <w:t>immunglobulin</w:t>
      </w:r>
      <w:proofErr w:type="spellEnd"/>
    </w:p>
    <w:p w:rsidR="007926A2" w:rsidRPr="00E81267" w:rsidRDefault="007926A2" w:rsidP="007926A2">
      <w:pPr>
        <w:tabs>
          <w:tab w:val="left" w:pos="851"/>
        </w:tabs>
        <w:ind w:left="851"/>
        <w:rPr>
          <w:sz w:val="24"/>
          <w:szCs w:val="24"/>
        </w:rPr>
      </w:pPr>
      <w:r w:rsidRPr="00E81267">
        <w:rPr>
          <w:sz w:val="24"/>
          <w:szCs w:val="24"/>
        </w:rPr>
        <w:t xml:space="preserve">Hvert hætteglas på 12 ml indeholder: 2 g humant normalt </w:t>
      </w:r>
      <w:proofErr w:type="spellStart"/>
      <w:r w:rsidRPr="00E81267">
        <w:rPr>
          <w:sz w:val="24"/>
          <w:szCs w:val="24"/>
        </w:rPr>
        <w:t>immunglobulin</w:t>
      </w:r>
      <w:proofErr w:type="spellEnd"/>
    </w:p>
    <w:p w:rsidR="007926A2" w:rsidRPr="00E81267" w:rsidRDefault="007926A2" w:rsidP="007926A2">
      <w:pPr>
        <w:tabs>
          <w:tab w:val="left" w:pos="851"/>
        </w:tabs>
        <w:ind w:left="851"/>
        <w:rPr>
          <w:sz w:val="24"/>
          <w:szCs w:val="24"/>
        </w:rPr>
      </w:pPr>
      <w:r w:rsidRPr="00E81267">
        <w:rPr>
          <w:sz w:val="24"/>
          <w:szCs w:val="24"/>
        </w:rPr>
        <w:t xml:space="preserve">Hvert hætteglas på 20 ml indeholder: 3,3 g humant normalt </w:t>
      </w:r>
      <w:proofErr w:type="spellStart"/>
      <w:r w:rsidRPr="00E81267">
        <w:rPr>
          <w:sz w:val="24"/>
          <w:szCs w:val="24"/>
        </w:rPr>
        <w:t>immunglobulin</w:t>
      </w:r>
      <w:proofErr w:type="spellEnd"/>
    </w:p>
    <w:p w:rsidR="007926A2" w:rsidRPr="00E81267" w:rsidRDefault="007926A2" w:rsidP="007926A2">
      <w:pPr>
        <w:tabs>
          <w:tab w:val="left" w:pos="851"/>
        </w:tabs>
        <w:ind w:left="851"/>
        <w:rPr>
          <w:sz w:val="24"/>
          <w:szCs w:val="24"/>
        </w:rPr>
      </w:pPr>
      <w:r w:rsidRPr="00E81267">
        <w:rPr>
          <w:sz w:val="24"/>
          <w:szCs w:val="24"/>
        </w:rPr>
        <w:t xml:space="preserve">Hvert hætteglas på 24 ml indeholder: 4 g humant normalt </w:t>
      </w:r>
      <w:proofErr w:type="spellStart"/>
      <w:r w:rsidRPr="00E81267">
        <w:rPr>
          <w:sz w:val="24"/>
          <w:szCs w:val="24"/>
        </w:rPr>
        <w:t>immunglobulin</w:t>
      </w:r>
      <w:proofErr w:type="spellEnd"/>
    </w:p>
    <w:p w:rsidR="007926A2" w:rsidRPr="00E81267" w:rsidRDefault="007926A2" w:rsidP="007926A2">
      <w:pPr>
        <w:tabs>
          <w:tab w:val="left" w:pos="851"/>
        </w:tabs>
        <w:ind w:left="851"/>
        <w:rPr>
          <w:sz w:val="24"/>
          <w:szCs w:val="24"/>
        </w:rPr>
      </w:pPr>
      <w:r w:rsidRPr="00E81267">
        <w:rPr>
          <w:sz w:val="24"/>
          <w:szCs w:val="24"/>
        </w:rPr>
        <w:t xml:space="preserve">Hvert hætteglas på 48 ml indeholder: 8 g humant normalt </w:t>
      </w:r>
      <w:proofErr w:type="spellStart"/>
      <w:r w:rsidRPr="00E81267">
        <w:rPr>
          <w:sz w:val="24"/>
          <w:szCs w:val="24"/>
        </w:rPr>
        <w:t>immunglobulin</w:t>
      </w:r>
      <w:proofErr w:type="spellEnd"/>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proofErr w:type="spellStart"/>
      <w:r w:rsidRPr="00E81267">
        <w:rPr>
          <w:sz w:val="24"/>
          <w:szCs w:val="24"/>
        </w:rPr>
        <w:t>IgG</w:t>
      </w:r>
      <w:proofErr w:type="spellEnd"/>
      <w:r w:rsidRPr="00E81267">
        <w:rPr>
          <w:sz w:val="24"/>
          <w:szCs w:val="24"/>
        </w:rPr>
        <w:t xml:space="preserve"> subklassefordeling (omtrentlige værdier):</w:t>
      </w:r>
    </w:p>
    <w:p w:rsidR="007926A2" w:rsidRPr="00E81267" w:rsidRDefault="007926A2" w:rsidP="007926A2">
      <w:pPr>
        <w:tabs>
          <w:tab w:val="left" w:pos="851"/>
        </w:tabs>
        <w:ind w:left="851"/>
        <w:rPr>
          <w:sz w:val="24"/>
          <w:szCs w:val="24"/>
        </w:rPr>
      </w:pPr>
      <w:r w:rsidRPr="00E81267">
        <w:rPr>
          <w:sz w:val="24"/>
          <w:szCs w:val="24"/>
        </w:rPr>
        <w:t>IgG</w:t>
      </w:r>
      <w:r w:rsidRPr="00E81267">
        <w:rPr>
          <w:sz w:val="24"/>
          <w:szCs w:val="24"/>
          <w:vertAlign w:val="subscript"/>
        </w:rPr>
        <w:t>1</w:t>
      </w:r>
      <w:r w:rsidRPr="00E81267">
        <w:rPr>
          <w:sz w:val="24"/>
          <w:szCs w:val="24"/>
        </w:rPr>
        <w:t>………. 71</w:t>
      </w:r>
      <w:r>
        <w:rPr>
          <w:sz w:val="24"/>
          <w:szCs w:val="24"/>
        </w:rPr>
        <w:t xml:space="preserve"> %</w:t>
      </w:r>
    </w:p>
    <w:p w:rsidR="007926A2" w:rsidRPr="00E81267" w:rsidRDefault="007926A2" w:rsidP="007926A2">
      <w:pPr>
        <w:tabs>
          <w:tab w:val="left" w:pos="851"/>
        </w:tabs>
        <w:ind w:left="851"/>
        <w:rPr>
          <w:sz w:val="24"/>
          <w:szCs w:val="24"/>
        </w:rPr>
      </w:pPr>
      <w:r w:rsidRPr="00E81267">
        <w:rPr>
          <w:sz w:val="24"/>
          <w:szCs w:val="24"/>
        </w:rPr>
        <w:t>IgG</w:t>
      </w:r>
      <w:r w:rsidRPr="00E81267">
        <w:rPr>
          <w:sz w:val="24"/>
          <w:szCs w:val="24"/>
          <w:vertAlign w:val="subscript"/>
        </w:rPr>
        <w:t>2</w:t>
      </w:r>
      <w:r w:rsidRPr="00E81267">
        <w:rPr>
          <w:sz w:val="24"/>
          <w:szCs w:val="24"/>
        </w:rPr>
        <w:t>………. 25</w:t>
      </w:r>
      <w:r>
        <w:rPr>
          <w:sz w:val="24"/>
          <w:szCs w:val="24"/>
        </w:rPr>
        <w:t xml:space="preserve"> %</w:t>
      </w:r>
    </w:p>
    <w:p w:rsidR="007926A2" w:rsidRPr="00E81267" w:rsidRDefault="007926A2" w:rsidP="007926A2">
      <w:pPr>
        <w:tabs>
          <w:tab w:val="left" w:pos="851"/>
        </w:tabs>
        <w:ind w:left="851"/>
        <w:rPr>
          <w:sz w:val="24"/>
          <w:szCs w:val="24"/>
        </w:rPr>
      </w:pPr>
      <w:r w:rsidRPr="00E81267">
        <w:rPr>
          <w:sz w:val="24"/>
          <w:szCs w:val="24"/>
        </w:rPr>
        <w:t>IgG</w:t>
      </w:r>
      <w:r w:rsidRPr="00E81267">
        <w:rPr>
          <w:sz w:val="24"/>
          <w:szCs w:val="24"/>
          <w:vertAlign w:val="subscript"/>
        </w:rPr>
        <w:t>3</w:t>
      </w:r>
      <w:r w:rsidRPr="00E81267">
        <w:rPr>
          <w:sz w:val="24"/>
          <w:szCs w:val="24"/>
        </w:rPr>
        <w:t>………. 3</w:t>
      </w:r>
      <w:r>
        <w:rPr>
          <w:sz w:val="24"/>
          <w:szCs w:val="24"/>
        </w:rPr>
        <w:t xml:space="preserve"> %</w:t>
      </w:r>
    </w:p>
    <w:p w:rsidR="007926A2" w:rsidRPr="00E81267" w:rsidRDefault="007926A2" w:rsidP="007926A2">
      <w:pPr>
        <w:tabs>
          <w:tab w:val="left" w:pos="851"/>
        </w:tabs>
        <w:ind w:left="851"/>
        <w:rPr>
          <w:sz w:val="24"/>
          <w:szCs w:val="24"/>
        </w:rPr>
      </w:pPr>
      <w:r w:rsidRPr="00E81267">
        <w:rPr>
          <w:sz w:val="24"/>
          <w:szCs w:val="24"/>
        </w:rPr>
        <w:t>IgG</w:t>
      </w:r>
      <w:r w:rsidRPr="00E81267">
        <w:rPr>
          <w:sz w:val="24"/>
          <w:szCs w:val="24"/>
          <w:vertAlign w:val="subscript"/>
        </w:rPr>
        <w:t>4</w:t>
      </w:r>
      <w:r w:rsidRPr="00E81267">
        <w:rPr>
          <w:sz w:val="24"/>
          <w:szCs w:val="24"/>
        </w:rPr>
        <w:t>………. 2</w:t>
      </w:r>
      <w:r>
        <w:rPr>
          <w:sz w:val="24"/>
          <w:szCs w:val="24"/>
        </w:rPr>
        <w:t xml:space="preserve"> %</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 xml:space="preserve">Maksimalt indhold af </w:t>
      </w:r>
      <w:proofErr w:type="spellStart"/>
      <w:r w:rsidRPr="00E81267">
        <w:rPr>
          <w:sz w:val="24"/>
          <w:szCs w:val="24"/>
        </w:rPr>
        <w:t>IgA</w:t>
      </w:r>
      <w:proofErr w:type="spellEnd"/>
      <w:r w:rsidRPr="00E81267">
        <w:rPr>
          <w:sz w:val="24"/>
          <w:szCs w:val="24"/>
        </w:rPr>
        <w:t xml:space="preserve"> er </w:t>
      </w:r>
      <w:r w:rsidR="00467A9B">
        <w:rPr>
          <w:sz w:val="24"/>
          <w:szCs w:val="24"/>
        </w:rPr>
        <w:t>3</w:t>
      </w:r>
      <w:r w:rsidRPr="00E81267">
        <w:rPr>
          <w:sz w:val="24"/>
          <w:szCs w:val="24"/>
        </w:rPr>
        <w:t>00 mikrogram/ml.</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Fremstillet af plasma fra humane donorer.</w:t>
      </w:r>
    </w:p>
    <w:p w:rsidR="007926A2" w:rsidRDefault="007926A2" w:rsidP="007926A2">
      <w:pPr>
        <w:rPr>
          <w:sz w:val="24"/>
          <w:szCs w:val="24"/>
        </w:rPr>
      </w:pPr>
      <w:r>
        <w:rPr>
          <w:sz w:val="24"/>
          <w:szCs w:val="24"/>
        </w:rPr>
        <w:br w:type="page"/>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Hjælpestoffer, som behandleren skal være opmærksom på:</w:t>
      </w:r>
    </w:p>
    <w:p w:rsidR="004353F8" w:rsidRDefault="007926A2" w:rsidP="004353F8">
      <w:pPr>
        <w:ind w:left="851"/>
        <w:rPr>
          <w:sz w:val="24"/>
          <w:szCs w:val="24"/>
          <w:lang w:eastAsia="da-DK"/>
        </w:rPr>
      </w:pPr>
      <w:r w:rsidRPr="00E81267">
        <w:rPr>
          <w:sz w:val="24"/>
          <w:szCs w:val="24"/>
        </w:rPr>
        <w:t>Dette lægemiddel indeholder 33,1 mg natrium pr. hætteglas med 48 ml og 13,8 mg natrium pr. hætteglas med 20 ml</w:t>
      </w:r>
      <w:r w:rsidR="004353F8">
        <w:rPr>
          <w:sz w:val="24"/>
          <w:szCs w:val="24"/>
        </w:rPr>
        <w:t>, se pkt. 4.4.</w:t>
      </w:r>
      <w:r w:rsidR="004353F8">
        <w:rPr>
          <w:sz w:val="24"/>
          <w:szCs w:val="24"/>
          <w:lang w:eastAsia="da-DK"/>
        </w:rPr>
        <w:t xml:space="preserve"> </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Alle hjælpestoffer er anført under pkt. 6.1.</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3.</w:t>
      </w:r>
      <w:r w:rsidRPr="00E81267">
        <w:rPr>
          <w:b/>
          <w:sz w:val="24"/>
          <w:szCs w:val="24"/>
        </w:rPr>
        <w:tab/>
        <w:t>LÆGEMIDDELFORM</w:t>
      </w:r>
    </w:p>
    <w:p w:rsidR="007926A2" w:rsidRPr="00E81267" w:rsidRDefault="007926A2" w:rsidP="007926A2">
      <w:pPr>
        <w:tabs>
          <w:tab w:val="left" w:pos="851"/>
        </w:tabs>
        <w:ind w:left="851"/>
        <w:rPr>
          <w:sz w:val="24"/>
          <w:szCs w:val="24"/>
          <w:lang w:eastAsia="da-DK"/>
        </w:rPr>
      </w:pPr>
      <w:r w:rsidRPr="00E81267">
        <w:rPr>
          <w:sz w:val="24"/>
          <w:szCs w:val="24"/>
        </w:rPr>
        <w:t>Injektionsvæske, opløsning</w:t>
      </w:r>
    </w:p>
    <w:p w:rsidR="007926A2" w:rsidRPr="00E81267" w:rsidRDefault="007926A2" w:rsidP="007926A2">
      <w:pPr>
        <w:tabs>
          <w:tab w:val="left" w:pos="851"/>
        </w:tabs>
        <w:ind w:left="851"/>
        <w:rPr>
          <w:sz w:val="24"/>
          <w:szCs w:val="24"/>
        </w:rPr>
      </w:pPr>
      <w:r>
        <w:rPr>
          <w:sz w:val="24"/>
          <w:szCs w:val="24"/>
        </w:rPr>
        <w:t xml:space="preserve">Opløsningen </w:t>
      </w:r>
      <w:r w:rsidRPr="00E81267">
        <w:rPr>
          <w:sz w:val="24"/>
          <w:szCs w:val="24"/>
        </w:rPr>
        <w:t>er klar og farveløs.</w:t>
      </w:r>
    </w:p>
    <w:p w:rsidR="007926A2" w:rsidRPr="00E81267" w:rsidRDefault="007926A2" w:rsidP="007926A2">
      <w:pPr>
        <w:tabs>
          <w:tab w:val="left" w:pos="851"/>
        </w:tabs>
        <w:ind w:left="851"/>
        <w:rPr>
          <w:sz w:val="24"/>
          <w:szCs w:val="24"/>
        </w:rPr>
      </w:pPr>
      <w:r w:rsidRPr="00E81267">
        <w:rPr>
          <w:sz w:val="24"/>
          <w:szCs w:val="24"/>
        </w:rPr>
        <w:t xml:space="preserve">Under opbevaring kan </w:t>
      </w:r>
      <w:r>
        <w:rPr>
          <w:sz w:val="24"/>
          <w:szCs w:val="24"/>
        </w:rPr>
        <w:t>opløsningen</w:t>
      </w:r>
      <w:r w:rsidRPr="00E81267">
        <w:rPr>
          <w:sz w:val="24"/>
          <w:szCs w:val="24"/>
        </w:rPr>
        <w:t xml:space="preserve"> blive let opaliserende og svagt gul.</w:t>
      </w:r>
    </w:p>
    <w:p w:rsidR="007926A2" w:rsidRPr="00E81267" w:rsidRDefault="007926A2" w:rsidP="007926A2">
      <w:pPr>
        <w:tabs>
          <w:tab w:val="left" w:pos="851"/>
        </w:tabs>
        <w:ind w:left="851"/>
        <w:rPr>
          <w:sz w:val="24"/>
          <w:szCs w:val="24"/>
        </w:rPr>
      </w:pPr>
      <w:proofErr w:type="spellStart"/>
      <w:r w:rsidRPr="00E81267">
        <w:rPr>
          <w:sz w:val="24"/>
          <w:szCs w:val="24"/>
        </w:rPr>
        <w:t>Osmolaritet</w:t>
      </w:r>
      <w:proofErr w:type="spellEnd"/>
      <w:r w:rsidRPr="00E81267">
        <w:rPr>
          <w:sz w:val="24"/>
          <w:szCs w:val="24"/>
        </w:rPr>
        <w:t xml:space="preserve"> af </w:t>
      </w:r>
      <w:r>
        <w:rPr>
          <w:sz w:val="24"/>
          <w:szCs w:val="24"/>
        </w:rPr>
        <w:t>opløsningen</w:t>
      </w:r>
      <w:r w:rsidRPr="00E81267">
        <w:rPr>
          <w:sz w:val="24"/>
          <w:szCs w:val="24"/>
        </w:rPr>
        <w:t xml:space="preserve"> er 310 til 380 </w:t>
      </w:r>
      <w:proofErr w:type="spellStart"/>
      <w:r w:rsidRPr="00E81267">
        <w:rPr>
          <w:sz w:val="24"/>
          <w:szCs w:val="24"/>
        </w:rPr>
        <w:t>mOsmol</w:t>
      </w:r>
      <w:proofErr w:type="spellEnd"/>
      <w:r w:rsidRPr="00E81267">
        <w:rPr>
          <w:sz w:val="24"/>
          <w:szCs w:val="24"/>
        </w:rPr>
        <w:t>/kg</w:t>
      </w:r>
    </w:p>
    <w:p w:rsidR="007926A2" w:rsidRPr="00E81267" w:rsidRDefault="007926A2" w:rsidP="007926A2">
      <w:pPr>
        <w:tabs>
          <w:tab w:val="left" w:pos="851"/>
        </w:tabs>
        <w:ind w:left="851"/>
        <w:rPr>
          <w:sz w:val="24"/>
          <w:szCs w:val="24"/>
        </w:rPr>
      </w:pPr>
      <w:r w:rsidRPr="00E81267">
        <w:rPr>
          <w:sz w:val="24"/>
          <w:szCs w:val="24"/>
        </w:rPr>
        <w:t>Opløsningens pH er 5-5,5.</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4.</w:t>
      </w:r>
      <w:r w:rsidRPr="00E81267">
        <w:rPr>
          <w:b/>
          <w:sz w:val="24"/>
          <w:szCs w:val="24"/>
        </w:rPr>
        <w:tab/>
        <w:t>KLINISKE OPLYSNINGER</w:t>
      </w:r>
    </w:p>
    <w:p w:rsidR="007926A2" w:rsidRPr="00E81267" w:rsidRDefault="007926A2" w:rsidP="007926A2">
      <w:pPr>
        <w:tabs>
          <w:tab w:val="left" w:pos="851"/>
        </w:tabs>
        <w:ind w:left="851"/>
        <w:rPr>
          <w:b/>
          <w:sz w:val="24"/>
          <w:szCs w:val="24"/>
        </w:rPr>
      </w:pPr>
    </w:p>
    <w:p w:rsidR="007926A2" w:rsidRPr="00E81267" w:rsidRDefault="007926A2" w:rsidP="007926A2">
      <w:pPr>
        <w:tabs>
          <w:tab w:val="left" w:pos="851"/>
        </w:tabs>
        <w:ind w:left="851" w:hanging="851"/>
        <w:rPr>
          <w:b/>
          <w:sz w:val="24"/>
          <w:szCs w:val="24"/>
          <w:u w:val="single"/>
        </w:rPr>
      </w:pPr>
      <w:r w:rsidRPr="00E81267">
        <w:rPr>
          <w:b/>
          <w:sz w:val="24"/>
          <w:szCs w:val="24"/>
        </w:rPr>
        <w:t>4.1</w:t>
      </w:r>
      <w:r w:rsidRPr="00E81267">
        <w:rPr>
          <w:b/>
          <w:sz w:val="24"/>
          <w:szCs w:val="24"/>
        </w:rPr>
        <w:tab/>
        <w:t>Terapeutiske indikationer</w:t>
      </w:r>
    </w:p>
    <w:p w:rsidR="007926A2" w:rsidRDefault="007926A2" w:rsidP="007926A2">
      <w:pPr>
        <w:tabs>
          <w:tab w:val="left" w:pos="851"/>
        </w:tabs>
        <w:ind w:left="851"/>
        <w:rPr>
          <w:i/>
          <w:sz w:val="24"/>
          <w:szCs w:val="24"/>
          <w:u w:val="single"/>
        </w:rPr>
      </w:pPr>
    </w:p>
    <w:p w:rsidR="007926A2" w:rsidRPr="00E81267" w:rsidRDefault="007926A2" w:rsidP="007926A2">
      <w:pPr>
        <w:tabs>
          <w:tab w:val="left" w:pos="851"/>
        </w:tabs>
        <w:ind w:left="851"/>
        <w:rPr>
          <w:i/>
          <w:sz w:val="24"/>
          <w:szCs w:val="24"/>
          <w:u w:val="single"/>
          <w:lang w:eastAsia="da-DK"/>
        </w:rPr>
      </w:pPr>
      <w:r w:rsidRPr="00E81267">
        <w:rPr>
          <w:i/>
          <w:sz w:val="24"/>
          <w:szCs w:val="24"/>
          <w:u w:val="single"/>
        </w:rPr>
        <w:t>Substitutionsterapi til voksne, børn og unge (0-18 år) ved</w:t>
      </w:r>
    </w:p>
    <w:p w:rsidR="004353F8" w:rsidRPr="004353F8" w:rsidRDefault="004353F8" w:rsidP="004353F8">
      <w:pPr>
        <w:numPr>
          <w:ilvl w:val="0"/>
          <w:numId w:val="8"/>
        </w:numPr>
        <w:tabs>
          <w:tab w:val="left" w:pos="851"/>
        </w:tabs>
        <w:ind w:left="1276" w:hanging="425"/>
        <w:rPr>
          <w:sz w:val="24"/>
          <w:szCs w:val="24"/>
        </w:rPr>
      </w:pPr>
      <w:r w:rsidRPr="004353F8">
        <w:rPr>
          <w:sz w:val="24"/>
          <w:szCs w:val="24"/>
        </w:rPr>
        <w:t>Primære immundefektsyndromer (PID) med nedsat antistofproduktion (se pkt. 4.4).</w:t>
      </w:r>
    </w:p>
    <w:p w:rsidR="004353F8" w:rsidRPr="004353F8" w:rsidRDefault="004353F8" w:rsidP="004353F8">
      <w:pPr>
        <w:numPr>
          <w:ilvl w:val="0"/>
          <w:numId w:val="8"/>
        </w:numPr>
        <w:tabs>
          <w:tab w:val="left" w:pos="851"/>
        </w:tabs>
        <w:ind w:left="1276" w:hanging="425"/>
        <w:rPr>
          <w:sz w:val="24"/>
          <w:szCs w:val="24"/>
        </w:rPr>
      </w:pPr>
      <w:r w:rsidRPr="004353F8">
        <w:rPr>
          <w:color w:val="000000"/>
          <w:sz w:val="24"/>
          <w:szCs w:val="24"/>
        </w:rPr>
        <w:t>Sekundære immundefektsyndromer (SID) hos patienter, som lider af svære eller recidiverende infektioner, ineffektiv antimikrobiel behandling og enten påvist specifikt antistofsvigt (PSAF)* eller serum-</w:t>
      </w:r>
      <w:proofErr w:type="spellStart"/>
      <w:r w:rsidRPr="004353F8">
        <w:rPr>
          <w:color w:val="000000"/>
          <w:sz w:val="24"/>
          <w:szCs w:val="24"/>
        </w:rPr>
        <w:t>IgG</w:t>
      </w:r>
      <w:proofErr w:type="spellEnd"/>
      <w:r w:rsidRPr="004353F8">
        <w:rPr>
          <w:color w:val="000000"/>
          <w:sz w:val="24"/>
          <w:szCs w:val="24"/>
        </w:rPr>
        <w:t>-niveau på &lt; 4 g/l.</w:t>
      </w:r>
    </w:p>
    <w:p w:rsidR="004353F8" w:rsidRPr="004353F8" w:rsidRDefault="004353F8" w:rsidP="004353F8">
      <w:pPr>
        <w:tabs>
          <w:tab w:val="left" w:pos="851"/>
        </w:tabs>
        <w:ind w:left="1276"/>
        <w:rPr>
          <w:sz w:val="24"/>
          <w:szCs w:val="24"/>
        </w:rPr>
      </w:pPr>
    </w:p>
    <w:p w:rsidR="004353F8" w:rsidRPr="004353F8" w:rsidRDefault="004353F8" w:rsidP="004353F8">
      <w:pPr>
        <w:tabs>
          <w:tab w:val="left" w:pos="851"/>
        </w:tabs>
        <w:ind w:left="1276"/>
        <w:rPr>
          <w:sz w:val="24"/>
          <w:szCs w:val="24"/>
        </w:rPr>
      </w:pPr>
      <w:r w:rsidRPr="004353F8">
        <w:rPr>
          <w:color w:val="000000"/>
          <w:sz w:val="24"/>
          <w:szCs w:val="24"/>
        </w:rPr>
        <w:t>*PSAF = manglende evne til at opnå mindst en stigning til det dobbelte</w:t>
      </w:r>
      <w:r w:rsidRPr="004353F8">
        <w:rPr>
          <w:sz w:val="24"/>
          <w:szCs w:val="24"/>
        </w:rPr>
        <w:t xml:space="preserve"> i </w:t>
      </w:r>
      <w:proofErr w:type="spellStart"/>
      <w:r w:rsidRPr="004353F8">
        <w:rPr>
          <w:sz w:val="24"/>
          <w:szCs w:val="24"/>
        </w:rPr>
        <w:t>IgG-antistoftiter</w:t>
      </w:r>
      <w:proofErr w:type="spellEnd"/>
      <w:r w:rsidRPr="004353F8">
        <w:rPr>
          <w:sz w:val="24"/>
          <w:szCs w:val="24"/>
        </w:rPr>
        <w:t xml:space="preserve"> for </w:t>
      </w:r>
      <w:proofErr w:type="spellStart"/>
      <w:r w:rsidRPr="004353F8">
        <w:rPr>
          <w:sz w:val="24"/>
          <w:szCs w:val="24"/>
        </w:rPr>
        <w:t>pneumokok</w:t>
      </w:r>
      <w:proofErr w:type="spellEnd"/>
      <w:r w:rsidRPr="004353F8">
        <w:rPr>
          <w:sz w:val="24"/>
          <w:szCs w:val="24"/>
        </w:rPr>
        <w:t xml:space="preserve"> </w:t>
      </w:r>
      <w:proofErr w:type="spellStart"/>
      <w:r w:rsidRPr="004353F8">
        <w:rPr>
          <w:sz w:val="24"/>
          <w:szCs w:val="24"/>
        </w:rPr>
        <w:t>polysaccharid</w:t>
      </w:r>
      <w:proofErr w:type="spellEnd"/>
      <w:r w:rsidRPr="004353F8">
        <w:rPr>
          <w:sz w:val="24"/>
          <w:szCs w:val="24"/>
        </w:rPr>
        <w:t>- og polypeptid antigenvacciner.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4.2</w:t>
      </w:r>
      <w:r w:rsidRPr="00E81267">
        <w:rPr>
          <w:b/>
          <w:sz w:val="24"/>
          <w:szCs w:val="24"/>
        </w:rPr>
        <w:tab/>
        <w:t xml:space="preserve">Dosering og </w:t>
      </w:r>
      <w:r w:rsidR="004353F8">
        <w:rPr>
          <w:b/>
          <w:sz w:val="24"/>
          <w:szCs w:val="24"/>
        </w:rPr>
        <w:t>administration</w:t>
      </w:r>
    </w:p>
    <w:p w:rsidR="007926A2" w:rsidRPr="00E81267" w:rsidRDefault="007926A2" w:rsidP="007926A2">
      <w:pPr>
        <w:tabs>
          <w:tab w:val="left" w:pos="851"/>
        </w:tabs>
        <w:ind w:left="851"/>
        <w:rPr>
          <w:sz w:val="24"/>
          <w:szCs w:val="24"/>
          <w:lang w:eastAsia="da-DK"/>
        </w:rPr>
      </w:pPr>
      <w:r w:rsidRPr="00E81267">
        <w:rPr>
          <w:sz w:val="24"/>
          <w:szCs w:val="24"/>
        </w:rPr>
        <w:t>Substitutionsterapi bør initieres og monitoreres under overvågning af en læge med erfaring i behandling af immundefekter.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Dosering</w:t>
      </w:r>
    </w:p>
    <w:p w:rsidR="007926A2" w:rsidRPr="00E81267" w:rsidRDefault="007926A2" w:rsidP="007926A2">
      <w:pPr>
        <w:tabs>
          <w:tab w:val="left" w:pos="851"/>
        </w:tabs>
        <w:ind w:left="851"/>
        <w:rPr>
          <w:sz w:val="24"/>
          <w:szCs w:val="24"/>
        </w:rPr>
      </w:pPr>
      <w:r w:rsidRPr="00E81267">
        <w:rPr>
          <w:sz w:val="24"/>
          <w:szCs w:val="24"/>
        </w:rPr>
        <w:t>Dosis og doseringsregime afhænger af indikationen.</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i/>
          <w:sz w:val="24"/>
          <w:szCs w:val="24"/>
        </w:rPr>
      </w:pPr>
      <w:r w:rsidRPr="00E81267">
        <w:rPr>
          <w:i/>
          <w:sz w:val="24"/>
          <w:szCs w:val="24"/>
        </w:rPr>
        <w:t>Substitutionsterapi</w:t>
      </w:r>
    </w:p>
    <w:p w:rsidR="007926A2" w:rsidRPr="00E81267" w:rsidRDefault="007926A2" w:rsidP="007926A2">
      <w:pPr>
        <w:tabs>
          <w:tab w:val="left" w:pos="851"/>
        </w:tabs>
        <w:ind w:left="851"/>
        <w:rPr>
          <w:sz w:val="24"/>
          <w:szCs w:val="24"/>
        </w:rPr>
      </w:pPr>
      <w:r w:rsidRPr="00E81267">
        <w:rPr>
          <w:sz w:val="24"/>
          <w:szCs w:val="24"/>
        </w:rPr>
        <w:t xml:space="preserve">Lægemidlet </w:t>
      </w:r>
      <w:r>
        <w:rPr>
          <w:sz w:val="24"/>
          <w:szCs w:val="24"/>
        </w:rPr>
        <w:t>skal</w:t>
      </w:r>
      <w:r w:rsidRPr="00E81267">
        <w:rPr>
          <w:sz w:val="24"/>
          <w:szCs w:val="24"/>
        </w:rPr>
        <w:t xml:space="preserve"> administreres subkutant.</w:t>
      </w:r>
    </w:p>
    <w:p w:rsidR="007926A2" w:rsidRPr="00E81267" w:rsidRDefault="007926A2" w:rsidP="007926A2">
      <w:pPr>
        <w:tabs>
          <w:tab w:val="left" w:pos="851"/>
        </w:tabs>
        <w:ind w:left="851"/>
        <w:rPr>
          <w:sz w:val="24"/>
          <w:szCs w:val="24"/>
        </w:rPr>
      </w:pPr>
    </w:p>
    <w:p w:rsidR="004353F8" w:rsidRDefault="004353F8" w:rsidP="004353F8">
      <w:pPr>
        <w:tabs>
          <w:tab w:val="left" w:pos="851"/>
        </w:tabs>
        <w:ind w:left="851"/>
        <w:rPr>
          <w:sz w:val="24"/>
          <w:szCs w:val="24"/>
        </w:rPr>
      </w:pPr>
      <w:r>
        <w:rPr>
          <w:sz w:val="24"/>
          <w:szCs w:val="24"/>
        </w:rPr>
        <w:t xml:space="preserve">Ved substitutionsterapi kan det være nødvendigt at dosere individuelt hos den enkelte patient afhængigt af det </w:t>
      </w:r>
      <w:proofErr w:type="spellStart"/>
      <w:r>
        <w:rPr>
          <w:sz w:val="24"/>
          <w:szCs w:val="24"/>
        </w:rPr>
        <w:t>farmakokinetiske</w:t>
      </w:r>
      <w:proofErr w:type="spellEnd"/>
      <w:r>
        <w:rPr>
          <w:sz w:val="24"/>
          <w:szCs w:val="24"/>
        </w:rPr>
        <w:t xml:space="preserve"> og kliniske respons. </w:t>
      </w:r>
      <w:proofErr w:type="spellStart"/>
      <w:r>
        <w:rPr>
          <w:sz w:val="24"/>
          <w:szCs w:val="24"/>
        </w:rPr>
        <w:t>Cutaquig</w:t>
      </w:r>
      <w:proofErr w:type="spellEnd"/>
      <w:r>
        <w:rPr>
          <w:sz w:val="24"/>
          <w:szCs w:val="24"/>
        </w:rPr>
        <w:t xml:space="preserve"> kan administreres med jævne mellemrum fra dagligt til hver anden uge.</w:t>
      </w:r>
    </w:p>
    <w:p w:rsidR="004353F8" w:rsidRDefault="004353F8" w:rsidP="004353F8">
      <w:pPr>
        <w:tabs>
          <w:tab w:val="left" w:pos="851"/>
        </w:tabs>
        <w:ind w:left="851"/>
        <w:rPr>
          <w:sz w:val="24"/>
          <w:szCs w:val="24"/>
        </w:rPr>
      </w:pPr>
      <w:r>
        <w:rPr>
          <w:sz w:val="24"/>
          <w:szCs w:val="24"/>
        </w:rPr>
        <w:t>Følgende doseringsregimer er vejledende.</w:t>
      </w:r>
    </w:p>
    <w:p w:rsidR="004353F8" w:rsidRDefault="004353F8" w:rsidP="004353F8">
      <w:pPr>
        <w:tabs>
          <w:tab w:val="left" w:pos="851"/>
        </w:tabs>
        <w:ind w:left="851"/>
        <w:rPr>
          <w:sz w:val="24"/>
          <w:szCs w:val="24"/>
        </w:rPr>
      </w:pPr>
    </w:p>
    <w:p w:rsidR="004353F8" w:rsidRDefault="004353F8" w:rsidP="004353F8">
      <w:pPr>
        <w:tabs>
          <w:tab w:val="left" w:pos="851"/>
        </w:tabs>
        <w:ind w:left="851"/>
        <w:rPr>
          <w:sz w:val="24"/>
          <w:szCs w:val="24"/>
        </w:rPr>
      </w:pPr>
      <w:r>
        <w:rPr>
          <w:i/>
          <w:sz w:val="24"/>
          <w:szCs w:val="24"/>
        </w:rPr>
        <w:t>Substitutionsterapi ved primære immundefektsyndromer (som defineret i pkt. 4.1.)</w:t>
      </w:r>
    </w:p>
    <w:p w:rsidR="004353F8" w:rsidRDefault="004353F8" w:rsidP="004353F8">
      <w:pPr>
        <w:tabs>
          <w:tab w:val="left" w:pos="851"/>
        </w:tabs>
        <w:ind w:left="851"/>
        <w:rPr>
          <w:sz w:val="24"/>
          <w:szCs w:val="24"/>
        </w:rPr>
      </w:pPr>
      <w:r>
        <w:rPr>
          <w:sz w:val="24"/>
          <w:szCs w:val="24"/>
        </w:rPr>
        <w:t xml:space="preserve">Doseringsregimet bør føre til et </w:t>
      </w:r>
      <w:proofErr w:type="spellStart"/>
      <w:r>
        <w:rPr>
          <w:sz w:val="24"/>
          <w:szCs w:val="24"/>
        </w:rPr>
        <w:t>IgG</w:t>
      </w:r>
      <w:proofErr w:type="spellEnd"/>
      <w:r>
        <w:rPr>
          <w:sz w:val="24"/>
          <w:szCs w:val="24"/>
        </w:rPr>
        <w:t>-dalniveau (målt før næste infusion) på mindst 5 til 6 g/l og tilstræbes at være inden for referenceintervallet for serum-</w:t>
      </w:r>
      <w:proofErr w:type="spellStart"/>
      <w:r>
        <w:rPr>
          <w:sz w:val="24"/>
          <w:szCs w:val="24"/>
        </w:rPr>
        <w:t>IgG</w:t>
      </w:r>
      <w:proofErr w:type="spellEnd"/>
      <w:r>
        <w:rPr>
          <w:sz w:val="24"/>
          <w:szCs w:val="24"/>
        </w:rPr>
        <w:t xml:space="preserve"> svarende til alderen. En initialdosis på mindst 0,2 til 0,5 g/kg (1,2 til 3,0 ml/kg) legemsvægt kan være nødvendig. Det kan være nødvendigt at fordele dosis over flere dage med en maksimal daglig dosis på 0,1 til 0,15 g/kg.</w:t>
      </w:r>
    </w:p>
    <w:p w:rsidR="004353F8" w:rsidRDefault="004353F8" w:rsidP="004353F8">
      <w:pPr>
        <w:tabs>
          <w:tab w:val="left" w:pos="851"/>
        </w:tabs>
        <w:ind w:left="851"/>
        <w:rPr>
          <w:sz w:val="24"/>
          <w:szCs w:val="24"/>
        </w:rPr>
      </w:pPr>
    </w:p>
    <w:p w:rsidR="004353F8" w:rsidRDefault="004353F8" w:rsidP="004353F8">
      <w:pPr>
        <w:tabs>
          <w:tab w:val="left" w:pos="709"/>
          <w:tab w:val="left" w:pos="851"/>
        </w:tabs>
        <w:ind w:left="851"/>
        <w:rPr>
          <w:noProof/>
          <w:spacing w:val="-3"/>
          <w:sz w:val="24"/>
          <w:szCs w:val="24"/>
        </w:rPr>
      </w:pPr>
      <w:r>
        <w:rPr>
          <w:noProof/>
          <w:spacing w:val="-3"/>
          <w:sz w:val="24"/>
          <w:szCs w:val="24"/>
        </w:rPr>
        <w:lastRenderedPageBreak/>
        <w:t>Når steady state IgG niveauer er opnået, indgives vedligeholdelsesdoser med gentagne intervaller  for at opnå en kumulativ, månedlig dosis i størrelsesordenen 0,4-0,8 g/kg (2,4-4,8 ml/kg). Det kan være nødvendigt at injicere hver enkeltdosis forskellige steder på kroppen.</w:t>
      </w:r>
    </w:p>
    <w:p w:rsidR="004353F8" w:rsidRDefault="004353F8" w:rsidP="004353F8">
      <w:pPr>
        <w:tabs>
          <w:tab w:val="left" w:pos="851"/>
        </w:tabs>
        <w:ind w:left="851"/>
        <w:rPr>
          <w:sz w:val="24"/>
          <w:szCs w:val="24"/>
        </w:rPr>
      </w:pPr>
    </w:p>
    <w:p w:rsidR="004353F8" w:rsidRDefault="004353F8" w:rsidP="004353F8">
      <w:pPr>
        <w:tabs>
          <w:tab w:val="left" w:pos="851"/>
        </w:tabs>
        <w:ind w:left="851"/>
        <w:rPr>
          <w:sz w:val="24"/>
          <w:szCs w:val="24"/>
        </w:rPr>
      </w:pPr>
      <w:r>
        <w:rPr>
          <w:sz w:val="24"/>
          <w:szCs w:val="24"/>
        </w:rPr>
        <w:t>Dalniveauerne bør måles og vurderes i forbindelse med forekomst af infektion. For at reducere infektionshastigheden kan det være nødvendigt at øge dosis og tilstræbe højere dalniveauer.</w:t>
      </w:r>
    </w:p>
    <w:p w:rsidR="004353F8" w:rsidRDefault="004353F8" w:rsidP="004353F8">
      <w:pPr>
        <w:tabs>
          <w:tab w:val="left" w:pos="851"/>
        </w:tabs>
        <w:ind w:left="851"/>
        <w:rPr>
          <w:sz w:val="24"/>
          <w:szCs w:val="24"/>
        </w:rPr>
      </w:pPr>
    </w:p>
    <w:p w:rsidR="004353F8" w:rsidRDefault="004353F8" w:rsidP="004353F8">
      <w:pPr>
        <w:keepNext/>
        <w:tabs>
          <w:tab w:val="left" w:pos="851"/>
        </w:tabs>
        <w:ind w:left="850"/>
        <w:rPr>
          <w:i/>
          <w:sz w:val="24"/>
          <w:szCs w:val="24"/>
        </w:rPr>
      </w:pPr>
      <w:r>
        <w:rPr>
          <w:i/>
          <w:sz w:val="24"/>
          <w:szCs w:val="24"/>
        </w:rPr>
        <w:t>Substitutionsterapi ved sekundære immundefektsyndromer (som defineret i pkt. 4.1.)</w:t>
      </w:r>
    </w:p>
    <w:p w:rsidR="004353F8" w:rsidRDefault="004353F8" w:rsidP="004353F8">
      <w:pPr>
        <w:pStyle w:val="Default"/>
        <w:keepNext/>
        <w:ind w:left="850"/>
        <w:rPr>
          <w:szCs w:val="22"/>
          <w:lang w:val="da-DK"/>
        </w:rPr>
      </w:pPr>
      <w:r>
        <w:rPr>
          <w:szCs w:val="22"/>
          <w:lang w:val="da-DK"/>
        </w:rPr>
        <w:t xml:space="preserve">Den anbefalede dosis administreret i gentagne intervaller (ca. én gang ugentligt) har til formål at opnå en kumulativ månedlig dosis i størrelsesordenen 0,2-0,4 g/kg (1,2-2,4 ml/kg). Det kan være nødvendigt at injicere hver enkeltdosis forskellige steder på kroppen. </w:t>
      </w:r>
      <w:bookmarkStart w:id="1" w:name="_Hlk70417687"/>
    </w:p>
    <w:bookmarkEnd w:id="1"/>
    <w:p w:rsidR="004353F8" w:rsidRDefault="004353F8" w:rsidP="004353F8">
      <w:pPr>
        <w:pStyle w:val="Default"/>
        <w:ind w:left="851"/>
        <w:rPr>
          <w:szCs w:val="22"/>
          <w:lang w:val="da-DK"/>
        </w:rPr>
      </w:pPr>
    </w:p>
    <w:p w:rsidR="004353F8" w:rsidRDefault="004353F8" w:rsidP="004353F8">
      <w:pPr>
        <w:tabs>
          <w:tab w:val="left" w:pos="851"/>
        </w:tabs>
        <w:ind w:left="851"/>
        <w:rPr>
          <w:sz w:val="24"/>
          <w:szCs w:val="24"/>
        </w:rPr>
      </w:pPr>
      <w:r>
        <w:rPr>
          <w:sz w:val="24"/>
          <w:szCs w:val="24"/>
        </w:rPr>
        <w:t xml:space="preserve">Dalniveauerne af </w:t>
      </w:r>
      <w:proofErr w:type="spellStart"/>
      <w:r>
        <w:rPr>
          <w:sz w:val="24"/>
          <w:szCs w:val="24"/>
        </w:rPr>
        <w:t>IgG</w:t>
      </w:r>
      <w:proofErr w:type="spellEnd"/>
      <w:r>
        <w:rPr>
          <w:sz w:val="24"/>
          <w:szCs w:val="24"/>
        </w:rPr>
        <w:t xml:space="preserve"> bør måles og vurderes sammen med forekomsten af infektion. Dosis bør justeres efter behov for at opnå optimal beskyttelse mod infektioner. Det kan være nødvendigt at øge dosis hos patienter med vedvarende infektion. En dosisreduktion kan overvejes, når patienten forbliver fri for infektioner. </w:t>
      </w:r>
    </w:p>
    <w:p w:rsidR="004353F8" w:rsidRDefault="004353F8" w:rsidP="004353F8">
      <w:pPr>
        <w:tabs>
          <w:tab w:val="left" w:pos="851"/>
        </w:tabs>
        <w:ind w:left="851"/>
        <w:rPr>
          <w:sz w:val="24"/>
          <w:szCs w:val="24"/>
        </w:rPr>
      </w:pPr>
    </w:p>
    <w:p w:rsidR="00F2329D" w:rsidRDefault="00F2329D" w:rsidP="00F2329D">
      <w:pPr>
        <w:tabs>
          <w:tab w:val="left" w:pos="851"/>
        </w:tabs>
        <w:ind w:left="851"/>
        <w:rPr>
          <w:i/>
          <w:sz w:val="24"/>
          <w:szCs w:val="24"/>
        </w:rPr>
      </w:pPr>
      <w:r>
        <w:rPr>
          <w:i/>
          <w:sz w:val="24"/>
          <w:szCs w:val="24"/>
        </w:rPr>
        <w:t>Pædiatrisk population</w:t>
      </w:r>
    </w:p>
    <w:p w:rsidR="00F2329D" w:rsidRDefault="00F2329D" w:rsidP="00F2329D">
      <w:pPr>
        <w:tabs>
          <w:tab w:val="left" w:pos="851"/>
        </w:tabs>
        <w:ind w:left="851"/>
        <w:rPr>
          <w:sz w:val="24"/>
          <w:szCs w:val="24"/>
        </w:rPr>
      </w:pPr>
      <w:r>
        <w:rPr>
          <w:sz w:val="24"/>
          <w:szCs w:val="24"/>
        </w:rPr>
        <w:t>Doseringen til børn og unge (0-18 år) er ikke forskellig fra den til voksne, da doseringen for hver indikation er fastlagt ud fra legemsvægt og justeret i henhold til det kliniske resultat af indikationerne for substitutionsterapi.</w:t>
      </w:r>
    </w:p>
    <w:p w:rsidR="00F2329D" w:rsidRPr="00E81267" w:rsidRDefault="00F2329D" w:rsidP="00F2329D">
      <w:pPr>
        <w:tabs>
          <w:tab w:val="left" w:pos="851"/>
        </w:tabs>
        <w:ind w:left="851"/>
        <w:rPr>
          <w:sz w:val="24"/>
          <w:szCs w:val="24"/>
        </w:rPr>
      </w:pPr>
    </w:p>
    <w:p w:rsidR="00F2329D" w:rsidRPr="00E81267" w:rsidRDefault="00F2329D" w:rsidP="00F2329D">
      <w:pPr>
        <w:tabs>
          <w:tab w:val="left" w:pos="851"/>
        </w:tabs>
        <w:ind w:left="851"/>
        <w:rPr>
          <w:i/>
          <w:sz w:val="24"/>
          <w:szCs w:val="24"/>
        </w:rPr>
      </w:pPr>
      <w:r w:rsidRPr="00E81267">
        <w:rPr>
          <w:i/>
          <w:sz w:val="24"/>
          <w:szCs w:val="24"/>
        </w:rPr>
        <w:t>Ældre</w:t>
      </w:r>
    </w:p>
    <w:p w:rsidR="00F2329D" w:rsidRPr="00E81267" w:rsidRDefault="00F2329D" w:rsidP="00F2329D">
      <w:pPr>
        <w:tabs>
          <w:tab w:val="left" w:pos="851"/>
        </w:tabs>
        <w:ind w:left="851"/>
        <w:rPr>
          <w:sz w:val="24"/>
          <w:szCs w:val="24"/>
        </w:rPr>
      </w:pPr>
      <w:r w:rsidRPr="00E81267">
        <w:rPr>
          <w:sz w:val="24"/>
          <w:szCs w:val="24"/>
        </w:rPr>
        <w:t>Da dos</w:t>
      </w:r>
      <w:r>
        <w:rPr>
          <w:sz w:val="24"/>
          <w:szCs w:val="24"/>
        </w:rPr>
        <w:t>is</w:t>
      </w:r>
      <w:r w:rsidRPr="00E81267">
        <w:rPr>
          <w:sz w:val="24"/>
          <w:szCs w:val="24"/>
        </w:rPr>
        <w:t xml:space="preserve"> er fastlagt </w:t>
      </w:r>
      <w:proofErr w:type="spellStart"/>
      <w:r>
        <w:rPr>
          <w:sz w:val="24"/>
          <w:szCs w:val="24"/>
        </w:rPr>
        <w:t>udfra</w:t>
      </w:r>
      <w:proofErr w:type="spellEnd"/>
      <w:r w:rsidRPr="00E81267">
        <w:rPr>
          <w:sz w:val="24"/>
          <w:szCs w:val="24"/>
        </w:rPr>
        <w:t xml:space="preserve"> legemsvægt og justere</w:t>
      </w:r>
      <w:r>
        <w:rPr>
          <w:sz w:val="24"/>
          <w:szCs w:val="24"/>
        </w:rPr>
        <w:t>s</w:t>
      </w:r>
      <w:r w:rsidRPr="00E81267">
        <w:rPr>
          <w:sz w:val="24"/>
          <w:szCs w:val="24"/>
        </w:rPr>
        <w:t xml:space="preserve"> i henhold til det kliniske resultat af ovennævnte </w:t>
      </w:r>
      <w:r>
        <w:rPr>
          <w:sz w:val="24"/>
          <w:szCs w:val="24"/>
        </w:rPr>
        <w:t>lidelser</w:t>
      </w:r>
      <w:r w:rsidRPr="00E81267">
        <w:rPr>
          <w:sz w:val="24"/>
          <w:szCs w:val="24"/>
        </w:rPr>
        <w:t>, betragtes dos</w:t>
      </w:r>
      <w:r>
        <w:rPr>
          <w:sz w:val="24"/>
          <w:szCs w:val="24"/>
        </w:rPr>
        <w:t>is</w:t>
      </w:r>
      <w:r w:rsidRPr="00E81267">
        <w:rPr>
          <w:sz w:val="24"/>
          <w:szCs w:val="24"/>
        </w:rPr>
        <w:t xml:space="preserve"> </w:t>
      </w:r>
      <w:r>
        <w:rPr>
          <w:sz w:val="24"/>
          <w:szCs w:val="24"/>
        </w:rPr>
        <w:t xml:space="preserve">i den </w:t>
      </w:r>
      <w:r w:rsidRPr="00E81267">
        <w:rPr>
          <w:sz w:val="24"/>
          <w:szCs w:val="24"/>
        </w:rPr>
        <w:t xml:space="preserve">ældre </w:t>
      </w:r>
      <w:r>
        <w:rPr>
          <w:sz w:val="24"/>
          <w:szCs w:val="24"/>
        </w:rPr>
        <w:t xml:space="preserve">population </w:t>
      </w:r>
      <w:r w:rsidRPr="00E81267">
        <w:rPr>
          <w:sz w:val="24"/>
          <w:szCs w:val="24"/>
        </w:rPr>
        <w:t>ikke som forskellig fra dos</w:t>
      </w:r>
      <w:r>
        <w:rPr>
          <w:sz w:val="24"/>
          <w:szCs w:val="24"/>
        </w:rPr>
        <w:t xml:space="preserve">is hos </w:t>
      </w:r>
      <w:r w:rsidRPr="00E81267">
        <w:rPr>
          <w:sz w:val="24"/>
          <w:szCs w:val="24"/>
        </w:rPr>
        <w:t xml:space="preserve">patienter i alderen 18 til 65 år. </w:t>
      </w:r>
      <w:r>
        <w:rPr>
          <w:sz w:val="24"/>
          <w:szCs w:val="24"/>
        </w:rPr>
        <w:t xml:space="preserve">I de kliniske forsøg blev </w:t>
      </w:r>
      <w:proofErr w:type="spellStart"/>
      <w:r w:rsidRPr="00E81267">
        <w:rPr>
          <w:sz w:val="24"/>
          <w:szCs w:val="24"/>
        </w:rPr>
        <w:t>Cutaquig</w:t>
      </w:r>
      <w:proofErr w:type="spellEnd"/>
      <w:r w:rsidRPr="00E81267">
        <w:rPr>
          <w:sz w:val="24"/>
          <w:szCs w:val="24"/>
        </w:rPr>
        <w:t xml:space="preserve"> </w:t>
      </w:r>
      <w:r>
        <w:rPr>
          <w:sz w:val="24"/>
          <w:szCs w:val="24"/>
        </w:rPr>
        <w:t>undersøgt hos</w:t>
      </w:r>
      <w:r w:rsidRPr="00E81267">
        <w:rPr>
          <w:sz w:val="24"/>
          <w:szCs w:val="24"/>
        </w:rPr>
        <w:t xml:space="preserve"> </w:t>
      </w:r>
      <w:r>
        <w:rPr>
          <w:sz w:val="24"/>
          <w:szCs w:val="24"/>
        </w:rPr>
        <w:t>17 </w:t>
      </w:r>
      <w:r w:rsidRPr="00E81267">
        <w:rPr>
          <w:sz w:val="24"/>
          <w:szCs w:val="24"/>
        </w:rPr>
        <w:t>patienter over 65 år. Ingen specifikke dosiskriterier var nødvendige for at opnå de ønskede serum-</w:t>
      </w:r>
      <w:proofErr w:type="spellStart"/>
      <w:r w:rsidRPr="00E81267">
        <w:rPr>
          <w:sz w:val="24"/>
          <w:szCs w:val="24"/>
        </w:rPr>
        <w:t>IgG</w:t>
      </w:r>
      <w:proofErr w:type="spellEnd"/>
      <w:r w:rsidRPr="00E81267">
        <w:rPr>
          <w:sz w:val="24"/>
          <w:szCs w:val="24"/>
        </w:rPr>
        <w:t>-niveauer.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Administration</w:t>
      </w:r>
    </w:p>
    <w:p w:rsidR="007926A2" w:rsidRPr="00E81267" w:rsidRDefault="007926A2" w:rsidP="007926A2">
      <w:pPr>
        <w:tabs>
          <w:tab w:val="left" w:pos="851"/>
        </w:tabs>
        <w:ind w:left="851"/>
        <w:rPr>
          <w:sz w:val="24"/>
          <w:szCs w:val="24"/>
        </w:rPr>
      </w:pPr>
      <w:r w:rsidRPr="00E81267">
        <w:rPr>
          <w:sz w:val="24"/>
          <w:szCs w:val="24"/>
        </w:rPr>
        <w:t>Kun til subkutan anvendelse.</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 xml:space="preserve">Subkutan infusion til hjemmebehandling skal initieres og monitoreres af en </w:t>
      </w:r>
      <w:r>
        <w:rPr>
          <w:sz w:val="24"/>
          <w:szCs w:val="24"/>
        </w:rPr>
        <w:t>læge</w:t>
      </w:r>
      <w:r w:rsidRPr="00E81267">
        <w:rPr>
          <w:sz w:val="24"/>
          <w:szCs w:val="24"/>
        </w:rPr>
        <w:t xml:space="preserve"> med erfaring i vejledning af patienter til hjemmebehandling. Patienten og/eller omsorgspersonen skal instrueres i anvendelse af infusions</w:t>
      </w:r>
      <w:r>
        <w:rPr>
          <w:sz w:val="24"/>
          <w:szCs w:val="24"/>
        </w:rPr>
        <w:t>udstyret</w:t>
      </w:r>
      <w:r w:rsidRPr="00E81267">
        <w:rPr>
          <w:sz w:val="24"/>
          <w:szCs w:val="24"/>
        </w:rPr>
        <w:t>, infusionsteknikkerne, aseptisk håndtering, føring af en behandlingsdagbog samt i at genkende alvorlige bivirkninger og træffe de rette foranstaltninger i tilfælde af sådanne bivirkninger.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proofErr w:type="spellStart"/>
      <w:r w:rsidRPr="00E81267">
        <w:rPr>
          <w:sz w:val="24"/>
          <w:szCs w:val="24"/>
        </w:rPr>
        <w:t>Cutaquig</w:t>
      </w:r>
      <w:proofErr w:type="spellEnd"/>
      <w:r w:rsidRPr="00E81267">
        <w:rPr>
          <w:sz w:val="24"/>
          <w:szCs w:val="24"/>
        </w:rPr>
        <w:t xml:space="preserve"> kan injiceres på steder som abdomen, lår, overarm og lateralt på hofte.</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Infusionshastighed</w:t>
      </w:r>
    </w:p>
    <w:p w:rsidR="007926A2" w:rsidRPr="00E81267" w:rsidRDefault="007926A2" w:rsidP="007926A2">
      <w:pPr>
        <w:tabs>
          <w:tab w:val="left" w:pos="851"/>
        </w:tabs>
        <w:ind w:left="851"/>
        <w:rPr>
          <w:sz w:val="24"/>
          <w:szCs w:val="24"/>
        </w:rPr>
      </w:pPr>
      <w:r w:rsidRPr="00E81267">
        <w:rPr>
          <w:sz w:val="24"/>
          <w:szCs w:val="24"/>
        </w:rPr>
        <w:t>Justering af infusionshastighed og infusionsvolumen pr. injektionssted baseres på patientens tolerance.</w:t>
      </w:r>
    </w:p>
    <w:p w:rsidR="007926A2" w:rsidRPr="00E81267" w:rsidRDefault="007926A2" w:rsidP="007926A2">
      <w:pPr>
        <w:tabs>
          <w:tab w:val="left" w:pos="851"/>
        </w:tabs>
        <w:ind w:left="851"/>
        <w:rPr>
          <w:sz w:val="24"/>
          <w:szCs w:val="24"/>
        </w:rPr>
      </w:pPr>
    </w:p>
    <w:p w:rsidR="00F2329D" w:rsidRDefault="00F2329D" w:rsidP="00F2329D">
      <w:pPr>
        <w:tabs>
          <w:tab w:val="left" w:pos="851"/>
        </w:tabs>
        <w:ind w:left="851"/>
        <w:rPr>
          <w:sz w:val="24"/>
          <w:szCs w:val="24"/>
        </w:rPr>
      </w:pPr>
      <w:r w:rsidRPr="00E81267">
        <w:rPr>
          <w:sz w:val="24"/>
          <w:szCs w:val="24"/>
        </w:rPr>
        <w:t>Det anbefales at anvende en initial administrationshastighed på 15 ml/time/sted</w:t>
      </w:r>
      <w:r>
        <w:rPr>
          <w:sz w:val="24"/>
          <w:szCs w:val="24"/>
        </w:rPr>
        <w:t xml:space="preserve"> for patienter, som er naive med hensyn til </w:t>
      </w:r>
      <w:proofErr w:type="spellStart"/>
      <w:r>
        <w:rPr>
          <w:sz w:val="24"/>
          <w:szCs w:val="24"/>
        </w:rPr>
        <w:t>SCIg</w:t>
      </w:r>
      <w:proofErr w:type="spellEnd"/>
      <w:r>
        <w:rPr>
          <w:sz w:val="24"/>
          <w:szCs w:val="24"/>
        </w:rPr>
        <w:t>-behandling</w:t>
      </w:r>
      <w:r w:rsidRPr="00E81267">
        <w:rPr>
          <w:sz w:val="24"/>
          <w:szCs w:val="24"/>
        </w:rPr>
        <w:t xml:space="preserve">. </w:t>
      </w:r>
      <w:r>
        <w:rPr>
          <w:sz w:val="24"/>
          <w:szCs w:val="24"/>
        </w:rPr>
        <w:t>For patienter, der</w:t>
      </w:r>
      <w:r>
        <w:t xml:space="preserve"> allerede er i </w:t>
      </w:r>
      <w:proofErr w:type="spellStart"/>
      <w:r>
        <w:t>SCIg</w:t>
      </w:r>
      <w:proofErr w:type="spellEnd"/>
      <w:r>
        <w:t xml:space="preserve">-behandling, og skifter til </w:t>
      </w:r>
      <w:proofErr w:type="spellStart"/>
      <w:r>
        <w:t>Cutaquig</w:t>
      </w:r>
      <w:proofErr w:type="spellEnd"/>
      <w:r>
        <w:t>, anbefales det at bruge tidligere anvendte administrationshastigheder til de indledende infusioner. Ved efterfølgende infusioner,</w:t>
      </w:r>
      <w:r w:rsidRPr="00E81267">
        <w:rPr>
          <w:sz w:val="24"/>
          <w:szCs w:val="24"/>
        </w:rPr>
        <w:t xml:space="preserve"> </w:t>
      </w:r>
      <w:r>
        <w:rPr>
          <w:sz w:val="24"/>
          <w:szCs w:val="24"/>
        </w:rPr>
        <w:t>h</w:t>
      </w:r>
      <w:r w:rsidRPr="00E81267">
        <w:rPr>
          <w:sz w:val="24"/>
          <w:szCs w:val="24"/>
        </w:rPr>
        <w:t xml:space="preserve">vis </w:t>
      </w:r>
      <w:r w:rsidRPr="00E81267">
        <w:rPr>
          <w:sz w:val="24"/>
          <w:szCs w:val="24"/>
        </w:rPr>
        <w:lastRenderedPageBreak/>
        <w:t xml:space="preserve">infusionerne tolereres godt (se pkt. 4.4), kan infusionshastigheden gradvist øges </w:t>
      </w:r>
      <w:r>
        <w:t>med ca. 10 ml/time/sted hver 2.</w:t>
      </w:r>
      <w:r>
        <w:noBreakHyphen/>
        <w:t>4. uge hos voksne (≥ 40 kg) og op til 10 ml/time/sted hver 4. uge for pædiatriske patienter (&lt; 40 kg) (se pkt. 5.1)</w:t>
      </w:r>
      <w:r w:rsidRPr="00E81267">
        <w:rPr>
          <w:sz w:val="24"/>
          <w:szCs w:val="24"/>
        </w:rPr>
        <w:t>.</w:t>
      </w:r>
    </w:p>
    <w:p w:rsidR="00F2329D" w:rsidRDefault="00F2329D" w:rsidP="00F2329D">
      <w:pPr>
        <w:tabs>
          <w:tab w:val="left" w:pos="851"/>
        </w:tabs>
        <w:ind w:left="851"/>
        <w:rPr>
          <w:sz w:val="24"/>
          <w:szCs w:val="24"/>
        </w:rPr>
      </w:pPr>
    </w:p>
    <w:p w:rsidR="00F2329D" w:rsidRDefault="00F2329D" w:rsidP="00F2329D">
      <w:pPr>
        <w:tabs>
          <w:tab w:val="left" w:pos="851"/>
        </w:tabs>
        <w:ind w:left="851"/>
      </w:pPr>
      <w:r>
        <w:t>Hvis patienten derefter tåler de indledende infusioner ved fuld dosis pr. sted og maksimal hastighed, kan en stigning i infusionshastigheden for efterfølgende infusioner overvejes, indtil der nås en maksimal flowhastighed på 67,5 ml/time/sted for voksne og 25 ml/time/sted for pædiatriske patienter (se pkt. 5.1).</w:t>
      </w:r>
    </w:p>
    <w:p w:rsidR="00F2329D" w:rsidRDefault="00F2329D" w:rsidP="00F2329D">
      <w:pPr>
        <w:tabs>
          <w:tab w:val="left" w:pos="851"/>
        </w:tabs>
        <w:ind w:left="851"/>
        <w:rPr>
          <w:sz w:val="24"/>
          <w:szCs w:val="24"/>
        </w:rPr>
      </w:pPr>
    </w:p>
    <w:p w:rsidR="00F2329D" w:rsidRPr="00E81267" w:rsidRDefault="00F2329D" w:rsidP="00F2329D">
      <w:pPr>
        <w:tabs>
          <w:tab w:val="left" w:pos="851"/>
        </w:tabs>
        <w:ind w:left="851"/>
        <w:rPr>
          <w:sz w:val="24"/>
          <w:szCs w:val="24"/>
        </w:rPr>
      </w:pPr>
      <w:r w:rsidRPr="00E81267">
        <w:rPr>
          <w:sz w:val="24"/>
          <w:szCs w:val="24"/>
        </w:rPr>
        <w:t>Mere end én infusionsanordning kan anvendes samtidigt.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Infusionsvolumen pr. sted</w:t>
      </w:r>
    </w:p>
    <w:p w:rsidR="007926A2" w:rsidRPr="00E81267" w:rsidRDefault="007926A2" w:rsidP="007926A2">
      <w:pPr>
        <w:tabs>
          <w:tab w:val="left" w:pos="851"/>
        </w:tabs>
        <w:ind w:left="851"/>
        <w:rPr>
          <w:sz w:val="24"/>
          <w:szCs w:val="24"/>
        </w:rPr>
      </w:pPr>
      <w:r w:rsidRPr="00E81267">
        <w:rPr>
          <w:sz w:val="24"/>
          <w:szCs w:val="24"/>
        </w:rPr>
        <w:t xml:space="preserve">Mængden af </w:t>
      </w:r>
      <w:proofErr w:type="spellStart"/>
      <w:r w:rsidRPr="00E81267">
        <w:rPr>
          <w:sz w:val="24"/>
          <w:szCs w:val="24"/>
        </w:rPr>
        <w:t>infunderet</w:t>
      </w:r>
      <w:proofErr w:type="spellEnd"/>
      <w:r w:rsidRPr="00E81267">
        <w:rPr>
          <w:sz w:val="24"/>
          <w:szCs w:val="24"/>
        </w:rPr>
        <w:t xml:space="preserve"> lægemiddel på hvert sted varierer. Hos spædbørn og børn kan infusionsstedet skiftes for hver 5-15 ml. Hos voksne kan doser over 30 ml deles efter patientens præference. Der er ingen begrænsning i antallet af infusionssteder. Der bør være en afstand på minimum 5 cm mellem infusionsstederne.</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4.3</w:t>
      </w:r>
      <w:r w:rsidRPr="00E81267">
        <w:rPr>
          <w:b/>
          <w:sz w:val="24"/>
          <w:szCs w:val="24"/>
        </w:rPr>
        <w:tab/>
        <w:t>Kontraindikationer</w:t>
      </w:r>
    </w:p>
    <w:p w:rsidR="007926A2" w:rsidRPr="00E81267" w:rsidRDefault="007926A2" w:rsidP="007926A2">
      <w:pPr>
        <w:tabs>
          <w:tab w:val="left" w:pos="851"/>
        </w:tabs>
        <w:ind w:left="851"/>
        <w:rPr>
          <w:sz w:val="24"/>
          <w:szCs w:val="24"/>
          <w:lang w:eastAsia="da-DK"/>
        </w:rPr>
      </w:pPr>
      <w:r w:rsidRPr="00E81267">
        <w:rPr>
          <w:sz w:val="24"/>
          <w:szCs w:val="24"/>
        </w:rPr>
        <w:t>Overfølsomhed over for det aktive stof eller over for et eller flere af hjælpestofferne anført i pkt. 6.1.</w:t>
      </w:r>
    </w:p>
    <w:p w:rsidR="007926A2" w:rsidRPr="00E81267" w:rsidRDefault="007926A2" w:rsidP="007926A2">
      <w:pPr>
        <w:tabs>
          <w:tab w:val="left" w:pos="851"/>
        </w:tabs>
        <w:ind w:left="851"/>
        <w:rPr>
          <w:sz w:val="24"/>
          <w:szCs w:val="24"/>
        </w:rPr>
      </w:pPr>
      <w:proofErr w:type="spellStart"/>
      <w:r w:rsidRPr="00E81267">
        <w:rPr>
          <w:sz w:val="24"/>
          <w:szCs w:val="24"/>
        </w:rPr>
        <w:t>Cutaquig</w:t>
      </w:r>
      <w:proofErr w:type="spellEnd"/>
      <w:r w:rsidRPr="00E81267">
        <w:rPr>
          <w:sz w:val="24"/>
          <w:szCs w:val="24"/>
        </w:rPr>
        <w:t xml:space="preserve"> må ikke indgives </w:t>
      </w:r>
      <w:proofErr w:type="spellStart"/>
      <w:r w:rsidRPr="00E81267">
        <w:rPr>
          <w:sz w:val="24"/>
          <w:szCs w:val="24"/>
        </w:rPr>
        <w:t>intravaskulært</w:t>
      </w:r>
      <w:proofErr w:type="spellEnd"/>
      <w:r w:rsidRPr="00E81267">
        <w:rPr>
          <w:sz w:val="24"/>
          <w:szCs w:val="24"/>
        </w:rPr>
        <w: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 xml:space="preserve">Det må heller ikke indgives intramuskulært i tilfælde med alvorlig </w:t>
      </w:r>
      <w:proofErr w:type="spellStart"/>
      <w:r w:rsidRPr="00E81267">
        <w:rPr>
          <w:sz w:val="24"/>
          <w:szCs w:val="24"/>
        </w:rPr>
        <w:t>trombocytopeni</w:t>
      </w:r>
      <w:proofErr w:type="spellEnd"/>
      <w:r w:rsidRPr="00E81267">
        <w:rPr>
          <w:sz w:val="24"/>
          <w:szCs w:val="24"/>
        </w:rPr>
        <w:t xml:space="preserve"> og andre </w:t>
      </w:r>
      <w:proofErr w:type="spellStart"/>
      <w:r w:rsidRPr="00E81267">
        <w:rPr>
          <w:sz w:val="24"/>
          <w:szCs w:val="24"/>
        </w:rPr>
        <w:t>hæmostasesygdomme</w:t>
      </w:r>
      <w:proofErr w:type="spellEnd"/>
      <w:r w:rsidRPr="00E81267">
        <w:rPr>
          <w:sz w:val="24"/>
          <w:szCs w:val="24"/>
        </w:rPr>
        <w: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4.4</w:t>
      </w:r>
      <w:r w:rsidRPr="00E81267">
        <w:rPr>
          <w:b/>
          <w:sz w:val="24"/>
          <w:szCs w:val="24"/>
        </w:rPr>
        <w:tab/>
        <w:t>Særlige advarsler og forsigtighedsregler vedrørende brugen</w:t>
      </w:r>
    </w:p>
    <w:p w:rsidR="007926A2" w:rsidRPr="00E81267" w:rsidRDefault="007926A2" w:rsidP="007926A2">
      <w:pPr>
        <w:tabs>
          <w:tab w:val="left" w:pos="851"/>
        </w:tabs>
        <w:ind w:left="851"/>
        <w:rPr>
          <w:sz w:val="24"/>
          <w:szCs w:val="24"/>
          <w:lang w:eastAsia="da-DK"/>
        </w:rPr>
      </w:pPr>
      <w:r w:rsidRPr="00E81267">
        <w:rPr>
          <w:sz w:val="24"/>
          <w:szCs w:val="24"/>
        </w:rPr>
        <w:t xml:space="preserve">Det anbefales kraftigt at notere produktets navn og batchnummer hver gang </w:t>
      </w:r>
      <w:proofErr w:type="spellStart"/>
      <w:r w:rsidRPr="00E81267">
        <w:rPr>
          <w:sz w:val="24"/>
          <w:szCs w:val="24"/>
        </w:rPr>
        <w:t>Cutaquig</w:t>
      </w:r>
      <w:proofErr w:type="spellEnd"/>
      <w:r w:rsidRPr="00E81267">
        <w:rPr>
          <w:sz w:val="24"/>
          <w:szCs w:val="24"/>
        </w:rPr>
        <w:t xml:space="preserve"> administreres til en patient for at sikre sporbarheden mellem patienten og produktets batch.</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 xml:space="preserve">Dette lægemiddel indeholder maksimalt 90 mg maltose pr. ml som hjælpestof. Interferensen af maltose med </w:t>
      </w:r>
      <w:proofErr w:type="spellStart"/>
      <w:r w:rsidRPr="00E81267">
        <w:rPr>
          <w:sz w:val="24"/>
          <w:szCs w:val="24"/>
        </w:rPr>
        <w:t>blodglucose</w:t>
      </w:r>
      <w:proofErr w:type="spellEnd"/>
      <w:r w:rsidRPr="00E81267">
        <w:rPr>
          <w:sz w:val="24"/>
          <w:szCs w:val="24"/>
        </w:rPr>
        <w:t xml:space="preserve">-analyser kan medføre falsk forhøjede </w:t>
      </w:r>
      <w:proofErr w:type="spellStart"/>
      <w:r w:rsidRPr="00E81267">
        <w:rPr>
          <w:sz w:val="24"/>
          <w:szCs w:val="24"/>
        </w:rPr>
        <w:t>glucosemålinger</w:t>
      </w:r>
      <w:proofErr w:type="spellEnd"/>
      <w:r w:rsidRPr="00E81267">
        <w:rPr>
          <w:sz w:val="24"/>
          <w:szCs w:val="24"/>
        </w:rPr>
        <w:t xml:space="preserve">, der kan føre til unødvendig administration af insulin resulterende i livstruende hypoglykæmi og død. Ligeledes kan tilfælde af egentlig hypoglykæmi forblive ubehandlede hvis det hypoglykæmiske stadie er maskeret af falsk forhøjede </w:t>
      </w:r>
      <w:proofErr w:type="spellStart"/>
      <w:r w:rsidRPr="00E81267">
        <w:rPr>
          <w:sz w:val="24"/>
          <w:szCs w:val="24"/>
        </w:rPr>
        <w:t>glucosemålinger</w:t>
      </w:r>
      <w:proofErr w:type="spellEnd"/>
      <w:r w:rsidRPr="00E81267">
        <w:rPr>
          <w:sz w:val="24"/>
          <w:szCs w:val="24"/>
        </w:rPr>
        <w:t xml:space="preserve"> (se pkt. 4.5). For akut nyresvigt, se nedenfor.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proofErr w:type="spellStart"/>
      <w:r w:rsidRPr="00E81267">
        <w:rPr>
          <w:sz w:val="24"/>
          <w:szCs w:val="24"/>
        </w:rPr>
        <w:t>Cutaquig</w:t>
      </w:r>
      <w:proofErr w:type="spellEnd"/>
      <w:r w:rsidRPr="00E81267">
        <w:rPr>
          <w:sz w:val="24"/>
          <w:szCs w:val="24"/>
        </w:rPr>
        <w:t xml:space="preserve"> er kun til subkutan anvendelse. Hvis </w:t>
      </w:r>
      <w:proofErr w:type="spellStart"/>
      <w:r w:rsidRPr="00E81267">
        <w:rPr>
          <w:sz w:val="24"/>
          <w:szCs w:val="24"/>
        </w:rPr>
        <w:t>Cutaquig</w:t>
      </w:r>
      <w:proofErr w:type="spellEnd"/>
      <w:r w:rsidRPr="00E81267">
        <w:rPr>
          <w:sz w:val="24"/>
          <w:szCs w:val="24"/>
        </w:rPr>
        <w:t xml:space="preserve"> ved et uheld indgives i et blodkar, kan patienten udvikle en </w:t>
      </w:r>
      <w:proofErr w:type="spellStart"/>
      <w:r w:rsidRPr="00E81267">
        <w:rPr>
          <w:sz w:val="24"/>
          <w:szCs w:val="24"/>
        </w:rPr>
        <w:t>shocktilstand</w:t>
      </w:r>
      <w:proofErr w:type="spellEnd"/>
      <w:r w:rsidRPr="00E81267">
        <w:rPr>
          <w:sz w:val="24"/>
          <w:szCs w:val="24"/>
        </w:rPr>
        <w: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Den anbefalede infusionshastighed angivet under pkt. 4.2 skal nøje overholdes. Patienter skal monitoreres tæt og observeres omhyggeligt for ethvert symptom gennem hele infusionsperioden.</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 xml:space="preserve">Visse bivirkninger kan forekomme hyppigere hos patienter som får humant normalt </w:t>
      </w:r>
      <w:proofErr w:type="spellStart"/>
      <w:r w:rsidRPr="00E81267">
        <w:rPr>
          <w:sz w:val="24"/>
          <w:szCs w:val="24"/>
        </w:rPr>
        <w:t>immunglobulin</w:t>
      </w:r>
      <w:proofErr w:type="spellEnd"/>
      <w:r w:rsidRPr="00E81267">
        <w:rPr>
          <w:sz w:val="24"/>
          <w:szCs w:val="24"/>
        </w:rPr>
        <w:t xml:space="preserve"> for første gang eller i sjældne tilfælde, når humant normalt </w:t>
      </w:r>
      <w:proofErr w:type="spellStart"/>
      <w:r w:rsidRPr="00E81267">
        <w:rPr>
          <w:sz w:val="24"/>
          <w:szCs w:val="24"/>
        </w:rPr>
        <w:t>immunglobulin</w:t>
      </w:r>
      <w:r>
        <w:rPr>
          <w:sz w:val="24"/>
          <w:szCs w:val="24"/>
        </w:rPr>
        <w:softHyphen/>
      </w:r>
      <w:r w:rsidRPr="00E81267">
        <w:rPr>
          <w:sz w:val="24"/>
          <w:szCs w:val="24"/>
        </w:rPr>
        <w:t>produktet</w:t>
      </w:r>
      <w:proofErr w:type="spellEnd"/>
      <w:r w:rsidRPr="00E81267">
        <w:rPr>
          <w:sz w:val="24"/>
          <w:szCs w:val="24"/>
        </w:rPr>
        <w:t xml:space="preserve"> skiftes, eller hvis der har været et langt interval siden den foregående infusion.</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Potentielle komplikationer kan ofte undgås ved, at:</w:t>
      </w:r>
    </w:p>
    <w:p w:rsidR="007926A2" w:rsidRPr="00E81267" w:rsidRDefault="007926A2" w:rsidP="007926A2">
      <w:pPr>
        <w:numPr>
          <w:ilvl w:val="0"/>
          <w:numId w:val="7"/>
        </w:numPr>
        <w:tabs>
          <w:tab w:val="left" w:pos="851"/>
        </w:tabs>
        <w:ind w:left="1276" w:hanging="425"/>
        <w:rPr>
          <w:sz w:val="24"/>
          <w:szCs w:val="24"/>
        </w:rPr>
      </w:pPr>
      <w:r w:rsidRPr="00E81267">
        <w:rPr>
          <w:sz w:val="24"/>
          <w:szCs w:val="24"/>
        </w:rPr>
        <w:t>lægemidlet i starten injiceres langsomt (se pkt. 4.2)</w:t>
      </w:r>
    </w:p>
    <w:p w:rsidR="007926A2" w:rsidRPr="00E81267" w:rsidRDefault="007926A2" w:rsidP="007926A2">
      <w:pPr>
        <w:numPr>
          <w:ilvl w:val="0"/>
          <w:numId w:val="7"/>
        </w:numPr>
        <w:tabs>
          <w:tab w:val="left" w:pos="851"/>
        </w:tabs>
        <w:ind w:left="1276" w:hanging="425"/>
        <w:rPr>
          <w:sz w:val="24"/>
          <w:szCs w:val="24"/>
        </w:rPr>
      </w:pPr>
      <w:r w:rsidRPr="00E81267">
        <w:rPr>
          <w:sz w:val="24"/>
          <w:szCs w:val="24"/>
        </w:rPr>
        <w:t xml:space="preserve">sikre, at patienter omhyggeligt monitoreres for ethvert symptom i hele infusionsperioden. Især patienter der ikke tidligere er behandlet med normalt </w:t>
      </w:r>
      <w:proofErr w:type="spellStart"/>
      <w:r w:rsidRPr="00E81267">
        <w:rPr>
          <w:sz w:val="24"/>
          <w:szCs w:val="24"/>
        </w:rPr>
        <w:lastRenderedPageBreak/>
        <w:t>immunglobulin</w:t>
      </w:r>
      <w:proofErr w:type="spellEnd"/>
      <w:r w:rsidRPr="00E81267">
        <w:rPr>
          <w:sz w:val="24"/>
          <w:szCs w:val="24"/>
        </w:rPr>
        <w:t xml:space="preserve">, patienter der er skiftet fra et alternativt </w:t>
      </w:r>
      <w:proofErr w:type="spellStart"/>
      <w:r w:rsidRPr="00E81267">
        <w:rPr>
          <w:sz w:val="24"/>
          <w:szCs w:val="24"/>
        </w:rPr>
        <w:t>immunglobulinprodukt</w:t>
      </w:r>
      <w:proofErr w:type="spellEnd"/>
      <w:r w:rsidRPr="00E81267">
        <w:rPr>
          <w:sz w:val="24"/>
          <w:szCs w:val="24"/>
        </w:rPr>
        <w:t xml:space="preserve"> eller når der er gået lang tid siden den foregående infusion, bør der monitoreres under den første infusion og i den første time efter den første infusion for at detektere potentielle bivirkninger.</w:t>
      </w:r>
    </w:p>
    <w:p w:rsidR="007926A2" w:rsidRPr="00E81267" w:rsidRDefault="007926A2" w:rsidP="007926A2">
      <w:pPr>
        <w:tabs>
          <w:tab w:val="left" w:pos="851"/>
        </w:tabs>
        <w:ind w:left="851"/>
        <w:rPr>
          <w:sz w:val="24"/>
          <w:szCs w:val="24"/>
        </w:rPr>
      </w:pPr>
      <w:r w:rsidRPr="00E81267">
        <w:rPr>
          <w:sz w:val="24"/>
          <w:szCs w:val="24"/>
        </w:rPr>
        <w:t>Alle andre patienter bør observeres i mindst 20 minutter efter administration.</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I tilfælde af bivirkninger skal enten infusionshastigheden nedsættes eller infusionen standses. Mistanke om allergiske eller anafylaktiske reaktioner kræver at injektionen afbrydes omgående. Den påkrævede behandling afhænger af bivirkningens art og sværhedsgrad.</w:t>
      </w:r>
    </w:p>
    <w:p w:rsidR="007926A2" w:rsidRPr="00E81267" w:rsidRDefault="007926A2" w:rsidP="007926A2">
      <w:pPr>
        <w:tabs>
          <w:tab w:val="left" w:pos="851"/>
        </w:tabs>
        <w:ind w:left="851"/>
        <w:rPr>
          <w:sz w:val="24"/>
          <w:szCs w:val="24"/>
        </w:rPr>
      </w:pPr>
      <w:r w:rsidRPr="00E81267">
        <w:rPr>
          <w:sz w:val="24"/>
          <w:szCs w:val="24"/>
        </w:rPr>
        <w:t xml:space="preserve">I tilfælde af </w:t>
      </w:r>
      <w:proofErr w:type="spellStart"/>
      <w:r w:rsidRPr="00E81267">
        <w:rPr>
          <w:sz w:val="24"/>
          <w:szCs w:val="24"/>
        </w:rPr>
        <w:t>shock</w:t>
      </w:r>
      <w:proofErr w:type="spellEnd"/>
      <w:r w:rsidRPr="00E81267">
        <w:rPr>
          <w:sz w:val="24"/>
          <w:szCs w:val="24"/>
        </w:rPr>
        <w:t xml:space="preserve"> skal medicinsk standardbehandling af </w:t>
      </w:r>
      <w:proofErr w:type="spellStart"/>
      <w:r w:rsidRPr="00E81267">
        <w:rPr>
          <w:sz w:val="24"/>
          <w:szCs w:val="24"/>
        </w:rPr>
        <w:t>shock</w:t>
      </w:r>
      <w:proofErr w:type="spellEnd"/>
      <w:r w:rsidRPr="00E81267">
        <w:rPr>
          <w:sz w:val="24"/>
          <w:szCs w:val="24"/>
        </w:rPr>
        <w:t xml:space="preserve"> iværksættes.</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Overfølsomhed</w:t>
      </w:r>
    </w:p>
    <w:p w:rsidR="007926A2" w:rsidRPr="00E81267" w:rsidRDefault="007926A2" w:rsidP="007926A2">
      <w:pPr>
        <w:tabs>
          <w:tab w:val="left" w:pos="0"/>
          <w:tab w:val="left" w:pos="709"/>
        </w:tabs>
        <w:ind w:left="851"/>
        <w:rPr>
          <w:spacing w:val="-3"/>
          <w:sz w:val="24"/>
          <w:szCs w:val="24"/>
        </w:rPr>
      </w:pPr>
      <w:r w:rsidRPr="00E81267">
        <w:rPr>
          <w:sz w:val="24"/>
          <w:szCs w:val="24"/>
        </w:rPr>
        <w:t xml:space="preserve">Ægte allergiske reaktioner er sjældne. De kan især forekomme hos patienter med </w:t>
      </w:r>
      <w:proofErr w:type="spellStart"/>
      <w:r w:rsidRPr="00E81267">
        <w:rPr>
          <w:sz w:val="24"/>
          <w:szCs w:val="24"/>
        </w:rPr>
        <w:t>anti</w:t>
      </w:r>
      <w:proofErr w:type="spellEnd"/>
      <w:r w:rsidRPr="00E81267">
        <w:rPr>
          <w:sz w:val="24"/>
          <w:szCs w:val="24"/>
        </w:rPr>
        <w:t>-</w:t>
      </w:r>
      <w:proofErr w:type="spellStart"/>
      <w:r w:rsidRPr="00E81267">
        <w:rPr>
          <w:sz w:val="24"/>
          <w:szCs w:val="24"/>
        </w:rPr>
        <w:t>IgA</w:t>
      </w:r>
      <w:proofErr w:type="spellEnd"/>
      <w:r w:rsidRPr="00E81267">
        <w:rPr>
          <w:sz w:val="24"/>
          <w:szCs w:val="24"/>
        </w:rPr>
        <w:t>-antistoffer, som skal behandles med særlig forsigtighed.</w:t>
      </w:r>
      <w:r w:rsidRPr="00E81267">
        <w:rPr>
          <w:noProof/>
          <w:spacing w:val="-3"/>
          <w:sz w:val="24"/>
          <w:szCs w:val="24"/>
        </w:rPr>
        <w:t xml:space="preserve"> Patienter med anti-IgA-antistoffer, hvor behandling med subkutane IgG-præparater er den eneste mulighed, må kun behandles med Cutaquig under tæt medicinsk supervision.</w:t>
      </w:r>
    </w:p>
    <w:p w:rsidR="007926A2" w:rsidRPr="00E81267" w:rsidRDefault="007926A2" w:rsidP="007926A2">
      <w:pPr>
        <w:tabs>
          <w:tab w:val="left" w:pos="851"/>
        </w:tabs>
        <w:ind w:left="851"/>
        <w:rPr>
          <w:sz w:val="24"/>
          <w:szCs w:val="24"/>
        </w:rPr>
      </w:pPr>
      <w:r w:rsidRPr="00E81267">
        <w:rPr>
          <w:sz w:val="24"/>
          <w:szCs w:val="24"/>
        </w:rPr>
        <w:t xml:space="preserve">Humant normalt </w:t>
      </w:r>
      <w:proofErr w:type="spellStart"/>
      <w:r w:rsidRPr="00E81267">
        <w:rPr>
          <w:sz w:val="24"/>
          <w:szCs w:val="24"/>
        </w:rPr>
        <w:t>immunglobulin</w:t>
      </w:r>
      <w:proofErr w:type="spellEnd"/>
      <w:r w:rsidRPr="00E81267">
        <w:rPr>
          <w:sz w:val="24"/>
          <w:szCs w:val="24"/>
        </w:rPr>
        <w:t xml:space="preserve"> kan i sjældne tilfælde forårsage blodtryksfald med </w:t>
      </w:r>
      <w:proofErr w:type="spellStart"/>
      <w:r w:rsidRPr="00E81267">
        <w:rPr>
          <w:sz w:val="24"/>
          <w:szCs w:val="24"/>
        </w:rPr>
        <w:t>anafylaktisk</w:t>
      </w:r>
      <w:proofErr w:type="spellEnd"/>
      <w:r w:rsidRPr="00E81267">
        <w:rPr>
          <w:sz w:val="24"/>
          <w:szCs w:val="24"/>
        </w:rPr>
        <w:t xml:space="preserve"> reaktion til følge selv hos patienter, som tidligere</w:t>
      </w:r>
      <w:r>
        <w:rPr>
          <w:sz w:val="24"/>
          <w:szCs w:val="24"/>
        </w:rPr>
        <w:t xml:space="preserve"> </w:t>
      </w:r>
      <w:r w:rsidRPr="00E81267">
        <w:rPr>
          <w:sz w:val="24"/>
          <w:szCs w:val="24"/>
        </w:rPr>
        <w:t xml:space="preserve">har tålt behandling med humant normalt </w:t>
      </w:r>
      <w:proofErr w:type="spellStart"/>
      <w:r w:rsidRPr="00E81267">
        <w:rPr>
          <w:sz w:val="24"/>
          <w:szCs w:val="24"/>
        </w:rPr>
        <w:t>immunglobulin</w:t>
      </w:r>
      <w:proofErr w:type="spellEnd"/>
      <w:r w:rsidRPr="00E81267">
        <w:rPr>
          <w:sz w:val="24"/>
          <w:szCs w:val="24"/>
        </w:rPr>
        <w: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proofErr w:type="spellStart"/>
      <w:r w:rsidRPr="00E81267">
        <w:rPr>
          <w:sz w:val="24"/>
          <w:szCs w:val="24"/>
          <w:u w:val="single"/>
        </w:rPr>
        <w:t>Tromboemboli</w:t>
      </w:r>
      <w:proofErr w:type="spellEnd"/>
    </w:p>
    <w:p w:rsidR="007926A2" w:rsidRPr="00E81267" w:rsidRDefault="007926A2" w:rsidP="007926A2">
      <w:pPr>
        <w:tabs>
          <w:tab w:val="left" w:pos="851"/>
        </w:tabs>
        <w:ind w:left="851"/>
        <w:rPr>
          <w:sz w:val="24"/>
          <w:szCs w:val="24"/>
        </w:rPr>
      </w:pPr>
      <w:r w:rsidRPr="00E81267">
        <w:rPr>
          <w:sz w:val="24"/>
          <w:szCs w:val="24"/>
        </w:rPr>
        <w:t xml:space="preserve">Arterielle og venøse </w:t>
      </w:r>
      <w:proofErr w:type="spellStart"/>
      <w:r w:rsidRPr="00E81267">
        <w:rPr>
          <w:sz w:val="24"/>
          <w:szCs w:val="24"/>
        </w:rPr>
        <w:t>tromboemboliske</w:t>
      </w:r>
      <w:proofErr w:type="spellEnd"/>
      <w:r w:rsidRPr="00E81267">
        <w:rPr>
          <w:sz w:val="24"/>
          <w:szCs w:val="24"/>
        </w:rPr>
        <w:t xml:space="preserve"> hændelser herunder myokardieinfarkt, slagtilfælde, dyb venetrombose og </w:t>
      </w:r>
      <w:proofErr w:type="spellStart"/>
      <w:r w:rsidRPr="00E81267">
        <w:rPr>
          <w:sz w:val="24"/>
          <w:szCs w:val="24"/>
        </w:rPr>
        <w:t>lungeemboli</w:t>
      </w:r>
      <w:proofErr w:type="spellEnd"/>
      <w:r w:rsidRPr="00E81267">
        <w:rPr>
          <w:sz w:val="24"/>
          <w:szCs w:val="24"/>
        </w:rPr>
        <w:t xml:space="preserve"> er blevet forbundet med brugen af </w:t>
      </w:r>
      <w:proofErr w:type="spellStart"/>
      <w:r w:rsidRPr="00E81267">
        <w:rPr>
          <w:sz w:val="24"/>
          <w:szCs w:val="24"/>
        </w:rPr>
        <w:t>immunglobuliner</w:t>
      </w:r>
      <w:proofErr w:type="spellEnd"/>
      <w:r w:rsidRPr="00E81267">
        <w:rPr>
          <w:sz w:val="24"/>
          <w:szCs w:val="24"/>
        </w:rPr>
        <w:t xml:space="preserve">. Patienter skal være tilstrækkeligt hydreret før anvendelse af </w:t>
      </w:r>
      <w:proofErr w:type="spellStart"/>
      <w:r w:rsidRPr="00E81267">
        <w:rPr>
          <w:sz w:val="24"/>
          <w:szCs w:val="24"/>
        </w:rPr>
        <w:t>immunglobuliner</w:t>
      </w:r>
      <w:proofErr w:type="spellEnd"/>
      <w:r w:rsidRPr="00E81267">
        <w:rPr>
          <w:sz w:val="24"/>
          <w:szCs w:val="24"/>
        </w:rPr>
        <w:t xml:space="preserve">. Der skal udvises forsigtighed hos patienter med eksisterende risikofaktorer for </w:t>
      </w:r>
      <w:proofErr w:type="spellStart"/>
      <w:r w:rsidRPr="00E81267">
        <w:rPr>
          <w:sz w:val="24"/>
          <w:szCs w:val="24"/>
        </w:rPr>
        <w:t>trombotiske</w:t>
      </w:r>
      <w:proofErr w:type="spellEnd"/>
      <w:r w:rsidRPr="00E81267">
        <w:rPr>
          <w:sz w:val="24"/>
          <w:szCs w:val="24"/>
        </w:rPr>
        <w:t xml:space="preserve"> hændelser (såsom høj alder, hypertension, diabetes mellitus og forudgående </w:t>
      </w:r>
      <w:proofErr w:type="spellStart"/>
      <w:r w:rsidRPr="00E81267">
        <w:rPr>
          <w:sz w:val="24"/>
          <w:szCs w:val="24"/>
        </w:rPr>
        <w:t>vaskulær</w:t>
      </w:r>
      <w:proofErr w:type="spellEnd"/>
      <w:r w:rsidRPr="00E81267">
        <w:rPr>
          <w:sz w:val="24"/>
          <w:szCs w:val="24"/>
        </w:rPr>
        <w:t xml:space="preserve"> sygdom eller </w:t>
      </w:r>
      <w:proofErr w:type="spellStart"/>
      <w:r w:rsidRPr="00E81267">
        <w:rPr>
          <w:sz w:val="24"/>
          <w:szCs w:val="24"/>
        </w:rPr>
        <w:t>trombotiske</w:t>
      </w:r>
      <w:proofErr w:type="spellEnd"/>
      <w:r w:rsidRPr="00E81267">
        <w:rPr>
          <w:sz w:val="24"/>
          <w:szCs w:val="24"/>
        </w:rPr>
        <w:t xml:space="preserve"> hændelser, patienter med erhvervede eller nedarvede </w:t>
      </w:r>
      <w:proofErr w:type="spellStart"/>
      <w:r w:rsidRPr="00E81267">
        <w:rPr>
          <w:sz w:val="24"/>
          <w:szCs w:val="24"/>
        </w:rPr>
        <w:t>trombofile</w:t>
      </w:r>
      <w:proofErr w:type="spellEnd"/>
      <w:r w:rsidRPr="00E81267">
        <w:rPr>
          <w:sz w:val="24"/>
          <w:szCs w:val="24"/>
        </w:rPr>
        <w:t xml:space="preserve"> lidelser, patienter med langvarig immobilisering, patienter med alvorlig </w:t>
      </w:r>
      <w:proofErr w:type="spellStart"/>
      <w:r w:rsidRPr="00E81267">
        <w:rPr>
          <w:sz w:val="24"/>
          <w:szCs w:val="24"/>
        </w:rPr>
        <w:t>hypovolæmi</w:t>
      </w:r>
      <w:proofErr w:type="spellEnd"/>
      <w:r w:rsidRPr="00E81267">
        <w:rPr>
          <w:sz w:val="24"/>
          <w:szCs w:val="24"/>
        </w:rPr>
        <w:t xml:space="preserve"> og patienter med sygdomme, der øger blodviskositeten).</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 xml:space="preserve">Patienterne skal informeres om de første symptomer på </w:t>
      </w:r>
      <w:proofErr w:type="spellStart"/>
      <w:r w:rsidRPr="00E81267">
        <w:rPr>
          <w:sz w:val="24"/>
          <w:szCs w:val="24"/>
        </w:rPr>
        <w:t>tromboemboliske</w:t>
      </w:r>
      <w:proofErr w:type="spellEnd"/>
      <w:r w:rsidRPr="00E81267">
        <w:rPr>
          <w:sz w:val="24"/>
          <w:szCs w:val="24"/>
        </w:rPr>
        <w:t xml:space="preserve"> hændelser, herunder </w:t>
      </w:r>
      <w:proofErr w:type="spellStart"/>
      <w:r w:rsidRPr="00E81267">
        <w:rPr>
          <w:sz w:val="24"/>
          <w:szCs w:val="24"/>
        </w:rPr>
        <w:t>stakåndethed</w:t>
      </w:r>
      <w:proofErr w:type="spellEnd"/>
      <w:r w:rsidRPr="00E81267">
        <w:rPr>
          <w:sz w:val="24"/>
          <w:szCs w:val="24"/>
        </w:rPr>
        <w:t xml:space="preserve">, smerter eller hævelse i en ekstremitet, </w:t>
      </w:r>
      <w:proofErr w:type="spellStart"/>
      <w:r w:rsidRPr="00E81267">
        <w:rPr>
          <w:sz w:val="24"/>
          <w:szCs w:val="24"/>
        </w:rPr>
        <w:t>fokal</w:t>
      </w:r>
      <w:proofErr w:type="spellEnd"/>
      <w:r w:rsidRPr="00E81267">
        <w:rPr>
          <w:sz w:val="24"/>
          <w:szCs w:val="24"/>
        </w:rPr>
        <w:t xml:space="preserve"> neurologisk deficit samt brystsmerter og skal informeres om øjeblikkeligt at kontakte lægen, når symptomerne opstår.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Aseptisk meningitissyndrom (AMS)</w:t>
      </w:r>
    </w:p>
    <w:p w:rsidR="007926A2" w:rsidRPr="00E81267" w:rsidRDefault="007926A2" w:rsidP="007926A2">
      <w:pPr>
        <w:tabs>
          <w:tab w:val="left" w:pos="851"/>
        </w:tabs>
        <w:ind w:left="851"/>
        <w:rPr>
          <w:sz w:val="24"/>
          <w:szCs w:val="24"/>
        </w:rPr>
      </w:pPr>
      <w:r w:rsidRPr="00E81267">
        <w:rPr>
          <w:sz w:val="24"/>
          <w:szCs w:val="24"/>
        </w:rPr>
        <w:t xml:space="preserve">Der er blevet indberettet forekomst af aseptisk meningitissyndrom i forbindelse med subkutan </w:t>
      </w:r>
      <w:proofErr w:type="spellStart"/>
      <w:r w:rsidRPr="00E81267">
        <w:rPr>
          <w:sz w:val="24"/>
          <w:szCs w:val="24"/>
        </w:rPr>
        <w:t>immunglobulinbehandling</w:t>
      </w:r>
      <w:proofErr w:type="spellEnd"/>
      <w:r w:rsidRPr="00E81267">
        <w:rPr>
          <w:sz w:val="24"/>
          <w:szCs w:val="24"/>
        </w:rPr>
        <w:t xml:space="preserve">. Symptomerne begynder normalt inden for adskillige timer til 2 dage efter behandlingen. </w:t>
      </w:r>
      <w:proofErr w:type="spellStart"/>
      <w:r w:rsidRPr="00E81267">
        <w:rPr>
          <w:sz w:val="24"/>
          <w:szCs w:val="24"/>
        </w:rPr>
        <w:t>Seponering</w:t>
      </w:r>
      <w:proofErr w:type="spellEnd"/>
      <w:r w:rsidRPr="00E81267">
        <w:rPr>
          <w:sz w:val="24"/>
          <w:szCs w:val="24"/>
        </w:rPr>
        <w:t xml:space="preserve"> af </w:t>
      </w:r>
      <w:proofErr w:type="spellStart"/>
      <w:r w:rsidRPr="00E81267">
        <w:rPr>
          <w:sz w:val="24"/>
          <w:szCs w:val="24"/>
        </w:rPr>
        <w:t>immunglobulinbehandling</w:t>
      </w:r>
      <w:proofErr w:type="spellEnd"/>
      <w:r w:rsidRPr="00E81267">
        <w:rPr>
          <w:sz w:val="24"/>
          <w:szCs w:val="24"/>
        </w:rPr>
        <w:t xml:space="preserve"> kan resultere i remission af AMS i løbet af flere dage uden følgevirkninger.</w:t>
      </w:r>
    </w:p>
    <w:p w:rsidR="007926A2" w:rsidRPr="00E81267" w:rsidRDefault="007926A2" w:rsidP="007926A2">
      <w:pPr>
        <w:ind w:left="851"/>
        <w:rPr>
          <w:sz w:val="24"/>
          <w:szCs w:val="24"/>
        </w:rPr>
      </w:pPr>
    </w:p>
    <w:p w:rsidR="007926A2" w:rsidRPr="00E81267" w:rsidRDefault="007926A2" w:rsidP="007926A2">
      <w:pPr>
        <w:ind w:left="851"/>
        <w:rPr>
          <w:strike/>
          <w:sz w:val="24"/>
          <w:szCs w:val="24"/>
        </w:rPr>
      </w:pPr>
      <w:r w:rsidRPr="00E81267">
        <w:rPr>
          <w:sz w:val="24"/>
          <w:szCs w:val="24"/>
        </w:rPr>
        <w:t>Patienter skal informeres om de første symptomer, som indbefatter alvorlig hovedpine, nakkestivhed, døsighed, feber, lysskyhed, kvalme og opkastning.</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Nedsat nyrefunktion/nyresvigt</w:t>
      </w:r>
    </w:p>
    <w:p w:rsidR="007926A2" w:rsidRPr="00E81267" w:rsidRDefault="007926A2" w:rsidP="007926A2">
      <w:pPr>
        <w:tabs>
          <w:tab w:val="left" w:pos="851"/>
        </w:tabs>
        <w:ind w:left="851"/>
        <w:rPr>
          <w:sz w:val="24"/>
          <w:szCs w:val="24"/>
        </w:rPr>
      </w:pPr>
      <w:r w:rsidRPr="00E81267">
        <w:rPr>
          <w:sz w:val="24"/>
          <w:szCs w:val="24"/>
        </w:rPr>
        <w:t xml:space="preserve">Der er blevet indberettet alvorlige nyrebivirkninger hos patienter der modtager </w:t>
      </w:r>
      <w:proofErr w:type="spellStart"/>
      <w:r w:rsidRPr="00E81267">
        <w:rPr>
          <w:sz w:val="24"/>
          <w:szCs w:val="24"/>
        </w:rPr>
        <w:t>immunglobulinbehandling</w:t>
      </w:r>
      <w:proofErr w:type="spellEnd"/>
      <w:r w:rsidRPr="00E81267">
        <w:rPr>
          <w:sz w:val="24"/>
          <w:szCs w:val="24"/>
        </w:rPr>
        <w:t xml:space="preserve">, især for produkter der indeholder </w:t>
      </w:r>
      <w:proofErr w:type="spellStart"/>
      <w:r w:rsidRPr="00E81267">
        <w:rPr>
          <w:sz w:val="24"/>
          <w:szCs w:val="24"/>
        </w:rPr>
        <w:t>saccharose</w:t>
      </w:r>
      <w:proofErr w:type="spellEnd"/>
      <w:r w:rsidRPr="00E81267">
        <w:rPr>
          <w:sz w:val="24"/>
          <w:szCs w:val="24"/>
        </w:rPr>
        <w:t xml:space="preserve"> (</w:t>
      </w:r>
      <w:proofErr w:type="spellStart"/>
      <w:r w:rsidRPr="00E81267">
        <w:rPr>
          <w:sz w:val="24"/>
          <w:szCs w:val="24"/>
        </w:rPr>
        <w:t>Cutaquig</w:t>
      </w:r>
      <w:proofErr w:type="spellEnd"/>
      <w:r w:rsidRPr="00E81267">
        <w:rPr>
          <w:sz w:val="24"/>
          <w:szCs w:val="24"/>
        </w:rPr>
        <w:t xml:space="preserve"> indeholder ikke </w:t>
      </w:r>
      <w:proofErr w:type="spellStart"/>
      <w:r w:rsidRPr="00E81267">
        <w:rPr>
          <w:sz w:val="24"/>
          <w:szCs w:val="24"/>
        </w:rPr>
        <w:t>saccharose</w:t>
      </w:r>
      <w:proofErr w:type="spellEnd"/>
      <w:r w:rsidRPr="00E81267">
        <w:rPr>
          <w:sz w:val="24"/>
          <w:szCs w:val="24"/>
        </w:rPr>
        <w:t xml:space="preserve">). Bivirkningerne omfatter akut nyresvigt, akut </w:t>
      </w:r>
      <w:proofErr w:type="spellStart"/>
      <w:r w:rsidRPr="00E81267">
        <w:rPr>
          <w:sz w:val="24"/>
          <w:szCs w:val="24"/>
        </w:rPr>
        <w:t>tubulær</w:t>
      </w:r>
      <w:proofErr w:type="spellEnd"/>
      <w:r w:rsidRPr="00E81267">
        <w:rPr>
          <w:sz w:val="24"/>
          <w:szCs w:val="24"/>
        </w:rPr>
        <w:t xml:space="preserve"> nekrose, proksimal </w:t>
      </w:r>
      <w:proofErr w:type="spellStart"/>
      <w:r w:rsidRPr="00E81267">
        <w:rPr>
          <w:sz w:val="24"/>
          <w:szCs w:val="24"/>
        </w:rPr>
        <w:t>tubulær</w:t>
      </w:r>
      <w:proofErr w:type="spellEnd"/>
      <w:r w:rsidRPr="00E81267">
        <w:rPr>
          <w:sz w:val="24"/>
          <w:szCs w:val="24"/>
        </w:rPr>
        <w:t xml:space="preserve"> </w:t>
      </w:r>
      <w:proofErr w:type="spellStart"/>
      <w:r w:rsidRPr="00E81267">
        <w:rPr>
          <w:sz w:val="24"/>
          <w:szCs w:val="24"/>
        </w:rPr>
        <w:t>nefropati</w:t>
      </w:r>
      <w:proofErr w:type="spellEnd"/>
      <w:r w:rsidRPr="00E81267">
        <w:rPr>
          <w:sz w:val="24"/>
          <w:szCs w:val="24"/>
        </w:rPr>
        <w:t xml:space="preserve"> og osmotisk </w:t>
      </w:r>
      <w:proofErr w:type="spellStart"/>
      <w:r w:rsidRPr="00E81267">
        <w:rPr>
          <w:sz w:val="24"/>
          <w:szCs w:val="24"/>
        </w:rPr>
        <w:t>nefrose</w:t>
      </w:r>
      <w:proofErr w:type="spellEnd"/>
      <w:r w:rsidRPr="00E81267">
        <w:rPr>
          <w:sz w:val="24"/>
          <w:szCs w:val="24"/>
        </w:rPr>
        <w:t xml:space="preserve">. Faktorer der øger risikoen for nyrekomplikationer omfatter, men er ikke begrænset til, allerede eksisterende </w:t>
      </w:r>
      <w:r w:rsidRPr="00E81267">
        <w:rPr>
          <w:sz w:val="24"/>
          <w:szCs w:val="24"/>
        </w:rPr>
        <w:lastRenderedPageBreak/>
        <w:t xml:space="preserve">nyreinsufficiens, diabetes mellitus, </w:t>
      </w:r>
      <w:proofErr w:type="spellStart"/>
      <w:r w:rsidRPr="00E81267">
        <w:rPr>
          <w:sz w:val="24"/>
          <w:szCs w:val="24"/>
        </w:rPr>
        <w:t>hypovolæmi</w:t>
      </w:r>
      <w:proofErr w:type="spellEnd"/>
      <w:r w:rsidRPr="00E81267">
        <w:rPr>
          <w:sz w:val="24"/>
          <w:szCs w:val="24"/>
        </w:rPr>
        <w:t xml:space="preserve">, samtidig behandling med </w:t>
      </w:r>
      <w:proofErr w:type="spellStart"/>
      <w:r w:rsidRPr="00E81267">
        <w:rPr>
          <w:sz w:val="24"/>
          <w:szCs w:val="24"/>
        </w:rPr>
        <w:t>nefrotoksiske</w:t>
      </w:r>
      <w:proofErr w:type="spellEnd"/>
      <w:r w:rsidRPr="00E81267">
        <w:rPr>
          <w:sz w:val="24"/>
          <w:szCs w:val="24"/>
        </w:rPr>
        <w:t xml:space="preserve"> lægemidler, en alder på over 65, sepsis, </w:t>
      </w:r>
      <w:proofErr w:type="spellStart"/>
      <w:r w:rsidRPr="00E81267">
        <w:rPr>
          <w:sz w:val="24"/>
          <w:szCs w:val="24"/>
        </w:rPr>
        <w:t>hyperviskositet</w:t>
      </w:r>
      <w:proofErr w:type="spellEnd"/>
      <w:r w:rsidRPr="00E81267">
        <w:rPr>
          <w:sz w:val="24"/>
          <w:szCs w:val="24"/>
        </w:rPr>
        <w:t xml:space="preserve"> og </w:t>
      </w:r>
      <w:proofErr w:type="spellStart"/>
      <w:r w:rsidRPr="00E81267">
        <w:rPr>
          <w:sz w:val="24"/>
          <w:szCs w:val="24"/>
        </w:rPr>
        <w:t>paraproteinæmi</w:t>
      </w:r>
      <w:proofErr w:type="spellEnd"/>
      <w:r w:rsidRPr="00E81267">
        <w:rPr>
          <w:sz w:val="24"/>
          <w:szCs w:val="24"/>
        </w:rPr>
        <w:t>.</w:t>
      </w:r>
    </w:p>
    <w:p w:rsidR="007926A2" w:rsidRPr="00E81267" w:rsidRDefault="007926A2" w:rsidP="007926A2">
      <w:pPr>
        <w:tabs>
          <w:tab w:val="left" w:pos="851"/>
        </w:tabs>
        <w:ind w:left="851"/>
        <w:rPr>
          <w:sz w:val="24"/>
          <w:szCs w:val="24"/>
        </w:rPr>
      </w:pPr>
    </w:p>
    <w:p w:rsidR="0092649B" w:rsidRDefault="0092649B" w:rsidP="0092649B">
      <w:pPr>
        <w:tabs>
          <w:tab w:val="left" w:pos="851"/>
        </w:tabs>
        <w:ind w:left="851"/>
        <w:rPr>
          <w:sz w:val="24"/>
          <w:szCs w:val="24"/>
        </w:rPr>
      </w:pPr>
    </w:p>
    <w:p w:rsidR="0092649B" w:rsidRDefault="0092649B" w:rsidP="0092649B">
      <w:pPr>
        <w:autoSpaceDE w:val="0"/>
        <w:autoSpaceDN w:val="0"/>
        <w:adjustRightInd w:val="0"/>
        <w:ind w:left="851"/>
        <w:rPr>
          <w:color w:val="000000"/>
          <w:sz w:val="24"/>
          <w:szCs w:val="24"/>
          <w:u w:val="single"/>
        </w:rPr>
      </w:pPr>
      <w:proofErr w:type="spellStart"/>
      <w:r>
        <w:rPr>
          <w:color w:val="000000"/>
          <w:sz w:val="24"/>
          <w:szCs w:val="24"/>
          <w:u w:val="single"/>
        </w:rPr>
        <w:t>Hæmolyse</w:t>
      </w:r>
      <w:proofErr w:type="spellEnd"/>
    </w:p>
    <w:p w:rsidR="0092649B" w:rsidRDefault="0092649B" w:rsidP="0092649B">
      <w:pPr>
        <w:autoSpaceDE w:val="0"/>
        <w:autoSpaceDN w:val="0"/>
        <w:adjustRightInd w:val="0"/>
        <w:ind w:left="851"/>
        <w:rPr>
          <w:sz w:val="24"/>
          <w:szCs w:val="24"/>
        </w:rPr>
      </w:pPr>
      <w:proofErr w:type="spellStart"/>
      <w:r>
        <w:rPr>
          <w:sz w:val="24"/>
          <w:szCs w:val="24"/>
        </w:rPr>
        <w:t>IgG-pæparater</w:t>
      </w:r>
      <w:proofErr w:type="spellEnd"/>
      <w:r>
        <w:rPr>
          <w:sz w:val="24"/>
          <w:szCs w:val="24"/>
        </w:rPr>
        <w:t xml:space="preserve"> kan indeholde blodtype-antistoffer, som kan optræde som </w:t>
      </w:r>
      <w:proofErr w:type="spellStart"/>
      <w:r>
        <w:rPr>
          <w:sz w:val="24"/>
          <w:szCs w:val="24"/>
        </w:rPr>
        <w:t>hæmolysiner</w:t>
      </w:r>
      <w:proofErr w:type="spellEnd"/>
      <w:r>
        <w:rPr>
          <w:sz w:val="24"/>
          <w:szCs w:val="24"/>
        </w:rPr>
        <w:t xml:space="preserve"> og inducere in </w:t>
      </w:r>
      <w:proofErr w:type="spellStart"/>
      <w:r>
        <w:rPr>
          <w:sz w:val="24"/>
          <w:szCs w:val="24"/>
        </w:rPr>
        <w:t>vivo</w:t>
      </w:r>
      <w:proofErr w:type="spellEnd"/>
      <w:r>
        <w:rPr>
          <w:sz w:val="24"/>
          <w:szCs w:val="24"/>
        </w:rPr>
        <w:t xml:space="preserve"> coating af røde blodlegemer med </w:t>
      </w:r>
      <w:proofErr w:type="spellStart"/>
      <w:r>
        <w:rPr>
          <w:sz w:val="24"/>
          <w:szCs w:val="24"/>
        </w:rPr>
        <w:t>immunglobulin</w:t>
      </w:r>
      <w:proofErr w:type="spellEnd"/>
      <w:r>
        <w:rPr>
          <w:sz w:val="24"/>
          <w:szCs w:val="24"/>
        </w:rPr>
        <w:t xml:space="preserve">, hvilket fører til en positiv direkte </w:t>
      </w:r>
      <w:proofErr w:type="spellStart"/>
      <w:r>
        <w:rPr>
          <w:sz w:val="24"/>
          <w:szCs w:val="24"/>
        </w:rPr>
        <w:t>antiglobulin</w:t>
      </w:r>
      <w:proofErr w:type="spellEnd"/>
      <w:r>
        <w:rPr>
          <w:sz w:val="24"/>
          <w:szCs w:val="24"/>
        </w:rPr>
        <w:t xml:space="preserve"> (</w:t>
      </w:r>
      <w:proofErr w:type="spellStart"/>
      <w:r>
        <w:rPr>
          <w:sz w:val="24"/>
          <w:szCs w:val="24"/>
        </w:rPr>
        <w:t>Coombs</w:t>
      </w:r>
      <w:proofErr w:type="spellEnd"/>
      <w:r>
        <w:rPr>
          <w:sz w:val="24"/>
          <w:szCs w:val="24"/>
        </w:rPr>
        <w:t xml:space="preserve">) test og kan i sjældne tilfælde forårsage </w:t>
      </w:r>
      <w:proofErr w:type="spellStart"/>
      <w:r>
        <w:rPr>
          <w:sz w:val="24"/>
          <w:szCs w:val="24"/>
        </w:rPr>
        <w:t>hæmolyse</w:t>
      </w:r>
      <w:proofErr w:type="spellEnd"/>
      <w:r>
        <w:rPr>
          <w:sz w:val="24"/>
          <w:szCs w:val="24"/>
        </w:rPr>
        <w:t xml:space="preserve">. </w:t>
      </w:r>
    </w:p>
    <w:p w:rsidR="0092649B" w:rsidRDefault="0092649B" w:rsidP="0092649B">
      <w:pPr>
        <w:autoSpaceDE w:val="0"/>
        <w:autoSpaceDN w:val="0"/>
        <w:adjustRightInd w:val="0"/>
        <w:ind w:left="851"/>
        <w:rPr>
          <w:color w:val="000000"/>
          <w:sz w:val="24"/>
          <w:szCs w:val="24"/>
          <w:u w:val="single"/>
        </w:rPr>
      </w:pPr>
      <w:r>
        <w:rPr>
          <w:sz w:val="24"/>
          <w:szCs w:val="24"/>
        </w:rPr>
        <w:t xml:space="preserve">Modtagere af </w:t>
      </w:r>
      <w:proofErr w:type="spellStart"/>
      <w:r>
        <w:rPr>
          <w:sz w:val="24"/>
          <w:szCs w:val="24"/>
        </w:rPr>
        <w:t>immunglobulinpræparater</w:t>
      </w:r>
      <w:proofErr w:type="spellEnd"/>
      <w:r>
        <w:rPr>
          <w:sz w:val="24"/>
          <w:szCs w:val="24"/>
        </w:rPr>
        <w:t xml:space="preserve"> skal monitoreres for kliniske tegn og symptomer på </w:t>
      </w:r>
      <w:proofErr w:type="spellStart"/>
      <w:r>
        <w:rPr>
          <w:sz w:val="24"/>
          <w:szCs w:val="24"/>
        </w:rPr>
        <w:t>hæmolyse</w:t>
      </w:r>
      <w:proofErr w:type="spellEnd"/>
      <w:r>
        <w:rPr>
          <w:color w:val="000000"/>
          <w:sz w:val="24"/>
          <w:szCs w:val="24"/>
          <w:u w:val="single"/>
        </w:rPr>
        <w:t>.</w:t>
      </w:r>
    </w:p>
    <w:p w:rsidR="0092649B" w:rsidRDefault="0092649B" w:rsidP="0092649B">
      <w:pPr>
        <w:tabs>
          <w:tab w:val="left" w:pos="851"/>
        </w:tabs>
        <w:ind w:left="851"/>
        <w:rPr>
          <w:sz w:val="24"/>
          <w:szCs w:val="24"/>
        </w:rPr>
      </w:pPr>
    </w:p>
    <w:p w:rsidR="0092649B" w:rsidRDefault="0092649B" w:rsidP="0092649B">
      <w:pPr>
        <w:tabs>
          <w:tab w:val="left" w:pos="851"/>
        </w:tabs>
        <w:ind w:left="851"/>
        <w:rPr>
          <w:sz w:val="24"/>
          <w:szCs w:val="24"/>
          <w:u w:val="single"/>
        </w:rPr>
      </w:pPr>
      <w:r>
        <w:rPr>
          <w:sz w:val="24"/>
          <w:szCs w:val="24"/>
          <w:u w:val="single"/>
        </w:rPr>
        <w:t>Natriumindhold</w:t>
      </w:r>
    </w:p>
    <w:p w:rsidR="0092649B" w:rsidRDefault="0092649B" w:rsidP="0092649B">
      <w:pPr>
        <w:tabs>
          <w:tab w:val="left" w:pos="851"/>
        </w:tabs>
        <w:ind w:left="851"/>
        <w:rPr>
          <w:sz w:val="24"/>
          <w:szCs w:val="24"/>
        </w:rPr>
      </w:pPr>
      <w:r>
        <w:rPr>
          <w:sz w:val="24"/>
          <w:szCs w:val="24"/>
        </w:rPr>
        <w:t>Dette lægemiddel indeholder 33,1 mg natrium pr. hætteglas med 48 ml og 13,8 mg pr. hætteglas med 20 ml, svarende til hhv. 1,7 % og 0,7 % af den af WHO anbefalede maksimale daglige indtagelse af 2 g natrium for en voksen.</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Interferens med serologisk screening</w:t>
      </w:r>
    </w:p>
    <w:p w:rsidR="007926A2" w:rsidRPr="00E81267" w:rsidRDefault="007926A2" w:rsidP="007926A2">
      <w:pPr>
        <w:tabs>
          <w:tab w:val="left" w:pos="851"/>
        </w:tabs>
        <w:ind w:left="851"/>
        <w:rPr>
          <w:sz w:val="24"/>
          <w:szCs w:val="24"/>
        </w:rPr>
      </w:pPr>
      <w:r w:rsidRPr="00E81267">
        <w:rPr>
          <w:sz w:val="24"/>
          <w:szCs w:val="24"/>
        </w:rPr>
        <w:t xml:space="preserve">Efter injektion af </w:t>
      </w:r>
      <w:proofErr w:type="spellStart"/>
      <w:r w:rsidRPr="00E81267">
        <w:rPr>
          <w:sz w:val="24"/>
          <w:szCs w:val="24"/>
        </w:rPr>
        <w:t>immunglobulin</w:t>
      </w:r>
      <w:proofErr w:type="spellEnd"/>
      <w:r w:rsidRPr="00E81267">
        <w:rPr>
          <w:sz w:val="24"/>
          <w:szCs w:val="24"/>
        </w:rPr>
        <w:t xml:space="preserve"> kan den forbigående stigning af de forskellige passivt overførte antistoffer i patientens blod resultere i vildledende, positive resultater i serologisk screening.</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 xml:space="preserve">Passiv overførsel af antistoffer til </w:t>
      </w:r>
      <w:proofErr w:type="spellStart"/>
      <w:r w:rsidRPr="00E81267">
        <w:rPr>
          <w:sz w:val="24"/>
          <w:szCs w:val="24"/>
        </w:rPr>
        <w:t>erythrocyt</w:t>
      </w:r>
      <w:proofErr w:type="spellEnd"/>
      <w:r w:rsidRPr="00E81267">
        <w:rPr>
          <w:sz w:val="24"/>
          <w:szCs w:val="24"/>
        </w:rPr>
        <w:t xml:space="preserve">-antigener, f.eks. A, B, D, kan interferere med nogle serologiske screeninger for antistoffer over for røde blodlegemer, f.eks. den direkte </w:t>
      </w:r>
      <w:proofErr w:type="spellStart"/>
      <w:r w:rsidRPr="00E81267">
        <w:rPr>
          <w:sz w:val="24"/>
          <w:szCs w:val="24"/>
        </w:rPr>
        <w:t>antiglobulintest</w:t>
      </w:r>
      <w:proofErr w:type="spellEnd"/>
      <w:r w:rsidRPr="00E81267">
        <w:rPr>
          <w:sz w:val="24"/>
          <w:szCs w:val="24"/>
        </w:rPr>
        <w:t xml:space="preserve"> (DAT, direkte </w:t>
      </w:r>
      <w:proofErr w:type="spellStart"/>
      <w:r w:rsidRPr="00E81267">
        <w:rPr>
          <w:sz w:val="24"/>
          <w:szCs w:val="24"/>
        </w:rPr>
        <w:t>Coombs</w:t>
      </w:r>
      <w:proofErr w:type="spellEnd"/>
      <w:r w:rsidRPr="00E81267">
        <w:rPr>
          <w:sz w:val="24"/>
          <w:szCs w:val="24"/>
        </w:rPr>
        <w:t>’ test).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Overførsel af smitstoffer</w:t>
      </w:r>
    </w:p>
    <w:p w:rsidR="007926A2" w:rsidRPr="00E81267" w:rsidRDefault="007926A2" w:rsidP="007926A2">
      <w:pPr>
        <w:tabs>
          <w:tab w:val="left" w:pos="851"/>
        </w:tabs>
        <w:ind w:left="851"/>
        <w:rPr>
          <w:sz w:val="24"/>
          <w:szCs w:val="24"/>
        </w:rPr>
      </w:pPr>
      <w:r w:rsidRPr="00E81267">
        <w:rPr>
          <w:sz w:val="24"/>
          <w:szCs w:val="24"/>
        </w:rPr>
        <w:t xml:space="preserve">Standardforholdsregler for at undgå infektioner som følge af brugen af lægemidler fremstillet af humant blod eller plasma består i udvælgelse af donorer, screening af enkeltdonationer og plasmapools for specifikke infektionsmarkører samt effektive fremstillingstrin til inaktivering/fjernelse af vira. På trods af dette kan overførsel af smitstoffer ikke fuldstændig udelukkes, ved indgift af lægemidler, fremstillet ud fra humant blod eller plasma. Dette gælder ligeledes ukendte eller </w:t>
      </w:r>
      <w:proofErr w:type="spellStart"/>
      <w:r w:rsidRPr="00E81267">
        <w:rPr>
          <w:sz w:val="24"/>
          <w:szCs w:val="24"/>
        </w:rPr>
        <w:t>emergente</w:t>
      </w:r>
      <w:proofErr w:type="spellEnd"/>
      <w:r w:rsidRPr="00E81267">
        <w:rPr>
          <w:sz w:val="24"/>
          <w:szCs w:val="24"/>
        </w:rPr>
        <w:t xml:space="preserve"> vira og andre </w:t>
      </w:r>
      <w:proofErr w:type="spellStart"/>
      <w:r w:rsidRPr="00E81267">
        <w:rPr>
          <w:sz w:val="24"/>
          <w:szCs w:val="24"/>
        </w:rPr>
        <w:t>patogener</w:t>
      </w:r>
      <w:proofErr w:type="spellEnd"/>
      <w:r w:rsidRPr="00E81267">
        <w:rPr>
          <w:sz w:val="24"/>
          <w:szCs w:val="24"/>
        </w:rPr>
        <w: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Forholdsreglerne er vurderet effektive for indkapslede vira som human immundefekt-virus (HIV), hepatitis B-virus (HBV) og hepatitis C-virus (HCV).</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 xml:space="preserve">Forholdsreglerne kan være af begrænset værdi mod ikke-indkapslede vira som HAV og </w:t>
      </w:r>
      <w:proofErr w:type="spellStart"/>
      <w:r w:rsidRPr="00E81267">
        <w:rPr>
          <w:sz w:val="24"/>
          <w:szCs w:val="24"/>
        </w:rPr>
        <w:t>parvovirus</w:t>
      </w:r>
      <w:proofErr w:type="spellEnd"/>
      <w:r w:rsidRPr="00E81267">
        <w:rPr>
          <w:sz w:val="24"/>
          <w:szCs w:val="24"/>
        </w:rPr>
        <w:t xml:space="preserve"> B19.</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 xml:space="preserve">Der er betryggende klinisk erfaring, der taler for, at hepatitis A og </w:t>
      </w:r>
      <w:proofErr w:type="spellStart"/>
      <w:r w:rsidRPr="00E81267">
        <w:rPr>
          <w:sz w:val="24"/>
          <w:szCs w:val="24"/>
        </w:rPr>
        <w:t>parvovirus</w:t>
      </w:r>
      <w:proofErr w:type="spellEnd"/>
      <w:r w:rsidRPr="00E81267">
        <w:rPr>
          <w:sz w:val="24"/>
          <w:szCs w:val="24"/>
        </w:rPr>
        <w:t xml:space="preserve"> B19 ikke overføres med </w:t>
      </w:r>
      <w:proofErr w:type="spellStart"/>
      <w:r w:rsidRPr="00E81267">
        <w:rPr>
          <w:sz w:val="24"/>
          <w:szCs w:val="24"/>
        </w:rPr>
        <w:t>immunglobuliner</w:t>
      </w:r>
      <w:proofErr w:type="spellEnd"/>
      <w:r w:rsidRPr="00E81267">
        <w:rPr>
          <w:sz w:val="24"/>
          <w:szCs w:val="24"/>
        </w:rPr>
        <w:t>, og det antages også, at antistofindholdet udgør et vigtigt bidrag til den virale sikkerhed.</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Pædiatrisk population</w:t>
      </w:r>
    </w:p>
    <w:p w:rsidR="007926A2" w:rsidRPr="00E81267" w:rsidRDefault="007926A2" w:rsidP="007926A2">
      <w:pPr>
        <w:tabs>
          <w:tab w:val="left" w:pos="851"/>
        </w:tabs>
        <w:ind w:left="851"/>
        <w:rPr>
          <w:sz w:val="24"/>
          <w:szCs w:val="24"/>
        </w:rPr>
      </w:pPr>
      <w:r w:rsidRPr="00E81267">
        <w:rPr>
          <w:sz w:val="24"/>
          <w:szCs w:val="24"/>
        </w:rPr>
        <w:t>De angivne advarsler og forholdsregler gælder for både voksne og børn.</w:t>
      </w:r>
    </w:p>
    <w:p w:rsidR="007926A2" w:rsidRDefault="007926A2" w:rsidP="007926A2">
      <w:pPr>
        <w:tabs>
          <w:tab w:val="left" w:pos="851"/>
        </w:tabs>
        <w:ind w:left="851"/>
        <w:rPr>
          <w:sz w:val="24"/>
          <w:szCs w:val="24"/>
        </w:rPr>
      </w:pPr>
    </w:p>
    <w:p w:rsidR="00F2329D" w:rsidRDefault="00F2329D" w:rsidP="007926A2">
      <w:pPr>
        <w:tabs>
          <w:tab w:val="left" w:pos="851"/>
        </w:tabs>
        <w:ind w:left="851"/>
        <w:rPr>
          <w:sz w:val="24"/>
          <w:szCs w:val="24"/>
        </w:rPr>
      </w:pPr>
    </w:p>
    <w:p w:rsidR="00F2329D" w:rsidRDefault="00F2329D" w:rsidP="007926A2">
      <w:pPr>
        <w:tabs>
          <w:tab w:val="left" w:pos="851"/>
        </w:tabs>
        <w:ind w:left="851"/>
        <w:rPr>
          <w:sz w:val="24"/>
          <w:szCs w:val="24"/>
        </w:rPr>
      </w:pPr>
    </w:p>
    <w:p w:rsidR="00F2329D" w:rsidRDefault="00F2329D" w:rsidP="007926A2">
      <w:pPr>
        <w:tabs>
          <w:tab w:val="left" w:pos="851"/>
        </w:tabs>
        <w:ind w:left="851"/>
        <w:rPr>
          <w:sz w:val="24"/>
          <w:szCs w:val="24"/>
        </w:rPr>
      </w:pPr>
    </w:p>
    <w:p w:rsidR="00F2329D" w:rsidRPr="00E81267" w:rsidRDefault="00F2329D"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lastRenderedPageBreak/>
        <w:t>4.5</w:t>
      </w:r>
      <w:r w:rsidRPr="00E81267">
        <w:rPr>
          <w:b/>
          <w:sz w:val="24"/>
          <w:szCs w:val="24"/>
        </w:rPr>
        <w:tab/>
        <w:t>Interaktion med andre lægemidler og andre former for interaktion</w:t>
      </w:r>
    </w:p>
    <w:p w:rsidR="007926A2" w:rsidRDefault="007926A2" w:rsidP="007926A2">
      <w:pPr>
        <w:tabs>
          <w:tab w:val="left" w:pos="851"/>
        </w:tabs>
        <w:ind w:left="851"/>
        <w:rPr>
          <w:sz w:val="24"/>
          <w:szCs w:val="24"/>
          <w:u w:val="single"/>
        </w:rPr>
      </w:pPr>
    </w:p>
    <w:p w:rsidR="007926A2" w:rsidRPr="00E81267" w:rsidRDefault="007926A2" w:rsidP="007926A2">
      <w:pPr>
        <w:tabs>
          <w:tab w:val="left" w:pos="851"/>
        </w:tabs>
        <w:ind w:left="851"/>
        <w:rPr>
          <w:sz w:val="24"/>
          <w:szCs w:val="24"/>
          <w:u w:val="single"/>
          <w:lang w:eastAsia="da-DK"/>
        </w:rPr>
      </w:pPr>
      <w:r w:rsidRPr="00E81267">
        <w:rPr>
          <w:sz w:val="24"/>
          <w:szCs w:val="24"/>
          <w:u w:val="single"/>
        </w:rPr>
        <w:t>Levende svækkede virusvacciner</w:t>
      </w:r>
    </w:p>
    <w:p w:rsidR="007926A2" w:rsidRPr="00E81267" w:rsidRDefault="007926A2" w:rsidP="007926A2">
      <w:pPr>
        <w:tabs>
          <w:tab w:val="left" w:pos="851"/>
        </w:tabs>
        <w:ind w:left="851"/>
        <w:rPr>
          <w:sz w:val="24"/>
          <w:szCs w:val="24"/>
        </w:rPr>
      </w:pPr>
      <w:r w:rsidRPr="00E81267">
        <w:rPr>
          <w:sz w:val="24"/>
          <w:szCs w:val="24"/>
        </w:rPr>
        <w:t xml:space="preserve">Administration af </w:t>
      </w:r>
      <w:proofErr w:type="spellStart"/>
      <w:r w:rsidRPr="00E81267">
        <w:rPr>
          <w:sz w:val="24"/>
          <w:szCs w:val="24"/>
        </w:rPr>
        <w:t>immunglobulin</w:t>
      </w:r>
      <w:proofErr w:type="spellEnd"/>
      <w:r w:rsidRPr="00E81267">
        <w:rPr>
          <w:sz w:val="24"/>
          <w:szCs w:val="24"/>
        </w:rPr>
        <w:t xml:space="preserve"> kan for en periode på mindst 6 uger og op til 3 måneder svække virkningen af levende svækkede virusvacciner </w:t>
      </w:r>
      <w:r>
        <w:rPr>
          <w:sz w:val="24"/>
          <w:szCs w:val="24"/>
        </w:rPr>
        <w:t>mod</w:t>
      </w:r>
      <w:r w:rsidRPr="00E81267">
        <w:rPr>
          <w:sz w:val="24"/>
          <w:szCs w:val="24"/>
        </w:rPr>
        <w:t xml:space="preserve"> f.eks. mæslinger, røde hunde, fåresyge og skoldkopper. Efter indgift af dette produkt skal der gå mindst 3 måneder før vaccination med levende svækkede virusvacciner. Ved mæslinger kan svækkelsen vare i op til et år. Patienter, der får vaccine mod mæslinger, bør derfor have undersøgt deres antistofstatus.</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 xml:space="preserve">Måling af </w:t>
      </w:r>
      <w:proofErr w:type="spellStart"/>
      <w:r w:rsidRPr="00E81267">
        <w:rPr>
          <w:sz w:val="24"/>
          <w:szCs w:val="24"/>
          <w:u w:val="single"/>
        </w:rPr>
        <w:t>blodglucose</w:t>
      </w:r>
      <w:proofErr w:type="spellEnd"/>
    </w:p>
    <w:p w:rsidR="007926A2" w:rsidRPr="00E81267" w:rsidRDefault="007926A2" w:rsidP="007926A2">
      <w:pPr>
        <w:tabs>
          <w:tab w:val="left" w:pos="851"/>
        </w:tabs>
        <w:ind w:left="851"/>
        <w:rPr>
          <w:sz w:val="24"/>
          <w:szCs w:val="24"/>
        </w:rPr>
      </w:pPr>
      <w:proofErr w:type="spellStart"/>
      <w:r w:rsidRPr="00E81267">
        <w:rPr>
          <w:sz w:val="24"/>
          <w:szCs w:val="24"/>
        </w:rPr>
        <w:t>Cutaquig</w:t>
      </w:r>
      <w:proofErr w:type="spellEnd"/>
      <w:r w:rsidRPr="00E81267">
        <w:rPr>
          <w:sz w:val="24"/>
          <w:szCs w:val="24"/>
        </w:rPr>
        <w:t xml:space="preserve"> indeholder maltose, hvilket kan mistolkes som </w:t>
      </w:r>
      <w:proofErr w:type="spellStart"/>
      <w:r w:rsidRPr="00E81267">
        <w:rPr>
          <w:sz w:val="24"/>
          <w:szCs w:val="24"/>
        </w:rPr>
        <w:t>glucose</w:t>
      </w:r>
      <w:proofErr w:type="spellEnd"/>
      <w:r w:rsidRPr="00E81267">
        <w:rPr>
          <w:sz w:val="24"/>
          <w:szCs w:val="24"/>
        </w:rPr>
        <w:t xml:space="preserve"> i visse typer testmetoder af </w:t>
      </w:r>
      <w:proofErr w:type="spellStart"/>
      <w:r w:rsidRPr="00E81267">
        <w:rPr>
          <w:sz w:val="24"/>
          <w:szCs w:val="24"/>
        </w:rPr>
        <w:t>blodglucose</w:t>
      </w:r>
      <w:proofErr w:type="spellEnd"/>
      <w:r w:rsidRPr="00E81267">
        <w:rPr>
          <w:sz w:val="24"/>
          <w:szCs w:val="24"/>
        </w:rPr>
        <w:t xml:space="preserve">. Grundet risiko for falsk forhøjede </w:t>
      </w:r>
      <w:proofErr w:type="spellStart"/>
      <w:r w:rsidRPr="00E81267">
        <w:rPr>
          <w:sz w:val="24"/>
          <w:szCs w:val="24"/>
        </w:rPr>
        <w:t>glucosemålinger</w:t>
      </w:r>
      <w:proofErr w:type="spellEnd"/>
      <w:r w:rsidRPr="00E81267">
        <w:rPr>
          <w:sz w:val="24"/>
          <w:szCs w:val="24"/>
        </w:rPr>
        <w:t xml:space="preserve">, bør der kun anvendes testmetoder, som er specifikke for </w:t>
      </w:r>
      <w:proofErr w:type="spellStart"/>
      <w:r w:rsidRPr="00E81267">
        <w:rPr>
          <w:sz w:val="24"/>
          <w:szCs w:val="24"/>
        </w:rPr>
        <w:t>glucose</w:t>
      </w:r>
      <w:proofErr w:type="spellEnd"/>
      <w:r w:rsidRPr="00E81267">
        <w:rPr>
          <w:sz w:val="24"/>
          <w:szCs w:val="24"/>
        </w:rPr>
        <w:t xml:space="preserve">, til at måle eller monitorere </w:t>
      </w:r>
      <w:proofErr w:type="spellStart"/>
      <w:r w:rsidRPr="00E81267">
        <w:rPr>
          <w:sz w:val="24"/>
          <w:szCs w:val="24"/>
        </w:rPr>
        <w:t>blodglucoseniveauet</w:t>
      </w:r>
      <w:proofErr w:type="spellEnd"/>
      <w:r w:rsidRPr="00E81267">
        <w:rPr>
          <w:sz w:val="24"/>
          <w:szCs w:val="24"/>
        </w:rPr>
        <w:t xml:space="preserve"> hos patienter med diabetes.</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Pædiatrisk population</w:t>
      </w:r>
    </w:p>
    <w:p w:rsidR="007926A2" w:rsidRPr="00E81267" w:rsidRDefault="007926A2" w:rsidP="007926A2">
      <w:pPr>
        <w:tabs>
          <w:tab w:val="left" w:pos="851"/>
        </w:tabs>
        <w:ind w:left="851"/>
        <w:rPr>
          <w:sz w:val="24"/>
          <w:szCs w:val="24"/>
        </w:rPr>
      </w:pPr>
      <w:r w:rsidRPr="00E81267">
        <w:rPr>
          <w:sz w:val="24"/>
          <w:szCs w:val="24"/>
        </w:rPr>
        <w:t>De angivne interaktioner gælder for både voksne og børn.</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4.6</w:t>
      </w:r>
      <w:r w:rsidRPr="00E81267">
        <w:rPr>
          <w:b/>
          <w:sz w:val="24"/>
          <w:szCs w:val="24"/>
        </w:rPr>
        <w:tab/>
      </w:r>
      <w:r w:rsidR="0092649B">
        <w:rPr>
          <w:b/>
          <w:sz w:val="24"/>
          <w:szCs w:val="24"/>
        </w:rPr>
        <w:t>Fertilitet, g</w:t>
      </w:r>
      <w:r w:rsidRPr="00E81267">
        <w:rPr>
          <w:b/>
          <w:sz w:val="24"/>
          <w:szCs w:val="24"/>
        </w:rPr>
        <w:t>raviditet og amning</w:t>
      </w:r>
    </w:p>
    <w:p w:rsidR="007926A2" w:rsidRDefault="007926A2" w:rsidP="007926A2">
      <w:pPr>
        <w:ind w:left="851"/>
        <w:rPr>
          <w:sz w:val="24"/>
          <w:szCs w:val="24"/>
          <w:u w:val="single"/>
        </w:rPr>
      </w:pPr>
    </w:p>
    <w:p w:rsidR="007926A2" w:rsidRPr="00E73F33" w:rsidRDefault="007926A2" w:rsidP="007926A2">
      <w:pPr>
        <w:ind w:left="851"/>
        <w:rPr>
          <w:sz w:val="24"/>
          <w:szCs w:val="24"/>
          <w:u w:val="single"/>
          <w:lang w:eastAsia="da-DK"/>
        </w:rPr>
      </w:pPr>
      <w:r w:rsidRPr="00E73F33">
        <w:rPr>
          <w:sz w:val="24"/>
          <w:szCs w:val="24"/>
          <w:u w:val="single"/>
        </w:rPr>
        <w:t>Graviditet</w:t>
      </w:r>
    </w:p>
    <w:p w:rsidR="007926A2" w:rsidRPr="00E81267" w:rsidRDefault="007926A2" w:rsidP="007926A2">
      <w:pPr>
        <w:tabs>
          <w:tab w:val="left" w:pos="851"/>
        </w:tabs>
        <w:ind w:left="851"/>
        <w:rPr>
          <w:sz w:val="24"/>
          <w:szCs w:val="24"/>
        </w:rPr>
      </w:pPr>
      <w:r w:rsidRPr="00E81267">
        <w:rPr>
          <w:sz w:val="24"/>
          <w:szCs w:val="24"/>
        </w:rPr>
        <w:t xml:space="preserve">Sikkerheden af dette lægemiddel, ved anvendelse under graviditet er ikke dokumenteret i kontrollerede kliniske forsøg, og bør derfor gives med forsigtighed til gravide og ammende. Det er påvist, at </w:t>
      </w:r>
      <w:proofErr w:type="spellStart"/>
      <w:r w:rsidRPr="00E81267">
        <w:rPr>
          <w:sz w:val="24"/>
          <w:szCs w:val="24"/>
        </w:rPr>
        <w:t>immunglobulinpræparater</w:t>
      </w:r>
      <w:proofErr w:type="spellEnd"/>
      <w:r w:rsidRPr="00E81267">
        <w:rPr>
          <w:sz w:val="24"/>
          <w:szCs w:val="24"/>
        </w:rPr>
        <w:t xml:space="preserve"> krydser placenta og i stigende grad i tredje trimester. Klinisk erfaring med </w:t>
      </w:r>
      <w:proofErr w:type="spellStart"/>
      <w:r w:rsidRPr="00E81267">
        <w:rPr>
          <w:sz w:val="24"/>
          <w:szCs w:val="24"/>
        </w:rPr>
        <w:t>immunglobuliner</w:t>
      </w:r>
      <w:proofErr w:type="spellEnd"/>
      <w:r w:rsidRPr="00E81267">
        <w:rPr>
          <w:sz w:val="24"/>
          <w:szCs w:val="24"/>
        </w:rPr>
        <w:t xml:space="preserve"> viser, at der ikke kan forventes skadelig virkning </w:t>
      </w:r>
      <w:r>
        <w:rPr>
          <w:sz w:val="24"/>
          <w:szCs w:val="24"/>
        </w:rPr>
        <w:t>på</w:t>
      </w:r>
      <w:r w:rsidRPr="00E81267">
        <w:rPr>
          <w:sz w:val="24"/>
          <w:szCs w:val="24"/>
        </w:rPr>
        <w:t xml:space="preserve"> graviditet</w:t>
      </w:r>
      <w:r>
        <w:rPr>
          <w:sz w:val="24"/>
          <w:szCs w:val="24"/>
        </w:rPr>
        <w:t>sforløbet</w:t>
      </w:r>
      <w:r w:rsidRPr="00E81267">
        <w:rPr>
          <w:sz w:val="24"/>
          <w:szCs w:val="24"/>
        </w:rPr>
        <w:t xml:space="preserve"> eller på fost</w:t>
      </w:r>
      <w:r>
        <w:rPr>
          <w:sz w:val="24"/>
          <w:szCs w:val="24"/>
        </w:rPr>
        <w:t>ret</w:t>
      </w:r>
      <w:r w:rsidRPr="00E81267">
        <w:rPr>
          <w:sz w:val="24"/>
          <w:szCs w:val="24"/>
        </w:rPr>
        <w:t xml:space="preserve"> og det nyfødte barn.</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Amning</w:t>
      </w:r>
    </w:p>
    <w:p w:rsidR="007926A2" w:rsidRPr="00E81267" w:rsidRDefault="007926A2" w:rsidP="007926A2">
      <w:pPr>
        <w:tabs>
          <w:tab w:val="left" w:pos="851"/>
        </w:tabs>
        <w:ind w:left="851"/>
        <w:rPr>
          <w:sz w:val="24"/>
          <w:szCs w:val="24"/>
        </w:rPr>
      </w:pPr>
      <w:proofErr w:type="spellStart"/>
      <w:r w:rsidRPr="00E81267">
        <w:rPr>
          <w:sz w:val="24"/>
          <w:szCs w:val="24"/>
        </w:rPr>
        <w:t>Immunglobuliner</w:t>
      </w:r>
      <w:proofErr w:type="spellEnd"/>
      <w:r w:rsidRPr="00E81267">
        <w:rPr>
          <w:sz w:val="24"/>
          <w:szCs w:val="24"/>
        </w:rPr>
        <w:t xml:space="preserve"> udskilles i modermælken og kan bidrage til at beskytte den nyfødte mod </w:t>
      </w:r>
      <w:proofErr w:type="spellStart"/>
      <w:r w:rsidRPr="00E81267">
        <w:rPr>
          <w:sz w:val="24"/>
          <w:szCs w:val="24"/>
        </w:rPr>
        <w:t>patogener</w:t>
      </w:r>
      <w:proofErr w:type="spellEnd"/>
      <w:r w:rsidRPr="00E81267">
        <w:rPr>
          <w:sz w:val="24"/>
          <w:szCs w:val="24"/>
        </w:rPr>
        <w:t>, der trænger ind via slimhinderne.</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Fertilitet</w:t>
      </w:r>
    </w:p>
    <w:p w:rsidR="007926A2" w:rsidRPr="00E81267" w:rsidRDefault="007926A2" w:rsidP="007926A2">
      <w:pPr>
        <w:tabs>
          <w:tab w:val="left" w:pos="851"/>
        </w:tabs>
        <w:ind w:left="851"/>
        <w:rPr>
          <w:sz w:val="24"/>
          <w:szCs w:val="24"/>
        </w:rPr>
      </w:pPr>
      <w:r w:rsidRPr="00E81267">
        <w:rPr>
          <w:sz w:val="24"/>
          <w:szCs w:val="24"/>
        </w:rPr>
        <w:t xml:space="preserve">Klinisk erfaring med </w:t>
      </w:r>
      <w:proofErr w:type="spellStart"/>
      <w:r w:rsidRPr="00E81267">
        <w:rPr>
          <w:sz w:val="24"/>
          <w:szCs w:val="24"/>
        </w:rPr>
        <w:t>immunglobuliner</w:t>
      </w:r>
      <w:proofErr w:type="spellEnd"/>
      <w:r w:rsidRPr="00E81267">
        <w:rPr>
          <w:sz w:val="24"/>
          <w:szCs w:val="24"/>
        </w:rPr>
        <w:t xml:space="preserve"> antyder, at der ikke kan forventes skadelige virkninger på fertilitet.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4.7</w:t>
      </w:r>
      <w:r w:rsidRPr="00E81267">
        <w:rPr>
          <w:b/>
          <w:sz w:val="24"/>
          <w:szCs w:val="24"/>
        </w:rPr>
        <w:tab/>
        <w:t xml:space="preserve">Virkning på evnen til at føre motorkøretøj </w:t>
      </w:r>
      <w:r w:rsidR="0092649B">
        <w:rPr>
          <w:b/>
          <w:sz w:val="24"/>
          <w:szCs w:val="24"/>
        </w:rPr>
        <w:t>og</w:t>
      </w:r>
      <w:r w:rsidRPr="00E81267">
        <w:rPr>
          <w:b/>
          <w:sz w:val="24"/>
          <w:szCs w:val="24"/>
        </w:rPr>
        <w:t xml:space="preserve"> betjene maskiner</w:t>
      </w:r>
    </w:p>
    <w:p w:rsidR="007926A2" w:rsidRPr="00E81267" w:rsidRDefault="007926A2" w:rsidP="007926A2">
      <w:pPr>
        <w:tabs>
          <w:tab w:val="left" w:pos="851"/>
        </w:tabs>
        <w:ind w:left="851"/>
        <w:rPr>
          <w:sz w:val="24"/>
          <w:szCs w:val="24"/>
          <w:lang w:eastAsia="da-DK"/>
        </w:rPr>
      </w:pPr>
      <w:r w:rsidRPr="00E81267">
        <w:rPr>
          <w:sz w:val="24"/>
          <w:szCs w:val="24"/>
        </w:rPr>
        <w:t>Ikke mærkning.</w:t>
      </w:r>
    </w:p>
    <w:p w:rsidR="007926A2" w:rsidRPr="00E81267" w:rsidRDefault="007926A2" w:rsidP="007926A2">
      <w:pPr>
        <w:tabs>
          <w:tab w:val="left" w:pos="851"/>
        </w:tabs>
        <w:ind w:left="851"/>
        <w:rPr>
          <w:sz w:val="24"/>
          <w:szCs w:val="24"/>
        </w:rPr>
      </w:pPr>
      <w:r w:rsidRPr="00E81267">
        <w:rPr>
          <w:sz w:val="24"/>
          <w:szCs w:val="24"/>
        </w:rPr>
        <w:t xml:space="preserve">Evnen til at føre motorkøretøj og betjene maskiner kan </w:t>
      </w:r>
      <w:r>
        <w:rPr>
          <w:sz w:val="24"/>
          <w:szCs w:val="24"/>
        </w:rPr>
        <w:t>blive påvirket af visse</w:t>
      </w:r>
      <w:r w:rsidRPr="00E81267">
        <w:rPr>
          <w:sz w:val="24"/>
          <w:szCs w:val="24"/>
        </w:rPr>
        <w:t xml:space="preserve"> bivirkninger, der er forbundet med </w:t>
      </w:r>
      <w:proofErr w:type="spellStart"/>
      <w:r w:rsidRPr="00E81267">
        <w:rPr>
          <w:sz w:val="24"/>
          <w:szCs w:val="24"/>
        </w:rPr>
        <w:t>Cutaquig</w:t>
      </w:r>
      <w:proofErr w:type="spellEnd"/>
      <w:r w:rsidRPr="00E81267">
        <w:rPr>
          <w:sz w:val="24"/>
          <w:szCs w:val="24"/>
        </w:rPr>
        <w:t>. Patienter, der oplever bivirkninger under behandlingen, bør afvente at disse forsvinder, før der føres motorkøretøj eller betjenes maskiner.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4.8</w:t>
      </w:r>
      <w:r w:rsidRPr="00E81267">
        <w:rPr>
          <w:b/>
          <w:sz w:val="24"/>
          <w:szCs w:val="24"/>
        </w:rPr>
        <w:tab/>
        <w:t>Bivirkninger</w:t>
      </w:r>
    </w:p>
    <w:p w:rsidR="007926A2" w:rsidRDefault="007926A2" w:rsidP="007926A2">
      <w:pPr>
        <w:tabs>
          <w:tab w:val="left" w:pos="851"/>
        </w:tabs>
        <w:ind w:left="851"/>
        <w:rPr>
          <w:sz w:val="24"/>
          <w:szCs w:val="24"/>
          <w:u w:val="single"/>
        </w:rPr>
      </w:pPr>
    </w:p>
    <w:p w:rsidR="00AC479C" w:rsidRPr="00E81267" w:rsidRDefault="00AC479C" w:rsidP="00AC479C">
      <w:pPr>
        <w:tabs>
          <w:tab w:val="left" w:pos="851"/>
        </w:tabs>
        <w:ind w:left="851"/>
        <w:rPr>
          <w:sz w:val="24"/>
          <w:szCs w:val="24"/>
          <w:u w:val="single"/>
          <w:lang w:eastAsia="da-DK"/>
        </w:rPr>
      </w:pPr>
      <w:r w:rsidRPr="00E81267">
        <w:rPr>
          <w:sz w:val="24"/>
          <w:szCs w:val="24"/>
          <w:u w:val="single"/>
        </w:rPr>
        <w:t>Resumé af sikkerhedsprofilen</w:t>
      </w:r>
    </w:p>
    <w:p w:rsidR="00AC479C" w:rsidRPr="00E81267" w:rsidRDefault="00AC479C" w:rsidP="00AC479C">
      <w:pPr>
        <w:tabs>
          <w:tab w:val="left" w:pos="851"/>
        </w:tabs>
        <w:ind w:left="851"/>
        <w:rPr>
          <w:sz w:val="24"/>
          <w:szCs w:val="24"/>
        </w:rPr>
      </w:pPr>
      <w:r w:rsidRPr="00E81267">
        <w:rPr>
          <w:sz w:val="24"/>
          <w:szCs w:val="24"/>
        </w:rPr>
        <w:t xml:space="preserve">Bivirkninger, såsom kulderystelser, hovedpine, svimmelhed, feber, opkastning, allergiske reaktioner, kvalme, </w:t>
      </w:r>
      <w:proofErr w:type="spellStart"/>
      <w:r w:rsidRPr="00E81267">
        <w:rPr>
          <w:sz w:val="24"/>
          <w:szCs w:val="24"/>
        </w:rPr>
        <w:t>arthralgi</w:t>
      </w:r>
      <w:proofErr w:type="spellEnd"/>
      <w:r w:rsidRPr="00E81267">
        <w:rPr>
          <w:sz w:val="24"/>
          <w:szCs w:val="24"/>
        </w:rPr>
        <w:t xml:space="preserve">, lavt blodtryk og moderate lændesmerter, kan lejlighedsvis forekomme. </w:t>
      </w:r>
    </w:p>
    <w:p w:rsidR="00AC479C" w:rsidRPr="00E81267" w:rsidRDefault="00AC479C" w:rsidP="00AC479C">
      <w:pPr>
        <w:tabs>
          <w:tab w:val="left" w:pos="851"/>
        </w:tabs>
        <w:ind w:left="851"/>
        <w:rPr>
          <w:sz w:val="24"/>
          <w:szCs w:val="24"/>
        </w:rPr>
      </w:pPr>
    </w:p>
    <w:p w:rsidR="00AC479C" w:rsidRPr="00E81267" w:rsidRDefault="00AC479C" w:rsidP="00AC479C">
      <w:pPr>
        <w:tabs>
          <w:tab w:val="left" w:pos="851"/>
        </w:tabs>
        <w:ind w:left="851"/>
        <w:rPr>
          <w:sz w:val="24"/>
          <w:szCs w:val="24"/>
        </w:rPr>
      </w:pPr>
      <w:r w:rsidRPr="00E81267">
        <w:rPr>
          <w:sz w:val="24"/>
          <w:szCs w:val="24"/>
        </w:rPr>
        <w:lastRenderedPageBreak/>
        <w:t xml:space="preserve">Humane normale </w:t>
      </w:r>
      <w:proofErr w:type="spellStart"/>
      <w:r w:rsidRPr="00E81267">
        <w:rPr>
          <w:sz w:val="24"/>
          <w:szCs w:val="24"/>
        </w:rPr>
        <w:t>immunglobuliner</w:t>
      </w:r>
      <w:proofErr w:type="spellEnd"/>
      <w:r w:rsidRPr="00E81267">
        <w:rPr>
          <w:sz w:val="24"/>
          <w:szCs w:val="24"/>
        </w:rPr>
        <w:t xml:space="preserve"> kan i sjældne tilfælde medføre et pludseligt fald i blodtryk</w:t>
      </w:r>
      <w:r>
        <w:rPr>
          <w:sz w:val="24"/>
          <w:szCs w:val="24"/>
        </w:rPr>
        <w:t>ket</w:t>
      </w:r>
      <w:r w:rsidRPr="00E81267">
        <w:rPr>
          <w:sz w:val="24"/>
          <w:szCs w:val="24"/>
        </w:rPr>
        <w:t xml:space="preserve"> og i enkelte tilfælde </w:t>
      </w:r>
      <w:proofErr w:type="spellStart"/>
      <w:r w:rsidRPr="00E81267">
        <w:rPr>
          <w:sz w:val="24"/>
          <w:szCs w:val="24"/>
        </w:rPr>
        <w:t>anafylaktisk</w:t>
      </w:r>
      <w:proofErr w:type="spellEnd"/>
      <w:r w:rsidRPr="00E81267">
        <w:rPr>
          <w:sz w:val="24"/>
          <w:szCs w:val="24"/>
        </w:rPr>
        <w:t xml:space="preserve"> </w:t>
      </w:r>
      <w:proofErr w:type="spellStart"/>
      <w:r w:rsidRPr="00E81267">
        <w:rPr>
          <w:sz w:val="24"/>
          <w:szCs w:val="24"/>
        </w:rPr>
        <w:t>shock</w:t>
      </w:r>
      <w:proofErr w:type="spellEnd"/>
      <w:r w:rsidRPr="00E81267">
        <w:rPr>
          <w:sz w:val="24"/>
          <w:szCs w:val="24"/>
        </w:rPr>
        <w:t>, selv når patienten ikke har udvist overfølsomhed i forbindelse med tidligere administration.</w:t>
      </w:r>
    </w:p>
    <w:p w:rsidR="00AC479C" w:rsidRPr="00E81267" w:rsidRDefault="00AC479C" w:rsidP="00AC479C">
      <w:pPr>
        <w:tabs>
          <w:tab w:val="left" w:pos="851"/>
        </w:tabs>
        <w:ind w:left="851"/>
        <w:rPr>
          <w:sz w:val="24"/>
          <w:szCs w:val="24"/>
        </w:rPr>
      </w:pPr>
    </w:p>
    <w:p w:rsidR="00AC479C" w:rsidRPr="00E81267" w:rsidRDefault="00AC479C" w:rsidP="00AC479C">
      <w:pPr>
        <w:tabs>
          <w:tab w:val="left" w:pos="851"/>
        </w:tabs>
        <w:ind w:left="851"/>
        <w:rPr>
          <w:sz w:val="24"/>
          <w:szCs w:val="24"/>
        </w:rPr>
      </w:pPr>
      <w:r w:rsidRPr="00E81267">
        <w:rPr>
          <w:sz w:val="24"/>
          <w:szCs w:val="24"/>
        </w:rPr>
        <w:t>Lokale reaktioner på infusionsstederne: hævelse, ømhed, rødme, hårdhed, lokal varmefølelse, kløe, blå mærker og udslæt kan forekomme hyppigt. Frekvensen af disse reaktioner falder normalt ved vedvarende behandling.</w:t>
      </w:r>
    </w:p>
    <w:p w:rsidR="00AC479C" w:rsidRPr="00E81267" w:rsidRDefault="00AC479C" w:rsidP="00AC479C">
      <w:pPr>
        <w:tabs>
          <w:tab w:val="left" w:pos="851"/>
        </w:tabs>
        <w:ind w:left="851"/>
        <w:rPr>
          <w:sz w:val="24"/>
          <w:szCs w:val="24"/>
        </w:rPr>
      </w:pPr>
    </w:p>
    <w:p w:rsidR="00AC479C" w:rsidRPr="00E81267" w:rsidRDefault="00AC479C" w:rsidP="00AC479C">
      <w:pPr>
        <w:tabs>
          <w:tab w:val="left" w:pos="851"/>
        </w:tabs>
        <w:ind w:left="851"/>
        <w:rPr>
          <w:sz w:val="24"/>
          <w:szCs w:val="24"/>
        </w:rPr>
      </w:pPr>
      <w:r w:rsidRPr="00E81267">
        <w:rPr>
          <w:sz w:val="24"/>
          <w:szCs w:val="24"/>
        </w:rPr>
        <w:t>For sikkerhedsinformation om smitstoffer, se pkt. 4.4.</w:t>
      </w:r>
    </w:p>
    <w:p w:rsidR="00AC479C" w:rsidRPr="00E81267" w:rsidRDefault="00AC479C" w:rsidP="00AC479C">
      <w:pPr>
        <w:tabs>
          <w:tab w:val="left" w:pos="851"/>
        </w:tabs>
        <w:ind w:left="851"/>
        <w:rPr>
          <w:sz w:val="24"/>
          <w:szCs w:val="24"/>
        </w:rPr>
      </w:pPr>
    </w:p>
    <w:p w:rsidR="00F2329D" w:rsidRPr="00E81267" w:rsidRDefault="00F2329D" w:rsidP="00F2329D">
      <w:pPr>
        <w:tabs>
          <w:tab w:val="left" w:pos="851"/>
        </w:tabs>
        <w:ind w:left="851"/>
        <w:rPr>
          <w:sz w:val="24"/>
          <w:szCs w:val="24"/>
          <w:u w:val="single"/>
        </w:rPr>
      </w:pPr>
      <w:r w:rsidRPr="00E81267">
        <w:rPr>
          <w:sz w:val="24"/>
          <w:szCs w:val="24"/>
          <w:u w:val="single"/>
        </w:rPr>
        <w:t>Tabel over bivirkninger</w:t>
      </w:r>
    </w:p>
    <w:p w:rsidR="00F2329D" w:rsidRPr="00E81267" w:rsidRDefault="00F2329D" w:rsidP="00F2329D">
      <w:pPr>
        <w:tabs>
          <w:tab w:val="left" w:pos="851"/>
        </w:tabs>
        <w:ind w:left="851"/>
        <w:rPr>
          <w:sz w:val="24"/>
          <w:szCs w:val="24"/>
        </w:rPr>
      </w:pPr>
      <w:r w:rsidRPr="00E81267">
        <w:rPr>
          <w:sz w:val="24"/>
          <w:szCs w:val="24"/>
        </w:rPr>
        <w:t>De kliniske sikkerhedsdata</w:t>
      </w:r>
      <w:r>
        <w:rPr>
          <w:sz w:val="24"/>
          <w:szCs w:val="24"/>
        </w:rPr>
        <w:t xml:space="preserve"> for </w:t>
      </w:r>
      <w:proofErr w:type="spellStart"/>
      <w:r>
        <w:rPr>
          <w:sz w:val="24"/>
          <w:szCs w:val="24"/>
        </w:rPr>
        <w:t>Cutaquig</w:t>
      </w:r>
      <w:proofErr w:type="spellEnd"/>
      <w:r>
        <w:rPr>
          <w:sz w:val="24"/>
          <w:szCs w:val="24"/>
        </w:rPr>
        <w:t xml:space="preserve"> hos forsøgspersoner med PID</w:t>
      </w:r>
      <w:r w:rsidRPr="00E81267">
        <w:rPr>
          <w:sz w:val="24"/>
          <w:szCs w:val="24"/>
        </w:rPr>
        <w:t xml:space="preserve"> er baseret på et åbent </w:t>
      </w:r>
      <w:proofErr w:type="spellStart"/>
      <w:r w:rsidRPr="00E81267">
        <w:rPr>
          <w:sz w:val="24"/>
          <w:szCs w:val="24"/>
        </w:rPr>
        <w:t>prospektivt</w:t>
      </w:r>
      <w:proofErr w:type="spellEnd"/>
      <w:r w:rsidRPr="00E81267">
        <w:rPr>
          <w:sz w:val="24"/>
          <w:szCs w:val="24"/>
        </w:rPr>
        <w:t xml:space="preserve"> enkelt-</w:t>
      </w:r>
      <w:proofErr w:type="spellStart"/>
      <w:r w:rsidRPr="00E81267">
        <w:rPr>
          <w:sz w:val="24"/>
          <w:szCs w:val="24"/>
        </w:rPr>
        <w:t>armet</w:t>
      </w:r>
      <w:proofErr w:type="spellEnd"/>
      <w:r w:rsidRPr="00E81267">
        <w:rPr>
          <w:sz w:val="24"/>
          <w:szCs w:val="24"/>
        </w:rPr>
        <w:t xml:space="preserve"> fase III multicenter-studie </w:t>
      </w:r>
      <w:r w:rsidRPr="00AC5DD7">
        <w:rPr>
          <w:sz w:val="24"/>
          <w:szCs w:val="24"/>
        </w:rPr>
        <w:t>(n=75, 4</w:t>
      </w:r>
      <w:r>
        <w:rPr>
          <w:sz w:val="24"/>
          <w:szCs w:val="24"/>
        </w:rPr>
        <w:t> </w:t>
      </w:r>
      <w:r w:rsidRPr="0024739D">
        <w:rPr>
          <w:sz w:val="24"/>
          <w:szCs w:val="24"/>
        </w:rPr>
        <w:t>462</w:t>
      </w:r>
      <w:r>
        <w:rPr>
          <w:sz w:val="24"/>
          <w:szCs w:val="24"/>
        </w:rPr>
        <w:t> </w:t>
      </w:r>
      <w:r w:rsidRPr="0024739D">
        <w:rPr>
          <w:sz w:val="24"/>
          <w:szCs w:val="24"/>
        </w:rPr>
        <w:t>infusion</w:t>
      </w:r>
      <w:r>
        <w:rPr>
          <w:sz w:val="24"/>
          <w:szCs w:val="24"/>
        </w:rPr>
        <w:t>er</w:t>
      </w:r>
      <w:r w:rsidRPr="00AC5DD7">
        <w:rPr>
          <w:sz w:val="24"/>
          <w:szCs w:val="24"/>
        </w:rPr>
        <w:t xml:space="preserve">), </w:t>
      </w:r>
      <w:r>
        <w:rPr>
          <w:sz w:val="24"/>
          <w:szCs w:val="24"/>
        </w:rPr>
        <w:t xml:space="preserve">et </w:t>
      </w:r>
      <w:proofErr w:type="spellStart"/>
      <w:r w:rsidRPr="0024739D">
        <w:rPr>
          <w:sz w:val="24"/>
          <w:szCs w:val="24"/>
        </w:rPr>
        <w:t>prospe</w:t>
      </w:r>
      <w:r>
        <w:rPr>
          <w:sz w:val="24"/>
          <w:szCs w:val="24"/>
        </w:rPr>
        <w:t>k</w:t>
      </w:r>
      <w:r w:rsidRPr="0024739D">
        <w:rPr>
          <w:sz w:val="24"/>
          <w:szCs w:val="24"/>
        </w:rPr>
        <w:t>tiv</w:t>
      </w:r>
      <w:r>
        <w:rPr>
          <w:sz w:val="24"/>
          <w:szCs w:val="24"/>
        </w:rPr>
        <w:t>t</w:t>
      </w:r>
      <w:proofErr w:type="spellEnd"/>
      <w:r w:rsidRPr="00AC5DD7">
        <w:rPr>
          <w:sz w:val="24"/>
          <w:szCs w:val="24"/>
        </w:rPr>
        <w:t xml:space="preserve">, </w:t>
      </w:r>
      <w:r>
        <w:rPr>
          <w:sz w:val="24"/>
          <w:szCs w:val="24"/>
        </w:rPr>
        <w:t>åbent enkelt-</w:t>
      </w:r>
      <w:proofErr w:type="spellStart"/>
      <w:r>
        <w:rPr>
          <w:sz w:val="24"/>
          <w:szCs w:val="24"/>
        </w:rPr>
        <w:t>armet</w:t>
      </w:r>
      <w:proofErr w:type="spellEnd"/>
      <w:r>
        <w:rPr>
          <w:sz w:val="24"/>
          <w:szCs w:val="24"/>
        </w:rPr>
        <w:t xml:space="preserve"> fase III-multicenter-forlængelsesstudie</w:t>
      </w:r>
      <w:r w:rsidRPr="00AC5DD7">
        <w:rPr>
          <w:sz w:val="24"/>
          <w:szCs w:val="24"/>
        </w:rPr>
        <w:t xml:space="preserve"> (n=27, 2</w:t>
      </w:r>
      <w:r>
        <w:rPr>
          <w:sz w:val="24"/>
          <w:szCs w:val="24"/>
        </w:rPr>
        <w:t> </w:t>
      </w:r>
      <w:r w:rsidRPr="0024739D">
        <w:rPr>
          <w:sz w:val="24"/>
          <w:szCs w:val="24"/>
        </w:rPr>
        <w:t>777</w:t>
      </w:r>
      <w:r>
        <w:rPr>
          <w:sz w:val="24"/>
          <w:szCs w:val="24"/>
        </w:rPr>
        <w:t> </w:t>
      </w:r>
      <w:r w:rsidRPr="0024739D">
        <w:rPr>
          <w:sz w:val="24"/>
          <w:szCs w:val="24"/>
        </w:rPr>
        <w:t>infusion</w:t>
      </w:r>
      <w:r>
        <w:rPr>
          <w:sz w:val="24"/>
          <w:szCs w:val="24"/>
        </w:rPr>
        <w:t>er</w:t>
      </w:r>
      <w:r w:rsidRPr="00AC5DD7">
        <w:rPr>
          <w:sz w:val="24"/>
          <w:szCs w:val="24"/>
        </w:rPr>
        <w:t xml:space="preserve">) </w:t>
      </w:r>
      <w:r>
        <w:rPr>
          <w:sz w:val="24"/>
          <w:szCs w:val="24"/>
        </w:rPr>
        <w:t>og et åbent, tre-</w:t>
      </w:r>
      <w:proofErr w:type="spellStart"/>
      <w:r>
        <w:rPr>
          <w:sz w:val="24"/>
          <w:szCs w:val="24"/>
        </w:rPr>
        <w:t>armet</w:t>
      </w:r>
      <w:proofErr w:type="spellEnd"/>
      <w:r>
        <w:rPr>
          <w:sz w:val="24"/>
          <w:szCs w:val="24"/>
        </w:rPr>
        <w:t xml:space="preserve"> fase III-multicenterstudie</w:t>
      </w:r>
      <w:bookmarkStart w:id="2" w:name="_Hlk120703625"/>
      <w:r w:rsidRPr="00AC5DD7">
        <w:rPr>
          <w:sz w:val="24"/>
          <w:szCs w:val="24"/>
        </w:rPr>
        <w:t xml:space="preserve"> (n=64, 1</w:t>
      </w:r>
      <w:r>
        <w:rPr>
          <w:sz w:val="24"/>
          <w:szCs w:val="24"/>
        </w:rPr>
        <w:t> </w:t>
      </w:r>
      <w:r w:rsidRPr="0024739D">
        <w:rPr>
          <w:sz w:val="24"/>
          <w:szCs w:val="24"/>
        </w:rPr>
        <w:t>338</w:t>
      </w:r>
      <w:r>
        <w:rPr>
          <w:sz w:val="24"/>
          <w:szCs w:val="24"/>
        </w:rPr>
        <w:t> </w:t>
      </w:r>
      <w:r w:rsidRPr="0024739D">
        <w:rPr>
          <w:sz w:val="24"/>
          <w:szCs w:val="24"/>
        </w:rPr>
        <w:t>infusion</w:t>
      </w:r>
      <w:r>
        <w:rPr>
          <w:sz w:val="24"/>
          <w:szCs w:val="24"/>
        </w:rPr>
        <w:t>er</w:t>
      </w:r>
      <w:r w:rsidRPr="00AC5DD7">
        <w:rPr>
          <w:sz w:val="24"/>
          <w:szCs w:val="24"/>
        </w:rPr>
        <w:t>)</w:t>
      </w:r>
      <w:bookmarkEnd w:id="2"/>
      <w:r w:rsidRPr="00AC5DD7">
        <w:rPr>
          <w:sz w:val="24"/>
          <w:szCs w:val="24"/>
        </w:rPr>
        <w:t>.</w:t>
      </w:r>
    </w:p>
    <w:p w:rsidR="00F2329D" w:rsidRPr="00E81267" w:rsidRDefault="00F2329D" w:rsidP="00F2329D">
      <w:pPr>
        <w:tabs>
          <w:tab w:val="left" w:pos="851"/>
        </w:tabs>
        <w:ind w:left="851"/>
        <w:rPr>
          <w:sz w:val="24"/>
          <w:szCs w:val="24"/>
        </w:rPr>
      </w:pPr>
      <w:r w:rsidRPr="00E81267">
        <w:rPr>
          <w:sz w:val="24"/>
          <w:szCs w:val="24"/>
        </w:rPr>
        <w:t xml:space="preserve">Nedenstående tabel er i overensstemmelse med </w:t>
      </w:r>
      <w:proofErr w:type="spellStart"/>
      <w:r w:rsidRPr="00E81267">
        <w:rPr>
          <w:sz w:val="24"/>
          <w:szCs w:val="24"/>
        </w:rPr>
        <w:t>MedDRA’s</w:t>
      </w:r>
      <w:proofErr w:type="spellEnd"/>
      <w:r w:rsidRPr="00E81267">
        <w:rPr>
          <w:sz w:val="24"/>
          <w:szCs w:val="24"/>
        </w:rPr>
        <w:t xml:space="preserve"> systemorganklassifikation (SOC og foretrukken terminologi).</w:t>
      </w:r>
    </w:p>
    <w:p w:rsidR="00AC479C" w:rsidRPr="00E81267" w:rsidRDefault="00AC479C" w:rsidP="00AC479C">
      <w:pPr>
        <w:tabs>
          <w:tab w:val="left" w:pos="851"/>
        </w:tabs>
        <w:ind w:left="851"/>
        <w:rPr>
          <w:sz w:val="24"/>
          <w:szCs w:val="24"/>
        </w:rPr>
      </w:pPr>
    </w:p>
    <w:p w:rsidR="00AC479C" w:rsidRPr="00E81267" w:rsidRDefault="00AC479C" w:rsidP="00AC479C">
      <w:pPr>
        <w:tabs>
          <w:tab w:val="left" w:pos="851"/>
        </w:tabs>
        <w:ind w:left="851"/>
        <w:rPr>
          <w:sz w:val="24"/>
          <w:szCs w:val="24"/>
        </w:rPr>
      </w:pPr>
      <w:r w:rsidRPr="00E81267">
        <w:rPr>
          <w:sz w:val="24"/>
          <w:szCs w:val="24"/>
        </w:rPr>
        <w:t>Hyppigheder pr. patient er vurderet i henhold til følgende konvention: meget almindelig (≥ 1/10); almindelig (≥ 1/100 til &lt; 1/10); ikke almindelig (≥ 1/1.000 til &lt; 1/100); sjælden (≥ 1/10.000 til &lt; 1/1.000); meget sjælden (&lt; 1/10.000); ikke kendt (kan ikke estimeres ud fra forhåndenværende data)</w:t>
      </w:r>
    </w:p>
    <w:p w:rsidR="00AC479C" w:rsidRPr="00E81267" w:rsidRDefault="00AC479C" w:rsidP="00AC479C">
      <w:pPr>
        <w:tabs>
          <w:tab w:val="left" w:pos="851"/>
        </w:tabs>
        <w:ind w:left="851"/>
        <w:rPr>
          <w:sz w:val="24"/>
          <w:szCs w:val="24"/>
        </w:rPr>
      </w:pPr>
      <w:r w:rsidRPr="00E81267">
        <w:rPr>
          <w:sz w:val="24"/>
          <w:szCs w:val="24"/>
        </w:rPr>
        <w:t>Inden for hver hyppighedsgruppe er bivirkningerne opstillet i rækkefølge efter aftagende alvorlighed.</w:t>
      </w:r>
    </w:p>
    <w:p w:rsidR="00AC479C" w:rsidRPr="00E81267" w:rsidRDefault="00AC479C" w:rsidP="00AC479C">
      <w:pPr>
        <w:tabs>
          <w:tab w:val="left" w:pos="851"/>
        </w:tabs>
        <w:ind w:left="851"/>
        <w:rPr>
          <w:sz w:val="24"/>
          <w:szCs w:val="24"/>
        </w:rPr>
      </w:pPr>
    </w:p>
    <w:p w:rsidR="00F2329D" w:rsidRDefault="00F2329D" w:rsidP="00F2329D">
      <w:pPr>
        <w:tabs>
          <w:tab w:val="left" w:pos="851"/>
        </w:tabs>
        <w:ind w:left="851"/>
        <w:rPr>
          <w:sz w:val="24"/>
          <w:szCs w:val="24"/>
        </w:rPr>
      </w:pPr>
      <w:r w:rsidRPr="00E81267">
        <w:rPr>
          <w:sz w:val="24"/>
          <w:szCs w:val="24"/>
        </w:rPr>
        <w:t>Hyppigheden af bivirkninger per forsøgsperson og per infusion i de kliniske studie</w:t>
      </w:r>
      <w:r>
        <w:rPr>
          <w:sz w:val="24"/>
          <w:szCs w:val="24"/>
        </w:rPr>
        <w:t>r</w:t>
      </w:r>
      <w:r w:rsidRPr="00E81267">
        <w:rPr>
          <w:sz w:val="24"/>
          <w:szCs w:val="24"/>
        </w:rPr>
        <w:t xml:space="preserve"> med </w:t>
      </w:r>
      <w:proofErr w:type="spellStart"/>
      <w:r w:rsidRPr="00E81267">
        <w:rPr>
          <w:sz w:val="24"/>
          <w:szCs w:val="24"/>
        </w:rPr>
        <w:t>Cutaquig</w:t>
      </w:r>
      <w:proofErr w:type="spellEnd"/>
      <w:r w:rsidRPr="00E81267">
        <w:rPr>
          <w:sz w:val="24"/>
          <w:szCs w:val="24"/>
        </w:rPr>
        <w:t>:</w:t>
      </w:r>
    </w:p>
    <w:p w:rsidR="00F2329D" w:rsidRPr="00E81267" w:rsidRDefault="00F2329D" w:rsidP="00F2329D">
      <w:pPr>
        <w:tabs>
          <w:tab w:val="left" w:pos="851"/>
        </w:tabs>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513"/>
        <w:gridCol w:w="2400"/>
        <w:gridCol w:w="2174"/>
        <w:gridCol w:w="1701"/>
      </w:tblGrid>
      <w:tr w:rsidR="00F2329D" w:rsidRPr="004F1584" w:rsidTr="00AC5DD7">
        <w:trPr>
          <w:tblHeader/>
        </w:trPr>
        <w:tc>
          <w:tcPr>
            <w:tcW w:w="2513" w:type="dxa"/>
            <w:tcBorders>
              <w:top w:val="single" w:sz="4" w:space="0" w:color="auto"/>
              <w:left w:val="single" w:sz="4" w:space="0" w:color="auto"/>
              <w:bottom w:val="single" w:sz="4" w:space="0" w:color="auto"/>
              <w:right w:val="single" w:sz="4" w:space="0" w:color="auto"/>
            </w:tcBorders>
            <w:hideMark/>
          </w:tcPr>
          <w:p w:rsidR="00F2329D" w:rsidRPr="004F1584" w:rsidRDefault="00F2329D" w:rsidP="00AC5DD7">
            <w:pPr>
              <w:tabs>
                <w:tab w:val="left" w:pos="851"/>
              </w:tabs>
              <w:rPr>
                <w:b/>
                <w:sz w:val="24"/>
                <w:szCs w:val="24"/>
                <w:lang w:eastAsia="de-AT"/>
              </w:rPr>
            </w:pPr>
            <w:proofErr w:type="spellStart"/>
            <w:r w:rsidRPr="004F1584">
              <w:rPr>
                <w:b/>
                <w:sz w:val="24"/>
                <w:szCs w:val="24"/>
                <w:lang w:eastAsia="de-AT"/>
              </w:rPr>
              <w:lastRenderedPageBreak/>
              <w:t>MedDRA</w:t>
            </w:r>
            <w:proofErr w:type="spellEnd"/>
            <w:r w:rsidRPr="004F1584">
              <w:rPr>
                <w:b/>
                <w:sz w:val="24"/>
                <w:szCs w:val="24"/>
                <w:lang w:eastAsia="de-AT"/>
              </w:rPr>
              <w:t xml:space="preserve"> systemorganklasse (SOC)</w:t>
            </w:r>
          </w:p>
        </w:tc>
        <w:tc>
          <w:tcPr>
            <w:tcW w:w="2400" w:type="dxa"/>
            <w:tcBorders>
              <w:top w:val="single" w:sz="4" w:space="0" w:color="auto"/>
              <w:left w:val="single" w:sz="4" w:space="0" w:color="auto"/>
              <w:bottom w:val="single" w:sz="4" w:space="0" w:color="auto"/>
              <w:right w:val="single" w:sz="4" w:space="0" w:color="auto"/>
            </w:tcBorders>
            <w:hideMark/>
          </w:tcPr>
          <w:p w:rsidR="00F2329D" w:rsidRPr="004F1584" w:rsidRDefault="00F2329D" w:rsidP="00AC5DD7">
            <w:pPr>
              <w:tabs>
                <w:tab w:val="left" w:pos="851"/>
              </w:tabs>
              <w:rPr>
                <w:b/>
                <w:sz w:val="24"/>
                <w:szCs w:val="24"/>
                <w:lang w:eastAsia="de-AT"/>
              </w:rPr>
            </w:pPr>
            <w:r w:rsidRPr="004F1584">
              <w:rPr>
                <w:b/>
                <w:sz w:val="24"/>
                <w:szCs w:val="24"/>
                <w:lang w:eastAsia="de-AT"/>
              </w:rPr>
              <w:t>Bivirkning</w:t>
            </w:r>
          </w:p>
        </w:tc>
        <w:tc>
          <w:tcPr>
            <w:tcW w:w="2174" w:type="dxa"/>
            <w:tcBorders>
              <w:top w:val="single" w:sz="4" w:space="0" w:color="auto"/>
              <w:left w:val="single" w:sz="4" w:space="0" w:color="auto"/>
              <w:bottom w:val="single" w:sz="4" w:space="0" w:color="auto"/>
              <w:right w:val="single" w:sz="4" w:space="0" w:color="auto"/>
            </w:tcBorders>
            <w:hideMark/>
          </w:tcPr>
          <w:p w:rsidR="00F2329D" w:rsidRPr="004F1584" w:rsidRDefault="00F2329D" w:rsidP="00AC5DD7">
            <w:pPr>
              <w:tabs>
                <w:tab w:val="left" w:pos="851"/>
              </w:tabs>
              <w:rPr>
                <w:b/>
                <w:sz w:val="24"/>
                <w:szCs w:val="24"/>
                <w:lang w:eastAsia="de-AT"/>
              </w:rPr>
            </w:pPr>
            <w:r w:rsidRPr="004F1584">
              <w:rPr>
                <w:b/>
                <w:sz w:val="24"/>
                <w:szCs w:val="24"/>
                <w:lang w:eastAsia="de-AT"/>
              </w:rPr>
              <w:t>Hyppighed/infusion</w:t>
            </w:r>
          </w:p>
        </w:tc>
        <w:tc>
          <w:tcPr>
            <w:tcW w:w="1701" w:type="dxa"/>
            <w:tcBorders>
              <w:top w:val="single" w:sz="4" w:space="0" w:color="auto"/>
              <w:left w:val="single" w:sz="4" w:space="0" w:color="auto"/>
              <w:bottom w:val="single" w:sz="4" w:space="0" w:color="auto"/>
              <w:right w:val="single" w:sz="4" w:space="0" w:color="auto"/>
            </w:tcBorders>
            <w:hideMark/>
          </w:tcPr>
          <w:p w:rsidR="00F2329D" w:rsidRPr="004F1584" w:rsidRDefault="00F2329D" w:rsidP="00AC5DD7">
            <w:pPr>
              <w:tabs>
                <w:tab w:val="left" w:pos="851"/>
              </w:tabs>
              <w:rPr>
                <w:b/>
                <w:sz w:val="24"/>
                <w:szCs w:val="24"/>
                <w:lang w:eastAsia="de-AT"/>
              </w:rPr>
            </w:pPr>
            <w:r w:rsidRPr="004F1584">
              <w:rPr>
                <w:b/>
                <w:sz w:val="24"/>
                <w:szCs w:val="24"/>
                <w:lang w:eastAsia="de-AT"/>
              </w:rPr>
              <w:t>Hyppighed/ forsøgsperson</w:t>
            </w:r>
          </w:p>
        </w:tc>
      </w:tr>
      <w:tr w:rsidR="00F2329D" w:rsidRPr="004F1584" w:rsidTr="00AC5DD7">
        <w:trPr>
          <w:tblHeader/>
        </w:trPr>
        <w:tc>
          <w:tcPr>
            <w:tcW w:w="2513" w:type="dxa"/>
            <w:tcBorders>
              <w:top w:val="single" w:sz="4" w:space="0" w:color="auto"/>
              <w:left w:val="single" w:sz="4" w:space="0" w:color="auto"/>
              <w:bottom w:val="single" w:sz="4" w:space="0" w:color="auto"/>
              <w:right w:val="single" w:sz="4" w:space="0" w:color="auto"/>
            </w:tcBorders>
            <w:hideMark/>
          </w:tcPr>
          <w:p w:rsidR="00F2329D" w:rsidRPr="004F1584" w:rsidRDefault="00F2329D" w:rsidP="00AC5DD7">
            <w:pPr>
              <w:tabs>
                <w:tab w:val="left" w:pos="851"/>
              </w:tabs>
              <w:rPr>
                <w:sz w:val="24"/>
                <w:szCs w:val="24"/>
                <w:lang w:eastAsia="de-AT"/>
              </w:rPr>
            </w:pPr>
            <w:r w:rsidRPr="004F1584">
              <w:rPr>
                <w:sz w:val="24"/>
                <w:szCs w:val="24"/>
                <w:lang w:eastAsia="de-AT"/>
              </w:rPr>
              <w:t>Nervesystemet</w:t>
            </w:r>
          </w:p>
        </w:tc>
        <w:tc>
          <w:tcPr>
            <w:tcW w:w="2400" w:type="dxa"/>
            <w:tcBorders>
              <w:top w:val="single" w:sz="4" w:space="0" w:color="auto"/>
              <w:left w:val="single" w:sz="4" w:space="0" w:color="auto"/>
              <w:bottom w:val="single" w:sz="4" w:space="0" w:color="auto"/>
              <w:right w:val="single" w:sz="4" w:space="0" w:color="auto"/>
            </w:tcBorders>
            <w:hideMark/>
          </w:tcPr>
          <w:p w:rsidR="00F2329D" w:rsidRDefault="00F2329D" w:rsidP="00AC5DD7">
            <w:pPr>
              <w:tabs>
                <w:tab w:val="left" w:pos="851"/>
              </w:tabs>
              <w:rPr>
                <w:sz w:val="24"/>
                <w:szCs w:val="24"/>
                <w:lang w:eastAsia="de-AT"/>
              </w:rPr>
            </w:pPr>
            <w:r w:rsidRPr="004F1584">
              <w:rPr>
                <w:sz w:val="24"/>
                <w:szCs w:val="24"/>
                <w:lang w:eastAsia="de-AT"/>
              </w:rPr>
              <w:t>Hovedpine</w:t>
            </w:r>
          </w:p>
          <w:p w:rsidR="00F2329D" w:rsidRPr="004F1584" w:rsidRDefault="00F2329D" w:rsidP="00AC5DD7">
            <w:pPr>
              <w:tabs>
                <w:tab w:val="left" w:pos="851"/>
              </w:tabs>
              <w:rPr>
                <w:sz w:val="24"/>
                <w:szCs w:val="24"/>
                <w:lang w:eastAsia="de-AT"/>
              </w:rPr>
            </w:pPr>
            <w:r>
              <w:rPr>
                <w:sz w:val="24"/>
                <w:szCs w:val="24"/>
                <w:lang w:eastAsia="de-AT"/>
              </w:rPr>
              <w:t>Svimmelhed</w:t>
            </w:r>
          </w:p>
        </w:tc>
        <w:tc>
          <w:tcPr>
            <w:tcW w:w="2174" w:type="dxa"/>
            <w:tcBorders>
              <w:top w:val="single" w:sz="4" w:space="0" w:color="auto"/>
              <w:left w:val="single" w:sz="4" w:space="0" w:color="auto"/>
              <w:bottom w:val="single" w:sz="4" w:space="0" w:color="auto"/>
              <w:right w:val="single" w:sz="4" w:space="0" w:color="auto"/>
            </w:tcBorders>
            <w:hideMark/>
          </w:tcPr>
          <w:p w:rsidR="00F2329D" w:rsidRDefault="00F2329D" w:rsidP="00AC5DD7">
            <w:pPr>
              <w:tabs>
                <w:tab w:val="left" w:pos="851"/>
              </w:tabs>
              <w:rPr>
                <w:sz w:val="24"/>
                <w:szCs w:val="24"/>
                <w:lang w:eastAsia="de-AT"/>
              </w:rPr>
            </w:pPr>
            <w:r>
              <w:rPr>
                <w:sz w:val="24"/>
                <w:szCs w:val="24"/>
                <w:lang w:eastAsia="de-AT"/>
              </w:rPr>
              <w:t>Ikke almindelig</w:t>
            </w:r>
          </w:p>
          <w:p w:rsidR="00F2329D" w:rsidRPr="004F1584" w:rsidRDefault="00F2329D" w:rsidP="00AC5DD7">
            <w:pPr>
              <w:tabs>
                <w:tab w:val="left" w:pos="851"/>
              </w:tabs>
              <w:rPr>
                <w:sz w:val="24"/>
                <w:szCs w:val="24"/>
                <w:lang w:eastAsia="de-AT"/>
              </w:rPr>
            </w:pPr>
            <w:r w:rsidRPr="004F1584">
              <w:rPr>
                <w:sz w:val="24"/>
                <w:szCs w:val="24"/>
                <w:lang w:eastAsia="de-AT"/>
              </w:rPr>
              <w:t>Sjælden</w:t>
            </w:r>
          </w:p>
        </w:tc>
        <w:tc>
          <w:tcPr>
            <w:tcW w:w="1701" w:type="dxa"/>
            <w:tcBorders>
              <w:top w:val="single" w:sz="4" w:space="0" w:color="auto"/>
              <w:left w:val="single" w:sz="4" w:space="0" w:color="auto"/>
              <w:bottom w:val="single" w:sz="4" w:space="0" w:color="auto"/>
              <w:right w:val="single" w:sz="4" w:space="0" w:color="auto"/>
            </w:tcBorders>
            <w:hideMark/>
          </w:tcPr>
          <w:p w:rsidR="00F2329D" w:rsidRDefault="00F2329D" w:rsidP="00AC5DD7">
            <w:pPr>
              <w:tabs>
                <w:tab w:val="left" w:pos="851"/>
              </w:tabs>
              <w:rPr>
                <w:sz w:val="24"/>
                <w:szCs w:val="24"/>
                <w:lang w:eastAsia="de-AT"/>
              </w:rPr>
            </w:pPr>
            <w:r w:rsidRPr="004F1584">
              <w:rPr>
                <w:sz w:val="24"/>
                <w:szCs w:val="24"/>
                <w:lang w:eastAsia="de-AT"/>
              </w:rPr>
              <w:t>Almindelig</w:t>
            </w:r>
          </w:p>
          <w:p w:rsidR="00F2329D" w:rsidRPr="004F1584" w:rsidRDefault="00F2329D" w:rsidP="00AC5DD7">
            <w:pPr>
              <w:tabs>
                <w:tab w:val="left" w:pos="851"/>
              </w:tabs>
              <w:rPr>
                <w:sz w:val="24"/>
                <w:szCs w:val="24"/>
                <w:lang w:eastAsia="de-AT"/>
              </w:rPr>
            </w:pPr>
            <w:r>
              <w:rPr>
                <w:sz w:val="24"/>
                <w:szCs w:val="24"/>
                <w:lang w:eastAsia="de-AT"/>
              </w:rPr>
              <w:t>Ikke almindelig</w:t>
            </w:r>
          </w:p>
        </w:tc>
      </w:tr>
      <w:tr w:rsidR="00F2329D" w:rsidRPr="004F1584" w:rsidTr="00AC5DD7">
        <w:trPr>
          <w:tblHeader/>
        </w:trPr>
        <w:tc>
          <w:tcPr>
            <w:tcW w:w="2513" w:type="dxa"/>
            <w:tcBorders>
              <w:top w:val="single" w:sz="4" w:space="0" w:color="auto"/>
              <w:left w:val="single" w:sz="4" w:space="0" w:color="auto"/>
              <w:bottom w:val="single" w:sz="4" w:space="0" w:color="auto"/>
              <w:right w:val="single" w:sz="4" w:space="0" w:color="auto"/>
            </w:tcBorders>
            <w:hideMark/>
          </w:tcPr>
          <w:p w:rsidR="00F2329D" w:rsidRPr="004F1584" w:rsidRDefault="00F2329D" w:rsidP="00AC5DD7">
            <w:pPr>
              <w:tabs>
                <w:tab w:val="left" w:pos="851"/>
              </w:tabs>
              <w:rPr>
                <w:sz w:val="24"/>
                <w:szCs w:val="24"/>
                <w:lang w:eastAsia="de-AT"/>
              </w:rPr>
            </w:pPr>
            <w:r w:rsidRPr="004F1584">
              <w:rPr>
                <w:sz w:val="24"/>
                <w:szCs w:val="24"/>
                <w:lang w:eastAsia="de-AT"/>
              </w:rPr>
              <w:t>Mave-tarm-kanalen</w:t>
            </w:r>
          </w:p>
        </w:tc>
        <w:tc>
          <w:tcPr>
            <w:tcW w:w="2400" w:type="dxa"/>
            <w:tcBorders>
              <w:top w:val="single" w:sz="4" w:space="0" w:color="auto"/>
              <w:left w:val="single" w:sz="4" w:space="0" w:color="auto"/>
              <w:bottom w:val="single" w:sz="4" w:space="0" w:color="auto"/>
              <w:right w:val="single" w:sz="4" w:space="0" w:color="auto"/>
            </w:tcBorders>
            <w:hideMark/>
          </w:tcPr>
          <w:p w:rsidR="00F2329D" w:rsidRDefault="00F2329D" w:rsidP="00AC5DD7">
            <w:pPr>
              <w:tabs>
                <w:tab w:val="left" w:pos="851"/>
              </w:tabs>
              <w:rPr>
                <w:sz w:val="24"/>
                <w:szCs w:val="24"/>
                <w:lang w:eastAsia="de-AT"/>
              </w:rPr>
            </w:pPr>
            <w:r>
              <w:rPr>
                <w:sz w:val="24"/>
                <w:szCs w:val="24"/>
                <w:lang w:eastAsia="de-AT"/>
              </w:rPr>
              <w:t>Kvalme</w:t>
            </w:r>
          </w:p>
          <w:p w:rsidR="00F2329D" w:rsidRPr="004F1584" w:rsidRDefault="00F2329D" w:rsidP="00AC5DD7">
            <w:pPr>
              <w:tabs>
                <w:tab w:val="left" w:pos="851"/>
              </w:tabs>
              <w:rPr>
                <w:sz w:val="24"/>
                <w:szCs w:val="24"/>
                <w:lang w:eastAsia="de-AT"/>
              </w:rPr>
            </w:pPr>
            <w:proofErr w:type="spellStart"/>
            <w:r w:rsidRPr="004F1584">
              <w:rPr>
                <w:sz w:val="24"/>
                <w:szCs w:val="24"/>
                <w:lang w:eastAsia="de-AT"/>
              </w:rPr>
              <w:t>Abdominal</w:t>
            </w:r>
            <w:proofErr w:type="spellEnd"/>
            <w:r w:rsidRPr="004F1584">
              <w:rPr>
                <w:sz w:val="24"/>
                <w:szCs w:val="24"/>
                <w:lang w:eastAsia="de-AT"/>
              </w:rPr>
              <w:t xml:space="preserve"> </w:t>
            </w:r>
            <w:proofErr w:type="spellStart"/>
            <w:r w:rsidRPr="004F1584">
              <w:rPr>
                <w:sz w:val="24"/>
                <w:szCs w:val="24"/>
                <w:lang w:eastAsia="de-AT"/>
              </w:rPr>
              <w:t>distension</w:t>
            </w:r>
            <w:proofErr w:type="spellEnd"/>
          </w:p>
          <w:p w:rsidR="00F2329D" w:rsidRPr="004F1584" w:rsidRDefault="00F2329D" w:rsidP="00AC5DD7">
            <w:pPr>
              <w:tabs>
                <w:tab w:val="left" w:pos="851"/>
              </w:tabs>
              <w:rPr>
                <w:sz w:val="24"/>
                <w:szCs w:val="24"/>
                <w:lang w:eastAsia="de-AT"/>
              </w:rPr>
            </w:pPr>
            <w:proofErr w:type="spellStart"/>
            <w:r w:rsidRPr="004F1584">
              <w:rPr>
                <w:sz w:val="24"/>
                <w:szCs w:val="24"/>
                <w:lang w:eastAsia="de-AT"/>
              </w:rPr>
              <w:t>Abdominalsmerter</w:t>
            </w:r>
            <w:proofErr w:type="spellEnd"/>
          </w:p>
          <w:p w:rsidR="00F2329D" w:rsidRDefault="00F2329D" w:rsidP="00AC5DD7">
            <w:pPr>
              <w:tabs>
                <w:tab w:val="left" w:pos="851"/>
              </w:tabs>
              <w:rPr>
                <w:sz w:val="24"/>
                <w:szCs w:val="24"/>
                <w:lang w:eastAsia="de-AT"/>
              </w:rPr>
            </w:pPr>
            <w:r w:rsidRPr="004F1584">
              <w:rPr>
                <w:sz w:val="24"/>
                <w:szCs w:val="24"/>
                <w:lang w:eastAsia="de-AT"/>
              </w:rPr>
              <w:t>Opkastning</w:t>
            </w:r>
          </w:p>
          <w:p w:rsidR="00F2329D" w:rsidRPr="004F1584" w:rsidRDefault="00F2329D" w:rsidP="00AC5DD7">
            <w:pPr>
              <w:tabs>
                <w:tab w:val="left" w:pos="851"/>
              </w:tabs>
              <w:rPr>
                <w:sz w:val="24"/>
                <w:szCs w:val="24"/>
                <w:lang w:eastAsia="de-AT"/>
              </w:rPr>
            </w:pPr>
            <w:r>
              <w:rPr>
                <w:sz w:val="24"/>
                <w:szCs w:val="24"/>
                <w:lang w:eastAsia="de-AT"/>
              </w:rPr>
              <w:t>Opkastningsfornemmelser</w:t>
            </w:r>
          </w:p>
        </w:tc>
        <w:tc>
          <w:tcPr>
            <w:tcW w:w="2174" w:type="dxa"/>
            <w:tcBorders>
              <w:top w:val="single" w:sz="4" w:space="0" w:color="auto"/>
              <w:left w:val="single" w:sz="4" w:space="0" w:color="auto"/>
              <w:bottom w:val="single" w:sz="4" w:space="0" w:color="auto"/>
              <w:right w:val="single" w:sz="4" w:space="0" w:color="auto"/>
            </w:tcBorders>
            <w:hideMark/>
          </w:tcPr>
          <w:p w:rsidR="00F2329D" w:rsidRDefault="00F2329D" w:rsidP="00AC5DD7">
            <w:pPr>
              <w:tabs>
                <w:tab w:val="left" w:pos="851"/>
              </w:tabs>
              <w:rPr>
                <w:sz w:val="24"/>
                <w:szCs w:val="24"/>
                <w:lang w:eastAsia="de-AT"/>
              </w:rPr>
            </w:pPr>
            <w:r>
              <w:rPr>
                <w:sz w:val="24"/>
                <w:szCs w:val="24"/>
                <w:lang w:eastAsia="de-AT"/>
              </w:rPr>
              <w:t>Ikke almindelig</w:t>
            </w:r>
          </w:p>
          <w:p w:rsidR="00F2329D" w:rsidRPr="004F1584" w:rsidRDefault="00F2329D" w:rsidP="00AC5DD7">
            <w:pPr>
              <w:tabs>
                <w:tab w:val="left" w:pos="851"/>
              </w:tabs>
              <w:rPr>
                <w:sz w:val="24"/>
                <w:szCs w:val="24"/>
                <w:lang w:eastAsia="de-AT"/>
              </w:rPr>
            </w:pPr>
            <w:r w:rsidRPr="004F1584">
              <w:rPr>
                <w:sz w:val="24"/>
                <w:szCs w:val="24"/>
                <w:lang w:eastAsia="de-AT"/>
              </w:rPr>
              <w:t>Sjælden</w:t>
            </w:r>
          </w:p>
          <w:p w:rsidR="00F2329D" w:rsidRPr="004F1584" w:rsidRDefault="00F2329D" w:rsidP="00AC5DD7">
            <w:pPr>
              <w:tabs>
                <w:tab w:val="left" w:pos="851"/>
              </w:tabs>
              <w:rPr>
                <w:sz w:val="24"/>
                <w:szCs w:val="24"/>
                <w:lang w:eastAsia="de-AT"/>
              </w:rPr>
            </w:pPr>
            <w:r w:rsidRPr="004F1584">
              <w:rPr>
                <w:sz w:val="24"/>
                <w:szCs w:val="24"/>
                <w:lang w:eastAsia="de-AT"/>
              </w:rPr>
              <w:t>Sjælden</w:t>
            </w:r>
          </w:p>
          <w:p w:rsidR="00F2329D" w:rsidRDefault="00F2329D" w:rsidP="00AC5DD7">
            <w:pPr>
              <w:tabs>
                <w:tab w:val="left" w:pos="851"/>
              </w:tabs>
              <w:rPr>
                <w:sz w:val="24"/>
                <w:szCs w:val="24"/>
                <w:lang w:eastAsia="de-AT"/>
              </w:rPr>
            </w:pPr>
            <w:r w:rsidRPr="004F1584">
              <w:rPr>
                <w:sz w:val="24"/>
                <w:szCs w:val="24"/>
                <w:lang w:eastAsia="de-AT"/>
              </w:rPr>
              <w:t>Sjælden</w:t>
            </w:r>
          </w:p>
          <w:p w:rsidR="00F2329D" w:rsidRPr="004F1584" w:rsidRDefault="00F2329D" w:rsidP="00AC5DD7">
            <w:pPr>
              <w:tabs>
                <w:tab w:val="left" w:pos="851"/>
              </w:tabs>
              <w:rPr>
                <w:sz w:val="24"/>
                <w:szCs w:val="24"/>
                <w:lang w:eastAsia="de-AT"/>
              </w:rPr>
            </w:pPr>
            <w:r>
              <w:rPr>
                <w:sz w:val="24"/>
                <w:szCs w:val="24"/>
                <w:lang w:eastAsia="de-AT"/>
              </w:rPr>
              <w:t>Sjælden</w:t>
            </w:r>
          </w:p>
        </w:tc>
        <w:tc>
          <w:tcPr>
            <w:tcW w:w="1701" w:type="dxa"/>
            <w:tcBorders>
              <w:top w:val="single" w:sz="4" w:space="0" w:color="auto"/>
              <w:left w:val="single" w:sz="4" w:space="0" w:color="auto"/>
              <w:bottom w:val="single" w:sz="4" w:space="0" w:color="auto"/>
              <w:right w:val="single" w:sz="4" w:space="0" w:color="auto"/>
            </w:tcBorders>
            <w:hideMark/>
          </w:tcPr>
          <w:p w:rsidR="00F2329D" w:rsidRDefault="00F2329D" w:rsidP="00AC5DD7">
            <w:pPr>
              <w:tabs>
                <w:tab w:val="left" w:pos="851"/>
              </w:tabs>
              <w:rPr>
                <w:sz w:val="24"/>
                <w:szCs w:val="24"/>
                <w:lang w:eastAsia="de-AT"/>
              </w:rPr>
            </w:pPr>
            <w:r>
              <w:rPr>
                <w:sz w:val="24"/>
                <w:szCs w:val="24"/>
                <w:lang w:eastAsia="de-AT"/>
              </w:rPr>
              <w:t>Almindelig</w:t>
            </w:r>
          </w:p>
          <w:p w:rsidR="00F2329D" w:rsidRPr="004F1584" w:rsidRDefault="00F2329D" w:rsidP="00AC5DD7">
            <w:pPr>
              <w:tabs>
                <w:tab w:val="left" w:pos="851"/>
              </w:tabs>
              <w:rPr>
                <w:sz w:val="24"/>
                <w:szCs w:val="24"/>
                <w:lang w:eastAsia="de-AT"/>
              </w:rPr>
            </w:pPr>
            <w:r w:rsidRPr="004F1584">
              <w:rPr>
                <w:sz w:val="24"/>
                <w:szCs w:val="24"/>
                <w:lang w:eastAsia="de-AT"/>
              </w:rPr>
              <w:t>Almindelig</w:t>
            </w:r>
          </w:p>
          <w:p w:rsidR="00F2329D" w:rsidRPr="004F1584" w:rsidRDefault="00F2329D" w:rsidP="00AC5DD7">
            <w:pPr>
              <w:tabs>
                <w:tab w:val="left" w:pos="851"/>
              </w:tabs>
              <w:rPr>
                <w:sz w:val="24"/>
                <w:szCs w:val="24"/>
                <w:lang w:eastAsia="de-AT"/>
              </w:rPr>
            </w:pPr>
            <w:r w:rsidRPr="004F1584">
              <w:rPr>
                <w:sz w:val="24"/>
                <w:szCs w:val="24"/>
                <w:lang w:eastAsia="de-AT"/>
              </w:rPr>
              <w:t>Almindelig</w:t>
            </w:r>
          </w:p>
          <w:p w:rsidR="00F2329D" w:rsidRDefault="00F2329D" w:rsidP="00AC5DD7">
            <w:pPr>
              <w:tabs>
                <w:tab w:val="left" w:pos="851"/>
              </w:tabs>
              <w:rPr>
                <w:sz w:val="24"/>
                <w:szCs w:val="24"/>
                <w:lang w:eastAsia="de-AT"/>
              </w:rPr>
            </w:pPr>
            <w:r w:rsidRPr="004F1584">
              <w:rPr>
                <w:sz w:val="24"/>
                <w:szCs w:val="24"/>
                <w:lang w:eastAsia="de-AT"/>
              </w:rPr>
              <w:t>Almindelig</w:t>
            </w:r>
          </w:p>
          <w:p w:rsidR="00F2329D" w:rsidRPr="004F1584" w:rsidRDefault="00F2329D" w:rsidP="00AC5DD7">
            <w:pPr>
              <w:tabs>
                <w:tab w:val="left" w:pos="851"/>
              </w:tabs>
              <w:rPr>
                <w:sz w:val="24"/>
                <w:szCs w:val="24"/>
                <w:lang w:eastAsia="de-AT"/>
              </w:rPr>
            </w:pPr>
            <w:r>
              <w:rPr>
                <w:sz w:val="24"/>
                <w:szCs w:val="24"/>
                <w:lang w:eastAsia="de-AT"/>
              </w:rPr>
              <w:t>Ikke almindelig</w:t>
            </w:r>
          </w:p>
        </w:tc>
      </w:tr>
      <w:tr w:rsidR="00F2329D" w:rsidRPr="004F1584" w:rsidTr="00AC5DD7">
        <w:trPr>
          <w:tblHeader/>
        </w:trPr>
        <w:tc>
          <w:tcPr>
            <w:tcW w:w="2513" w:type="dxa"/>
            <w:tcBorders>
              <w:top w:val="single" w:sz="4" w:space="0" w:color="auto"/>
              <w:left w:val="single" w:sz="4" w:space="0" w:color="auto"/>
              <w:bottom w:val="single" w:sz="4" w:space="0" w:color="auto"/>
              <w:right w:val="single" w:sz="4" w:space="0" w:color="auto"/>
            </w:tcBorders>
          </w:tcPr>
          <w:p w:rsidR="00F2329D" w:rsidRPr="0024739D" w:rsidRDefault="00F2329D" w:rsidP="00AC5DD7">
            <w:pPr>
              <w:tabs>
                <w:tab w:val="left" w:pos="851"/>
              </w:tabs>
              <w:rPr>
                <w:sz w:val="24"/>
                <w:szCs w:val="24"/>
                <w:lang w:eastAsia="de-AT"/>
              </w:rPr>
            </w:pPr>
            <w:r w:rsidRPr="00AC5DD7">
              <w:rPr>
                <w:sz w:val="24"/>
                <w:szCs w:val="24"/>
              </w:rPr>
              <w:t>Lever og galdeveje</w:t>
            </w:r>
          </w:p>
        </w:tc>
        <w:tc>
          <w:tcPr>
            <w:tcW w:w="2400" w:type="dxa"/>
            <w:tcBorders>
              <w:top w:val="single" w:sz="4" w:space="0" w:color="auto"/>
              <w:left w:val="single" w:sz="4" w:space="0" w:color="auto"/>
              <w:bottom w:val="single" w:sz="4" w:space="0" w:color="auto"/>
              <w:right w:val="single" w:sz="4" w:space="0" w:color="auto"/>
            </w:tcBorders>
          </w:tcPr>
          <w:p w:rsidR="00F2329D" w:rsidRPr="0024739D" w:rsidRDefault="00F2329D" w:rsidP="00AC5DD7">
            <w:pPr>
              <w:tabs>
                <w:tab w:val="left" w:pos="851"/>
              </w:tabs>
              <w:rPr>
                <w:sz w:val="24"/>
                <w:szCs w:val="24"/>
                <w:lang w:eastAsia="de-AT"/>
              </w:rPr>
            </w:pPr>
            <w:proofErr w:type="spellStart"/>
            <w:r w:rsidRPr="00AC5DD7">
              <w:rPr>
                <w:sz w:val="24"/>
                <w:szCs w:val="24"/>
              </w:rPr>
              <w:t>Hypertransaminasæmi</w:t>
            </w:r>
            <w:proofErr w:type="spellEnd"/>
          </w:p>
        </w:tc>
        <w:tc>
          <w:tcPr>
            <w:tcW w:w="2174" w:type="dxa"/>
            <w:tcBorders>
              <w:top w:val="single" w:sz="4" w:space="0" w:color="auto"/>
              <w:left w:val="single" w:sz="4" w:space="0" w:color="auto"/>
              <w:bottom w:val="single" w:sz="4" w:space="0" w:color="auto"/>
              <w:right w:val="single" w:sz="4" w:space="0" w:color="auto"/>
            </w:tcBorders>
          </w:tcPr>
          <w:p w:rsidR="00F2329D" w:rsidRPr="0024739D" w:rsidRDefault="00F2329D" w:rsidP="00AC5DD7">
            <w:pPr>
              <w:tabs>
                <w:tab w:val="left" w:pos="851"/>
              </w:tabs>
              <w:rPr>
                <w:sz w:val="24"/>
                <w:szCs w:val="24"/>
                <w:lang w:eastAsia="de-AT"/>
              </w:rPr>
            </w:pPr>
            <w:r w:rsidRPr="00AC5DD7">
              <w:rPr>
                <w:sz w:val="24"/>
                <w:szCs w:val="24"/>
              </w:rPr>
              <w:t>Sjælden</w:t>
            </w:r>
          </w:p>
        </w:tc>
        <w:tc>
          <w:tcPr>
            <w:tcW w:w="1701" w:type="dxa"/>
            <w:tcBorders>
              <w:top w:val="single" w:sz="4" w:space="0" w:color="auto"/>
              <w:left w:val="single" w:sz="4" w:space="0" w:color="auto"/>
              <w:bottom w:val="single" w:sz="4" w:space="0" w:color="auto"/>
              <w:right w:val="single" w:sz="4" w:space="0" w:color="auto"/>
            </w:tcBorders>
          </w:tcPr>
          <w:p w:rsidR="00F2329D" w:rsidRPr="0024739D" w:rsidRDefault="00F2329D" w:rsidP="00AC5DD7">
            <w:pPr>
              <w:tabs>
                <w:tab w:val="left" w:pos="851"/>
              </w:tabs>
              <w:rPr>
                <w:sz w:val="24"/>
                <w:szCs w:val="24"/>
                <w:lang w:eastAsia="de-AT"/>
              </w:rPr>
            </w:pPr>
            <w:r w:rsidRPr="00AC5DD7">
              <w:rPr>
                <w:sz w:val="24"/>
                <w:szCs w:val="24"/>
              </w:rPr>
              <w:t>Ikke almindelig</w:t>
            </w:r>
          </w:p>
        </w:tc>
      </w:tr>
      <w:tr w:rsidR="00F2329D" w:rsidRPr="004F1584" w:rsidTr="00AC5DD7">
        <w:trPr>
          <w:tblHeader/>
        </w:trPr>
        <w:tc>
          <w:tcPr>
            <w:tcW w:w="2513" w:type="dxa"/>
            <w:tcBorders>
              <w:top w:val="single" w:sz="4" w:space="0" w:color="auto"/>
              <w:left w:val="single" w:sz="4" w:space="0" w:color="auto"/>
              <w:bottom w:val="single" w:sz="4" w:space="0" w:color="auto"/>
              <w:right w:val="single" w:sz="4" w:space="0" w:color="auto"/>
            </w:tcBorders>
          </w:tcPr>
          <w:p w:rsidR="00F2329D" w:rsidRPr="0024739D" w:rsidRDefault="00F2329D" w:rsidP="00AC5DD7">
            <w:pPr>
              <w:tabs>
                <w:tab w:val="left" w:pos="851"/>
              </w:tabs>
              <w:rPr>
                <w:sz w:val="24"/>
                <w:szCs w:val="24"/>
                <w:lang w:eastAsia="de-AT"/>
              </w:rPr>
            </w:pPr>
            <w:r w:rsidRPr="00AC5DD7">
              <w:rPr>
                <w:sz w:val="24"/>
                <w:szCs w:val="24"/>
              </w:rPr>
              <w:t>Hud og subkutane væv</w:t>
            </w:r>
          </w:p>
        </w:tc>
        <w:tc>
          <w:tcPr>
            <w:tcW w:w="2400" w:type="dxa"/>
            <w:tcBorders>
              <w:top w:val="single" w:sz="4" w:space="0" w:color="auto"/>
              <w:left w:val="single" w:sz="4" w:space="0" w:color="auto"/>
              <w:bottom w:val="single" w:sz="4" w:space="0" w:color="auto"/>
              <w:right w:val="single" w:sz="4" w:space="0" w:color="auto"/>
            </w:tcBorders>
          </w:tcPr>
          <w:p w:rsidR="00F2329D" w:rsidRPr="00AC5DD7" w:rsidRDefault="00F2329D" w:rsidP="00AC5DD7">
            <w:pPr>
              <w:pStyle w:val="Default"/>
            </w:pPr>
            <w:proofErr w:type="spellStart"/>
            <w:r w:rsidRPr="00AC5DD7">
              <w:t>Udslæt</w:t>
            </w:r>
            <w:proofErr w:type="spellEnd"/>
          </w:p>
          <w:p w:rsidR="00F2329D" w:rsidRPr="0024739D" w:rsidRDefault="00F2329D" w:rsidP="00AC5DD7">
            <w:pPr>
              <w:tabs>
                <w:tab w:val="left" w:pos="851"/>
              </w:tabs>
              <w:rPr>
                <w:sz w:val="24"/>
                <w:szCs w:val="24"/>
                <w:lang w:eastAsia="de-AT"/>
              </w:rPr>
            </w:pPr>
            <w:r w:rsidRPr="00AC5DD7">
              <w:rPr>
                <w:sz w:val="24"/>
                <w:szCs w:val="24"/>
              </w:rPr>
              <w:t>Hudreaktion</w:t>
            </w:r>
          </w:p>
        </w:tc>
        <w:tc>
          <w:tcPr>
            <w:tcW w:w="2174" w:type="dxa"/>
            <w:tcBorders>
              <w:top w:val="single" w:sz="4" w:space="0" w:color="auto"/>
              <w:left w:val="single" w:sz="4" w:space="0" w:color="auto"/>
              <w:bottom w:val="single" w:sz="4" w:space="0" w:color="auto"/>
              <w:right w:val="single" w:sz="4" w:space="0" w:color="auto"/>
            </w:tcBorders>
          </w:tcPr>
          <w:p w:rsidR="00F2329D" w:rsidRPr="00AC5DD7" w:rsidRDefault="00F2329D" w:rsidP="00AC5DD7">
            <w:pPr>
              <w:pStyle w:val="Default"/>
            </w:pPr>
            <w:proofErr w:type="spellStart"/>
            <w:r w:rsidRPr="00AC5DD7">
              <w:t>Sjælden</w:t>
            </w:r>
            <w:proofErr w:type="spellEnd"/>
          </w:p>
          <w:p w:rsidR="00F2329D" w:rsidRPr="0024739D" w:rsidRDefault="00F2329D" w:rsidP="00AC5DD7">
            <w:pPr>
              <w:tabs>
                <w:tab w:val="left" w:pos="851"/>
              </w:tabs>
              <w:rPr>
                <w:sz w:val="24"/>
                <w:szCs w:val="24"/>
                <w:lang w:eastAsia="de-AT"/>
              </w:rPr>
            </w:pPr>
            <w:r w:rsidRPr="00AC5DD7">
              <w:rPr>
                <w:sz w:val="24"/>
                <w:szCs w:val="24"/>
              </w:rPr>
              <w:t>Sjælden</w:t>
            </w:r>
          </w:p>
        </w:tc>
        <w:tc>
          <w:tcPr>
            <w:tcW w:w="1701" w:type="dxa"/>
            <w:tcBorders>
              <w:top w:val="single" w:sz="4" w:space="0" w:color="auto"/>
              <w:left w:val="single" w:sz="4" w:space="0" w:color="auto"/>
              <w:bottom w:val="single" w:sz="4" w:space="0" w:color="auto"/>
              <w:right w:val="single" w:sz="4" w:space="0" w:color="auto"/>
            </w:tcBorders>
          </w:tcPr>
          <w:p w:rsidR="00F2329D" w:rsidRPr="00AC5DD7" w:rsidRDefault="00F2329D" w:rsidP="00AC5DD7">
            <w:pPr>
              <w:pStyle w:val="Default"/>
            </w:pPr>
            <w:proofErr w:type="spellStart"/>
            <w:r w:rsidRPr="00AC5DD7">
              <w:t>Ikke</w:t>
            </w:r>
            <w:proofErr w:type="spellEnd"/>
            <w:r w:rsidRPr="00AC5DD7">
              <w:t xml:space="preserve"> </w:t>
            </w:r>
            <w:proofErr w:type="spellStart"/>
            <w:r w:rsidRPr="00AC5DD7">
              <w:t>almindelig</w:t>
            </w:r>
            <w:proofErr w:type="spellEnd"/>
          </w:p>
          <w:p w:rsidR="00F2329D" w:rsidRPr="0024739D" w:rsidRDefault="00F2329D" w:rsidP="00AC5DD7">
            <w:pPr>
              <w:tabs>
                <w:tab w:val="left" w:pos="851"/>
              </w:tabs>
              <w:rPr>
                <w:sz w:val="24"/>
                <w:szCs w:val="24"/>
                <w:lang w:eastAsia="de-AT"/>
              </w:rPr>
            </w:pPr>
            <w:r w:rsidRPr="00AC5DD7">
              <w:rPr>
                <w:sz w:val="24"/>
                <w:szCs w:val="24"/>
              </w:rPr>
              <w:t>Ikke almindelig</w:t>
            </w:r>
          </w:p>
        </w:tc>
      </w:tr>
      <w:tr w:rsidR="00F2329D" w:rsidRPr="004F1584" w:rsidTr="00AC5DD7">
        <w:trPr>
          <w:tblHeader/>
        </w:trPr>
        <w:tc>
          <w:tcPr>
            <w:tcW w:w="2513" w:type="dxa"/>
            <w:tcBorders>
              <w:top w:val="single" w:sz="4" w:space="0" w:color="auto"/>
              <w:left w:val="single" w:sz="4" w:space="0" w:color="auto"/>
              <w:bottom w:val="single" w:sz="4" w:space="0" w:color="auto"/>
              <w:right w:val="single" w:sz="4" w:space="0" w:color="auto"/>
            </w:tcBorders>
            <w:hideMark/>
          </w:tcPr>
          <w:p w:rsidR="00F2329D" w:rsidRPr="004F1584" w:rsidRDefault="00F2329D" w:rsidP="00AC5DD7">
            <w:pPr>
              <w:tabs>
                <w:tab w:val="left" w:pos="851"/>
              </w:tabs>
              <w:rPr>
                <w:sz w:val="24"/>
                <w:szCs w:val="24"/>
                <w:lang w:eastAsia="de-AT"/>
              </w:rPr>
            </w:pPr>
            <w:r w:rsidRPr="004F1584">
              <w:rPr>
                <w:sz w:val="24"/>
                <w:szCs w:val="24"/>
                <w:lang w:eastAsia="de-AT"/>
              </w:rPr>
              <w:t>Knogler, led, muskler og bindevæv</w:t>
            </w:r>
          </w:p>
        </w:tc>
        <w:tc>
          <w:tcPr>
            <w:tcW w:w="2400" w:type="dxa"/>
            <w:tcBorders>
              <w:top w:val="single" w:sz="4" w:space="0" w:color="auto"/>
              <w:left w:val="single" w:sz="4" w:space="0" w:color="auto"/>
              <w:bottom w:val="single" w:sz="4" w:space="0" w:color="auto"/>
              <w:right w:val="single" w:sz="4" w:space="0" w:color="auto"/>
            </w:tcBorders>
            <w:hideMark/>
          </w:tcPr>
          <w:p w:rsidR="00F2329D" w:rsidRDefault="00F2329D" w:rsidP="00AC5DD7">
            <w:pPr>
              <w:tabs>
                <w:tab w:val="left" w:pos="851"/>
              </w:tabs>
              <w:rPr>
                <w:sz w:val="24"/>
                <w:szCs w:val="24"/>
                <w:lang w:eastAsia="de-AT"/>
              </w:rPr>
            </w:pPr>
            <w:r w:rsidRPr="004F1584">
              <w:rPr>
                <w:sz w:val="24"/>
                <w:szCs w:val="24"/>
                <w:lang w:eastAsia="de-AT"/>
              </w:rPr>
              <w:t>Myalgi</w:t>
            </w:r>
          </w:p>
          <w:p w:rsidR="00F2329D" w:rsidRPr="004F1584" w:rsidRDefault="00F2329D" w:rsidP="00AC5DD7">
            <w:pPr>
              <w:tabs>
                <w:tab w:val="left" w:pos="851"/>
              </w:tabs>
              <w:rPr>
                <w:sz w:val="24"/>
                <w:szCs w:val="24"/>
                <w:lang w:eastAsia="de-AT"/>
              </w:rPr>
            </w:pPr>
            <w:proofErr w:type="spellStart"/>
            <w:r>
              <w:rPr>
                <w:sz w:val="24"/>
                <w:szCs w:val="24"/>
                <w:lang w:eastAsia="de-AT"/>
              </w:rPr>
              <w:t>Artralgi</w:t>
            </w:r>
            <w:proofErr w:type="spellEnd"/>
          </w:p>
        </w:tc>
        <w:tc>
          <w:tcPr>
            <w:tcW w:w="2174" w:type="dxa"/>
            <w:tcBorders>
              <w:top w:val="single" w:sz="4" w:space="0" w:color="auto"/>
              <w:left w:val="single" w:sz="4" w:space="0" w:color="auto"/>
              <w:bottom w:val="single" w:sz="4" w:space="0" w:color="auto"/>
              <w:right w:val="single" w:sz="4" w:space="0" w:color="auto"/>
            </w:tcBorders>
            <w:hideMark/>
          </w:tcPr>
          <w:p w:rsidR="00F2329D" w:rsidRDefault="00F2329D" w:rsidP="00AC5DD7">
            <w:pPr>
              <w:tabs>
                <w:tab w:val="left" w:pos="851"/>
              </w:tabs>
              <w:rPr>
                <w:sz w:val="24"/>
                <w:szCs w:val="24"/>
                <w:lang w:eastAsia="de-AT"/>
              </w:rPr>
            </w:pPr>
            <w:r w:rsidRPr="004F1584">
              <w:rPr>
                <w:sz w:val="24"/>
                <w:szCs w:val="24"/>
                <w:lang w:eastAsia="de-AT"/>
              </w:rPr>
              <w:t>Sjælden</w:t>
            </w:r>
          </w:p>
          <w:p w:rsidR="00F2329D" w:rsidRPr="004F1584" w:rsidRDefault="00F2329D" w:rsidP="00AC5DD7">
            <w:pPr>
              <w:tabs>
                <w:tab w:val="left" w:pos="851"/>
              </w:tabs>
              <w:rPr>
                <w:sz w:val="24"/>
                <w:szCs w:val="24"/>
                <w:lang w:eastAsia="de-AT"/>
              </w:rPr>
            </w:pPr>
            <w:r>
              <w:rPr>
                <w:sz w:val="24"/>
                <w:szCs w:val="24"/>
                <w:lang w:eastAsia="de-AT"/>
              </w:rPr>
              <w:t>Sjælden</w:t>
            </w:r>
          </w:p>
        </w:tc>
        <w:tc>
          <w:tcPr>
            <w:tcW w:w="1701" w:type="dxa"/>
            <w:tcBorders>
              <w:top w:val="single" w:sz="4" w:space="0" w:color="auto"/>
              <w:left w:val="single" w:sz="4" w:space="0" w:color="auto"/>
              <w:bottom w:val="single" w:sz="4" w:space="0" w:color="auto"/>
              <w:right w:val="single" w:sz="4" w:space="0" w:color="auto"/>
            </w:tcBorders>
            <w:hideMark/>
          </w:tcPr>
          <w:p w:rsidR="00F2329D" w:rsidRDefault="00F2329D" w:rsidP="00AC5DD7">
            <w:pPr>
              <w:tabs>
                <w:tab w:val="left" w:pos="851"/>
              </w:tabs>
              <w:rPr>
                <w:sz w:val="24"/>
                <w:szCs w:val="24"/>
                <w:lang w:eastAsia="de-AT"/>
              </w:rPr>
            </w:pPr>
            <w:r w:rsidRPr="004F1584">
              <w:rPr>
                <w:sz w:val="24"/>
                <w:szCs w:val="24"/>
                <w:lang w:eastAsia="de-AT"/>
              </w:rPr>
              <w:t>Almindelig</w:t>
            </w:r>
          </w:p>
          <w:p w:rsidR="00F2329D" w:rsidRPr="004F1584" w:rsidRDefault="00F2329D" w:rsidP="00AC5DD7">
            <w:pPr>
              <w:tabs>
                <w:tab w:val="left" w:pos="851"/>
              </w:tabs>
              <w:rPr>
                <w:sz w:val="24"/>
                <w:szCs w:val="24"/>
                <w:lang w:eastAsia="de-AT"/>
              </w:rPr>
            </w:pPr>
            <w:r>
              <w:rPr>
                <w:sz w:val="24"/>
                <w:szCs w:val="24"/>
                <w:lang w:eastAsia="de-AT"/>
              </w:rPr>
              <w:t>Ikke almindelig</w:t>
            </w:r>
          </w:p>
        </w:tc>
      </w:tr>
      <w:tr w:rsidR="00F2329D" w:rsidRPr="004F1584" w:rsidTr="00AC5DD7">
        <w:trPr>
          <w:tblHeader/>
        </w:trPr>
        <w:tc>
          <w:tcPr>
            <w:tcW w:w="2513" w:type="dxa"/>
            <w:tcBorders>
              <w:top w:val="single" w:sz="4" w:space="0" w:color="auto"/>
              <w:left w:val="single" w:sz="4" w:space="0" w:color="auto"/>
              <w:bottom w:val="single" w:sz="4" w:space="0" w:color="auto"/>
              <w:right w:val="single" w:sz="4" w:space="0" w:color="auto"/>
            </w:tcBorders>
            <w:hideMark/>
          </w:tcPr>
          <w:p w:rsidR="00F2329D" w:rsidRDefault="00F2329D" w:rsidP="00AC5DD7">
            <w:pPr>
              <w:rPr>
                <w:sz w:val="24"/>
                <w:szCs w:val="24"/>
                <w:lang w:eastAsia="da-DK"/>
              </w:rPr>
            </w:pPr>
            <w:r>
              <w:rPr>
                <w:sz w:val="24"/>
                <w:szCs w:val="24"/>
                <w:lang w:eastAsia="de-AT"/>
              </w:rPr>
              <w:t>Almene symptomer og reaktioner på administrationsstedet</w:t>
            </w:r>
            <w:r>
              <w:rPr>
                <w:sz w:val="24"/>
                <w:szCs w:val="24"/>
                <w:lang w:eastAsia="da-DK"/>
              </w:rPr>
              <w:t xml:space="preserve"> </w:t>
            </w:r>
          </w:p>
          <w:p w:rsidR="00F2329D" w:rsidRPr="004F1584" w:rsidRDefault="00F2329D" w:rsidP="00AC5DD7">
            <w:pPr>
              <w:tabs>
                <w:tab w:val="left" w:pos="851"/>
              </w:tabs>
              <w:rPr>
                <w:sz w:val="24"/>
                <w:szCs w:val="24"/>
                <w:lang w:eastAsia="de-AT"/>
              </w:rPr>
            </w:pPr>
          </w:p>
        </w:tc>
        <w:tc>
          <w:tcPr>
            <w:tcW w:w="2400" w:type="dxa"/>
            <w:tcBorders>
              <w:top w:val="single" w:sz="4" w:space="0" w:color="auto"/>
              <w:left w:val="single" w:sz="4" w:space="0" w:color="auto"/>
              <w:bottom w:val="single" w:sz="4" w:space="0" w:color="auto"/>
              <w:right w:val="single" w:sz="4" w:space="0" w:color="auto"/>
            </w:tcBorders>
            <w:hideMark/>
          </w:tcPr>
          <w:p w:rsidR="00F2329D" w:rsidRDefault="00F2329D" w:rsidP="00AC5DD7">
            <w:pPr>
              <w:tabs>
                <w:tab w:val="left" w:pos="851"/>
              </w:tabs>
              <w:rPr>
                <w:sz w:val="24"/>
                <w:szCs w:val="24"/>
                <w:lang w:eastAsia="de-AT"/>
              </w:rPr>
            </w:pPr>
            <w:r w:rsidRPr="004F1584">
              <w:rPr>
                <w:sz w:val="24"/>
                <w:szCs w:val="24"/>
                <w:lang w:eastAsia="de-AT"/>
              </w:rPr>
              <w:t>Reaktion på administrationsstedet</w:t>
            </w:r>
          </w:p>
          <w:p w:rsidR="00F2329D" w:rsidRDefault="00F2329D" w:rsidP="00AC5DD7">
            <w:pPr>
              <w:tabs>
                <w:tab w:val="left" w:pos="851"/>
              </w:tabs>
              <w:rPr>
                <w:rFonts w:eastAsiaTheme="minorHAnsi"/>
                <w:color w:val="000000"/>
                <w:sz w:val="22"/>
                <w:szCs w:val="24"/>
              </w:rPr>
            </w:pPr>
            <w:proofErr w:type="spellStart"/>
            <w:r w:rsidRPr="004F1584">
              <w:rPr>
                <w:sz w:val="24"/>
                <w:szCs w:val="24"/>
                <w:lang w:eastAsia="de-AT"/>
              </w:rPr>
              <w:t>Pyreksi</w:t>
            </w:r>
            <w:proofErr w:type="spellEnd"/>
          </w:p>
          <w:p w:rsidR="00F2329D" w:rsidRPr="0024739D" w:rsidRDefault="00F2329D" w:rsidP="00AC5DD7">
            <w:pPr>
              <w:tabs>
                <w:tab w:val="left" w:pos="851"/>
              </w:tabs>
              <w:rPr>
                <w:sz w:val="24"/>
                <w:szCs w:val="24"/>
                <w:lang w:eastAsia="de-AT"/>
              </w:rPr>
            </w:pPr>
            <w:r w:rsidRPr="0024739D">
              <w:rPr>
                <w:sz w:val="24"/>
                <w:szCs w:val="24"/>
                <w:lang w:eastAsia="de-AT"/>
              </w:rPr>
              <w:t>Kuldegysninger</w:t>
            </w:r>
          </w:p>
          <w:p w:rsidR="00F2329D" w:rsidRPr="0024739D" w:rsidRDefault="00F2329D" w:rsidP="00AC5DD7">
            <w:pPr>
              <w:tabs>
                <w:tab w:val="left" w:pos="851"/>
              </w:tabs>
              <w:rPr>
                <w:sz w:val="24"/>
                <w:szCs w:val="24"/>
                <w:lang w:eastAsia="de-AT"/>
              </w:rPr>
            </w:pPr>
            <w:r w:rsidRPr="0024739D">
              <w:rPr>
                <w:sz w:val="24"/>
                <w:szCs w:val="24"/>
                <w:lang w:eastAsia="de-AT"/>
              </w:rPr>
              <w:t>Træthed</w:t>
            </w:r>
          </w:p>
          <w:p w:rsidR="00F2329D" w:rsidRPr="0024739D" w:rsidRDefault="00F2329D" w:rsidP="00AC5DD7">
            <w:pPr>
              <w:tabs>
                <w:tab w:val="left" w:pos="851"/>
              </w:tabs>
              <w:rPr>
                <w:sz w:val="24"/>
                <w:szCs w:val="24"/>
                <w:lang w:eastAsia="de-AT"/>
              </w:rPr>
            </w:pPr>
            <w:r w:rsidRPr="0024739D">
              <w:rPr>
                <w:sz w:val="24"/>
                <w:szCs w:val="24"/>
                <w:lang w:eastAsia="de-AT"/>
              </w:rPr>
              <w:t>Smerter i brystkassen</w:t>
            </w:r>
          </w:p>
          <w:p w:rsidR="00F2329D" w:rsidRPr="0024739D" w:rsidRDefault="00F2329D" w:rsidP="00AC5DD7">
            <w:pPr>
              <w:tabs>
                <w:tab w:val="left" w:pos="851"/>
              </w:tabs>
              <w:rPr>
                <w:sz w:val="24"/>
                <w:szCs w:val="24"/>
                <w:lang w:eastAsia="de-AT"/>
              </w:rPr>
            </w:pPr>
            <w:r w:rsidRPr="0024739D">
              <w:rPr>
                <w:sz w:val="24"/>
                <w:szCs w:val="24"/>
                <w:lang w:eastAsia="de-AT"/>
              </w:rPr>
              <w:t>Influenzalignende sygdom</w:t>
            </w:r>
          </w:p>
          <w:p w:rsidR="00F2329D" w:rsidRPr="0024739D" w:rsidRDefault="00F2329D" w:rsidP="00AC5DD7">
            <w:pPr>
              <w:tabs>
                <w:tab w:val="left" w:pos="851"/>
              </w:tabs>
              <w:rPr>
                <w:sz w:val="24"/>
                <w:szCs w:val="24"/>
                <w:lang w:eastAsia="de-AT"/>
              </w:rPr>
            </w:pPr>
            <w:r w:rsidRPr="0024739D">
              <w:rPr>
                <w:sz w:val="24"/>
                <w:szCs w:val="24"/>
                <w:lang w:eastAsia="de-AT"/>
              </w:rPr>
              <w:t>Utilpashed</w:t>
            </w:r>
          </w:p>
          <w:p w:rsidR="00F2329D" w:rsidRPr="004F1584" w:rsidRDefault="00F2329D" w:rsidP="00AC5DD7">
            <w:pPr>
              <w:tabs>
                <w:tab w:val="left" w:pos="851"/>
              </w:tabs>
              <w:rPr>
                <w:sz w:val="24"/>
                <w:szCs w:val="24"/>
                <w:lang w:eastAsia="de-AT"/>
              </w:rPr>
            </w:pPr>
            <w:r w:rsidRPr="0024739D">
              <w:rPr>
                <w:sz w:val="24"/>
                <w:szCs w:val="24"/>
                <w:lang w:eastAsia="de-AT"/>
              </w:rPr>
              <w:t>Smerter</w:t>
            </w:r>
          </w:p>
        </w:tc>
        <w:tc>
          <w:tcPr>
            <w:tcW w:w="2174" w:type="dxa"/>
            <w:tcBorders>
              <w:top w:val="single" w:sz="4" w:space="0" w:color="auto"/>
              <w:left w:val="single" w:sz="4" w:space="0" w:color="auto"/>
              <w:bottom w:val="single" w:sz="4" w:space="0" w:color="auto"/>
              <w:right w:val="single" w:sz="4" w:space="0" w:color="auto"/>
            </w:tcBorders>
          </w:tcPr>
          <w:p w:rsidR="00F2329D" w:rsidRPr="004F1584" w:rsidRDefault="00F2329D" w:rsidP="00AC5DD7">
            <w:pPr>
              <w:tabs>
                <w:tab w:val="left" w:pos="851"/>
              </w:tabs>
              <w:rPr>
                <w:sz w:val="24"/>
                <w:szCs w:val="24"/>
                <w:lang w:eastAsia="de-AT"/>
              </w:rPr>
            </w:pPr>
            <w:r w:rsidRPr="004F1584">
              <w:rPr>
                <w:sz w:val="24"/>
                <w:szCs w:val="24"/>
                <w:lang w:eastAsia="de-AT"/>
              </w:rPr>
              <w:t>Meget almindelig</w:t>
            </w:r>
          </w:p>
          <w:p w:rsidR="00F2329D" w:rsidRDefault="00F2329D" w:rsidP="00AC5DD7">
            <w:pPr>
              <w:tabs>
                <w:tab w:val="left" w:pos="851"/>
              </w:tabs>
              <w:rPr>
                <w:sz w:val="24"/>
                <w:szCs w:val="24"/>
                <w:lang w:eastAsia="de-AT"/>
              </w:rPr>
            </w:pPr>
          </w:p>
          <w:p w:rsidR="00F2329D" w:rsidRDefault="00F2329D" w:rsidP="00AC5DD7">
            <w:pPr>
              <w:tabs>
                <w:tab w:val="left" w:pos="851"/>
              </w:tabs>
              <w:rPr>
                <w:sz w:val="24"/>
                <w:szCs w:val="24"/>
                <w:lang w:eastAsia="de-AT"/>
              </w:rPr>
            </w:pPr>
            <w:r w:rsidRPr="004F1584">
              <w:rPr>
                <w:sz w:val="24"/>
                <w:szCs w:val="24"/>
                <w:lang w:eastAsia="de-AT"/>
              </w:rPr>
              <w:t>Sjælden</w:t>
            </w:r>
          </w:p>
          <w:p w:rsidR="00F2329D" w:rsidRPr="0024739D" w:rsidRDefault="00F2329D" w:rsidP="00AC5DD7">
            <w:pPr>
              <w:tabs>
                <w:tab w:val="left" w:pos="851"/>
              </w:tabs>
              <w:rPr>
                <w:sz w:val="24"/>
                <w:szCs w:val="24"/>
                <w:lang w:eastAsia="de-AT"/>
              </w:rPr>
            </w:pPr>
            <w:r w:rsidRPr="0024739D">
              <w:rPr>
                <w:sz w:val="24"/>
                <w:szCs w:val="24"/>
                <w:lang w:eastAsia="de-AT"/>
              </w:rPr>
              <w:t>Sjælden</w:t>
            </w:r>
          </w:p>
          <w:p w:rsidR="00F2329D" w:rsidRPr="0024739D" w:rsidRDefault="00F2329D" w:rsidP="00AC5DD7">
            <w:pPr>
              <w:tabs>
                <w:tab w:val="left" w:pos="851"/>
              </w:tabs>
              <w:rPr>
                <w:sz w:val="24"/>
                <w:szCs w:val="24"/>
                <w:lang w:eastAsia="de-AT"/>
              </w:rPr>
            </w:pPr>
            <w:r w:rsidRPr="0024739D">
              <w:rPr>
                <w:sz w:val="24"/>
                <w:szCs w:val="24"/>
                <w:lang w:eastAsia="de-AT"/>
              </w:rPr>
              <w:t>Ikke almindelig</w:t>
            </w:r>
          </w:p>
          <w:p w:rsidR="00F2329D" w:rsidRPr="0024739D" w:rsidRDefault="00F2329D" w:rsidP="00AC5DD7">
            <w:pPr>
              <w:tabs>
                <w:tab w:val="left" w:pos="851"/>
              </w:tabs>
              <w:rPr>
                <w:sz w:val="24"/>
                <w:szCs w:val="24"/>
                <w:lang w:eastAsia="de-AT"/>
              </w:rPr>
            </w:pPr>
            <w:r w:rsidRPr="0024739D">
              <w:rPr>
                <w:sz w:val="24"/>
                <w:szCs w:val="24"/>
                <w:lang w:eastAsia="de-AT"/>
              </w:rPr>
              <w:t>Sjælden</w:t>
            </w:r>
          </w:p>
          <w:p w:rsidR="00F2329D" w:rsidRPr="0024739D" w:rsidRDefault="00F2329D" w:rsidP="00AC5DD7">
            <w:pPr>
              <w:tabs>
                <w:tab w:val="left" w:pos="851"/>
              </w:tabs>
              <w:rPr>
                <w:sz w:val="24"/>
                <w:szCs w:val="24"/>
                <w:lang w:eastAsia="de-AT"/>
              </w:rPr>
            </w:pPr>
            <w:r w:rsidRPr="0024739D">
              <w:rPr>
                <w:sz w:val="24"/>
                <w:szCs w:val="24"/>
                <w:lang w:eastAsia="de-AT"/>
              </w:rPr>
              <w:t>Sjælden</w:t>
            </w:r>
          </w:p>
          <w:p w:rsidR="00F2329D" w:rsidRDefault="00F2329D" w:rsidP="00AC5DD7">
            <w:pPr>
              <w:tabs>
                <w:tab w:val="left" w:pos="851"/>
              </w:tabs>
              <w:rPr>
                <w:sz w:val="24"/>
                <w:szCs w:val="24"/>
                <w:lang w:eastAsia="de-AT"/>
              </w:rPr>
            </w:pPr>
          </w:p>
          <w:p w:rsidR="00F2329D" w:rsidRPr="0024739D" w:rsidRDefault="00F2329D" w:rsidP="00AC5DD7">
            <w:pPr>
              <w:tabs>
                <w:tab w:val="left" w:pos="851"/>
              </w:tabs>
              <w:rPr>
                <w:sz w:val="24"/>
                <w:szCs w:val="24"/>
                <w:lang w:eastAsia="de-AT"/>
              </w:rPr>
            </w:pPr>
            <w:r w:rsidRPr="0024739D">
              <w:rPr>
                <w:sz w:val="24"/>
                <w:szCs w:val="24"/>
                <w:lang w:eastAsia="de-AT"/>
              </w:rPr>
              <w:t>Sjælden</w:t>
            </w:r>
          </w:p>
          <w:p w:rsidR="00F2329D" w:rsidRPr="004F1584" w:rsidRDefault="00F2329D" w:rsidP="00AC5DD7">
            <w:pPr>
              <w:tabs>
                <w:tab w:val="left" w:pos="851"/>
              </w:tabs>
              <w:rPr>
                <w:sz w:val="24"/>
                <w:szCs w:val="24"/>
                <w:lang w:eastAsia="de-AT"/>
              </w:rPr>
            </w:pPr>
            <w:r w:rsidRPr="0024739D">
              <w:rPr>
                <w:sz w:val="24"/>
                <w:szCs w:val="24"/>
                <w:lang w:eastAsia="de-AT"/>
              </w:rPr>
              <w:t>Sjælden</w:t>
            </w:r>
          </w:p>
        </w:tc>
        <w:tc>
          <w:tcPr>
            <w:tcW w:w="1701" w:type="dxa"/>
            <w:tcBorders>
              <w:top w:val="single" w:sz="4" w:space="0" w:color="auto"/>
              <w:left w:val="single" w:sz="4" w:space="0" w:color="auto"/>
              <w:bottom w:val="single" w:sz="4" w:space="0" w:color="auto"/>
              <w:right w:val="single" w:sz="4" w:space="0" w:color="auto"/>
            </w:tcBorders>
          </w:tcPr>
          <w:p w:rsidR="00F2329D" w:rsidRPr="004F1584" w:rsidRDefault="00F2329D" w:rsidP="00AC5DD7">
            <w:pPr>
              <w:tabs>
                <w:tab w:val="left" w:pos="851"/>
              </w:tabs>
              <w:rPr>
                <w:sz w:val="24"/>
                <w:szCs w:val="24"/>
                <w:lang w:eastAsia="de-AT"/>
              </w:rPr>
            </w:pPr>
            <w:r w:rsidRPr="004F1584">
              <w:rPr>
                <w:sz w:val="24"/>
                <w:szCs w:val="24"/>
                <w:lang w:eastAsia="de-AT"/>
              </w:rPr>
              <w:t>Meget almindelig</w:t>
            </w:r>
          </w:p>
          <w:p w:rsidR="00F2329D" w:rsidRDefault="00F2329D" w:rsidP="00AC5DD7">
            <w:pPr>
              <w:tabs>
                <w:tab w:val="left" w:pos="851"/>
              </w:tabs>
              <w:rPr>
                <w:rFonts w:eastAsiaTheme="minorHAnsi"/>
                <w:color w:val="000000"/>
                <w:sz w:val="22"/>
                <w:szCs w:val="24"/>
              </w:rPr>
            </w:pPr>
            <w:r w:rsidRPr="004F1584">
              <w:rPr>
                <w:sz w:val="24"/>
                <w:szCs w:val="24"/>
                <w:lang w:eastAsia="de-AT"/>
              </w:rPr>
              <w:t>Almindelig</w:t>
            </w:r>
          </w:p>
          <w:p w:rsidR="00F2329D" w:rsidRPr="0024739D" w:rsidRDefault="00F2329D" w:rsidP="00AC5DD7">
            <w:pPr>
              <w:tabs>
                <w:tab w:val="left" w:pos="851"/>
              </w:tabs>
              <w:rPr>
                <w:sz w:val="24"/>
                <w:szCs w:val="24"/>
                <w:lang w:eastAsia="de-AT"/>
              </w:rPr>
            </w:pPr>
            <w:r w:rsidRPr="0024739D">
              <w:rPr>
                <w:sz w:val="24"/>
                <w:szCs w:val="24"/>
                <w:lang w:eastAsia="de-AT"/>
              </w:rPr>
              <w:t>Almindelig</w:t>
            </w:r>
          </w:p>
          <w:p w:rsidR="00F2329D" w:rsidRPr="0024739D" w:rsidRDefault="00F2329D" w:rsidP="00AC5DD7">
            <w:pPr>
              <w:tabs>
                <w:tab w:val="left" w:pos="851"/>
              </w:tabs>
              <w:rPr>
                <w:sz w:val="24"/>
                <w:szCs w:val="24"/>
                <w:lang w:eastAsia="de-AT"/>
              </w:rPr>
            </w:pPr>
            <w:r w:rsidRPr="0024739D">
              <w:rPr>
                <w:sz w:val="24"/>
                <w:szCs w:val="24"/>
                <w:lang w:eastAsia="de-AT"/>
              </w:rPr>
              <w:t>Almindelig</w:t>
            </w:r>
          </w:p>
          <w:p w:rsidR="00F2329D" w:rsidRPr="0024739D" w:rsidRDefault="00F2329D" w:rsidP="00AC5DD7">
            <w:pPr>
              <w:tabs>
                <w:tab w:val="left" w:pos="851"/>
              </w:tabs>
              <w:rPr>
                <w:sz w:val="24"/>
                <w:szCs w:val="24"/>
                <w:lang w:eastAsia="de-AT"/>
              </w:rPr>
            </w:pPr>
            <w:r w:rsidRPr="0024739D">
              <w:rPr>
                <w:sz w:val="24"/>
                <w:szCs w:val="24"/>
                <w:lang w:eastAsia="de-AT"/>
              </w:rPr>
              <w:t>Ikke almindelig</w:t>
            </w:r>
          </w:p>
          <w:p w:rsidR="00F2329D" w:rsidRPr="0024739D" w:rsidRDefault="00F2329D" w:rsidP="00AC5DD7">
            <w:pPr>
              <w:tabs>
                <w:tab w:val="left" w:pos="851"/>
              </w:tabs>
              <w:rPr>
                <w:sz w:val="24"/>
                <w:szCs w:val="24"/>
                <w:lang w:eastAsia="de-AT"/>
              </w:rPr>
            </w:pPr>
            <w:r w:rsidRPr="0024739D">
              <w:rPr>
                <w:sz w:val="24"/>
                <w:szCs w:val="24"/>
                <w:lang w:eastAsia="de-AT"/>
              </w:rPr>
              <w:t>Ikke almindelig</w:t>
            </w:r>
          </w:p>
          <w:p w:rsidR="00F2329D" w:rsidRDefault="00F2329D" w:rsidP="00AC5DD7">
            <w:pPr>
              <w:tabs>
                <w:tab w:val="left" w:pos="851"/>
              </w:tabs>
              <w:rPr>
                <w:sz w:val="24"/>
                <w:szCs w:val="24"/>
                <w:lang w:eastAsia="de-AT"/>
              </w:rPr>
            </w:pPr>
          </w:p>
          <w:p w:rsidR="00F2329D" w:rsidRPr="0024739D" w:rsidRDefault="00F2329D" w:rsidP="00AC5DD7">
            <w:pPr>
              <w:tabs>
                <w:tab w:val="left" w:pos="851"/>
              </w:tabs>
              <w:rPr>
                <w:sz w:val="24"/>
                <w:szCs w:val="24"/>
                <w:lang w:eastAsia="de-AT"/>
              </w:rPr>
            </w:pPr>
            <w:r w:rsidRPr="0024739D">
              <w:rPr>
                <w:sz w:val="24"/>
                <w:szCs w:val="24"/>
                <w:lang w:eastAsia="de-AT"/>
              </w:rPr>
              <w:t>Ikke almindelig</w:t>
            </w:r>
          </w:p>
          <w:p w:rsidR="00F2329D" w:rsidRPr="004F1584" w:rsidRDefault="00F2329D" w:rsidP="00AC5DD7">
            <w:pPr>
              <w:tabs>
                <w:tab w:val="left" w:pos="851"/>
              </w:tabs>
              <w:rPr>
                <w:sz w:val="24"/>
                <w:szCs w:val="24"/>
                <w:lang w:eastAsia="de-AT"/>
              </w:rPr>
            </w:pPr>
            <w:r w:rsidRPr="0024739D">
              <w:rPr>
                <w:sz w:val="24"/>
                <w:szCs w:val="24"/>
                <w:lang w:eastAsia="de-AT"/>
              </w:rPr>
              <w:t>Ikke almindelig</w:t>
            </w:r>
          </w:p>
        </w:tc>
      </w:tr>
      <w:tr w:rsidR="00F2329D" w:rsidRPr="004F1584" w:rsidTr="00AC5DD7">
        <w:trPr>
          <w:tblHeader/>
        </w:trPr>
        <w:tc>
          <w:tcPr>
            <w:tcW w:w="2513" w:type="dxa"/>
            <w:tcBorders>
              <w:top w:val="single" w:sz="4" w:space="0" w:color="auto"/>
              <w:left w:val="single" w:sz="4" w:space="0" w:color="auto"/>
              <w:bottom w:val="single" w:sz="4" w:space="0" w:color="auto"/>
              <w:right w:val="single" w:sz="4" w:space="0" w:color="auto"/>
            </w:tcBorders>
            <w:hideMark/>
          </w:tcPr>
          <w:p w:rsidR="00F2329D" w:rsidRPr="004F1584" w:rsidRDefault="00F2329D" w:rsidP="00AC5DD7">
            <w:pPr>
              <w:tabs>
                <w:tab w:val="left" w:pos="851"/>
              </w:tabs>
              <w:rPr>
                <w:sz w:val="24"/>
                <w:szCs w:val="24"/>
                <w:lang w:eastAsia="de-AT"/>
              </w:rPr>
            </w:pPr>
            <w:r w:rsidRPr="004F1584">
              <w:rPr>
                <w:sz w:val="24"/>
                <w:szCs w:val="24"/>
                <w:lang w:eastAsia="de-AT"/>
              </w:rPr>
              <w:t>Undersøgelser</w:t>
            </w:r>
          </w:p>
        </w:tc>
        <w:tc>
          <w:tcPr>
            <w:tcW w:w="2400" w:type="dxa"/>
            <w:tcBorders>
              <w:top w:val="single" w:sz="4" w:space="0" w:color="auto"/>
              <w:left w:val="single" w:sz="4" w:space="0" w:color="auto"/>
              <w:bottom w:val="single" w:sz="4" w:space="0" w:color="auto"/>
              <w:right w:val="single" w:sz="4" w:space="0" w:color="auto"/>
            </w:tcBorders>
            <w:hideMark/>
          </w:tcPr>
          <w:p w:rsidR="00F2329D" w:rsidRPr="00D73125" w:rsidRDefault="00F2329D" w:rsidP="00AC5DD7">
            <w:pPr>
              <w:tabs>
                <w:tab w:val="left" w:pos="851"/>
              </w:tabs>
              <w:rPr>
                <w:sz w:val="24"/>
                <w:szCs w:val="24"/>
                <w:lang w:eastAsia="de-AT"/>
              </w:rPr>
            </w:pPr>
            <w:r>
              <w:rPr>
                <w:sz w:val="24"/>
                <w:szCs w:val="24"/>
                <w:lang w:eastAsia="de-AT"/>
              </w:rPr>
              <w:t>Tilstedeværelse af frit</w:t>
            </w:r>
            <w:r w:rsidRPr="00D73125">
              <w:rPr>
                <w:sz w:val="24"/>
                <w:szCs w:val="24"/>
                <w:lang w:eastAsia="de-AT"/>
              </w:rPr>
              <w:t xml:space="preserve"> hæmoglobin</w:t>
            </w:r>
          </w:p>
          <w:p w:rsidR="00F2329D" w:rsidRPr="004F1584" w:rsidRDefault="00F2329D" w:rsidP="00AC5DD7">
            <w:pPr>
              <w:tabs>
                <w:tab w:val="left" w:pos="851"/>
              </w:tabs>
              <w:rPr>
                <w:sz w:val="24"/>
                <w:szCs w:val="24"/>
                <w:lang w:eastAsia="de-AT"/>
              </w:rPr>
            </w:pPr>
            <w:r w:rsidRPr="004F1584">
              <w:rPr>
                <w:sz w:val="24"/>
                <w:szCs w:val="24"/>
                <w:lang w:eastAsia="de-AT"/>
              </w:rPr>
              <w:t xml:space="preserve">Positiv </w:t>
            </w:r>
            <w:proofErr w:type="spellStart"/>
            <w:r w:rsidRPr="004F1584">
              <w:rPr>
                <w:sz w:val="24"/>
                <w:szCs w:val="24"/>
                <w:lang w:eastAsia="de-AT"/>
              </w:rPr>
              <w:t>Coombs</w:t>
            </w:r>
            <w:proofErr w:type="spellEnd"/>
            <w:r w:rsidRPr="004F1584">
              <w:rPr>
                <w:sz w:val="24"/>
                <w:szCs w:val="24"/>
                <w:lang w:eastAsia="de-AT"/>
              </w:rPr>
              <w:t xml:space="preserve"> test</w:t>
            </w:r>
          </w:p>
          <w:p w:rsidR="00F2329D" w:rsidRPr="00D73125" w:rsidRDefault="00F2329D" w:rsidP="00AC5DD7">
            <w:pPr>
              <w:tabs>
                <w:tab w:val="left" w:pos="851"/>
              </w:tabs>
              <w:rPr>
                <w:sz w:val="24"/>
                <w:szCs w:val="24"/>
                <w:lang w:eastAsia="de-AT"/>
              </w:rPr>
            </w:pPr>
            <w:r w:rsidRPr="004F1584">
              <w:rPr>
                <w:sz w:val="24"/>
                <w:szCs w:val="24"/>
                <w:lang w:eastAsia="de-AT"/>
              </w:rPr>
              <w:t xml:space="preserve">Nedsat </w:t>
            </w:r>
            <w:proofErr w:type="spellStart"/>
            <w:r w:rsidRPr="004F1584">
              <w:rPr>
                <w:sz w:val="24"/>
                <w:szCs w:val="24"/>
                <w:lang w:eastAsia="de-AT"/>
              </w:rPr>
              <w:t>haptoglobin</w:t>
            </w:r>
            <w:proofErr w:type="spellEnd"/>
          </w:p>
          <w:p w:rsidR="00F2329D" w:rsidRPr="00D73125" w:rsidRDefault="00F2329D" w:rsidP="00AC5DD7">
            <w:pPr>
              <w:tabs>
                <w:tab w:val="left" w:pos="851"/>
              </w:tabs>
              <w:rPr>
                <w:sz w:val="24"/>
                <w:szCs w:val="24"/>
                <w:lang w:eastAsia="de-AT"/>
              </w:rPr>
            </w:pPr>
            <w:r w:rsidRPr="00D73125">
              <w:rPr>
                <w:sz w:val="24"/>
                <w:szCs w:val="24"/>
                <w:lang w:eastAsia="de-AT"/>
              </w:rPr>
              <w:t>Forhøjet hæmoglobin</w:t>
            </w:r>
          </w:p>
          <w:p w:rsidR="00F2329D" w:rsidRPr="004F1584" w:rsidRDefault="00F2329D" w:rsidP="00AC5DD7">
            <w:pPr>
              <w:tabs>
                <w:tab w:val="left" w:pos="851"/>
              </w:tabs>
              <w:rPr>
                <w:sz w:val="24"/>
                <w:szCs w:val="24"/>
                <w:lang w:eastAsia="de-AT"/>
              </w:rPr>
            </w:pPr>
            <w:r w:rsidRPr="00D73125">
              <w:rPr>
                <w:sz w:val="24"/>
                <w:szCs w:val="24"/>
                <w:lang w:eastAsia="de-AT"/>
              </w:rPr>
              <w:t xml:space="preserve">Forhøjet </w:t>
            </w:r>
            <w:proofErr w:type="spellStart"/>
            <w:r w:rsidRPr="00D73125">
              <w:rPr>
                <w:sz w:val="24"/>
                <w:szCs w:val="24"/>
                <w:lang w:eastAsia="de-AT"/>
              </w:rPr>
              <w:t>blodkreatinin</w:t>
            </w:r>
            <w:proofErr w:type="spellEnd"/>
          </w:p>
        </w:tc>
        <w:tc>
          <w:tcPr>
            <w:tcW w:w="2174" w:type="dxa"/>
            <w:tcBorders>
              <w:top w:val="single" w:sz="4" w:space="0" w:color="auto"/>
              <w:left w:val="single" w:sz="4" w:space="0" w:color="auto"/>
              <w:bottom w:val="single" w:sz="4" w:space="0" w:color="auto"/>
              <w:right w:val="single" w:sz="4" w:space="0" w:color="auto"/>
            </w:tcBorders>
          </w:tcPr>
          <w:p w:rsidR="00F2329D" w:rsidRDefault="00F2329D" w:rsidP="00AC5DD7">
            <w:pPr>
              <w:tabs>
                <w:tab w:val="left" w:pos="851"/>
              </w:tabs>
              <w:rPr>
                <w:sz w:val="24"/>
                <w:szCs w:val="24"/>
                <w:lang w:eastAsia="de-AT"/>
              </w:rPr>
            </w:pPr>
            <w:r>
              <w:rPr>
                <w:sz w:val="24"/>
                <w:szCs w:val="24"/>
                <w:lang w:eastAsia="de-AT"/>
              </w:rPr>
              <w:t>Sjælden</w:t>
            </w:r>
          </w:p>
          <w:p w:rsidR="00F2329D" w:rsidRDefault="00F2329D" w:rsidP="00AC5DD7">
            <w:pPr>
              <w:tabs>
                <w:tab w:val="left" w:pos="851"/>
              </w:tabs>
              <w:rPr>
                <w:sz w:val="24"/>
                <w:szCs w:val="24"/>
                <w:lang w:eastAsia="de-AT"/>
              </w:rPr>
            </w:pPr>
          </w:p>
          <w:p w:rsidR="00F2329D" w:rsidRPr="004F1584" w:rsidRDefault="00F2329D" w:rsidP="00AC5DD7">
            <w:pPr>
              <w:tabs>
                <w:tab w:val="left" w:pos="851"/>
              </w:tabs>
              <w:rPr>
                <w:sz w:val="24"/>
                <w:szCs w:val="24"/>
                <w:lang w:eastAsia="de-AT"/>
              </w:rPr>
            </w:pPr>
            <w:r w:rsidRPr="004F1584">
              <w:rPr>
                <w:sz w:val="24"/>
                <w:szCs w:val="24"/>
                <w:lang w:eastAsia="de-AT"/>
              </w:rPr>
              <w:t>Sjælden</w:t>
            </w:r>
          </w:p>
          <w:p w:rsidR="00F2329D" w:rsidRPr="004F1584" w:rsidRDefault="00F2329D" w:rsidP="00AC5DD7">
            <w:pPr>
              <w:tabs>
                <w:tab w:val="left" w:pos="851"/>
              </w:tabs>
              <w:rPr>
                <w:sz w:val="24"/>
                <w:szCs w:val="24"/>
                <w:lang w:eastAsia="de-AT"/>
              </w:rPr>
            </w:pPr>
            <w:r w:rsidRPr="004F1584">
              <w:rPr>
                <w:sz w:val="24"/>
                <w:szCs w:val="24"/>
                <w:lang w:eastAsia="de-AT"/>
              </w:rPr>
              <w:t>Sjælden</w:t>
            </w:r>
          </w:p>
          <w:p w:rsidR="00F2329D" w:rsidRDefault="00F2329D" w:rsidP="00AC5DD7">
            <w:pPr>
              <w:tabs>
                <w:tab w:val="left" w:pos="851"/>
              </w:tabs>
              <w:rPr>
                <w:sz w:val="24"/>
                <w:szCs w:val="24"/>
                <w:lang w:eastAsia="de-AT"/>
              </w:rPr>
            </w:pPr>
            <w:r w:rsidRPr="004F1584">
              <w:rPr>
                <w:sz w:val="24"/>
                <w:szCs w:val="24"/>
                <w:lang w:eastAsia="de-AT"/>
              </w:rPr>
              <w:t>Sjælden</w:t>
            </w:r>
          </w:p>
          <w:p w:rsidR="00F2329D" w:rsidRPr="004F1584" w:rsidRDefault="00F2329D" w:rsidP="00AC5DD7">
            <w:pPr>
              <w:tabs>
                <w:tab w:val="left" w:pos="851"/>
              </w:tabs>
              <w:rPr>
                <w:sz w:val="24"/>
                <w:szCs w:val="24"/>
                <w:lang w:eastAsia="de-AT"/>
              </w:rPr>
            </w:pPr>
            <w:r>
              <w:rPr>
                <w:sz w:val="24"/>
                <w:szCs w:val="24"/>
                <w:lang w:eastAsia="de-AT"/>
              </w:rPr>
              <w:t>Sjælden</w:t>
            </w:r>
          </w:p>
        </w:tc>
        <w:tc>
          <w:tcPr>
            <w:tcW w:w="1701" w:type="dxa"/>
            <w:tcBorders>
              <w:top w:val="single" w:sz="4" w:space="0" w:color="auto"/>
              <w:left w:val="single" w:sz="4" w:space="0" w:color="auto"/>
              <w:bottom w:val="single" w:sz="4" w:space="0" w:color="auto"/>
              <w:right w:val="single" w:sz="4" w:space="0" w:color="auto"/>
            </w:tcBorders>
          </w:tcPr>
          <w:p w:rsidR="00F2329D" w:rsidRPr="004F1584" w:rsidRDefault="00F2329D" w:rsidP="00AC5DD7">
            <w:pPr>
              <w:tabs>
                <w:tab w:val="left" w:pos="851"/>
              </w:tabs>
              <w:rPr>
                <w:sz w:val="24"/>
                <w:szCs w:val="24"/>
                <w:lang w:eastAsia="de-AT"/>
              </w:rPr>
            </w:pPr>
            <w:r w:rsidRPr="004F1584">
              <w:rPr>
                <w:sz w:val="24"/>
                <w:szCs w:val="24"/>
                <w:lang w:eastAsia="de-AT"/>
              </w:rPr>
              <w:t>Almindelig</w:t>
            </w:r>
          </w:p>
          <w:p w:rsidR="00F2329D" w:rsidRDefault="00F2329D" w:rsidP="00AC5DD7">
            <w:pPr>
              <w:tabs>
                <w:tab w:val="left" w:pos="851"/>
              </w:tabs>
              <w:rPr>
                <w:sz w:val="24"/>
                <w:szCs w:val="24"/>
                <w:lang w:eastAsia="de-AT"/>
              </w:rPr>
            </w:pPr>
          </w:p>
          <w:p w:rsidR="00F2329D" w:rsidRPr="004F1584" w:rsidRDefault="00F2329D" w:rsidP="00AC5DD7">
            <w:pPr>
              <w:tabs>
                <w:tab w:val="left" w:pos="851"/>
              </w:tabs>
              <w:rPr>
                <w:sz w:val="24"/>
                <w:szCs w:val="24"/>
                <w:lang w:eastAsia="de-AT"/>
              </w:rPr>
            </w:pPr>
            <w:r>
              <w:rPr>
                <w:sz w:val="24"/>
                <w:szCs w:val="24"/>
                <w:lang w:eastAsia="de-AT"/>
              </w:rPr>
              <w:t>Ikke a</w:t>
            </w:r>
            <w:r w:rsidRPr="004F1584">
              <w:rPr>
                <w:sz w:val="24"/>
                <w:szCs w:val="24"/>
                <w:lang w:eastAsia="de-AT"/>
              </w:rPr>
              <w:t>lmindelig</w:t>
            </w:r>
          </w:p>
          <w:p w:rsidR="00F2329D" w:rsidRDefault="00F2329D" w:rsidP="00AC5DD7">
            <w:pPr>
              <w:tabs>
                <w:tab w:val="left" w:pos="851"/>
              </w:tabs>
              <w:rPr>
                <w:sz w:val="24"/>
                <w:szCs w:val="24"/>
                <w:lang w:eastAsia="de-AT"/>
              </w:rPr>
            </w:pPr>
            <w:r>
              <w:rPr>
                <w:sz w:val="24"/>
                <w:szCs w:val="24"/>
                <w:lang w:eastAsia="de-AT"/>
              </w:rPr>
              <w:t>Ikke a</w:t>
            </w:r>
            <w:r w:rsidRPr="004F1584">
              <w:rPr>
                <w:sz w:val="24"/>
                <w:szCs w:val="24"/>
                <w:lang w:eastAsia="de-AT"/>
              </w:rPr>
              <w:t>lmindelig</w:t>
            </w:r>
          </w:p>
          <w:p w:rsidR="00F2329D" w:rsidRDefault="00F2329D" w:rsidP="00AC5DD7">
            <w:pPr>
              <w:tabs>
                <w:tab w:val="left" w:pos="851"/>
              </w:tabs>
              <w:rPr>
                <w:sz w:val="24"/>
                <w:szCs w:val="24"/>
                <w:lang w:eastAsia="de-AT"/>
              </w:rPr>
            </w:pPr>
            <w:r>
              <w:rPr>
                <w:sz w:val="24"/>
                <w:szCs w:val="24"/>
                <w:lang w:eastAsia="de-AT"/>
              </w:rPr>
              <w:t>Ikke almindelig</w:t>
            </w:r>
          </w:p>
          <w:p w:rsidR="00F2329D" w:rsidRPr="004F1584" w:rsidRDefault="00F2329D" w:rsidP="00AC5DD7">
            <w:pPr>
              <w:tabs>
                <w:tab w:val="left" w:pos="851"/>
              </w:tabs>
              <w:rPr>
                <w:sz w:val="24"/>
                <w:szCs w:val="24"/>
                <w:lang w:eastAsia="de-AT"/>
              </w:rPr>
            </w:pPr>
            <w:r>
              <w:rPr>
                <w:sz w:val="24"/>
                <w:szCs w:val="24"/>
                <w:lang w:eastAsia="de-AT"/>
              </w:rPr>
              <w:t>Ikke almindelig</w:t>
            </w:r>
          </w:p>
        </w:tc>
      </w:tr>
    </w:tbl>
    <w:p w:rsidR="007926A2" w:rsidRDefault="007926A2" w:rsidP="007926A2">
      <w:pPr>
        <w:tabs>
          <w:tab w:val="left" w:pos="851"/>
        </w:tabs>
        <w:ind w:left="851"/>
        <w:rPr>
          <w:sz w:val="24"/>
          <w:szCs w:val="24"/>
          <w:lang w:eastAsia="da-DK"/>
        </w:rPr>
      </w:pPr>
    </w:p>
    <w:p w:rsidR="00F2329D" w:rsidRDefault="00F2329D" w:rsidP="00F2329D">
      <w:pPr>
        <w:pStyle w:val="Default"/>
        <w:ind w:left="851"/>
        <w:rPr>
          <w:lang w:val="da-DK"/>
        </w:rPr>
      </w:pPr>
      <w:r>
        <w:rPr>
          <w:lang w:val="da-DK"/>
        </w:rPr>
        <w:t xml:space="preserve">Følgende bivirkninger er blevet rapporteret under brug af </w:t>
      </w:r>
      <w:proofErr w:type="spellStart"/>
      <w:r>
        <w:rPr>
          <w:lang w:val="da-DK"/>
        </w:rPr>
        <w:t>Cutaquig</w:t>
      </w:r>
      <w:proofErr w:type="spellEnd"/>
      <w:r>
        <w:rPr>
          <w:lang w:val="da-DK"/>
        </w:rPr>
        <w:t xml:space="preserve"> efter godkendelse. Eftersom disse bivirkninger er blevet rapporteret frivilligt i en population af usikker størrelse, er det ikke altid muligt at estimere en pålidelig hyppighed eller etablere en årsagssammenhæng med lægemiddeleksponering.</w:t>
      </w:r>
    </w:p>
    <w:p w:rsidR="00F2329D" w:rsidRPr="00D73125" w:rsidRDefault="00F2329D" w:rsidP="00F2329D">
      <w:pPr>
        <w:pStyle w:val="Default"/>
        <w:ind w:left="851"/>
        <w:rPr>
          <w:lang w:val="da-DK"/>
        </w:rPr>
      </w:pPr>
      <w:r w:rsidRPr="00AC5DD7">
        <w:rPr>
          <w:lang w:val="da-DK"/>
        </w:rPr>
        <w:t xml:space="preserve">Denne liste omfatter ikke reaktioner, der allerede er blevet indberettet i kliniske studier med </w:t>
      </w:r>
      <w:proofErr w:type="spellStart"/>
      <w:r w:rsidRPr="00AC5DD7">
        <w:rPr>
          <w:lang w:val="da-DK"/>
        </w:rPr>
        <w:t>Cutaquig</w:t>
      </w:r>
      <w:proofErr w:type="spellEnd"/>
      <w:r w:rsidRPr="00AC5DD7">
        <w:rPr>
          <w:lang w:val="da-DK"/>
        </w:rPr>
        <w:t>:</w:t>
      </w:r>
    </w:p>
    <w:p w:rsidR="0092649B" w:rsidRDefault="0092649B" w:rsidP="0092649B">
      <w:pPr>
        <w:ind w:left="851"/>
        <w:rPr>
          <w:sz w:val="24"/>
          <w:szCs w:val="24"/>
          <w:lang w:eastAsia="de-DE"/>
        </w:rPr>
      </w:pPr>
    </w:p>
    <w:tbl>
      <w:tblPr>
        <w:tblW w:w="4093" w:type="pct"/>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1"/>
        <w:gridCol w:w="3310"/>
      </w:tblGrid>
      <w:tr w:rsidR="00F2329D" w:rsidTr="00AC5DD7">
        <w:tc>
          <w:tcPr>
            <w:tcW w:w="4584" w:type="dxa"/>
            <w:tcBorders>
              <w:top w:val="single" w:sz="4" w:space="0" w:color="auto"/>
              <w:left w:val="single" w:sz="4" w:space="0" w:color="auto"/>
              <w:bottom w:val="single" w:sz="4" w:space="0" w:color="auto"/>
              <w:right w:val="single" w:sz="4" w:space="0" w:color="auto"/>
            </w:tcBorders>
            <w:hideMark/>
          </w:tcPr>
          <w:p w:rsidR="00F2329D" w:rsidRDefault="00F2329D" w:rsidP="00AC5DD7">
            <w:pPr>
              <w:pStyle w:val="Slutnotetekst"/>
              <w:keepNext/>
              <w:spacing w:before="60" w:after="60"/>
              <w:ind w:left="851"/>
              <w:rPr>
                <w:b/>
                <w:sz w:val="24"/>
                <w:szCs w:val="24"/>
                <w:lang w:val="da-DK"/>
              </w:rPr>
            </w:pPr>
            <w:r>
              <w:rPr>
                <w:b/>
                <w:noProof/>
                <w:sz w:val="24"/>
                <w:szCs w:val="24"/>
                <w:lang w:val="da-DK"/>
              </w:rPr>
              <w:lastRenderedPageBreak/>
              <w:t>MedDRA systemorganklasse (SOC)</w:t>
            </w:r>
          </w:p>
        </w:tc>
        <w:tc>
          <w:tcPr>
            <w:tcW w:w="3314" w:type="dxa"/>
            <w:tcBorders>
              <w:top w:val="single" w:sz="4" w:space="0" w:color="auto"/>
              <w:left w:val="single" w:sz="4" w:space="0" w:color="auto"/>
              <w:bottom w:val="single" w:sz="4" w:space="0" w:color="auto"/>
              <w:right w:val="single" w:sz="4" w:space="0" w:color="auto"/>
            </w:tcBorders>
            <w:hideMark/>
          </w:tcPr>
          <w:p w:rsidR="00F2329D" w:rsidRDefault="00F2329D" w:rsidP="00AC5DD7">
            <w:pPr>
              <w:pStyle w:val="Slutnotetekst"/>
              <w:keepNext/>
              <w:spacing w:before="60" w:after="60"/>
              <w:ind w:left="851"/>
              <w:rPr>
                <w:b/>
                <w:noProof/>
                <w:sz w:val="24"/>
                <w:szCs w:val="24"/>
                <w:lang w:val="da-DK"/>
              </w:rPr>
            </w:pPr>
            <w:r>
              <w:rPr>
                <w:b/>
                <w:noProof/>
                <w:sz w:val="24"/>
                <w:szCs w:val="24"/>
              </w:rPr>
              <w:t>Bivirkning</w:t>
            </w:r>
          </w:p>
        </w:tc>
      </w:tr>
      <w:tr w:rsidR="00F2329D" w:rsidTr="00AC5DD7">
        <w:tc>
          <w:tcPr>
            <w:tcW w:w="4584" w:type="dxa"/>
            <w:tcBorders>
              <w:top w:val="single" w:sz="4" w:space="0" w:color="auto"/>
              <w:left w:val="single" w:sz="4" w:space="0" w:color="auto"/>
              <w:bottom w:val="single" w:sz="4" w:space="0" w:color="auto"/>
              <w:right w:val="single" w:sz="4" w:space="0" w:color="auto"/>
            </w:tcBorders>
          </w:tcPr>
          <w:p w:rsidR="00F2329D" w:rsidRDefault="00F2329D" w:rsidP="00AC5DD7">
            <w:pPr>
              <w:pStyle w:val="Slutnotetekst"/>
              <w:keepNext/>
              <w:spacing w:before="60" w:after="60"/>
              <w:ind w:left="851"/>
              <w:rPr>
                <w:sz w:val="24"/>
                <w:szCs w:val="24"/>
                <w:lang w:val="da-DK"/>
              </w:rPr>
            </w:pPr>
            <w:r>
              <w:rPr>
                <w:sz w:val="24"/>
                <w:szCs w:val="24"/>
                <w:lang w:val="da-DK"/>
              </w:rPr>
              <w:t>Immunsystemet</w:t>
            </w:r>
          </w:p>
        </w:tc>
        <w:tc>
          <w:tcPr>
            <w:tcW w:w="3314" w:type="dxa"/>
            <w:tcBorders>
              <w:top w:val="single" w:sz="4" w:space="0" w:color="auto"/>
              <w:left w:val="single" w:sz="4" w:space="0" w:color="auto"/>
              <w:bottom w:val="single" w:sz="4" w:space="0" w:color="auto"/>
              <w:right w:val="single" w:sz="4" w:space="0" w:color="auto"/>
            </w:tcBorders>
          </w:tcPr>
          <w:p w:rsidR="00F2329D" w:rsidRDefault="00F2329D" w:rsidP="00AC5DD7">
            <w:pPr>
              <w:pStyle w:val="Slutnotetekst"/>
              <w:keepNext/>
              <w:spacing w:before="60" w:after="60"/>
              <w:ind w:left="851"/>
              <w:rPr>
                <w:bCs/>
                <w:noProof/>
                <w:sz w:val="24"/>
                <w:szCs w:val="24"/>
                <w:lang w:val="da-DK"/>
              </w:rPr>
            </w:pPr>
            <w:r w:rsidRPr="00D73125">
              <w:rPr>
                <w:bCs/>
                <w:noProof/>
                <w:sz w:val="24"/>
                <w:szCs w:val="24"/>
                <w:lang w:val="da-DK"/>
              </w:rPr>
              <w:t>Overfølsomhed (f.eks. erytem, urticaria)</w:t>
            </w:r>
          </w:p>
        </w:tc>
      </w:tr>
      <w:tr w:rsidR="00F2329D" w:rsidTr="00AC5DD7">
        <w:tc>
          <w:tcPr>
            <w:tcW w:w="4584" w:type="dxa"/>
            <w:tcBorders>
              <w:top w:val="single" w:sz="4" w:space="0" w:color="auto"/>
              <w:left w:val="single" w:sz="4" w:space="0" w:color="auto"/>
              <w:bottom w:val="single" w:sz="4" w:space="0" w:color="auto"/>
              <w:right w:val="single" w:sz="4" w:space="0" w:color="auto"/>
            </w:tcBorders>
            <w:hideMark/>
          </w:tcPr>
          <w:p w:rsidR="00F2329D" w:rsidRPr="00D73125" w:rsidRDefault="00F2329D" w:rsidP="00AC5DD7">
            <w:pPr>
              <w:pStyle w:val="Slutnotetekst"/>
              <w:keepNext/>
              <w:spacing w:before="60" w:after="60"/>
              <w:ind w:left="851"/>
              <w:rPr>
                <w:noProof/>
                <w:sz w:val="24"/>
                <w:szCs w:val="24"/>
                <w:lang w:val="da-DK"/>
              </w:rPr>
            </w:pPr>
            <w:proofErr w:type="spellStart"/>
            <w:r w:rsidRPr="00AC5DD7">
              <w:rPr>
                <w:sz w:val="24"/>
                <w:szCs w:val="24"/>
              </w:rPr>
              <w:t>Vaskulære</w:t>
            </w:r>
            <w:proofErr w:type="spellEnd"/>
            <w:r w:rsidRPr="00AC5DD7">
              <w:rPr>
                <w:sz w:val="24"/>
                <w:szCs w:val="24"/>
              </w:rPr>
              <w:t xml:space="preserve"> </w:t>
            </w:r>
            <w:proofErr w:type="spellStart"/>
            <w:r w:rsidRPr="00AC5DD7">
              <w:rPr>
                <w:sz w:val="24"/>
                <w:szCs w:val="24"/>
              </w:rPr>
              <w:t>sygdomme</w:t>
            </w:r>
            <w:proofErr w:type="spellEnd"/>
          </w:p>
        </w:tc>
        <w:tc>
          <w:tcPr>
            <w:tcW w:w="3314" w:type="dxa"/>
            <w:tcBorders>
              <w:top w:val="single" w:sz="4" w:space="0" w:color="auto"/>
              <w:left w:val="single" w:sz="4" w:space="0" w:color="auto"/>
              <w:bottom w:val="single" w:sz="4" w:space="0" w:color="auto"/>
              <w:right w:val="single" w:sz="4" w:space="0" w:color="auto"/>
            </w:tcBorders>
            <w:hideMark/>
          </w:tcPr>
          <w:p w:rsidR="00F2329D" w:rsidRPr="00D73125" w:rsidRDefault="00F2329D" w:rsidP="00AC5DD7">
            <w:pPr>
              <w:pStyle w:val="Slutnotetekst"/>
              <w:keepNext/>
              <w:spacing w:before="60" w:after="60"/>
              <w:ind w:left="851"/>
              <w:rPr>
                <w:bCs/>
                <w:noProof/>
                <w:sz w:val="24"/>
                <w:szCs w:val="24"/>
                <w:lang w:val="da-DK"/>
              </w:rPr>
            </w:pPr>
            <w:bookmarkStart w:id="3" w:name="_Hlk122340350"/>
            <w:bookmarkStart w:id="4" w:name="_Hlk122339812"/>
            <w:proofErr w:type="spellStart"/>
            <w:r w:rsidRPr="00AC5DD7">
              <w:rPr>
                <w:sz w:val="24"/>
                <w:szCs w:val="24"/>
                <w:lang w:val="da-DK"/>
              </w:rPr>
              <w:t>Tromboembolisme</w:t>
            </w:r>
            <w:bookmarkEnd w:id="3"/>
            <w:proofErr w:type="spellEnd"/>
            <w:r w:rsidRPr="00AC5DD7">
              <w:rPr>
                <w:sz w:val="24"/>
                <w:szCs w:val="24"/>
                <w:lang w:val="da-DK"/>
              </w:rPr>
              <w:t xml:space="preserve">, trombose (f.eks. dyb venetrombose, </w:t>
            </w:r>
            <w:proofErr w:type="spellStart"/>
            <w:r w:rsidRPr="00AC5DD7">
              <w:rPr>
                <w:sz w:val="24"/>
                <w:szCs w:val="24"/>
                <w:lang w:val="da-DK"/>
              </w:rPr>
              <w:t>cerebrovaskulært</w:t>
            </w:r>
            <w:proofErr w:type="spellEnd"/>
            <w:r w:rsidRPr="00AC5DD7">
              <w:rPr>
                <w:sz w:val="24"/>
                <w:szCs w:val="24"/>
                <w:lang w:val="da-DK"/>
              </w:rPr>
              <w:t xml:space="preserve"> anfald), hypertension</w:t>
            </w:r>
            <w:bookmarkEnd w:id="4"/>
          </w:p>
        </w:tc>
      </w:tr>
      <w:tr w:rsidR="00F2329D" w:rsidTr="00AC5DD7">
        <w:tc>
          <w:tcPr>
            <w:tcW w:w="4584" w:type="dxa"/>
            <w:tcBorders>
              <w:top w:val="single" w:sz="4" w:space="0" w:color="auto"/>
              <w:left w:val="single" w:sz="4" w:space="0" w:color="auto"/>
              <w:bottom w:val="single" w:sz="4" w:space="0" w:color="auto"/>
              <w:right w:val="single" w:sz="4" w:space="0" w:color="auto"/>
            </w:tcBorders>
            <w:hideMark/>
          </w:tcPr>
          <w:p w:rsidR="00F2329D" w:rsidRDefault="00F2329D" w:rsidP="00AC5DD7">
            <w:pPr>
              <w:pStyle w:val="Slutnotetekst"/>
              <w:spacing w:before="60" w:after="60"/>
              <w:ind w:left="851"/>
              <w:rPr>
                <w:noProof/>
                <w:sz w:val="24"/>
                <w:szCs w:val="24"/>
              </w:rPr>
            </w:pPr>
            <w:r>
              <w:rPr>
                <w:sz w:val="24"/>
                <w:szCs w:val="24"/>
              </w:rPr>
              <w:t xml:space="preserve">Hud </w:t>
            </w:r>
            <w:proofErr w:type="spellStart"/>
            <w:r>
              <w:rPr>
                <w:sz w:val="24"/>
                <w:szCs w:val="24"/>
              </w:rPr>
              <w:t>og</w:t>
            </w:r>
            <w:proofErr w:type="spellEnd"/>
            <w:r>
              <w:rPr>
                <w:sz w:val="24"/>
                <w:szCs w:val="24"/>
              </w:rPr>
              <w:t xml:space="preserve"> </w:t>
            </w:r>
            <w:proofErr w:type="spellStart"/>
            <w:r>
              <w:rPr>
                <w:sz w:val="24"/>
                <w:szCs w:val="24"/>
              </w:rPr>
              <w:t>subkutane</w:t>
            </w:r>
            <w:proofErr w:type="spellEnd"/>
            <w:r>
              <w:rPr>
                <w:sz w:val="24"/>
                <w:szCs w:val="24"/>
              </w:rPr>
              <w:t xml:space="preserve"> </w:t>
            </w:r>
            <w:proofErr w:type="spellStart"/>
            <w:r>
              <w:rPr>
                <w:sz w:val="24"/>
                <w:szCs w:val="24"/>
              </w:rPr>
              <w:t>væv</w:t>
            </w:r>
            <w:proofErr w:type="spellEnd"/>
          </w:p>
        </w:tc>
        <w:tc>
          <w:tcPr>
            <w:tcW w:w="3314" w:type="dxa"/>
            <w:tcBorders>
              <w:top w:val="single" w:sz="4" w:space="0" w:color="auto"/>
              <w:left w:val="single" w:sz="4" w:space="0" w:color="auto"/>
              <w:bottom w:val="single" w:sz="4" w:space="0" w:color="auto"/>
              <w:right w:val="single" w:sz="4" w:space="0" w:color="auto"/>
            </w:tcBorders>
            <w:hideMark/>
          </w:tcPr>
          <w:p w:rsidR="00F2329D" w:rsidRDefault="00F2329D" w:rsidP="00AC5DD7">
            <w:pPr>
              <w:pStyle w:val="Slutnotetekst"/>
              <w:spacing w:before="60" w:after="60"/>
              <w:ind w:left="851"/>
              <w:rPr>
                <w:bCs/>
                <w:noProof/>
                <w:sz w:val="24"/>
                <w:szCs w:val="24"/>
                <w:lang w:val="da-DK"/>
              </w:rPr>
            </w:pPr>
            <w:r>
              <w:rPr>
                <w:bCs/>
                <w:noProof/>
                <w:sz w:val="24"/>
                <w:szCs w:val="24"/>
                <w:lang w:val="da-DK"/>
              </w:rPr>
              <w:t>Kløe</w:t>
            </w:r>
          </w:p>
        </w:tc>
      </w:tr>
      <w:tr w:rsidR="00F2329D" w:rsidTr="00AC5DD7">
        <w:tc>
          <w:tcPr>
            <w:tcW w:w="4584" w:type="dxa"/>
            <w:tcBorders>
              <w:top w:val="single" w:sz="4" w:space="0" w:color="auto"/>
              <w:left w:val="single" w:sz="4" w:space="0" w:color="auto"/>
              <w:bottom w:val="single" w:sz="4" w:space="0" w:color="auto"/>
              <w:right w:val="single" w:sz="4" w:space="0" w:color="auto"/>
            </w:tcBorders>
            <w:hideMark/>
          </w:tcPr>
          <w:p w:rsidR="00F2329D" w:rsidRPr="00D73125" w:rsidRDefault="00F2329D" w:rsidP="00AC5DD7">
            <w:pPr>
              <w:pStyle w:val="Slutnotetekst"/>
              <w:spacing w:before="60" w:after="60"/>
              <w:ind w:left="851"/>
              <w:rPr>
                <w:noProof/>
                <w:sz w:val="24"/>
                <w:szCs w:val="24"/>
                <w:lang w:val="da-DK"/>
              </w:rPr>
            </w:pPr>
            <w:r w:rsidRPr="00AC5DD7">
              <w:rPr>
                <w:sz w:val="24"/>
                <w:szCs w:val="24"/>
                <w:lang w:val="da-DK"/>
              </w:rPr>
              <w:t>Knogler, led, muskler og bindevæv</w:t>
            </w:r>
          </w:p>
        </w:tc>
        <w:tc>
          <w:tcPr>
            <w:tcW w:w="3314" w:type="dxa"/>
            <w:tcBorders>
              <w:top w:val="single" w:sz="4" w:space="0" w:color="auto"/>
              <w:left w:val="single" w:sz="4" w:space="0" w:color="auto"/>
              <w:bottom w:val="single" w:sz="4" w:space="0" w:color="auto"/>
              <w:right w:val="single" w:sz="4" w:space="0" w:color="auto"/>
            </w:tcBorders>
            <w:hideMark/>
          </w:tcPr>
          <w:p w:rsidR="00F2329D" w:rsidRPr="00D73125" w:rsidRDefault="00F2329D" w:rsidP="00AC5DD7">
            <w:pPr>
              <w:pStyle w:val="Slutnotetekst"/>
              <w:spacing w:before="60" w:after="60"/>
              <w:ind w:left="851"/>
              <w:rPr>
                <w:bCs/>
                <w:noProof/>
                <w:sz w:val="24"/>
                <w:szCs w:val="24"/>
                <w:lang w:val="da-DK"/>
              </w:rPr>
            </w:pPr>
            <w:proofErr w:type="spellStart"/>
            <w:r w:rsidRPr="00AC5DD7">
              <w:rPr>
                <w:sz w:val="24"/>
                <w:szCs w:val="24"/>
              </w:rPr>
              <w:t>Rygsmerter</w:t>
            </w:r>
            <w:proofErr w:type="spellEnd"/>
          </w:p>
        </w:tc>
      </w:tr>
    </w:tbl>
    <w:p w:rsidR="0092649B" w:rsidRPr="00E81267" w:rsidRDefault="0092649B" w:rsidP="007926A2">
      <w:pPr>
        <w:tabs>
          <w:tab w:val="left" w:pos="851"/>
        </w:tabs>
        <w:ind w:left="851"/>
        <w:rPr>
          <w:sz w:val="24"/>
          <w:szCs w:val="24"/>
          <w:lang w:eastAsia="da-DK"/>
        </w:rPr>
      </w:pPr>
    </w:p>
    <w:p w:rsidR="00F2329D" w:rsidRDefault="00F2329D" w:rsidP="00F2329D">
      <w:pPr>
        <w:tabs>
          <w:tab w:val="left" w:pos="851"/>
        </w:tabs>
        <w:ind w:left="851"/>
        <w:rPr>
          <w:sz w:val="24"/>
          <w:szCs w:val="24"/>
          <w:lang w:eastAsia="de-AT"/>
        </w:rPr>
      </w:pPr>
      <w:r>
        <w:rPr>
          <w:sz w:val="24"/>
          <w:szCs w:val="24"/>
        </w:rPr>
        <w:t xml:space="preserve">Følgende yderligere bivirkninger er blevet rapporteret under brug af produkter med subkutant </w:t>
      </w:r>
      <w:proofErr w:type="spellStart"/>
      <w:r>
        <w:rPr>
          <w:sz w:val="24"/>
          <w:szCs w:val="24"/>
        </w:rPr>
        <w:t>immunglobulin</w:t>
      </w:r>
      <w:proofErr w:type="spellEnd"/>
      <w:r>
        <w:rPr>
          <w:sz w:val="24"/>
          <w:szCs w:val="24"/>
        </w:rPr>
        <w:t xml:space="preserve"> efter godkendelse: ansigtsødem, </w:t>
      </w:r>
      <w:proofErr w:type="spellStart"/>
      <w:r>
        <w:rPr>
          <w:sz w:val="24"/>
          <w:szCs w:val="24"/>
        </w:rPr>
        <w:t>tremor</w:t>
      </w:r>
      <w:proofErr w:type="spellEnd"/>
      <w:r>
        <w:rPr>
          <w:sz w:val="24"/>
          <w:szCs w:val="24"/>
        </w:rPr>
        <w:t xml:space="preserve">, bleghed, </w:t>
      </w:r>
      <w:proofErr w:type="spellStart"/>
      <w:r>
        <w:rPr>
          <w:sz w:val="24"/>
          <w:szCs w:val="24"/>
          <w:lang w:eastAsia="de-AT"/>
        </w:rPr>
        <w:t>bronkospasme</w:t>
      </w:r>
      <w:proofErr w:type="spellEnd"/>
      <w:r>
        <w:rPr>
          <w:sz w:val="24"/>
          <w:szCs w:val="24"/>
          <w:lang w:eastAsia="de-AT"/>
        </w:rPr>
        <w:t>, dyspnø, hoste, diarré, rødmen, varmefølelse, kuldefølelse, asteni, smerter på injektionsstedet, sammensnævring i halsen, aseptisk meningitis.</w:t>
      </w:r>
    </w:p>
    <w:p w:rsidR="0092649B" w:rsidRPr="0092649B" w:rsidRDefault="0092649B" w:rsidP="00AC479C">
      <w:pPr>
        <w:tabs>
          <w:tab w:val="left" w:pos="851"/>
        </w:tabs>
        <w:ind w:left="851"/>
        <w:rPr>
          <w:sz w:val="24"/>
          <w:szCs w:val="24"/>
        </w:rPr>
      </w:pPr>
    </w:p>
    <w:p w:rsidR="00AC479C" w:rsidRPr="00E81267" w:rsidRDefault="00AC479C" w:rsidP="00AC479C">
      <w:pPr>
        <w:tabs>
          <w:tab w:val="left" w:pos="851"/>
        </w:tabs>
        <w:ind w:left="851"/>
        <w:rPr>
          <w:sz w:val="24"/>
          <w:szCs w:val="24"/>
          <w:u w:val="single"/>
        </w:rPr>
      </w:pPr>
      <w:r w:rsidRPr="00E81267">
        <w:rPr>
          <w:sz w:val="24"/>
          <w:szCs w:val="24"/>
          <w:u w:val="single"/>
        </w:rPr>
        <w:t>Pædiatrisk population</w:t>
      </w:r>
    </w:p>
    <w:p w:rsidR="00AC479C" w:rsidRPr="00E81267" w:rsidRDefault="00AC479C" w:rsidP="00AC479C">
      <w:pPr>
        <w:tabs>
          <w:tab w:val="left" w:pos="851"/>
        </w:tabs>
        <w:ind w:left="851"/>
        <w:rPr>
          <w:sz w:val="24"/>
          <w:szCs w:val="24"/>
        </w:rPr>
      </w:pPr>
      <w:r w:rsidRPr="00E81267">
        <w:rPr>
          <w:sz w:val="24"/>
          <w:szCs w:val="24"/>
        </w:rPr>
        <w:t>Bivirkningers hyppighed, art og sværhedsgrad hos børn forventes at være det samme som hos voksne.</w:t>
      </w:r>
    </w:p>
    <w:p w:rsidR="00AC479C" w:rsidRPr="00E81267" w:rsidRDefault="00AC479C" w:rsidP="00AC479C">
      <w:pPr>
        <w:tabs>
          <w:tab w:val="left" w:pos="851"/>
        </w:tabs>
        <w:ind w:left="851"/>
        <w:rPr>
          <w:sz w:val="24"/>
          <w:szCs w:val="24"/>
        </w:rPr>
      </w:pPr>
    </w:p>
    <w:p w:rsidR="00AC479C" w:rsidRPr="00E81267" w:rsidRDefault="00AC479C" w:rsidP="00AC479C">
      <w:pPr>
        <w:tabs>
          <w:tab w:val="left" w:pos="851"/>
        </w:tabs>
        <w:ind w:left="851"/>
        <w:rPr>
          <w:sz w:val="24"/>
          <w:szCs w:val="24"/>
          <w:u w:val="single"/>
        </w:rPr>
      </w:pPr>
      <w:r w:rsidRPr="00E81267">
        <w:rPr>
          <w:sz w:val="24"/>
          <w:szCs w:val="24"/>
          <w:u w:val="single"/>
        </w:rPr>
        <w:t>Indberetning af formodede bivirkninger</w:t>
      </w:r>
    </w:p>
    <w:p w:rsidR="00AC479C" w:rsidRPr="00E81267" w:rsidRDefault="00AC479C" w:rsidP="00AC479C">
      <w:pPr>
        <w:tabs>
          <w:tab w:val="left" w:pos="851"/>
        </w:tabs>
        <w:ind w:left="851"/>
        <w:rPr>
          <w:sz w:val="24"/>
          <w:szCs w:val="24"/>
        </w:rPr>
      </w:pPr>
      <w:r w:rsidRPr="00E81267">
        <w:rPr>
          <w:sz w:val="24"/>
          <w:szCs w:val="24"/>
        </w:rPr>
        <w:t>Når lægemidlet er godkendt, er indberetning af formodede bivirkninger vigtig. Det</w:t>
      </w:r>
      <w:r w:rsidR="00F2329D">
        <w:rPr>
          <w:sz w:val="24"/>
          <w:szCs w:val="24"/>
        </w:rPr>
        <w:t xml:space="preserve"> </w:t>
      </w:r>
      <w:r w:rsidRPr="00E81267">
        <w:rPr>
          <w:sz w:val="24"/>
          <w:szCs w:val="24"/>
        </w:rPr>
        <w:t>muliggør løbende overvågning af benefit/</w:t>
      </w:r>
      <w:proofErr w:type="spellStart"/>
      <w:r w:rsidRPr="00E81267">
        <w:rPr>
          <w:sz w:val="24"/>
          <w:szCs w:val="24"/>
        </w:rPr>
        <w:t>risk</w:t>
      </w:r>
      <w:proofErr w:type="spellEnd"/>
      <w:r w:rsidRPr="00E81267">
        <w:rPr>
          <w:sz w:val="24"/>
          <w:szCs w:val="24"/>
        </w:rPr>
        <w:t xml:space="preserve">-forholdet for lægemidlet. </w:t>
      </w:r>
      <w:r w:rsidR="00FF5BBC">
        <w:rPr>
          <w:sz w:val="24"/>
          <w:szCs w:val="24"/>
        </w:rPr>
        <w:t>S</w:t>
      </w:r>
      <w:r w:rsidRPr="00E81267">
        <w:rPr>
          <w:sz w:val="24"/>
          <w:szCs w:val="24"/>
        </w:rPr>
        <w:t>undhedspersone</w:t>
      </w:r>
      <w:r w:rsidR="00FF5BBC">
        <w:rPr>
          <w:sz w:val="24"/>
          <w:szCs w:val="24"/>
        </w:rPr>
        <w:t>r</w:t>
      </w:r>
      <w:r w:rsidRPr="00E81267">
        <w:rPr>
          <w:sz w:val="24"/>
          <w:szCs w:val="24"/>
        </w:rPr>
        <w:t xml:space="preserve"> anmodes om at indberette alle mistænkte bivirkninger via:</w:t>
      </w:r>
    </w:p>
    <w:p w:rsidR="00AC479C" w:rsidRPr="00E81267" w:rsidRDefault="00AC479C" w:rsidP="00AC479C">
      <w:pPr>
        <w:tabs>
          <w:tab w:val="left" w:pos="851"/>
        </w:tabs>
        <w:ind w:left="851"/>
        <w:rPr>
          <w:sz w:val="24"/>
          <w:szCs w:val="24"/>
        </w:rPr>
      </w:pPr>
    </w:p>
    <w:p w:rsidR="00AC479C" w:rsidRPr="00E81267" w:rsidRDefault="00AC479C" w:rsidP="00AC479C">
      <w:pPr>
        <w:tabs>
          <w:tab w:val="left" w:pos="851"/>
        </w:tabs>
        <w:ind w:left="851"/>
        <w:rPr>
          <w:sz w:val="24"/>
          <w:szCs w:val="24"/>
        </w:rPr>
      </w:pPr>
      <w:r w:rsidRPr="00E81267">
        <w:rPr>
          <w:sz w:val="24"/>
          <w:szCs w:val="24"/>
        </w:rPr>
        <w:t>Lægemiddelstyrelsen</w:t>
      </w:r>
    </w:p>
    <w:p w:rsidR="00AC479C" w:rsidRPr="00E81267" w:rsidRDefault="00AC479C" w:rsidP="00AC479C">
      <w:pPr>
        <w:tabs>
          <w:tab w:val="left" w:pos="851"/>
        </w:tabs>
        <w:ind w:left="851"/>
        <w:rPr>
          <w:sz w:val="24"/>
          <w:szCs w:val="24"/>
        </w:rPr>
      </w:pPr>
      <w:r w:rsidRPr="00E81267">
        <w:rPr>
          <w:sz w:val="24"/>
          <w:szCs w:val="24"/>
        </w:rPr>
        <w:t>Axel Heides Gade 1</w:t>
      </w:r>
    </w:p>
    <w:p w:rsidR="00AC479C" w:rsidRPr="00E81267" w:rsidRDefault="00AC479C" w:rsidP="00AC479C">
      <w:pPr>
        <w:tabs>
          <w:tab w:val="left" w:pos="851"/>
        </w:tabs>
        <w:ind w:left="851"/>
        <w:rPr>
          <w:sz w:val="24"/>
          <w:szCs w:val="24"/>
        </w:rPr>
      </w:pPr>
      <w:r w:rsidRPr="00E81267">
        <w:rPr>
          <w:sz w:val="24"/>
          <w:szCs w:val="24"/>
        </w:rPr>
        <w:t>DK-2300 København S</w:t>
      </w:r>
    </w:p>
    <w:p w:rsidR="00AC479C" w:rsidRPr="00AC479C" w:rsidRDefault="00AC479C" w:rsidP="00AC479C">
      <w:pPr>
        <w:tabs>
          <w:tab w:val="left" w:pos="851"/>
        </w:tabs>
        <w:ind w:left="851"/>
        <w:rPr>
          <w:sz w:val="24"/>
          <w:szCs w:val="24"/>
        </w:rPr>
      </w:pPr>
      <w:r w:rsidRPr="00AC479C">
        <w:rPr>
          <w:sz w:val="24"/>
          <w:szCs w:val="24"/>
        </w:rPr>
        <w:t xml:space="preserve">Websted: </w:t>
      </w:r>
      <w:hyperlink r:id="rId9" w:history="1">
        <w:r w:rsidRPr="00AC479C">
          <w:rPr>
            <w:rStyle w:val="Hyperlink"/>
            <w:sz w:val="24"/>
            <w:szCs w:val="24"/>
          </w:rPr>
          <w:t>www.meldenbivirkning.dk</w:t>
        </w:r>
      </w:hyperlink>
      <w:r w:rsidRPr="00AC479C">
        <w:rPr>
          <w:sz w:val="24"/>
          <w:szCs w:val="24"/>
        </w:rPr>
        <w:t xml:space="preserve"> </w:t>
      </w:r>
    </w:p>
    <w:p w:rsidR="007926A2" w:rsidRPr="00F26D6F" w:rsidRDefault="007926A2" w:rsidP="007926A2">
      <w:pPr>
        <w:pStyle w:val="Sidehoved"/>
        <w:tabs>
          <w:tab w:val="left" w:pos="851"/>
        </w:tabs>
        <w:ind w:left="851"/>
        <w:rPr>
          <w:szCs w:val="24"/>
        </w:rPr>
      </w:pPr>
    </w:p>
    <w:p w:rsidR="007926A2" w:rsidRPr="00E81267" w:rsidRDefault="007926A2" w:rsidP="007926A2">
      <w:pPr>
        <w:tabs>
          <w:tab w:val="left" w:pos="851"/>
        </w:tabs>
        <w:ind w:left="851" w:hanging="851"/>
        <w:rPr>
          <w:b/>
          <w:sz w:val="24"/>
          <w:szCs w:val="24"/>
        </w:rPr>
      </w:pPr>
      <w:r w:rsidRPr="00E81267">
        <w:rPr>
          <w:b/>
          <w:sz w:val="24"/>
          <w:szCs w:val="24"/>
        </w:rPr>
        <w:t>4.9</w:t>
      </w:r>
      <w:r w:rsidRPr="00E81267">
        <w:rPr>
          <w:b/>
          <w:sz w:val="24"/>
          <w:szCs w:val="24"/>
        </w:rPr>
        <w:tab/>
        <w:t>Overdosering</w:t>
      </w:r>
    </w:p>
    <w:p w:rsidR="007926A2" w:rsidRPr="00E81267" w:rsidRDefault="007926A2" w:rsidP="007926A2">
      <w:pPr>
        <w:tabs>
          <w:tab w:val="left" w:pos="851"/>
        </w:tabs>
        <w:ind w:left="851"/>
        <w:rPr>
          <w:sz w:val="24"/>
          <w:szCs w:val="24"/>
          <w:lang w:eastAsia="da-DK"/>
        </w:rPr>
      </w:pPr>
      <w:r w:rsidRPr="00E81267">
        <w:rPr>
          <w:sz w:val="24"/>
          <w:szCs w:val="24"/>
        </w:rPr>
        <w:t>Følgerne af overdosering kendes ikke.</w:t>
      </w:r>
    </w:p>
    <w:p w:rsidR="007926A2" w:rsidRPr="00E81267" w:rsidRDefault="007926A2" w:rsidP="007926A2">
      <w:pPr>
        <w:tabs>
          <w:tab w:val="left" w:pos="851"/>
        </w:tabs>
        <w:ind w:left="851"/>
        <w:rPr>
          <w:sz w:val="24"/>
          <w:szCs w:val="24"/>
        </w:rPr>
      </w:pPr>
    </w:p>
    <w:p w:rsidR="007926A2" w:rsidRPr="00E81267" w:rsidRDefault="007926A2" w:rsidP="00AC479C">
      <w:pPr>
        <w:keepNext/>
        <w:tabs>
          <w:tab w:val="left" w:pos="851"/>
        </w:tabs>
        <w:ind w:left="851" w:hanging="851"/>
        <w:rPr>
          <w:b/>
          <w:sz w:val="24"/>
          <w:szCs w:val="24"/>
        </w:rPr>
      </w:pPr>
      <w:r w:rsidRPr="00E81267">
        <w:rPr>
          <w:b/>
          <w:sz w:val="24"/>
          <w:szCs w:val="24"/>
        </w:rPr>
        <w:t>4.10</w:t>
      </w:r>
      <w:r w:rsidRPr="00E81267">
        <w:rPr>
          <w:b/>
          <w:sz w:val="24"/>
          <w:szCs w:val="24"/>
        </w:rPr>
        <w:tab/>
        <w:t>Udlevering</w:t>
      </w:r>
    </w:p>
    <w:p w:rsidR="007926A2" w:rsidRPr="00E81267" w:rsidRDefault="007926A2" w:rsidP="007926A2">
      <w:pPr>
        <w:tabs>
          <w:tab w:val="left" w:pos="851"/>
        </w:tabs>
        <w:ind w:left="851"/>
        <w:rPr>
          <w:sz w:val="24"/>
          <w:szCs w:val="24"/>
        </w:rPr>
      </w:pPr>
      <w:r w:rsidRPr="00E81267">
        <w:rPr>
          <w:sz w:val="24"/>
          <w:szCs w:val="24"/>
        </w:rPr>
        <w:t>B</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5.</w:t>
      </w:r>
      <w:r w:rsidRPr="00E81267">
        <w:rPr>
          <w:b/>
          <w:sz w:val="24"/>
          <w:szCs w:val="24"/>
        </w:rPr>
        <w:tab/>
        <w:t>FARMAKOLOGISKE EGENSKABER</w:t>
      </w:r>
    </w:p>
    <w:p w:rsidR="007926A2" w:rsidRPr="00E81267" w:rsidRDefault="007926A2" w:rsidP="007926A2">
      <w:pPr>
        <w:tabs>
          <w:tab w:val="left" w:pos="851"/>
        </w:tabs>
        <w:ind w:left="851"/>
        <w:rPr>
          <w:sz w:val="24"/>
          <w:szCs w:val="24"/>
        </w:rPr>
      </w:pPr>
    </w:p>
    <w:p w:rsidR="007926A2" w:rsidRPr="00E81267" w:rsidRDefault="007926A2" w:rsidP="007926A2">
      <w:pPr>
        <w:tabs>
          <w:tab w:val="num" w:pos="851"/>
        </w:tabs>
        <w:ind w:left="851" w:hanging="851"/>
        <w:rPr>
          <w:b/>
          <w:sz w:val="24"/>
          <w:szCs w:val="24"/>
        </w:rPr>
      </w:pPr>
      <w:r w:rsidRPr="00E81267">
        <w:rPr>
          <w:b/>
          <w:sz w:val="24"/>
          <w:szCs w:val="24"/>
        </w:rPr>
        <w:t>5.1</w:t>
      </w:r>
      <w:r w:rsidRPr="00E81267">
        <w:rPr>
          <w:b/>
          <w:sz w:val="24"/>
          <w:szCs w:val="24"/>
        </w:rPr>
        <w:tab/>
      </w:r>
      <w:proofErr w:type="spellStart"/>
      <w:r w:rsidRPr="00E81267">
        <w:rPr>
          <w:b/>
          <w:sz w:val="24"/>
          <w:szCs w:val="24"/>
        </w:rPr>
        <w:t>Farmakodynamiske</w:t>
      </w:r>
      <w:proofErr w:type="spellEnd"/>
      <w:r w:rsidRPr="00E81267">
        <w:rPr>
          <w:b/>
          <w:sz w:val="24"/>
          <w:szCs w:val="24"/>
        </w:rPr>
        <w:t xml:space="preserve"> egenskaber</w:t>
      </w:r>
    </w:p>
    <w:p w:rsidR="0092649B" w:rsidRPr="0092649B" w:rsidRDefault="0092649B" w:rsidP="007926A2">
      <w:pPr>
        <w:tabs>
          <w:tab w:val="left" w:pos="851"/>
        </w:tabs>
        <w:ind w:left="851"/>
        <w:rPr>
          <w:sz w:val="24"/>
          <w:szCs w:val="24"/>
        </w:rPr>
      </w:pPr>
      <w:proofErr w:type="spellStart"/>
      <w:r w:rsidRPr="0092649B">
        <w:rPr>
          <w:sz w:val="24"/>
          <w:szCs w:val="24"/>
        </w:rPr>
        <w:t>Farmakoterapeutisk</w:t>
      </w:r>
      <w:proofErr w:type="spellEnd"/>
      <w:r w:rsidRPr="0092649B">
        <w:rPr>
          <w:sz w:val="24"/>
          <w:szCs w:val="24"/>
        </w:rPr>
        <w:t xml:space="preserve"> klassifikation</w:t>
      </w:r>
      <w:r>
        <w:rPr>
          <w:sz w:val="24"/>
          <w:szCs w:val="24"/>
        </w:rPr>
        <w:t xml:space="preserve">: </w:t>
      </w:r>
      <w:r w:rsidRPr="00E81267">
        <w:rPr>
          <w:sz w:val="24"/>
          <w:szCs w:val="24"/>
        </w:rPr>
        <w:t xml:space="preserve">Immunsera og </w:t>
      </w:r>
      <w:proofErr w:type="spellStart"/>
      <w:r w:rsidRPr="00E81267">
        <w:rPr>
          <w:sz w:val="24"/>
          <w:szCs w:val="24"/>
        </w:rPr>
        <w:t>immunglobuliner</w:t>
      </w:r>
      <w:proofErr w:type="spellEnd"/>
      <w:r w:rsidRPr="00E81267">
        <w:rPr>
          <w:sz w:val="24"/>
          <w:szCs w:val="24"/>
        </w:rPr>
        <w:t xml:space="preserve">: </w:t>
      </w:r>
      <w:proofErr w:type="spellStart"/>
      <w:r w:rsidRPr="00E81267">
        <w:rPr>
          <w:sz w:val="24"/>
          <w:szCs w:val="24"/>
        </w:rPr>
        <w:t>immunglobuliner</w:t>
      </w:r>
      <w:proofErr w:type="spellEnd"/>
      <w:r w:rsidRPr="00E81267">
        <w:rPr>
          <w:sz w:val="24"/>
          <w:szCs w:val="24"/>
        </w:rPr>
        <w:t xml:space="preserve">, normal </w:t>
      </w:r>
      <w:r>
        <w:rPr>
          <w:sz w:val="24"/>
          <w:szCs w:val="24"/>
        </w:rPr>
        <w:t xml:space="preserve">human </w:t>
      </w:r>
      <w:r w:rsidRPr="00E81267">
        <w:rPr>
          <w:sz w:val="24"/>
          <w:szCs w:val="24"/>
        </w:rPr>
        <w:t xml:space="preserve">til </w:t>
      </w:r>
      <w:proofErr w:type="spellStart"/>
      <w:r w:rsidRPr="00E81267">
        <w:rPr>
          <w:sz w:val="24"/>
          <w:szCs w:val="24"/>
        </w:rPr>
        <w:t>extravasc</w:t>
      </w:r>
      <w:proofErr w:type="spellEnd"/>
      <w:r w:rsidRPr="00E81267">
        <w:rPr>
          <w:sz w:val="24"/>
          <w:szCs w:val="24"/>
        </w:rPr>
        <w:t>. brug</w:t>
      </w:r>
      <w:r>
        <w:rPr>
          <w:sz w:val="24"/>
          <w:szCs w:val="24"/>
        </w:rPr>
        <w:t xml:space="preserve">. </w:t>
      </w:r>
      <w:r w:rsidRPr="00E81267">
        <w:rPr>
          <w:sz w:val="24"/>
          <w:szCs w:val="24"/>
        </w:rPr>
        <w:t>ATC-kode: J06BA01</w:t>
      </w:r>
      <w:r>
        <w:rPr>
          <w:sz w:val="24"/>
          <w:szCs w:val="24"/>
        </w:rPr>
        <w:t>.</w:t>
      </w:r>
    </w:p>
    <w:p w:rsidR="0092649B" w:rsidRDefault="0092649B" w:rsidP="007926A2">
      <w:pPr>
        <w:tabs>
          <w:tab w:val="left" w:pos="851"/>
        </w:tabs>
        <w:ind w:left="851"/>
        <w:rPr>
          <w:sz w:val="24"/>
          <w:szCs w:val="24"/>
        </w:rPr>
      </w:pPr>
    </w:p>
    <w:p w:rsidR="007926A2" w:rsidRPr="00E81267" w:rsidRDefault="007926A2" w:rsidP="007926A2">
      <w:pPr>
        <w:tabs>
          <w:tab w:val="left" w:pos="851"/>
        </w:tabs>
        <w:ind w:left="851"/>
        <w:rPr>
          <w:sz w:val="24"/>
          <w:szCs w:val="24"/>
          <w:lang w:eastAsia="da-DK"/>
        </w:rPr>
      </w:pPr>
      <w:r w:rsidRPr="00E81267">
        <w:rPr>
          <w:sz w:val="24"/>
          <w:szCs w:val="24"/>
        </w:rPr>
        <w:t xml:space="preserve">Humant normalt </w:t>
      </w:r>
      <w:proofErr w:type="spellStart"/>
      <w:r w:rsidRPr="00E81267">
        <w:rPr>
          <w:sz w:val="24"/>
          <w:szCs w:val="24"/>
        </w:rPr>
        <w:t>immunglobulin</w:t>
      </w:r>
      <w:proofErr w:type="spellEnd"/>
      <w:r w:rsidRPr="00E81267">
        <w:rPr>
          <w:sz w:val="24"/>
          <w:szCs w:val="24"/>
        </w:rPr>
        <w:t xml:space="preserve"> indeholder hovedsageligt af </w:t>
      </w:r>
      <w:proofErr w:type="spellStart"/>
      <w:r w:rsidRPr="00E81267">
        <w:rPr>
          <w:sz w:val="24"/>
          <w:szCs w:val="24"/>
        </w:rPr>
        <w:t>immunglobulin</w:t>
      </w:r>
      <w:proofErr w:type="spellEnd"/>
      <w:r w:rsidRPr="00E81267">
        <w:rPr>
          <w:sz w:val="24"/>
          <w:szCs w:val="24"/>
        </w:rPr>
        <w:t xml:space="preserve"> G (</w:t>
      </w:r>
      <w:proofErr w:type="spellStart"/>
      <w:r w:rsidRPr="00E81267">
        <w:rPr>
          <w:sz w:val="24"/>
          <w:szCs w:val="24"/>
        </w:rPr>
        <w:t>IgG</w:t>
      </w:r>
      <w:proofErr w:type="spellEnd"/>
      <w:r w:rsidRPr="00E81267">
        <w:rPr>
          <w:sz w:val="24"/>
          <w:szCs w:val="24"/>
        </w:rPr>
        <w:t>) med et bredt spektrum af antistoffer mod infektiøse stoffer.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 xml:space="preserve">Humant normalt </w:t>
      </w:r>
      <w:proofErr w:type="spellStart"/>
      <w:r w:rsidRPr="00E81267">
        <w:rPr>
          <w:sz w:val="24"/>
          <w:szCs w:val="24"/>
        </w:rPr>
        <w:t>immunglobulin</w:t>
      </w:r>
      <w:proofErr w:type="spellEnd"/>
      <w:r w:rsidRPr="00E81267">
        <w:rPr>
          <w:sz w:val="24"/>
          <w:szCs w:val="24"/>
        </w:rPr>
        <w:t xml:space="preserve"> indeholder </w:t>
      </w:r>
      <w:proofErr w:type="spellStart"/>
      <w:r w:rsidRPr="00E81267">
        <w:rPr>
          <w:sz w:val="24"/>
          <w:szCs w:val="24"/>
        </w:rPr>
        <w:t>IgG</w:t>
      </w:r>
      <w:proofErr w:type="spellEnd"/>
      <w:r w:rsidRPr="00E81267">
        <w:rPr>
          <w:sz w:val="24"/>
          <w:szCs w:val="24"/>
        </w:rPr>
        <w:t xml:space="preserve"> antistoffer, som findes i normal</w:t>
      </w:r>
      <w:r>
        <w:rPr>
          <w:sz w:val="24"/>
          <w:szCs w:val="24"/>
        </w:rPr>
        <w:softHyphen/>
      </w:r>
      <w:r w:rsidRPr="00E81267">
        <w:rPr>
          <w:sz w:val="24"/>
          <w:szCs w:val="24"/>
        </w:rPr>
        <w:t xml:space="preserve">befolkningen. Det er normalt fremstillet ud fra </w:t>
      </w:r>
      <w:r>
        <w:rPr>
          <w:sz w:val="24"/>
          <w:szCs w:val="24"/>
        </w:rPr>
        <w:t xml:space="preserve">plasmapools fra </w:t>
      </w:r>
      <w:r w:rsidRPr="00E81267">
        <w:rPr>
          <w:sz w:val="24"/>
          <w:szCs w:val="24"/>
        </w:rPr>
        <w:t xml:space="preserve">ikke mindre end 1000 donorer. Det har en fordeling af </w:t>
      </w:r>
      <w:proofErr w:type="spellStart"/>
      <w:r w:rsidRPr="00E81267">
        <w:rPr>
          <w:sz w:val="24"/>
          <w:szCs w:val="24"/>
        </w:rPr>
        <w:t>immunglobulin</w:t>
      </w:r>
      <w:proofErr w:type="spellEnd"/>
      <w:r w:rsidRPr="00E81267">
        <w:rPr>
          <w:sz w:val="24"/>
          <w:szCs w:val="24"/>
        </w:rPr>
        <w:t xml:space="preserve"> G</w:t>
      </w:r>
      <w:r>
        <w:rPr>
          <w:sz w:val="24"/>
          <w:szCs w:val="24"/>
        </w:rPr>
        <w:t>-</w:t>
      </w:r>
      <w:r w:rsidRPr="00E81267">
        <w:rPr>
          <w:sz w:val="24"/>
          <w:szCs w:val="24"/>
        </w:rPr>
        <w:t>subklasser</w:t>
      </w:r>
      <w:r>
        <w:rPr>
          <w:sz w:val="24"/>
          <w:szCs w:val="24"/>
        </w:rPr>
        <w:t xml:space="preserve">, der er tilnærmelsesvist </w:t>
      </w:r>
      <w:r>
        <w:rPr>
          <w:sz w:val="24"/>
          <w:szCs w:val="24"/>
        </w:rPr>
        <w:lastRenderedPageBreak/>
        <w:t>proportional med fordelingen i det oprindelige humane</w:t>
      </w:r>
      <w:r w:rsidRPr="00E81267">
        <w:rPr>
          <w:sz w:val="24"/>
          <w:szCs w:val="24"/>
        </w:rPr>
        <w:t xml:space="preserve"> plasma. Passende doser af dette lægemiddel kan normalisere abnormt lave </w:t>
      </w:r>
      <w:proofErr w:type="spellStart"/>
      <w:r w:rsidRPr="00E81267">
        <w:rPr>
          <w:sz w:val="24"/>
          <w:szCs w:val="24"/>
        </w:rPr>
        <w:t>immunglobulin</w:t>
      </w:r>
      <w:proofErr w:type="spellEnd"/>
      <w:r w:rsidRPr="00E81267">
        <w:rPr>
          <w:sz w:val="24"/>
          <w:szCs w:val="24"/>
        </w:rPr>
        <w:t xml:space="preserve"> G-niveauer.</w:t>
      </w:r>
    </w:p>
    <w:p w:rsidR="007926A2" w:rsidRPr="00E81267" w:rsidRDefault="007926A2" w:rsidP="007926A2">
      <w:pPr>
        <w:tabs>
          <w:tab w:val="left" w:pos="851"/>
        </w:tabs>
        <w:ind w:left="851"/>
        <w:rPr>
          <w:sz w:val="24"/>
          <w:szCs w:val="24"/>
        </w:rPr>
      </w:pPr>
    </w:p>
    <w:p w:rsidR="00F2329D" w:rsidRDefault="00F2329D" w:rsidP="00F2329D">
      <w:pPr>
        <w:tabs>
          <w:tab w:val="left" w:pos="851"/>
        </w:tabs>
        <w:ind w:left="851"/>
        <w:rPr>
          <w:sz w:val="24"/>
          <w:szCs w:val="24"/>
        </w:rPr>
      </w:pPr>
      <w:r>
        <w:rPr>
          <w:sz w:val="24"/>
          <w:szCs w:val="24"/>
        </w:rPr>
        <w:t xml:space="preserve">I et klinisk studie blev i alt 75 </w:t>
      </w:r>
      <w:r w:rsidRPr="00AC5DD7">
        <w:rPr>
          <w:sz w:val="24"/>
          <w:szCs w:val="24"/>
        </w:rPr>
        <w:t>(37</w:t>
      </w:r>
      <w:r>
        <w:rPr>
          <w:sz w:val="24"/>
          <w:szCs w:val="24"/>
        </w:rPr>
        <w:t> voksne, 12 små børn</w:t>
      </w:r>
      <w:r w:rsidRPr="00AC5DD7">
        <w:rPr>
          <w:sz w:val="24"/>
          <w:szCs w:val="24"/>
        </w:rPr>
        <w:t xml:space="preserve"> [≥</w:t>
      </w:r>
      <w:r>
        <w:rPr>
          <w:sz w:val="24"/>
          <w:szCs w:val="24"/>
        </w:rPr>
        <w:t> </w:t>
      </w:r>
      <w:r w:rsidRPr="00AC5DD7">
        <w:rPr>
          <w:sz w:val="24"/>
          <w:szCs w:val="24"/>
        </w:rPr>
        <w:t xml:space="preserve">2 </w:t>
      </w:r>
      <w:r>
        <w:rPr>
          <w:sz w:val="24"/>
          <w:szCs w:val="24"/>
        </w:rPr>
        <w:t>og</w:t>
      </w:r>
      <w:r w:rsidRPr="00E868FE">
        <w:rPr>
          <w:sz w:val="24"/>
          <w:szCs w:val="24"/>
        </w:rPr>
        <w:t xml:space="preserve"> &lt;</w:t>
      </w:r>
      <w:r>
        <w:rPr>
          <w:sz w:val="24"/>
          <w:szCs w:val="24"/>
        </w:rPr>
        <w:t> </w:t>
      </w:r>
      <w:r w:rsidRPr="00E868FE">
        <w:rPr>
          <w:sz w:val="24"/>
          <w:szCs w:val="24"/>
        </w:rPr>
        <w:t>6], 14</w:t>
      </w:r>
      <w:r>
        <w:rPr>
          <w:sz w:val="24"/>
          <w:szCs w:val="24"/>
        </w:rPr>
        <w:t> ældre børn</w:t>
      </w:r>
      <w:r w:rsidRPr="00E868FE">
        <w:rPr>
          <w:sz w:val="24"/>
          <w:szCs w:val="24"/>
        </w:rPr>
        <w:t xml:space="preserve"> [≥</w:t>
      </w:r>
      <w:r>
        <w:rPr>
          <w:sz w:val="24"/>
          <w:szCs w:val="24"/>
        </w:rPr>
        <w:t> </w:t>
      </w:r>
      <w:r w:rsidRPr="00E868FE">
        <w:rPr>
          <w:sz w:val="24"/>
          <w:szCs w:val="24"/>
        </w:rPr>
        <w:t xml:space="preserve">6 </w:t>
      </w:r>
      <w:r>
        <w:rPr>
          <w:sz w:val="24"/>
          <w:szCs w:val="24"/>
        </w:rPr>
        <w:t>og</w:t>
      </w:r>
      <w:r w:rsidRPr="00D73125">
        <w:rPr>
          <w:sz w:val="24"/>
          <w:szCs w:val="24"/>
        </w:rPr>
        <w:t xml:space="preserve"> &lt;</w:t>
      </w:r>
      <w:r>
        <w:rPr>
          <w:sz w:val="24"/>
          <w:szCs w:val="24"/>
        </w:rPr>
        <w:t> </w:t>
      </w:r>
      <w:r w:rsidRPr="00E868FE">
        <w:rPr>
          <w:sz w:val="24"/>
          <w:szCs w:val="24"/>
        </w:rPr>
        <w:t>12], 12</w:t>
      </w:r>
      <w:r>
        <w:rPr>
          <w:sz w:val="24"/>
          <w:szCs w:val="24"/>
        </w:rPr>
        <w:t> unge</w:t>
      </w:r>
      <w:r w:rsidRPr="00E868FE">
        <w:rPr>
          <w:sz w:val="24"/>
          <w:szCs w:val="24"/>
        </w:rPr>
        <w:t xml:space="preserve"> [≥</w:t>
      </w:r>
      <w:r>
        <w:rPr>
          <w:sz w:val="24"/>
          <w:szCs w:val="24"/>
        </w:rPr>
        <w:t> </w:t>
      </w:r>
      <w:r w:rsidRPr="00E868FE">
        <w:rPr>
          <w:sz w:val="24"/>
          <w:szCs w:val="24"/>
        </w:rPr>
        <w:t xml:space="preserve">12 </w:t>
      </w:r>
      <w:r>
        <w:rPr>
          <w:sz w:val="24"/>
          <w:szCs w:val="24"/>
        </w:rPr>
        <w:t>og</w:t>
      </w:r>
      <w:r w:rsidRPr="00AC5DD7">
        <w:rPr>
          <w:sz w:val="24"/>
          <w:szCs w:val="24"/>
        </w:rPr>
        <w:t xml:space="preserve"> &lt;</w:t>
      </w:r>
      <w:r>
        <w:rPr>
          <w:sz w:val="24"/>
          <w:szCs w:val="24"/>
        </w:rPr>
        <w:t> </w:t>
      </w:r>
      <w:r w:rsidRPr="00E868FE">
        <w:rPr>
          <w:sz w:val="24"/>
          <w:szCs w:val="24"/>
        </w:rPr>
        <w:t>17])</w:t>
      </w:r>
      <w:r>
        <w:rPr>
          <w:sz w:val="24"/>
          <w:szCs w:val="24"/>
        </w:rPr>
        <w:t xml:space="preserve"> forsøgspersoner med primære immundefektsyndromer behandlet med </w:t>
      </w:r>
      <w:proofErr w:type="spellStart"/>
      <w:r>
        <w:rPr>
          <w:sz w:val="24"/>
          <w:szCs w:val="24"/>
        </w:rPr>
        <w:t>Cutaquig</w:t>
      </w:r>
      <w:proofErr w:type="spellEnd"/>
      <w:r>
        <w:rPr>
          <w:sz w:val="24"/>
          <w:szCs w:val="24"/>
        </w:rPr>
        <w:t xml:space="preserve"> i op til 64 uger.</w:t>
      </w:r>
    </w:p>
    <w:p w:rsidR="00F2329D" w:rsidRDefault="00F2329D" w:rsidP="00F2329D">
      <w:pPr>
        <w:tabs>
          <w:tab w:val="left" w:pos="851"/>
        </w:tabs>
        <w:ind w:left="851"/>
        <w:rPr>
          <w:sz w:val="24"/>
          <w:szCs w:val="24"/>
        </w:rPr>
      </w:pPr>
      <w:r>
        <w:rPr>
          <w:sz w:val="24"/>
          <w:szCs w:val="24"/>
        </w:rPr>
        <w:t xml:space="preserve">Den gennemsnitlige indgivne dosis hver uge pr. patient var 0,187 g/kg hos voksne patienter, 0,150 g/kg hos små børn, 0,164 g/kg hos større børn og 0,170 g/kg hos unge. Forsøgspersonerne fik i alt 4462 ugentlige infusioner af </w:t>
      </w:r>
      <w:proofErr w:type="spellStart"/>
      <w:r>
        <w:rPr>
          <w:sz w:val="24"/>
          <w:szCs w:val="24"/>
        </w:rPr>
        <w:t>Cutaquig</w:t>
      </w:r>
      <w:proofErr w:type="spellEnd"/>
      <w:r>
        <w:rPr>
          <w:sz w:val="24"/>
          <w:szCs w:val="24"/>
        </w:rPr>
        <w:t>.</w:t>
      </w:r>
    </w:p>
    <w:p w:rsidR="00F2329D" w:rsidRPr="00E81267" w:rsidRDefault="00F2329D" w:rsidP="00F2329D">
      <w:pPr>
        <w:tabs>
          <w:tab w:val="left" w:pos="851"/>
        </w:tabs>
        <w:ind w:left="851"/>
        <w:rPr>
          <w:sz w:val="24"/>
          <w:szCs w:val="24"/>
        </w:rPr>
      </w:pPr>
      <w:r w:rsidRPr="00E81267">
        <w:rPr>
          <w:sz w:val="24"/>
          <w:szCs w:val="24"/>
        </w:rPr>
        <w:t xml:space="preserve">Der blev ikke rapporteret om alvorlige bakterielle infektioner, hverken under </w:t>
      </w:r>
      <w:proofErr w:type="spellStart"/>
      <w:r w:rsidRPr="00E81267">
        <w:rPr>
          <w:i/>
          <w:sz w:val="24"/>
          <w:szCs w:val="24"/>
        </w:rPr>
        <w:t>wash</w:t>
      </w:r>
      <w:proofErr w:type="spellEnd"/>
      <w:r w:rsidRPr="00E81267">
        <w:rPr>
          <w:i/>
          <w:sz w:val="24"/>
          <w:szCs w:val="24"/>
        </w:rPr>
        <w:t>-in/</w:t>
      </w:r>
      <w:proofErr w:type="spellStart"/>
      <w:r w:rsidRPr="00E81267">
        <w:rPr>
          <w:i/>
          <w:sz w:val="24"/>
          <w:szCs w:val="24"/>
        </w:rPr>
        <w:t>wash</w:t>
      </w:r>
      <w:proofErr w:type="spellEnd"/>
      <w:r w:rsidRPr="00E81267">
        <w:rPr>
          <w:i/>
          <w:sz w:val="24"/>
          <w:szCs w:val="24"/>
        </w:rPr>
        <w:t>-out</w:t>
      </w:r>
      <w:r w:rsidRPr="00E81267">
        <w:rPr>
          <w:sz w:val="24"/>
          <w:szCs w:val="24"/>
        </w:rPr>
        <w:t xml:space="preserve">-perioder eller under virkningsperioden hos forsøgspersoner, der fik </w:t>
      </w:r>
      <w:proofErr w:type="spellStart"/>
      <w:r w:rsidRPr="00E81267">
        <w:rPr>
          <w:sz w:val="24"/>
          <w:szCs w:val="24"/>
        </w:rPr>
        <w:t>Cutaquig</w:t>
      </w:r>
      <w:proofErr w:type="spellEnd"/>
      <w:r w:rsidRPr="00E81267">
        <w:rPr>
          <w:sz w:val="24"/>
          <w:szCs w:val="24"/>
        </w:rPr>
        <w:t xml:space="preserve"> i det kliniske studie.</w:t>
      </w:r>
    </w:p>
    <w:p w:rsidR="00F2329D" w:rsidRDefault="00F2329D" w:rsidP="00F2329D">
      <w:pPr>
        <w:tabs>
          <w:tab w:val="left" w:pos="851"/>
        </w:tabs>
        <w:ind w:left="851"/>
        <w:rPr>
          <w:sz w:val="24"/>
          <w:szCs w:val="24"/>
        </w:rPr>
      </w:pPr>
      <w:proofErr w:type="spellStart"/>
      <w:r>
        <w:rPr>
          <w:sz w:val="24"/>
          <w:szCs w:val="24"/>
        </w:rPr>
        <w:t>Cutaquig</w:t>
      </w:r>
      <w:proofErr w:type="spellEnd"/>
      <w:r>
        <w:rPr>
          <w:sz w:val="24"/>
          <w:szCs w:val="24"/>
        </w:rPr>
        <w:t xml:space="preserve"> blev undersøgt hos 38 pædiatriske patienter (26 børn [mellem 2 og &lt; 12 år] og 12 unge [mellem 12 og &lt; 16 år]) med primær immundefektsygdom. Ingen pædiatrispecifikke dosiskriterier var nødvendige for at opnå de ønskede serum-</w:t>
      </w:r>
      <w:proofErr w:type="spellStart"/>
      <w:r>
        <w:rPr>
          <w:sz w:val="24"/>
          <w:szCs w:val="24"/>
        </w:rPr>
        <w:t>IgG</w:t>
      </w:r>
      <w:proofErr w:type="spellEnd"/>
      <w:r>
        <w:rPr>
          <w:sz w:val="24"/>
          <w:szCs w:val="24"/>
        </w:rPr>
        <w:t>-niveauer.</w:t>
      </w:r>
    </w:p>
    <w:p w:rsidR="00F2329D" w:rsidRDefault="00F2329D" w:rsidP="00F2329D">
      <w:pPr>
        <w:tabs>
          <w:tab w:val="left" w:pos="851"/>
        </w:tabs>
        <w:ind w:left="851"/>
        <w:rPr>
          <w:sz w:val="24"/>
          <w:szCs w:val="24"/>
        </w:rPr>
      </w:pPr>
    </w:p>
    <w:p w:rsidR="00F2329D" w:rsidRPr="002726CB" w:rsidRDefault="00F2329D" w:rsidP="00F2329D">
      <w:pPr>
        <w:tabs>
          <w:tab w:val="left" w:pos="851"/>
        </w:tabs>
        <w:ind w:left="851"/>
        <w:rPr>
          <w:sz w:val="24"/>
          <w:szCs w:val="24"/>
        </w:rPr>
      </w:pPr>
      <w:r w:rsidRPr="002726CB">
        <w:rPr>
          <w:sz w:val="24"/>
          <w:szCs w:val="24"/>
        </w:rPr>
        <w:t xml:space="preserve">Forlængelsesstudiet var et </w:t>
      </w:r>
      <w:proofErr w:type="spellStart"/>
      <w:r w:rsidRPr="002726CB">
        <w:rPr>
          <w:sz w:val="24"/>
          <w:szCs w:val="24"/>
        </w:rPr>
        <w:t>prospektivt</w:t>
      </w:r>
      <w:proofErr w:type="spellEnd"/>
      <w:r w:rsidRPr="002726CB">
        <w:rPr>
          <w:sz w:val="24"/>
          <w:szCs w:val="24"/>
        </w:rPr>
        <w:t xml:space="preserve">, </w:t>
      </w:r>
      <w:proofErr w:type="gramStart"/>
      <w:r w:rsidRPr="002726CB">
        <w:rPr>
          <w:sz w:val="24"/>
          <w:szCs w:val="24"/>
        </w:rPr>
        <w:t>åbent fase</w:t>
      </w:r>
      <w:proofErr w:type="gramEnd"/>
      <w:r w:rsidRPr="002726CB">
        <w:rPr>
          <w:sz w:val="24"/>
          <w:szCs w:val="24"/>
        </w:rPr>
        <w:t xml:space="preserve"> III-multicenterstudie med en enkelt arm for sikkerhedsopfølgning, hvor der indgik 27 forsøgspersoner (17 voksne, 2 små børn [≥ 2 og &lt; 6], 4 ældre børn [≥ 6 og &lt; 12], 4 unge [≥ 12 og &lt; 17]) med primær immundefekt. Enogtyve forsøgspersoner blev indledningsvist behandlet i det pivotale studie, og 6 forsøgspersoner var nye inklusioner. Forsøgspersonerne blev observeret over en periode på op til 4,5 år for forsøgspersoner, der tidligere var inkluderet i det pivotale studie, og 12 måneder for </w:t>
      </w:r>
      <w:r w:rsidRPr="002726CB">
        <w:rPr>
          <w:i/>
          <w:iCs/>
          <w:sz w:val="24"/>
          <w:szCs w:val="24"/>
        </w:rPr>
        <w:t xml:space="preserve">de </w:t>
      </w:r>
      <w:proofErr w:type="spellStart"/>
      <w:r w:rsidRPr="002726CB">
        <w:rPr>
          <w:i/>
          <w:iCs/>
          <w:sz w:val="24"/>
          <w:szCs w:val="24"/>
        </w:rPr>
        <w:t>novo</w:t>
      </w:r>
      <w:proofErr w:type="spellEnd"/>
      <w:r w:rsidRPr="002726CB">
        <w:rPr>
          <w:sz w:val="24"/>
          <w:szCs w:val="24"/>
        </w:rPr>
        <w:t xml:space="preserve">-forsøgspersoner. Forsøgspersonerne fik </w:t>
      </w:r>
      <w:proofErr w:type="spellStart"/>
      <w:r w:rsidRPr="002726CB">
        <w:rPr>
          <w:sz w:val="24"/>
          <w:szCs w:val="24"/>
        </w:rPr>
        <w:t>Cutaquig</w:t>
      </w:r>
      <w:proofErr w:type="spellEnd"/>
      <w:r w:rsidRPr="002726CB">
        <w:rPr>
          <w:sz w:val="24"/>
          <w:szCs w:val="24"/>
        </w:rPr>
        <w:t xml:space="preserve"> i henhold til en ugentlig (25 forsøgspersoner) eller en ”hver anden uge” tidsplan (2 forsøgspersoner). Den gennemsnitlige faktiske dosis af </w:t>
      </w:r>
      <w:proofErr w:type="spellStart"/>
      <w:r w:rsidRPr="002726CB">
        <w:rPr>
          <w:sz w:val="24"/>
          <w:szCs w:val="24"/>
        </w:rPr>
        <w:t>Cutaquig</w:t>
      </w:r>
      <w:proofErr w:type="spellEnd"/>
      <w:r w:rsidRPr="002726CB">
        <w:rPr>
          <w:sz w:val="24"/>
          <w:szCs w:val="24"/>
        </w:rPr>
        <w:t xml:space="preserve"> </w:t>
      </w:r>
      <w:proofErr w:type="spellStart"/>
      <w:r w:rsidRPr="002726CB">
        <w:rPr>
          <w:sz w:val="24"/>
          <w:szCs w:val="24"/>
        </w:rPr>
        <w:t>infunderet</w:t>
      </w:r>
      <w:proofErr w:type="spellEnd"/>
      <w:r w:rsidRPr="002726CB">
        <w:rPr>
          <w:sz w:val="24"/>
          <w:szCs w:val="24"/>
        </w:rPr>
        <w:t xml:space="preserve"> pr. patient var 0,127 g/kg til små børn, 0,210 g/kg til ældre børn, 0,160 g/kg til unge patienter og 0,166 g/kg til voksne patienter. Forsøgspersonerne fik en samlet dosis på 2 777 infusioner (2 740 ugentligt og 37 hver anden uge). Der blev rapporteret én SBI (alvorlig bakteriel infektion) af infektionstypen </w:t>
      </w:r>
      <w:proofErr w:type="spellStart"/>
      <w:r w:rsidRPr="002726CB">
        <w:rPr>
          <w:sz w:val="24"/>
          <w:szCs w:val="24"/>
        </w:rPr>
        <w:t>bakteriæmi</w:t>
      </w:r>
      <w:proofErr w:type="spellEnd"/>
      <w:r w:rsidRPr="002726CB">
        <w:rPr>
          <w:sz w:val="24"/>
          <w:szCs w:val="24"/>
        </w:rPr>
        <w:t>/sepsis.</w:t>
      </w:r>
    </w:p>
    <w:p w:rsidR="00F2329D" w:rsidRPr="002726CB" w:rsidRDefault="00F2329D" w:rsidP="00F2329D">
      <w:pPr>
        <w:tabs>
          <w:tab w:val="left" w:pos="851"/>
        </w:tabs>
        <w:ind w:left="851"/>
        <w:rPr>
          <w:sz w:val="24"/>
          <w:szCs w:val="24"/>
        </w:rPr>
      </w:pPr>
    </w:p>
    <w:p w:rsidR="00F2329D" w:rsidRPr="002726CB" w:rsidRDefault="00F2329D" w:rsidP="00F2329D">
      <w:pPr>
        <w:tabs>
          <w:tab w:val="left" w:pos="851"/>
        </w:tabs>
        <w:ind w:left="851"/>
        <w:rPr>
          <w:sz w:val="24"/>
          <w:szCs w:val="24"/>
        </w:rPr>
      </w:pPr>
      <w:r w:rsidRPr="002726CB">
        <w:rPr>
          <w:sz w:val="24"/>
          <w:szCs w:val="24"/>
        </w:rPr>
        <w:t xml:space="preserve">For at overvåge sikkerheden, </w:t>
      </w:r>
      <w:proofErr w:type="spellStart"/>
      <w:r w:rsidRPr="002726CB">
        <w:rPr>
          <w:sz w:val="24"/>
          <w:szCs w:val="24"/>
        </w:rPr>
        <w:t>tolerabiliteten</w:t>
      </w:r>
      <w:proofErr w:type="spellEnd"/>
      <w:r w:rsidRPr="002726CB">
        <w:rPr>
          <w:sz w:val="24"/>
          <w:szCs w:val="24"/>
        </w:rPr>
        <w:t xml:space="preserve"> og virkningen af </w:t>
      </w:r>
      <w:proofErr w:type="spellStart"/>
      <w:r w:rsidRPr="002726CB">
        <w:rPr>
          <w:sz w:val="24"/>
          <w:szCs w:val="24"/>
        </w:rPr>
        <w:t>Cutaquig</w:t>
      </w:r>
      <w:proofErr w:type="spellEnd"/>
      <w:r w:rsidRPr="002726CB">
        <w:rPr>
          <w:sz w:val="24"/>
          <w:szCs w:val="24"/>
        </w:rPr>
        <w:t xml:space="preserve"> inkluderede et </w:t>
      </w:r>
      <w:proofErr w:type="spellStart"/>
      <w:r w:rsidRPr="002726CB">
        <w:rPr>
          <w:sz w:val="24"/>
          <w:szCs w:val="24"/>
        </w:rPr>
        <w:t>prospektivt</w:t>
      </w:r>
      <w:proofErr w:type="spellEnd"/>
      <w:r w:rsidRPr="002726CB">
        <w:rPr>
          <w:sz w:val="24"/>
          <w:szCs w:val="24"/>
        </w:rPr>
        <w:t>, åbent, fase III-multicenterstudie med tre arme 64 PID-forsøgspersoner (59 voksne, 1 lille barn [≥ 2 og &lt; 6], 2 ældre børn [≥ 6 og &lt; 12], 2 unge [≥ 12 og &lt; 17]) i alderen 5 til 74 år.</w:t>
      </w:r>
    </w:p>
    <w:p w:rsidR="00F2329D" w:rsidRPr="002726CB" w:rsidRDefault="00F2329D" w:rsidP="00F2329D">
      <w:pPr>
        <w:tabs>
          <w:tab w:val="left" w:pos="851"/>
        </w:tabs>
        <w:ind w:left="851"/>
        <w:rPr>
          <w:sz w:val="24"/>
          <w:szCs w:val="24"/>
        </w:rPr>
      </w:pPr>
      <w:r w:rsidRPr="002726CB">
        <w:rPr>
          <w:sz w:val="24"/>
          <w:szCs w:val="24"/>
        </w:rPr>
        <w:t>Efter at have afsluttet den 4-ugers stabiliseringsperiode, indgik forsøgspersonerne i behandlingsperioden med en opfølgning på 24 uger og de blev inddelt i en af de 3 kohorter:</w:t>
      </w:r>
    </w:p>
    <w:p w:rsidR="00F2329D" w:rsidRPr="002726CB" w:rsidRDefault="00F2329D" w:rsidP="00F2329D">
      <w:pPr>
        <w:numPr>
          <w:ilvl w:val="0"/>
          <w:numId w:val="9"/>
        </w:numPr>
        <w:ind w:left="1560" w:hanging="426"/>
        <w:rPr>
          <w:sz w:val="24"/>
          <w:szCs w:val="24"/>
        </w:rPr>
      </w:pPr>
      <w:r w:rsidRPr="002726CB">
        <w:rPr>
          <w:sz w:val="24"/>
          <w:szCs w:val="24"/>
        </w:rPr>
        <w:t>Kohorte 1 vurderede øget volumen pr. sted med op til maksimalt 100 ml/sted.</w:t>
      </w:r>
    </w:p>
    <w:p w:rsidR="00F2329D" w:rsidRPr="002726CB" w:rsidRDefault="00F2329D" w:rsidP="00F2329D">
      <w:pPr>
        <w:numPr>
          <w:ilvl w:val="0"/>
          <w:numId w:val="9"/>
        </w:numPr>
        <w:ind w:left="1560" w:hanging="426"/>
        <w:rPr>
          <w:sz w:val="24"/>
          <w:szCs w:val="24"/>
        </w:rPr>
      </w:pPr>
      <w:r w:rsidRPr="002726CB">
        <w:rPr>
          <w:sz w:val="24"/>
          <w:szCs w:val="24"/>
        </w:rPr>
        <w:t>Kohorte 2 vurderede øget flowhastighed af infusionen pr. sted op til maksimalt 100 ml/time/sted eller den maksimale flowhastighed, der kan opnås med pumpen.</w:t>
      </w:r>
    </w:p>
    <w:p w:rsidR="00F2329D" w:rsidRPr="002726CB" w:rsidRDefault="00F2329D" w:rsidP="00F2329D">
      <w:pPr>
        <w:numPr>
          <w:ilvl w:val="0"/>
          <w:numId w:val="9"/>
        </w:numPr>
        <w:ind w:left="1560" w:hanging="426"/>
        <w:rPr>
          <w:sz w:val="24"/>
          <w:szCs w:val="24"/>
        </w:rPr>
      </w:pPr>
      <w:r w:rsidRPr="002726CB">
        <w:rPr>
          <w:sz w:val="24"/>
          <w:szCs w:val="24"/>
        </w:rPr>
        <w:t xml:space="preserve">Kohorte 3 vurderede </w:t>
      </w:r>
      <w:proofErr w:type="spellStart"/>
      <w:r w:rsidRPr="002726CB">
        <w:rPr>
          <w:sz w:val="24"/>
          <w:szCs w:val="24"/>
        </w:rPr>
        <w:t>Cutaquig</w:t>
      </w:r>
      <w:proofErr w:type="spellEnd"/>
      <w:r w:rsidRPr="002726CB">
        <w:rPr>
          <w:sz w:val="24"/>
          <w:szCs w:val="24"/>
        </w:rPr>
        <w:t xml:space="preserve"> i planen med dosering hver anden uge, svarende til to gange patientens legemsvægtafhængige (mg/kg) ugentlige dosis.</w:t>
      </w:r>
    </w:p>
    <w:p w:rsidR="00F2329D" w:rsidRPr="002726CB" w:rsidRDefault="00F2329D" w:rsidP="00F2329D">
      <w:pPr>
        <w:tabs>
          <w:tab w:val="left" w:pos="851"/>
        </w:tabs>
        <w:ind w:left="851"/>
        <w:rPr>
          <w:sz w:val="24"/>
          <w:szCs w:val="24"/>
        </w:rPr>
      </w:pPr>
    </w:p>
    <w:p w:rsidR="00F2329D" w:rsidRPr="002726CB" w:rsidRDefault="00F2329D" w:rsidP="00F2329D">
      <w:pPr>
        <w:tabs>
          <w:tab w:val="left" w:pos="851"/>
        </w:tabs>
        <w:ind w:left="851"/>
        <w:rPr>
          <w:sz w:val="24"/>
          <w:szCs w:val="24"/>
        </w:rPr>
      </w:pPr>
      <w:r w:rsidRPr="002726CB">
        <w:rPr>
          <w:sz w:val="24"/>
          <w:szCs w:val="24"/>
        </w:rPr>
        <w:t xml:space="preserve">Det </w:t>
      </w:r>
      <w:proofErr w:type="spellStart"/>
      <w:r w:rsidRPr="002726CB">
        <w:rPr>
          <w:sz w:val="24"/>
          <w:szCs w:val="24"/>
        </w:rPr>
        <w:t>co</w:t>
      </w:r>
      <w:proofErr w:type="spellEnd"/>
      <w:r w:rsidRPr="002726CB">
        <w:rPr>
          <w:sz w:val="24"/>
          <w:szCs w:val="24"/>
        </w:rPr>
        <w:t xml:space="preserve">-primære endepunkt var at sammenligne de totale dalniveauer af </w:t>
      </w:r>
      <w:proofErr w:type="spellStart"/>
      <w:r w:rsidRPr="002726CB">
        <w:rPr>
          <w:sz w:val="24"/>
          <w:szCs w:val="24"/>
        </w:rPr>
        <w:t>IgG</w:t>
      </w:r>
      <w:proofErr w:type="spellEnd"/>
      <w:r w:rsidRPr="002726CB">
        <w:rPr>
          <w:sz w:val="24"/>
          <w:szCs w:val="24"/>
        </w:rPr>
        <w:t xml:space="preserve"> fra ugentlige infusioner med infusioner hver anden uge og at vurdere sikkerheden og </w:t>
      </w:r>
      <w:proofErr w:type="spellStart"/>
      <w:r w:rsidRPr="002726CB">
        <w:rPr>
          <w:sz w:val="24"/>
          <w:szCs w:val="24"/>
        </w:rPr>
        <w:t>tolerabiliteten</w:t>
      </w:r>
      <w:proofErr w:type="spellEnd"/>
      <w:r w:rsidRPr="002726CB">
        <w:rPr>
          <w:sz w:val="24"/>
          <w:szCs w:val="24"/>
        </w:rPr>
        <w:t xml:space="preserve"> af øgede infusionsvoluminer og øgede infusionshastigheder på hvert infusionssted og med dosering hver anden uge.</w:t>
      </w:r>
    </w:p>
    <w:p w:rsidR="00F2329D" w:rsidRPr="002726CB" w:rsidRDefault="00F2329D" w:rsidP="00F2329D">
      <w:pPr>
        <w:tabs>
          <w:tab w:val="left" w:pos="851"/>
        </w:tabs>
        <w:ind w:left="851"/>
        <w:rPr>
          <w:sz w:val="24"/>
          <w:szCs w:val="24"/>
        </w:rPr>
      </w:pPr>
    </w:p>
    <w:p w:rsidR="00F2329D" w:rsidRPr="002726CB" w:rsidRDefault="00F2329D" w:rsidP="00F2329D">
      <w:pPr>
        <w:tabs>
          <w:tab w:val="left" w:pos="851"/>
        </w:tabs>
        <w:ind w:left="851"/>
        <w:rPr>
          <w:sz w:val="24"/>
          <w:szCs w:val="24"/>
        </w:rPr>
      </w:pPr>
      <w:r w:rsidRPr="002726CB">
        <w:rPr>
          <w:sz w:val="24"/>
          <w:szCs w:val="24"/>
        </w:rPr>
        <w:t>Samlet fik forsøgspersonerne i alt 1 338 infusioner (386 i kohorte 1, 396 i kohorte 2, 556 i kohorte 3). I kohorte 1 (n=15</w:t>
      </w:r>
      <w:r>
        <w:rPr>
          <w:sz w:val="24"/>
          <w:szCs w:val="24"/>
        </w:rPr>
        <w:t> </w:t>
      </w:r>
      <w:r w:rsidRPr="002726CB">
        <w:rPr>
          <w:sz w:val="24"/>
          <w:szCs w:val="24"/>
        </w:rPr>
        <w:t xml:space="preserve">voksne) var det gennemsnitlige maksimale realiserede </w:t>
      </w:r>
      <w:r w:rsidRPr="002726CB">
        <w:rPr>
          <w:sz w:val="24"/>
          <w:szCs w:val="24"/>
        </w:rPr>
        <w:lastRenderedPageBreak/>
        <w:t xml:space="preserve">volumen pr. sted 69,4 ml/sted med et maksimalt volumen på 108 ml/sted. En tredjedel af forsøgspersonerne (5/15; 33,3 %) opnåede ≥ 90 % af det tilladte maksimale volumen på 100 ml/sted, en yderligere tredjedel opnåede fra 50 % til &lt; 90 % af det tilladte maksimum, og en tredjedel opnåede &lt; 50 % af det tilladte maksimum. Den </w:t>
      </w:r>
      <w:proofErr w:type="spellStart"/>
      <w:r w:rsidRPr="002726CB">
        <w:rPr>
          <w:sz w:val="24"/>
          <w:szCs w:val="24"/>
        </w:rPr>
        <w:t>mediane</w:t>
      </w:r>
      <w:proofErr w:type="spellEnd"/>
      <w:r w:rsidRPr="002726CB">
        <w:rPr>
          <w:sz w:val="24"/>
          <w:szCs w:val="24"/>
        </w:rPr>
        <w:t xml:space="preserve"> maksimale realiserede flowhastighed pr. forsøgsperson var 56,9 ml/time, i intervallet fra 34,0 ml/time til 94,7 ml/time</w:t>
      </w:r>
      <w:r>
        <w:rPr>
          <w:sz w:val="24"/>
          <w:szCs w:val="24"/>
        </w:rPr>
        <w:t>.</w:t>
      </w:r>
    </w:p>
    <w:p w:rsidR="00F2329D" w:rsidRPr="002726CB" w:rsidRDefault="00F2329D" w:rsidP="00F2329D">
      <w:pPr>
        <w:tabs>
          <w:tab w:val="left" w:pos="851"/>
        </w:tabs>
        <w:ind w:left="851"/>
        <w:rPr>
          <w:sz w:val="24"/>
          <w:szCs w:val="24"/>
        </w:rPr>
      </w:pPr>
      <w:r w:rsidRPr="002726CB">
        <w:rPr>
          <w:sz w:val="24"/>
          <w:szCs w:val="24"/>
        </w:rPr>
        <w:t>I kohorte 2 (n=15</w:t>
      </w:r>
      <w:r>
        <w:rPr>
          <w:sz w:val="24"/>
          <w:szCs w:val="24"/>
        </w:rPr>
        <w:t xml:space="preserve">; </w:t>
      </w:r>
      <w:r w:rsidRPr="002726CB">
        <w:rPr>
          <w:sz w:val="24"/>
          <w:szCs w:val="24"/>
        </w:rPr>
        <w:t xml:space="preserve">13 voksne, 1 ældre barn [≥ 6 og &lt; 12], 1 ung [≥ 12 og &lt; 17]) var den gennemsnitlige maksimale realiserede flowhastighed pr. sted 42,1 ml/time/sted med en maksimal flowhastighed på 67,5 ml/time/sted. 73,3 % opnåede en maksimal flowhastighed pr. sted på &lt; 50 % af det tilladte maksimum på 100 ml/time/sted, og de resterende 26,7 % opnåede fra 50 % til 75 % af det tilladte maksimum. Den </w:t>
      </w:r>
      <w:proofErr w:type="spellStart"/>
      <w:r w:rsidRPr="002726CB">
        <w:rPr>
          <w:sz w:val="24"/>
          <w:szCs w:val="24"/>
        </w:rPr>
        <w:t>mediane</w:t>
      </w:r>
      <w:proofErr w:type="spellEnd"/>
      <w:r w:rsidRPr="002726CB">
        <w:rPr>
          <w:sz w:val="24"/>
          <w:szCs w:val="24"/>
        </w:rPr>
        <w:t xml:space="preserve"> maksimale realiserede flowhastighed pr. forsøgsperson var 135,0 ml/time, i intervallet fra 51,4 ml/time til 192,0 ml/time.</w:t>
      </w:r>
    </w:p>
    <w:p w:rsidR="00F2329D" w:rsidRPr="002726CB" w:rsidRDefault="00F2329D" w:rsidP="00F2329D">
      <w:pPr>
        <w:tabs>
          <w:tab w:val="left" w:pos="851"/>
        </w:tabs>
        <w:ind w:left="851"/>
        <w:rPr>
          <w:sz w:val="24"/>
          <w:szCs w:val="24"/>
        </w:rPr>
      </w:pPr>
      <w:r w:rsidRPr="002726CB">
        <w:rPr>
          <w:sz w:val="24"/>
          <w:szCs w:val="24"/>
        </w:rPr>
        <w:t>I kohorte 3 (n=34</w:t>
      </w:r>
      <w:r>
        <w:rPr>
          <w:sz w:val="24"/>
          <w:szCs w:val="24"/>
        </w:rPr>
        <w:t xml:space="preserve">; </w:t>
      </w:r>
      <w:r w:rsidRPr="002726CB">
        <w:rPr>
          <w:sz w:val="24"/>
          <w:szCs w:val="24"/>
        </w:rPr>
        <w:t xml:space="preserve">31 voksne, 1 lille barn [≥ 2 og &lt; 6], 1 ældre barn [≥ 6 og &lt; 12], 1 ung [≥ 12 og &lt; 17]) sås et fald i gennemsnitlige (SD) totale dalniveauer af </w:t>
      </w:r>
      <w:proofErr w:type="spellStart"/>
      <w:r w:rsidRPr="002726CB">
        <w:rPr>
          <w:sz w:val="24"/>
          <w:szCs w:val="24"/>
        </w:rPr>
        <w:t>IgG</w:t>
      </w:r>
      <w:proofErr w:type="spellEnd"/>
      <w:r w:rsidRPr="002726CB">
        <w:rPr>
          <w:sz w:val="24"/>
          <w:szCs w:val="24"/>
        </w:rPr>
        <w:t xml:space="preserve"> ved dosering hver anden uge (9,927 [2,0146] g/l) sammenlignet med ugentlig dosering (10,364 [1,9632]</w:t>
      </w:r>
      <w:r>
        <w:rPr>
          <w:sz w:val="24"/>
          <w:szCs w:val="24"/>
        </w:rPr>
        <w:t> </w:t>
      </w:r>
      <w:r w:rsidRPr="002726CB">
        <w:rPr>
          <w:sz w:val="24"/>
          <w:szCs w:val="24"/>
        </w:rPr>
        <w:t>g/l) (p=0,0017</w:t>
      </w:r>
      <w:bookmarkStart w:id="5" w:name="_Hlk122339958"/>
      <w:r w:rsidRPr="002726CB">
        <w:rPr>
          <w:sz w:val="24"/>
          <w:szCs w:val="24"/>
        </w:rPr>
        <w:t xml:space="preserve">; 1-sidet 97,5 % lavere </w:t>
      </w:r>
      <w:proofErr w:type="spellStart"/>
      <w:r w:rsidRPr="002726CB">
        <w:rPr>
          <w:sz w:val="24"/>
          <w:szCs w:val="24"/>
        </w:rPr>
        <w:t>konfidensgrænse</w:t>
      </w:r>
      <w:proofErr w:type="spellEnd"/>
      <w:r w:rsidRPr="002726CB">
        <w:rPr>
          <w:sz w:val="24"/>
          <w:szCs w:val="24"/>
        </w:rPr>
        <w:t xml:space="preserve"> [LCL]=-0,799</w:t>
      </w:r>
      <w:bookmarkEnd w:id="5"/>
      <w:r w:rsidRPr="002726CB">
        <w:rPr>
          <w:sz w:val="24"/>
          <w:szCs w:val="24"/>
        </w:rPr>
        <w:t xml:space="preserve">). Den </w:t>
      </w:r>
      <w:proofErr w:type="spellStart"/>
      <w:r w:rsidRPr="002726CB">
        <w:rPr>
          <w:sz w:val="24"/>
          <w:szCs w:val="24"/>
        </w:rPr>
        <w:t>mediane</w:t>
      </w:r>
      <w:proofErr w:type="spellEnd"/>
      <w:r w:rsidRPr="002726CB">
        <w:rPr>
          <w:sz w:val="24"/>
          <w:szCs w:val="24"/>
        </w:rPr>
        <w:t xml:space="preserve"> maksimale realiserede flowhastighed pr. forsøgsperson var 93,5 ml/t</w:t>
      </w:r>
      <w:r>
        <w:rPr>
          <w:sz w:val="24"/>
          <w:szCs w:val="24"/>
        </w:rPr>
        <w:t>ime</w:t>
      </w:r>
      <w:r w:rsidRPr="002726CB">
        <w:rPr>
          <w:sz w:val="24"/>
          <w:szCs w:val="24"/>
        </w:rPr>
        <w:t>, i intervallet fra 24,3 ml/t</w:t>
      </w:r>
      <w:r>
        <w:rPr>
          <w:sz w:val="24"/>
          <w:szCs w:val="24"/>
        </w:rPr>
        <w:t>ime</w:t>
      </w:r>
      <w:r w:rsidRPr="002726CB">
        <w:rPr>
          <w:sz w:val="24"/>
          <w:szCs w:val="24"/>
        </w:rPr>
        <w:t xml:space="preserve"> til 145,9 ml/time.</w:t>
      </w:r>
    </w:p>
    <w:p w:rsidR="00F2329D" w:rsidRPr="002726CB" w:rsidRDefault="00F2329D" w:rsidP="00F2329D">
      <w:pPr>
        <w:tabs>
          <w:tab w:val="left" w:pos="851"/>
        </w:tabs>
        <w:ind w:left="851"/>
        <w:rPr>
          <w:sz w:val="24"/>
          <w:szCs w:val="24"/>
        </w:rPr>
      </w:pPr>
      <w:r w:rsidRPr="002726CB">
        <w:rPr>
          <w:sz w:val="24"/>
          <w:szCs w:val="24"/>
        </w:rPr>
        <w:t xml:space="preserve">Den gennemsnitlige faktiske dosis af </w:t>
      </w:r>
      <w:proofErr w:type="spellStart"/>
      <w:r w:rsidRPr="002726CB">
        <w:rPr>
          <w:sz w:val="24"/>
          <w:szCs w:val="24"/>
        </w:rPr>
        <w:t>Cutaquig</w:t>
      </w:r>
      <w:proofErr w:type="spellEnd"/>
      <w:r w:rsidRPr="002726CB">
        <w:rPr>
          <w:sz w:val="24"/>
          <w:szCs w:val="24"/>
        </w:rPr>
        <w:t xml:space="preserve"> administreret i henhold til legemsvægt var henholdsvis 0,143 g/kg i kohorte 1, 0,157 g/kg i kohorte 2 og 0,256 g/kg i kohorte 3.</w:t>
      </w:r>
    </w:p>
    <w:p w:rsidR="00F2329D" w:rsidRPr="002726CB" w:rsidRDefault="00F2329D" w:rsidP="00F2329D">
      <w:pPr>
        <w:tabs>
          <w:tab w:val="left" w:pos="851"/>
        </w:tabs>
        <w:ind w:left="851"/>
        <w:rPr>
          <w:sz w:val="24"/>
          <w:szCs w:val="24"/>
        </w:rPr>
      </w:pPr>
      <w:r w:rsidRPr="002726CB">
        <w:rPr>
          <w:sz w:val="24"/>
          <w:szCs w:val="24"/>
        </w:rPr>
        <w:t xml:space="preserve">Der blev ikke rapporteret </w:t>
      </w:r>
      <w:proofErr w:type="spellStart"/>
      <w:r w:rsidRPr="002726CB">
        <w:rPr>
          <w:sz w:val="24"/>
          <w:szCs w:val="24"/>
        </w:rPr>
        <w:t>SBI'er</w:t>
      </w:r>
      <w:proofErr w:type="spellEnd"/>
      <w:r w:rsidRPr="002726CB">
        <w:rPr>
          <w:sz w:val="24"/>
          <w:szCs w:val="24"/>
        </w:rPr>
        <w:t xml:space="preserve"> i løbet af studiet, og den samlede SBI var 0,00 pr. </w:t>
      </w:r>
      <w:proofErr w:type="spellStart"/>
      <w:r w:rsidRPr="002726CB">
        <w:rPr>
          <w:sz w:val="24"/>
          <w:szCs w:val="24"/>
        </w:rPr>
        <w:t>personår</w:t>
      </w:r>
      <w:proofErr w:type="spellEnd"/>
      <w:r w:rsidRPr="002726CB">
        <w:rPr>
          <w:sz w:val="24"/>
          <w:szCs w:val="24"/>
        </w:rPr>
        <w:t xml:space="preserve"> (98 % CI øvre grænse [alternativ </w:t>
      </w:r>
      <w:proofErr w:type="gramStart"/>
      <w:r w:rsidRPr="002726CB">
        <w:rPr>
          <w:sz w:val="24"/>
          <w:szCs w:val="24"/>
        </w:rPr>
        <w:t>metode]=</w:t>
      </w:r>
      <w:proofErr w:type="gramEnd"/>
      <w:r w:rsidRPr="002726CB">
        <w:rPr>
          <w:sz w:val="24"/>
          <w:szCs w:val="24"/>
        </w:rPr>
        <w:t>0,135 [0,614 i kohorte 1, 0,602 i kohorte 2 og 0,244 i kohorte 3])</w:t>
      </w:r>
      <w:r>
        <w:rPr>
          <w:sz w:val="24"/>
          <w:szCs w:val="24"/>
        </w:rPr>
        <w: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u w:val="single"/>
        </w:rPr>
      </w:pPr>
      <w:r w:rsidRPr="00E81267">
        <w:rPr>
          <w:sz w:val="24"/>
          <w:szCs w:val="24"/>
          <w:u w:val="single"/>
        </w:rPr>
        <w:t>Pædiatrisk population</w:t>
      </w:r>
    </w:p>
    <w:p w:rsidR="007926A2" w:rsidRPr="00E81267" w:rsidRDefault="007926A2" w:rsidP="007926A2">
      <w:pPr>
        <w:tabs>
          <w:tab w:val="left" w:pos="851"/>
        </w:tabs>
        <w:ind w:left="851"/>
        <w:rPr>
          <w:sz w:val="24"/>
          <w:szCs w:val="24"/>
        </w:rPr>
      </w:pPr>
      <w:r w:rsidRPr="00E81267">
        <w:rPr>
          <w:sz w:val="24"/>
          <w:szCs w:val="24"/>
        </w:rPr>
        <w:t xml:space="preserve">Der sås ikke forskel i de </w:t>
      </w:r>
      <w:proofErr w:type="spellStart"/>
      <w:r w:rsidRPr="00E81267">
        <w:rPr>
          <w:sz w:val="24"/>
          <w:szCs w:val="24"/>
        </w:rPr>
        <w:t>farmakodynamiske</w:t>
      </w:r>
      <w:proofErr w:type="spellEnd"/>
      <w:r w:rsidRPr="00E81267">
        <w:rPr>
          <w:sz w:val="24"/>
          <w:szCs w:val="24"/>
        </w:rPr>
        <w:t xml:space="preserve"> egenskaber mellem voksne og pædiatriske patienter.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5.2</w:t>
      </w:r>
      <w:r w:rsidRPr="00E81267">
        <w:rPr>
          <w:b/>
          <w:sz w:val="24"/>
          <w:szCs w:val="24"/>
        </w:rPr>
        <w:tab/>
      </w:r>
      <w:proofErr w:type="spellStart"/>
      <w:r w:rsidRPr="00E81267">
        <w:rPr>
          <w:b/>
          <w:sz w:val="24"/>
          <w:szCs w:val="24"/>
        </w:rPr>
        <w:t>Farmakokinetiske</w:t>
      </w:r>
      <w:proofErr w:type="spellEnd"/>
      <w:r w:rsidRPr="00E81267">
        <w:rPr>
          <w:b/>
          <w:sz w:val="24"/>
          <w:szCs w:val="24"/>
        </w:rPr>
        <w:t xml:space="preserve"> egenskaber</w:t>
      </w:r>
    </w:p>
    <w:p w:rsidR="007926A2" w:rsidRDefault="007926A2" w:rsidP="007926A2">
      <w:pPr>
        <w:tabs>
          <w:tab w:val="left" w:pos="851"/>
        </w:tabs>
        <w:ind w:left="851"/>
        <w:rPr>
          <w:sz w:val="24"/>
          <w:szCs w:val="24"/>
          <w:u w:val="single"/>
        </w:rPr>
      </w:pPr>
    </w:p>
    <w:p w:rsidR="00715605" w:rsidRDefault="00715605" w:rsidP="00715605">
      <w:pPr>
        <w:tabs>
          <w:tab w:val="left" w:pos="851"/>
        </w:tabs>
        <w:ind w:left="851"/>
        <w:rPr>
          <w:sz w:val="24"/>
          <w:szCs w:val="22"/>
        </w:rPr>
      </w:pPr>
      <w:r>
        <w:rPr>
          <w:sz w:val="24"/>
        </w:rPr>
        <w:t xml:space="preserve">I et </w:t>
      </w:r>
      <w:proofErr w:type="spellStart"/>
      <w:r>
        <w:rPr>
          <w:sz w:val="24"/>
        </w:rPr>
        <w:t>klinsk</w:t>
      </w:r>
      <w:proofErr w:type="spellEnd"/>
      <w:r>
        <w:rPr>
          <w:sz w:val="24"/>
        </w:rPr>
        <w:t xml:space="preserve"> fase</w:t>
      </w:r>
      <w:r>
        <w:rPr>
          <w:sz w:val="24"/>
          <w:szCs w:val="22"/>
        </w:rPr>
        <w:t xml:space="preserve"> III-studie blev der udført et </w:t>
      </w:r>
      <w:proofErr w:type="spellStart"/>
      <w:r>
        <w:rPr>
          <w:sz w:val="24"/>
          <w:szCs w:val="22"/>
        </w:rPr>
        <w:t>farmakokinetisk</w:t>
      </w:r>
      <w:proofErr w:type="spellEnd"/>
      <w:r>
        <w:rPr>
          <w:sz w:val="24"/>
          <w:szCs w:val="22"/>
        </w:rPr>
        <w:t xml:space="preserve"> (PK) substudie i 37 PID-patienter. Der blev indsamlet blodprøver til dette studie forud for skiftet til </w:t>
      </w:r>
      <w:proofErr w:type="spellStart"/>
      <w:r>
        <w:rPr>
          <w:sz w:val="24"/>
          <w:szCs w:val="22"/>
        </w:rPr>
        <w:t>Cutaquig</w:t>
      </w:r>
      <w:proofErr w:type="spellEnd"/>
      <w:r>
        <w:rPr>
          <w:sz w:val="24"/>
          <w:szCs w:val="22"/>
        </w:rPr>
        <w:t xml:space="preserve"> (</w:t>
      </w:r>
      <w:proofErr w:type="spellStart"/>
      <w:r>
        <w:rPr>
          <w:sz w:val="24"/>
          <w:szCs w:val="22"/>
        </w:rPr>
        <w:t>IVIg</w:t>
      </w:r>
      <w:proofErr w:type="spellEnd"/>
      <w:r>
        <w:rPr>
          <w:sz w:val="24"/>
          <w:szCs w:val="22"/>
        </w:rPr>
        <w:t>-profil: PK</w:t>
      </w:r>
      <w:r>
        <w:rPr>
          <w:sz w:val="24"/>
          <w:szCs w:val="22"/>
          <w:vertAlign w:val="subscript"/>
        </w:rPr>
        <w:t>IV</w:t>
      </w:r>
      <w:r>
        <w:rPr>
          <w:sz w:val="24"/>
          <w:szCs w:val="22"/>
        </w:rPr>
        <w:t xml:space="preserve">), efter den 11. infusion med </w:t>
      </w:r>
      <w:proofErr w:type="spellStart"/>
      <w:r>
        <w:rPr>
          <w:sz w:val="24"/>
          <w:szCs w:val="22"/>
        </w:rPr>
        <w:t>Cutaquig</w:t>
      </w:r>
      <w:proofErr w:type="spellEnd"/>
      <w:r>
        <w:rPr>
          <w:sz w:val="24"/>
          <w:szCs w:val="22"/>
        </w:rPr>
        <w:t xml:space="preserve"> (første SC-profil: PK</w:t>
      </w:r>
      <w:r>
        <w:rPr>
          <w:sz w:val="24"/>
          <w:szCs w:val="22"/>
          <w:vertAlign w:val="subscript"/>
        </w:rPr>
        <w:t>SC1</w:t>
      </w:r>
      <w:r>
        <w:rPr>
          <w:sz w:val="24"/>
          <w:szCs w:val="22"/>
        </w:rPr>
        <w:t xml:space="preserve">) og efter den 28. infusion med </w:t>
      </w:r>
      <w:proofErr w:type="spellStart"/>
      <w:r>
        <w:rPr>
          <w:sz w:val="24"/>
          <w:szCs w:val="22"/>
        </w:rPr>
        <w:t>Cutaquig</w:t>
      </w:r>
      <w:proofErr w:type="spellEnd"/>
      <w:r>
        <w:rPr>
          <w:sz w:val="24"/>
          <w:szCs w:val="22"/>
        </w:rPr>
        <w:t xml:space="preserve"> (anden SC-profil: PK</w:t>
      </w:r>
      <w:r>
        <w:rPr>
          <w:sz w:val="24"/>
          <w:szCs w:val="22"/>
          <w:vertAlign w:val="subscript"/>
        </w:rPr>
        <w:t>SC2</w:t>
      </w:r>
      <w:r>
        <w:rPr>
          <w:sz w:val="24"/>
          <w:szCs w:val="22"/>
        </w:rPr>
        <w:t xml:space="preserve">). Formålet med PK-substudiet var at sammenligne </w:t>
      </w:r>
      <w:proofErr w:type="spellStart"/>
      <w:r>
        <w:rPr>
          <w:sz w:val="24"/>
          <w:szCs w:val="22"/>
        </w:rPr>
        <w:t>AUC’er</w:t>
      </w:r>
      <w:proofErr w:type="spellEnd"/>
      <w:r>
        <w:rPr>
          <w:sz w:val="24"/>
          <w:szCs w:val="22"/>
        </w:rPr>
        <w:t xml:space="preserve"> efter intravenøs- eller subkutan administration ved hjælp af en dosiskorrektionsfaktor (DCF) på 1,5. Ved hjælp af en populations PK-model blev PK-parameteret estimeret, og der blev foretaget simuleringer.</w:t>
      </w:r>
    </w:p>
    <w:p w:rsidR="00715605" w:rsidRDefault="00715605" w:rsidP="00715605">
      <w:pPr>
        <w:tabs>
          <w:tab w:val="left" w:pos="851"/>
        </w:tabs>
        <w:ind w:left="851"/>
        <w:rPr>
          <w:sz w:val="24"/>
          <w:szCs w:val="24"/>
          <w:u w:val="single"/>
        </w:rPr>
      </w:pPr>
    </w:p>
    <w:p w:rsidR="00715605" w:rsidRDefault="00715605" w:rsidP="00715605">
      <w:pPr>
        <w:tabs>
          <w:tab w:val="left" w:pos="851"/>
        </w:tabs>
        <w:ind w:left="851"/>
        <w:rPr>
          <w:sz w:val="24"/>
          <w:szCs w:val="24"/>
          <w:u w:val="single"/>
          <w:lang w:eastAsia="da-DK"/>
        </w:rPr>
      </w:pPr>
      <w:r>
        <w:rPr>
          <w:sz w:val="24"/>
          <w:szCs w:val="24"/>
          <w:u w:val="single"/>
        </w:rPr>
        <w:t>Absorption og fordeling</w:t>
      </w:r>
    </w:p>
    <w:p w:rsidR="00715605" w:rsidRDefault="00715605" w:rsidP="00715605">
      <w:pPr>
        <w:tabs>
          <w:tab w:val="left" w:pos="851"/>
        </w:tabs>
        <w:ind w:left="851"/>
        <w:rPr>
          <w:sz w:val="24"/>
          <w:szCs w:val="24"/>
        </w:rPr>
      </w:pPr>
      <w:r>
        <w:rPr>
          <w:sz w:val="24"/>
          <w:szCs w:val="24"/>
        </w:rPr>
        <w:t xml:space="preserve">Efter subkutan indgivelse af </w:t>
      </w:r>
      <w:proofErr w:type="spellStart"/>
      <w:r>
        <w:rPr>
          <w:sz w:val="24"/>
          <w:szCs w:val="24"/>
        </w:rPr>
        <w:t>Cutaquig</w:t>
      </w:r>
      <w:proofErr w:type="spellEnd"/>
      <w:r>
        <w:rPr>
          <w:sz w:val="24"/>
          <w:szCs w:val="24"/>
        </w:rPr>
        <w:t xml:space="preserve"> opnås der maksimale serumniveauer efter ca. 2 dage.</w:t>
      </w:r>
    </w:p>
    <w:p w:rsidR="00715605" w:rsidRDefault="00715605" w:rsidP="00715605">
      <w:pPr>
        <w:tabs>
          <w:tab w:val="left" w:pos="851"/>
        </w:tabs>
        <w:ind w:left="851"/>
        <w:rPr>
          <w:sz w:val="24"/>
          <w:szCs w:val="24"/>
        </w:rPr>
      </w:pPr>
    </w:p>
    <w:p w:rsidR="00715605" w:rsidRPr="007A368D" w:rsidRDefault="00715605" w:rsidP="00715605">
      <w:pPr>
        <w:tabs>
          <w:tab w:val="left" w:pos="851"/>
        </w:tabs>
        <w:ind w:left="851"/>
        <w:rPr>
          <w:sz w:val="24"/>
          <w:szCs w:val="24"/>
        </w:rPr>
      </w:pPr>
      <w:r w:rsidRPr="007A368D">
        <w:rPr>
          <w:sz w:val="24"/>
          <w:szCs w:val="24"/>
        </w:rPr>
        <w:t xml:space="preserve">Som følge af gradvis absorption resulterer </w:t>
      </w:r>
      <w:proofErr w:type="spellStart"/>
      <w:r w:rsidRPr="007A368D">
        <w:rPr>
          <w:sz w:val="24"/>
          <w:szCs w:val="24"/>
        </w:rPr>
        <w:t>SCIg</w:t>
      </w:r>
      <w:proofErr w:type="spellEnd"/>
      <w:r w:rsidRPr="007A368D">
        <w:rPr>
          <w:sz w:val="24"/>
          <w:szCs w:val="24"/>
        </w:rPr>
        <w:t xml:space="preserve">-administration i fladere profiler og lavere variationer ved </w:t>
      </w:r>
      <w:proofErr w:type="spellStart"/>
      <w:r w:rsidRPr="007A368D">
        <w:rPr>
          <w:sz w:val="24"/>
          <w:szCs w:val="24"/>
        </w:rPr>
        <w:t>steady</w:t>
      </w:r>
      <w:proofErr w:type="spellEnd"/>
      <w:r w:rsidRPr="007A368D">
        <w:rPr>
          <w:sz w:val="24"/>
          <w:szCs w:val="24"/>
        </w:rPr>
        <w:t xml:space="preserve"> </w:t>
      </w:r>
      <w:proofErr w:type="spellStart"/>
      <w:r w:rsidRPr="007A368D">
        <w:rPr>
          <w:sz w:val="24"/>
          <w:szCs w:val="24"/>
        </w:rPr>
        <w:t>state</w:t>
      </w:r>
      <w:proofErr w:type="spellEnd"/>
      <w:r w:rsidRPr="007A368D">
        <w:rPr>
          <w:sz w:val="24"/>
          <w:szCs w:val="24"/>
        </w:rPr>
        <w:t xml:space="preserve"> sammenlignet med </w:t>
      </w:r>
      <w:proofErr w:type="spellStart"/>
      <w:r w:rsidRPr="007A368D">
        <w:rPr>
          <w:sz w:val="24"/>
          <w:szCs w:val="24"/>
        </w:rPr>
        <w:t>IVIg</w:t>
      </w:r>
      <w:proofErr w:type="spellEnd"/>
      <w:r w:rsidRPr="007A368D">
        <w:rPr>
          <w:sz w:val="24"/>
          <w:szCs w:val="24"/>
        </w:rPr>
        <w:t xml:space="preserve">-behandling: Gennemsnitlig </w:t>
      </w:r>
      <w:proofErr w:type="spellStart"/>
      <w:r w:rsidRPr="007A368D">
        <w:rPr>
          <w:sz w:val="24"/>
          <w:szCs w:val="24"/>
        </w:rPr>
        <w:t>Cmax</w:t>
      </w:r>
      <w:proofErr w:type="spellEnd"/>
      <w:r w:rsidRPr="007A368D">
        <w:rPr>
          <w:sz w:val="24"/>
          <w:szCs w:val="24"/>
        </w:rPr>
        <w:t xml:space="preserve"> var lavere efter </w:t>
      </w:r>
      <w:proofErr w:type="spellStart"/>
      <w:r w:rsidRPr="007A368D">
        <w:rPr>
          <w:sz w:val="24"/>
          <w:szCs w:val="24"/>
        </w:rPr>
        <w:t>SCIg</w:t>
      </w:r>
      <w:proofErr w:type="spellEnd"/>
      <w:r w:rsidRPr="007A368D">
        <w:rPr>
          <w:sz w:val="24"/>
          <w:szCs w:val="24"/>
        </w:rPr>
        <w:t xml:space="preserve"> (13,2±3,4 g/l og 13,5±3,7 g/l for henholdsvis </w:t>
      </w:r>
      <w:r w:rsidRPr="007A368D">
        <w:rPr>
          <w:shd w:val="clear" w:color="auto" w:fill="FFFFFF"/>
        </w:rPr>
        <w:t>PK</w:t>
      </w:r>
      <w:r w:rsidRPr="007A368D">
        <w:rPr>
          <w:shd w:val="clear" w:color="auto" w:fill="FFFFFF"/>
          <w:vertAlign w:val="subscript"/>
        </w:rPr>
        <w:t>SC1</w:t>
      </w:r>
      <w:r w:rsidRPr="007A368D">
        <w:rPr>
          <w:sz w:val="24"/>
          <w:szCs w:val="24"/>
        </w:rPr>
        <w:t xml:space="preserve"> og </w:t>
      </w:r>
      <w:r w:rsidRPr="007A368D">
        <w:rPr>
          <w:shd w:val="clear" w:color="auto" w:fill="FFFFFF"/>
        </w:rPr>
        <w:t>PK</w:t>
      </w:r>
      <w:r w:rsidRPr="007A368D">
        <w:rPr>
          <w:shd w:val="clear" w:color="auto" w:fill="FFFFFF"/>
          <w:vertAlign w:val="subscript"/>
        </w:rPr>
        <w:t>SC2</w:t>
      </w:r>
      <w:r w:rsidRPr="007A368D">
        <w:rPr>
          <w:sz w:val="24"/>
          <w:szCs w:val="24"/>
        </w:rPr>
        <w:t xml:space="preserve">) sammenlignet med det endelige infusionsniveau efter </w:t>
      </w:r>
      <w:proofErr w:type="spellStart"/>
      <w:r w:rsidRPr="007A368D">
        <w:rPr>
          <w:sz w:val="24"/>
          <w:szCs w:val="24"/>
        </w:rPr>
        <w:t>IVIg</w:t>
      </w:r>
      <w:proofErr w:type="spellEnd"/>
      <w:r w:rsidRPr="007A368D">
        <w:rPr>
          <w:sz w:val="24"/>
          <w:szCs w:val="24"/>
        </w:rPr>
        <w:t xml:space="preserve">-behandling (18,0±4,5 g/l). Tilsvarende var gennemsnitlige dalniveauer for serum </w:t>
      </w:r>
      <w:proofErr w:type="spellStart"/>
      <w:r w:rsidRPr="007A368D">
        <w:rPr>
          <w:sz w:val="24"/>
          <w:szCs w:val="24"/>
        </w:rPr>
        <w:t>IgG</w:t>
      </w:r>
      <w:proofErr w:type="spellEnd"/>
      <w:r w:rsidRPr="007A368D">
        <w:rPr>
          <w:sz w:val="24"/>
          <w:szCs w:val="24"/>
        </w:rPr>
        <w:t xml:space="preserve"> og </w:t>
      </w:r>
      <w:proofErr w:type="spellStart"/>
      <w:r w:rsidRPr="007A368D">
        <w:rPr>
          <w:sz w:val="24"/>
          <w:szCs w:val="24"/>
        </w:rPr>
        <w:t>IgG</w:t>
      </w:r>
      <w:proofErr w:type="spellEnd"/>
      <w:r w:rsidRPr="007A368D">
        <w:rPr>
          <w:sz w:val="24"/>
          <w:szCs w:val="24"/>
        </w:rPr>
        <w:t xml:space="preserve">-subklasse højere efter SC-behandling (11,5 og 11,7 g/l for henholdsvis </w:t>
      </w:r>
      <w:r w:rsidRPr="007A368D">
        <w:rPr>
          <w:shd w:val="clear" w:color="auto" w:fill="FFFFFF"/>
        </w:rPr>
        <w:t>PK</w:t>
      </w:r>
      <w:r w:rsidRPr="007A368D">
        <w:rPr>
          <w:shd w:val="clear" w:color="auto" w:fill="FFFFFF"/>
          <w:vertAlign w:val="subscript"/>
        </w:rPr>
        <w:t>SC1</w:t>
      </w:r>
      <w:r w:rsidRPr="007A368D">
        <w:rPr>
          <w:sz w:val="24"/>
          <w:szCs w:val="24"/>
        </w:rPr>
        <w:t xml:space="preserve"> og </w:t>
      </w:r>
      <w:r w:rsidRPr="007A368D">
        <w:rPr>
          <w:shd w:val="clear" w:color="auto" w:fill="FFFFFF"/>
        </w:rPr>
        <w:t>PK</w:t>
      </w:r>
      <w:r w:rsidRPr="007A368D">
        <w:rPr>
          <w:shd w:val="clear" w:color="auto" w:fill="FFFFFF"/>
          <w:vertAlign w:val="subscript"/>
        </w:rPr>
        <w:t>SC2</w:t>
      </w:r>
      <w:r w:rsidRPr="007A368D">
        <w:rPr>
          <w:sz w:val="24"/>
          <w:szCs w:val="24"/>
        </w:rPr>
        <w:t xml:space="preserve">. Det totale interval fra 6,5 til 18,9 g/l sammenlignet med niveauet ved slutningen af </w:t>
      </w:r>
      <w:proofErr w:type="spellStart"/>
      <w:r w:rsidRPr="007A368D">
        <w:rPr>
          <w:sz w:val="24"/>
          <w:szCs w:val="24"/>
        </w:rPr>
        <w:t>IVIg</w:t>
      </w:r>
      <w:proofErr w:type="spellEnd"/>
      <w:r w:rsidRPr="007A368D">
        <w:rPr>
          <w:sz w:val="24"/>
          <w:szCs w:val="24"/>
        </w:rPr>
        <w:t xml:space="preserve">-perioden (10,1 g/l; interval: 6,5 - 14,3 g/l). </w:t>
      </w:r>
    </w:p>
    <w:p w:rsidR="00715605" w:rsidRDefault="00715605" w:rsidP="00715605">
      <w:pPr>
        <w:tabs>
          <w:tab w:val="left" w:pos="851"/>
        </w:tabs>
        <w:ind w:left="851"/>
        <w:rPr>
          <w:sz w:val="24"/>
          <w:szCs w:val="24"/>
        </w:rPr>
      </w:pPr>
    </w:p>
    <w:p w:rsidR="00715605" w:rsidRDefault="00715605" w:rsidP="00715605">
      <w:pPr>
        <w:tabs>
          <w:tab w:val="left" w:pos="851"/>
        </w:tabs>
        <w:ind w:left="851"/>
        <w:rPr>
          <w:sz w:val="24"/>
          <w:szCs w:val="24"/>
        </w:rPr>
      </w:pPr>
      <w:r>
        <w:rPr>
          <w:sz w:val="24"/>
          <w:szCs w:val="24"/>
        </w:rPr>
        <w:lastRenderedPageBreak/>
        <w:t xml:space="preserve">SC-biotilgængelighed blev beregnet til 75% svarende til en dosiskorrektionsfaktor på 1,3 til opnåelse af samme AUC-eksponering efter kropsvægtbaseret </w:t>
      </w:r>
      <w:proofErr w:type="spellStart"/>
      <w:r>
        <w:rPr>
          <w:sz w:val="24"/>
          <w:szCs w:val="24"/>
        </w:rPr>
        <w:t>SCIg</w:t>
      </w:r>
      <w:proofErr w:type="spellEnd"/>
      <w:r>
        <w:rPr>
          <w:sz w:val="24"/>
          <w:szCs w:val="24"/>
        </w:rPr>
        <w:t xml:space="preserve"> sammenlignet med </w:t>
      </w:r>
      <w:proofErr w:type="spellStart"/>
      <w:r>
        <w:rPr>
          <w:sz w:val="24"/>
          <w:szCs w:val="24"/>
        </w:rPr>
        <w:t>IVIg</w:t>
      </w:r>
      <w:proofErr w:type="spellEnd"/>
      <w:r>
        <w:rPr>
          <w:sz w:val="24"/>
          <w:szCs w:val="24"/>
        </w:rPr>
        <w:t>-behandling.</w:t>
      </w:r>
    </w:p>
    <w:p w:rsidR="00715605" w:rsidRDefault="00715605" w:rsidP="00715605">
      <w:pPr>
        <w:tabs>
          <w:tab w:val="left" w:pos="851"/>
        </w:tabs>
        <w:ind w:left="851"/>
        <w:rPr>
          <w:sz w:val="24"/>
          <w:szCs w:val="24"/>
        </w:rPr>
      </w:pPr>
    </w:p>
    <w:p w:rsidR="00F2329D" w:rsidRDefault="00F2329D" w:rsidP="00F2329D">
      <w:pPr>
        <w:tabs>
          <w:tab w:val="left" w:pos="851"/>
        </w:tabs>
        <w:ind w:left="851"/>
        <w:rPr>
          <w:sz w:val="24"/>
          <w:szCs w:val="24"/>
        </w:rPr>
      </w:pPr>
      <w:r>
        <w:rPr>
          <w:sz w:val="24"/>
          <w:szCs w:val="24"/>
        </w:rPr>
        <w:t xml:space="preserve">Den PK-baserede modellering og simulering udført på data fra det kliniske studie med ugentlig dosering af </w:t>
      </w:r>
      <w:proofErr w:type="spellStart"/>
      <w:r>
        <w:rPr>
          <w:sz w:val="24"/>
          <w:szCs w:val="24"/>
        </w:rPr>
        <w:t>Cutaquig</w:t>
      </w:r>
      <w:proofErr w:type="spellEnd"/>
      <w:r>
        <w:rPr>
          <w:sz w:val="24"/>
          <w:szCs w:val="24"/>
        </w:rPr>
        <w:t xml:space="preserve"> indikerer, at dosering justeret efter kropsvægt uden en DCF til den lavere SC-biotilgængelighed er tilstrækkelig til at opretholde den systemiske eksponering af </w:t>
      </w:r>
      <w:proofErr w:type="spellStart"/>
      <w:r>
        <w:rPr>
          <w:sz w:val="24"/>
          <w:szCs w:val="24"/>
        </w:rPr>
        <w:t>IgG</w:t>
      </w:r>
      <w:proofErr w:type="spellEnd"/>
      <w:r>
        <w:rPr>
          <w:sz w:val="24"/>
          <w:szCs w:val="24"/>
        </w:rPr>
        <w:t xml:space="preserve"> inden for det terapeutiske område for dosisintervaller op til en uge, herunder administrationer hyppigere end én gang ugentligt (f.eks. dagligt).</w:t>
      </w:r>
    </w:p>
    <w:p w:rsidR="00715605" w:rsidRDefault="00715605" w:rsidP="00715605">
      <w:pPr>
        <w:tabs>
          <w:tab w:val="left" w:pos="851"/>
        </w:tabs>
        <w:ind w:left="851"/>
        <w:rPr>
          <w:sz w:val="24"/>
          <w:szCs w:val="24"/>
        </w:rPr>
      </w:pPr>
    </w:p>
    <w:p w:rsidR="00715605" w:rsidRDefault="00715605" w:rsidP="00715605">
      <w:pPr>
        <w:tabs>
          <w:tab w:val="left" w:pos="851"/>
        </w:tabs>
        <w:ind w:left="851"/>
        <w:rPr>
          <w:sz w:val="24"/>
          <w:szCs w:val="24"/>
        </w:rPr>
      </w:pPr>
      <w:r>
        <w:rPr>
          <w:sz w:val="24"/>
          <w:szCs w:val="24"/>
        </w:rPr>
        <w:t xml:space="preserve">Længere dosisintervaller (særligt ved lavere </w:t>
      </w:r>
      <w:proofErr w:type="spellStart"/>
      <w:r>
        <w:rPr>
          <w:sz w:val="24"/>
          <w:szCs w:val="24"/>
        </w:rPr>
        <w:t>IgG</w:t>
      </w:r>
      <w:proofErr w:type="spellEnd"/>
      <w:r>
        <w:rPr>
          <w:sz w:val="24"/>
          <w:szCs w:val="24"/>
        </w:rPr>
        <w:t xml:space="preserve">-baseline-niveauer) øger risikoen for at komme under </w:t>
      </w:r>
      <w:proofErr w:type="spellStart"/>
      <w:r>
        <w:rPr>
          <w:sz w:val="24"/>
          <w:szCs w:val="24"/>
        </w:rPr>
        <w:t>IgG</w:t>
      </w:r>
      <w:proofErr w:type="spellEnd"/>
      <w:r>
        <w:rPr>
          <w:sz w:val="24"/>
          <w:szCs w:val="24"/>
        </w:rPr>
        <w:t>-dalniveauer på 5 g/l.</w:t>
      </w:r>
    </w:p>
    <w:p w:rsidR="00715605" w:rsidRDefault="00715605" w:rsidP="00715605">
      <w:pPr>
        <w:tabs>
          <w:tab w:val="left" w:pos="851"/>
        </w:tabs>
        <w:ind w:left="851"/>
        <w:rPr>
          <w:sz w:val="24"/>
          <w:szCs w:val="24"/>
        </w:rPr>
      </w:pPr>
    </w:p>
    <w:p w:rsidR="00715605" w:rsidRDefault="00715605" w:rsidP="00715605">
      <w:pPr>
        <w:tabs>
          <w:tab w:val="left" w:pos="851"/>
        </w:tabs>
        <w:ind w:left="851"/>
        <w:rPr>
          <w:sz w:val="24"/>
          <w:szCs w:val="24"/>
        </w:rPr>
      </w:pPr>
      <w:r>
        <w:rPr>
          <w:sz w:val="24"/>
          <w:szCs w:val="24"/>
        </w:rPr>
        <w:t xml:space="preserve">Eksempel: Ved antaget </w:t>
      </w:r>
      <w:proofErr w:type="spellStart"/>
      <w:r>
        <w:rPr>
          <w:sz w:val="24"/>
          <w:szCs w:val="24"/>
        </w:rPr>
        <w:t>IgG</w:t>
      </w:r>
      <w:proofErr w:type="spellEnd"/>
      <w:r>
        <w:rPr>
          <w:sz w:val="24"/>
          <w:szCs w:val="24"/>
        </w:rPr>
        <w:t xml:space="preserve">- baseline-niveau på 4,0 g/l og en dosiskonverteringsfaktor på 1,0 fra </w:t>
      </w:r>
      <w:proofErr w:type="spellStart"/>
      <w:r>
        <w:rPr>
          <w:i/>
          <w:iCs/>
          <w:sz w:val="24"/>
          <w:szCs w:val="24"/>
        </w:rPr>
        <w:t>IVIg</w:t>
      </w:r>
      <w:proofErr w:type="spellEnd"/>
      <w:r>
        <w:rPr>
          <w:i/>
          <w:iCs/>
          <w:sz w:val="24"/>
          <w:szCs w:val="24"/>
        </w:rPr>
        <w:t>-</w:t>
      </w:r>
      <w:r>
        <w:rPr>
          <w:sz w:val="24"/>
          <w:szCs w:val="24"/>
        </w:rPr>
        <w:t xml:space="preserve">behandling til </w:t>
      </w:r>
      <w:proofErr w:type="spellStart"/>
      <w:r>
        <w:rPr>
          <w:sz w:val="24"/>
          <w:szCs w:val="24"/>
        </w:rPr>
        <w:t>SCIg</w:t>
      </w:r>
      <w:proofErr w:type="spellEnd"/>
      <w:r>
        <w:rPr>
          <w:sz w:val="24"/>
          <w:szCs w:val="24"/>
        </w:rPr>
        <w:t xml:space="preserve">-behandling, blev den brøkdel af patienter, der kom under et </w:t>
      </w:r>
      <w:proofErr w:type="spellStart"/>
      <w:r>
        <w:rPr>
          <w:sz w:val="24"/>
          <w:szCs w:val="24"/>
        </w:rPr>
        <w:t>IgG</w:t>
      </w:r>
      <w:proofErr w:type="spellEnd"/>
      <w:r>
        <w:rPr>
          <w:sz w:val="24"/>
          <w:szCs w:val="24"/>
        </w:rPr>
        <w:t>-dalniveau på 5 g/l beregnet til at stige til 4 % ved et dosisinterval på 2 uger sammenlignet med 1,4 % ved et dosisinterval ≤ én gang ugentligt.</w:t>
      </w:r>
    </w:p>
    <w:p w:rsidR="00715605" w:rsidRDefault="00715605" w:rsidP="00715605">
      <w:pPr>
        <w:tabs>
          <w:tab w:val="left" w:pos="851"/>
        </w:tabs>
        <w:ind w:left="851"/>
        <w:rPr>
          <w:sz w:val="24"/>
          <w:szCs w:val="24"/>
        </w:rPr>
      </w:pPr>
    </w:p>
    <w:p w:rsidR="00715605" w:rsidRDefault="00715605" w:rsidP="00715605">
      <w:pPr>
        <w:tabs>
          <w:tab w:val="left" w:pos="851"/>
        </w:tabs>
        <w:ind w:left="851"/>
        <w:rPr>
          <w:sz w:val="24"/>
          <w:szCs w:val="24"/>
          <w:u w:val="single"/>
        </w:rPr>
      </w:pPr>
      <w:r>
        <w:rPr>
          <w:sz w:val="24"/>
          <w:szCs w:val="24"/>
          <w:u w:val="single"/>
        </w:rPr>
        <w:t>Elimination</w:t>
      </w:r>
    </w:p>
    <w:p w:rsidR="00715605" w:rsidRDefault="00715605" w:rsidP="00715605">
      <w:pPr>
        <w:tabs>
          <w:tab w:val="left" w:pos="851"/>
        </w:tabs>
        <w:ind w:left="851"/>
        <w:rPr>
          <w:sz w:val="24"/>
          <w:szCs w:val="24"/>
        </w:rPr>
      </w:pPr>
      <w:proofErr w:type="spellStart"/>
      <w:r>
        <w:rPr>
          <w:sz w:val="24"/>
          <w:szCs w:val="24"/>
        </w:rPr>
        <w:t>IgG</w:t>
      </w:r>
      <w:proofErr w:type="spellEnd"/>
      <w:r>
        <w:rPr>
          <w:sz w:val="24"/>
          <w:szCs w:val="24"/>
        </w:rPr>
        <w:t xml:space="preserve"> og </w:t>
      </w:r>
      <w:proofErr w:type="spellStart"/>
      <w:r>
        <w:rPr>
          <w:sz w:val="24"/>
          <w:szCs w:val="24"/>
        </w:rPr>
        <w:t>IgG</w:t>
      </w:r>
      <w:proofErr w:type="spellEnd"/>
      <w:r>
        <w:rPr>
          <w:sz w:val="24"/>
          <w:szCs w:val="24"/>
        </w:rPr>
        <w:t xml:space="preserve">-komplekser nedbrydes i cellerne i det </w:t>
      </w:r>
      <w:proofErr w:type="spellStart"/>
      <w:r>
        <w:rPr>
          <w:sz w:val="24"/>
          <w:szCs w:val="24"/>
        </w:rPr>
        <w:t>retikuloendoteliale</w:t>
      </w:r>
      <w:proofErr w:type="spellEnd"/>
      <w:r>
        <w:rPr>
          <w:sz w:val="24"/>
          <w:szCs w:val="24"/>
        </w:rPr>
        <w:t xml:space="preserve"> system Median halveringstid for </w:t>
      </w:r>
      <w:proofErr w:type="spellStart"/>
      <w:r>
        <w:rPr>
          <w:sz w:val="24"/>
          <w:szCs w:val="24"/>
        </w:rPr>
        <w:t>IgG</w:t>
      </w:r>
      <w:proofErr w:type="spellEnd"/>
      <w:r>
        <w:rPr>
          <w:sz w:val="24"/>
          <w:szCs w:val="24"/>
        </w:rPr>
        <w:t xml:space="preserve"> efter </w:t>
      </w:r>
      <w:proofErr w:type="spellStart"/>
      <w:r>
        <w:rPr>
          <w:sz w:val="24"/>
          <w:szCs w:val="24"/>
        </w:rPr>
        <w:t>Cutaquig</w:t>
      </w:r>
      <w:proofErr w:type="spellEnd"/>
      <w:r>
        <w:rPr>
          <w:sz w:val="24"/>
          <w:szCs w:val="24"/>
        </w:rPr>
        <w:t xml:space="preserve">-administration til PID-patienter blev vurderet til ~16 dage [9,2-36,3] dage som beregnet i PK-modellen ud fra antagelsen om en endogen produktion af </w:t>
      </w:r>
      <w:proofErr w:type="spellStart"/>
      <w:r>
        <w:rPr>
          <w:sz w:val="24"/>
          <w:szCs w:val="24"/>
        </w:rPr>
        <w:t>IgG</w:t>
      </w:r>
      <w:proofErr w:type="spellEnd"/>
      <w:r>
        <w:rPr>
          <w:sz w:val="24"/>
          <w:szCs w:val="24"/>
        </w:rPr>
        <w:t xml:space="preserve"> på nul.</w:t>
      </w:r>
    </w:p>
    <w:p w:rsidR="00715605" w:rsidRDefault="00715605" w:rsidP="00715605">
      <w:pPr>
        <w:tabs>
          <w:tab w:val="left" w:pos="851"/>
        </w:tabs>
        <w:ind w:left="851"/>
        <w:rPr>
          <w:sz w:val="24"/>
          <w:szCs w:val="24"/>
        </w:rPr>
      </w:pPr>
    </w:p>
    <w:p w:rsidR="00715605" w:rsidRDefault="00715605" w:rsidP="00715605">
      <w:pPr>
        <w:tabs>
          <w:tab w:val="left" w:pos="851"/>
        </w:tabs>
        <w:ind w:left="851"/>
        <w:rPr>
          <w:sz w:val="24"/>
          <w:szCs w:val="24"/>
          <w:u w:val="single"/>
        </w:rPr>
      </w:pPr>
      <w:r>
        <w:rPr>
          <w:sz w:val="24"/>
          <w:szCs w:val="24"/>
          <w:u w:val="single"/>
        </w:rPr>
        <w:t>Pædiatrisk population</w:t>
      </w:r>
    </w:p>
    <w:p w:rsidR="00715605" w:rsidRPr="007A368D" w:rsidRDefault="00715605" w:rsidP="00715605">
      <w:pPr>
        <w:tabs>
          <w:tab w:val="left" w:pos="851"/>
        </w:tabs>
        <w:ind w:left="851"/>
        <w:rPr>
          <w:sz w:val="24"/>
          <w:szCs w:val="24"/>
        </w:rPr>
      </w:pPr>
      <w:r w:rsidRPr="007A368D">
        <w:rPr>
          <w:sz w:val="24"/>
          <w:szCs w:val="24"/>
        </w:rPr>
        <w:t xml:space="preserve">Der blev ikke observeret nogen klinisk relevante forskelle i de </w:t>
      </w:r>
      <w:proofErr w:type="spellStart"/>
      <w:r w:rsidRPr="007A368D">
        <w:rPr>
          <w:sz w:val="24"/>
          <w:szCs w:val="24"/>
        </w:rPr>
        <w:t>farmakokinetiske</w:t>
      </w:r>
      <w:proofErr w:type="spellEnd"/>
      <w:r w:rsidRPr="007A368D">
        <w:rPr>
          <w:sz w:val="24"/>
          <w:szCs w:val="24"/>
        </w:rPr>
        <w:t xml:space="preserve"> parametre mellem voksne og pædiatriske patienter i PID-studiet.</w:t>
      </w:r>
    </w:p>
    <w:p w:rsidR="00715605" w:rsidRDefault="00715605" w:rsidP="007A368D">
      <w:pPr>
        <w:ind w:left="851"/>
        <w:rPr>
          <w:sz w:val="24"/>
          <w:szCs w:val="24"/>
          <w:u w:val="single"/>
        </w:rPr>
      </w:pPr>
    </w:p>
    <w:p w:rsidR="00715605" w:rsidRDefault="00715605" w:rsidP="007A368D">
      <w:pPr>
        <w:ind w:left="851"/>
        <w:rPr>
          <w:sz w:val="24"/>
          <w:szCs w:val="24"/>
          <w:lang w:eastAsia="da-DK"/>
        </w:rPr>
      </w:pPr>
      <w:r>
        <w:rPr>
          <w:sz w:val="24"/>
          <w:szCs w:val="24"/>
        </w:rPr>
        <w:t xml:space="preserve">Den farmakokinetik-baserede modellering og simulering udført på data fra det kliniske studie med ugentlig dosering af </w:t>
      </w:r>
      <w:proofErr w:type="spellStart"/>
      <w:r>
        <w:rPr>
          <w:sz w:val="24"/>
          <w:szCs w:val="24"/>
        </w:rPr>
        <w:t>Cutaquig</w:t>
      </w:r>
      <w:proofErr w:type="spellEnd"/>
      <w:r>
        <w:rPr>
          <w:sz w:val="24"/>
          <w:szCs w:val="24"/>
        </w:rPr>
        <w:t xml:space="preserve"> indikerer, at dosering justeret efter kropsvægt er tilstrækkelig til at opretholde den systemiske eksponering af </w:t>
      </w:r>
      <w:proofErr w:type="spellStart"/>
      <w:r>
        <w:rPr>
          <w:sz w:val="24"/>
          <w:szCs w:val="24"/>
        </w:rPr>
        <w:t>IgG</w:t>
      </w:r>
      <w:proofErr w:type="spellEnd"/>
      <w:r>
        <w:rPr>
          <w:sz w:val="24"/>
          <w:szCs w:val="24"/>
        </w:rPr>
        <w:t xml:space="preserve"> inden for det terapeutiske vindue, uanset alder.</w:t>
      </w:r>
      <w:r>
        <w:rPr>
          <w:sz w:val="24"/>
          <w:szCs w:val="24"/>
          <w:lang w:eastAsia="da-DK"/>
        </w:rPr>
        <w:t xml:space="preserve"> </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5.3</w:t>
      </w:r>
      <w:r w:rsidRPr="00E81267">
        <w:rPr>
          <w:b/>
          <w:sz w:val="24"/>
          <w:szCs w:val="24"/>
        </w:rPr>
        <w:tab/>
      </w:r>
      <w:r w:rsidR="007A368D">
        <w:rPr>
          <w:b/>
          <w:sz w:val="24"/>
          <w:szCs w:val="24"/>
        </w:rPr>
        <w:t>Non-</w:t>
      </w:r>
      <w:r w:rsidRPr="00E81267">
        <w:rPr>
          <w:b/>
          <w:sz w:val="24"/>
          <w:szCs w:val="24"/>
        </w:rPr>
        <w:t>kliniske sikkerhedsdata</w:t>
      </w:r>
    </w:p>
    <w:p w:rsidR="007926A2" w:rsidRPr="00E81267" w:rsidRDefault="007926A2" w:rsidP="007926A2">
      <w:pPr>
        <w:tabs>
          <w:tab w:val="left" w:pos="851"/>
        </w:tabs>
        <w:ind w:left="851"/>
        <w:rPr>
          <w:sz w:val="24"/>
          <w:szCs w:val="24"/>
          <w:lang w:eastAsia="da-DK"/>
        </w:rPr>
      </w:pPr>
      <w:proofErr w:type="spellStart"/>
      <w:r w:rsidRPr="00E81267">
        <w:rPr>
          <w:sz w:val="24"/>
          <w:szCs w:val="24"/>
        </w:rPr>
        <w:t>Immunglobuliner</w:t>
      </w:r>
      <w:proofErr w:type="spellEnd"/>
      <w:r w:rsidRPr="00E81267">
        <w:rPr>
          <w:sz w:val="24"/>
          <w:szCs w:val="24"/>
        </w:rPr>
        <w:t xml:space="preserve"> er normale bestanddele af humant plasma. De prækliniske data viser ingen særlig risiko for mennesker vurderet ud fra konventionelle studier af sikkerhedsfarmakologi og lokal tolerance. Da klinisk erfaring ikke viser evidens for </w:t>
      </w:r>
      <w:proofErr w:type="spellStart"/>
      <w:r w:rsidRPr="00E81267">
        <w:rPr>
          <w:sz w:val="24"/>
          <w:szCs w:val="24"/>
        </w:rPr>
        <w:t>immunglobuliners</w:t>
      </w:r>
      <w:proofErr w:type="spellEnd"/>
      <w:r w:rsidRPr="00E81267">
        <w:rPr>
          <w:sz w:val="24"/>
          <w:szCs w:val="24"/>
        </w:rPr>
        <w:t xml:space="preserve"> </w:t>
      </w:r>
      <w:proofErr w:type="spellStart"/>
      <w:r w:rsidRPr="00E81267">
        <w:rPr>
          <w:sz w:val="24"/>
          <w:szCs w:val="24"/>
        </w:rPr>
        <w:t>karcinogene</w:t>
      </w:r>
      <w:proofErr w:type="spellEnd"/>
      <w:r w:rsidRPr="00E81267">
        <w:rPr>
          <w:sz w:val="24"/>
          <w:szCs w:val="24"/>
        </w:rPr>
        <w:t xml:space="preserve"> eller mutagene potentiale, er der ikke udført eksperimentelle studier hos heterogene arter.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6.</w:t>
      </w:r>
      <w:r w:rsidRPr="00E81267">
        <w:rPr>
          <w:b/>
          <w:sz w:val="24"/>
          <w:szCs w:val="24"/>
        </w:rPr>
        <w:tab/>
        <w:t>FARMACEUTISKE OPLYSNINGER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6.1</w:t>
      </w:r>
      <w:r w:rsidRPr="00E81267">
        <w:rPr>
          <w:b/>
          <w:sz w:val="24"/>
          <w:szCs w:val="24"/>
        </w:rPr>
        <w:tab/>
        <w:t>Hjælpestoffer</w:t>
      </w:r>
    </w:p>
    <w:p w:rsidR="007926A2" w:rsidRDefault="007926A2" w:rsidP="007926A2">
      <w:pPr>
        <w:tabs>
          <w:tab w:val="left" w:pos="851"/>
        </w:tabs>
        <w:ind w:left="851"/>
        <w:rPr>
          <w:sz w:val="24"/>
          <w:szCs w:val="24"/>
        </w:rPr>
      </w:pPr>
      <w:r w:rsidRPr="00E81267">
        <w:rPr>
          <w:sz w:val="24"/>
          <w:szCs w:val="24"/>
        </w:rPr>
        <w:t>Maltose</w:t>
      </w:r>
    </w:p>
    <w:p w:rsidR="007926A2" w:rsidRDefault="007926A2" w:rsidP="007926A2">
      <w:pPr>
        <w:tabs>
          <w:tab w:val="left" w:pos="851"/>
        </w:tabs>
        <w:ind w:left="851"/>
        <w:rPr>
          <w:sz w:val="24"/>
          <w:szCs w:val="24"/>
        </w:rPr>
      </w:pPr>
      <w:proofErr w:type="spellStart"/>
      <w:r>
        <w:rPr>
          <w:sz w:val="24"/>
          <w:szCs w:val="24"/>
        </w:rPr>
        <w:t>P</w:t>
      </w:r>
      <w:r w:rsidRPr="00E81267">
        <w:rPr>
          <w:sz w:val="24"/>
          <w:szCs w:val="24"/>
        </w:rPr>
        <w:t>olysorbat</w:t>
      </w:r>
      <w:proofErr w:type="spellEnd"/>
      <w:r w:rsidRPr="00E81267">
        <w:rPr>
          <w:sz w:val="24"/>
          <w:szCs w:val="24"/>
        </w:rPr>
        <w:t xml:space="preserve"> 80</w:t>
      </w:r>
    </w:p>
    <w:p w:rsidR="007926A2" w:rsidRPr="00E81267" w:rsidRDefault="007926A2" w:rsidP="007926A2">
      <w:pPr>
        <w:tabs>
          <w:tab w:val="left" w:pos="851"/>
        </w:tabs>
        <w:ind w:left="851"/>
        <w:rPr>
          <w:sz w:val="24"/>
          <w:szCs w:val="24"/>
          <w:lang w:eastAsia="da-DK"/>
        </w:rPr>
      </w:pPr>
      <w:r>
        <w:rPr>
          <w:sz w:val="24"/>
          <w:szCs w:val="24"/>
        </w:rPr>
        <w:t>Vand til injektionsvæsker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6.2</w:t>
      </w:r>
      <w:r w:rsidRPr="00E81267">
        <w:rPr>
          <w:b/>
          <w:sz w:val="24"/>
          <w:szCs w:val="24"/>
        </w:rPr>
        <w:tab/>
        <w:t>Uforligeligheder</w:t>
      </w:r>
    </w:p>
    <w:p w:rsidR="007926A2" w:rsidRPr="00E81267" w:rsidRDefault="007926A2" w:rsidP="007926A2">
      <w:pPr>
        <w:tabs>
          <w:tab w:val="left" w:pos="851"/>
        </w:tabs>
        <w:ind w:left="851"/>
        <w:rPr>
          <w:sz w:val="24"/>
          <w:szCs w:val="24"/>
          <w:lang w:eastAsia="da-DK"/>
        </w:rPr>
      </w:pPr>
      <w:r w:rsidRPr="00E81267">
        <w:rPr>
          <w:sz w:val="24"/>
          <w:szCs w:val="24"/>
        </w:rPr>
        <w:t>Da der ikke foreligger studier af eventuelle uforligeligheder, må dette lægemiddel ikke blandes med andre lægemidler.</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6.3</w:t>
      </w:r>
      <w:r w:rsidRPr="00E81267">
        <w:rPr>
          <w:b/>
          <w:sz w:val="24"/>
          <w:szCs w:val="24"/>
        </w:rPr>
        <w:tab/>
        <w:t>Opbevaringstid</w:t>
      </w:r>
    </w:p>
    <w:p w:rsidR="007926A2" w:rsidRPr="00E81267" w:rsidRDefault="00FF5BBC" w:rsidP="007926A2">
      <w:pPr>
        <w:tabs>
          <w:tab w:val="left" w:pos="851"/>
        </w:tabs>
        <w:ind w:left="851"/>
        <w:rPr>
          <w:sz w:val="24"/>
          <w:szCs w:val="24"/>
          <w:lang w:eastAsia="da-DK"/>
        </w:rPr>
      </w:pPr>
      <w:r>
        <w:rPr>
          <w:sz w:val="24"/>
          <w:szCs w:val="24"/>
        </w:rPr>
        <w:t>3</w:t>
      </w:r>
      <w:r w:rsidR="007926A2" w:rsidRPr="00E81267">
        <w:rPr>
          <w:sz w:val="24"/>
          <w:szCs w:val="24"/>
        </w:rPr>
        <w:t xml:space="preserve"> år.</w:t>
      </w:r>
    </w:p>
    <w:p w:rsidR="007926A2" w:rsidRPr="00E81267" w:rsidRDefault="007926A2" w:rsidP="007926A2">
      <w:pPr>
        <w:tabs>
          <w:tab w:val="left" w:pos="851"/>
        </w:tabs>
        <w:ind w:left="851"/>
        <w:rPr>
          <w:sz w:val="24"/>
          <w:szCs w:val="24"/>
        </w:rPr>
      </w:pPr>
      <w:r w:rsidRPr="00E81267">
        <w:rPr>
          <w:sz w:val="24"/>
          <w:szCs w:val="24"/>
        </w:rPr>
        <w:t>Efter åbning af et hætteglas skal opløsningen anvendes med det samme.</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6.4</w:t>
      </w:r>
      <w:r w:rsidRPr="00E81267">
        <w:rPr>
          <w:b/>
          <w:sz w:val="24"/>
          <w:szCs w:val="24"/>
        </w:rPr>
        <w:tab/>
        <w:t>Særlige opbevaringsforhold</w:t>
      </w:r>
    </w:p>
    <w:p w:rsidR="007926A2" w:rsidRPr="00E81267" w:rsidRDefault="007926A2" w:rsidP="007926A2">
      <w:pPr>
        <w:tabs>
          <w:tab w:val="left" w:pos="851"/>
        </w:tabs>
        <w:ind w:left="851"/>
        <w:rPr>
          <w:sz w:val="24"/>
          <w:szCs w:val="24"/>
          <w:lang w:eastAsia="da-DK"/>
        </w:rPr>
      </w:pPr>
      <w:r w:rsidRPr="00E81267">
        <w:rPr>
          <w:sz w:val="24"/>
          <w:szCs w:val="24"/>
        </w:rPr>
        <w:t>Opbevares i køleskab (2 ºC – 8 ºC).</w:t>
      </w:r>
    </w:p>
    <w:p w:rsidR="007926A2" w:rsidRPr="00E81267" w:rsidRDefault="007926A2" w:rsidP="007926A2">
      <w:pPr>
        <w:tabs>
          <w:tab w:val="left" w:pos="851"/>
        </w:tabs>
        <w:ind w:left="851"/>
        <w:rPr>
          <w:sz w:val="24"/>
          <w:szCs w:val="24"/>
        </w:rPr>
      </w:pPr>
      <w:r w:rsidRPr="00E81267">
        <w:rPr>
          <w:sz w:val="24"/>
          <w:szCs w:val="24"/>
        </w:rPr>
        <w:t>Må ikke nedfryses.</w:t>
      </w:r>
    </w:p>
    <w:p w:rsidR="007926A2" w:rsidRDefault="007926A2" w:rsidP="007926A2">
      <w:pPr>
        <w:tabs>
          <w:tab w:val="left" w:pos="851"/>
        </w:tabs>
        <w:ind w:left="851"/>
        <w:rPr>
          <w:sz w:val="24"/>
          <w:szCs w:val="24"/>
        </w:rPr>
      </w:pPr>
      <w:r w:rsidRPr="00E81267">
        <w:rPr>
          <w:sz w:val="24"/>
          <w:szCs w:val="24"/>
        </w:rPr>
        <w:t>Opbevar hætteglasset i den ydre karton for at beskytte mod lys.</w:t>
      </w:r>
    </w:p>
    <w:p w:rsidR="00F2329D" w:rsidRDefault="00F2329D" w:rsidP="00F2329D">
      <w:pPr>
        <w:tabs>
          <w:tab w:val="left" w:pos="851"/>
        </w:tabs>
        <w:ind w:left="851"/>
        <w:rPr>
          <w:sz w:val="24"/>
          <w:szCs w:val="24"/>
        </w:rPr>
      </w:pPr>
      <w:r>
        <w:rPr>
          <w:sz w:val="24"/>
          <w:szCs w:val="24"/>
        </w:rPr>
        <w:t>Inden for produktets holdbarhed kan det opbevares ved stuetemperatur (må ikke opbevares ved temperaturer over 25 °C) i op til 9 måneder uden at blive nedkølet igen. Hvis produktet ikke er brugt inden 9 måneder, skal det kasseres.</w:t>
      </w:r>
    </w:p>
    <w:p w:rsidR="00F2329D" w:rsidRPr="00E81267" w:rsidRDefault="00F2329D" w:rsidP="00F2329D">
      <w:pPr>
        <w:tabs>
          <w:tab w:val="left" w:pos="851"/>
        </w:tabs>
        <w:ind w:left="851"/>
        <w:rPr>
          <w:sz w:val="24"/>
          <w:szCs w:val="24"/>
        </w:rPr>
      </w:pPr>
      <w:r w:rsidRPr="00E81267">
        <w:rPr>
          <w:sz w:val="24"/>
          <w:szCs w:val="24"/>
        </w:rPr>
        <w:t>For opbevaringsforhold efter første anbrud af lægemidlet, se pkt. 6.3.</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6.5</w:t>
      </w:r>
      <w:r w:rsidRPr="00E81267">
        <w:rPr>
          <w:b/>
          <w:sz w:val="24"/>
          <w:szCs w:val="24"/>
        </w:rPr>
        <w:tab/>
        <w:t>Emballagetype og pakningsstørrelser</w:t>
      </w:r>
    </w:p>
    <w:p w:rsidR="007926A2" w:rsidRDefault="007926A2" w:rsidP="007926A2">
      <w:pPr>
        <w:tabs>
          <w:tab w:val="left" w:pos="851"/>
        </w:tabs>
        <w:ind w:left="851"/>
        <w:rPr>
          <w:sz w:val="24"/>
          <w:szCs w:val="24"/>
        </w:rPr>
      </w:pPr>
      <w:r w:rsidRPr="00E81267">
        <w:rPr>
          <w:sz w:val="24"/>
          <w:szCs w:val="24"/>
        </w:rPr>
        <w:t>6, 10, 12, 20, 24 eller 48 ml opløsning i et hætteglas (type I-g</w:t>
      </w:r>
      <w:r>
        <w:rPr>
          <w:sz w:val="24"/>
          <w:szCs w:val="24"/>
        </w:rPr>
        <w:t xml:space="preserve">las) med en </w:t>
      </w:r>
      <w:proofErr w:type="spellStart"/>
      <w:r>
        <w:rPr>
          <w:sz w:val="24"/>
          <w:szCs w:val="24"/>
        </w:rPr>
        <w:t>bromobutyl</w:t>
      </w:r>
      <w:r>
        <w:rPr>
          <w:sz w:val="24"/>
          <w:szCs w:val="24"/>
        </w:rPr>
        <w:softHyphen/>
        <w:t>gummiprop</w:t>
      </w:r>
      <w:proofErr w:type="spellEnd"/>
      <w:r>
        <w:rPr>
          <w:sz w:val="24"/>
          <w:szCs w:val="24"/>
        </w:rPr>
        <w:t>.</w:t>
      </w:r>
    </w:p>
    <w:p w:rsidR="007926A2" w:rsidRPr="00E81267" w:rsidRDefault="007926A2" w:rsidP="007926A2">
      <w:pPr>
        <w:tabs>
          <w:tab w:val="left" w:pos="851"/>
        </w:tabs>
        <w:ind w:left="851"/>
        <w:rPr>
          <w:sz w:val="24"/>
          <w:szCs w:val="24"/>
          <w:lang w:eastAsia="da-DK"/>
        </w:rPr>
      </w:pPr>
      <w:r>
        <w:rPr>
          <w:sz w:val="24"/>
          <w:szCs w:val="24"/>
        </w:rPr>
        <w:t>P</w:t>
      </w:r>
      <w:r w:rsidRPr="00E81267">
        <w:rPr>
          <w:sz w:val="24"/>
          <w:szCs w:val="24"/>
        </w:rPr>
        <w:t>akningsstørrelser</w:t>
      </w:r>
      <w:r>
        <w:rPr>
          <w:sz w:val="24"/>
          <w:szCs w:val="24"/>
        </w:rPr>
        <w:t xml:space="preserve">: </w:t>
      </w:r>
      <w:r w:rsidRPr="00E81267">
        <w:rPr>
          <w:sz w:val="24"/>
          <w:szCs w:val="24"/>
        </w:rPr>
        <w:t>1</w:t>
      </w:r>
      <w:r>
        <w:rPr>
          <w:sz w:val="24"/>
          <w:szCs w:val="24"/>
        </w:rPr>
        <w:t>, 10 eller 2</w:t>
      </w:r>
      <w:r w:rsidRPr="00E81267">
        <w:rPr>
          <w:sz w:val="24"/>
          <w:szCs w:val="24"/>
        </w:rPr>
        <w:t>0 stk.</w:t>
      </w:r>
    </w:p>
    <w:p w:rsidR="007926A2" w:rsidRPr="00E81267" w:rsidRDefault="007926A2" w:rsidP="007926A2">
      <w:pPr>
        <w:tabs>
          <w:tab w:val="left" w:pos="851"/>
        </w:tabs>
        <w:ind w:left="851"/>
        <w:rPr>
          <w:sz w:val="24"/>
          <w:szCs w:val="24"/>
        </w:rPr>
      </w:pPr>
      <w:r w:rsidRPr="00E81267">
        <w:rPr>
          <w:sz w:val="24"/>
          <w:szCs w:val="24"/>
        </w:rPr>
        <w:t>Ikke alle pakningsstørrelser er nødvendigvis markedsført.</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6.6</w:t>
      </w:r>
      <w:r w:rsidRPr="00E81267">
        <w:rPr>
          <w:b/>
          <w:sz w:val="24"/>
          <w:szCs w:val="24"/>
        </w:rPr>
        <w:tab/>
        <w:t xml:space="preserve">Regler for </w:t>
      </w:r>
      <w:r w:rsidR="007A368D">
        <w:rPr>
          <w:b/>
          <w:sz w:val="24"/>
          <w:szCs w:val="24"/>
        </w:rPr>
        <w:t>bortskaffelse</w:t>
      </w:r>
      <w:r w:rsidRPr="00E81267">
        <w:rPr>
          <w:b/>
          <w:sz w:val="24"/>
          <w:szCs w:val="24"/>
        </w:rPr>
        <w:t xml:space="preserve"> og anden håndtering</w:t>
      </w:r>
    </w:p>
    <w:p w:rsidR="007926A2" w:rsidRPr="00E81267" w:rsidRDefault="007926A2" w:rsidP="007926A2">
      <w:pPr>
        <w:tabs>
          <w:tab w:val="left" w:pos="851"/>
        </w:tabs>
        <w:ind w:left="851"/>
        <w:rPr>
          <w:sz w:val="24"/>
          <w:szCs w:val="24"/>
          <w:lang w:eastAsia="da-DK"/>
        </w:rPr>
      </w:pPr>
      <w:r w:rsidRPr="00E81267">
        <w:rPr>
          <w:sz w:val="24"/>
          <w:szCs w:val="24"/>
        </w:rPr>
        <w:t>Lægemidlet bør opnå stuetemperatur eller legemstemperatur før anvendelse.</w:t>
      </w:r>
    </w:p>
    <w:p w:rsidR="007926A2" w:rsidRPr="00E81267" w:rsidRDefault="007926A2" w:rsidP="007926A2">
      <w:pPr>
        <w:tabs>
          <w:tab w:val="left" w:pos="851"/>
        </w:tabs>
        <w:ind w:left="851"/>
        <w:rPr>
          <w:sz w:val="24"/>
          <w:szCs w:val="24"/>
        </w:rPr>
      </w:pPr>
      <w:r w:rsidRPr="00E81267">
        <w:rPr>
          <w:sz w:val="24"/>
          <w:szCs w:val="24"/>
        </w:rPr>
        <w:t>Produktet skal kontrolleres visuelt for partikler og misfarvning før administration.</w:t>
      </w:r>
    </w:p>
    <w:p w:rsidR="007926A2" w:rsidRPr="00E81267" w:rsidRDefault="007926A2" w:rsidP="007926A2">
      <w:pPr>
        <w:tabs>
          <w:tab w:val="left" w:pos="851"/>
        </w:tabs>
        <w:ind w:left="851"/>
        <w:rPr>
          <w:sz w:val="24"/>
          <w:szCs w:val="24"/>
        </w:rPr>
      </w:pPr>
      <w:r w:rsidRPr="00E81267">
        <w:rPr>
          <w:sz w:val="24"/>
          <w:szCs w:val="24"/>
        </w:rPr>
        <w:t>Uklare opløsninger eller opløsninger med bundfald må ikke anvendes.</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rPr>
          <w:sz w:val="24"/>
          <w:szCs w:val="24"/>
        </w:rPr>
      </w:pPr>
      <w:r w:rsidRPr="00E81267">
        <w:rPr>
          <w:sz w:val="24"/>
          <w:szCs w:val="24"/>
        </w:rPr>
        <w:t>Ikke anvendt lægemiddel samt affald heraf skal bortskaffes i henhold til lokale retningslinjer</w:t>
      </w:r>
    </w:p>
    <w:p w:rsidR="007926A2" w:rsidRPr="00E81267" w:rsidRDefault="007926A2" w:rsidP="007926A2">
      <w:pPr>
        <w:tabs>
          <w:tab w:val="left" w:pos="851"/>
        </w:tabs>
        <w:ind w:left="851"/>
        <w:jc w:val="both"/>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7.</w:t>
      </w:r>
      <w:r w:rsidRPr="00E81267">
        <w:rPr>
          <w:b/>
          <w:sz w:val="24"/>
          <w:szCs w:val="24"/>
        </w:rPr>
        <w:tab/>
        <w:t>INDEHAVER AF MARKEDSFØRINGSTILLADELSEN</w:t>
      </w:r>
    </w:p>
    <w:p w:rsidR="007926A2" w:rsidRPr="00E81267" w:rsidRDefault="007926A2" w:rsidP="007926A2">
      <w:pPr>
        <w:tabs>
          <w:tab w:val="left" w:pos="851"/>
        </w:tabs>
        <w:ind w:left="851"/>
        <w:rPr>
          <w:bCs/>
          <w:sz w:val="24"/>
          <w:szCs w:val="24"/>
          <w:lang w:eastAsia="da-DK"/>
        </w:rPr>
      </w:pPr>
      <w:proofErr w:type="spellStart"/>
      <w:r w:rsidRPr="00E81267">
        <w:rPr>
          <w:bCs/>
          <w:sz w:val="24"/>
          <w:szCs w:val="24"/>
        </w:rPr>
        <w:t>Octapharma</w:t>
      </w:r>
      <w:proofErr w:type="spellEnd"/>
      <w:r w:rsidRPr="00E81267">
        <w:rPr>
          <w:bCs/>
          <w:sz w:val="24"/>
          <w:szCs w:val="24"/>
        </w:rPr>
        <w:t xml:space="preserve"> AB</w:t>
      </w:r>
    </w:p>
    <w:p w:rsidR="007926A2" w:rsidRPr="00E81267" w:rsidRDefault="007926A2" w:rsidP="007926A2">
      <w:pPr>
        <w:tabs>
          <w:tab w:val="left" w:pos="851"/>
        </w:tabs>
        <w:ind w:left="851"/>
        <w:rPr>
          <w:bCs/>
          <w:sz w:val="24"/>
          <w:szCs w:val="24"/>
        </w:rPr>
      </w:pPr>
      <w:r w:rsidRPr="00E81267">
        <w:rPr>
          <w:bCs/>
          <w:sz w:val="24"/>
          <w:szCs w:val="24"/>
        </w:rPr>
        <w:t xml:space="preserve">Lars </w:t>
      </w:r>
      <w:proofErr w:type="spellStart"/>
      <w:r w:rsidRPr="00E81267">
        <w:rPr>
          <w:bCs/>
          <w:sz w:val="24"/>
          <w:szCs w:val="24"/>
        </w:rPr>
        <w:t>For</w:t>
      </w:r>
      <w:r>
        <w:rPr>
          <w:bCs/>
          <w:sz w:val="24"/>
          <w:szCs w:val="24"/>
        </w:rPr>
        <w:t>s</w:t>
      </w:r>
      <w:r w:rsidRPr="00E81267">
        <w:rPr>
          <w:bCs/>
          <w:sz w:val="24"/>
          <w:szCs w:val="24"/>
        </w:rPr>
        <w:t>sells</w:t>
      </w:r>
      <w:proofErr w:type="spellEnd"/>
      <w:r w:rsidRPr="00E81267">
        <w:rPr>
          <w:bCs/>
          <w:sz w:val="24"/>
          <w:szCs w:val="24"/>
        </w:rPr>
        <w:t xml:space="preserve"> </w:t>
      </w:r>
      <w:proofErr w:type="spellStart"/>
      <w:r w:rsidRPr="00E81267">
        <w:rPr>
          <w:bCs/>
          <w:sz w:val="24"/>
          <w:szCs w:val="24"/>
        </w:rPr>
        <w:t>gata</w:t>
      </w:r>
      <w:proofErr w:type="spellEnd"/>
      <w:r w:rsidRPr="00E81267">
        <w:rPr>
          <w:bCs/>
          <w:sz w:val="24"/>
          <w:szCs w:val="24"/>
        </w:rPr>
        <w:t xml:space="preserve"> 23</w:t>
      </w:r>
    </w:p>
    <w:p w:rsidR="007926A2" w:rsidRPr="00E81267" w:rsidRDefault="007926A2" w:rsidP="007926A2">
      <w:pPr>
        <w:tabs>
          <w:tab w:val="left" w:pos="851"/>
        </w:tabs>
        <w:ind w:left="851"/>
        <w:rPr>
          <w:sz w:val="24"/>
          <w:szCs w:val="24"/>
        </w:rPr>
      </w:pPr>
      <w:r w:rsidRPr="00E81267">
        <w:rPr>
          <w:sz w:val="24"/>
          <w:szCs w:val="24"/>
        </w:rPr>
        <w:t>112 75 Stockholm</w:t>
      </w:r>
    </w:p>
    <w:p w:rsidR="007926A2" w:rsidRPr="00E81267" w:rsidRDefault="007926A2" w:rsidP="007926A2">
      <w:pPr>
        <w:tabs>
          <w:tab w:val="left" w:pos="851"/>
        </w:tabs>
        <w:ind w:left="851"/>
        <w:rPr>
          <w:sz w:val="24"/>
          <w:szCs w:val="24"/>
        </w:rPr>
      </w:pPr>
      <w:r w:rsidRPr="00E81267">
        <w:rPr>
          <w:sz w:val="24"/>
          <w:szCs w:val="24"/>
        </w:rPr>
        <w:t>Sverige</w:t>
      </w:r>
    </w:p>
    <w:p w:rsidR="007926A2" w:rsidRPr="00E81267" w:rsidRDefault="007926A2" w:rsidP="007926A2">
      <w:pPr>
        <w:tabs>
          <w:tab w:val="left" w:pos="851"/>
        </w:tabs>
        <w:ind w:left="851"/>
        <w:rPr>
          <w:sz w:val="24"/>
          <w:szCs w:val="24"/>
        </w:rPr>
      </w:pPr>
    </w:p>
    <w:p w:rsidR="007926A2" w:rsidRPr="00DD0F34" w:rsidRDefault="007926A2" w:rsidP="007926A2">
      <w:pPr>
        <w:tabs>
          <w:tab w:val="left" w:pos="851"/>
        </w:tabs>
        <w:ind w:left="851"/>
        <w:rPr>
          <w:b/>
          <w:sz w:val="24"/>
          <w:szCs w:val="24"/>
        </w:rPr>
      </w:pPr>
      <w:r>
        <w:rPr>
          <w:b/>
          <w:sz w:val="24"/>
          <w:szCs w:val="24"/>
        </w:rPr>
        <w:t>Repræsentant</w:t>
      </w:r>
    </w:p>
    <w:p w:rsidR="007926A2" w:rsidRPr="00E81267" w:rsidRDefault="007926A2" w:rsidP="007926A2">
      <w:pPr>
        <w:tabs>
          <w:tab w:val="left" w:pos="851"/>
        </w:tabs>
        <w:ind w:left="851"/>
        <w:rPr>
          <w:sz w:val="24"/>
          <w:szCs w:val="24"/>
        </w:rPr>
      </w:pPr>
      <w:proofErr w:type="spellStart"/>
      <w:r w:rsidRPr="00E81267">
        <w:rPr>
          <w:sz w:val="24"/>
          <w:szCs w:val="24"/>
        </w:rPr>
        <w:t>Octapharma</w:t>
      </w:r>
      <w:proofErr w:type="spellEnd"/>
      <w:r w:rsidRPr="00E81267">
        <w:rPr>
          <w:sz w:val="24"/>
          <w:szCs w:val="24"/>
        </w:rPr>
        <w:t xml:space="preserve"> </w:t>
      </w:r>
      <w:proofErr w:type="spellStart"/>
      <w:r w:rsidRPr="00E81267">
        <w:rPr>
          <w:sz w:val="24"/>
          <w:szCs w:val="24"/>
        </w:rPr>
        <w:t>Pharmazeutika</w:t>
      </w:r>
      <w:proofErr w:type="spellEnd"/>
      <w:r w:rsidRPr="00E81267">
        <w:rPr>
          <w:sz w:val="24"/>
          <w:szCs w:val="24"/>
        </w:rPr>
        <w:t xml:space="preserve"> </w:t>
      </w:r>
      <w:proofErr w:type="spellStart"/>
      <w:r w:rsidRPr="00E81267">
        <w:rPr>
          <w:sz w:val="24"/>
          <w:szCs w:val="24"/>
        </w:rPr>
        <w:t>Produktionsges.m.b.h</w:t>
      </w:r>
      <w:proofErr w:type="spellEnd"/>
    </w:p>
    <w:p w:rsidR="007926A2" w:rsidRPr="00E81267" w:rsidRDefault="007926A2" w:rsidP="007926A2">
      <w:pPr>
        <w:tabs>
          <w:tab w:val="left" w:pos="851"/>
        </w:tabs>
        <w:ind w:left="851"/>
        <w:rPr>
          <w:sz w:val="24"/>
          <w:szCs w:val="24"/>
        </w:rPr>
      </w:pPr>
      <w:proofErr w:type="spellStart"/>
      <w:r w:rsidRPr="00E81267">
        <w:rPr>
          <w:sz w:val="24"/>
          <w:szCs w:val="24"/>
        </w:rPr>
        <w:t>Oberlaaer</w:t>
      </w:r>
      <w:proofErr w:type="spellEnd"/>
      <w:r w:rsidRPr="00E81267">
        <w:rPr>
          <w:sz w:val="24"/>
          <w:szCs w:val="24"/>
        </w:rPr>
        <w:t xml:space="preserve"> </w:t>
      </w:r>
      <w:proofErr w:type="spellStart"/>
      <w:r w:rsidRPr="00E81267">
        <w:rPr>
          <w:sz w:val="24"/>
          <w:szCs w:val="24"/>
        </w:rPr>
        <w:t>Strasse</w:t>
      </w:r>
      <w:proofErr w:type="spellEnd"/>
      <w:r w:rsidRPr="00E81267">
        <w:rPr>
          <w:sz w:val="24"/>
          <w:szCs w:val="24"/>
        </w:rPr>
        <w:t xml:space="preserve"> 235</w:t>
      </w:r>
    </w:p>
    <w:p w:rsidR="007926A2" w:rsidRPr="00E81267" w:rsidRDefault="007926A2" w:rsidP="007926A2">
      <w:pPr>
        <w:tabs>
          <w:tab w:val="left" w:pos="851"/>
        </w:tabs>
        <w:ind w:left="851"/>
        <w:rPr>
          <w:sz w:val="24"/>
          <w:szCs w:val="24"/>
        </w:rPr>
      </w:pPr>
      <w:r w:rsidRPr="00E81267">
        <w:rPr>
          <w:sz w:val="24"/>
          <w:szCs w:val="24"/>
        </w:rPr>
        <w:t>1100 Wien</w:t>
      </w:r>
    </w:p>
    <w:p w:rsidR="007926A2" w:rsidRPr="00E81267" w:rsidRDefault="007926A2" w:rsidP="007926A2">
      <w:pPr>
        <w:tabs>
          <w:tab w:val="left" w:pos="851"/>
        </w:tabs>
        <w:ind w:left="851"/>
        <w:rPr>
          <w:sz w:val="24"/>
          <w:szCs w:val="24"/>
        </w:rPr>
      </w:pPr>
      <w:r w:rsidRPr="00E81267">
        <w:rPr>
          <w:sz w:val="24"/>
          <w:szCs w:val="24"/>
        </w:rPr>
        <w:t>Østrig</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8.</w:t>
      </w:r>
      <w:r w:rsidRPr="00E81267">
        <w:rPr>
          <w:b/>
          <w:sz w:val="24"/>
          <w:szCs w:val="24"/>
        </w:rPr>
        <w:tab/>
        <w:t>MARKEDSFØRINGSTILLADELSESNUMMER (</w:t>
      </w:r>
      <w:r w:rsidR="002D747E">
        <w:rPr>
          <w:b/>
          <w:sz w:val="24"/>
          <w:szCs w:val="24"/>
        </w:rPr>
        <w:t>-</w:t>
      </w:r>
      <w:r w:rsidRPr="00E81267">
        <w:rPr>
          <w:b/>
          <w:sz w:val="24"/>
          <w:szCs w:val="24"/>
        </w:rPr>
        <w:t>NUMRE)</w:t>
      </w:r>
    </w:p>
    <w:p w:rsidR="007926A2" w:rsidRPr="00E81267" w:rsidRDefault="007926A2" w:rsidP="007926A2">
      <w:pPr>
        <w:tabs>
          <w:tab w:val="left" w:pos="851"/>
        </w:tabs>
        <w:ind w:left="851"/>
        <w:rPr>
          <w:sz w:val="24"/>
          <w:szCs w:val="24"/>
        </w:rPr>
      </w:pPr>
      <w:r w:rsidRPr="00E81267">
        <w:rPr>
          <w:sz w:val="24"/>
          <w:szCs w:val="24"/>
        </w:rPr>
        <w:t>59867</w:t>
      </w:r>
    </w:p>
    <w:p w:rsidR="007926A2" w:rsidRPr="00E81267" w:rsidRDefault="007926A2" w:rsidP="007926A2">
      <w:pPr>
        <w:tabs>
          <w:tab w:val="left" w:pos="851"/>
        </w:tabs>
        <w:ind w:left="851"/>
        <w:jc w:val="both"/>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9.</w:t>
      </w:r>
      <w:r w:rsidRPr="00E81267">
        <w:rPr>
          <w:b/>
          <w:sz w:val="24"/>
          <w:szCs w:val="24"/>
        </w:rPr>
        <w:tab/>
        <w:t>DATO FOR FØRSTE MARKEDSFØRINGSTILLADELSE</w:t>
      </w:r>
    </w:p>
    <w:p w:rsidR="007926A2" w:rsidRPr="00E81267" w:rsidRDefault="007926A2" w:rsidP="007926A2">
      <w:pPr>
        <w:tabs>
          <w:tab w:val="left" w:pos="851"/>
        </w:tabs>
        <w:ind w:left="851"/>
        <w:rPr>
          <w:sz w:val="24"/>
          <w:szCs w:val="24"/>
        </w:rPr>
      </w:pPr>
      <w:r w:rsidRPr="00E81267">
        <w:rPr>
          <w:sz w:val="24"/>
          <w:szCs w:val="24"/>
        </w:rPr>
        <w:t>8. marts 2019</w:t>
      </w:r>
    </w:p>
    <w:p w:rsidR="007926A2" w:rsidRPr="00E81267" w:rsidRDefault="007926A2" w:rsidP="007926A2">
      <w:pPr>
        <w:tabs>
          <w:tab w:val="left" w:pos="851"/>
        </w:tabs>
        <w:ind w:left="851"/>
        <w:rPr>
          <w:sz w:val="24"/>
          <w:szCs w:val="24"/>
        </w:rPr>
      </w:pPr>
    </w:p>
    <w:p w:rsidR="007926A2" w:rsidRPr="00E81267" w:rsidRDefault="007926A2" w:rsidP="007926A2">
      <w:pPr>
        <w:tabs>
          <w:tab w:val="left" w:pos="851"/>
        </w:tabs>
        <w:ind w:left="851" w:hanging="851"/>
        <w:rPr>
          <w:b/>
          <w:sz w:val="24"/>
          <w:szCs w:val="24"/>
        </w:rPr>
      </w:pPr>
      <w:r w:rsidRPr="00E81267">
        <w:rPr>
          <w:b/>
          <w:sz w:val="24"/>
          <w:szCs w:val="24"/>
        </w:rPr>
        <w:t>10.</w:t>
      </w:r>
      <w:r w:rsidRPr="00E81267">
        <w:rPr>
          <w:b/>
          <w:sz w:val="24"/>
          <w:szCs w:val="24"/>
        </w:rPr>
        <w:tab/>
        <w:t>DATO FOR ÆNDRING AF TEKSTEN</w:t>
      </w:r>
    </w:p>
    <w:p w:rsidR="007926A2" w:rsidRPr="00E81267" w:rsidRDefault="004D260B" w:rsidP="007926A2">
      <w:pPr>
        <w:tabs>
          <w:tab w:val="left" w:pos="851"/>
        </w:tabs>
        <w:ind w:left="851"/>
        <w:rPr>
          <w:sz w:val="24"/>
          <w:szCs w:val="24"/>
        </w:rPr>
      </w:pPr>
      <w:r>
        <w:rPr>
          <w:sz w:val="24"/>
          <w:szCs w:val="24"/>
        </w:rPr>
        <w:t>2. januar 2024</w:t>
      </w:r>
    </w:p>
    <w:p w:rsidR="007926A2" w:rsidRPr="00EB1457" w:rsidRDefault="007926A2" w:rsidP="007926A2"/>
    <w:p w:rsidR="007926A2" w:rsidRPr="00002EA5" w:rsidRDefault="007926A2" w:rsidP="007926A2"/>
    <w:p w:rsidR="009260DE" w:rsidRPr="007926A2" w:rsidRDefault="009260DE" w:rsidP="007926A2"/>
    <w:sectPr w:rsidR="009260DE" w:rsidRPr="007926A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6A2" w:rsidRDefault="007926A2">
      <w:r>
        <w:separator/>
      </w:r>
    </w:p>
  </w:endnote>
  <w:endnote w:type="continuationSeparator" w:id="0">
    <w:p w:rsidR="007926A2" w:rsidRDefault="0079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A7FEA">
      <w:rPr>
        <w:i/>
        <w:noProof/>
        <w:sz w:val="18"/>
        <w:szCs w:val="18"/>
      </w:rPr>
      <w:t>Cutaquig, injektionsvæske, opløsning 165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6A2" w:rsidRDefault="007926A2">
      <w:r>
        <w:separator/>
      </w:r>
    </w:p>
  </w:footnote>
  <w:footnote w:type="continuationSeparator" w:id="0">
    <w:p w:rsidR="007926A2" w:rsidRDefault="00792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2C1C13"/>
    <w:multiLevelType w:val="hybridMultilevel"/>
    <w:tmpl w:val="8710097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821756B"/>
    <w:multiLevelType w:val="hybridMultilevel"/>
    <w:tmpl w:val="D6BCA060"/>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765D1EC4"/>
    <w:multiLevelType w:val="hybridMultilevel"/>
    <w:tmpl w:val="0C1A9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A2"/>
    <w:rsid w:val="000259B9"/>
    <w:rsid w:val="00041491"/>
    <w:rsid w:val="00050D16"/>
    <w:rsid w:val="00074F2A"/>
    <w:rsid w:val="00084191"/>
    <w:rsid w:val="000A1CA8"/>
    <w:rsid w:val="000A466B"/>
    <w:rsid w:val="000B058C"/>
    <w:rsid w:val="000E4EE6"/>
    <w:rsid w:val="00102091"/>
    <w:rsid w:val="001454E2"/>
    <w:rsid w:val="001644F8"/>
    <w:rsid w:val="00175FE3"/>
    <w:rsid w:val="00206CE8"/>
    <w:rsid w:val="0021526C"/>
    <w:rsid w:val="00231303"/>
    <w:rsid w:val="00283A2B"/>
    <w:rsid w:val="002B30AD"/>
    <w:rsid w:val="002C2C01"/>
    <w:rsid w:val="002D747E"/>
    <w:rsid w:val="003A29AE"/>
    <w:rsid w:val="003A32D7"/>
    <w:rsid w:val="003B125B"/>
    <w:rsid w:val="003B4074"/>
    <w:rsid w:val="003B61BA"/>
    <w:rsid w:val="003C769A"/>
    <w:rsid w:val="003F1838"/>
    <w:rsid w:val="00405184"/>
    <w:rsid w:val="004353F8"/>
    <w:rsid w:val="0045746C"/>
    <w:rsid w:val="00467A9B"/>
    <w:rsid w:val="0049104B"/>
    <w:rsid w:val="004D260B"/>
    <w:rsid w:val="004E3B12"/>
    <w:rsid w:val="00532310"/>
    <w:rsid w:val="00560ECC"/>
    <w:rsid w:val="00565F0F"/>
    <w:rsid w:val="00594A86"/>
    <w:rsid w:val="00596D86"/>
    <w:rsid w:val="005F1A56"/>
    <w:rsid w:val="00637F5A"/>
    <w:rsid w:val="006560B1"/>
    <w:rsid w:val="006756DD"/>
    <w:rsid w:val="00715605"/>
    <w:rsid w:val="00737275"/>
    <w:rsid w:val="00740EEC"/>
    <w:rsid w:val="0078011A"/>
    <w:rsid w:val="00782AF4"/>
    <w:rsid w:val="00790EE7"/>
    <w:rsid w:val="007926A2"/>
    <w:rsid w:val="007A368D"/>
    <w:rsid w:val="007A717F"/>
    <w:rsid w:val="007B6649"/>
    <w:rsid w:val="007F392A"/>
    <w:rsid w:val="0081546F"/>
    <w:rsid w:val="0082576E"/>
    <w:rsid w:val="0086547B"/>
    <w:rsid w:val="00907F75"/>
    <w:rsid w:val="009260DE"/>
    <w:rsid w:val="0092649B"/>
    <w:rsid w:val="0093258A"/>
    <w:rsid w:val="00975D00"/>
    <w:rsid w:val="009A7FEA"/>
    <w:rsid w:val="009C7BA3"/>
    <w:rsid w:val="009D1F5A"/>
    <w:rsid w:val="00AA55EE"/>
    <w:rsid w:val="00AC479C"/>
    <w:rsid w:val="00B003BF"/>
    <w:rsid w:val="00B161FC"/>
    <w:rsid w:val="00B373D7"/>
    <w:rsid w:val="00C36276"/>
    <w:rsid w:val="00C42586"/>
    <w:rsid w:val="00C60CCD"/>
    <w:rsid w:val="00C84483"/>
    <w:rsid w:val="00C95551"/>
    <w:rsid w:val="00CB20D7"/>
    <w:rsid w:val="00D020B0"/>
    <w:rsid w:val="00D11748"/>
    <w:rsid w:val="00D366CF"/>
    <w:rsid w:val="00DC2947"/>
    <w:rsid w:val="00E01480"/>
    <w:rsid w:val="00E108AA"/>
    <w:rsid w:val="00E31812"/>
    <w:rsid w:val="00E32C3C"/>
    <w:rsid w:val="00E3749A"/>
    <w:rsid w:val="00E7437F"/>
    <w:rsid w:val="00E865B8"/>
    <w:rsid w:val="00EC0B9B"/>
    <w:rsid w:val="00ED5E9F"/>
    <w:rsid w:val="00F2329D"/>
    <w:rsid w:val="00F26D6F"/>
    <w:rsid w:val="00F5630C"/>
    <w:rsid w:val="00F66D4F"/>
    <w:rsid w:val="00FB6D01"/>
    <w:rsid w:val="00FF5B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C8E86"/>
  <w15:chartTrackingRefBased/>
  <w15:docId w15:val="{06DB1D58-9D2F-43A3-985C-71C96287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7926A2"/>
    <w:rPr>
      <w:color w:val="0563C1"/>
      <w:u w:val="single"/>
    </w:rPr>
  </w:style>
  <w:style w:type="paragraph" w:customStyle="1" w:styleId="Default">
    <w:name w:val="Default"/>
    <w:rsid w:val="004353F8"/>
    <w:pPr>
      <w:autoSpaceDE w:val="0"/>
      <w:autoSpaceDN w:val="0"/>
      <w:adjustRightInd w:val="0"/>
    </w:pPr>
    <w:rPr>
      <w:rFonts w:eastAsiaTheme="minorHAnsi"/>
      <w:color w:val="000000"/>
      <w:sz w:val="24"/>
      <w:szCs w:val="24"/>
      <w:lang w:val="de-AT" w:eastAsia="en-US"/>
    </w:rPr>
  </w:style>
  <w:style w:type="paragraph" w:styleId="Slutnotetekst">
    <w:name w:val="endnote text"/>
    <w:basedOn w:val="Normal"/>
    <w:link w:val="SlutnotetekstTegn"/>
    <w:unhideWhenUsed/>
    <w:rsid w:val="0092649B"/>
    <w:pPr>
      <w:ind w:left="567"/>
    </w:pPr>
    <w:rPr>
      <w:sz w:val="20"/>
      <w:lang w:val="en-GB" w:eastAsia="de-DE"/>
    </w:rPr>
  </w:style>
  <w:style w:type="character" w:customStyle="1" w:styleId="SlutnotetekstTegn">
    <w:name w:val="Slutnotetekst Tegn"/>
    <w:basedOn w:val="Standardskrifttypeiafsnit"/>
    <w:link w:val="Slutnotetekst"/>
    <w:rsid w:val="0092649B"/>
    <w:rPr>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2464">
      <w:bodyDiv w:val="1"/>
      <w:marLeft w:val="0"/>
      <w:marRight w:val="0"/>
      <w:marTop w:val="0"/>
      <w:marBottom w:val="0"/>
      <w:divBdr>
        <w:top w:val="none" w:sz="0" w:space="0" w:color="auto"/>
        <w:left w:val="none" w:sz="0" w:space="0" w:color="auto"/>
        <w:bottom w:val="none" w:sz="0" w:space="0" w:color="auto"/>
        <w:right w:val="none" w:sz="0" w:space="0" w:color="auto"/>
      </w:divBdr>
    </w:div>
    <w:div w:id="828002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77656339">
      <w:bodyDiv w:val="1"/>
      <w:marLeft w:val="0"/>
      <w:marRight w:val="0"/>
      <w:marTop w:val="0"/>
      <w:marBottom w:val="0"/>
      <w:divBdr>
        <w:top w:val="none" w:sz="0" w:space="0" w:color="auto"/>
        <w:left w:val="none" w:sz="0" w:space="0" w:color="auto"/>
        <w:bottom w:val="none" w:sz="0" w:space="0" w:color="auto"/>
        <w:right w:val="none" w:sz="0" w:space="0" w:color="auto"/>
      </w:divBdr>
    </w:div>
    <w:div w:id="1074551274">
      <w:bodyDiv w:val="1"/>
      <w:marLeft w:val="0"/>
      <w:marRight w:val="0"/>
      <w:marTop w:val="0"/>
      <w:marBottom w:val="0"/>
      <w:divBdr>
        <w:top w:val="none" w:sz="0" w:space="0" w:color="auto"/>
        <w:left w:val="none" w:sz="0" w:space="0" w:color="auto"/>
        <w:bottom w:val="none" w:sz="0" w:space="0" w:color="auto"/>
        <w:right w:val="none" w:sz="0" w:space="0" w:color="auto"/>
      </w:divBdr>
      <w:divsChild>
        <w:div w:id="1270696410">
          <w:marLeft w:val="0"/>
          <w:marRight w:val="0"/>
          <w:marTop w:val="0"/>
          <w:marBottom w:val="0"/>
          <w:divBdr>
            <w:top w:val="none" w:sz="0" w:space="0" w:color="auto"/>
            <w:left w:val="none" w:sz="0" w:space="0" w:color="auto"/>
            <w:bottom w:val="none" w:sz="0" w:space="0" w:color="auto"/>
            <w:right w:val="none" w:sz="0" w:space="0" w:color="auto"/>
          </w:divBdr>
          <w:divsChild>
            <w:div w:id="20679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175">
      <w:bodyDiv w:val="1"/>
      <w:marLeft w:val="0"/>
      <w:marRight w:val="0"/>
      <w:marTop w:val="0"/>
      <w:marBottom w:val="0"/>
      <w:divBdr>
        <w:top w:val="none" w:sz="0" w:space="0" w:color="auto"/>
        <w:left w:val="none" w:sz="0" w:space="0" w:color="auto"/>
        <w:bottom w:val="none" w:sz="0" w:space="0" w:color="auto"/>
        <w:right w:val="none" w:sz="0" w:space="0" w:color="auto"/>
      </w:divBdr>
    </w:div>
    <w:div w:id="1497722564">
      <w:bodyDiv w:val="1"/>
      <w:marLeft w:val="0"/>
      <w:marRight w:val="0"/>
      <w:marTop w:val="0"/>
      <w:marBottom w:val="0"/>
      <w:divBdr>
        <w:top w:val="none" w:sz="0" w:space="0" w:color="auto"/>
        <w:left w:val="none" w:sz="0" w:space="0" w:color="auto"/>
        <w:bottom w:val="none" w:sz="0" w:space="0" w:color="auto"/>
        <w:right w:val="none" w:sz="0" w:space="0" w:color="auto"/>
      </w:divBdr>
    </w:div>
    <w:div w:id="1504279545">
      <w:bodyDiv w:val="1"/>
      <w:marLeft w:val="0"/>
      <w:marRight w:val="0"/>
      <w:marTop w:val="0"/>
      <w:marBottom w:val="0"/>
      <w:divBdr>
        <w:top w:val="none" w:sz="0" w:space="0" w:color="auto"/>
        <w:left w:val="none" w:sz="0" w:space="0" w:color="auto"/>
        <w:bottom w:val="none" w:sz="0" w:space="0" w:color="auto"/>
        <w:right w:val="none" w:sz="0" w:space="0" w:color="auto"/>
      </w:divBdr>
    </w:div>
    <w:div w:id="1689454076">
      <w:bodyDiv w:val="1"/>
      <w:marLeft w:val="0"/>
      <w:marRight w:val="0"/>
      <w:marTop w:val="0"/>
      <w:marBottom w:val="0"/>
      <w:divBdr>
        <w:top w:val="none" w:sz="0" w:space="0" w:color="auto"/>
        <w:left w:val="none" w:sz="0" w:space="0" w:color="auto"/>
        <w:bottom w:val="none" w:sz="0" w:space="0" w:color="auto"/>
        <w:right w:val="none" w:sz="0" w:space="0" w:color="auto"/>
      </w:divBdr>
    </w:div>
    <w:div w:id="1711497467">
      <w:bodyDiv w:val="1"/>
      <w:marLeft w:val="0"/>
      <w:marRight w:val="0"/>
      <w:marTop w:val="0"/>
      <w:marBottom w:val="0"/>
      <w:divBdr>
        <w:top w:val="none" w:sz="0" w:space="0" w:color="auto"/>
        <w:left w:val="none" w:sz="0" w:space="0" w:color="auto"/>
        <w:bottom w:val="none" w:sz="0" w:space="0" w:color="auto"/>
        <w:right w:val="none" w:sz="0" w:space="0" w:color="auto"/>
      </w:divBdr>
      <w:divsChild>
        <w:div w:id="1994723979">
          <w:marLeft w:val="0"/>
          <w:marRight w:val="0"/>
          <w:marTop w:val="0"/>
          <w:marBottom w:val="0"/>
          <w:divBdr>
            <w:top w:val="none" w:sz="0" w:space="0" w:color="auto"/>
            <w:left w:val="none" w:sz="0" w:space="0" w:color="auto"/>
            <w:bottom w:val="none" w:sz="0" w:space="0" w:color="auto"/>
            <w:right w:val="none" w:sz="0" w:space="0" w:color="auto"/>
          </w:divBdr>
          <w:divsChild>
            <w:div w:id="200244201">
              <w:marLeft w:val="0"/>
              <w:marRight w:val="0"/>
              <w:marTop w:val="0"/>
              <w:marBottom w:val="0"/>
              <w:divBdr>
                <w:top w:val="none" w:sz="0" w:space="0" w:color="auto"/>
                <w:left w:val="none" w:sz="0" w:space="0" w:color="auto"/>
                <w:bottom w:val="none" w:sz="0" w:space="0" w:color="auto"/>
                <w:right w:val="none" w:sz="0" w:space="0" w:color="auto"/>
              </w:divBdr>
            </w:div>
            <w:div w:id="1228110159">
              <w:marLeft w:val="0"/>
              <w:marRight w:val="0"/>
              <w:marTop w:val="0"/>
              <w:marBottom w:val="0"/>
              <w:divBdr>
                <w:top w:val="none" w:sz="0" w:space="0" w:color="auto"/>
                <w:left w:val="none" w:sz="0" w:space="0" w:color="auto"/>
                <w:bottom w:val="none" w:sz="0" w:space="0" w:color="auto"/>
                <w:right w:val="none" w:sz="0" w:space="0" w:color="auto"/>
              </w:divBdr>
            </w:div>
            <w:div w:id="1337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0947">
      <w:bodyDiv w:val="1"/>
      <w:marLeft w:val="0"/>
      <w:marRight w:val="0"/>
      <w:marTop w:val="0"/>
      <w:marBottom w:val="0"/>
      <w:divBdr>
        <w:top w:val="none" w:sz="0" w:space="0" w:color="auto"/>
        <w:left w:val="none" w:sz="0" w:space="0" w:color="auto"/>
        <w:bottom w:val="none" w:sz="0" w:space="0" w:color="auto"/>
        <w:right w:val="none" w:sz="0" w:space="0" w:color="auto"/>
      </w:divBdr>
    </w:div>
    <w:div w:id="20108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4399</Words>
  <Characters>27799</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2023031413  - pkt. 4.2, 4.8, 5.1, 5.2, 6.4, </dc:description>
  <cp:lastModifiedBy>Marianne Ott Jensen</cp:lastModifiedBy>
  <cp:revision>5</cp:revision>
  <cp:lastPrinted>2012-08-22T08:53:00Z</cp:lastPrinted>
  <dcterms:created xsi:type="dcterms:W3CDTF">2023-12-22T17:14:00Z</dcterms:created>
  <dcterms:modified xsi:type="dcterms:W3CDTF">2024-01-02T11:06:00Z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