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DE70C"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42FF613" wp14:editId="0EFFF09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C658189" w14:textId="77777777" w:rsidR="009260DE" w:rsidRPr="00C84483" w:rsidRDefault="009260DE" w:rsidP="009260DE">
      <w:pPr>
        <w:pStyle w:val="Titel"/>
        <w:tabs>
          <w:tab w:val="right" w:pos="9356"/>
        </w:tabs>
        <w:jc w:val="left"/>
        <w:rPr>
          <w:b w:val="0"/>
          <w:szCs w:val="24"/>
          <w:lang w:eastAsia="en-US"/>
        </w:rPr>
      </w:pPr>
    </w:p>
    <w:p w14:paraId="5D275E3A" w14:textId="4B37E8BA" w:rsidR="009260DE" w:rsidRPr="00B30C9B" w:rsidRDefault="009260DE" w:rsidP="009260DE">
      <w:pPr>
        <w:pStyle w:val="Titel"/>
        <w:tabs>
          <w:tab w:val="right" w:pos="9356"/>
        </w:tabs>
        <w:jc w:val="left"/>
        <w:rPr>
          <w:b w:val="0"/>
          <w:szCs w:val="24"/>
          <w:lang w:val="en-US" w:eastAsia="en-US"/>
        </w:rPr>
      </w:pPr>
      <w:r w:rsidRPr="00C84483">
        <w:rPr>
          <w:b w:val="0"/>
          <w:szCs w:val="24"/>
          <w:lang w:eastAsia="en-US"/>
        </w:rPr>
        <w:tab/>
      </w:r>
      <w:r w:rsidR="0022413A">
        <w:rPr>
          <w:szCs w:val="24"/>
          <w:lang w:val="en-US"/>
        </w:rPr>
        <w:t>1. juli 2025</w:t>
      </w:r>
    </w:p>
    <w:p w14:paraId="4A56C1D8" w14:textId="77777777" w:rsidR="009260DE" w:rsidRPr="00B30C9B" w:rsidRDefault="009260DE" w:rsidP="009260DE">
      <w:pPr>
        <w:pStyle w:val="Titel"/>
        <w:tabs>
          <w:tab w:val="left" w:pos="8222"/>
        </w:tabs>
        <w:jc w:val="left"/>
        <w:rPr>
          <w:b w:val="0"/>
          <w:szCs w:val="24"/>
          <w:lang w:val="en-US"/>
        </w:rPr>
      </w:pPr>
    </w:p>
    <w:p w14:paraId="7D574F16" w14:textId="77777777" w:rsidR="009260DE" w:rsidRPr="00B30C9B" w:rsidRDefault="009260DE" w:rsidP="009260DE">
      <w:pPr>
        <w:pStyle w:val="Titel"/>
        <w:jc w:val="left"/>
        <w:rPr>
          <w:b w:val="0"/>
          <w:szCs w:val="24"/>
          <w:lang w:val="en-US"/>
        </w:rPr>
      </w:pPr>
    </w:p>
    <w:p w14:paraId="1981F41C" w14:textId="77777777" w:rsidR="009260DE" w:rsidRPr="00B30C9B" w:rsidRDefault="009260DE" w:rsidP="009260DE">
      <w:pPr>
        <w:pStyle w:val="Titel"/>
        <w:jc w:val="left"/>
        <w:rPr>
          <w:b w:val="0"/>
          <w:szCs w:val="24"/>
          <w:lang w:val="en-US"/>
        </w:rPr>
      </w:pPr>
    </w:p>
    <w:p w14:paraId="297E860E" w14:textId="77777777" w:rsidR="009260DE" w:rsidRPr="00B30C9B" w:rsidRDefault="009260DE" w:rsidP="009260DE">
      <w:pPr>
        <w:jc w:val="center"/>
        <w:rPr>
          <w:b/>
          <w:sz w:val="24"/>
          <w:szCs w:val="24"/>
          <w:lang w:val="en-US"/>
        </w:rPr>
      </w:pPr>
      <w:r w:rsidRPr="00B30C9B">
        <w:rPr>
          <w:b/>
          <w:sz w:val="24"/>
          <w:szCs w:val="24"/>
          <w:lang w:val="en-US"/>
        </w:rPr>
        <w:t>PRODUKTRESUMÉ</w:t>
      </w:r>
    </w:p>
    <w:p w14:paraId="75E97D2E" w14:textId="77777777" w:rsidR="009260DE" w:rsidRPr="00B30C9B" w:rsidRDefault="009260DE" w:rsidP="009260DE">
      <w:pPr>
        <w:jc w:val="center"/>
        <w:rPr>
          <w:b/>
          <w:sz w:val="24"/>
          <w:szCs w:val="24"/>
          <w:lang w:val="en-US"/>
        </w:rPr>
      </w:pPr>
    </w:p>
    <w:p w14:paraId="19745376" w14:textId="77777777" w:rsidR="009260DE" w:rsidRPr="00B30C9B" w:rsidRDefault="009260DE" w:rsidP="009260DE">
      <w:pPr>
        <w:jc w:val="center"/>
        <w:rPr>
          <w:b/>
          <w:sz w:val="24"/>
          <w:szCs w:val="24"/>
          <w:lang w:val="en-US"/>
        </w:rPr>
      </w:pPr>
      <w:r w:rsidRPr="00B30C9B">
        <w:rPr>
          <w:b/>
          <w:sz w:val="24"/>
          <w:szCs w:val="24"/>
          <w:lang w:val="en-US"/>
        </w:rPr>
        <w:t>for</w:t>
      </w:r>
    </w:p>
    <w:p w14:paraId="1EB29230" w14:textId="77777777" w:rsidR="000B058C" w:rsidRPr="00B30C9B" w:rsidRDefault="000B058C" w:rsidP="009260DE">
      <w:pPr>
        <w:jc w:val="center"/>
        <w:rPr>
          <w:b/>
          <w:sz w:val="24"/>
          <w:szCs w:val="24"/>
          <w:lang w:val="en-US"/>
        </w:rPr>
      </w:pPr>
    </w:p>
    <w:p w14:paraId="439EF761" w14:textId="4F6848AE" w:rsidR="009260DE" w:rsidRPr="00B30C9B" w:rsidRDefault="00B30C9B" w:rsidP="009260DE">
      <w:pPr>
        <w:jc w:val="center"/>
        <w:rPr>
          <w:b/>
          <w:sz w:val="24"/>
          <w:szCs w:val="24"/>
          <w:lang w:val="en-US"/>
        </w:rPr>
      </w:pPr>
      <w:r w:rsidRPr="00B30C9B">
        <w:rPr>
          <w:b/>
          <w:sz w:val="24"/>
          <w:szCs w:val="24"/>
          <w:lang w:val="en-US"/>
        </w:rPr>
        <w:t xml:space="preserve">Cutimum, </w:t>
      </w:r>
      <w:r w:rsidR="001E4877">
        <w:rPr>
          <w:b/>
          <w:sz w:val="24"/>
          <w:szCs w:val="24"/>
          <w:lang w:val="en-US"/>
        </w:rPr>
        <w:t>gel</w:t>
      </w:r>
      <w:r>
        <w:rPr>
          <w:b/>
          <w:sz w:val="24"/>
          <w:szCs w:val="24"/>
          <w:lang w:val="en-US"/>
        </w:rPr>
        <w:t xml:space="preserve"> 1 mg/g+25 mg/g</w:t>
      </w:r>
    </w:p>
    <w:p w14:paraId="44852A11" w14:textId="77777777" w:rsidR="009260DE" w:rsidRPr="00B30C9B" w:rsidRDefault="009260DE" w:rsidP="009260DE">
      <w:pPr>
        <w:jc w:val="both"/>
        <w:rPr>
          <w:sz w:val="24"/>
          <w:szCs w:val="24"/>
          <w:lang w:val="en-US"/>
        </w:rPr>
      </w:pPr>
    </w:p>
    <w:p w14:paraId="43ABA23F" w14:textId="77777777" w:rsidR="009260DE" w:rsidRPr="00B30C9B" w:rsidRDefault="009260DE" w:rsidP="009260DE">
      <w:pPr>
        <w:jc w:val="both"/>
        <w:rPr>
          <w:sz w:val="24"/>
          <w:szCs w:val="24"/>
          <w:lang w:val="en-US"/>
        </w:rPr>
      </w:pPr>
    </w:p>
    <w:p w14:paraId="2A7C1D16" w14:textId="77777777" w:rsidR="009260DE" w:rsidRPr="00EC4B87" w:rsidRDefault="009260DE" w:rsidP="009260DE">
      <w:pPr>
        <w:tabs>
          <w:tab w:val="left" w:pos="851"/>
        </w:tabs>
        <w:ind w:left="851" w:hanging="851"/>
        <w:rPr>
          <w:b/>
          <w:sz w:val="24"/>
          <w:szCs w:val="24"/>
        </w:rPr>
      </w:pPr>
      <w:r w:rsidRPr="00EC4B87">
        <w:rPr>
          <w:b/>
          <w:sz w:val="24"/>
          <w:szCs w:val="24"/>
        </w:rPr>
        <w:t>0.</w:t>
      </w:r>
      <w:r w:rsidRPr="00EC4B87">
        <w:rPr>
          <w:b/>
          <w:sz w:val="24"/>
          <w:szCs w:val="24"/>
        </w:rPr>
        <w:tab/>
        <w:t>D.SP.NR.</w:t>
      </w:r>
    </w:p>
    <w:p w14:paraId="7674926E" w14:textId="77777777" w:rsidR="009260DE" w:rsidRPr="00C84483" w:rsidRDefault="00B30C9B" w:rsidP="009260DE">
      <w:pPr>
        <w:tabs>
          <w:tab w:val="left" w:pos="851"/>
        </w:tabs>
        <w:ind w:left="851"/>
        <w:rPr>
          <w:sz w:val="24"/>
          <w:szCs w:val="24"/>
        </w:rPr>
      </w:pPr>
      <w:r>
        <w:rPr>
          <w:sz w:val="24"/>
          <w:szCs w:val="24"/>
        </w:rPr>
        <w:t>34497</w:t>
      </w:r>
    </w:p>
    <w:p w14:paraId="71228410" w14:textId="77777777" w:rsidR="009260DE" w:rsidRPr="00C84483" w:rsidRDefault="009260DE" w:rsidP="009260DE">
      <w:pPr>
        <w:tabs>
          <w:tab w:val="left" w:pos="851"/>
        </w:tabs>
        <w:ind w:left="851"/>
        <w:rPr>
          <w:sz w:val="24"/>
          <w:szCs w:val="24"/>
        </w:rPr>
      </w:pPr>
    </w:p>
    <w:p w14:paraId="54314EA0"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2A230DD" w14:textId="77777777" w:rsidR="009260DE" w:rsidRPr="00C84483" w:rsidRDefault="00B30C9B" w:rsidP="009260DE">
      <w:pPr>
        <w:tabs>
          <w:tab w:val="left" w:pos="851"/>
        </w:tabs>
        <w:ind w:left="851"/>
        <w:rPr>
          <w:sz w:val="24"/>
          <w:szCs w:val="24"/>
        </w:rPr>
      </w:pPr>
      <w:r>
        <w:rPr>
          <w:sz w:val="24"/>
          <w:szCs w:val="24"/>
        </w:rPr>
        <w:t>Cutimum</w:t>
      </w:r>
    </w:p>
    <w:p w14:paraId="23392E82" w14:textId="77777777" w:rsidR="009260DE" w:rsidRPr="00C84483" w:rsidRDefault="009260DE" w:rsidP="009260DE">
      <w:pPr>
        <w:tabs>
          <w:tab w:val="left" w:pos="851"/>
        </w:tabs>
        <w:ind w:left="851"/>
        <w:rPr>
          <w:sz w:val="24"/>
          <w:szCs w:val="24"/>
        </w:rPr>
      </w:pPr>
    </w:p>
    <w:p w14:paraId="63B9E8C0"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B1206EE" w14:textId="77777777" w:rsidR="001E4877" w:rsidRPr="001E4877" w:rsidRDefault="001E4877" w:rsidP="001E4877">
      <w:pPr>
        <w:tabs>
          <w:tab w:val="left" w:pos="851"/>
        </w:tabs>
        <w:ind w:left="851"/>
        <w:rPr>
          <w:sz w:val="24"/>
          <w:szCs w:val="24"/>
        </w:rPr>
      </w:pPr>
      <w:r w:rsidRPr="001E4877">
        <w:rPr>
          <w:sz w:val="24"/>
          <w:szCs w:val="24"/>
        </w:rPr>
        <w:t xml:space="preserve">1 g gel indeholder: </w:t>
      </w:r>
    </w:p>
    <w:p w14:paraId="3DA0A3D7" w14:textId="77777777" w:rsidR="001E4877" w:rsidRPr="001E4877" w:rsidRDefault="001E4877" w:rsidP="001E4877">
      <w:pPr>
        <w:tabs>
          <w:tab w:val="left" w:pos="851"/>
        </w:tabs>
        <w:ind w:left="851"/>
        <w:rPr>
          <w:sz w:val="24"/>
          <w:szCs w:val="24"/>
        </w:rPr>
      </w:pPr>
      <w:r w:rsidRPr="001E4877">
        <w:rPr>
          <w:sz w:val="24"/>
          <w:szCs w:val="24"/>
        </w:rPr>
        <w:t>adapalen 1 mg (0,1 % w/w)</w:t>
      </w:r>
    </w:p>
    <w:p w14:paraId="56BA3E9A" w14:textId="77777777" w:rsidR="001E4877" w:rsidRPr="001E4877" w:rsidRDefault="001E4877" w:rsidP="001E4877">
      <w:pPr>
        <w:tabs>
          <w:tab w:val="left" w:pos="851"/>
        </w:tabs>
        <w:ind w:left="851"/>
        <w:rPr>
          <w:sz w:val="24"/>
          <w:szCs w:val="24"/>
        </w:rPr>
      </w:pPr>
      <w:r w:rsidRPr="001E4877">
        <w:rPr>
          <w:sz w:val="24"/>
          <w:szCs w:val="24"/>
        </w:rPr>
        <w:t>benzoylperoxid, vandig, svarende til 25 mg (2,5% w/w) af vandfri benzoylperoxid</w:t>
      </w:r>
    </w:p>
    <w:p w14:paraId="42008F6F" w14:textId="77777777" w:rsidR="001E4877" w:rsidRPr="001E4877" w:rsidRDefault="001E4877" w:rsidP="001E4877">
      <w:pPr>
        <w:tabs>
          <w:tab w:val="left" w:pos="851"/>
        </w:tabs>
        <w:ind w:left="851"/>
        <w:rPr>
          <w:sz w:val="24"/>
          <w:szCs w:val="24"/>
        </w:rPr>
      </w:pPr>
    </w:p>
    <w:p w14:paraId="2A8B67F9" w14:textId="061E5F58" w:rsidR="001E4877" w:rsidRPr="001E4877" w:rsidRDefault="001E4877" w:rsidP="001E4877">
      <w:pPr>
        <w:tabs>
          <w:tab w:val="left" w:pos="851"/>
        </w:tabs>
        <w:ind w:left="851"/>
        <w:rPr>
          <w:sz w:val="24"/>
          <w:szCs w:val="24"/>
          <w:u w:val="single"/>
        </w:rPr>
      </w:pPr>
      <w:r w:rsidRPr="001E4877">
        <w:rPr>
          <w:sz w:val="24"/>
          <w:szCs w:val="24"/>
          <w:u w:val="single"/>
        </w:rPr>
        <w:t>Hjælpestoffer, som behandleren skal være opmærksom på</w:t>
      </w:r>
    </w:p>
    <w:p w14:paraId="41207C58" w14:textId="563C6D30" w:rsidR="001E4877" w:rsidRPr="001E4877" w:rsidRDefault="001E4877" w:rsidP="001E4877">
      <w:pPr>
        <w:tabs>
          <w:tab w:val="left" w:pos="851"/>
        </w:tabs>
        <w:ind w:left="851"/>
        <w:rPr>
          <w:sz w:val="24"/>
          <w:szCs w:val="24"/>
        </w:rPr>
      </w:pPr>
      <w:r w:rsidRPr="001E4877">
        <w:rPr>
          <w:sz w:val="24"/>
          <w:szCs w:val="24"/>
        </w:rPr>
        <w:t>Propylenglycol (E1520) 40 mg/g (4,00 % w/w) og 3 mg/g (0,3 % w/w) polysorbater</w:t>
      </w:r>
      <w:r>
        <w:rPr>
          <w:sz w:val="24"/>
          <w:szCs w:val="24"/>
        </w:rPr>
        <w:t>.</w:t>
      </w:r>
    </w:p>
    <w:p w14:paraId="164F2159" w14:textId="77777777" w:rsidR="001E4877" w:rsidRPr="001E4877" w:rsidRDefault="001E4877" w:rsidP="001E4877">
      <w:pPr>
        <w:tabs>
          <w:tab w:val="left" w:pos="851"/>
        </w:tabs>
        <w:ind w:left="851"/>
        <w:rPr>
          <w:sz w:val="24"/>
          <w:szCs w:val="24"/>
        </w:rPr>
      </w:pPr>
    </w:p>
    <w:p w14:paraId="74BF23F4" w14:textId="77777777" w:rsidR="001E4877" w:rsidRPr="001E4877" w:rsidRDefault="001E4877" w:rsidP="001E4877">
      <w:pPr>
        <w:tabs>
          <w:tab w:val="left" w:pos="851"/>
        </w:tabs>
        <w:ind w:left="851"/>
        <w:rPr>
          <w:sz w:val="24"/>
          <w:szCs w:val="24"/>
        </w:rPr>
      </w:pPr>
      <w:r w:rsidRPr="001E4877">
        <w:rPr>
          <w:sz w:val="24"/>
          <w:szCs w:val="24"/>
        </w:rPr>
        <w:t>Alle hjælpestoffer er anført under pkt. 6.1.</w:t>
      </w:r>
    </w:p>
    <w:p w14:paraId="4D3AD098" w14:textId="77777777" w:rsidR="009260DE" w:rsidRPr="00C84483" w:rsidRDefault="009260DE" w:rsidP="009260DE">
      <w:pPr>
        <w:tabs>
          <w:tab w:val="left" w:pos="851"/>
        </w:tabs>
        <w:ind w:left="851"/>
        <w:rPr>
          <w:sz w:val="24"/>
          <w:szCs w:val="24"/>
        </w:rPr>
      </w:pPr>
    </w:p>
    <w:p w14:paraId="64613AA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6E5A423" w14:textId="13C1CB1E" w:rsidR="001E4877" w:rsidRDefault="001E4877" w:rsidP="001E4877">
      <w:pPr>
        <w:tabs>
          <w:tab w:val="left" w:pos="851"/>
        </w:tabs>
        <w:ind w:left="851"/>
        <w:rPr>
          <w:sz w:val="24"/>
          <w:szCs w:val="24"/>
        </w:rPr>
      </w:pPr>
      <w:r w:rsidRPr="001E4877">
        <w:rPr>
          <w:sz w:val="24"/>
          <w:szCs w:val="24"/>
        </w:rPr>
        <w:t>Gel</w:t>
      </w:r>
    </w:p>
    <w:p w14:paraId="0C99FC18" w14:textId="77777777" w:rsidR="001E4877" w:rsidRPr="001E4877" w:rsidRDefault="001E4877" w:rsidP="001E4877">
      <w:pPr>
        <w:tabs>
          <w:tab w:val="left" w:pos="851"/>
        </w:tabs>
        <w:ind w:left="851"/>
        <w:rPr>
          <w:sz w:val="24"/>
          <w:szCs w:val="24"/>
        </w:rPr>
      </w:pPr>
    </w:p>
    <w:p w14:paraId="22D6A9A2" w14:textId="77777777" w:rsidR="001E4877" w:rsidRPr="001E4877" w:rsidRDefault="001E4877" w:rsidP="001E4877">
      <w:pPr>
        <w:tabs>
          <w:tab w:val="left" w:pos="851"/>
        </w:tabs>
        <w:ind w:left="851"/>
        <w:rPr>
          <w:sz w:val="24"/>
          <w:szCs w:val="24"/>
        </w:rPr>
      </w:pPr>
      <w:r w:rsidRPr="001E4877">
        <w:rPr>
          <w:sz w:val="24"/>
          <w:szCs w:val="24"/>
        </w:rPr>
        <w:t>En hvid til meget bleggul, homogen, uigennemsigtig gel.</w:t>
      </w:r>
    </w:p>
    <w:p w14:paraId="6FC216A7" w14:textId="77777777" w:rsidR="009260DE" w:rsidRPr="00C84483" w:rsidRDefault="009260DE" w:rsidP="009260DE">
      <w:pPr>
        <w:tabs>
          <w:tab w:val="left" w:pos="851"/>
        </w:tabs>
        <w:ind w:left="851"/>
        <w:rPr>
          <w:sz w:val="24"/>
          <w:szCs w:val="24"/>
        </w:rPr>
      </w:pPr>
    </w:p>
    <w:p w14:paraId="03EC02DA" w14:textId="77777777" w:rsidR="009260DE" w:rsidRPr="00C84483" w:rsidRDefault="009260DE" w:rsidP="009260DE">
      <w:pPr>
        <w:tabs>
          <w:tab w:val="left" w:pos="851"/>
        </w:tabs>
        <w:ind w:left="851"/>
        <w:rPr>
          <w:sz w:val="24"/>
          <w:szCs w:val="24"/>
        </w:rPr>
      </w:pPr>
    </w:p>
    <w:p w14:paraId="10361FB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76B8401" w14:textId="77777777" w:rsidR="009260DE" w:rsidRPr="00C84483" w:rsidRDefault="009260DE" w:rsidP="009260DE">
      <w:pPr>
        <w:tabs>
          <w:tab w:val="left" w:pos="851"/>
        </w:tabs>
        <w:ind w:left="851"/>
        <w:rPr>
          <w:b/>
          <w:sz w:val="24"/>
          <w:szCs w:val="24"/>
        </w:rPr>
      </w:pPr>
    </w:p>
    <w:p w14:paraId="42B3C9A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3B1E8F7" w14:textId="77777777" w:rsidR="001E4877" w:rsidRPr="001E4877" w:rsidRDefault="001E4877" w:rsidP="001E4877">
      <w:pPr>
        <w:tabs>
          <w:tab w:val="left" w:pos="851"/>
        </w:tabs>
        <w:ind w:left="851"/>
        <w:rPr>
          <w:sz w:val="24"/>
          <w:szCs w:val="24"/>
        </w:rPr>
      </w:pPr>
      <w:r w:rsidRPr="001E4877">
        <w:rPr>
          <w:sz w:val="24"/>
          <w:szCs w:val="24"/>
        </w:rPr>
        <w:t xml:space="preserve">Dette lægemiddel er indiceret til kutan behandling af </w:t>
      </w:r>
      <w:r w:rsidRPr="001E4877">
        <w:rPr>
          <w:i/>
          <w:iCs/>
          <w:sz w:val="24"/>
          <w:szCs w:val="24"/>
        </w:rPr>
        <w:t>Acne vulgaris</w:t>
      </w:r>
      <w:r w:rsidRPr="001E4877">
        <w:rPr>
          <w:sz w:val="24"/>
          <w:szCs w:val="24"/>
        </w:rPr>
        <w:t xml:space="preserve"> når komedoner, papler og pustler er til stede (se pkt. 5.1).</w:t>
      </w:r>
    </w:p>
    <w:p w14:paraId="4B432C76" w14:textId="77777777" w:rsidR="001E4877" w:rsidRPr="001E4877" w:rsidRDefault="001E4877" w:rsidP="001E4877">
      <w:pPr>
        <w:tabs>
          <w:tab w:val="left" w:pos="851"/>
        </w:tabs>
        <w:ind w:left="851"/>
        <w:rPr>
          <w:sz w:val="24"/>
          <w:szCs w:val="24"/>
        </w:rPr>
      </w:pPr>
    </w:p>
    <w:p w14:paraId="6B0D97D0" w14:textId="77777777" w:rsidR="001E4877" w:rsidRPr="001E4877" w:rsidRDefault="001E4877" w:rsidP="001E4877">
      <w:pPr>
        <w:tabs>
          <w:tab w:val="left" w:pos="851"/>
        </w:tabs>
        <w:ind w:left="851"/>
        <w:rPr>
          <w:sz w:val="24"/>
          <w:szCs w:val="24"/>
        </w:rPr>
      </w:pPr>
      <w:r w:rsidRPr="001E4877">
        <w:rPr>
          <w:sz w:val="24"/>
          <w:szCs w:val="24"/>
        </w:rPr>
        <w:t>Cutimum er indiceret til behandling af voksne, unge og børn på 9 år og derover.</w:t>
      </w:r>
    </w:p>
    <w:p w14:paraId="1AFABBCF" w14:textId="77777777" w:rsidR="009260DE" w:rsidRPr="00C84483" w:rsidRDefault="009260DE" w:rsidP="009260DE">
      <w:pPr>
        <w:tabs>
          <w:tab w:val="left" w:pos="851"/>
        </w:tabs>
        <w:ind w:left="851"/>
        <w:rPr>
          <w:sz w:val="24"/>
          <w:szCs w:val="24"/>
        </w:rPr>
      </w:pPr>
    </w:p>
    <w:p w14:paraId="2003AD7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285DD1A" w14:textId="77777777" w:rsidR="001E4877" w:rsidRPr="001E4877" w:rsidRDefault="001E4877" w:rsidP="001E4877">
      <w:pPr>
        <w:tabs>
          <w:tab w:val="left" w:pos="851"/>
        </w:tabs>
        <w:ind w:left="851"/>
        <w:rPr>
          <w:sz w:val="24"/>
          <w:szCs w:val="24"/>
        </w:rPr>
      </w:pPr>
      <w:r w:rsidRPr="001E4877">
        <w:rPr>
          <w:sz w:val="24"/>
          <w:szCs w:val="24"/>
        </w:rPr>
        <w:t>Cutimum bør påføres på hele det akneangrebne område en gang daglig om aftenen på ren og tør hud. Et tyndt lag gel bør påføres, med fingerspidserne; undgå øjne og læber (se pkt. 4.4).</w:t>
      </w:r>
    </w:p>
    <w:p w14:paraId="347FD795" w14:textId="77777777" w:rsidR="001E4877" w:rsidRPr="001E4877" w:rsidRDefault="001E4877" w:rsidP="001E4877">
      <w:pPr>
        <w:tabs>
          <w:tab w:val="left" w:pos="851"/>
        </w:tabs>
        <w:ind w:left="851"/>
        <w:rPr>
          <w:sz w:val="24"/>
          <w:szCs w:val="24"/>
        </w:rPr>
      </w:pPr>
    </w:p>
    <w:p w14:paraId="277E3E41" w14:textId="77777777" w:rsidR="001E4877" w:rsidRPr="001E4877" w:rsidRDefault="001E4877" w:rsidP="001E4877">
      <w:pPr>
        <w:tabs>
          <w:tab w:val="left" w:pos="851"/>
        </w:tabs>
        <w:ind w:left="851"/>
        <w:rPr>
          <w:sz w:val="24"/>
          <w:szCs w:val="24"/>
        </w:rPr>
      </w:pPr>
      <w:r w:rsidRPr="001E4877">
        <w:rPr>
          <w:sz w:val="24"/>
          <w:szCs w:val="24"/>
        </w:rPr>
        <w:t>Hvis der opstår irritation, bør patienten rådes til at påføre ikke-komedogen fugtighedscreme, at anvende lægemidlet mindre hyppigt (f.eks. hver anden dag), at suspendere anvendelsen midlertidigt eller til at seponere behandlingen helt.</w:t>
      </w:r>
    </w:p>
    <w:p w14:paraId="31271643" w14:textId="77777777" w:rsidR="001E4877" w:rsidRPr="001E4877" w:rsidRDefault="001E4877" w:rsidP="001E4877">
      <w:pPr>
        <w:tabs>
          <w:tab w:val="left" w:pos="851"/>
        </w:tabs>
        <w:ind w:left="851"/>
        <w:rPr>
          <w:sz w:val="24"/>
          <w:szCs w:val="24"/>
        </w:rPr>
      </w:pPr>
    </w:p>
    <w:p w14:paraId="438DC93A" w14:textId="77777777" w:rsidR="001E4877" w:rsidRPr="001E4877" w:rsidRDefault="001E4877" w:rsidP="001E4877">
      <w:pPr>
        <w:tabs>
          <w:tab w:val="left" w:pos="851"/>
        </w:tabs>
        <w:ind w:left="851"/>
        <w:rPr>
          <w:sz w:val="24"/>
          <w:szCs w:val="24"/>
        </w:rPr>
      </w:pPr>
      <w:r w:rsidRPr="001E4877">
        <w:rPr>
          <w:sz w:val="24"/>
          <w:szCs w:val="24"/>
        </w:rPr>
        <w:t>Behandlingsvarigheden bør fastlægges af lægen på baggrund af den kliniske tilstand.</w:t>
      </w:r>
    </w:p>
    <w:p w14:paraId="316D9B73" w14:textId="77777777" w:rsidR="001E4877" w:rsidRPr="001E4877" w:rsidRDefault="001E4877" w:rsidP="001E4877">
      <w:pPr>
        <w:tabs>
          <w:tab w:val="left" w:pos="851"/>
        </w:tabs>
        <w:ind w:left="851"/>
        <w:rPr>
          <w:sz w:val="24"/>
          <w:szCs w:val="24"/>
        </w:rPr>
      </w:pPr>
      <w:r w:rsidRPr="001E4877">
        <w:rPr>
          <w:sz w:val="24"/>
          <w:szCs w:val="24"/>
        </w:rPr>
        <w:t>Tidlige tegn på klinisk forbedring optræder normalt efter 1 til 4 ugers behandling.</w:t>
      </w:r>
    </w:p>
    <w:p w14:paraId="54F15B66" w14:textId="77777777" w:rsidR="001E4877" w:rsidRPr="001E4877" w:rsidRDefault="001E4877" w:rsidP="001E4877">
      <w:pPr>
        <w:tabs>
          <w:tab w:val="left" w:pos="851"/>
        </w:tabs>
        <w:ind w:left="851"/>
        <w:rPr>
          <w:sz w:val="24"/>
          <w:szCs w:val="24"/>
        </w:rPr>
      </w:pPr>
    </w:p>
    <w:p w14:paraId="4A4C42FA" w14:textId="77777777" w:rsidR="001E4877" w:rsidRPr="001E4877" w:rsidRDefault="001E4877" w:rsidP="001E4877">
      <w:pPr>
        <w:tabs>
          <w:tab w:val="left" w:pos="851"/>
        </w:tabs>
        <w:ind w:left="851"/>
        <w:rPr>
          <w:sz w:val="24"/>
          <w:szCs w:val="24"/>
        </w:rPr>
      </w:pPr>
      <w:r w:rsidRPr="001E4877">
        <w:rPr>
          <w:sz w:val="24"/>
          <w:szCs w:val="24"/>
        </w:rPr>
        <w:t>Adapalen/benzoylperioxids sikkerhed og virkning hos børn under 9 år er ikke undersøgt.</w:t>
      </w:r>
    </w:p>
    <w:p w14:paraId="6AB25260" w14:textId="77777777" w:rsidR="001E4877" w:rsidRPr="001E4877" w:rsidRDefault="001E4877" w:rsidP="001E4877">
      <w:pPr>
        <w:tabs>
          <w:tab w:val="left" w:pos="851"/>
        </w:tabs>
        <w:ind w:left="851"/>
        <w:rPr>
          <w:sz w:val="24"/>
          <w:szCs w:val="24"/>
        </w:rPr>
      </w:pPr>
    </w:p>
    <w:p w14:paraId="560F19BF" w14:textId="77777777" w:rsidR="001E4877" w:rsidRPr="001E4877" w:rsidRDefault="001E4877" w:rsidP="001E4877">
      <w:pPr>
        <w:tabs>
          <w:tab w:val="left" w:pos="851"/>
        </w:tabs>
        <w:ind w:left="851"/>
        <w:rPr>
          <w:sz w:val="24"/>
          <w:szCs w:val="24"/>
          <w:u w:val="single"/>
        </w:rPr>
      </w:pPr>
      <w:r w:rsidRPr="001E4877">
        <w:rPr>
          <w:sz w:val="24"/>
          <w:szCs w:val="24"/>
          <w:u w:val="single"/>
        </w:rPr>
        <w:t>Administration</w:t>
      </w:r>
    </w:p>
    <w:p w14:paraId="1C5B8B4E" w14:textId="77777777" w:rsidR="001E4877" w:rsidRPr="001E4877" w:rsidRDefault="001E4877" w:rsidP="001E4877">
      <w:pPr>
        <w:tabs>
          <w:tab w:val="left" w:pos="851"/>
        </w:tabs>
        <w:ind w:left="851"/>
        <w:rPr>
          <w:iCs/>
          <w:sz w:val="24"/>
          <w:szCs w:val="24"/>
        </w:rPr>
      </w:pPr>
      <w:r w:rsidRPr="001E4877">
        <w:rPr>
          <w:iCs/>
          <w:sz w:val="24"/>
          <w:szCs w:val="24"/>
        </w:rPr>
        <w:t>Kun til kutan anvendelse.</w:t>
      </w:r>
    </w:p>
    <w:p w14:paraId="7EFBFDC8" w14:textId="77777777" w:rsidR="001E4877" w:rsidRPr="001E4877" w:rsidRDefault="001E4877" w:rsidP="001E4877">
      <w:pPr>
        <w:tabs>
          <w:tab w:val="left" w:pos="851"/>
        </w:tabs>
        <w:ind w:left="851"/>
        <w:rPr>
          <w:iCs/>
          <w:sz w:val="24"/>
          <w:szCs w:val="24"/>
        </w:rPr>
      </w:pPr>
    </w:p>
    <w:p w14:paraId="2443E8AE" w14:textId="77777777" w:rsidR="001E4877" w:rsidRPr="001E4877" w:rsidRDefault="001E4877" w:rsidP="001E4877">
      <w:pPr>
        <w:tabs>
          <w:tab w:val="left" w:pos="851"/>
        </w:tabs>
        <w:ind w:left="851"/>
        <w:rPr>
          <w:iCs/>
          <w:sz w:val="24"/>
          <w:szCs w:val="24"/>
        </w:rPr>
      </w:pPr>
      <w:r w:rsidRPr="001E4877">
        <w:rPr>
          <w:iCs/>
          <w:sz w:val="24"/>
          <w:szCs w:val="24"/>
        </w:rPr>
        <w:t>Patienter skal instrueres i at vaske deres hænder efter at have påført lægemidlet.</w:t>
      </w:r>
    </w:p>
    <w:p w14:paraId="51BEC649" w14:textId="77777777" w:rsidR="009260DE" w:rsidRPr="00C84483" w:rsidRDefault="009260DE" w:rsidP="009260DE">
      <w:pPr>
        <w:tabs>
          <w:tab w:val="left" w:pos="851"/>
        </w:tabs>
        <w:ind w:left="851"/>
        <w:rPr>
          <w:sz w:val="24"/>
          <w:szCs w:val="24"/>
        </w:rPr>
      </w:pPr>
    </w:p>
    <w:p w14:paraId="1EC9C99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8E91CB6" w14:textId="77777777" w:rsidR="001E4877" w:rsidRPr="001E4877" w:rsidRDefault="001E4877" w:rsidP="001E4877">
      <w:pPr>
        <w:tabs>
          <w:tab w:val="left" w:pos="851"/>
        </w:tabs>
        <w:ind w:left="1134" w:hanging="283"/>
        <w:rPr>
          <w:sz w:val="24"/>
          <w:szCs w:val="24"/>
        </w:rPr>
      </w:pPr>
      <w:r w:rsidRPr="001E4877">
        <w:rPr>
          <w:sz w:val="24"/>
          <w:szCs w:val="24"/>
        </w:rPr>
        <w:t>-</w:t>
      </w:r>
      <w:r w:rsidRPr="001E4877">
        <w:rPr>
          <w:sz w:val="24"/>
          <w:szCs w:val="24"/>
        </w:rPr>
        <w:tab/>
        <w:t>Overfølsomhed over for de aktive stoffer eller over for et eller flere af hjælpestofferne anført i pkt. 6.1</w:t>
      </w:r>
    </w:p>
    <w:p w14:paraId="51FF588B" w14:textId="77777777" w:rsidR="001E4877" w:rsidRPr="001E4877" w:rsidRDefault="001E4877" w:rsidP="001E4877">
      <w:pPr>
        <w:tabs>
          <w:tab w:val="left" w:pos="851"/>
        </w:tabs>
        <w:ind w:left="1134" w:hanging="283"/>
        <w:rPr>
          <w:sz w:val="24"/>
          <w:szCs w:val="24"/>
        </w:rPr>
      </w:pPr>
      <w:r w:rsidRPr="001E4877">
        <w:rPr>
          <w:sz w:val="24"/>
          <w:szCs w:val="24"/>
        </w:rPr>
        <w:t>-</w:t>
      </w:r>
      <w:r w:rsidRPr="001E4877">
        <w:rPr>
          <w:sz w:val="24"/>
          <w:szCs w:val="24"/>
        </w:rPr>
        <w:tab/>
        <w:t>Graviditet (se pkt. 4.6)</w:t>
      </w:r>
    </w:p>
    <w:p w14:paraId="4BF4B1F3" w14:textId="77777777" w:rsidR="001E4877" w:rsidRPr="001E4877" w:rsidRDefault="001E4877" w:rsidP="001E4877">
      <w:pPr>
        <w:tabs>
          <w:tab w:val="left" w:pos="851"/>
        </w:tabs>
        <w:ind w:left="1134" w:hanging="283"/>
        <w:rPr>
          <w:sz w:val="24"/>
          <w:szCs w:val="24"/>
        </w:rPr>
      </w:pPr>
      <w:r w:rsidRPr="001E4877">
        <w:rPr>
          <w:sz w:val="24"/>
          <w:szCs w:val="24"/>
        </w:rPr>
        <w:t>-</w:t>
      </w:r>
      <w:r w:rsidRPr="001E4877">
        <w:rPr>
          <w:sz w:val="24"/>
          <w:szCs w:val="24"/>
        </w:rPr>
        <w:tab/>
        <w:t>Kvinder, der planlægger graviditet (se pkt. 4.6)</w:t>
      </w:r>
    </w:p>
    <w:p w14:paraId="5B395BF6" w14:textId="77777777" w:rsidR="009260DE" w:rsidRPr="00C84483" w:rsidRDefault="009260DE" w:rsidP="009260DE">
      <w:pPr>
        <w:tabs>
          <w:tab w:val="left" w:pos="851"/>
        </w:tabs>
        <w:ind w:left="851"/>
        <w:rPr>
          <w:sz w:val="24"/>
          <w:szCs w:val="24"/>
        </w:rPr>
      </w:pPr>
    </w:p>
    <w:p w14:paraId="4289C409"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C39D48F" w14:textId="77777777" w:rsidR="001E4877" w:rsidRPr="001E4877" w:rsidRDefault="001E4877" w:rsidP="001E4877">
      <w:pPr>
        <w:tabs>
          <w:tab w:val="left" w:pos="851"/>
        </w:tabs>
        <w:ind w:left="851"/>
        <w:rPr>
          <w:sz w:val="24"/>
          <w:szCs w:val="24"/>
        </w:rPr>
      </w:pPr>
      <w:r w:rsidRPr="001E4877">
        <w:rPr>
          <w:sz w:val="24"/>
          <w:szCs w:val="24"/>
        </w:rPr>
        <w:t>Cutimum bør ikke påføres beskadiget hud, hverken på åbne sår (rifter eller hudafskrabninger), eksematøs eller solskoldet hud.</w:t>
      </w:r>
    </w:p>
    <w:p w14:paraId="619C6124" w14:textId="77777777" w:rsidR="001E4877" w:rsidRPr="001E4877" w:rsidRDefault="001E4877" w:rsidP="001E4877">
      <w:pPr>
        <w:tabs>
          <w:tab w:val="left" w:pos="851"/>
        </w:tabs>
        <w:ind w:left="851"/>
        <w:rPr>
          <w:sz w:val="24"/>
          <w:szCs w:val="24"/>
        </w:rPr>
      </w:pPr>
    </w:p>
    <w:p w14:paraId="47479132" w14:textId="77777777" w:rsidR="001E4877" w:rsidRPr="001E4877" w:rsidRDefault="001E4877" w:rsidP="001E4877">
      <w:pPr>
        <w:tabs>
          <w:tab w:val="left" w:pos="851"/>
        </w:tabs>
        <w:ind w:left="851"/>
        <w:rPr>
          <w:sz w:val="24"/>
          <w:szCs w:val="24"/>
        </w:rPr>
      </w:pPr>
      <w:r w:rsidRPr="001E4877">
        <w:rPr>
          <w:sz w:val="24"/>
          <w:szCs w:val="24"/>
        </w:rPr>
        <w:t>Cutimum bør ikke komme i kontakt med øjne, mund, næsebor eller slimhinder. Hvis produktet kommer i øjnene, skylles straks med varmt vand.</w:t>
      </w:r>
    </w:p>
    <w:p w14:paraId="1F9A1351" w14:textId="77777777" w:rsidR="001E4877" w:rsidRPr="001E4877" w:rsidRDefault="001E4877" w:rsidP="001E4877">
      <w:pPr>
        <w:tabs>
          <w:tab w:val="left" w:pos="851"/>
        </w:tabs>
        <w:ind w:left="851"/>
        <w:rPr>
          <w:sz w:val="24"/>
          <w:szCs w:val="24"/>
        </w:rPr>
      </w:pPr>
    </w:p>
    <w:p w14:paraId="74E3D055" w14:textId="77777777" w:rsidR="001E4877" w:rsidRPr="001E4877" w:rsidRDefault="001E4877" w:rsidP="001E4877">
      <w:pPr>
        <w:tabs>
          <w:tab w:val="left" w:pos="851"/>
        </w:tabs>
        <w:ind w:left="851"/>
        <w:rPr>
          <w:sz w:val="24"/>
          <w:szCs w:val="24"/>
        </w:rPr>
      </w:pPr>
      <w:r w:rsidRPr="001E4877">
        <w:rPr>
          <w:sz w:val="24"/>
          <w:szCs w:val="24"/>
        </w:rPr>
        <w:t>Hvis der opstår en reaktion, der tyder på overfølsomhed over for et eller flere af indholdsstofferne, bør dette lægemiddel seponeres.</w:t>
      </w:r>
    </w:p>
    <w:p w14:paraId="62BC38C6" w14:textId="77777777" w:rsidR="001E4877" w:rsidRPr="001E4877" w:rsidRDefault="001E4877" w:rsidP="001E4877">
      <w:pPr>
        <w:tabs>
          <w:tab w:val="left" w:pos="851"/>
        </w:tabs>
        <w:ind w:left="851"/>
        <w:rPr>
          <w:sz w:val="24"/>
          <w:szCs w:val="24"/>
        </w:rPr>
      </w:pPr>
    </w:p>
    <w:p w14:paraId="69DAF359" w14:textId="77777777" w:rsidR="001E4877" w:rsidRPr="001E4877" w:rsidRDefault="001E4877" w:rsidP="001E4877">
      <w:pPr>
        <w:tabs>
          <w:tab w:val="left" w:pos="851"/>
        </w:tabs>
        <w:ind w:left="851"/>
        <w:rPr>
          <w:sz w:val="24"/>
          <w:szCs w:val="24"/>
        </w:rPr>
      </w:pPr>
      <w:r w:rsidRPr="001E4877">
        <w:rPr>
          <w:sz w:val="24"/>
          <w:szCs w:val="24"/>
        </w:rPr>
        <w:t>Overdreven udsættelse for sollys eller UV-stråling bør undgås.</w:t>
      </w:r>
    </w:p>
    <w:p w14:paraId="0FB67AFF" w14:textId="77777777" w:rsidR="001E4877" w:rsidRPr="001E4877" w:rsidRDefault="001E4877" w:rsidP="001E4877">
      <w:pPr>
        <w:tabs>
          <w:tab w:val="left" w:pos="851"/>
        </w:tabs>
        <w:ind w:left="851"/>
        <w:rPr>
          <w:sz w:val="24"/>
          <w:szCs w:val="24"/>
        </w:rPr>
      </w:pPr>
    </w:p>
    <w:p w14:paraId="66993E0F" w14:textId="77777777" w:rsidR="001E4877" w:rsidRPr="001E4877" w:rsidRDefault="001E4877" w:rsidP="001E4877">
      <w:pPr>
        <w:tabs>
          <w:tab w:val="left" w:pos="851"/>
        </w:tabs>
        <w:ind w:left="851"/>
        <w:rPr>
          <w:sz w:val="24"/>
          <w:szCs w:val="24"/>
        </w:rPr>
      </w:pPr>
      <w:r w:rsidRPr="001E4877">
        <w:rPr>
          <w:sz w:val="24"/>
          <w:szCs w:val="24"/>
        </w:rPr>
        <w:t>Cutimum bør ikke komme i kontakt med farvet materiale inkl. hår og farvede stoffer, da dette kan resultere i blegning og misfarvning.</w:t>
      </w:r>
    </w:p>
    <w:p w14:paraId="1FEEB2D9" w14:textId="77777777" w:rsidR="001E4877" w:rsidRPr="001E4877" w:rsidRDefault="001E4877" w:rsidP="001E4877">
      <w:pPr>
        <w:tabs>
          <w:tab w:val="left" w:pos="851"/>
        </w:tabs>
        <w:ind w:left="851"/>
        <w:rPr>
          <w:sz w:val="24"/>
          <w:szCs w:val="24"/>
        </w:rPr>
      </w:pPr>
    </w:p>
    <w:p w14:paraId="234FE9CD" w14:textId="77777777" w:rsidR="001E4877" w:rsidRPr="001E4877" w:rsidRDefault="001E4877" w:rsidP="001E4877">
      <w:pPr>
        <w:tabs>
          <w:tab w:val="left" w:pos="851"/>
        </w:tabs>
        <w:ind w:left="851"/>
        <w:rPr>
          <w:sz w:val="24"/>
          <w:szCs w:val="24"/>
        </w:rPr>
      </w:pPr>
      <w:r w:rsidRPr="001E4877">
        <w:rPr>
          <w:sz w:val="24"/>
          <w:szCs w:val="24"/>
        </w:rPr>
        <w:t>Dette lægemiddel indeholder 40 mg propylenglycol (E1520) pr. gram gel, hvilket er ækvivalent med 4,0 % w/w, som kan forårsage hudirritation.</w:t>
      </w:r>
    </w:p>
    <w:p w14:paraId="4BC93570" w14:textId="77777777" w:rsidR="001E4877" w:rsidRPr="001E4877" w:rsidRDefault="001E4877" w:rsidP="001E4877">
      <w:pPr>
        <w:tabs>
          <w:tab w:val="left" w:pos="851"/>
        </w:tabs>
        <w:ind w:left="851"/>
        <w:rPr>
          <w:sz w:val="24"/>
          <w:szCs w:val="24"/>
        </w:rPr>
      </w:pPr>
    </w:p>
    <w:p w14:paraId="0113ECF9" w14:textId="77777777" w:rsidR="001E4877" w:rsidRPr="001E4877" w:rsidRDefault="001E4877" w:rsidP="001E4877">
      <w:pPr>
        <w:tabs>
          <w:tab w:val="left" w:pos="851"/>
        </w:tabs>
        <w:ind w:left="851"/>
        <w:rPr>
          <w:sz w:val="24"/>
          <w:szCs w:val="24"/>
        </w:rPr>
      </w:pPr>
      <w:r w:rsidRPr="001E4877">
        <w:rPr>
          <w:sz w:val="24"/>
          <w:szCs w:val="24"/>
        </w:rPr>
        <w:t>Dette lægemiddel indeholder polysorbater, som kan fremkalde allergiske reaktioner.</w:t>
      </w:r>
    </w:p>
    <w:p w14:paraId="7476B36B" w14:textId="77777777" w:rsidR="001E4877" w:rsidRPr="001E4877" w:rsidRDefault="001E4877" w:rsidP="001E4877">
      <w:pPr>
        <w:tabs>
          <w:tab w:val="left" w:pos="851"/>
        </w:tabs>
        <w:ind w:left="851"/>
        <w:rPr>
          <w:sz w:val="24"/>
          <w:szCs w:val="24"/>
        </w:rPr>
      </w:pPr>
    </w:p>
    <w:p w14:paraId="08CDFB19" w14:textId="77777777" w:rsidR="001E4877" w:rsidRPr="001E4877" w:rsidRDefault="001E4877" w:rsidP="001E4877">
      <w:pPr>
        <w:tabs>
          <w:tab w:val="left" w:pos="851"/>
        </w:tabs>
        <w:ind w:left="851"/>
        <w:rPr>
          <w:sz w:val="24"/>
          <w:szCs w:val="24"/>
        </w:rPr>
      </w:pPr>
      <w:r w:rsidRPr="001E4877">
        <w:rPr>
          <w:sz w:val="24"/>
          <w:szCs w:val="24"/>
        </w:rPr>
        <w:t>Dette lægemiddel kan indeholde op til 2,5 mg af benzoesyre pr. gram gel, som spaltningsprodukt af benzoylperoxid. Benzoesyre kan forårsage lokal irritation.</w:t>
      </w:r>
    </w:p>
    <w:p w14:paraId="37E74EA9" w14:textId="77777777" w:rsidR="009260DE" w:rsidRPr="00C84483" w:rsidRDefault="009260DE" w:rsidP="009260DE">
      <w:pPr>
        <w:tabs>
          <w:tab w:val="left" w:pos="851"/>
        </w:tabs>
        <w:ind w:left="851"/>
        <w:rPr>
          <w:sz w:val="24"/>
          <w:szCs w:val="24"/>
        </w:rPr>
      </w:pPr>
    </w:p>
    <w:p w14:paraId="3FC16CC1"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EB97CFC" w14:textId="77777777" w:rsidR="001E4877" w:rsidRPr="001E4877" w:rsidRDefault="001E4877" w:rsidP="001E4877">
      <w:pPr>
        <w:tabs>
          <w:tab w:val="left" w:pos="851"/>
        </w:tabs>
        <w:ind w:left="851"/>
        <w:rPr>
          <w:sz w:val="24"/>
          <w:szCs w:val="24"/>
        </w:rPr>
      </w:pPr>
      <w:r w:rsidRPr="001E4877">
        <w:rPr>
          <w:sz w:val="24"/>
          <w:szCs w:val="24"/>
        </w:rPr>
        <w:t>Der er ikke udført interaktionsstudier.</w:t>
      </w:r>
    </w:p>
    <w:p w14:paraId="2CFCCD5A" w14:textId="77777777" w:rsidR="001E4877" w:rsidRPr="001E4877" w:rsidRDefault="001E4877" w:rsidP="001E4877">
      <w:pPr>
        <w:tabs>
          <w:tab w:val="left" w:pos="851"/>
        </w:tabs>
        <w:ind w:left="851"/>
        <w:rPr>
          <w:sz w:val="24"/>
          <w:szCs w:val="24"/>
        </w:rPr>
      </w:pPr>
    </w:p>
    <w:p w14:paraId="795ECEA2" w14:textId="77777777" w:rsidR="001E4877" w:rsidRPr="001E4877" w:rsidRDefault="001E4877" w:rsidP="001E4877">
      <w:pPr>
        <w:tabs>
          <w:tab w:val="left" w:pos="851"/>
        </w:tabs>
        <w:ind w:left="851"/>
        <w:rPr>
          <w:sz w:val="24"/>
          <w:szCs w:val="24"/>
        </w:rPr>
      </w:pPr>
      <w:r w:rsidRPr="001E4877">
        <w:rPr>
          <w:sz w:val="24"/>
          <w:szCs w:val="24"/>
        </w:rPr>
        <w:t xml:space="preserve">Fra tidligere erfaring med adapalen og benzoylperoxid er der ingen kendte interaktioner med andre lægemidler, som anvendes kutant og samtidig med gelen. Andre retinoider eller benzoylperoxid eller lægemidler med en lignende virkningsmekanisme bør dog ikke anvendes samtidigt. Der skal udvises forsigtighed, hvis der anvendes kosmetik med </w:t>
      </w:r>
      <w:r w:rsidRPr="001E4877">
        <w:rPr>
          <w:sz w:val="24"/>
          <w:szCs w:val="24"/>
        </w:rPr>
        <w:lastRenderedPageBreak/>
        <w:t>afskallende, irriterende eller udtørrende virkning, da de kan give additive irriterende virkninger med dette lægemiddel.</w:t>
      </w:r>
    </w:p>
    <w:p w14:paraId="452A0DFE" w14:textId="77777777" w:rsidR="001E4877" w:rsidRPr="001E4877" w:rsidRDefault="001E4877" w:rsidP="001E4877">
      <w:pPr>
        <w:tabs>
          <w:tab w:val="left" w:pos="851"/>
        </w:tabs>
        <w:ind w:left="851"/>
        <w:rPr>
          <w:sz w:val="24"/>
          <w:szCs w:val="24"/>
        </w:rPr>
      </w:pPr>
    </w:p>
    <w:p w14:paraId="7967ADE6" w14:textId="77777777" w:rsidR="001E4877" w:rsidRPr="001E4877" w:rsidRDefault="001E4877" w:rsidP="001E4877">
      <w:pPr>
        <w:tabs>
          <w:tab w:val="left" w:pos="851"/>
        </w:tabs>
        <w:ind w:left="851"/>
        <w:rPr>
          <w:sz w:val="24"/>
          <w:szCs w:val="24"/>
        </w:rPr>
      </w:pPr>
      <w:r w:rsidRPr="001E4877">
        <w:rPr>
          <w:sz w:val="24"/>
          <w:szCs w:val="24"/>
        </w:rPr>
        <w:t>Absorption af adapalen gennem human hud er lav (se pkt. 5.2), og interaktion med systemiske lægemidler er derfor ikke sandsynlig.</w:t>
      </w:r>
    </w:p>
    <w:p w14:paraId="19874E96" w14:textId="77777777" w:rsidR="001E4877" w:rsidRPr="001E4877" w:rsidRDefault="001E4877" w:rsidP="001E4877">
      <w:pPr>
        <w:tabs>
          <w:tab w:val="left" w:pos="851"/>
        </w:tabs>
        <w:ind w:left="851"/>
        <w:rPr>
          <w:sz w:val="24"/>
          <w:szCs w:val="24"/>
        </w:rPr>
      </w:pPr>
    </w:p>
    <w:p w14:paraId="76DE980C" w14:textId="77777777" w:rsidR="001E4877" w:rsidRPr="001E4877" w:rsidRDefault="001E4877" w:rsidP="001E4877">
      <w:pPr>
        <w:tabs>
          <w:tab w:val="left" w:pos="851"/>
        </w:tabs>
        <w:ind w:left="851"/>
        <w:rPr>
          <w:sz w:val="24"/>
          <w:szCs w:val="24"/>
        </w:rPr>
      </w:pPr>
      <w:r w:rsidRPr="001E4877">
        <w:rPr>
          <w:sz w:val="24"/>
          <w:szCs w:val="24"/>
        </w:rPr>
        <w:t>Den perkutane penetration af benzoylperoxid i huden er lav, og lægemiddelstoffet metaboliseres fuldstændigt til benzoesyre, som hurtigt elimineres. Derfor er den potentielle interaktion mellem benzoesyre og systemiske lægemidler ikke sandsynlig.</w:t>
      </w:r>
    </w:p>
    <w:p w14:paraId="1DE7CBC9" w14:textId="77777777" w:rsidR="009260DE" w:rsidRPr="00C84483" w:rsidRDefault="009260DE" w:rsidP="009260DE">
      <w:pPr>
        <w:tabs>
          <w:tab w:val="left" w:pos="851"/>
        </w:tabs>
        <w:ind w:left="851"/>
        <w:rPr>
          <w:sz w:val="24"/>
          <w:szCs w:val="24"/>
        </w:rPr>
      </w:pPr>
    </w:p>
    <w:p w14:paraId="6081AF04"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1856E7AE" w14:textId="77777777" w:rsidR="001E4877" w:rsidRPr="001E4877" w:rsidRDefault="001E4877" w:rsidP="001E4877">
      <w:pPr>
        <w:tabs>
          <w:tab w:val="left" w:pos="851"/>
        </w:tabs>
        <w:ind w:left="851"/>
        <w:rPr>
          <w:sz w:val="24"/>
          <w:szCs w:val="24"/>
        </w:rPr>
      </w:pPr>
      <w:r w:rsidRPr="001E4877">
        <w:rPr>
          <w:sz w:val="24"/>
          <w:szCs w:val="24"/>
        </w:rPr>
        <w:t xml:space="preserve">Perorale retinoider har været forbundet med medfødte abnormiteter. Når de anvendes i overensstemmelse med ordinationsforskrifterne, antages det, at topikalt administrerede retinoider resulterer i lav systemisk eksponering på grund af minimal dermal absorption. Der kan dog være individuelle faktorer (f.eks. beskadiget hudbarriere, overdreven brug), som bidrager til en øget systemisk eksponering. </w:t>
      </w:r>
    </w:p>
    <w:p w14:paraId="5902C71D" w14:textId="77777777" w:rsidR="001E4877" w:rsidRPr="001E4877" w:rsidRDefault="001E4877" w:rsidP="001E4877">
      <w:pPr>
        <w:tabs>
          <w:tab w:val="left" w:pos="851"/>
        </w:tabs>
        <w:ind w:left="851"/>
        <w:rPr>
          <w:sz w:val="24"/>
          <w:szCs w:val="24"/>
        </w:rPr>
      </w:pPr>
    </w:p>
    <w:p w14:paraId="5A9D999F" w14:textId="77777777" w:rsidR="001E4877" w:rsidRPr="001E4877" w:rsidRDefault="001E4877" w:rsidP="001E4877">
      <w:pPr>
        <w:tabs>
          <w:tab w:val="left" w:pos="851"/>
        </w:tabs>
        <w:ind w:left="851"/>
        <w:rPr>
          <w:sz w:val="24"/>
          <w:szCs w:val="24"/>
          <w:u w:val="single"/>
        </w:rPr>
      </w:pPr>
      <w:r w:rsidRPr="001E4877">
        <w:rPr>
          <w:sz w:val="24"/>
          <w:szCs w:val="24"/>
          <w:u w:val="single"/>
        </w:rPr>
        <w:t>Graviditet</w:t>
      </w:r>
    </w:p>
    <w:p w14:paraId="6B1B4CCA" w14:textId="77777777" w:rsidR="001E4877" w:rsidRPr="001E4877" w:rsidRDefault="001E4877" w:rsidP="001E4877">
      <w:pPr>
        <w:tabs>
          <w:tab w:val="left" w:pos="851"/>
        </w:tabs>
        <w:ind w:left="851"/>
        <w:rPr>
          <w:sz w:val="24"/>
          <w:szCs w:val="24"/>
        </w:rPr>
      </w:pPr>
      <w:r w:rsidRPr="001E4877">
        <w:rPr>
          <w:sz w:val="24"/>
          <w:szCs w:val="24"/>
        </w:rPr>
        <w:t>Adapalen/benzoylperoxid er kontraindiceret under graviditet eller hos kvinder, der planlægger graviditet (se pkt. 4.3).</w:t>
      </w:r>
    </w:p>
    <w:p w14:paraId="115DCE08" w14:textId="77777777" w:rsidR="001E4877" w:rsidRPr="001E4877" w:rsidRDefault="001E4877" w:rsidP="001E4877">
      <w:pPr>
        <w:tabs>
          <w:tab w:val="left" w:pos="851"/>
        </w:tabs>
        <w:ind w:left="851"/>
        <w:rPr>
          <w:sz w:val="24"/>
          <w:szCs w:val="24"/>
        </w:rPr>
      </w:pPr>
    </w:p>
    <w:p w14:paraId="56B5CB11" w14:textId="77777777" w:rsidR="001E4877" w:rsidRPr="001E4877" w:rsidRDefault="001E4877" w:rsidP="001E4877">
      <w:pPr>
        <w:tabs>
          <w:tab w:val="left" w:pos="851"/>
        </w:tabs>
        <w:ind w:left="851"/>
        <w:rPr>
          <w:sz w:val="24"/>
          <w:szCs w:val="24"/>
        </w:rPr>
      </w:pPr>
      <w:r w:rsidRPr="001E4877">
        <w:rPr>
          <w:sz w:val="24"/>
          <w:szCs w:val="24"/>
        </w:rPr>
        <w:t>Der er ingen eller utilstrækkelige data fra topikal anvendelse af adapalen til gravide.</w:t>
      </w:r>
    </w:p>
    <w:p w14:paraId="173C33EE" w14:textId="77777777" w:rsidR="001E4877" w:rsidRPr="001E4877" w:rsidRDefault="001E4877" w:rsidP="001E4877">
      <w:pPr>
        <w:tabs>
          <w:tab w:val="left" w:pos="851"/>
        </w:tabs>
        <w:ind w:left="851"/>
        <w:rPr>
          <w:sz w:val="24"/>
          <w:szCs w:val="24"/>
        </w:rPr>
      </w:pPr>
    </w:p>
    <w:p w14:paraId="7BA0E263" w14:textId="77777777" w:rsidR="001E4877" w:rsidRPr="001E4877" w:rsidRDefault="001E4877" w:rsidP="001E4877">
      <w:pPr>
        <w:tabs>
          <w:tab w:val="left" w:pos="851"/>
        </w:tabs>
        <w:ind w:left="851"/>
        <w:rPr>
          <w:sz w:val="24"/>
          <w:szCs w:val="24"/>
        </w:rPr>
      </w:pPr>
      <w:r w:rsidRPr="001E4877">
        <w:rPr>
          <w:sz w:val="24"/>
          <w:szCs w:val="24"/>
        </w:rPr>
        <w:t>Dyrestudier med peroral anvendelse har vist reproduktionstoksicitet ved høj systemisk eksponering (se pkt. 5.3).</w:t>
      </w:r>
    </w:p>
    <w:p w14:paraId="6619E141" w14:textId="77777777" w:rsidR="001E4877" w:rsidRPr="001E4877" w:rsidRDefault="001E4877" w:rsidP="001E4877">
      <w:pPr>
        <w:tabs>
          <w:tab w:val="left" w:pos="851"/>
        </w:tabs>
        <w:ind w:left="851"/>
        <w:rPr>
          <w:sz w:val="24"/>
          <w:szCs w:val="24"/>
        </w:rPr>
      </w:pPr>
    </w:p>
    <w:p w14:paraId="09E36D08" w14:textId="77777777" w:rsidR="001E4877" w:rsidRPr="001E4877" w:rsidRDefault="001E4877" w:rsidP="001E4877">
      <w:pPr>
        <w:tabs>
          <w:tab w:val="left" w:pos="851"/>
        </w:tabs>
        <w:ind w:left="851"/>
        <w:rPr>
          <w:sz w:val="24"/>
          <w:szCs w:val="24"/>
        </w:rPr>
      </w:pPr>
      <w:r w:rsidRPr="001E4877">
        <w:rPr>
          <w:sz w:val="24"/>
          <w:szCs w:val="24"/>
        </w:rPr>
        <w:t>Der er begrænset klinisk erfaring med lokal anvendelse af adapalen og benzoylperoxid under graviditet.</w:t>
      </w:r>
    </w:p>
    <w:p w14:paraId="74DA8D64" w14:textId="77777777" w:rsidR="001E4877" w:rsidRPr="001E4877" w:rsidRDefault="001E4877" w:rsidP="001E4877">
      <w:pPr>
        <w:tabs>
          <w:tab w:val="left" w:pos="851"/>
        </w:tabs>
        <w:ind w:left="851"/>
        <w:rPr>
          <w:sz w:val="24"/>
          <w:szCs w:val="24"/>
        </w:rPr>
      </w:pPr>
    </w:p>
    <w:p w14:paraId="7F6F2C16" w14:textId="77777777" w:rsidR="001E4877" w:rsidRPr="001E4877" w:rsidRDefault="001E4877" w:rsidP="001E4877">
      <w:pPr>
        <w:tabs>
          <w:tab w:val="left" w:pos="851"/>
        </w:tabs>
        <w:ind w:left="851"/>
        <w:rPr>
          <w:sz w:val="24"/>
          <w:szCs w:val="24"/>
        </w:rPr>
      </w:pPr>
      <w:r w:rsidRPr="001E4877">
        <w:rPr>
          <w:sz w:val="24"/>
          <w:szCs w:val="24"/>
        </w:rPr>
        <w:t>Hvis produktet anvendes under graviditet, eller hvis patienten bliver gravid, mens hun tager dette lægemiddel, bør behandlingen seponeres.</w:t>
      </w:r>
    </w:p>
    <w:p w14:paraId="66FB4472" w14:textId="77777777" w:rsidR="001E4877" w:rsidRPr="001E4877" w:rsidRDefault="001E4877" w:rsidP="001E4877">
      <w:pPr>
        <w:tabs>
          <w:tab w:val="left" w:pos="851"/>
        </w:tabs>
        <w:ind w:left="851"/>
        <w:rPr>
          <w:sz w:val="24"/>
          <w:szCs w:val="24"/>
        </w:rPr>
      </w:pPr>
    </w:p>
    <w:p w14:paraId="507DBE60" w14:textId="77777777" w:rsidR="001E4877" w:rsidRPr="001E4877" w:rsidRDefault="001E4877" w:rsidP="001E4877">
      <w:pPr>
        <w:tabs>
          <w:tab w:val="left" w:pos="851"/>
        </w:tabs>
        <w:ind w:left="851"/>
        <w:rPr>
          <w:sz w:val="24"/>
          <w:szCs w:val="24"/>
          <w:u w:val="single"/>
        </w:rPr>
      </w:pPr>
      <w:r w:rsidRPr="001E4877">
        <w:rPr>
          <w:sz w:val="24"/>
          <w:szCs w:val="24"/>
          <w:u w:val="single"/>
        </w:rPr>
        <w:t>Amning</w:t>
      </w:r>
    </w:p>
    <w:p w14:paraId="02FD5779" w14:textId="77777777" w:rsidR="001E4877" w:rsidRPr="001E4877" w:rsidRDefault="001E4877" w:rsidP="001E4877">
      <w:pPr>
        <w:tabs>
          <w:tab w:val="left" w:pos="851"/>
        </w:tabs>
        <w:ind w:left="851"/>
        <w:rPr>
          <w:sz w:val="24"/>
          <w:szCs w:val="24"/>
        </w:rPr>
      </w:pPr>
      <w:r w:rsidRPr="001E4877">
        <w:rPr>
          <w:sz w:val="24"/>
          <w:szCs w:val="24"/>
        </w:rPr>
        <w:t>Der er ikke udført studier af lægemiddeloverførsel hos dyr eller mennesker via modermælk efter kutan anvendelse af adapalen/benzoylperoxid.</w:t>
      </w:r>
    </w:p>
    <w:p w14:paraId="4C117454" w14:textId="77777777" w:rsidR="001E4877" w:rsidRPr="001E4877" w:rsidRDefault="001E4877" w:rsidP="001E4877">
      <w:pPr>
        <w:tabs>
          <w:tab w:val="left" w:pos="851"/>
        </w:tabs>
        <w:ind w:left="851"/>
        <w:rPr>
          <w:sz w:val="24"/>
          <w:szCs w:val="24"/>
        </w:rPr>
      </w:pPr>
    </w:p>
    <w:p w14:paraId="54A89D46" w14:textId="77777777" w:rsidR="001E4877" w:rsidRPr="001E4877" w:rsidRDefault="001E4877" w:rsidP="001E4877">
      <w:pPr>
        <w:tabs>
          <w:tab w:val="left" w:pos="851"/>
        </w:tabs>
        <w:ind w:left="851"/>
        <w:rPr>
          <w:sz w:val="24"/>
          <w:szCs w:val="24"/>
        </w:rPr>
      </w:pPr>
      <w:r w:rsidRPr="001E4877">
        <w:rPr>
          <w:sz w:val="24"/>
          <w:szCs w:val="24"/>
        </w:rPr>
        <w:t>Der forventes ingen effekt på det ammede barn, da den ammende kvindes systemiske eksponering for adapalen/benzoylperoxid er ubetydelig. Cutimum kan anvendes under amning.</w:t>
      </w:r>
    </w:p>
    <w:p w14:paraId="63A66057" w14:textId="77777777" w:rsidR="001E4877" w:rsidRPr="001E4877" w:rsidRDefault="001E4877" w:rsidP="001E4877">
      <w:pPr>
        <w:tabs>
          <w:tab w:val="left" w:pos="851"/>
        </w:tabs>
        <w:ind w:left="851"/>
        <w:rPr>
          <w:sz w:val="24"/>
          <w:szCs w:val="24"/>
        </w:rPr>
      </w:pPr>
    </w:p>
    <w:p w14:paraId="00CAE89D" w14:textId="77777777" w:rsidR="001E4877" w:rsidRPr="001E4877" w:rsidRDefault="001E4877" w:rsidP="001E4877">
      <w:pPr>
        <w:tabs>
          <w:tab w:val="left" w:pos="851"/>
        </w:tabs>
        <w:ind w:left="851"/>
        <w:rPr>
          <w:sz w:val="24"/>
          <w:szCs w:val="24"/>
        </w:rPr>
      </w:pPr>
      <w:r w:rsidRPr="001E4877">
        <w:rPr>
          <w:sz w:val="24"/>
          <w:szCs w:val="24"/>
        </w:rPr>
        <w:t>For at undgå kontakteksponering af spædbarnet bør påføring af denne gel på brystet undgås, når det anvendes under amning.</w:t>
      </w:r>
    </w:p>
    <w:p w14:paraId="034A7DF2" w14:textId="77777777" w:rsidR="001E4877" w:rsidRPr="001E4877" w:rsidRDefault="001E4877" w:rsidP="001E4877">
      <w:pPr>
        <w:tabs>
          <w:tab w:val="left" w:pos="851"/>
        </w:tabs>
        <w:ind w:left="851"/>
        <w:rPr>
          <w:sz w:val="24"/>
          <w:szCs w:val="24"/>
        </w:rPr>
      </w:pPr>
    </w:p>
    <w:p w14:paraId="5BCE5526" w14:textId="77777777" w:rsidR="001E4877" w:rsidRPr="001E4877" w:rsidRDefault="001E4877" w:rsidP="001E4877">
      <w:pPr>
        <w:tabs>
          <w:tab w:val="left" w:pos="851"/>
        </w:tabs>
        <w:ind w:left="851"/>
        <w:rPr>
          <w:sz w:val="24"/>
          <w:szCs w:val="24"/>
          <w:u w:val="single"/>
        </w:rPr>
      </w:pPr>
      <w:r w:rsidRPr="001E4877">
        <w:rPr>
          <w:sz w:val="24"/>
          <w:szCs w:val="24"/>
          <w:u w:val="single"/>
        </w:rPr>
        <w:t>Fertilitet</w:t>
      </w:r>
    </w:p>
    <w:p w14:paraId="15A58CE7" w14:textId="77777777" w:rsidR="001E4877" w:rsidRPr="001E4877" w:rsidRDefault="001E4877" w:rsidP="001E4877">
      <w:pPr>
        <w:tabs>
          <w:tab w:val="left" w:pos="851"/>
        </w:tabs>
        <w:ind w:left="851"/>
        <w:rPr>
          <w:sz w:val="24"/>
          <w:szCs w:val="24"/>
        </w:rPr>
      </w:pPr>
      <w:r w:rsidRPr="001E4877">
        <w:rPr>
          <w:sz w:val="24"/>
          <w:szCs w:val="24"/>
        </w:rPr>
        <w:t>Der er ikke udført humane fertilitetsstudier for gel med adapalen/benzoylperoxid.</w:t>
      </w:r>
    </w:p>
    <w:p w14:paraId="0B1B28FA" w14:textId="77777777" w:rsidR="001E4877" w:rsidRPr="001E4877" w:rsidRDefault="001E4877" w:rsidP="001E4877">
      <w:pPr>
        <w:tabs>
          <w:tab w:val="left" w:pos="851"/>
        </w:tabs>
        <w:ind w:left="851"/>
        <w:rPr>
          <w:sz w:val="24"/>
          <w:szCs w:val="24"/>
        </w:rPr>
      </w:pPr>
    </w:p>
    <w:p w14:paraId="2BFFB4FF" w14:textId="77777777" w:rsidR="001E4877" w:rsidRPr="001E4877" w:rsidRDefault="001E4877" w:rsidP="001E4877">
      <w:pPr>
        <w:tabs>
          <w:tab w:val="left" w:pos="851"/>
        </w:tabs>
        <w:ind w:left="851"/>
        <w:rPr>
          <w:sz w:val="24"/>
          <w:szCs w:val="24"/>
        </w:rPr>
      </w:pPr>
      <w:r w:rsidRPr="001E4877">
        <w:rPr>
          <w:sz w:val="24"/>
          <w:szCs w:val="24"/>
        </w:rPr>
        <w:t>Der blev imidlertid ikke fundet nogen virkninger af adapalen eller benzoylperoxid på fertiliteten hos rotter i reproduktionsstudier (se pkt. 5.3).</w:t>
      </w:r>
    </w:p>
    <w:p w14:paraId="051A8584" w14:textId="0C57B6AA" w:rsidR="001E4877" w:rsidRDefault="001E4877">
      <w:pPr>
        <w:rPr>
          <w:sz w:val="24"/>
          <w:szCs w:val="24"/>
        </w:rPr>
      </w:pPr>
      <w:r>
        <w:rPr>
          <w:sz w:val="24"/>
          <w:szCs w:val="24"/>
        </w:rPr>
        <w:br w:type="page"/>
      </w:r>
    </w:p>
    <w:p w14:paraId="1C07453E" w14:textId="77777777" w:rsidR="009260DE" w:rsidRPr="00C84483" w:rsidRDefault="009260DE" w:rsidP="009260DE">
      <w:pPr>
        <w:tabs>
          <w:tab w:val="left" w:pos="851"/>
        </w:tabs>
        <w:ind w:left="851"/>
        <w:rPr>
          <w:sz w:val="24"/>
          <w:szCs w:val="24"/>
        </w:rPr>
      </w:pPr>
    </w:p>
    <w:p w14:paraId="6580BAF8"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05162B9" w14:textId="77777777" w:rsidR="001E4877" w:rsidRDefault="001E4877" w:rsidP="001E4877">
      <w:pPr>
        <w:tabs>
          <w:tab w:val="left" w:pos="851"/>
        </w:tabs>
        <w:ind w:left="851"/>
        <w:rPr>
          <w:sz w:val="24"/>
          <w:szCs w:val="24"/>
        </w:rPr>
      </w:pPr>
      <w:r w:rsidRPr="001E4877">
        <w:rPr>
          <w:sz w:val="24"/>
          <w:szCs w:val="24"/>
        </w:rPr>
        <w:t>I</w:t>
      </w:r>
      <w:r>
        <w:rPr>
          <w:sz w:val="24"/>
          <w:szCs w:val="24"/>
        </w:rPr>
        <w:t>kke mærkning.</w:t>
      </w:r>
    </w:p>
    <w:p w14:paraId="12D7E50E" w14:textId="6D45082E" w:rsidR="001E4877" w:rsidRPr="001E4877" w:rsidRDefault="001E4877" w:rsidP="001E4877">
      <w:pPr>
        <w:tabs>
          <w:tab w:val="left" w:pos="851"/>
        </w:tabs>
        <w:ind w:left="851"/>
        <w:rPr>
          <w:sz w:val="24"/>
          <w:szCs w:val="24"/>
        </w:rPr>
      </w:pPr>
      <w:r>
        <w:rPr>
          <w:sz w:val="24"/>
          <w:szCs w:val="24"/>
        </w:rPr>
        <w:t>I</w:t>
      </w:r>
      <w:r w:rsidRPr="001E4877">
        <w:rPr>
          <w:sz w:val="24"/>
          <w:szCs w:val="24"/>
        </w:rPr>
        <w:t>kke relevant.</w:t>
      </w:r>
    </w:p>
    <w:p w14:paraId="6CDDE4B7" w14:textId="77777777" w:rsidR="009260DE" w:rsidRPr="00C84483" w:rsidRDefault="009260DE" w:rsidP="009260DE">
      <w:pPr>
        <w:tabs>
          <w:tab w:val="left" w:pos="851"/>
        </w:tabs>
        <w:ind w:left="851"/>
        <w:rPr>
          <w:sz w:val="24"/>
          <w:szCs w:val="24"/>
        </w:rPr>
      </w:pPr>
    </w:p>
    <w:p w14:paraId="179C2A82"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C5FB074" w14:textId="77777777" w:rsidR="001E4877" w:rsidRPr="001E4877" w:rsidRDefault="001E4877" w:rsidP="001E4877">
      <w:pPr>
        <w:ind w:left="851"/>
        <w:rPr>
          <w:sz w:val="24"/>
          <w:szCs w:val="24"/>
        </w:rPr>
      </w:pPr>
      <w:r w:rsidRPr="001E4877">
        <w:rPr>
          <w:sz w:val="24"/>
          <w:szCs w:val="24"/>
        </w:rPr>
        <w:t>Cutimum kan give følgende bivirkninger på applikationsstedet:</w:t>
      </w:r>
    </w:p>
    <w:p w14:paraId="3E012E01" w14:textId="77777777" w:rsidR="001E4877" w:rsidRDefault="001E4877" w:rsidP="001E4877">
      <w:pPr>
        <w:rPr>
          <w:noProof/>
          <w:szCs w:val="22"/>
          <w:u w:val="single"/>
        </w:rPr>
      </w:pPr>
    </w:p>
    <w:tbl>
      <w:tblPr>
        <w:tblStyle w:val="Tabel-Gitter"/>
        <w:tblW w:w="5000" w:type="pct"/>
        <w:tblInd w:w="0" w:type="dxa"/>
        <w:tblLook w:val="04A0" w:firstRow="1" w:lastRow="0" w:firstColumn="1" w:lastColumn="0" w:noHBand="0" w:noVBand="1"/>
      </w:tblPr>
      <w:tblGrid>
        <w:gridCol w:w="2407"/>
        <w:gridCol w:w="2561"/>
        <w:gridCol w:w="4660"/>
      </w:tblGrid>
      <w:tr w:rsidR="001E4877" w14:paraId="63210ED9" w14:textId="77777777" w:rsidTr="001E4877">
        <w:trPr>
          <w:tblHeader/>
        </w:trPr>
        <w:tc>
          <w:tcPr>
            <w:tcW w:w="1250" w:type="pct"/>
            <w:tcBorders>
              <w:top w:val="single" w:sz="4" w:space="0" w:color="auto"/>
              <w:left w:val="single" w:sz="4" w:space="0" w:color="auto"/>
              <w:bottom w:val="single" w:sz="4" w:space="0" w:color="auto"/>
              <w:right w:val="single" w:sz="4" w:space="0" w:color="auto"/>
            </w:tcBorders>
            <w:hideMark/>
          </w:tcPr>
          <w:p w14:paraId="4E4EAA5D" w14:textId="77777777" w:rsidR="001E4877" w:rsidRDefault="001E4877">
            <w:pPr>
              <w:keepNext/>
              <w:keepLines/>
              <w:tabs>
                <w:tab w:val="left" w:pos="720"/>
                <w:tab w:val="left" w:pos="1440"/>
                <w:tab w:val="left" w:pos="2160"/>
                <w:tab w:val="left" w:pos="2880"/>
                <w:tab w:val="left" w:pos="3600"/>
                <w:tab w:val="left" w:pos="4320"/>
                <w:tab w:val="left" w:pos="5040"/>
                <w:tab w:val="left" w:pos="5760"/>
                <w:tab w:val="left" w:pos="6480"/>
                <w:tab w:val="left" w:pos="6891"/>
              </w:tabs>
              <w:rPr>
                <w:b/>
                <w:lang w:val="en-GB"/>
              </w:rPr>
            </w:pPr>
            <w:r>
              <w:rPr>
                <w:b/>
                <w:lang w:val="en-GB"/>
              </w:rPr>
              <w:t>MedDRA</w:t>
            </w:r>
          </w:p>
          <w:p w14:paraId="3AEA8EFF" w14:textId="77777777" w:rsidR="001E4877" w:rsidRDefault="001E4877">
            <w:pPr>
              <w:keepNext/>
              <w:keepLines/>
              <w:tabs>
                <w:tab w:val="left" w:pos="720"/>
                <w:tab w:val="left" w:pos="1440"/>
                <w:tab w:val="left" w:pos="2160"/>
                <w:tab w:val="left" w:pos="2880"/>
                <w:tab w:val="left" w:pos="3600"/>
                <w:tab w:val="left" w:pos="4320"/>
                <w:tab w:val="left" w:pos="5040"/>
                <w:tab w:val="left" w:pos="5760"/>
                <w:tab w:val="left" w:pos="6480"/>
                <w:tab w:val="left" w:pos="6891"/>
              </w:tabs>
              <w:rPr>
                <w:b/>
                <w:lang w:val="en-GB"/>
              </w:rPr>
            </w:pPr>
            <w:r>
              <w:rPr>
                <w:b/>
                <w:lang w:val="en-GB"/>
              </w:rPr>
              <w:t>Systemorganklasse</w:t>
            </w:r>
          </w:p>
        </w:tc>
        <w:tc>
          <w:tcPr>
            <w:tcW w:w="1330" w:type="pct"/>
            <w:tcBorders>
              <w:top w:val="single" w:sz="4" w:space="0" w:color="auto"/>
              <w:left w:val="single" w:sz="4" w:space="0" w:color="auto"/>
              <w:bottom w:val="single" w:sz="4" w:space="0" w:color="auto"/>
              <w:right w:val="single" w:sz="4" w:space="0" w:color="auto"/>
            </w:tcBorders>
            <w:hideMark/>
          </w:tcPr>
          <w:p w14:paraId="537CA4FA" w14:textId="77777777" w:rsidR="001E4877" w:rsidRDefault="001E4877">
            <w:pPr>
              <w:keepNext/>
              <w:keepLines/>
              <w:tabs>
                <w:tab w:val="left" w:pos="720"/>
                <w:tab w:val="left" w:pos="1440"/>
                <w:tab w:val="left" w:pos="2160"/>
                <w:tab w:val="left" w:pos="2880"/>
                <w:tab w:val="left" w:pos="3600"/>
                <w:tab w:val="left" w:pos="4320"/>
                <w:tab w:val="left" w:pos="5040"/>
                <w:tab w:val="left" w:pos="5760"/>
                <w:tab w:val="left" w:pos="6480"/>
                <w:tab w:val="left" w:pos="6891"/>
              </w:tabs>
              <w:rPr>
                <w:b/>
                <w:lang w:val="en-GB"/>
              </w:rPr>
            </w:pPr>
            <w:r>
              <w:rPr>
                <w:b/>
                <w:lang w:val="en-GB"/>
              </w:rPr>
              <w:t>Hyppighed</w:t>
            </w:r>
          </w:p>
        </w:tc>
        <w:tc>
          <w:tcPr>
            <w:tcW w:w="2421" w:type="pct"/>
            <w:tcBorders>
              <w:top w:val="single" w:sz="4" w:space="0" w:color="auto"/>
              <w:left w:val="single" w:sz="4" w:space="0" w:color="auto"/>
              <w:bottom w:val="single" w:sz="4" w:space="0" w:color="auto"/>
              <w:right w:val="single" w:sz="4" w:space="0" w:color="auto"/>
            </w:tcBorders>
            <w:hideMark/>
          </w:tcPr>
          <w:p w14:paraId="6FD1EA93" w14:textId="77777777" w:rsidR="001E4877" w:rsidRDefault="001E4877">
            <w:pPr>
              <w:keepNext/>
              <w:keepLines/>
              <w:tabs>
                <w:tab w:val="left" w:pos="720"/>
                <w:tab w:val="left" w:pos="1440"/>
                <w:tab w:val="left" w:pos="2160"/>
                <w:tab w:val="left" w:pos="2880"/>
                <w:tab w:val="left" w:pos="3600"/>
                <w:tab w:val="left" w:pos="4320"/>
                <w:tab w:val="left" w:pos="5040"/>
                <w:tab w:val="left" w:pos="5760"/>
                <w:tab w:val="left" w:pos="6480"/>
                <w:tab w:val="left" w:pos="6891"/>
              </w:tabs>
              <w:rPr>
                <w:b/>
                <w:lang w:val="en-GB"/>
              </w:rPr>
            </w:pPr>
            <w:r>
              <w:rPr>
                <w:b/>
                <w:lang w:val="en-GB"/>
              </w:rPr>
              <w:t>Bivirkning</w:t>
            </w:r>
          </w:p>
        </w:tc>
      </w:tr>
      <w:tr w:rsidR="001E4877" w14:paraId="3551B746" w14:textId="77777777" w:rsidTr="001E4877">
        <w:trPr>
          <w:tblHeader/>
        </w:trPr>
        <w:tc>
          <w:tcPr>
            <w:tcW w:w="1250" w:type="pct"/>
            <w:tcBorders>
              <w:top w:val="single" w:sz="4" w:space="0" w:color="auto"/>
              <w:left w:val="single" w:sz="4" w:space="0" w:color="auto"/>
              <w:bottom w:val="single" w:sz="4" w:space="0" w:color="auto"/>
              <w:right w:val="single" w:sz="4" w:space="0" w:color="auto"/>
            </w:tcBorders>
            <w:hideMark/>
          </w:tcPr>
          <w:p w14:paraId="06438802" w14:textId="77777777" w:rsidR="001E4877" w:rsidRDefault="001E4877">
            <w:pPr>
              <w:pStyle w:val="Default"/>
              <w:rPr>
                <w:bCs/>
                <w:sz w:val="22"/>
                <w:szCs w:val="22"/>
                <w:lang w:eastAsia="en-US"/>
              </w:rPr>
            </w:pPr>
            <w:r>
              <w:rPr>
                <w:bCs/>
                <w:sz w:val="22"/>
                <w:szCs w:val="22"/>
              </w:rPr>
              <w:t>Øjne</w:t>
            </w:r>
          </w:p>
        </w:tc>
        <w:tc>
          <w:tcPr>
            <w:tcW w:w="1330" w:type="pct"/>
            <w:tcBorders>
              <w:top w:val="single" w:sz="4" w:space="0" w:color="auto"/>
              <w:left w:val="single" w:sz="4" w:space="0" w:color="auto"/>
              <w:bottom w:val="single" w:sz="4" w:space="0" w:color="auto"/>
              <w:right w:val="single" w:sz="4" w:space="0" w:color="auto"/>
            </w:tcBorders>
            <w:hideMark/>
          </w:tcPr>
          <w:p w14:paraId="67C55ACA" w14:textId="77777777" w:rsidR="001E4877" w:rsidRDefault="001E4877">
            <w:pPr>
              <w:pStyle w:val="Default"/>
              <w:rPr>
                <w:b/>
                <w:sz w:val="22"/>
                <w:szCs w:val="22"/>
                <w:lang w:val="da-DK" w:eastAsia="en-US"/>
              </w:rPr>
            </w:pPr>
            <w:r>
              <w:rPr>
                <w:sz w:val="22"/>
                <w:szCs w:val="22"/>
                <w:lang w:val="da-DK"/>
              </w:rPr>
              <w:t>Ikke kendt (kan ikke estimeres ud fra forhåndenværende data)*</w:t>
            </w:r>
          </w:p>
        </w:tc>
        <w:tc>
          <w:tcPr>
            <w:tcW w:w="2421" w:type="pct"/>
            <w:tcBorders>
              <w:top w:val="single" w:sz="4" w:space="0" w:color="auto"/>
              <w:left w:val="single" w:sz="4" w:space="0" w:color="auto"/>
              <w:bottom w:val="single" w:sz="4" w:space="0" w:color="auto"/>
              <w:right w:val="single" w:sz="4" w:space="0" w:color="auto"/>
            </w:tcBorders>
            <w:hideMark/>
          </w:tcPr>
          <w:p w14:paraId="1938DBB7" w14:textId="77777777" w:rsidR="001E4877" w:rsidRDefault="001E4877">
            <w:pPr>
              <w:pStyle w:val="Default"/>
              <w:rPr>
                <w:b/>
                <w:sz w:val="22"/>
                <w:szCs w:val="22"/>
                <w:lang w:eastAsia="en-US"/>
              </w:rPr>
            </w:pPr>
            <w:r>
              <w:rPr>
                <w:sz w:val="22"/>
                <w:szCs w:val="22"/>
              </w:rPr>
              <w:t xml:space="preserve">Øjenlågsødem </w:t>
            </w:r>
          </w:p>
        </w:tc>
      </w:tr>
      <w:tr w:rsidR="001E4877" w14:paraId="364619AD" w14:textId="77777777" w:rsidTr="001E4877">
        <w:trPr>
          <w:tblHeader/>
        </w:trPr>
        <w:tc>
          <w:tcPr>
            <w:tcW w:w="1250" w:type="pct"/>
            <w:tcBorders>
              <w:top w:val="single" w:sz="4" w:space="0" w:color="auto"/>
              <w:left w:val="single" w:sz="4" w:space="0" w:color="auto"/>
              <w:bottom w:val="single" w:sz="4" w:space="0" w:color="auto"/>
              <w:right w:val="single" w:sz="4" w:space="0" w:color="auto"/>
            </w:tcBorders>
            <w:hideMark/>
          </w:tcPr>
          <w:p w14:paraId="1AF0D053" w14:textId="77777777" w:rsidR="001E4877" w:rsidRDefault="001E4877">
            <w:pPr>
              <w:pStyle w:val="Default"/>
              <w:rPr>
                <w:b/>
                <w:sz w:val="22"/>
                <w:szCs w:val="22"/>
                <w:lang w:eastAsia="en-US"/>
              </w:rPr>
            </w:pPr>
            <w:r>
              <w:rPr>
                <w:sz w:val="22"/>
                <w:szCs w:val="22"/>
              </w:rPr>
              <w:t>Immunsystemet</w:t>
            </w:r>
          </w:p>
        </w:tc>
        <w:tc>
          <w:tcPr>
            <w:tcW w:w="1330" w:type="pct"/>
            <w:tcBorders>
              <w:top w:val="single" w:sz="4" w:space="0" w:color="auto"/>
              <w:left w:val="single" w:sz="4" w:space="0" w:color="auto"/>
              <w:bottom w:val="single" w:sz="4" w:space="0" w:color="auto"/>
              <w:right w:val="single" w:sz="4" w:space="0" w:color="auto"/>
            </w:tcBorders>
            <w:hideMark/>
          </w:tcPr>
          <w:p w14:paraId="2374B61A" w14:textId="77777777" w:rsidR="001E4877" w:rsidRDefault="001E4877">
            <w:pPr>
              <w:pStyle w:val="Default"/>
              <w:rPr>
                <w:b/>
                <w:sz w:val="22"/>
                <w:szCs w:val="22"/>
                <w:lang w:val="da-DK" w:eastAsia="en-US"/>
              </w:rPr>
            </w:pPr>
            <w:r>
              <w:rPr>
                <w:sz w:val="22"/>
                <w:szCs w:val="22"/>
                <w:lang w:val="da-DK"/>
              </w:rPr>
              <w:t>Ikke kendt (kan ikke estimeres ud fra forhåndenværende data)*</w:t>
            </w:r>
          </w:p>
        </w:tc>
        <w:tc>
          <w:tcPr>
            <w:tcW w:w="2421" w:type="pct"/>
            <w:tcBorders>
              <w:top w:val="single" w:sz="4" w:space="0" w:color="auto"/>
              <w:left w:val="single" w:sz="4" w:space="0" w:color="auto"/>
              <w:bottom w:val="single" w:sz="4" w:space="0" w:color="auto"/>
              <w:right w:val="single" w:sz="4" w:space="0" w:color="auto"/>
            </w:tcBorders>
            <w:hideMark/>
          </w:tcPr>
          <w:p w14:paraId="4F7AD4E4" w14:textId="77777777" w:rsidR="001E4877" w:rsidRDefault="001E4877">
            <w:pPr>
              <w:pStyle w:val="Default"/>
              <w:rPr>
                <w:b/>
                <w:sz w:val="22"/>
                <w:szCs w:val="22"/>
                <w:lang w:eastAsia="en-US"/>
              </w:rPr>
            </w:pPr>
            <w:r>
              <w:rPr>
                <w:sz w:val="22"/>
                <w:szCs w:val="22"/>
              </w:rPr>
              <w:t xml:space="preserve">Anafylaktisk reaktion </w:t>
            </w:r>
          </w:p>
        </w:tc>
      </w:tr>
      <w:tr w:rsidR="001E4877" w14:paraId="707D2810" w14:textId="77777777" w:rsidTr="001E4877">
        <w:trPr>
          <w:tblHeader/>
        </w:trPr>
        <w:tc>
          <w:tcPr>
            <w:tcW w:w="1250" w:type="pct"/>
            <w:tcBorders>
              <w:top w:val="single" w:sz="4" w:space="0" w:color="auto"/>
              <w:left w:val="single" w:sz="4" w:space="0" w:color="auto"/>
              <w:bottom w:val="single" w:sz="4" w:space="0" w:color="auto"/>
              <w:right w:val="single" w:sz="4" w:space="0" w:color="auto"/>
            </w:tcBorders>
            <w:hideMark/>
          </w:tcPr>
          <w:p w14:paraId="3A53DC70" w14:textId="77777777" w:rsidR="001E4877" w:rsidRDefault="001E4877">
            <w:pPr>
              <w:keepNext/>
              <w:keepLines/>
              <w:tabs>
                <w:tab w:val="left" w:pos="720"/>
                <w:tab w:val="left" w:pos="1440"/>
                <w:tab w:val="left" w:pos="2160"/>
                <w:tab w:val="left" w:pos="2880"/>
                <w:tab w:val="left" w:pos="3600"/>
                <w:tab w:val="left" w:pos="4320"/>
                <w:tab w:val="left" w:pos="5040"/>
                <w:tab w:val="left" w:pos="5760"/>
                <w:tab w:val="left" w:pos="6480"/>
                <w:tab w:val="left" w:pos="6891"/>
              </w:tabs>
              <w:rPr>
                <w:bCs/>
                <w:sz w:val="22"/>
              </w:rPr>
            </w:pPr>
            <w:r>
              <w:rPr>
                <w:bCs/>
              </w:rPr>
              <w:t>Luftveje, thorax, og mediastinum</w:t>
            </w:r>
          </w:p>
        </w:tc>
        <w:tc>
          <w:tcPr>
            <w:tcW w:w="1330" w:type="pct"/>
            <w:tcBorders>
              <w:top w:val="single" w:sz="4" w:space="0" w:color="auto"/>
              <w:left w:val="single" w:sz="4" w:space="0" w:color="auto"/>
              <w:bottom w:val="single" w:sz="4" w:space="0" w:color="auto"/>
              <w:right w:val="single" w:sz="4" w:space="0" w:color="auto"/>
            </w:tcBorders>
            <w:hideMark/>
          </w:tcPr>
          <w:p w14:paraId="3E3C7F51" w14:textId="77777777" w:rsidR="001E4877" w:rsidRDefault="001E4877">
            <w:pPr>
              <w:pStyle w:val="Default"/>
              <w:rPr>
                <w:b/>
                <w:sz w:val="22"/>
                <w:szCs w:val="22"/>
                <w:lang w:val="da-DK" w:eastAsia="en-US"/>
              </w:rPr>
            </w:pPr>
            <w:r>
              <w:rPr>
                <w:sz w:val="22"/>
                <w:szCs w:val="22"/>
                <w:lang w:val="da-DK"/>
              </w:rPr>
              <w:t>Ikke kendt (kan ikke estimeres ud fra forhåndenværende data)*</w:t>
            </w:r>
          </w:p>
        </w:tc>
        <w:tc>
          <w:tcPr>
            <w:tcW w:w="2421" w:type="pct"/>
            <w:tcBorders>
              <w:top w:val="single" w:sz="4" w:space="0" w:color="auto"/>
              <w:left w:val="single" w:sz="4" w:space="0" w:color="auto"/>
              <w:bottom w:val="single" w:sz="4" w:space="0" w:color="auto"/>
              <w:right w:val="single" w:sz="4" w:space="0" w:color="auto"/>
            </w:tcBorders>
            <w:hideMark/>
          </w:tcPr>
          <w:p w14:paraId="31ED1CF8" w14:textId="77777777" w:rsidR="001E4877" w:rsidRDefault="001E4877">
            <w:pPr>
              <w:pStyle w:val="Default"/>
              <w:rPr>
                <w:b/>
                <w:sz w:val="22"/>
                <w:szCs w:val="22"/>
                <w:lang w:eastAsia="en-US"/>
              </w:rPr>
            </w:pPr>
            <w:r>
              <w:rPr>
                <w:sz w:val="22"/>
                <w:szCs w:val="22"/>
              </w:rPr>
              <w:t xml:space="preserve">Tæthed i halsen, dyspnø </w:t>
            </w:r>
          </w:p>
        </w:tc>
      </w:tr>
      <w:tr w:rsidR="001E4877" w14:paraId="687FADF6" w14:textId="77777777" w:rsidTr="001E4877">
        <w:trPr>
          <w:tblHeader/>
        </w:trPr>
        <w:tc>
          <w:tcPr>
            <w:tcW w:w="1250" w:type="pct"/>
            <w:vMerge w:val="restart"/>
            <w:tcBorders>
              <w:top w:val="single" w:sz="4" w:space="0" w:color="auto"/>
              <w:left w:val="single" w:sz="4" w:space="0" w:color="auto"/>
              <w:bottom w:val="single" w:sz="4" w:space="0" w:color="auto"/>
              <w:right w:val="single" w:sz="4" w:space="0" w:color="auto"/>
            </w:tcBorders>
            <w:hideMark/>
          </w:tcPr>
          <w:p w14:paraId="0C76E314" w14:textId="77777777" w:rsidR="001E4877" w:rsidRDefault="001E4877">
            <w:pPr>
              <w:keepNext/>
              <w:keepLines/>
              <w:tabs>
                <w:tab w:val="left" w:pos="720"/>
                <w:tab w:val="left" w:pos="1440"/>
                <w:tab w:val="left" w:pos="2160"/>
                <w:tab w:val="left" w:pos="2880"/>
                <w:tab w:val="left" w:pos="3600"/>
                <w:tab w:val="left" w:pos="4320"/>
                <w:tab w:val="left" w:pos="5040"/>
                <w:tab w:val="left" w:pos="5760"/>
                <w:tab w:val="left" w:pos="6480"/>
                <w:tab w:val="left" w:pos="6891"/>
              </w:tabs>
              <w:rPr>
                <w:bCs/>
                <w:sz w:val="22"/>
              </w:rPr>
            </w:pPr>
            <w:r>
              <w:rPr>
                <w:bCs/>
              </w:rPr>
              <w:t>Hud og subkutane væv</w:t>
            </w:r>
          </w:p>
        </w:tc>
        <w:tc>
          <w:tcPr>
            <w:tcW w:w="1330" w:type="pct"/>
            <w:tcBorders>
              <w:top w:val="single" w:sz="4" w:space="0" w:color="auto"/>
              <w:left w:val="single" w:sz="4" w:space="0" w:color="auto"/>
              <w:bottom w:val="single" w:sz="4" w:space="0" w:color="auto"/>
              <w:right w:val="single" w:sz="4" w:space="0" w:color="auto"/>
            </w:tcBorders>
            <w:hideMark/>
          </w:tcPr>
          <w:p w14:paraId="47F23415" w14:textId="77777777" w:rsidR="001E4877" w:rsidRDefault="001E4877">
            <w:pPr>
              <w:pStyle w:val="Default"/>
              <w:rPr>
                <w:b/>
                <w:sz w:val="22"/>
                <w:szCs w:val="22"/>
                <w:lang w:eastAsia="en-US"/>
              </w:rPr>
            </w:pPr>
            <w:r>
              <w:rPr>
                <w:sz w:val="22"/>
                <w:szCs w:val="22"/>
                <w:lang w:val="da-DK"/>
              </w:rPr>
              <w:t>Almindelig (≥1/100 til &lt;1/10)</w:t>
            </w:r>
          </w:p>
        </w:tc>
        <w:tc>
          <w:tcPr>
            <w:tcW w:w="2421" w:type="pct"/>
            <w:tcBorders>
              <w:top w:val="single" w:sz="4" w:space="0" w:color="auto"/>
              <w:left w:val="single" w:sz="4" w:space="0" w:color="auto"/>
              <w:bottom w:val="single" w:sz="4" w:space="0" w:color="auto"/>
              <w:right w:val="single" w:sz="4" w:space="0" w:color="auto"/>
            </w:tcBorders>
            <w:hideMark/>
          </w:tcPr>
          <w:p w14:paraId="31C4DDD9" w14:textId="77777777" w:rsidR="001E4877" w:rsidRDefault="001E4877">
            <w:pPr>
              <w:pStyle w:val="Default"/>
              <w:rPr>
                <w:b/>
                <w:sz w:val="22"/>
                <w:szCs w:val="22"/>
                <w:lang w:val="da-DK" w:eastAsia="en-US"/>
              </w:rPr>
            </w:pPr>
            <w:r>
              <w:rPr>
                <w:sz w:val="22"/>
                <w:szCs w:val="22"/>
                <w:lang w:val="da-DK"/>
              </w:rPr>
              <w:t>Tør hud, irritativ kontaktdermatitis, hudirritation, brændende fornemmelse i huden, erytem, afskalning af huden (exfoliation)</w:t>
            </w:r>
          </w:p>
        </w:tc>
      </w:tr>
      <w:tr w:rsidR="001E4877" w14:paraId="6549111D" w14:textId="77777777" w:rsidTr="001E487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1B84C" w14:textId="77777777" w:rsidR="001E4877" w:rsidRPr="001E4877" w:rsidRDefault="001E4877">
            <w:pPr>
              <w:rPr>
                <w:bCs/>
                <w:sz w:val="22"/>
                <w:lang w:val="da-DK"/>
              </w:rPr>
            </w:pPr>
          </w:p>
        </w:tc>
        <w:tc>
          <w:tcPr>
            <w:tcW w:w="1330" w:type="pct"/>
            <w:tcBorders>
              <w:top w:val="single" w:sz="4" w:space="0" w:color="auto"/>
              <w:left w:val="single" w:sz="4" w:space="0" w:color="auto"/>
              <w:bottom w:val="single" w:sz="4" w:space="0" w:color="auto"/>
              <w:right w:val="single" w:sz="4" w:space="0" w:color="auto"/>
            </w:tcBorders>
            <w:hideMark/>
          </w:tcPr>
          <w:p w14:paraId="4547EDBD" w14:textId="77777777" w:rsidR="001E4877" w:rsidRDefault="001E4877">
            <w:pPr>
              <w:pStyle w:val="Default"/>
              <w:rPr>
                <w:b/>
                <w:sz w:val="22"/>
                <w:szCs w:val="22"/>
                <w:lang w:eastAsia="en-US"/>
              </w:rPr>
            </w:pPr>
            <w:r>
              <w:rPr>
                <w:sz w:val="22"/>
                <w:szCs w:val="22"/>
                <w:lang w:val="da-DK"/>
              </w:rPr>
              <w:t>Ikke almindelig (≥1/1 000 til &lt;1/100)</w:t>
            </w:r>
          </w:p>
        </w:tc>
        <w:tc>
          <w:tcPr>
            <w:tcW w:w="2421" w:type="pct"/>
            <w:tcBorders>
              <w:top w:val="single" w:sz="4" w:space="0" w:color="auto"/>
              <w:left w:val="single" w:sz="4" w:space="0" w:color="auto"/>
              <w:bottom w:val="single" w:sz="4" w:space="0" w:color="auto"/>
              <w:right w:val="single" w:sz="4" w:space="0" w:color="auto"/>
            </w:tcBorders>
            <w:hideMark/>
          </w:tcPr>
          <w:p w14:paraId="737832FD" w14:textId="77777777" w:rsidR="001E4877" w:rsidRDefault="001E4877">
            <w:pPr>
              <w:pStyle w:val="Default"/>
              <w:rPr>
                <w:b/>
                <w:sz w:val="22"/>
                <w:szCs w:val="22"/>
                <w:lang w:eastAsia="en-US"/>
              </w:rPr>
            </w:pPr>
            <w:r>
              <w:rPr>
                <w:sz w:val="22"/>
                <w:szCs w:val="22"/>
              </w:rPr>
              <w:t xml:space="preserve">Pruritus, solskoldning </w:t>
            </w:r>
          </w:p>
        </w:tc>
      </w:tr>
      <w:tr w:rsidR="001E4877" w14:paraId="7C600ED0" w14:textId="77777777" w:rsidTr="001E487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27375" w14:textId="77777777" w:rsidR="001E4877" w:rsidRDefault="001E4877">
            <w:pPr>
              <w:rPr>
                <w:bCs/>
                <w:sz w:val="22"/>
              </w:rPr>
            </w:pPr>
          </w:p>
        </w:tc>
        <w:tc>
          <w:tcPr>
            <w:tcW w:w="1330" w:type="pct"/>
            <w:tcBorders>
              <w:top w:val="single" w:sz="4" w:space="0" w:color="auto"/>
              <w:left w:val="single" w:sz="4" w:space="0" w:color="auto"/>
              <w:bottom w:val="single" w:sz="4" w:space="0" w:color="auto"/>
              <w:right w:val="single" w:sz="4" w:space="0" w:color="auto"/>
            </w:tcBorders>
            <w:hideMark/>
          </w:tcPr>
          <w:p w14:paraId="27B414E4" w14:textId="77777777" w:rsidR="001E4877" w:rsidRDefault="001E4877">
            <w:pPr>
              <w:pStyle w:val="Default"/>
              <w:rPr>
                <w:b/>
                <w:sz w:val="22"/>
                <w:szCs w:val="22"/>
                <w:lang w:val="da-DK" w:eastAsia="en-US"/>
              </w:rPr>
            </w:pPr>
            <w:r>
              <w:rPr>
                <w:sz w:val="22"/>
                <w:szCs w:val="22"/>
                <w:lang w:val="da-DK"/>
              </w:rPr>
              <w:t>Ikke kendt (kan ikke estimeres ud fra forhåndenværende data)*</w:t>
            </w:r>
          </w:p>
        </w:tc>
        <w:tc>
          <w:tcPr>
            <w:tcW w:w="2421" w:type="pct"/>
            <w:tcBorders>
              <w:top w:val="single" w:sz="4" w:space="0" w:color="auto"/>
              <w:left w:val="single" w:sz="4" w:space="0" w:color="auto"/>
              <w:bottom w:val="single" w:sz="4" w:space="0" w:color="auto"/>
              <w:right w:val="single" w:sz="4" w:space="0" w:color="auto"/>
            </w:tcBorders>
            <w:hideMark/>
          </w:tcPr>
          <w:p w14:paraId="429229F2" w14:textId="77777777" w:rsidR="001E4877" w:rsidRDefault="001E4877">
            <w:pPr>
              <w:pStyle w:val="Default"/>
              <w:rPr>
                <w:b/>
                <w:sz w:val="22"/>
                <w:szCs w:val="22"/>
                <w:lang w:val="da-DK" w:eastAsia="en-US"/>
              </w:rPr>
            </w:pPr>
            <w:r>
              <w:rPr>
                <w:sz w:val="22"/>
                <w:szCs w:val="22"/>
                <w:lang w:val="da-DK"/>
              </w:rPr>
              <w:t>Allergisk kontaktdermatitis, opsvulmet ansigt, smerte i huden (stikkende smerte), blærer (vesikler), hudmisfarvning (hyperpigmentering eller hypopigmentering), urticaria, forbrænding på applikationsstedet**</w:t>
            </w:r>
          </w:p>
        </w:tc>
      </w:tr>
    </w:tbl>
    <w:p w14:paraId="0C2542F8" w14:textId="77777777" w:rsidR="001E4877" w:rsidRDefault="001E4877" w:rsidP="001E4877">
      <w:pPr>
        <w:pStyle w:val="Default"/>
        <w:rPr>
          <w:sz w:val="20"/>
          <w:szCs w:val="20"/>
          <w:lang w:val="da-DK"/>
        </w:rPr>
      </w:pPr>
      <w:r>
        <w:rPr>
          <w:sz w:val="20"/>
          <w:szCs w:val="20"/>
          <w:lang w:val="da-DK"/>
        </w:rPr>
        <w:t xml:space="preserve">*Postmarketing overvågningsdata </w:t>
      </w:r>
    </w:p>
    <w:p w14:paraId="0C86CBE2" w14:textId="77777777" w:rsidR="001E4877" w:rsidRDefault="001E4877" w:rsidP="001E4877">
      <w:pPr>
        <w:autoSpaceDE w:val="0"/>
        <w:autoSpaceDN w:val="0"/>
        <w:adjustRightInd w:val="0"/>
        <w:rPr>
          <w:sz w:val="20"/>
        </w:rPr>
      </w:pPr>
      <w:r>
        <w:rPr>
          <w:sz w:val="20"/>
        </w:rPr>
        <w:t>**De fleste tilfælde af “forbrændinger på applikationsstedet” var overfladiske, men der er set tilfælde med andengradsforbrændinger eller alvorlige forbrændinger.</w:t>
      </w:r>
    </w:p>
    <w:p w14:paraId="2A4861E3" w14:textId="77777777" w:rsidR="001E4877" w:rsidRPr="001E4877" w:rsidRDefault="001E4877" w:rsidP="001E4877">
      <w:pPr>
        <w:ind w:left="851"/>
        <w:rPr>
          <w:noProof/>
          <w:sz w:val="24"/>
          <w:szCs w:val="24"/>
          <w:u w:val="single"/>
        </w:rPr>
      </w:pPr>
    </w:p>
    <w:p w14:paraId="35E01190" w14:textId="77777777" w:rsidR="001E4877" w:rsidRPr="001E4877" w:rsidRDefault="001E4877" w:rsidP="001E4877">
      <w:pPr>
        <w:ind w:left="851"/>
        <w:rPr>
          <w:sz w:val="24"/>
          <w:szCs w:val="24"/>
        </w:rPr>
      </w:pPr>
      <w:r w:rsidRPr="001E4877">
        <w:rPr>
          <w:sz w:val="24"/>
          <w:szCs w:val="24"/>
        </w:rPr>
        <w:t>Hvis der opstår hudirritation efter påføring af dette lægemiddel er intensiteten generelt mild eller moderat, med lokale tolerabilitetstegn og -symptomer (erytem, tørhed, afskalning, brændende fornemmelse og smerte i huden (stikkende smerte)), der topper under den første uge og derefter aftager spontant.</w:t>
      </w:r>
    </w:p>
    <w:p w14:paraId="700EA1D1" w14:textId="77777777" w:rsidR="001E4877" w:rsidRPr="001E4877" w:rsidRDefault="001E4877" w:rsidP="001E4877">
      <w:pPr>
        <w:ind w:left="851"/>
        <w:rPr>
          <w:sz w:val="24"/>
          <w:szCs w:val="24"/>
        </w:rPr>
      </w:pPr>
    </w:p>
    <w:p w14:paraId="7C62CD54" w14:textId="77777777" w:rsidR="001E4877" w:rsidRPr="001E4877" w:rsidRDefault="001E4877" w:rsidP="001E4877">
      <w:pPr>
        <w:keepNext/>
        <w:autoSpaceDE w:val="0"/>
        <w:autoSpaceDN w:val="0"/>
        <w:adjustRightInd w:val="0"/>
        <w:ind w:left="851"/>
        <w:rPr>
          <w:sz w:val="24"/>
          <w:szCs w:val="24"/>
          <w:u w:val="single"/>
        </w:rPr>
      </w:pPr>
      <w:r w:rsidRPr="001E4877">
        <w:rPr>
          <w:sz w:val="24"/>
          <w:szCs w:val="24"/>
          <w:u w:val="single"/>
        </w:rPr>
        <w:t>Indberetning af formodede bivirkninger</w:t>
      </w:r>
    </w:p>
    <w:p w14:paraId="756BF9D6" w14:textId="77777777" w:rsidR="001E4877" w:rsidRPr="001E4877" w:rsidRDefault="001E4877" w:rsidP="001E4877">
      <w:pPr>
        <w:autoSpaceDE w:val="0"/>
        <w:autoSpaceDN w:val="0"/>
        <w:adjustRightInd w:val="0"/>
        <w:ind w:left="851"/>
        <w:rPr>
          <w:sz w:val="24"/>
          <w:szCs w:val="24"/>
        </w:rPr>
      </w:pPr>
      <w:r w:rsidRPr="001E4877">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4A5C7D5A" w14:textId="77777777" w:rsidR="001E4877" w:rsidRPr="001E4877" w:rsidRDefault="001E4877" w:rsidP="001E4877">
      <w:pPr>
        <w:autoSpaceDE w:val="0"/>
        <w:autoSpaceDN w:val="0"/>
        <w:adjustRightInd w:val="0"/>
        <w:ind w:left="851"/>
        <w:rPr>
          <w:sz w:val="24"/>
          <w:szCs w:val="24"/>
        </w:rPr>
      </w:pPr>
    </w:p>
    <w:p w14:paraId="5941D437" w14:textId="77777777" w:rsidR="001E4877" w:rsidRPr="001E4877" w:rsidRDefault="001E4877" w:rsidP="001E4877">
      <w:pPr>
        <w:autoSpaceDE w:val="0"/>
        <w:autoSpaceDN w:val="0"/>
        <w:adjustRightInd w:val="0"/>
        <w:ind w:left="851"/>
        <w:rPr>
          <w:sz w:val="24"/>
          <w:szCs w:val="24"/>
        </w:rPr>
      </w:pPr>
      <w:r w:rsidRPr="001E4877">
        <w:rPr>
          <w:sz w:val="24"/>
          <w:szCs w:val="24"/>
        </w:rPr>
        <w:t>Lægemiddelstyrelsen</w:t>
      </w:r>
    </w:p>
    <w:p w14:paraId="4D7718BF" w14:textId="77777777" w:rsidR="001E4877" w:rsidRPr="001E4877" w:rsidRDefault="001E4877" w:rsidP="001E4877">
      <w:pPr>
        <w:autoSpaceDE w:val="0"/>
        <w:autoSpaceDN w:val="0"/>
        <w:adjustRightInd w:val="0"/>
        <w:ind w:left="851"/>
        <w:rPr>
          <w:sz w:val="24"/>
          <w:szCs w:val="24"/>
        </w:rPr>
      </w:pPr>
      <w:r w:rsidRPr="001E4877">
        <w:rPr>
          <w:sz w:val="24"/>
          <w:szCs w:val="24"/>
        </w:rPr>
        <w:t>Axel Heides Gade 1</w:t>
      </w:r>
    </w:p>
    <w:p w14:paraId="6CFD3E43" w14:textId="77777777" w:rsidR="001E4877" w:rsidRPr="001E4877" w:rsidRDefault="001E4877" w:rsidP="001E4877">
      <w:pPr>
        <w:autoSpaceDE w:val="0"/>
        <w:autoSpaceDN w:val="0"/>
        <w:adjustRightInd w:val="0"/>
        <w:ind w:left="851"/>
        <w:rPr>
          <w:sz w:val="24"/>
          <w:szCs w:val="24"/>
        </w:rPr>
      </w:pPr>
      <w:r w:rsidRPr="001E4877">
        <w:rPr>
          <w:sz w:val="24"/>
          <w:szCs w:val="24"/>
        </w:rPr>
        <w:t>DK-2300 København S</w:t>
      </w:r>
    </w:p>
    <w:p w14:paraId="4A4A793D" w14:textId="497E95E0" w:rsidR="001E4877" w:rsidRPr="001E4877" w:rsidRDefault="001E4877" w:rsidP="001E4877">
      <w:pPr>
        <w:autoSpaceDE w:val="0"/>
        <w:autoSpaceDN w:val="0"/>
        <w:adjustRightInd w:val="0"/>
        <w:ind w:left="851"/>
        <w:rPr>
          <w:sz w:val="24"/>
          <w:szCs w:val="24"/>
        </w:rPr>
      </w:pPr>
      <w:r w:rsidRPr="001E4877">
        <w:rPr>
          <w:sz w:val="24"/>
          <w:szCs w:val="24"/>
        </w:rPr>
        <w:t>Websted: www.meldenbivirkning.dk</w:t>
      </w:r>
    </w:p>
    <w:p w14:paraId="676DF982" w14:textId="77777777" w:rsidR="009260DE" w:rsidRPr="001E4877" w:rsidRDefault="009260DE" w:rsidP="001E4877">
      <w:pPr>
        <w:tabs>
          <w:tab w:val="left" w:pos="851"/>
        </w:tabs>
        <w:ind w:left="851"/>
        <w:rPr>
          <w:sz w:val="24"/>
          <w:szCs w:val="24"/>
        </w:rPr>
      </w:pPr>
    </w:p>
    <w:p w14:paraId="0109E4E5"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44CB27C" w14:textId="77777777" w:rsidR="001E4877" w:rsidRPr="001E4877" w:rsidRDefault="001E4877" w:rsidP="001E4877">
      <w:pPr>
        <w:tabs>
          <w:tab w:val="left" w:pos="851"/>
        </w:tabs>
        <w:ind w:left="851"/>
        <w:rPr>
          <w:sz w:val="24"/>
          <w:szCs w:val="24"/>
        </w:rPr>
      </w:pPr>
      <w:r w:rsidRPr="001E4877">
        <w:rPr>
          <w:sz w:val="24"/>
          <w:szCs w:val="24"/>
        </w:rPr>
        <w:t>Cutimum er kun beregnet til kutan anvendelse én gang daglig.</w:t>
      </w:r>
    </w:p>
    <w:p w14:paraId="5D67F54B" w14:textId="77777777" w:rsidR="001E4877" w:rsidRPr="001E4877" w:rsidRDefault="001E4877" w:rsidP="001E4877">
      <w:pPr>
        <w:tabs>
          <w:tab w:val="left" w:pos="851"/>
        </w:tabs>
        <w:ind w:left="851"/>
        <w:rPr>
          <w:sz w:val="24"/>
          <w:szCs w:val="24"/>
        </w:rPr>
      </w:pPr>
    </w:p>
    <w:p w14:paraId="783A2B90" w14:textId="77777777" w:rsidR="001E4877" w:rsidRPr="001E4877" w:rsidRDefault="001E4877" w:rsidP="001E4877">
      <w:pPr>
        <w:tabs>
          <w:tab w:val="left" w:pos="851"/>
        </w:tabs>
        <w:ind w:left="851"/>
        <w:rPr>
          <w:sz w:val="24"/>
          <w:szCs w:val="24"/>
        </w:rPr>
      </w:pPr>
      <w:r w:rsidRPr="001E4877">
        <w:rPr>
          <w:sz w:val="24"/>
          <w:szCs w:val="24"/>
        </w:rPr>
        <w:t>I tilfælde af utilsigtet indtagelse, skal passende symptomatiske foranstaltninger iværksættes.</w:t>
      </w:r>
    </w:p>
    <w:p w14:paraId="2ED9D615" w14:textId="77777777" w:rsidR="009260DE" w:rsidRPr="00C84483" w:rsidRDefault="009260DE" w:rsidP="009260DE">
      <w:pPr>
        <w:tabs>
          <w:tab w:val="left" w:pos="851"/>
        </w:tabs>
        <w:ind w:left="851"/>
        <w:rPr>
          <w:sz w:val="24"/>
          <w:szCs w:val="24"/>
        </w:rPr>
      </w:pPr>
    </w:p>
    <w:p w14:paraId="75F6AA2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2E9D7A2" w14:textId="583CFD73" w:rsidR="009260DE" w:rsidRPr="00C84483" w:rsidRDefault="001E4877" w:rsidP="009260DE">
      <w:pPr>
        <w:tabs>
          <w:tab w:val="left" w:pos="851"/>
        </w:tabs>
        <w:ind w:left="851"/>
        <w:rPr>
          <w:sz w:val="24"/>
          <w:szCs w:val="24"/>
        </w:rPr>
      </w:pPr>
      <w:r>
        <w:rPr>
          <w:sz w:val="24"/>
          <w:szCs w:val="24"/>
        </w:rPr>
        <w:t>B</w:t>
      </w:r>
    </w:p>
    <w:p w14:paraId="3002304E" w14:textId="77777777" w:rsidR="009260DE" w:rsidRPr="00C84483" w:rsidRDefault="009260DE" w:rsidP="009260DE">
      <w:pPr>
        <w:tabs>
          <w:tab w:val="left" w:pos="851"/>
        </w:tabs>
        <w:ind w:left="851"/>
        <w:rPr>
          <w:sz w:val="24"/>
          <w:szCs w:val="24"/>
        </w:rPr>
      </w:pPr>
    </w:p>
    <w:p w14:paraId="5F03DAA1" w14:textId="77777777" w:rsidR="009260DE" w:rsidRPr="00C84483" w:rsidRDefault="009260DE" w:rsidP="009260DE">
      <w:pPr>
        <w:tabs>
          <w:tab w:val="left" w:pos="851"/>
        </w:tabs>
        <w:ind w:left="851"/>
        <w:rPr>
          <w:sz w:val="24"/>
          <w:szCs w:val="24"/>
        </w:rPr>
      </w:pPr>
    </w:p>
    <w:p w14:paraId="31E73878"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E6E0F3D" w14:textId="77777777" w:rsidR="009260DE" w:rsidRPr="00C84483" w:rsidRDefault="009260DE" w:rsidP="009260DE">
      <w:pPr>
        <w:tabs>
          <w:tab w:val="left" w:pos="851"/>
        </w:tabs>
        <w:ind w:left="851"/>
        <w:rPr>
          <w:sz w:val="24"/>
          <w:szCs w:val="24"/>
        </w:rPr>
      </w:pPr>
    </w:p>
    <w:p w14:paraId="2F4B611E"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A1C116B" w14:textId="77777777" w:rsidR="000E6195" w:rsidRPr="000E6195" w:rsidRDefault="000E6195" w:rsidP="000E6195">
      <w:pPr>
        <w:ind w:left="851"/>
        <w:rPr>
          <w:sz w:val="24"/>
          <w:szCs w:val="24"/>
        </w:rPr>
      </w:pPr>
      <w:r w:rsidRPr="000E6195">
        <w:rPr>
          <w:sz w:val="24"/>
          <w:szCs w:val="24"/>
        </w:rPr>
        <w:t>Farmakoterapeutisk klassifikation: Midler mod akne til udvortes brug. Retinoider til udvortes brug mod akne, ATC-kode: D10AD53.</w:t>
      </w:r>
    </w:p>
    <w:p w14:paraId="61D5187A" w14:textId="77777777" w:rsidR="000E6195" w:rsidRPr="000E6195" w:rsidRDefault="000E6195" w:rsidP="000E6195">
      <w:pPr>
        <w:suppressAutoHyphens/>
        <w:ind w:left="851"/>
        <w:rPr>
          <w:sz w:val="24"/>
          <w:szCs w:val="24"/>
        </w:rPr>
      </w:pPr>
    </w:p>
    <w:p w14:paraId="4718DBA8" w14:textId="77777777" w:rsidR="000E6195" w:rsidRPr="000E6195" w:rsidRDefault="000E6195" w:rsidP="000E6195">
      <w:pPr>
        <w:keepNext/>
        <w:suppressAutoHyphens/>
        <w:ind w:left="851"/>
        <w:rPr>
          <w:bCs/>
          <w:noProof/>
          <w:sz w:val="24"/>
          <w:szCs w:val="24"/>
          <w:u w:val="single"/>
        </w:rPr>
      </w:pPr>
      <w:r w:rsidRPr="000E6195">
        <w:rPr>
          <w:bCs/>
          <w:noProof/>
          <w:sz w:val="24"/>
          <w:szCs w:val="24"/>
          <w:u w:val="single"/>
        </w:rPr>
        <w:t>Virkningsmekanisme og farmakodynamisk virkning</w:t>
      </w:r>
    </w:p>
    <w:p w14:paraId="1FAFA5FB" w14:textId="77777777" w:rsidR="000E6195" w:rsidRPr="000E6195" w:rsidRDefault="000E6195" w:rsidP="000E6195">
      <w:pPr>
        <w:ind w:left="851"/>
        <w:rPr>
          <w:sz w:val="24"/>
          <w:szCs w:val="24"/>
        </w:rPr>
      </w:pPr>
      <w:r w:rsidRPr="000E6195">
        <w:rPr>
          <w:bCs/>
          <w:noProof/>
          <w:sz w:val="24"/>
          <w:szCs w:val="24"/>
        </w:rPr>
        <w:t xml:space="preserve">Cutimum </w:t>
      </w:r>
      <w:r w:rsidRPr="000E6195">
        <w:rPr>
          <w:sz w:val="24"/>
          <w:szCs w:val="24"/>
        </w:rPr>
        <w:t>kombinerer to aktive stoffer, som virker gennem forskellige, men komplementære, virkningsmekanismer:</w:t>
      </w:r>
    </w:p>
    <w:p w14:paraId="307F61E1" w14:textId="77777777" w:rsidR="000E6195" w:rsidRPr="000E6195" w:rsidRDefault="000E6195" w:rsidP="000E6195">
      <w:pPr>
        <w:suppressAutoHyphens/>
        <w:ind w:left="851"/>
        <w:rPr>
          <w:bCs/>
          <w:noProof/>
          <w:sz w:val="24"/>
          <w:szCs w:val="24"/>
        </w:rPr>
      </w:pPr>
    </w:p>
    <w:p w14:paraId="154DB2B0" w14:textId="77777777" w:rsidR="00DD677F" w:rsidRDefault="000E6195" w:rsidP="000E6195">
      <w:pPr>
        <w:suppressAutoHyphens/>
        <w:ind w:left="1134" w:hanging="283"/>
        <w:rPr>
          <w:i/>
          <w:sz w:val="24"/>
          <w:szCs w:val="24"/>
        </w:rPr>
      </w:pPr>
      <w:r w:rsidRPr="000E6195">
        <w:rPr>
          <w:b/>
          <w:bCs/>
          <w:sz w:val="24"/>
          <w:szCs w:val="24"/>
        </w:rPr>
        <w:t>-</w:t>
      </w:r>
      <w:r w:rsidRPr="000E6195">
        <w:rPr>
          <w:b/>
          <w:bCs/>
          <w:sz w:val="24"/>
          <w:szCs w:val="24"/>
        </w:rPr>
        <w:tab/>
      </w:r>
      <w:r w:rsidRPr="000E6195">
        <w:rPr>
          <w:i/>
          <w:sz w:val="24"/>
          <w:szCs w:val="24"/>
        </w:rPr>
        <w:t>Adapalen:</w:t>
      </w:r>
    </w:p>
    <w:p w14:paraId="21DACA75" w14:textId="0BFD73BC" w:rsidR="000E6195" w:rsidRPr="000E6195" w:rsidRDefault="000E6195" w:rsidP="00DD677F">
      <w:pPr>
        <w:suppressAutoHyphens/>
        <w:ind w:left="1134"/>
        <w:rPr>
          <w:bCs/>
          <w:noProof/>
          <w:sz w:val="24"/>
          <w:szCs w:val="24"/>
        </w:rPr>
      </w:pPr>
      <w:r w:rsidRPr="000E6195">
        <w:rPr>
          <w:bCs/>
          <w:sz w:val="24"/>
          <w:szCs w:val="24"/>
        </w:rPr>
        <w:t>Adapalen er et kemisk stabilt naftoinsyrederivat med retinoid</w:t>
      </w:r>
      <w:r w:rsidRPr="000E6195">
        <w:rPr>
          <w:bCs/>
          <w:sz w:val="24"/>
          <w:szCs w:val="24"/>
        </w:rPr>
        <w:noBreakHyphen/>
        <w:t xml:space="preserve">lignende aktivitet. Biokemiske og farmakologiske profilstudier har vist, at adapalen virker mod patalogien i </w:t>
      </w:r>
      <w:r w:rsidRPr="000E6195">
        <w:rPr>
          <w:bCs/>
          <w:i/>
          <w:sz w:val="24"/>
          <w:szCs w:val="24"/>
        </w:rPr>
        <w:t>Acne vulgaris</w:t>
      </w:r>
      <w:r w:rsidRPr="000E6195">
        <w:rPr>
          <w:bCs/>
          <w:sz w:val="24"/>
          <w:szCs w:val="24"/>
        </w:rPr>
        <w:t>: det er en potent modulator af celledifferentieringen og keratiniseringen og har anti</w:t>
      </w:r>
      <w:r w:rsidRPr="000E6195">
        <w:rPr>
          <w:bCs/>
          <w:sz w:val="24"/>
          <w:szCs w:val="24"/>
        </w:rPr>
        <w:noBreakHyphen/>
        <w:t xml:space="preserve">inflammatoriske egenskaber. Adapalen binder til specifikke nukleare retinoidsyrereceptorer. Nuværende data antyder, at topikalt appliceret adapalen normaliserer differentieringen af de follikulære epitelceller, hvilket resulterer i nedsat dannelse af mikrokomedoner. Adapalen hæmmer det kemotaktiske (retningsbestemt bevægelse) og kemokinetiske (tilfældig bevægelse) respons på humane polymorfkernede leukocytter i </w:t>
      </w:r>
      <w:r w:rsidRPr="000E6195">
        <w:rPr>
          <w:bCs/>
          <w:i/>
          <w:sz w:val="24"/>
          <w:szCs w:val="24"/>
        </w:rPr>
        <w:t>in vitro</w:t>
      </w:r>
      <w:r w:rsidRPr="000E6195">
        <w:rPr>
          <w:bCs/>
          <w:sz w:val="24"/>
          <w:szCs w:val="24"/>
        </w:rPr>
        <w:noBreakHyphen/>
        <w:t xml:space="preserve">forsøgsmodeller; det hæmmer også metabolismen af arachidonsyre til inflammatoriske mediatorer. </w:t>
      </w:r>
      <w:r w:rsidRPr="000E6195">
        <w:rPr>
          <w:bCs/>
          <w:i/>
          <w:sz w:val="24"/>
          <w:szCs w:val="24"/>
        </w:rPr>
        <w:t>In vitro</w:t>
      </w:r>
      <w:r w:rsidRPr="000E6195">
        <w:rPr>
          <w:bCs/>
          <w:i/>
          <w:sz w:val="24"/>
          <w:szCs w:val="24"/>
        </w:rPr>
        <w:noBreakHyphen/>
      </w:r>
      <w:r w:rsidRPr="000E6195">
        <w:rPr>
          <w:bCs/>
          <w:sz w:val="24"/>
          <w:szCs w:val="24"/>
        </w:rPr>
        <w:t>studier har vist hæmning af AP</w:t>
      </w:r>
      <w:r w:rsidRPr="000E6195">
        <w:rPr>
          <w:bCs/>
          <w:sz w:val="24"/>
          <w:szCs w:val="24"/>
        </w:rPr>
        <w:noBreakHyphen/>
        <w:t>1</w:t>
      </w:r>
      <w:r w:rsidRPr="000E6195">
        <w:rPr>
          <w:bCs/>
          <w:sz w:val="24"/>
          <w:szCs w:val="24"/>
        </w:rPr>
        <w:noBreakHyphen/>
        <w:t>faktorer og hæmning af ekspressionen</w:t>
      </w:r>
      <w:r w:rsidRPr="000E6195">
        <w:rPr>
          <w:sz w:val="24"/>
          <w:szCs w:val="24"/>
        </w:rPr>
        <w:t xml:space="preserve"> af de toll</w:t>
      </w:r>
      <w:r w:rsidRPr="000E6195">
        <w:rPr>
          <w:sz w:val="24"/>
          <w:szCs w:val="24"/>
        </w:rPr>
        <w:noBreakHyphen/>
        <w:t>lignende receptorer 2. Denne profil antyder, at de cellemedierede inflammatoriske komponenter i akne reduceres af adapalen.</w:t>
      </w:r>
    </w:p>
    <w:p w14:paraId="6195BC8C" w14:textId="77777777" w:rsidR="000E6195" w:rsidRPr="000E6195" w:rsidRDefault="000E6195" w:rsidP="000E6195">
      <w:pPr>
        <w:suppressAutoHyphens/>
        <w:ind w:left="1134" w:hanging="283"/>
        <w:rPr>
          <w:bCs/>
          <w:noProof/>
          <w:sz w:val="24"/>
          <w:szCs w:val="24"/>
          <w:u w:val="single"/>
        </w:rPr>
      </w:pPr>
    </w:p>
    <w:p w14:paraId="3493FDB5" w14:textId="77777777" w:rsidR="00DD677F" w:rsidRPr="00DD677F" w:rsidRDefault="000E6195" w:rsidP="000E6195">
      <w:pPr>
        <w:ind w:left="1134" w:hanging="283"/>
        <w:rPr>
          <w:sz w:val="24"/>
          <w:szCs w:val="24"/>
        </w:rPr>
      </w:pPr>
      <w:r w:rsidRPr="00DD677F">
        <w:rPr>
          <w:b/>
          <w:bCs/>
          <w:sz w:val="24"/>
          <w:szCs w:val="24"/>
        </w:rPr>
        <w:t>-</w:t>
      </w:r>
      <w:r w:rsidRPr="00DD677F">
        <w:rPr>
          <w:b/>
          <w:bCs/>
          <w:sz w:val="24"/>
          <w:szCs w:val="24"/>
        </w:rPr>
        <w:tab/>
      </w:r>
      <w:r w:rsidRPr="00DD677F">
        <w:rPr>
          <w:bCs/>
          <w:i/>
          <w:sz w:val="24"/>
          <w:szCs w:val="24"/>
        </w:rPr>
        <w:t>Benzoylperoxid</w:t>
      </w:r>
      <w:r w:rsidRPr="00DD677F">
        <w:rPr>
          <w:i/>
          <w:sz w:val="24"/>
          <w:szCs w:val="24"/>
        </w:rPr>
        <w:t>:</w:t>
      </w:r>
    </w:p>
    <w:p w14:paraId="486F4317" w14:textId="2D6270F4" w:rsidR="000E6195" w:rsidRPr="000E6195" w:rsidRDefault="000E6195" w:rsidP="00DD677F">
      <w:pPr>
        <w:ind w:left="1134"/>
        <w:rPr>
          <w:bCs/>
          <w:sz w:val="24"/>
          <w:szCs w:val="24"/>
        </w:rPr>
      </w:pPr>
      <w:r w:rsidRPr="000E6195">
        <w:rPr>
          <w:sz w:val="24"/>
          <w:szCs w:val="24"/>
        </w:rPr>
        <w:t xml:space="preserve">Benzoylperoxid </w:t>
      </w:r>
      <w:r w:rsidRPr="000E6195">
        <w:rPr>
          <w:bCs/>
          <w:sz w:val="24"/>
          <w:szCs w:val="24"/>
        </w:rPr>
        <w:t xml:space="preserve">har vist at have antimikrobiel aktivitet, især mod </w:t>
      </w:r>
      <w:r w:rsidRPr="000E6195">
        <w:rPr>
          <w:bCs/>
          <w:i/>
          <w:sz w:val="24"/>
          <w:szCs w:val="24"/>
        </w:rPr>
        <w:t>Cutibacterium acnes</w:t>
      </w:r>
      <w:r w:rsidRPr="000E6195">
        <w:rPr>
          <w:bCs/>
          <w:sz w:val="24"/>
          <w:szCs w:val="24"/>
        </w:rPr>
        <w:t>, som er unormalt til stede i den akne</w:t>
      </w:r>
      <w:r w:rsidRPr="000E6195">
        <w:rPr>
          <w:bCs/>
          <w:sz w:val="24"/>
          <w:szCs w:val="24"/>
        </w:rPr>
        <w:noBreakHyphen/>
        <w:t>ramte pilosebaceøse del. Virkningsmekanismen for benzoylperoxid er blevet forklaret ved dets stærkt lipofile aktivitet, hvilket muliggør dens indtrængning gennem epidermis i bakterielle og keratinocytcellemembraner i den pilosebaceøse enhed. Benzoylperoxid anerkendes som et meget effektivt bredspektret antibakterielt middel til behandling af acne vulgaris. Det har vist sig at udøve bakteriedræbende virkning ved at generere frie radikaler, der oxiderer proteiner og andre essentielle cellulære komponenter i bakterievæggen. Den mindste hæmmende koncentration af benzoylperoxid er bakteriedræbende og har vist effektivitet på antibiotika</w:t>
      </w:r>
      <w:r w:rsidRPr="000E6195">
        <w:rPr>
          <w:bCs/>
          <w:sz w:val="24"/>
          <w:szCs w:val="24"/>
        </w:rPr>
        <w:noBreakHyphen/>
        <w:t xml:space="preserve">følsomme og antibiotikaresistente </w:t>
      </w:r>
      <w:r w:rsidRPr="000E6195">
        <w:rPr>
          <w:bCs/>
          <w:i/>
          <w:iCs/>
          <w:sz w:val="24"/>
          <w:szCs w:val="24"/>
        </w:rPr>
        <w:t>C. acnes</w:t>
      </w:r>
      <w:r w:rsidRPr="000E6195">
        <w:rPr>
          <w:bCs/>
          <w:sz w:val="24"/>
          <w:szCs w:val="24"/>
        </w:rPr>
        <w:t xml:space="preserve">-stammer. Derudover har benzoylperoxid vist eksfoliativ og keratolytisk aktivitet. </w:t>
      </w:r>
    </w:p>
    <w:p w14:paraId="6F6DA956" w14:textId="77777777" w:rsidR="000E6195" w:rsidRPr="000E6195" w:rsidRDefault="000E6195" w:rsidP="000E6195">
      <w:pPr>
        <w:suppressAutoHyphens/>
        <w:ind w:left="851"/>
        <w:rPr>
          <w:noProof/>
          <w:sz w:val="24"/>
          <w:szCs w:val="24"/>
        </w:rPr>
      </w:pPr>
    </w:p>
    <w:p w14:paraId="5D063C3B" w14:textId="77777777" w:rsidR="000E6195" w:rsidRPr="000E6195" w:rsidRDefault="000E6195" w:rsidP="000E6195">
      <w:pPr>
        <w:keepNext/>
        <w:suppressAutoHyphens/>
        <w:ind w:left="851"/>
        <w:rPr>
          <w:noProof/>
          <w:sz w:val="24"/>
          <w:szCs w:val="24"/>
          <w:u w:val="single"/>
        </w:rPr>
      </w:pPr>
      <w:r w:rsidRPr="000E6195">
        <w:rPr>
          <w:bCs/>
          <w:noProof/>
          <w:sz w:val="24"/>
          <w:szCs w:val="24"/>
          <w:u w:val="single"/>
        </w:rPr>
        <w:t>Klinisk virkning af Cutimum hos patienter i alderen 12 år og derover</w:t>
      </w:r>
    </w:p>
    <w:p w14:paraId="5341842A" w14:textId="77777777" w:rsidR="000E6195" w:rsidRPr="000E6195" w:rsidRDefault="000E6195" w:rsidP="000E6195">
      <w:pPr>
        <w:ind w:left="851"/>
        <w:rPr>
          <w:bCs/>
          <w:sz w:val="24"/>
          <w:szCs w:val="24"/>
        </w:rPr>
      </w:pPr>
      <w:r w:rsidRPr="000E6195">
        <w:rPr>
          <w:bCs/>
          <w:sz w:val="24"/>
          <w:szCs w:val="24"/>
        </w:rPr>
        <w:t xml:space="preserve">Sikkerheden og virkningen af gel med adapalen/benzoylperoxid appliceret en gang daglig til behandling af acne vulgaris blev vurderet i to 12-ugers kontrollerede multicenterstudier med ens design. Studierne sammenlignede gel med adapalen/benzoylperoxid med dets individuelle aktive komponenter, og med gelvehiklen hos aknepatienter. Totalt blev 2 185 patienter inkluderet i Studie 1 og Studie 2. Fordelingen af patienter i de to studier var ca. 49 % mænd og 51 % kvinder, 12 år eller derover (gennemsnitsalder 18,3 år, spredning 12-50 år), med 20 til 50 inflammatoriske læsioner og 30 til 100 ikke-inflammatoriske læsioner </w:t>
      </w:r>
      <w:r w:rsidRPr="000E6195">
        <w:rPr>
          <w:bCs/>
          <w:sz w:val="24"/>
          <w:szCs w:val="24"/>
        </w:rPr>
        <w:lastRenderedPageBreak/>
        <w:t>ved baseline. Patienterne behandlede ansigt og andre akneangrebne områder efter behov én gang daglig om aftenen.</w:t>
      </w:r>
    </w:p>
    <w:p w14:paraId="13782C35" w14:textId="77777777" w:rsidR="000E6195" w:rsidRPr="000E6195" w:rsidRDefault="000E6195" w:rsidP="000E6195">
      <w:pPr>
        <w:ind w:left="851"/>
        <w:rPr>
          <w:noProof/>
          <w:sz w:val="24"/>
          <w:szCs w:val="24"/>
        </w:rPr>
      </w:pPr>
    </w:p>
    <w:p w14:paraId="0444A4C8" w14:textId="77777777" w:rsidR="000E6195" w:rsidRPr="000E6195" w:rsidRDefault="000E6195" w:rsidP="000E6195">
      <w:pPr>
        <w:pStyle w:val="Default"/>
        <w:keepNext/>
        <w:ind w:left="851"/>
        <w:rPr>
          <w:lang w:val="da-DK"/>
        </w:rPr>
      </w:pPr>
      <w:r w:rsidRPr="000E6195">
        <w:rPr>
          <w:lang w:val="da-DK"/>
        </w:rPr>
        <w:t>Effektkriterierne var:</w:t>
      </w:r>
    </w:p>
    <w:p w14:paraId="5872309F" w14:textId="77777777" w:rsidR="000E6195" w:rsidRPr="000E6195" w:rsidRDefault="000E6195" w:rsidP="00DD677F">
      <w:pPr>
        <w:pStyle w:val="Default"/>
        <w:ind w:left="1134" w:hanging="283"/>
        <w:rPr>
          <w:lang w:val="da-DK"/>
        </w:rPr>
      </w:pPr>
      <w:r w:rsidRPr="000E6195">
        <w:rPr>
          <w:lang w:val="da-DK"/>
        </w:rPr>
        <w:t>-</w:t>
      </w:r>
      <w:r w:rsidRPr="000E6195">
        <w:rPr>
          <w:lang w:val="da-DK"/>
        </w:rPr>
        <w:tab/>
        <w:t>Succesrate, procentdel af patienter vurderet ‘Klar’ og ‘Næsten klar’ i uge 12 baseret på Investigator’s Global Assessment (IGA);</w:t>
      </w:r>
    </w:p>
    <w:p w14:paraId="2FC024CC" w14:textId="77777777" w:rsidR="000E6195" w:rsidRPr="000E6195" w:rsidRDefault="000E6195" w:rsidP="00DD677F">
      <w:pPr>
        <w:pStyle w:val="Default"/>
        <w:ind w:left="1134" w:hanging="283"/>
        <w:rPr>
          <w:lang w:val="da-DK"/>
        </w:rPr>
      </w:pPr>
      <w:r w:rsidRPr="000E6195">
        <w:rPr>
          <w:lang w:val="da-DK"/>
        </w:rPr>
        <w:t>-</w:t>
      </w:r>
      <w:r w:rsidRPr="000E6195">
        <w:rPr>
          <w:lang w:val="da-DK"/>
        </w:rPr>
        <w:tab/>
        <w:t xml:space="preserve">Ændring og procentvis ændring fra </w:t>
      </w:r>
      <w:r w:rsidRPr="000E6195">
        <w:rPr>
          <w:i/>
          <w:iCs/>
          <w:lang w:val="da-DK"/>
        </w:rPr>
        <w:t>baseline</w:t>
      </w:r>
      <w:r w:rsidRPr="000E6195">
        <w:rPr>
          <w:lang w:val="da-DK"/>
        </w:rPr>
        <w:t xml:space="preserve"> i uge 12 af: Antal inflammatoriske læsioner; antal ikke</w:t>
      </w:r>
      <w:r w:rsidRPr="000E6195">
        <w:rPr>
          <w:lang w:val="da-DK"/>
        </w:rPr>
        <w:noBreakHyphen/>
        <w:t>inflammatoriske læsioner; samlet antal læsioner.</w:t>
      </w:r>
    </w:p>
    <w:p w14:paraId="79506233" w14:textId="77777777" w:rsidR="000E6195" w:rsidRPr="000E6195" w:rsidRDefault="000E6195" w:rsidP="000E6195">
      <w:pPr>
        <w:ind w:left="851"/>
        <w:rPr>
          <w:noProof/>
          <w:sz w:val="24"/>
          <w:szCs w:val="24"/>
        </w:rPr>
      </w:pPr>
    </w:p>
    <w:p w14:paraId="1BD4324B" w14:textId="77777777" w:rsidR="000E6195" w:rsidRPr="000E6195" w:rsidRDefault="000E6195" w:rsidP="000E6195">
      <w:pPr>
        <w:ind w:left="851"/>
        <w:rPr>
          <w:sz w:val="24"/>
          <w:szCs w:val="24"/>
        </w:rPr>
      </w:pPr>
      <w:r w:rsidRPr="000E6195">
        <w:rPr>
          <w:sz w:val="24"/>
          <w:szCs w:val="24"/>
        </w:rPr>
        <w:t>Effektresultaterne er præsenteret for hvert studie i tabel 1 og kombinerede resultater i tabel 2. Gel med adapalen/benzoylperoxid viste sig at være mere effektiv sammenlignet med dens monader og gelvehiklen i begge studier. Samlet set var den gavnlige nettoeffekt (aktiv minus vehikel) af gel med adapalen/benzoylperoxid større end summen af de gavnlige nettoeffekter fra de individuelle komponenter, hvilket indikerer en potensering af den terapeutiske aktivitet af disse stoffer, når de anvendes i en fast dosiskombination. En tidlig behandlingseffekt af gel med adapalen/benzoylperoxid blev konsekvent observeret i Studie 1 og Studie 2 for inflammatoriske læsioner i uge 1 af behandlingen. Ikke-inflammatoriske læsioner (åbne og lukkede komedoner) responderede mærkbart mellem uge 1 og uge 4 af behandlingen. Virkningen på akneknuder er ikke fastslået.</w:t>
      </w:r>
    </w:p>
    <w:p w14:paraId="369A3326" w14:textId="77777777" w:rsidR="000E6195" w:rsidRDefault="000E6195" w:rsidP="000E6195"/>
    <w:p w14:paraId="54A912B8" w14:textId="77777777" w:rsidR="000E6195" w:rsidRDefault="000E6195" w:rsidP="000E6195">
      <w:pPr>
        <w:keepNext/>
        <w:numPr>
          <w:ilvl w:val="12"/>
          <w:numId w:val="0"/>
        </w:numPr>
        <w:ind w:left="1134" w:hanging="1134"/>
        <w:rPr>
          <w:b/>
          <w:iCs/>
          <w:szCs w:val="22"/>
        </w:rPr>
      </w:pPr>
      <w:r>
        <w:rPr>
          <w:b/>
          <w:iCs/>
          <w:szCs w:val="22"/>
        </w:rPr>
        <w:t>Tabel 1:</w:t>
      </w:r>
      <w:r>
        <w:rPr>
          <w:b/>
          <w:iCs/>
          <w:szCs w:val="22"/>
        </w:rPr>
        <w:tab/>
        <w:t>Klinisk virkning i to komparative studier</w:t>
      </w:r>
    </w:p>
    <w:tbl>
      <w:tblPr>
        <w:tblStyle w:val="Tabel-Gitter"/>
        <w:tblW w:w="0" w:type="auto"/>
        <w:tblInd w:w="0" w:type="dxa"/>
        <w:tblLook w:val="04A0" w:firstRow="1" w:lastRow="0" w:firstColumn="1" w:lastColumn="0" w:noHBand="0" w:noVBand="1"/>
      </w:tblPr>
      <w:tblGrid>
        <w:gridCol w:w="1812"/>
        <w:gridCol w:w="1812"/>
        <w:gridCol w:w="1812"/>
        <w:gridCol w:w="1812"/>
        <w:gridCol w:w="1813"/>
      </w:tblGrid>
      <w:tr w:rsidR="000E6195" w14:paraId="31B96B51" w14:textId="77777777" w:rsidTr="000E6195">
        <w:tc>
          <w:tcPr>
            <w:tcW w:w="9061" w:type="dxa"/>
            <w:gridSpan w:val="5"/>
            <w:tcBorders>
              <w:top w:val="single" w:sz="4" w:space="0" w:color="auto"/>
              <w:left w:val="single" w:sz="4" w:space="0" w:color="auto"/>
              <w:bottom w:val="single" w:sz="4" w:space="0" w:color="auto"/>
              <w:right w:val="single" w:sz="4" w:space="0" w:color="auto"/>
            </w:tcBorders>
            <w:hideMark/>
          </w:tcPr>
          <w:p w14:paraId="753FF57B" w14:textId="77777777" w:rsidR="000E6195" w:rsidRDefault="000E6195">
            <w:pPr>
              <w:numPr>
                <w:ilvl w:val="12"/>
                <w:numId w:val="0"/>
              </w:numPr>
              <w:ind w:right="-2"/>
              <w:jc w:val="center"/>
              <w:rPr>
                <w:b/>
                <w:iCs/>
              </w:rPr>
            </w:pPr>
            <w:r>
              <w:rPr>
                <w:b/>
                <w:iCs/>
              </w:rPr>
              <w:t>Studie 1</w:t>
            </w:r>
          </w:p>
        </w:tc>
      </w:tr>
      <w:tr w:rsidR="000E6195" w14:paraId="16079D35" w14:textId="77777777" w:rsidTr="000E6195">
        <w:tc>
          <w:tcPr>
            <w:tcW w:w="1812" w:type="dxa"/>
            <w:tcBorders>
              <w:top w:val="single" w:sz="4" w:space="0" w:color="auto"/>
              <w:left w:val="single" w:sz="4" w:space="0" w:color="auto"/>
              <w:bottom w:val="single" w:sz="4" w:space="0" w:color="auto"/>
              <w:right w:val="single" w:sz="4" w:space="0" w:color="auto"/>
            </w:tcBorders>
            <w:hideMark/>
          </w:tcPr>
          <w:p w14:paraId="3156D12D" w14:textId="77777777" w:rsidR="000E6195" w:rsidRDefault="000E6195">
            <w:pPr>
              <w:pStyle w:val="Default"/>
              <w:jc w:val="center"/>
              <w:rPr>
                <w:sz w:val="22"/>
                <w:szCs w:val="22"/>
              </w:rPr>
            </w:pPr>
            <w:r>
              <w:rPr>
                <w:b/>
                <w:bCs/>
                <w:sz w:val="22"/>
                <w:szCs w:val="22"/>
              </w:rPr>
              <w:t>Studie 1</w:t>
            </w:r>
          </w:p>
          <w:p w14:paraId="6AA38183" w14:textId="77777777" w:rsidR="000E6195" w:rsidRDefault="000E6195">
            <w:pPr>
              <w:numPr>
                <w:ilvl w:val="12"/>
                <w:numId w:val="0"/>
              </w:numPr>
              <w:ind w:right="-2"/>
              <w:jc w:val="center"/>
              <w:rPr>
                <w:bCs/>
                <w:iCs/>
                <w:sz w:val="22"/>
              </w:rPr>
            </w:pPr>
            <w:r>
              <w:rPr>
                <w:b/>
                <w:bCs/>
              </w:rPr>
              <w:t>Uge 12 LOCF; ITT</w:t>
            </w:r>
          </w:p>
        </w:tc>
        <w:tc>
          <w:tcPr>
            <w:tcW w:w="1812" w:type="dxa"/>
            <w:tcBorders>
              <w:top w:val="single" w:sz="4" w:space="0" w:color="auto"/>
              <w:left w:val="single" w:sz="4" w:space="0" w:color="auto"/>
              <w:bottom w:val="single" w:sz="4" w:space="0" w:color="auto"/>
              <w:right w:val="single" w:sz="4" w:space="0" w:color="auto"/>
            </w:tcBorders>
            <w:hideMark/>
          </w:tcPr>
          <w:p w14:paraId="1DAC7A73" w14:textId="77777777" w:rsidR="000E6195" w:rsidRDefault="000E6195">
            <w:pPr>
              <w:pStyle w:val="Default"/>
              <w:jc w:val="center"/>
              <w:rPr>
                <w:sz w:val="22"/>
                <w:szCs w:val="22"/>
              </w:rPr>
            </w:pPr>
            <w:r>
              <w:rPr>
                <w:b/>
                <w:bCs/>
                <w:sz w:val="22"/>
                <w:szCs w:val="22"/>
              </w:rPr>
              <w:t>Adapalen+BPO</w:t>
            </w:r>
          </w:p>
          <w:p w14:paraId="7CE24AEA" w14:textId="77777777" w:rsidR="000E6195" w:rsidRDefault="000E6195">
            <w:pPr>
              <w:numPr>
                <w:ilvl w:val="12"/>
                <w:numId w:val="0"/>
              </w:numPr>
              <w:ind w:right="-2"/>
              <w:jc w:val="center"/>
              <w:rPr>
                <w:bCs/>
                <w:iCs/>
                <w:sz w:val="22"/>
              </w:rPr>
            </w:pPr>
            <w:r>
              <w:rPr>
                <w:b/>
                <w:bCs/>
              </w:rPr>
              <w:t>N=149</w:t>
            </w:r>
          </w:p>
        </w:tc>
        <w:tc>
          <w:tcPr>
            <w:tcW w:w="1812" w:type="dxa"/>
            <w:tcBorders>
              <w:top w:val="single" w:sz="4" w:space="0" w:color="auto"/>
              <w:left w:val="single" w:sz="4" w:space="0" w:color="auto"/>
              <w:bottom w:val="single" w:sz="4" w:space="0" w:color="auto"/>
              <w:right w:val="single" w:sz="4" w:space="0" w:color="auto"/>
            </w:tcBorders>
            <w:hideMark/>
          </w:tcPr>
          <w:p w14:paraId="1060FB9B" w14:textId="77777777" w:rsidR="000E6195" w:rsidRDefault="000E6195">
            <w:pPr>
              <w:pStyle w:val="Default"/>
              <w:jc w:val="center"/>
              <w:rPr>
                <w:sz w:val="22"/>
                <w:szCs w:val="22"/>
              </w:rPr>
            </w:pPr>
            <w:r>
              <w:rPr>
                <w:b/>
                <w:bCs/>
                <w:sz w:val="22"/>
                <w:szCs w:val="22"/>
              </w:rPr>
              <w:t>Adapalen</w:t>
            </w:r>
          </w:p>
          <w:p w14:paraId="73A121E0" w14:textId="77777777" w:rsidR="000E6195" w:rsidRDefault="000E6195">
            <w:pPr>
              <w:numPr>
                <w:ilvl w:val="12"/>
                <w:numId w:val="0"/>
              </w:numPr>
              <w:ind w:right="-2"/>
              <w:jc w:val="center"/>
              <w:rPr>
                <w:bCs/>
                <w:iCs/>
                <w:sz w:val="22"/>
              </w:rPr>
            </w:pPr>
            <w:r>
              <w:rPr>
                <w:b/>
                <w:bCs/>
              </w:rPr>
              <w:t>N=148</w:t>
            </w:r>
          </w:p>
        </w:tc>
        <w:tc>
          <w:tcPr>
            <w:tcW w:w="1812" w:type="dxa"/>
            <w:tcBorders>
              <w:top w:val="single" w:sz="4" w:space="0" w:color="auto"/>
              <w:left w:val="single" w:sz="4" w:space="0" w:color="auto"/>
              <w:bottom w:val="single" w:sz="4" w:space="0" w:color="auto"/>
              <w:right w:val="single" w:sz="4" w:space="0" w:color="auto"/>
            </w:tcBorders>
            <w:hideMark/>
          </w:tcPr>
          <w:p w14:paraId="079D93E7" w14:textId="77777777" w:rsidR="000E6195" w:rsidRDefault="000E6195">
            <w:pPr>
              <w:pStyle w:val="Default"/>
              <w:jc w:val="center"/>
              <w:rPr>
                <w:sz w:val="22"/>
                <w:szCs w:val="22"/>
              </w:rPr>
            </w:pPr>
            <w:r>
              <w:rPr>
                <w:b/>
                <w:bCs/>
                <w:sz w:val="22"/>
                <w:szCs w:val="22"/>
              </w:rPr>
              <w:t>BPO</w:t>
            </w:r>
          </w:p>
          <w:p w14:paraId="433FAC68" w14:textId="77777777" w:rsidR="000E6195" w:rsidRDefault="000E6195">
            <w:pPr>
              <w:numPr>
                <w:ilvl w:val="12"/>
                <w:numId w:val="0"/>
              </w:numPr>
              <w:ind w:right="-2"/>
              <w:jc w:val="center"/>
              <w:rPr>
                <w:bCs/>
                <w:iCs/>
                <w:sz w:val="22"/>
              </w:rPr>
            </w:pPr>
            <w:r>
              <w:rPr>
                <w:b/>
                <w:bCs/>
              </w:rPr>
              <w:t>N=149</w:t>
            </w:r>
          </w:p>
        </w:tc>
        <w:tc>
          <w:tcPr>
            <w:tcW w:w="1813" w:type="dxa"/>
            <w:tcBorders>
              <w:top w:val="single" w:sz="4" w:space="0" w:color="auto"/>
              <w:left w:val="single" w:sz="4" w:space="0" w:color="auto"/>
              <w:bottom w:val="single" w:sz="4" w:space="0" w:color="auto"/>
              <w:right w:val="single" w:sz="4" w:space="0" w:color="auto"/>
            </w:tcBorders>
            <w:hideMark/>
          </w:tcPr>
          <w:p w14:paraId="7CC5E10D" w14:textId="77777777" w:rsidR="000E6195" w:rsidRDefault="000E6195">
            <w:pPr>
              <w:pStyle w:val="Default"/>
              <w:jc w:val="center"/>
              <w:rPr>
                <w:sz w:val="22"/>
                <w:szCs w:val="22"/>
              </w:rPr>
            </w:pPr>
            <w:r>
              <w:rPr>
                <w:b/>
                <w:bCs/>
                <w:sz w:val="22"/>
                <w:szCs w:val="22"/>
              </w:rPr>
              <w:t>Vehikel</w:t>
            </w:r>
          </w:p>
          <w:p w14:paraId="4E57B6AB" w14:textId="77777777" w:rsidR="000E6195" w:rsidRDefault="000E6195">
            <w:pPr>
              <w:numPr>
                <w:ilvl w:val="12"/>
                <w:numId w:val="0"/>
              </w:numPr>
              <w:ind w:right="-2"/>
              <w:jc w:val="center"/>
              <w:rPr>
                <w:bCs/>
                <w:iCs/>
                <w:sz w:val="22"/>
              </w:rPr>
            </w:pPr>
            <w:r>
              <w:rPr>
                <w:b/>
                <w:bCs/>
              </w:rPr>
              <w:t>N=71</w:t>
            </w:r>
          </w:p>
        </w:tc>
      </w:tr>
      <w:tr w:rsidR="000E6195" w14:paraId="6719772A" w14:textId="77777777" w:rsidTr="000E6195">
        <w:trPr>
          <w:tblHeader/>
        </w:trPr>
        <w:tc>
          <w:tcPr>
            <w:tcW w:w="1812" w:type="dxa"/>
            <w:tcBorders>
              <w:top w:val="single" w:sz="4" w:space="0" w:color="auto"/>
              <w:left w:val="single" w:sz="4" w:space="0" w:color="auto"/>
              <w:bottom w:val="single" w:sz="4" w:space="0" w:color="auto"/>
              <w:right w:val="single" w:sz="4" w:space="0" w:color="auto"/>
            </w:tcBorders>
          </w:tcPr>
          <w:p w14:paraId="3D26C0FD" w14:textId="77777777" w:rsidR="000E6195" w:rsidRDefault="000E6195">
            <w:pPr>
              <w:pStyle w:val="Default"/>
              <w:rPr>
                <w:sz w:val="22"/>
                <w:szCs w:val="22"/>
                <w:lang w:eastAsia="en-US"/>
              </w:rPr>
            </w:pPr>
            <w:r>
              <w:rPr>
                <w:b/>
                <w:bCs/>
                <w:sz w:val="22"/>
                <w:szCs w:val="22"/>
              </w:rPr>
              <w:t xml:space="preserve">Succesrate (Klar, Næsten klar) </w:t>
            </w:r>
          </w:p>
          <w:p w14:paraId="12C66F5F" w14:textId="77777777" w:rsidR="000E6195" w:rsidRDefault="000E6195">
            <w:pPr>
              <w:numPr>
                <w:ilvl w:val="12"/>
                <w:numId w:val="0"/>
              </w:numPr>
              <w:ind w:right="-2"/>
              <w:rPr>
                <w:bCs/>
                <w:iCs/>
                <w:sz w:val="22"/>
              </w:rPr>
            </w:pPr>
          </w:p>
        </w:tc>
        <w:tc>
          <w:tcPr>
            <w:tcW w:w="1812" w:type="dxa"/>
            <w:tcBorders>
              <w:top w:val="single" w:sz="4" w:space="0" w:color="auto"/>
              <w:left w:val="single" w:sz="4" w:space="0" w:color="auto"/>
              <w:bottom w:val="single" w:sz="4" w:space="0" w:color="auto"/>
              <w:right w:val="single" w:sz="4" w:space="0" w:color="auto"/>
            </w:tcBorders>
            <w:hideMark/>
          </w:tcPr>
          <w:p w14:paraId="61AB5199" w14:textId="77777777" w:rsidR="000E6195" w:rsidRDefault="000E6195">
            <w:pPr>
              <w:numPr>
                <w:ilvl w:val="12"/>
                <w:numId w:val="0"/>
              </w:numPr>
              <w:ind w:right="-2"/>
              <w:rPr>
                <w:bCs/>
                <w:iCs/>
              </w:rPr>
            </w:pPr>
            <w:r>
              <w:rPr>
                <w:bCs/>
                <w:iCs/>
              </w:rPr>
              <w:t>41 (27,5 %)</w:t>
            </w:r>
          </w:p>
        </w:tc>
        <w:tc>
          <w:tcPr>
            <w:tcW w:w="1812" w:type="dxa"/>
            <w:tcBorders>
              <w:top w:val="single" w:sz="4" w:space="0" w:color="auto"/>
              <w:left w:val="single" w:sz="4" w:space="0" w:color="auto"/>
              <w:bottom w:val="single" w:sz="4" w:space="0" w:color="auto"/>
              <w:right w:val="single" w:sz="4" w:space="0" w:color="auto"/>
            </w:tcBorders>
            <w:hideMark/>
          </w:tcPr>
          <w:p w14:paraId="04663C5E" w14:textId="77777777" w:rsidR="000E6195" w:rsidRDefault="000E6195">
            <w:pPr>
              <w:numPr>
                <w:ilvl w:val="12"/>
                <w:numId w:val="0"/>
              </w:numPr>
              <w:ind w:right="-2"/>
              <w:rPr>
                <w:bCs/>
                <w:iCs/>
              </w:rPr>
            </w:pPr>
            <w:r>
              <w:rPr>
                <w:bCs/>
                <w:iCs/>
              </w:rPr>
              <w:t>23 (15,5 %)</w:t>
            </w:r>
          </w:p>
          <w:p w14:paraId="61269732" w14:textId="77777777" w:rsidR="000E6195" w:rsidRDefault="000E6195">
            <w:pPr>
              <w:numPr>
                <w:ilvl w:val="12"/>
                <w:numId w:val="0"/>
              </w:numPr>
              <w:ind w:right="-2"/>
              <w:rPr>
                <w:bCs/>
                <w:iCs/>
              </w:rPr>
            </w:pPr>
            <w:r>
              <w:rPr>
                <w:bCs/>
                <w:iCs/>
              </w:rPr>
              <w:t>p=0,008</w:t>
            </w:r>
          </w:p>
        </w:tc>
        <w:tc>
          <w:tcPr>
            <w:tcW w:w="1812" w:type="dxa"/>
            <w:tcBorders>
              <w:top w:val="single" w:sz="4" w:space="0" w:color="auto"/>
              <w:left w:val="single" w:sz="4" w:space="0" w:color="auto"/>
              <w:bottom w:val="single" w:sz="4" w:space="0" w:color="auto"/>
              <w:right w:val="single" w:sz="4" w:space="0" w:color="auto"/>
            </w:tcBorders>
            <w:hideMark/>
          </w:tcPr>
          <w:p w14:paraId="20834A15" w14:textId="77777777" w:rsidR="000E6195" w:rsidRDefault="000E6195">
            <w:pPr>
              <w:numPr>
                <w:ilvl w:val="12"/>
                <w:numId w:val="0"/>
              </w:numPr>
              <w:ind w:right="-2"/>
              <w:rPr>
                <w:bCs/>
                <w:iCs/>
              </w:rPr>
            </w:pPr>
            <w:r>
              <w:rPr>
                <w:bCs/>
                <w:iCs/>
              </w:rPr>
              <w:t>23 (15,4 %)</w:t>
            </w:r>
          </w:p>
          <w:p w14:paraId="67BDD733" w14:textId="77777777" w:rsidR="000E6195" w:rsidRDefault="000E6195">
            <w:pPr>
              <w:numPr>
                <w:ilvl w:val="12"/>
                <w:numId w:val="0"/>
              </w:numPr>
              <w:ind w:right="-2"/>
              <w:rPr>
                <w:bCs/>
                <w:iCs/>
              </w:rPr>
            </w:pPr>
            <w:r>
              <w:rPr>
                <w:bCs/>
                <w:iCs/>
              </w:rPr>
              <w:t>p=0,003</w:t>
            </w:r>
          </w:p>
        </w:tc>
        <w:tc>
          <w:tcPr>
            <w:tcW w:w="1813" w:type="dxa"/>
            <w:tcBorders>
              <w:top w:val="single" w:sz="4" w:space="0" w:color="auto"/>
              <w:left w:val="single" w:sz="4" w:space="0" w:color="auto"/>
              <w:bottom w:val="single" w:sz="4" w:space="0" w:color="auto"/>
              <w:right w:val="single" w:sz="4" w:space="0" w:color="auto"/>
            </w:tcBorders>
            <w:hideMark/>
          </w:tcPr>
          <w:p w14:paraId="78F5BBFB" w14:textId="77777777" w:rsidR="000E6195" w:rsidRDefault="000E6195">
            <w:pPr>
              <w:pStyle w:val="Default"/>
              <w:rPr>
                <w:sz w:val="22"/>
                <w:szCs w:val="22"/>
                <w:lang w:eastAsia="en-US"/>
              </w:rPr>
            </w:pPr>
            <w:r>
              <w:rPr>
                <w:sz w:val="22"/>
                <w:szCs w:val="22"/>
              </w:rPr>
              <w:t>7 (9,9 %)</w:t>
            </w:r>
          </w:p>
          <w:p w14:paraId="06398113" w14:textId="77777777" w:rsidR="000E6195" w:rsidRDefault="000E6195">
            <w:pPr>
              <w:numPr>
                <w:ilvl w:val="12"/>
                <w:numId w:val="0"/>
              </w:numPr>
              <w:ind w:right="-2"/>
              <w:rPr>
                <w:bCs/>
                <w:iCs/>
                <w:sz w:val="22"/>
              </w:rPr>
            </w:pPr>
            <w:r>
              <w:t xml:space="preserve">p=0,002 </w:t>
            </w:r>
          </w:p>
        </w:tc>
      </w:tr>
      <w:tr w:rsidR="000E6195" w14:paraId="3DB429C9" w14:textId="77777777" w:rsidTr="000E6195">
        <w:trPr>
          <w:tblHeader/>
        </w:trPr>
        <w:tc>
          <w:tcPr>
            <w:tcW w:w="1812" w:type="dxa"/>
            <w:tcBorders>
              <w:top w:val="single" w:sz="4" w:space="0" w:color="auto"/>
              <w:left w:val="single" w:sz="4" w:space="0" w:color="auto"/>
              <w:bottom w:val="single" w:sz="4" w:space="0" w:color="auto"/>
              <w:right w:val="single" w:sz="4" w:space="0" w:color="auto"/>
            </w:tcBorders>
          </w:tcPr>
          <w:p w14:paraId="56FD681D" w14:textId="77777777" w:rsidR="000E6195" w:rsidRDefault="000E6195">
            <w:pPr>
              <w:pStyle w:val="Default"/>
              <w:rPr>
                <w:sz w:val="20"/>
                <w:lang w:eastAsia="en-US"/>
              </w:rPr>
            </w:pPr>
            <w:r>
              <w:rPr>
                <w:b/>
                <w:bCs/>
                <w:sz w:val="20"/>
                <w:szCs w:val="20"/>
              </w:rPr>
              <w:t>Medianreduktion (% reduktion) i</w:t>
            </w:r>
          </w:p>
          <w:p w14:paraId="529002EA" w14:textId="77777777" w:rsidR="000E6195" w:rsidRDefault="000E6195">
            <w:pPr>
              <w:numPr>
                <w:ilvl w:val="12"/>
                <w:numId w:val="0"/>
              </w:numPr>
              <w:ind w:right="-2"/>
              <w:rPr>
                <w:bCs/>
                <w:iCs/>
                <w:sz w:val="22"/>
              </w:rPr>
            </w:pPr>
          </w:p>
        </w:tc>
        <w:tc>
          <w:tcPr>
            <w:tcW w:w="7249" w:type="dxa"/>
            <w:gridSpan w:val="4"/>
            <w:tcBorders>
              <w:top w:val="single" w:sz="4" w:space="0" w:color="auto"/>
              <w:left w:val="single" w:sz="4" w:space="0" w:color="auto"/>
              <w:bottom w:val="single" w:sz="4" w:space="0" w:color="auto"/>
              <w:right w:val="single" w:sz="4" w:space="0" w:color="auto"/>
            </w:tcBorders>
          </w:tcPr>
          <w:p w14:paraId="79CCB7CD" w14:textId="77777777" w:rsidR="000E6195" w:rsidRDefault="000E6195">
            <w:pPr>
              <w:numPr>
                <w:ilvl w:val="12"/>
                <w:numId w:val="0"/>
              </w:numPr>
              <w:ind w:right="-2"/>
              <w:rPr>
                <w:bCs/>
                <w:iCs/>
              </w:rPr>
            </w:pPr>
          </w:p>
        </w:tc>
      </w:tr>
      <w:tr w:rsidR="000E6195" w14:paraId="6800BF31" w14:textId="77777777" w:rsidTr="000E6195">
        <w:trPr>
          <w:tblHeader/>
        </w:trPr>
        <w:tc>
          <w:tcPr>
            <w:tcW w:w="1812" w:type="dxa"/>
            <w:tcBorders>
              <w:top w:val="single" w:sz="4" w:space="0" w:color="auto"/>
              <w:left w:val="single" w:sz="4" w:space="0" w:color="auto"/>
              <w:bottom w:val="single" w:sz="4" w:space="0" w:color="auto"/>
              <w:right w:val="single" w:sz="4" w:space="0" w:color="auto"/>
            </w:tcBorders>
            <w:hideMark/>
          </w:tcPr>
          <w:p w14:paraId="43B3D6AA" w14:textId="77777777" w:rsidR="000E6195" w:rsidRDefault="000E6195">
            <w:pPr>
              <w:numPr>
                <w:ilvl w:val="12"/>
                <w:numId w:val="0"/>
              </w:numPr>
              <w:ind w:right="-2"/>
              <w:rPr>
                <w:bCs/>
                <w:iCs/>
              </w:rPr>
            </w:pPr>
            <w:r>
              <w:rPr>
                <w:bCs/>
                <w:iCs/>
              </w:rPr>
              <w:t>Antal inflammatoriske læsioner</w:t>
            </w:r>
          </w:p>
        </w:tc>
        <w:tc>
          <w:tcPr>
            <w:tcW w:w="1812" w:type="dxa"/>
            <w:tcBorders>
              <w:top w:val="single" w:sz="4" w:space="0" w:color="auto"/>
              <w:left w:val="single" w:sz="4" w:space="0" w:color="auto"/>
              <w:bottom w:val="single" w:sz="4" w:space="0" w:color="auto"/>
              <w:right w:val="single" w:sz="4" w:space="0" w:color="auto"/>
            </w:tcBorders>
            <w:hideMark/>
          </w:tcPr>
          <w:p w14:paraId="653F1F02" w14:textId="77777777" w:rsidR="000E6195" w:rsidRDefault="000E6195">
            <w:pPr>
              <w:numPr>
                <w:ilvl w:val="12"/>
                <w:numId w:val="0"/>
              </w:numPr>
              <w:ind w:right="-2"/>
              <w:rPr>
                <w:bCs/>
                <w:iCs/>
              </w:rPr>
            </w:pPr>
            <w:r>
              <w:rPr>
                <w:bCs/>
                <w:iCs/>
              </w:rPr>
              <w:t>17 (62,8 %)</w:t>
            </w:r>
          </w:p>
        </w:tc>
        <w:tc>
          <w:tcPr>
            <w:tcW w:w="1812" w:type="dxa"/>
            <w:tcBorders>
              <w:top w:val="single" w:sz="4" w:space="0" w:color="auto"/>
              <w:left w:val="single" w:sz="4" w:space="0" w:color="auto"/>
              <w:bottom w:val="single" w:sz="4" w:space="0" w:color="auto"/>
              <w:right w:val="single" w:sz="4" w:space="0" w:color="auto"/>
            </w:tcBorders>
            <w:hideMark/>
          </w:tcPr>
          <w:p w14:paraId="4195751B" w14:textId="77777777" w:rsidR="000E6195" w:rsidRDefault="000E6195">
            <w:pPr>
              <w:numPr>
                <w:ilvl w:val="12"/>
                <w:numId w:val="0"/>
              </w:numPr>
              <w:ind w:right="-2"/>
              <w:rPr>
                <w:bCs/>
                <w:iCs/>
              </w:rPr>
            </w:pPr>
            <w:r>
              <w:rPr>
                <w:bCs/>
                <w:iCs/>
              </w:rPr>
              <w:t>13 (45,7 %)</w:t>
            </w:r>
          </w:p>
          <w:p w14:paraId="1DBA5D6F" w14:textId="77777777" w:rsidR="000E6195" w:rsidRDefault="000E6195">
            <w:pPr>
              <w:numPr>
                <w:ilvl w:val="12"/>
                <w:numId w:val="0"/>
              </w:numPr>
              <w:ind w:right="-2"/>
              <w:rPr>
                <w:bCs/>
                <w:iCs/>
              </w:rPr>
            </w:pPr>
            <w:r>
              <w:rPr>
                <w:bCs/>
                <w:iCs/>
              </w:rPr>
              <w:t>p&lt;0,001</w:t>
            </w:r>
          </w:p>
        </w:tc>
        <w:tc>
          <w:tcPr>
            <w:tcW w:w="1812" w:type="dxa"/>
            <w:tcBorders>
              <w:top w:val="single" w:sz="4" w:space="0" w:color="auto"/>
              <w:left w:val="single" w:sz="4" w:space="0" w:color="auto"/>
              <w:bottom w:val="single" w:sz="4" w:space="0" w:color="auto"/>
              <w:right w:val="single" w:sz="4" w:space="0" w:color="auto"/>
            </w:tcBorders>
            <w:hideMark/>
          </w:tcPr>
          <w:p w14:paraId="119F2FE3" w14:textId="77777777" w:rsidR="000E6195" w:rsidRDefault="000E6195">
            <w:pPr>
              <w:numPr>
                <w:ilvl w:val="12"/>
                <w:numId w:val="0"/>
              </w:numPr>
              <w:ind w:right="-2"/>
              <w:rPr>
                <w:bCs/>
                <w:iCs/>
              </w:rPr>
            </w:pPr>
            <w:r>
              <w:rPr>
                <w:bCs/>
                <w:iCs/>
              </w:rPr>
              <w:t>13 (43,6 %)</w:t>
            </w:r>
          </w:p>
          <w:p w14:paraId="22FCD2A9" w14:textId="77777777" w:rsidR="000E6195" w:rsidRDefault="000E6195">
            <w:pPr>
              <w:numPr>
                <w:ilvl w:val="12"/>
                <w:numId w:val="0"/>
              </w:numPr>
              <w:ind w:right="-2"/>
              <w:rPr>
                <w:bCs/>
                <w:iCs/>
              </w:rPr>
            </w:pPr>
            <w:r>
              <w:rPr>
                <w:bCs/>
                <w:iCs/>
              </w:rPr>
              <w:t>p&lt;0,001</w:t>
            </w:r>
          </w:p>
        </w:tc>
        <w:tc>
          <w:tcPr>
            <w:tcW w:w="1813" w:type="dxa"/>
            <w:tcBorders>
              <w:top w:val="single" w:sz="4" w:space="0" w:color="auto"/>
              <w:left w:val="single" w:sz="4" w:space="0" w:color="auto"/>
              <w:bottom w:val="single" w:sz="4" w:space="0" w:color="auto"/>
              <w:right w:val="single" w:sz="4" w:space="0" w:color="auto"/>
            </w:tcBorders>
            <w:hideMark/>
          </w:tcPr>
          <w:p w14:paraId="582A63E7" w14:textId="77777777" w:rsidR="000E6195" w:rsidRDefault="000E6195">
            <w:pPr>
              <w:numPr>
                <w:ilvl w:val="12"/>
                <w:numId w:val="0"/>
              </w:numPr>
              <w:ind w:right="-2"/>
              <w:rPr>
                <w:bCs/>
                <w:iCs/>
              </w:rPr>
            </w:pPr>
            <w:r>
              <w:rPr>
                <w:bCs/>
                <w:iCs/>
              </w:rPr>
              <w:t>11 (37,8 %)</w:t>
            </w:r>
          </w:p>
          <w:p w14:paraId="6D476BD5" w14:textId="77777777" w:rsidR="000E6195" w:rsidRDefault="000E6195">
            <w:pPr>
              <w:numPr>
                <w:ilvl w:val="12"/>
                <w:numId w:val="0"/>
              </w:numPr>
              <w:ind w:right="-2"/>
              <w:rPr>
                <w:bCs/>
                <w:iCs/>
              </w:rPr>
            </w:pPr>
            <w:r>
              <w:rPr>
                <w:bCs/>
                <w:iCs/>
              </w:rPr>
              <w:t>p&lt;0,001</w:t>
            </w:r>
          </w:p>
        </w:tc>
      </w:tr>
      <w:tr w:rsidR="000E6195" w14:paraId="03F5B547" w14:textId="77777777" w:rsidTr="000E6195">
        <w:trPr>
          <w:tblHeader/>
        </w:trPr>
        <w:tc>
          <w:tcPr>
            <w:tcW w:w="1812" w:type="dxa"/>
            <w:tcBorders>
              <w:top w:val="single" w:sz="4" w:space="0" w:color="auto"/>
              <w:left w:val="single" w:sz="4" w:space="0" w:color="auto"/>
              <w:bottom w:val="single" w:sz="4" w:space="0" w:color="auto"/>
              <w:right w:val="single" w:sz="4" w:space="0" w:color="auto"/>
            </w:tcBorders>
            <w:hideMark/>
          </w:tcPr>
          <w:p w14:paraId="7FB39B88" w14:textId="77777777" w:rsidR="000E6195" w:rsidRDefault="000E6195">
            <w:pPr>
              <w:numPr>
                <w:ilvl w:val="12"/>
                <w:numId w:val="0"/>
              </w:numPr>
              <w:ind w:right="-2"/>
              <w:rPr>
                <w:bCs/>
                <w:iCs/>
              </w:rPr>
            </w:pPr>
            <w:r>
              <w:rPr>
                <w:bCs/>
                <w:iCs/>
              </w:rPr>
              <w:t>Antal ikke-inflammatoriske læsioner</w:t>
            </w:r>
          </w:p>
        </w:tc>
        <w:tc>
          <w:tcPr>
            <w:tcW w:w="1812" w:type="dxa"/>
            <w:tcBorders>
              <w:top w:val="single" w:sz="4" w:space="0" w:color="auto"/>
              <w:left w:val="single" w:sz="4" w:space="0" w:color="auto"/>
              <w:bottom w:val="single" w:sz="4" w:space="0" w:color="auto"/>
              <w:right w:val="single" w:sz="4" w:space="0" w:color="auto"/>
            </w:tcBorders>
            <w:hideMark/>
          </w:tcPr>
          <w:p w14:paraId="28629D5B" w14:textId="77777777" w:rsidR="000E6195" w:rsidRDefault="000E6195">
            <w:pPr>
              <w:numPr>
                <w:ilvl w:val="12"/>
                <w:numId w:val="0"/>
              </w:numPr>
              <w:ind w:right="-2"/>
              <w:rPr>
                <w:bCs/>
                <w:iCs/>
              </w:rPr>
            </w:pPr>
            <w:r>
              <w:rPr>
                <w:bCs/>
                <w:iCs/>
              </w:rPr>
              <w:t>22 (51,2 %)</w:t>
            </w:r>
          </w:p>
        </w:tc>
        <w:tc>
          <w:tcPr>
            <w:tcW w:w="1812" w:type="dxa"/>
            <w:tcBorders>
              <w:top w:val="single" w:sz="4" w:space="0" w:color="auto"/>
              <w:left w:val="single" w:sz="4" w:space="0" w:color="auto"/>
              <w:bottom w:val="single" w:sz="4" w:space="0" w:color="auto"/>
              <w:right w:val="single" w:sz="4" w:space="0" w:color="auto"/>
            </w:tcBorders>
            <w:hideMark/>
          </w:tcPr>
          <w:p w14:paraId="6A3B63BA" w14:textId="77777777" w:rsidR="000E6195" w:rsidRDefault="000E6195">
            <w:pPr>
              <w:numPr>
                <w:ilvl w:val="12"/>
                <w:numId w:val="0"/>
              </w:numPr>
              <w:ind w:right="-2"/>
              <w:rPr>
                <w:bCs/>
                <w:iCs/>
              </w:rPr>
            </w:pPr>
            <w:r>
              <w:rPr>
                <w:bCs/>
                <w:iCs/>
              </w:rPr>
              <w:t>17 (33,3 %)</w:t>
            </w:r>
          </w:p>
          <w:p w14:paraId="036DD534" w14:textId="77777777" w:rsidR="000E6195" w:rsidRDefault="000E6195">
            <w:pPr>
              <w:numPr>
                <w:ilvl w:val="12"/>
                <w:numId w:val="0"/>
              </w:numPr>
              <w:ind w:right="-2"/>
              <w:rPr>
                <w:bCs/>
                <w:iCs/>
              </w:rPr>
            </w:pPr>
            <w:r>
              <w:rPr>
                <w:bCs/>
                <w:iCs/>
              </w:rPr>
              <w:t>p&lt;0,001</w:t>
            </w:r>
          </w:p>
        </w:tc>
        <w:tc>
          <w:tcPr>
            <w:tcW w:w="1812" w:type="dxa"/>
            <w:tcBorders>
              <w:top w:val="single" w:sz="4" w:space="0" w:color="auto"/>
              <w:left w:val="single" w:sz="4" w:space="0" w:color="auto"/>
              <w:bottom w:val="single" w:sz="4" w:space="0" w:color="auto"/>
              <w:right w:val="single" w:sz="4" w:space="0" w:color="auto"/>
            </w:tcBorders>
            <w:hideMark/>
          </w:tcPr>
          <w:p w14:paraId="2798DE52" w14:textId="77777777" w:rsidR="000E6195" w:rsidRDefault="000E6195">
            <w:pPr>
              <w:numPr>
                <w:ilvl w:val="12"/>
                <w:numId w:val="0"/>
              </w:numPr>
              <w:ind w:right="-2"/>
              <w:rPr>
                <w:bCs/>
                <w:iCs/>
              </w:rPr>
            </w:pPr>
            <w:r>
              <w:rPr>
                <w:bCs/>
                <w:iCs/>
              </w:rPr>
              <w:t>16 (36,4 %)</w:t>
            </w:r>
          </w:p>
          <w:p w14:paraId="2E95ACA2" w14:textId="77777777" w:rsidR="000E6195" w:rsidRDefault="000E6195">
            <w:pPr>
              <w:numPr>
                <w:ilvl w:val="12"/>
                <w:numId w:val="0"/>
              </w:numPr>
              <w:ind w:right="-2"/>
              <w:rPr>
                <w:bCs/>
                <w:iCs/>
              </w:rPr>
            </w:pPr>
            <w:r>
              <w:rPr>
                <w:bCs/>
                <w:iCs/>
              </w:rPr>
              <w:t>p&lt;0,001</w:t>
            </w:r>
          </w:p>
        </w:tc>
        <w:tc>
          <w:tcPr>
            <w:tcW w:w="1813" w:type="dxa"/>
            <w:tcBorders>
              <w:top w:val="single" w:sz="4" w:space="0" w:color="auto"/>
              <w:left w:val="single" w:sz="4" w:space="0" w:color="auto"/>
              <w:bottom w:val="single" w:sz="4" w:space="0" w:color="auto"/>
              <w:right w:val="single" w:sz="4" w:space="0" w:color="auto"/>
            </w:tcBorders>
            <w:hideMark/>
          </w:tcPr>
          <w:p w14:paraId="3F0C8936" w14:textId="77777777" w:rsidR="000E6195" w:rsidRDefault="000E6195">
            <w:pPr>
              <w:numPr>
                <w:ilvl w:val="12"/>
                <w:numId w:val="0"/>
              </w:numPr>
              <w:ind w:right="-2"/>
              <w:rPr>
                <w:bCs/>
                <w:iCs/>
              </w:rPr>
            </w:pPr>
            <w:r>
              <w:rPr>
                <w:bCs/>
                <w:iCs/>
              </w:rPr>
              <w:t>14 (37,5 %)</w:t>
            </w:r>
          </w:p>
          <w:p w14:paraId="5EF8A599" w14:textId="77777777" w:rsidR="000E6195" w:rsidRDefault="000E6195">
            <w:pPr>
              <w:numPr>
                <w:ilvl w:val="12"/>
                <w:numId w:val="0"/>
              </w:numPr>
              <w:ind w:right="-2"/>
              <w:rPr>
                <w:bCs/>
                <w:iCs/>
              </w:rPr>
            </w:pPr>
            <w:r>
              <w:rPr>
                <w:bCs/>
                <w:iCs/>
              </w:rPr>
              <w:t>p&lt;0,001</w:t>
            </w:r>
          </w:p>
        </w:tc>
      </w:tr>
      <w:tr w:rsidR="000E6195" w14:paraId="7AFA7B41" w14:textId="77777777" w:rsidTr="000E6195">
        <w:trPr>
          <w:tblHeader/>
        </w:trPr>
        <w:tc>
          <w:tcPr>
            <w:tcW w:w="1812" w:type="dxa"/>
            <w:tcBorders>
              <w:top w:val="single" w:sz="4" w:space="0" w:color="auto"/>
              <w:left w:val="single" w:sz="4" w:space="0" w:color="auto"/>
              <w:bottom w:val="single" w:sz="4" w:space="0" w:color="auto"/>
              <w:right w:val="single" w:sz="4" w:space="0" w:color="auto"/>
            </w:tcBorders>
            <w:hideMark/>
          </w:tcPr>
          <w:p w14:paraId="04381E58" w14:textId="77777777" w:rsidR="000E6195" w:rsidRDefault="000E6195">
            <w:pPr>
              <w:numPr>
                <w:ilvl w:val="12"/>
                <w:numId w:val="0"/>
              </w:numPr>
              <w:ind w:right="-2"/>
              <w:rPr>
                <w:bCs/>
                <w:iCs/>
              </w:rPr>
            </w:pPr>
            <w:r>
              <w:rPr>
                <w:bCs/>
                <w:iCs/>
              </w:rPr>
              <w:t>Samlet antal læsioner</w:t>
            </w:r>
          </w:p>
        </w:tc>
        <w:tc>
          <w:tcPr>
            <w:tcW w:w="1812" w:type="dxa"/>
            <w:tcBorders>
              <w:top w:val="single" w:sz="4" w:space="0" w:color="auto"/>
              <w:left w:val="single" w:sz="4" w:space="0" w:color="auto"/>
              <w:bottom w:val="single" w:sz="4" w:space="0" w:color="auto"/>
              <w:right w:val="single" w:sz="4" w:space="0" w:color="auto"/>
            </w:tcBorders>
            <w:hideMark/>
          </w:tcPr>
          <w:p w14:paraId="77F0B642" w14:textId="77777777" w:rsidR="000E6195" w:rsidRDefault="000E6195">
            <w:pPr>
              <w:numPr>
                <w:ilvl w:val="12"/>
                <w:numId w:val="0"/>
              </w:numPr>
              <w:ind w:right="-2"/>
              <w:rPr>
                <w:bCs/>
                <w:iCs/>
              </w:rPr>
            </w:pPr>
            <w:r>
              <w:rPr>
                <w:bCs/>
                <w:iCs/>
              </w:rPr>
              <w:t>40 (51,0 %)</w:t>
            </w:r>
          </w:p>
        </w:tc>
        <w:tc>
          <w:tcPr>
            <w:tcW w:w="1812" w:type="dxa"/>
            <w:tcBorders>
              <w:top w:val="single" w:sz="4" w:space="0" w:color="auto"/>
              <w:left w:val="single" w:sz="4" w:space="0" w:color="auto"/>
              <w:bottom w:val="single" w:sz="4" w:space="0" w:color="auto"/>
              <w:right w:val="single" w:sz="4" w:space="0" w:color="auto"/>
            </w:tcBorders>
            <w:hideMark/>
          </w:tcPr>
          <w:p w14:paraId="688D0D31" w14:textId="77777777" w:rsidR="000E6195" w:rsidRDefault="000E6195">
            <w:pPr>
              <w:numPr>
                <w:ilvl w:val="12"/>
                <w:numId w:val="0"/>
              </w:numPr>
              <w:ind w:right="-2"/>
              <w:rPr>
                <w:bCs/>
                <w:iCs/>
              </w:rPr>
            </w:pPr>
            <w:r>
              <w:rPr>
                <w:bCs/>
                <w:iCs/>
              </w:rPr>
              <w:t>29 (35,4 %)</w:t>
            </w:r>
          </w:p>
          <w:p w14:paraId="063FFD87" w14:textId="77777777" w:rsidR="000E6195" w:rsidRDefault="000E6195">
            <w:pPr>
              <w:numPr>
                <w:ilvl w:val="12"/>
                <w:numId w:val="0"/>
              </w:numPr>
              <w:ind w:right="-2"/>
              <w:rPr>
                <w:bCs/>
                <w:iCs/>
              </w:rPr>
            </w:pPr>
            <w:r>
              <w:rPr>
                <w:bCs/>
                <w:iCs/>
              </w:rPr>
              <w:t>p&lt;0,001</w:t>
            </w:r>
          </w:p>
        </w:tc>
        <w:tc>
          <w:tcPr>
            <w:tcW w:w="1812" w:type="dxa"/>
            <w:tcBorders>
              <w:top w:val="single" w:sz="4" w:space="0" w:color="auto"/>
              <w:left w:val="single" w:sz="4" w:space="0" w:color="auto"/>
              <w:bottom w:val="single" w:sz="4" w:space="0" w:color="auto"/>
              <w:right w:val="single" w:sz="4" w:space="0" w:color="auto"/>
            </w:tcBorders>
            <w:hideMark/>
          </w:tcPr>
          <w:p w14:paraId="5FEDC6A9" w14:textId="77777777" w:rsidR="000E6195" w:rsidRDefault="000E6195">
            <w:pPr>
              <w:numPr>
                <w:ilvl w:val="12"/>
                <w:numId w:val="0"/>
              </w:numPr>
              <w:ind w:right="-2"/>
              <w:rPr>
                <w:bCs/>
                <w:iCs/>
              </w:rPr>
            </w:pPr>
            <w:r>
              <w:rPr>
                <w:bCs/>
                <w:iCs/>
              </w:rPr>
              <w:t>27 (35,6 %)</w:t>
            </w:r>
          </w:p>
          <w:p w14:paraId="3FEB1816" w14:textId="77777777" w:rsidR="000E6195" w:rsidRDefault="000E6195">
            <w:pPr>
              <w:numPr>
                <w:ilvl w:val="12"/>
                <w:numId w:val="0"/>
              </w:numPr>
              <w:ind w:right="-2"/>
              <w:rPr>
                <w:bCs/>
                <w:iCs/>
              </w:rPr>
            </w:pPr>
            <w:r>
              <w:rPr>
                <w:bCs/>
                <w:iCs/>
              </w:rPr>
              <w:t>p&lt;0,001</w:t>
            </w:r>
          </w:p>
        </w:tc>
        <w:tc>
          <w:tcPr>
            <w:tcW w:w="1813" w:type="dxa"/>
            <w:tcBorders>
              <w:top w:val="single" w:sz="4" w:space="0" w:color="auto"/>
              <w:left w:val="single" w:sz="4" w:space="0" w:color="auto"/>
              <w:bottom w:val="single" w:sz="4" w:space="0" w:color="auto"/>
              <w:right w:val="single" w:sz="4" w:space="0" w:color="auto"/>
            </w:tcBorders>
            <w:hideMark/>
          </w:tcPr>
          <w:p w14:paraId="3907E3E7" w14:textId="77777777" w:rsidR="000E6195" w:rsidRDefault="000E6195">
            <w:pPr>
              <w:numPr>
                <w:ilvl w:val="12"/>
                <w:numId w:val="0"/>
              </w:numPr>
              <w:ind w:right="-2"/>
              <w:rPr>
                <w:bCs/>
                <w:iCs/>
              </w:rPr>
            </w:pPr>
            <w:r>
              <w:rPr>
                <w:bCs/>
                <w:iCs/>
              </w:rPr>
              <w:t>26 (31,0 %)</w:t>
            </w:r>
          </w:p>
          <w:p w14:paraId="7EBEDB92" w14:textId="77777777" w:rsidR="000E6195" w:rsidRDefault="000E6195">
            <w:pPr>
              <w:numPr>
                <w:ilvl w:val="12"/>
                <w:numId w:val="0"/>
              </w:numPr>
              <w:ind w:right="-2"/>
              <w:rPr>
                <w:bCs/>
                <w:iCs/>
              </w:rPr>
            </w:pPr>
            <w:r>
              <w:rPr>
                <w:bCs/>
                <w:iCs/>
              </w:rPr>
              <w:t>p&lt;0,001</w:t>
            </w:r>
          </w:p>
        </w:tc>
      </w:tr>
      <w:tr w:rsidR="000E6195" w14:paraId="100B014D" w14:textId="77777777" w:rsidTr="000E6195">
        <w:tc>
          <w:tcPr>
            <w:tcW w:w="9061" w:type="dxa"/>
            <w:gridSpan w:val="5"/>
            <w:tcBorders>
              <w:top w:val="single" w:sz="4" w:space="0" w:color="auto"/>
              <w:left w:val="single" w:sz="4" w:space="0" w:color="auto"/>
              <w:bottom w:val="single" w:sz="4" w:space="0" w:color="auto"/>
              <w:right w:val="single" w:sz="4" w:space="0" w:color="auto"/>
            </w:tcBorders>
            <w:hideMark/>
          </w:tcPr>
          <w:p w14:paraId="76575955" w14:textId="77777777" w:rsidR="000E6195" w:rsidRDefault="000E6195">
            <w:pPr>
              <w:numPr>
                <w:ilvl w:val="12"/>
                <w:numId w:val="0"/>
              </w:numPr>
              <w:ind w:right="-2"/>
              <w:jc w:val="center"/>
              <w:rPr>
                <w:b/>
                <w:iCs/>
              </w:rPr>
            </w:pPr>
            <w:r>
              <w:rPr>
                <w:b/>
                <w:iCs/>
              </w:rPr>
              <w:t>Studie 2</w:t>
            </w:r>
          </w:p>
        </w:tc>
      </w:tr>
      <w:tr w:rsidR="000E6195" w14:paraId="4B853187" w14:textId="77777777" w:rsidTr="000E6195">
        <w:tc>
          <w:tcPr>
            <w:tcW w:w="1812" w:type="dxa"/>
            <w:tcBorders>
              <w:top w:val="single" w:sz="4" w:space="0" w:color="auto"/>
              <w:left w:val="single" w:sz="4" w:space="0" w:color="auto"/>
              <w:bottom w:val="single" w:sz="4" w:space="0" w:color="auto"/>
              <w:right w:val="single" w:sz="4" w:space="0" w:color="auto"/>
            </w:tcBorders>
            <w:hideMark/>
          </w:tcPr>
          <w:p w14:paraId="113D9E59" w14:textId="77777777" w:rsidR="000E6195" w:rsidRDefault="000E6195">
            <w:pPr>
              <w:pStyle w:val="Default"/>
              <w:jc w:val="center"/>
              <w:rPr>
                <w:sz w:val="22"/>
                <w:szCs w:val="22"/>
              </w:rPr>
            </w:pPr>
            <w:r>
              <w:rPr>
                <w:b/>
                <w:bCs/>
                <w:sz w:val="22"/>
                <w:szCs w:val="22"/>
              </w:rPr>
              <w:t>Studie 2</w:t>
            </w:r>
          </w:p>
          <w:p w14:paraId="03F078BA" w14:textId="77777777" w:rsidR="000E6195" w:rsidRDefault="000E6195">
            <w:pPr>
              <w:numPr>
                <w:ilvl w:val="12"/>
                <w:numId w:val="0"/>
              </w:numPr>
              <w:ind w:right="-2"/>
              <w:rPr>
                <w:bCs/>
                <w:iCs/>
                <w:sz w:val="22"/>
              </w:rPr>
            </w:pPr>
            <w:r>
              <w:rPr>
                <w:b/>
                <w:bCs/>
              </w:rPr>
              <w:t>Uge 12 LOCF; ITT</w:t>
            </w:r>
          </w:p>
        </w:tc>
        <w:tc>
          <w:tcPr>
            <w:tcW w:w="1812" w:type="dxa"/>
            <w:tcBorders>
              <w:top w:val="single" w:sz="4" w:space="0" w:color="auto"/>
              <w:left w:val="single" w:sz="4" w:space="0" w:color="auto"/>
              <w:bottom w:val="single" w:sz="4" w:space="0" w:color="auto"/>
              <w:right w:val="single" w:sz="4" w:space="0" w:color="auto"/>
            </w:tcBorders>
            <w:hideMark/>
          </w:tcPr>
          <w:p w14:paraId="3B543A7B" w14:textId="77777777" w:rsidR="000E6195" w:rsidRDefault="000E6195">
            <w:pPr>
              <w:pStyle w:val="Default"/>
              <w:jc w:val="center"/>
              <w:rPr>
                <w:sz w:val="22"/>
                <w:szCs w:val="22"/>
              </w:rPr>
            </w:pPr>
            <w:r>
              <w:rPr>
                <w:b/>
                <w:bCs/>
                <w:sz w:val="22"/>
                <w:szCs w:val="22"/>
              </w:rPr>
              <w:t>Adapalen+BPO</w:t>
            </w:r>
          </w:p>
          <w:p w14:paraId="29546264" w14:textId="77777777" w:rsidR="000E6195" w:rsidRDefault="000E6195">
            <w:pPr>
              <w:numPr>
                <w:ilvl w:val="12"/>
                <w:numId w:val="0"/>
              </w:numPr>
              <w:ind w:right="-2"/>
              <w:rPr>
                <w:bCs/>
                <w:iCs/>
                <w:sz w:val="22"/>
              </w:rPr>
            </w:pPr>
            <w:r>
              <w:rPr>
                <w:b/>
                <w:bCs/>
              </w:rPr>
              <w:t>N=415</w:t>
            </w:r>
          </w:p>
        </w:tc>
        <w:tc>
          <w:tcPr>
            <w:tcW w:w="1812" w:type="dxa"/>
            <w:tcBorders>
              <w:top w:val="single" w:sz="4" w:space="0" w:color="auto"/>
              <w:left w:val="single" w:sz="4" w:space="0" w:color="auto"/>
              <w:bottom w:val="single" w:sz="4" w:space="0" w:color="auto"/>
              <w:right w:val="single" w:sz="4" w:space="0" w:color="auto"/>
            </w:tcBorders>
            <w:hideMark/>
          </w:tcPr>
          <w:p w14:paraId="254F6AC6" w14:textId="77777777" w:rsidR="000E6195" w:rsidRDefault="000E6195">
            <w:pPr>
              <w:pStyle w:val="Default"/>
              <w:jc w:val="center"/>
              <w:rPr>
                <w:sz w:val="22"/>
                <w:szCs w:val="22"/>
              </w:rPr>
            </w:pPr>
            <w:r>
              <w:rPr>
                <w:b/>
                <w:bCs/>
                <w:sz w:val="22"/>
                <w:szCs w:val="22"/>
              </w:rPr>
              <w:t>Adapalen</w:t>
            </w:r>
          </w:p>
          <w:p w14:paraId="72BFFC9A" w14:textId="77777777" w:rsidR="000E6195" w:rsidRDefault="000E6195">
            <w:pPr>
              <w:numPr>
                <w:ilvl w:val="12"/>
                <w:numId w:val="0"/>
              </w:numPr>
              <w:ind w:right="-2"/>
              <w:rPr>
                <w:bCs/>
                <w:iCs/>
                <w:sz w:val="22"/>
              </w:rPr>
            </w:pPr>
            <w:r>
              <w:rPr>
                <w:b/>
                <w:bCs/>
              </w:rPr>
              <w:t>N=420</w:t>
            </w:r>
          </w:p>
        </w:tc>
        <w:tc>
          <w:tcPr>
            <w:tcW w:w="1812" w:type="dxa"/>
            <w:tcBorders>
              <w:top w:val="single" w:sz="4" w:space="0" w:color="auto"/>
              <w:left w:val="single" w:sz="4" w:space="0" w:color="auto"/>
              <w:bottom w:val="single" w:sz="4" w:space="0" w:color="auto"/>
              <w:right w:val="single" w:sz="4" w:space="0" w:color="auto"/>
            </w:tcBorders>
            <w:hideMark/>
          </w:tcPr>
          <w:p w14:paraId="4A4A9582" w14:textId="77777777" w:rsidR="000E6195" w:rsidRDefault="000E6195">
            <w:pPr>
              <w:pStyle w:val="Default"/>
              <w:jc w:val="center"/>
              <w:rPr>
                <w:sz w:val="22"/>
                <w:szCs w:val="22"/>
              </w:rPr>
            </w:pPr>
            <w:r>
              <w:rPr>
                <w:b/>
                <w:bCs/>
                <w:sz w:val="22"/>
                <w:szCs w:val="22"/>
              </w:rPr>
              <w:t>BPO</w:t>
            </w:r>
          </w:p>
          <w:p w14:paraId="2A5675EB" w14:textId="77777777" w:rsidR="000E6195" w:rsidRDefault="000E6195">
            <w:pPr>
              <w:numPr>
                <w:ilvl w:val="12"/>
                <w:numId w:val="0"/>
              </w:numPr>
              <w:ind w:right="-2"/>
              <w:rPr>
                <w:bCs/>
                <w:iCs/>
                <w:sz w:val="22"/>
              </w:rPr>
            </w:pPr>
            <w:r>
              <w:rPr>
                <w:b/>
                <w:bCs/>
              </w:rPr>
              <w:t>N=415</w:t>
            </w:r>
          </w:p>
        </w:tc>
        <w:tc>
          <w:tcPr>
            <w:tcW w:w="1813" w:type="dxa"/>
            <w:tcBorders>
              <w:top w:val="single" w:sz="4" w:space="0" w:color="auto"/>
              <w:left w:val="single" w:sz="4" w:space="0" w:color="auto"/>
              <w:bottom w:val="single" w:sz="4" w:space="0" w:color="auto"/>
              <w:right w:val="single" w:sz="4" w:space="0" w:color="auto"/>
            </w:tcBorders>
            <w:hideMark/>
          </w:tcPr>
          <w:p w14:paraId="51F67C1B" w14:textId="77777777" w:rsidR="000E6195" w:rsidRDefault="000E6195">
            <w:pPr>
              <w:pStyle w:val="Default"/>
              <w:jc w:val="center"/>
              <w:rPr>
                <w:sz w:val="22"/>
                <w:szCs w:val="22"/>
              </w:rPr>
            </w:pPr>
            <w:r>
              <w:rPr>
                <w:b/>
                <w:bCs/>
                <w:sz w:val="22"/>
                <w:szCs w:val="22"/>
              </w:rPr>
              <w:t>Vehikel</w:t>
            </w:r>
          </w:p>
          <w:p w14:paraId="7803F970" w14:textId="77777777" w:rsidR="000E6195" w:rsidRDefault="000E6195">
            <w:pPr>
              <w:numPr>
                <w:ilvl w:val="12"/>
                <w:numId w:val="0"/>
              </w:numPr>
              <w:ind w:right="-2"/>
              <w:rPr>
                <w:bCs/>
                <w:iCs/>
                <w:sz w:val="22"/>
              </w:rPr>
            </w:pPr>
            <w:r>
              <w:rPr>
                <w:b/>
                <w:bCs/>
              </w:rPr>
              <w:t>N=418</w:t>
            </w:r>
          </w:p>
        </w:tc>
      </w:tr>
      <w:tr w:rsidR="000E6195" w14:paraId="5AD828B4" w14:textId="77777777" w:rsidTr="000E6195">
        <w:tc>
          <w:tcPr>
            <w:tcW w:w="1812" w:type="dxa"/>
            <w:tcBorders>
              <w:top w:val="single" w:sz="4" w:space="0" w:color="auto"/>
              <w:left w:val="single" w:sz="4" w:space="0" w:color="auto"/>
              <w:bottom w:val="single" w:sz="4" w:space="0" w:color="auto"/>
              <w:right w:val="single" w:sz="4" w:space="0" w:color="auto"/>
            </w:tcBorders>
          </w:tcPr>
          <w:p w14:paraId="4FC9DAFD" w14:textId="77777777" w:rsidR="000E6195" w:rsidRDefault="000E6195">
            <w:pPr>
              <w:pStyle w:val="Default"/>
              <w:rPr>
                <w:sz w:val="22"/>
                <w:szCs w:val="22"/>
                <w:lang w:eastAsia="en-US"/>
              </w:rPr>
            </w:pPr>
            <w:r>
              <w:rPr>
                <w:b/>
                <w:bCs/>
                <w:sz w:val="22"/>
                <w:szCs w:val="22"/>
              </w:rPr>
              <w:t xml:space="preserve">Succesrate (Klar, Næsten klar) </w:t>
            </w:r>
          </w:p>
          <w:p w14:paraId="0DE2F8AD" w14:textId="77777777" w:rsidR="000E6195" w:rsidRDefault="000E6195">
            <w:pPr>
              <w:numPr>
                <w:ilvl w:val="12"/>
                <w:numId w:val="0"/>
              </w:numPr>
              <w:ind w:right="-2"/>
              <w:rPr>
                <w:bCs/>
                <w:iCs/>
                <w:sz w:val="22"/>
              </w:rPr>
            </w:pPr>
          </w:p>
        </w:tc>
        <w:tc>
          <w:tcPr>
            <w:tcW w:w="1812" w:type="dxa"/>
            <w:tcBorders>
              <w:top w:val="single" w:sz="4" w:space="0" w:color="auto"/>
              <w:left w:val="single" w:sz="4" w:space="0" w:color="auto"/>
              <w:bottom w:val="single" w:sz="4" w:space="0" w:color="auto"/>
              <w:right w:val="single" w:sz="4" w:space="0" w:color="auto"/>
            </w:tcBorders>
            <w:hideMark/>
          </w:tcPr>
          <w:p w14:paraId="576AB361" w14:textId="77777777" w:rsidR="000E6195" w:rsidRDefault="000E6195">
            <w:pPr>
              <w:numPr>
                <w:ilvl w:val="12"/>
                <w:numId w:val="0"/>
              </w:numPr>
              <w:ind w:right="-2"/>
              <w:rPr>
                <w:bCs/>
                <w:iCs/>
              </w:rPr>
            </w:pPr>
            <w:r>
              <w:rPr>
                <w:bCs/>
                <w:iCs/>
              </w:rPr>
              <w:t>125 (30,1 %)</w:t>
            </w:r>
          </w:p>
        </w:tc>
        <w:tc>
          <w:tcPr>
            <w:tcW w:w="1812" w:type="dxa"/>
            <w:tcBorders>
              <w:top w:val="single" w:sz="4" w:space="0" w:color="auto"/>
              <w:left w:val="single" w:sz="4" w:space="0" w:color="auto"/>
              <w:bottom w:val="single" w:sz="4" w:space="0" w:color="auto"/>
              <w:right w:val="single" w:sz="4" w:space="0" w:color="auto"/>
            </w:tcBorders>
            <w:hideMark/>
          </w:tcPr>
          <w:p w14:paraId="3370625C" w14:textId="77777777" w:rsidR="000E6195" w:rsidRDefault="000E6195">
            <w:pPr>
              <w:numPr>
                <w:ilvl w:val="12"/>
                <w:numId w:val="0"/>
              </w:numPr>
              <w:ind w:right="-2"/>
              <w:rPr>
                <w:bCs/>
                <w:iCs/>
              </w:rPr>
            </w:pPr>
            <w:r>
              <w:rPr>
                <w:bCs/>
                <w:iCs/>
              </w:rPr>
              <w:t>83 (19,8 %)</w:t>
            </w:r>
          </w:p>
          <w:p w14:paraId="797A4041" w14:textId="77777777" w:rsidR="000E6195" w:rsidRDefault="000E6195">
            <w:pPr>
              <w:numPr>
                <w:ilvl w:val="12"/>
                <w:numId w:val="0"/>
              </w:numPr>
              <w:ind w:right="-2"/>
              <w:rPr>
                <w:bCs/>
                <w:iCs/>
              </w:rPr>
            </w:pPr>
            <w:r>
              <w:rPr>
                <w:bCs/>
                <w:iCs/>
              </w:rPr>
              <w:t>p&lt;0,001</w:t>
            </w:r>
          </w:p>
        </w:tc>
        <w:tc>
          <w:tcPr>
            <w:tcW w:w="1812" w:type="dxa"/>
            <w:tcBorders>
              <w:top w:val="single" w:sz="4" w:space="0" w:color="auto"/>
              <w:left w:val="single" w:sz="4" w:space="0" w:color="auto"/>
              <w:bottom w:val="single" w:sz="4" w:space="0" w:color="auto"/>
              <w:right w:val="single" w:sz="4" w:space="0" w:color="auto"/>
            </w:tcBorders>
          </w:tcPr>
          <w:p w14:paraId="61FFFFD6" w14:textId="77777777" w:rsidR="000E6195" w:rsidRDefault="000E6195">
            <w:pPr>
              <w:numPr>
                <w:ilvl w:val="12"/>
                <w:numId w:val="0"/>
              </w:numPr>
              <w:ind w:right="-2"/>
              <w:rPr>
                <w:bCs/>
                <w:iCs/>
              </w:rPr>
            </w:pPr>
            <w:r>
              <w:rPr>
                <w:bCs/>
                <w:iCs/>
              </w:rPr>
              <w:t>92 (22,2 %)</w:t>
            </w:r>
          </w:p>
          <w:p w14:paraId="3506A942" w14:textId="77777777" w:rsidR="000E6195" w:rsidRDefault="000E6195">
            <w:pPr>
              <w:numPr>
                <w:ilvl w:val="12"/>
                <w:numId w:val="0"/>
              </w:numPr>
              <w:ind w:right="-2"/>
              <w:rPr>
                <w:bCs/>
                <w:iCs/>
              </w:rPr>
            </w:pPr>
            <w:r>
              <w:rPr>
                <w:bCs/>
                <w:iCs/>
              </w:rPr>
              <w:t>p=0,006</w:t>
            </w:r>
          </w:p>
          <w:p w14:paraId="5B980DC2" w14:textId="77777777" w:rsidR="000E6195" w:rsidRDefault="000E6195"/>
        </w:tc>
        <w:tc>
          <w:tcPr>
            <w:tcW w:w="1813" w:type="dxa"/>
            <w:tcBorders>
              <w:top w:val="single" w:sz="4" w:space="0" w:color="auto"/>
              <w:left w:val="single" w:sz="4" w:space="0" w:color="auto"/>
              <w:bottom w:val="single" w:sz="4" w:space="0" w:color="auto"/>
              <w:right w:val="single" w:sz="4" w:space="0" w:color="auto"/>
            </w:tcBorders>
            <w:hideMark/>
          </w:tcPr>
          <w:p w14:paraId="7354C1EF" w14:textId="77777777" w:rsidR="000E6195" w:rsidRDefault="000E6195">
            <w:pPr>
              <w:numPr>
                <w:ilvl w:val="12"/>
                <w:numId w:val="0"/>
              </w:numPr>
              <w:ind w:right="-2"/>
              <w:rPr>
                <w:bCs/>
                <w:iCs/>
              </w:rPr>
            </w:pPr>
            <w:r>
              <w:rPr>
                <w:bCs/>
                <w:iCs/>
              </w:rPr>
              <w:t>47 (11,3 %)</w:t>
            </w:r>
          </w:p>
          <w:p w14:paraId="15A0F4B3" w14:textId="77777777" w:rsidR="000E6195" w:rsidRDefault="000E6195">
            <w:pPr>
              <w:numPr>
                <w:ilvl w:val="12"/>
                <w:numId w:val="0"/>
              </w:numPr>
              <w:ind w:right="-2"/>
              <w:rPr>
                <w:bCs/>
                <w:iCs/>
              </w:rPr>
            </w:pPr>
            <w:r>
              <w:rPr>
                <w:bCs/>
                <w:iCs/>
              </w:rPr>
              <w:t>p&lt;0,001</w:t>
            </w:r>
          </w:p>
        </w:tc>
      </w:tr>
      <w:tr w:rsidR="000E6195" w14:paraId="4D74B828" w14:textId="77777777" w:rsidTr="000E6195">
        <w:tc>
          <w:tcPr>
            <w:tcW w:w="1812" w:type="dxa"/>
            <w:tcBorders>
              <w:top w:val="single" w:sz="4" w:space="0" w:color="auto"/>
              <w:left w:val="single" w:sz="4" w:space="0" w:color="auto"/>
              <w:bottom w:val="single" w:sz="4" w:space="0" w:color="auto"/>
              <w:right w:val="single" w:sz="4" w:space="0" w:color="auto"/>
            </w:tcBorders>
          </w:tcPr>
          <w:p w14:paraId="319E6BA4" w14:textId="77777777" w:rsidR="000E6195" w:rsidRDefault="000E6195">
            <w:pPr>
              <w:pStyle w:val="Default"/>
              <w:rPr>
                <w:sz w:val="20"/>
                <w:lang w:eastAsia="en-US"/>
              </w:rPr>
            </w:pPr>
            <w:r>
              <w:rPr>
                <w:b/>
                <w:bCs/>
                <w:sz w:val="20"/>
                <w:szCs w:val="20"/>
              </w:rPr>
              <w:t>Medianreduktion (% reduktion) i</w:t>
            </w:r>
          </w:p>
          <w:p w14:paraId="25943BC9" w14:textId="77777777" w:rsidR="000E6195" w:rsidRDefault="000E6195">
            <w:pPr>
              <w:numPr>
                <w:ilvl w:val="12"/>
                <w:numId w:val="0"/>
              </w:numPr>
              <w:ind w:right="-2"/>
              <w:rPr>
                <w:bCs/>
                <w:iCs/>
                <w:sz w:val="22"/>
              </w:rPr>
            </w:pPr>
          </w:p>
        </w:tc>
        <w:tc>
          <w:tcPr>
            <w:tcW w:w="7249" w:type="dxa"/>
            <w:gridSpan w:val="4"/>
            <w:tcBorders>
              <w:top w:val="single" w:sz="4" w:space="0" w:color="auto"/>
              <w:left w:val="single" w:sz="4" w:space="0" w:color="auto"/>
              <w:bottom w:val="single" w:sz="4" w:space="0" w:color="auto"/>
              <w:right w:val="single" w:sz="4" w:space="0" w:color="auto"/>
            </w:tcBorders>
          </w:tcPr>
          <w:p w14:paraId="42C65341" w14:textId="77777777" w:rsidR="000E6195" w:rsidRDefault="000E6195">
            <w:pPr>
              <w:numPr>
                <w:ilvl w:val="12"/>
                <w:numId w:val="0"/>
              </w:numPr>
              <w:ind w:right="-2"/>
              <w:rPr>
                <w:bCs/>
                <w:iCs/>
              </w:rPr>
            </w:pPr>
          </w:p>
        </w:tc>
      </w:tr>
      <w:tr w:rsidR="000E6195" w14:paraId="55578546" w14:textId="77777777" w:rsidTr="000E6195">
        <w:tc>
          <w:tcPr>
            <w:tcW w:w="1812" w:type="dxa"/>
            <w:tcBorders>
              <w:top w:val="single" w:sz="4" w:space="0" w:color="auto"/>
              <w:left w:val="single" w:sz="4" w:space="0" w:color="auto"/>
              <w:bottom w:val="single" w:sz="4" w:space="0" w:color="auto"/>
              <w:right w:val="single" w:sz="4" w:space="0" w:color="auto"/>
            </w:tcBorders>
            <w:hideMark/>
          </w:tcPr>
          <w:p w14:paraId="11C9C4AE" w14:textId="77777777" w:rsidR="000E6195" w:rsidRDefault="000E6195">
            <w:pPr>
              <w:numPr>
                <w:ilvl w:val="12"/>
                <w:numId w:val="0"/>
              </w:numPr>
              <w:ind w:right="-2"/>
              <w:rPr>
                <w:bCs/>
                <w:iCs/>
              </w:rPr>
            </w:pPr>
            <w:r>
              <w:lastRenderedPageBreak/>
              <w:t>Antal inflammatoriske læsioner</w:t>
            </w:r>
          </w:p>
        </w:tc>
        <w:tc>
          <w:tcPr>
            <w:tcW w:w="1812" w:type="dxa"/>
            <w:tcBorders>
              <w:top w:val="single" w:sz="4" w:space="0" w:color="auto"/>
              <w:left w:val="single" w:sz="4" w:space="0" w:color="auto"/>
              <w:bottom w:val="single" w:sz="4" w:space="0" w:color="auto"/>
              <w:right w:val="single" w:sz="4" w:space="0" w:color="auto"/>
            </w:tcBorders>
            <w:hideMark/>
          </w:tcPr>
          <w:p w14:paraId="048AFB24" w14:textId="77777777" w:rsidR="000E6195" w:rsidRDefault="000E6195">
            <w:pPr>
              <w:numPr>
                <w:ilvl w:val="12"/>
                <w:numId w:val="0"/>
              </w:numPr>
              <w:ind w:right="-2"/>
              <w:rPr>
                <w:bCs/>
                <w:iCs/>
              </w:rPr>
            </w:pPr>
            <w:r>
              <w:rPr>
                <w:bCs/>
                <w:iCs/>
              </w:rPr>
              <w:t>16 (62,1 %)</w:t>
            </w:r>
          </w:p>
        </w:tc>
        <w:tc>
          <w:tcPr>
            <w:tcW w:w="1812" w:type="dxa"/>
            <w:tcBorders>
              <w:top w:val="single" w:sz="4" w:space="0" w:color="auto"/>
              <w:left w:val="single" w:sz="4" w:space="0" w:color="auto"/>
              <w:bottom w:val="single" w:sz="4" w:space="0" w:color="auto"/>
              <w:right w:val="single" w:sz="4" w:space="0" w:color="auto"/>
            </w:tcBorders>
            <w:hideMark/>
          </w:tcPr>
          <w:p w14:paraId="62D142D5" w14:textId="77777777" w:rsidR="000E6195" w:rsidRDefault="000E6195">
            <w:pPr>
              <w:numPr>
                <w:ilvl w:val="12"/>
                <w:numId w:val="0"/>
              </w:numPr>
              <w:ind w:right="-2"/>
              <w:rPr>
                <w:bCs/>
                <w:iCs/>
              </w:rPr>
            </w:pPr>
            <w:r>
              <w:rPr>
                <w:bCs/>
                <w:iCs/>
              </w:rPr>
              <w:t>14 (50,0 %)</w:t>
            </w:r>
          </w:p>
          <w:p w14:paraId="10FDCC69" w14:textId="77777777" w:rsidR="000E6195" w:rsidRDefault="000E6195">
            <w:pPr>
              <w:numPr>
                <w:ilvl w:val="12"/>
                <w:numId w:val="0"/>
              </w:numPr>
              <w:ind w:right="-2"/>
              <w:rPr>
                <w:bCs/>
                <w:iCs/>
              </w:rPr>
            </w:pPr>
            <w:r>
              <w:rPr>
                <w:bCs/>
                <w:iCs/>
              </w:rPr>
              <w:t>p&lt;0,001</w:t>
            </w:r>
          </w:p>
        </w:tc>
        <w:tc>
          <w:tcPr>
            <w:tcW w:w="1812" w:type="dxa"/>
            <w:tcBorders>
              <w:top w:val="single" w:sz="4" w:space="0" w:color="auto"/>
              <w:left w:val="single" w:sz="4" w:space="0" w:color="auto"/>
              <w:bottom w:val="single" w:sz="4" w:space="0" w:color="auto"/>
              <w:right w:val="single" w:sz="4" w:space="0" w:color="auto"/>
            </w:tcBorders>
            <w:hideMark/>
          </w:tcPr>
          <w:p w14:paraId="73978240" w14:textId="77777777" w:rsidR="000E6195" w:rsidRDefault="000E6195">
            <w:pPr>
              <w:numPr>
                <w:ilvl w:val="12"/>
                <w:numId w:val="0"/>
              </w:numPr>
              <w:ind w:right="-2"/>
              <w:rPr>
                <w:bCs/>
                <w:iCs/>
              </w:rPr>
            </w:pPr>
            <w:r>
              <w:rPr>
                <w:bCs/>
                <w:iCs/>
              </w:rPr>
              <w:t>16 (55,6 %)</w:t>
            </w:r>
          </w:p>
          <w:p w14:paraId="166CD49A" w14:textId="77777777" w:rsidR="000E6195" w:rsidRDefault="000E6195">
            <w:pPr>
              <w:numPr>
                <w:ilvl w:val="12"/>
                <w:numId w:val="0"/>
              </w:numPr>
              <w:ind w:right="-2"/>
              <w:rPr>
                <w:bCs/>
                <w:iCs/>
              </w:rPr>
            </w:pPr>
            <w:r>
              <w:rPr>
                <w:bCs/>
                <w:iCs/>
              </w:rPr>
              <w:t>p=0,068</w:t>
            </w:r>
          </w:p>
        </w:tc>
        <w:tc>
          <w:tcPr>
            <w:tcW w:w="1813" w:type="dxa"/>
            <w:tcBorders>
              <w:top w:val="single" w:sz="4" w:space="0" w:color="auto"/>
              <w:left w:val="single" w:sz="4" w:space="0" w:color="auto"/>
              <w:bottom w:val="single" w:sz="4" w:space="0" w:color="auto"/>
              <w:right w:val="single" w:sz="4" w:space="0" w:color="auto"/>
            </w:tcBorders>
            <w:hideMark/>
          </w:tcPr>
          <w:p w14:paraId="6824DB74" w14:textId="77777777" w:rsidR="000E6195" w:rsidRDefault="000E6195">
            <w:pPr>
              <w:numPr>
                <w:ilvl w:val="12"/>
                <w:numId w:val="0"/>
              </w:numPr>
              <w:ind w:right="-2"/>
              <w:rPr>
                <w:bCs/>
                <w:iCs/>
              </w:rPr>
            </w:pPr>
            <w:r>
              <w:rPr>
                <w:bCs/>
                <w:iCs/>
              </w:rPr>
              <w:t>10 (34,3 %)</w:t>
            </w:r>
          </w:p>
          <w:p w14:paraId="6903E43A" w14:textId="77777777" w:rsidR="000E6195" w:rsidRDefault="000E6195">
            <w:pPr>
              <w:numPr>
                <w:ilvl w:val="12"/>
                <w:numId w:val="0"/>
              </w:numPr>
              <w:ind w:right="-2"/>
              <w:rPr>
                <w:bCs/>
                <w:iCs/>
              </w:rPr>
            </w:pPr>
            <w:r>
              <w:rPr>
                <w:bCs/>
                <w:iCs/>
              </w:rPr>
              <w:t>p&lt;0,001</w:t>
            </w:r>
          </w:p>
        </w:tc>
      </w:tr>
      <w:tr w:rsidR="000E6195" w14:paraId="0BBB6238" w14:textId="77777777" w:rsidTr="000E6195">
        <w:tc>
          <w:tcPr>
            <w:tcW w:w="1812" w:type="dxa"/>
            <w:tcBorders>
              <w:top w:val="single" w:sz="4" w:space="0" w:color="auto"/>
              <w:left w:val="single" w:sz="4" w:space="0" w:color="auto"/>
              <w:bottom w:val="single" w:sz="4" w:space="0" w:color="auto"/>
              <w:right w:val="single" w:sz="4" w:space="0" w:color="auto"/>
            </w:tcBorders>
            <w:hideMark/>
          </w:tcPr>
          <w:p w14:paraId="19A0A01B" w14:textId="77777777" w:rsidR="000E6195" w:rsidRDefault="000E6195">
            <w:pPr>
              <w:numPr>
                <w:ilvl w:val="12"/>
                <w:numId w:val="0"/>
              </w:numPr>
              <w:ind w:right="-2"/>
              <w:rPr>
                <w:bCs/>
                <w:iCs/>
              </w:rPr>
            </w:pPr>
            <w:r>
              <w:rPr>
                <w:bCs/>
                <w:iCs/>
              </w:rPr>
              <w:t>Antal ikke-inflammatoriske læsioner</w:t>
            </w:r>
          </w:p>
        </w:tc>
        <w:tc>
          <w:tcPr>
            <w:tcW w:w="1812" w:type="dxa"/>
            <w:tcBorders>
              <w:top w:val="single" w:sz="4" w:space="0" w:color="auto"/>
              <w:left w:val="single" w:sz="4" w:space="0" w:color="auto"/>
              <w:bottom w:val="single" w:sz="4" w:space="0" w:color="auto"/>
              <w:right w:val="single" w:sz="4" w:space="0" w:color="auto"/>
            </w:tcBorders>
            <w:hideMark/>
          </w:tcPr>
          <w:p w14:paraId="422ADED6" w14:textId="77777777" w:rsidR="000E6195" w:rsidRDefault="000E6195">
            <w:pPr>
              <w:numPr>
                <w:ilvl w:val="12"/>
                <w:numId w:val="0"/>
              </w:numPr>
              <w:ind w:right="-2"/>
              <w:rPr>
                <w:bCs/>
                <w:iCs/>
              </w:rPr>
            </w:pPr>
            <w:r>
              <w:rPr>
                <w:bCs/>
                <w:iCs/>
              </w:rPr>
              <w:t>24 (53,8 %)</w:t>
            </w:r>
          </w:p>
        </w:tc>
        <w:tc>
          <w:tcPr>
            <w:tcW w:w="1812" w:type="dxa"/>
            <w:tcBorders>
              <w:top w:val="single" w:sz="4" w:space="0" w:color="auto"/>
              <w:left w:val="single" w:sz="4" w:space="0" w:color="auto"/>
              <w:bottom w:val="single" w:sz="4" w:space="0" w:color="auto"/>
              <w:right w:val="single" w:sz="4" w:space="0" w:color="auto"/>
            </w:tcBorders>
            <w:hideMark/>
          </w:tcPr>
          <w:p w14:paraId="01B385F9" w14:textId="77777777" w:rsidR="000E6195" w:rsidRDefault="000E6195">
            <w:pPr>
              <w:numPr>
                <w:ilvl w:val="12"/>
                <w:numId w:val="0"/>
              </w:numPr>
              <w:ind w:right="-2"/>
              <w:rPr>
                <w:bCs/>
                <w:iCs/>
              </w:rPr>
            </w:pPr>
            <w:r>
              <w:rPr>
                <w:bCs/>
                <w:iCs/>
              </w:rPr>
              <w:t>22 (49,1 %)</w:t>
            </w:r>
          </w:p>
          <w:p w14:paraId="5F2746D8" w14:textId="77777777" w:rsidR="000E6195" w:rsidRDefault="000E6195">
            <w:pPr>
              <w:numPr>
                <w:ilvl w:val="12"/>
                <w:numId w:val="0"/>
              </w:numPr>
              <w:ind w:right="-2"/>
              <w:rPr>
                <w:bCs/>
                <w:iCs/>
              </w:rPr>
            </w:pPr>
            <w:r>
              <w:rPr>
                <w:bCs/>
                <w:iCs/>
              </w:rPr>
              <w:t>p=0,048</w:t>
            </w:r>
          </w:p>
        </w:tc>
        <w:tc>
          <w:tcPr>
            <w:tcW w:w="1812" w:type="dxa"/>
            <w:tcBorders>
              <w:top w:val="single" w:sz="4" w:space="0" w:color="auto"/>
              <w:left w:val="single" w:sz="4" w:space="0" w:color="auto"/>
              <w:bottom w:val="single" w:sz="4" w:space="0" w:color="auto"/>
              <w:right w:val="single" w:sz="4" w:space="0" w:color="auto"/>
            </w:tcBorders>
            <w:hideMark/>
          </w:tcPr>
          <w:p w14:paraId="00D5BED1" w14:textId="77777777" w:rsidR="000E6195" w:rsidRDefault="000E6195">
            <w:pPr>
              <w:numPr>
                <w:ilvl w:val="12"/>
                <w:numId w:val="0"/>
              </w:numPr>
              <w:ind w:right="-2"/>
              <w:rPr>
                <w:bCs/>
                <w:iCs/>
              </w:rPr>
            </w:pPr>
            <w:r>
              <w:rPr>
                <w:bCs/>
                <w:iCs/>
              </w:rPr>
              <w:t>20 (44,1 %)</w:t>
            </w:r>
          </w:p>
          <w:p w14:paraId="23060316" w14:textId="77777777" w:rsidR="000E6195" w:rsidRDefault="000E6195">
            <w:pPr>
              <w:numPr>
                <w:ilvl w:val="12"/>
                <w:numId w:val="0"/>
              </w:numPr>
              <w:ind w:right="-2"/>
              <w:rPr>
                <w:bCs/>
                <w:iCs/>
              </w:rPr>
            </w:pPr>
            <w:r>
              <w:rPr>
                <w:bCs/>
                <w:iCs/>
              </w:rPr>
              <w:t>p&lt;0,001</w:t>
            </w:r>
          </w:p>
        </w:tc>
        <w:tc>
          <w:tcPr>
            <w:tcW w:w="1813" w:type="dxa"/>
            <w:tcBorders>
              <w:top w:val="single" w:sz="4" w:space="0" w:color="auto"/>
              <w:left w:val="single" w:sz="4" w:space="0" w:color="auto"/>
              <w:bottom w:val="single" w:sz="4" w:space="0" w:color="auto"/>
              <w:right w:val="single" w:sz="4" w:space="0" w:color="auto"/>
            </w:tcBorders>
            <w:hideMark/>
          </w:tcPr>
          <w:p w14:paraId="38B12E72" w14:textId="77777777" w:rsidR="000E6195" w:rsidRDefault="000E6195">
            <w:pPr>
              <w:numPr>
                <w:ilvl w:val="12"/>
                <w:numId w:val="0"/>
              </w:numPr>
              <w:ind w:right="-2"/>
              <w:rPr>
                <w:bCs/>
                <w:iCs/>
              </w:rPr>
            </w:pPr>
            <w:r>
              <w:rPr>
                <w:bCs/>
                <w:iCs/>
              </w:rPr>
              <w:t>14 (29,5 %)</w:t>
            </w:r>
          </w:p>
          <w:p w14:paraId="004FAD63" w14:textId="77777777" w:rsidR="000E6195" w:rsidRDefault="000E6195">
            <w:pPr>
              <w:numPr>
                <w:ilvl w:val="12"/>
                <w:numId w:val="0"/>
              </w:numPr>
              <w:ind w:right="-2"/>
              <w:rPr>
                <w:bCs/>
                <w:iCs/>
              </w:rPr>
            </w:pPr>
            <w:r>
              <w:rPr>
                <w:bCs/>
                <w:iCs/>
              </w:rPr>
              <w:t>p&lt;0,001</w:t>
            </w:r>
          </w:p>
        </w:tc>
      </w:tr>
      <w:tr w:rsidR="000E6195" w14:paraId="75A75613" w14:textId="77777777" w:rsidTr="000E6195">
        <w:tc>
          <w:tcPr>
            <w:tcW w:w="1812" w:type="dxa"/>
            <w:tcBorders>
              <w:top w:val="single" w:sz="4" w:space="0" w:color="auto"/>
              <w:left w:val="single" w:sz="4" w:space="0" w:color="auto"/>
              <w:bottom w:val="single" w:sz="4" w:space="0" w:color="auto"/>
              <w:right w:val="single" w:sz="4" w:space="0" w:color="auto"/>
            </w:tcBorders>
            <w:hideMark/>
          </w:tcPr>
          <w:p w14:paraId="2EB3BB1D" w14:textId="77777777" w:rsidR="000E6195" w:rsidRDefault="000E6195">
            <w:pPr>
              <w:numPr>
                <w:ilvl w:val="12"/>
                <w:numId w:val="0"/>
              </w:numPr>
              <w:ind w:right="-2"/>
              <w:rPr>
                <w:bCs/>
                <w:iCs/>
              </w:rPr>
            </w:pPr>
            <w:r>
              <w:rPr>
                <w:bCs/>
                <w:iCs/>
              </w:rPr>
              <w:t>Samlet antal læsioner</w:t>
            </w:r>
          </w:p>
        </w:tc>
        <w:tc>
          <w:tcPr>
            <w:tcW w:w="1812" w:type="dxa"/>
            <w:tcBorders>
              <w:top w:val="single" w:sz="4" w:space="0" w:color="auto"/>
              <w:left w:val="single" w:sz="4" w:space="0" w:color="auto"/>
              <w:bottom w:val="single" w:sz="4" w:space="0" w:color="auto"/>
              <w:right w:val="single" w:sz="4" w:space="0" w:color="auto"/>
            </w:tcBorders>
            <w:hideMark/>
          </w:tcPr>
          <w:p w14:paraId="401E154D" w14:textId="77777777" w:rsidR="000E6195" w:rsidRDefault="000E6195">
            <w:pPr>
              <w:numPr>
                <w:ilvl w:val="12"/>
                <w:numId w:val="0"/>
              </w:numPr>
              <w:ind w:right="-2"/>
              <w:rPr>
                <w:bCs/>
                <w:iCs/>
              </w:rPr>
            </w:pPr>
            <w:r>
              <w:rPr>
                <w:bCs/>
                <w:iCs/>
              </w:rPr>
              <w:t>45 (56,3 %)</w:t>
            </w:r>
          </w:p>
        </w:tc>
        <w:tc>
          <w:tcPr>
            <w:tcW w:w="1812" w:type="dxa"/>
            <w:tcBorders>
              <w:top w:val="single" w:sz="4" w:space="0" w:color="auto"/>
              <w:left w:val="single" w:sz="4" w:space="0" w:color="auto"/>
              <w:bottom w:val="single" w:sz="4" w:space="0" w:color="auto"/>
              <w:right w:val="single" w:sz="4" w:space="0" w:color="auto"/>
            </w:tcBorders>
            <w:hideMark/>
          </w:tcPr>
          <w:p w14:paraId="5D240A64" w14:textId="77777777" w:rsidR="000E6195" w:rsidRDefault="000E6195">
            <w:pPr>
              <w:numPr>
                <w:ilvl w:val="12"/>
                <w:numId w:val="0"/>
              </w:numPr>
              <w:ind w:right="-2"/>
              <w:rPr>
                <w:bCs/>
                <w:iCs/>
              </w:rPr>
            </w:pPr>
            <w:r>
              <w:rPr>
                <w:bCs/>
                <w:iCs/>
              </w:rPr>
              <w:t>39 (46,9 %)</w:t>
            </w:r>
          </w:p>
          <w:p w14:paraId="4AAF9790" w14:textId="77777777" w:rsidR="000E6195" w:rsidRDefault="000E6195">
            <w:pPr>
              <w:numPr>
                <w:ilvl w:val="12"/>
                <w:numId w:val="0"/>
              </w:numPr>
              <w:ind w:right="-2"/>
              <w:rPr>
                <w:bCs/>
                <w:iCs/>
              </w:rPr>
            </w:pPr>
            <w:r>
              <w:rPr>
                <w:bCs/>
                <w:iCs/>
              </w:rPr>
              <w:t>p=0,002</w:t>
            </w:r>
          </w:p>
        </w:tc>
        <w:tc>
          <w:tcPr>
            <w:tcW w:w="1812" w:type="dxa"/>
            <w:tcBorders>
              <w:top w:val="single" w:sz="4" w:space="0" w:color="auto"/>
              <w:left w:val="single" w:sz="4" w:space="0" w:color="auto"/>
              <w:bottom w:val="single" w:sz="4" w:space="0" w:color="auto"/>
              <w:right w:val="single" w:sz="4" w:space="0" w:color="auto"/>
            </w:tcBorders>
            <w:hideMark/>
          </w:tcPr>
          <w:p w14:paraId="4D56451B" w14:textId="77777777" w:rsidR="000E6195" w:rsidRDefault="000E6195">
            <w:pPr>
              <w:numPr>
                <w:ilvl w:val="12"/>
                <w:numId w:val="0"/>
              </w:numPr>
              <w:ind w:right="-2"/>
              <w:rPr>
                <w:bCs/>
                <w:iCs/>
              </w:rPr>
            </w:pPr>
            <w:r>
              <w:rPr>
                <w:bCs/>
                <w:iCs/>
              </w:rPr>
              <w:t>38 (48,1 %)</w:t>
            </w:r>
          </w:p>
          <w:p w14:paraId="01A5F5D4" w14:textId="77777777" w:rsidR="000E6195" w:rsidRDefault="000E6195">
            <w:pPr>
              <w:numPr>
                <w:ilvl w:val="12"/>
                <w:numId w:val="0"/>
              </w:numPr>
              <w:ind w:right="-2"/>
              <w:rPr>
                <w:bCs/>
                <w:iCs/>
              </w:rPr>
            </w:pPr>
            <w:r>
              <w:rPr>
                <w:bCs/>
                <w:iCs/>
              </w:rPr>
              <w:t>p&lt;0,001</w:t>
            </w:r>
          </w:p>
        </w:tc>
        <w:tc>
          <w:tcPr>
            <w:tcW w:w="1813" w:type="dxa"/>
            <w:tcBorders>
              <w:top w:val="single" w:sz="4" w:space="0" w:color="auto"/>
              <w:left w:val="single" w:sz="4" w:space="0" w:color="auto"/>
              <w:bottom w:val="single" w:sz="4" w:space="0" w:color="auto"/>
              <w:right w:val="single" w:sz="4" w:space="0" w:color="auto"/>
            </w:tcBorders>
            <w:hideMark/>
          </w:tcPr>
          <w:p w14:paraId="56D47166" w14:textId="77777777" w:rsidR="000E6195" w:rsidRDefault="000E6195">
            <w:pPr>
              <w:numPr>
                <w:ilvl w:val="12"/>
                <w:numId w:val="0"/>
              </w:numPr>
              <w:ind w:right="-2"/>
              <w:rPr>
                <w:bCs/>
                <w:iCs/>
              </w:rPr>
            </w:pPr>
            <w:r>
              <w:rPr>
                <w:bCs/>
                <w:iCs/>
              </w:rPr>
              <w:t>24 (28,0 %)</w:t>
            </w:r>
          </w:p>
          <w:p w14:paraId="2F0F366A" w14:textId="77777777" w:rsidR="000E6195" w:rsidRDefault="000E6195">
            <w:pPr>
              <w:numPr>
                <w:ilvl w:val="12"/>
                <w:numId w:val="0"/>
              </w:numPr>
              <w:ind w:right="-2"/>
              <w:rPr>
                <w:bCs/>
                <w:iCs/>
              </w:rPr>
            </w:pPr>
            <w:r>
              <w:rPr>
                <w:bCs/>
                <w:iCs/>
              </w:rPr>
              <w:t>p&lt;0,001</w:t>
            </w:r>
          </w:p>
        </w:tc>
      </w:tr>
    </w:tbl>
    <w:p w14:paraId="2F9E0160" w14:textId="77777777" w:rsidR="000E6195" w:rsidRDefault="000E6195" w:rsidP="000E6195">
      <w:pPr>
        <w:rPr>
          <w:sz w:val="22"/>
        </w:rPr>
      </w:pPr>
    </w:p>
    <w:p w14:paraId="5BA79E0F" w14:textId="77777777" w:rsidR="000E6195" w:rsidRDefault="000E6195" w:rsidP="000E6195">
      <w:pPr>
        <w:keepNext/>
        <w:numPr>
          <w:ilvl w:val="12"/>
          <w:numId w:val="0"/>
        </w:numPr>
        <w:ind w:left="1134" w:hanging="1134"/>
        <w:rPr>
          <w:b/>
          <w:iCs/>
          <w:szCs w:val="22"/>
        </w:rPr>
      </w:pPr>
      <w:r>
        <w:rPr>
          <w:b/>
          <w:iCs/>
          <w:szCs w:val="22"/>
        </w:rPr>
        <w:t>Tabel 2:</w:t>
      </w:r>
      <w:r>
        <w:rPr>
          <w:b/>
          <w:iCs/>
          <w:szCs w:val="22"/>
        </w:rPr>
        <w:tab/>
        <w:t>Klinisk virkning i kombinerede komparative studier</w:t>
      </w:r>
    </w:p>
    <w:tbl>
      <w:tblPr>
        <w:tblStyle w:val="Tabel-Gitter"/>
        <w:tblW w:w="5000" w:type="pct"/>
        <w:tblInd w:w="0" w:type="dxa"/>
        <w:tblLook w:val="04A0" w:firstRow="1" w:lastRow="0" w:firstColumn="1" w:lastColumn="0" w:noHBand="0" w:noVBand="1"/>
      </w:tblPr>
      <w:tblGrid>
        <w:gridCol w:w="2706"/>
        <w:gridCol w:w="1808"/>
        <w:gridCol w:w="1806"/>
        <w:gridCol w:w="1656"/>
        <w:gridCol w:w="1652"/>
      </w:tblGrid>
      <w:tr w:rsidR="000E6195" w14:paraId="02943641" w14:textId="77777777" w:rsidTr="000E6195">
        <w:trPr>
          <w:tblHeader/>
        </w:trPr>
        <w:tc>
          <w:tcPr>
            <w:tcW w:w="1405" w:type="pct"/>
            <w:tcBorders>
              <w:top w:val="single" w:sz="4" w:space="0" w:color="auto"/>
              <w:left w:val="single" w:sz="4" w:space="0" w:color="auto"/>
              <w:bottom w:val="single" w:sz="4" w:space="0" w:color="auto"/>
              <w:right w:val="single" w:sz="4" w:space="0" w:color="auto"/>
            </w:tcBorders>
          </w:tcPr>
          <w:p w14:paraId="48678BA7" w14:textId="77777777" w:rsidR="000E6195" w:rsidRPr="000E6195" w:rsidRDefault="000E6195">
            <w:pPr>
              <w:numPr>
                <w:ilvl w:val="12"/>
                <w:numId w:val="0"/>
              </w:numPr>
              <w:ind w:right="-2"/>
              <w:jc w:val="center"/>
              <w:rPr>
                <w:bCs/>
                <w:iCs/>
                <w:lang w:val="da-DK"/>
              </w:rPr>
            </w:pPr>
          </w:p>
        </w:tc>
        <w:tc>
          <w:tcPr>
            <w:tcW w:w="939" w:type="pct"/>
            <w:tcBorders>
              <w:top w:val="single" w:sz="4" w:space="0" w:color="auto"/>
              <w:left w:val="single" w:sz="4" w:space="0" w:color="auto"/>
              <w:bottom w:val="single" w:sz="4" w:space="0" w:color="auto"/>
              <w:right w:val="single" w:sz="4" w:space="0" w:color="auto"/>
            </w:tcBorders>
            <w:hideMark/>
          </w:tcPr>
          <w:p w14:paraId="47655637" w14:textId="77777777" w:rsidR="000E6195" w:rsidRDefault="000E6195">
            <w:pPr>
              <w:pStyle w:val="Default"/>
              <w:jc w:val="center"/>
              <w:rPr>
                <w:sz w:val="22"/>
                <w:szCs w:val="22"/>
              </w:rPr>
            </w:pPr>
            <w:r>
              <w:rPr>
                <w:b/>
                <w:bCs/>
                <w:sz w:val="22"/>
                <w:szCs w:val="22"/>
              </w:rPr>
              <w:t>Adapalen+BPO</w:t>
            </w:r>
          </w:p>
          <w:p w14:paraId="15A95FF0" w14:textId="77777777" w:rsidR="000E6195" w:rsidRDefault="000E6195">
            <w:pPr>
              <w:numPr>
                <w:ilvl w:val="12"/>
                <w:numId w:val="0"/>
              </w:numPr>
              <w:ind w:right="-2"/>
              <w:jc w:val="center"/>
              <w:rPr>
                <w:bCs/>
                <w:iCs/>
                <w:sz w:val="22"/>
              </w:rPr>
            </w:pPr>
            <w:r>
              <w:rPr>
                <w:b/>
                <w:bCs/>
              </w:rPr>
              <w:t>N=564</w:t>
            </w:r>
          </w:p>
        </w:tc>
        <w:tc>
          <w:tcPr>
            <w:tcW w:w="938" w:type="pct"/>
            <w:tcBorders>
              <w:top w:val="single" w:sz="4" w:space="0" w:color="auto"/>
              <w:left w:val="single" w:sz="4" w:space="0" w:color="auto"/>
              <w:bottom w:val="single" w:sz="4" w:space="0" w:color="auto"/>
              <w:right w:val="single" w:sz="4" w:space="0" w:color="auto"/>
            </w:tcBorders>
            <w:hideMark/>
          </w:tcPr>
          <w:p w14:paraId="1DD23981" w14:textId="77777777" w:rsidR="000E6195" w:rsidRDefault="000E6195">
            <w:pPr>
              <w:pStyle w:val="Default"/>
              <w:jc w:val="center"/>
              <w:rPr>
                <w:sz w:val="22"/>
                <w:szCs w:val="22"/>
              </w:rPr>
            </w:pPr>
            <w:r>
              <w:rPr>
                <w:b/>
                <w:bCs/>
                <w:sz w:val="22"/>
                <w:szCs w:val="22"/>
              </w:rPr>
              <w:t>Adapalen</w:t>
            </w:r>
          </w:p>
          <w:p w14:paraId="24F4D000" w14:textId="77777777" w:rsidR="000E6195" w:rsidRDefault="000E6195">
            <w:pPr>
              <w:numPr>
                <w:ilvl w:val="12"/>
                <w:numId w:val="0"/>
              </w:numPr>
              <w:ind w:right="-2"/>
              <w:jc w:val="center"/>
              <w:rPr>
                <w:bCs/>
                <w:iCs/>
                <w:sz w:val="22"/>
              </w:rPr>
            </w:pPr>
            <w:r>
              <w:rPr>
                <w:b/>
                <w:bCs/>
              </w:rPr>
              <w:t>N=568</w:t>
            </w:r>
          </w:p>
        </w:tc>
        <w:tc>
          <w:tcPr>
            <w:tcW w:w="860" w:type="pct"/>
            <w:tcBorders>
              <w:top w:val="single" w:sz="4" w:space="0" w:color="auto"/>
              <w:left w:val="single" w:sz="4" w:space="0" w:color="auto"/>
              <w:bottom w:val="single" w:sz="4" w:space="0" w:color="auto"/>
              <w:right w:val="single" w:sz="4" w:space="0" w:color="auto"/>
            </w:tcBorders>
            <w:hideMark/>
          </w:tcPr>
          <w:p w14:paraId="5EDC4413" w14:textId="77777777" w:rsidR="000E6195" w:rsidRDefault="000E6195">
            <w:pPr>
              <w:pStyle w:val="Default"/>
              <w:jc w:val="center"/>
              <w:rPr>
                <w:sz w:val="22"/>
                <w:szCs w:val="22"/>
              </w:rPr>
            </w:pPr>
            <w:r>
              <w:rPr>
                <w:b/>
                <w:bCs/>
                <w:sz w:val="22"/>
                <w:szCs w:val="22"/>
              </w:rPr>
              <w:t>BPO</w:t>
            </w:r>
          </w:p>
          <w:p w14:paraId="432C6FF5" w14:textId="77777777" w:rsidR="000E6195" w:rsidRDefault="000E6195">
            <w:pPr>
              <w:numPr>
                <w:ilvl w:val="12"/>
                <w:numId w:val="0"/>
              </w:numPr>
              <w:ind w:right="-2"/>
              <w:jc w:val="center"/>
              <w:rPr>
                <w:bCs/>
                <w:iCs/>
                <w:sz w:val="22"/>
              </w:rPr>
            </w:pPr>
            <w:r>
              <w:rPr>
                <w:b/>
                <w:bCs/>
              </w:rPr>
              <w:t>N=564</w:t>
            </w:r>
          </w:p>
        </w:tc>
        <w:tc>
          <w:tcPr>
            <w:tcW w:w="858" w:type="pct"/>
            <w:tcBorders>
              <w:top w:val="single" w:sz="4" w:space="0" w:color="auto"/>
              <w:left w:val="single" w:sz="4" w:space="0" w:color="auto"/>
              <w:bottom w:val="single" w:sz="4" w:space="0" w:color="auto"/>
              <w:right w:val="single" w:sz="4" w:space="0" w:color="auto"/>
            </w:tcBorders>
            <w:hideMark/>
          </w:tcPr>
          <w:p w14:paraId="1ACFE8CA" w14:textId="77777777" w:rsidR="000E6195" w:rsidRDefault="000E6195">
            <w:pPr>
              <w:pStyle w:val="Default"/>
              <w:jc w:val="center"/>
              <w:rPr>
                <w:sz w:val="22"/>
                <w:szCs w:val="22"/>
              </w:rPr>
            </w:pPr>
            <w:r>
              <w:rPr>
                <w:b/>
                <w:bCs/>
                <w:sz w:val="22"/>
                <w:szCs w:val="22"/>
              </w:rPr>
              <w:t>Vehikel</w:t>
            </w:r>
          </w:p>
          <w:p w14:paraId="35225E9B" w14:textId="77777777" w:rsidR="000E6195" w:rsidRDefault="000E6195">
            <w:pPr>
              <w:numPr>
                <w:ilvl w:val="12"/>
                <w:numId w:val="0"/>
              </w:numPr>
              <w:ind w:right="-2"/>
              <w:jc w:val="center"/>
              <w:rPr>
                <w:bCs/>
                <w:iCs/>
                <w:sz w:val="22"/>
              </w:rPr>
            </w:pPr>
            <w:r>
              <w:rPr>
                <w:b/>
                <w:bCs/>
              </w:rPr>
              <w:t>N=489</w:t>
            </w:r>
          </w:p>
        </w:tc>
      </w:tr>
      <w:tr w:rsidR="000E6195" w14:paraId="57B2851E" w14:textId="77777777" w:rsidTr="000E6195">
        <w:trPr>
          <w:tblHeader/>
        </w:trPr>
        <w:tc>
          <w:tcPr>
            <w:tcW w:w="1405" w:type="pct"/>
            <w:tcBorders>
              <w:top w:val="single" w:sz="4" w:space="0" w:color="auto"/>
              <w:left w:val="single" w:sz="4" w:space="0" w:color="auto"/>
              <w:bottom w:val="single" w:sz="4" w:space="0" w:color="auto"/>
              <w:right w:val="single" w:sz="4" w:space="0" w:color="auto"/>
            </w:tcBorders>
          </w:tcPr>
          <w:p w14:paraId="0AF21C34" w14:textId="77777777" w:rsidR="000E6195" w:rsidRDefault="000E6195">
            <w:pPr>
              <w:pStyle w:val="Default"/>
              <w:rPr>
                <w:sz w:val="22"/>
                <w:szCs w:val="22"/>
                <w:lang w:eastAsia="en-US"/>
              </w:rPr>
            </w:pPr>
            <w:r>
              <w:rPr>
                <w:b/>
                <w:bCs/>
                <w:sz w:val="22"/>
                <w:szCs w:val="22"/>
              </w:rPr>
              <w:t xml:space="preserve">Succesrate (Klar, Næsten klar) </w:t>
            </w:r>
          </w:p>
          <w:p w14:paraId="0530C067" w14:textId="77777777" w:rsidR="000E6195" w:rsidRDefault="000E6195">
            <w:pPr>
              <w:numPr>
                <w:ilvl w:val="12"/>
                <w:numId w:val="0"/>
              </w:numPr>
              <w:ind w:right="-2"/>
              <w:rPr>
                <w:bCs/>
                <w:iCs/>
                <w:sz w:val="22"/>
              </w:rPr>
            </w:pPr>
          </w:p>
        </w:tc>
        <w:tc>
          <w:tcPr>
            <w:tcW w:w="939" w:type="pct"/>
            <w:tcBorders>
              <w:top w:val="single" w:sz="4" w:space="0" w:color="auto"/>
              <w:left w:val="single" w:sz="4" w:space="0" w:color="auto"/>
              <w:bottom w:val="single" w:sz="4" w:space="0" w:color="auto"/>
              <w:right w:val="single" w:sz="4" w:space="0" w:color="auto"/>
            </w:tcBorders>
            <w:hideMark/>
          </w:tcPr>
          <w:p w14:paraId="3A51DACB" w14:textId="77777777" w:rsidR="000E6195" w:rsidRDefault="000E6195">
            <w:pPr>
              <w:numPr>
                <w:ilvl w:val="12"/>
                <w:numId w:val="0"/>
              </w:numPr>
              <w:ind w:right="-2"/>
              <w:jc w:val="center"/>
              <w:rPr>
                <w:bCs/>
                <w:iCs/>
              </w:rPr>
            </w:pPr>
            <w:r>
              <w:rPr>
                <w:bCs/>
                <w:iCs/>
              </w:rPr>
              <w:t>166 (29,4 %)</w:t>
            </w:r>
          </w:p>
        </w:tc>
        <w:tc>
          <w:tcPr>
            <w:tcW w:w="938" w:type="pct"/>
            <w:tcBorders>
              <w:top w:val="single" w:sz="4" w:space="0" w:color="auto"/>
              <w:left w:val="single" w:sz="4" w:space="0" w:color="auto"/>
              <w:bottom w:val="single" w:sz="4" w:space="0" w:color="auto"/>
              <w:right w:val="single" w:sz="4" w:space="0" w:color="auto"/>
            </w:tcBorders>
            <w:hideMark/>
          </w:tcPr>
          <w:p w14:paraId="71436ED8" w14:textId="77777777" w:rsidR="000E6195" w:rsidRDefault="000E6195">
            <w:pPr>
              <w:numPr>
                <w:ilvl w:val="12"/>
                <w:numId w:val="0"/>
              </w:numPr>
              <w:ind w:right="-2"/>
              <w:jc w:val="center"/>
              <w:rPr>
                <w:bCs/>
                <w:iCs/>
              </w:rPr>
            </w:pPr>
            <w:r>
              <w:rPr>
                <w:bCs/>
                <w:iCs/>
              </w:rPr>
              <w:t>106 (18,7 %)</w:t>
            </w:r>
          </w:p>
        </w:tc>
        <w:tc>
          <w:tcPr>
            <w:tcW w:w="860" w:type="pct"/>
            <w:tcBorders>
              <w:top w:val="single" w:sz="4" w:space="0" w:color="auto"/>
              <w:left w:val="single" w:sz="4" w:space="0" w:color="auto"/>
              <w:bottom w:val="single" w:sz="4" w:space="0" w:color="auto"/>
              <w:right w:val="single" w:sz="4" w:space="0" w:color="auto"/>
            </w:tcBorders>
            <w:hideMark/>
          </w:tcPr>
          <w:p w14:paraId="43004A42" w14:textId="77777777" w:rsidR="000E6195" w:rsidRDefault="000E6195">
            <w:pPr>
              <w:numPr>
                <w:ilvl w:val="12"/>
                <w:numId w:val="0"/>
              </w:numPr>
              <w:ind w:right="-2"/>
              <w:jc w:val="center"/>
              <w:rPr>
                <w:bCs/>
                <w:iCs/>
              </w:rPr>
            </w:pPr>
            <w:r>
              <w:rPr>
                <w:bCs/>
                <w:iCs/>
              </w:rPr>
              <w:t>115 (20,4 %)</w:t>
            </w:r>
          </w:p>
        </w:tc>
        <w:tc>
          <w:tcPr>
            <w:tcW w:w="858" w:type="pct"/>
            <w:tcBorders>
              <w:top w:val="single" w:sz="4" w:space="0" w:color="auto"/>
              <w:left w:val="single" w:sz="4" w:space="0" w:color="auto"/>
              <w:bottom w:val="single" w:sz="4" w:space="0" w:color="auto"/>
              <w:right w:val="single" w:sz="4" w:space="0" w:color="auto"/>
            </w:tcBorders>
            <w:hideMark/>
          </w:tcPr>
          <w:p w14:paraId="7D2D8E21" w14:textId="77777777" w:rsidR="000E6195" w:rsidRDefault="000E6195">
            <w:pPr>
              <w:numPr>
                <w:ilvl w:val="12"/>
                <w:numId w:val="0"/>
              </w:numPr>
              <w:ind w:right="-2"/>
              <w:jc w:val="center"/>
              <w:rPr>
                <w:bCs/>
                <w:iCs/>
              </w:rPr>
            </w:pPr>
            <w:r>
              <w:rPr>
                <w:color w:val="000000"/>
              </w:rPr>
              <w:t>54 (11,1 %)</w:t>
            </w:r>
          </w:p>
        </w:tc>
      </w:tr>
      <w:tr w:rsidR="000E6195" w14:paraId="68C7282C" w14:textId="77777777" w:rsidTr="000E6195">
        <w:trPr>
          <w:tblHeader/>
        </w:trPr>
        <w:tc>
          <w:tcPr>
            <w:tcW w:w="1405" w:type="pct"/>
            <w:tcBorders>
              <w:top w:val="single" w:sz="4" w:space="0" w:color="auto"/>
              <w:left w:val="single" w:sz="4" w:space="0" w:color="auto"/>
              <w:bottom w:val="single" w:sz="4" w:space="0" w:color="auto"/>
              <w:right w:val="single" w:sz="4" w:space="0" w:color="auto"/>
            </w:tcBorders>
            <w:hideMark/>
          </w:tcPr>
          <w:p w14:paraId="76A9B6EC" w14:textId="77777777" w:rsidR="000E6195" w:rsidRDefault="000E6195">
            <w:pPr>
              <w:pStyle w:val="Default"/>
              <w:rPr>
                <w:bCs/>
                <w:iCs/>
                <w:lang w:eastAsia="en-US"/>
              </w:rPr>
            </w:pPr>
            <w:r>
              <w:rPr>
                <w:b/>
                <w:bCs/>
                <w:sz w:val="20"/>
                <w:szCs w:val="20"/>
              </w:rPr>
              <w:t>Medianreduktion (% reduktion) i</w:t>
            </w:r>
            <w:r>
              <w:rPr>
                <w:bCs/>
                <w:iCs/>
              </w:rPr>
              <w:t>:</w:t>
            </w:r>
          </w:p>
        </w:tc>
        <w:tc>
          <w:tcPr>
            <w:tcW w:w="3595" w:type="pct"/>
            <w:gridSpan w:val="4"/>
            <w:tcBorders>
              <w:top w:val="single" w:sz="4" w:space="0" w:color="auto"/>
              <w:left w:val="single" w:sz="4" w:space="0" w:color="auto"/>
              <w:bottom w:val="single" w:sz="4" w:space="0" w:color="auto"/>
              <w:right w:val="single" w:sz="4" w:space="0" w:color="auto"/>
            </w:tcBorders>
          </w:tcPr>
          <w:p w14:paraId="67DB7292" w14:textId="77777777" w:rsidR="000E6195" w:rsidRDefault="000E6195">
            <w:pPr>
              <w:numPr>
                <w:ilvl w:val="12"/>
                <w:numId w:val="0"/>
              </w:numPr>
              <w:ind w:right="-2"/>
              <w:rPr>
                <w:bCs/>
                <w:iCs/>
              </w:rPr>
            </w:pPr>
          </w:p>
        </w:tc>
      </w:tr>
      <w:tr w:rsidR="000E6195" w14:paraId="51B558E2" w14:textId="77777777" w:rsidTr="000E6195">
        <w:trPr>
          <w:tblHeader/>
        </w:trPr>
        <w:tc>
          <w:tcPr>
            <w:tcW w:w="1405" w:type="pct"/>
            <w:tcBorders>
              <w:top w:val="single" w:sz="4" w:space="0" w:color="auto"/>
              <w:left w:val="single" w:sz="4" w:space="0" w:color="auto"/>
              <w:bottom w:val="single" w:sz="4" w:space="0" w:color="auto"/>
              <w:right w:val="single" w:sz="4" w:space="0" w:color="auto"/>
            </w:tcBorders>
            <w:hideMark/>
          </w:tcPr>
          <w:p w14:paraId="3B5D17B8" w14:textId="77777777" w:rsidR="000E6195" w:rsidRDefault="000E6195">
            <w:pPr>
              <w:numPr>
                <w:ilvl w:val="12"/>
                <w:numId w:val="0"/>
              </w:numPr>
              <w:ind w:left="318" w:right="-2"/>
              <w:rPr>
                <w:bCs/>
                <w:iCs/>
              </w:rPr>
            </w:pPr>
            <w:r>
              <w:t>Antal inflammatoriske læsioner</w:t>
            </w:r>
          </w:p>
        </w:tc>
        <w:tc>
          <w:tcPr>
            <w:tcW w:w="939" w:type="pct"/>
            <w:tcBorders>
              <w:top w:val="single" w:sz="4" w:space="0" w:color="auto"/>
              <w:left w:val="single" w:sz="4" w:space="0" w:color="auto"/>
              <w:bottom w:val="single" w:sz="4" w:space="0" w:color="auto"/>
              <w:right w:val="single" w:sz="4" w:space="0" w:color="auto"/>
            </w:tcBorders>
            <w:hideMark/>
          </w:tcPr>
          <w:p w14:paraId="7D63D1B8" w14:textId="77777777" w:rsidR="000E6195" w:rsidRDefault="000E6195">
            <w:pPr>
              <w:numPr>
                <w:ilvl w:val="12"/>
                <w:numId w:val="0"/>
              </w:numPr>
              <w:ind w:right="-2"/>
              <w:jc w:val="center"/>
              <w:rPr>
                <w:bCs/>
                <w:iCs/>
              </w:rPr>
            </w:pPr>
            <w:r>
              <w:rPr>
                <w:bCs/>
                <w:iCs/>
              </w:rPr>
              <w:t>16,0 (62,1)</w:t>
            </w:r>
          </w:p>
        </w:tc>
        <w:tc>
          <w:tcPr>
            <w:tcW w:w="938" w:type="pct"/>
            <w:tcBorders>
              <w:top w:val="single" w:sz="4" w:space="0" w:color="auto"/>
              <w:left w:val="single" w:sz="4" w:space="0" w:color="auto"/>
              <w:bottom w:val="single" w:sz="4" w:space="0" w:color="auto"/>
              <w:right w:val="single" w:sz="4" w:space="0" w:color="auto"/>
            </w:tcBorders>
            <w:hideMark/>
          </w:tcPr>
          <w:p w14:paraId="797184EA" w14:textId="77777777" w:rsidR="000E6195" w:rsidRDefault="000E6195">
            <w:pPr>
              <w:numPr>
                <w:ilvl w:val="12"/>
                <w:numId w:val="0"/>
              </w:numPr>
              <w:ind w:right="-2"/>
              <w:jc w:val="center"/>
              <w:rPr>
                <w:bCs/>
                <w:iCs/>
              </w:rPr>
            </w:pPr>
            <w:r>
              <w:rPr>
                <w:bCs/>
                <w:iCs/>
              </w:rPr>
              <w:t>14,0 (50,0)</w:t>
            </w:r>
          </w:p>
        </w:tc>
        <w:tc>
          <w:tcPr>
            <w:tcW w:w="860" w:type="pct"/>
            <w:tcBorders>
              <w:top w:val="single" w:sz="4" w:space="0" w:color="auto"/>
              <w:left w:val="single" w:sz="4" w:space="0" w:color="auto"/>
              <w:bottom w:val="single" w:sz="4" w:space="0" w:color="auto"/>
              <w:right w:val="single" w:sz="4" w:space="0" w:color="auto"/>
            </w:tcBorders>
            <w:hideMark/>
          </w:tcPr>
          <w:p w14:paraId="1304F5A1" w14:textId="77777777" w:rsidR="000E6195" w:rsidRDefault="000E6195">
            <w:pPr>
              <w:numPr>
                <w:ilvl w:val="12"/>
                <w:numId w:val="0"/>
              </w:numPr>
              <w:ind w:right="-2"/>
              <w:jc w:val="center"/>
              <w:rPr>
                <w:bCs/>
                <w:iCs/>
              </w:rPr>
            </w:pPr>
            <w:r>
              <w:rPr>
                <w:bCs/>
                <w:iCs/>
              </w:rPr>
              <w:t>15,0 (54,0)</w:t>
            </w:r>
          </w:p>
        </w:tc>
        <w:tc>
          <w:tcPr>
            <w:tcW w:w="858" w:type="pct"/>
            <w:tcBorders>
              <w:top w:val="single" w:sz="4" w:space="0" w:color="auto"/>
              <w:left w:val="single" w:sz="4" w:space="0" w:color="auto"/>
              <w:bottom w:val="single" w:sz="4" w:space="0" w:color="auto"/>
              <w:right w:val="single" w:sz="4" w:space="0" w:color="auto"/>
            </w:tcBorders>
            <w:hideMark/>
          </w:tcPr>
          <w:p w14:paraId="404FD544" w14:textId="77777777" w:rsidR="000E6195" w:rsidRDefault="000E6195">
            <w:pPr>
              <w:numPr>
                <w:ilvl w:val="12"/>
                <w:numId w:val="0"/>
              </w:numPr>
              <w:ind w:right="-2"/>
              <w:jc w:val="center"/>
              <w:rPr>
                <w:bCs/>
                <w:iCs/>
              </w:rPr>
            </w:pPr>
            <w:r>
              <w:rPr>
                <w:bCs/>
                <w:iCs/>
              </w:rPr>
              <w:t>10,0 (35,0)</w:t>
            </w:r>
          </w:p>
        </w:tc>
      </w:tr>
      <w:tr w:rsidR="000E6195" w14:paraId="79F3925B" w14:textId="77777777" w:rsidTr="000E6195">
        <w:trPr>
          <w:tblHeader/>
        </w:trPr>
        <w:tc>
          <w:tcPr>
            <w:tcW w:w="1405" w:type="pct"/>
            <w:tcBorders>
              <w:top w:val="single" w:sz="4" w:space="0" w:color="auto"/>
              <w:left w:val="single" w:sz="4" w:space="0" w:color="auto"/>
              <w:bottom w:val="single" w:sz="4" w:space="0" w:color="auto"/>
              <w:right w:val="single" w:sz="4" w:space="0" w:color="auto"/>
            </w:tcBorders>
            <w:hideMark/>
          </w:tcPr>
          <w:p w14:paraId="351FC55F" w14:textId="77777777" w:rsidR="000E6195" w:rsidRDefault="000E6195">
            <w:pPr>
              <w:numPr>
                <w:ilvl w:val="12"/>
                <w:numId w:val="0"/>
              </w:numPr>
              <w:ind w:left="318" w:right="-2"/>
              <w:rPr>
                <w:bCs/>
                <w:iCs/>
              </w:rPr>
            </w:pPr>
            <w:r>
              <w:rPr>
                <w:bCs/>
                <w:iCs/>
              </w:rPr>
              <w:t>Antal ikke-inflammatoriske læsioner</w:t>
            </w:r>
          </w:p>
        </w:tc>
        <w:tc>
          <w:tcPr>
            <w:tcW w:w="939" w:type="pct"/>
            <w:tcBorders>
              <w:top w:val="single" w:sz="4" w:space="0" w:color="auto"/>
              <w:left w:val="single" w:sz="4" w:space="0" w:color="auto"/>
              <w:bottom w:val="single" w:sz="4" w:space="0" w:color="auto"/>
              <w:right w:val="single" w:sz="4" w:space="0" w:color="auto"/>
            </w:tcBorders>
            <w:hideMark/>
          </w:tcPr>
          <w:p w14:paraId="1EE39D3D" w14:textId="77777777" w:rsidR="000E6195" w:rsidRDefault="000E6195">
            <w:pPr>
              <w:numPr>
                <w:ilvl w:val="12"/>
                <w:numId w:val="0"/>
              </w:numPr>
              <w:ind w:right="-2"/>
              <w:jc w:val="center"/>
              <w:rPr>
                <w:bCs/>
                <w:iCs/>
              </w:rPr>
            </w:pPr>
            <w:r>
              <w:rPr>
                <w:bCs/>
                <w:iCs/>
              </w:rPr>
              <w:t>23,5 (52,8)</w:t>
            </w:r>
          </w:p>
        </w:tc>
        <w:tc>
          <w:tcPr>
            <w:tcW w:w="938" w:type="pct"/>
            <w:tcBorders>
              <w:top w:val="single" w:sz="4" w:space="0" w:color="auto"/>
              <w:left w:val="single" w:sz="4" w:space="0" w:color="auto"/>
              <w:bottom w:val="single" w:sz="4" w:space="0" w:color="auto"/>
              <w:right w:val="single" w:sz="4" w:space="0" w:color="auto"/>
            </w:tcBorders>
            <w:hideMark/>
          </w:tcPr>
          <w:p w14:paraId="1D13EAD4" w14:textId="77777777" w:rsidR="000E6195" w:rsidRDefault="000E6195">
            <w:pPr>
              <w:numPr>
                <w:ilvl w:val="12"/>
                <w:numId w:val="0"/>
              </w:numPr>
              <w:ind w:right="-2"/>
              <w:jc w:val="center"/>
              <w:rPr>
                <w:bCs/>
                <w:iCs/>
              </w:rPr>
            </w:pPr>
            <w:r>
              <w:rPr>
                <w:bCs/>
                <w:iCs/>
              </w:rPr>
              <w:t>21,0 (45,0)</w:t>
            </w:r>
          </w:p>
        </w:tc>
        <w:tc>
          <w:tcPr>
            <w:tcW w:w="860" w:type="pct"/>
            <w:tcBorders>
              <w:top w:val="single" w:sz="4" w:space="0" w:color="auto"/>
              <w:left w:val="single" w:sz="4" w:space="0" w:color="auto"/>
              <w:bottom w:val="single" w:sz="4" w:space="0" w:color="auto"/>
              <w:right w:val="single" w:sz="4" w:space="0" w:color="auto"/>
            </w:tcBorders>
            <w:hideMark/>
          </w:tcPr>
          <w:p w14:paraId="20248D4D" w14:textId="77777777" w:rsidR="000E6195" w:rsidRDefault="000E6195">
            <w:pPr>
              <w:numPr>
                <w:ilvl w:val="12"/>
                <w:numId w:val="0"/>
              </w:numPr>
              <w:ind w:right="-2"/>
              <w:jc w:val="center"/>
              <w:rPr>
                <w:bCs/>
                <w:iCs/>
              </w:rPr>
            </w:pPr>
            <w:r>
              <w:rPr>
                <w:bCs/>
                <w:iCs/>
              </w:rPr>
              <w:t>19,0 (42,5)</w:t>
            </w:r>
          </w:p>
        </w:tc>
        <w:tc>
          <w:tcPr>
            <w:tcW w:w="858" w:type="pct"/>
            <w:tcBorders>
              <w:top w:val="single" w:sz="4" w:space="0" w:color="auto"/>
              <w:left w:val="single" w:sz="4" w:space="0" w:color="auto"/>
              <w:bottom w:val="single" w:sz="4" w:space="0" w:color="auto"/>
              <w:right w:val="single" w:sz="4" w:space="0" w:color="auto"/>
            </w:tcBorders>
            <w:hideMark/>
          </w:tcPr>
          <w:p w14:paraId="354D84FC" w14:textId="77777777" w:rsidR="000E6195" w:rsidRDefault="000E6195">
            <w:pPr>
              <w:numPr>
                <w:ilvl w:val="12"/>
                <w:numId w:val="0"/>
              </w:numPr>
              <w:ind w:right="-2"/>
              <w:jc w:val="center"/>
              <w:rPr>
                <w:bCs/>
                <w:iCs/>
              </w:rPr>
            </w:pPr>
            <w:r>
              <w:rPr>
                <w:bCs/>
                <w:iCs/>
              </w:rPr>
              <w:t>14,0 (30,7)</w:t>
            </w:r>
          </w:p>
        </w:tc>
      </w:tr>
      <w:tr w:rsidR="000E6195" w14:paraId="2DDA444B" w14:textId="77777777" w:rsidTr="000E6195">
        <w:trPr>
          <w:tblHeader/>
        </w:trPr>
        <w:tc>
          <w:tcPr>
            <w:tcW w:w="1405" w:type="pct"/>
            <w:tcBorders>
              <w:top w:val="single" w:sz="4" w:space="0" w:color="auto"/>
              <w:left w:val="single" w:sz="4" w:space="0" w:color="auto"/>
              <w:bottom w:val="single" w:sz="4" w:space="0" w:color="auto"/>
              <w:right w:val="single" w:sz="4" w:space="0" w:color="auto"/>
            </w:tcBorders>
            <w:hideMark/>
          </w:tcPr>
          <w:p w14:paraId="1042B2F5" w14:textId="77777777" w:rsidR="000E6195" w:rsidRDefault="000E6195">
            <w:pPr>
              <w:numPr>
                <w:ilvl w:val="12"/>
                <w:numId w:val="0"/>
              </w:numPr>
              <w:ind w:left="318" w:right="-2"/>
              <w:rPr>
                <w:bCs/>
                <w:iCs/>
              </w:rPr>
            </w:pPr>
            <w:r>
              <w:rPr>
                <w:bCs/>
                <w:iCs/>
              </w:rPr>
              <w:t>Samlet antal læsioner</w:t>
            </w:r>
          </w:p>
        </w:tc>
        <w:tc>
          <w:tcPr>
            <w:tcW w:w="939" w:type="pct"/>
            <w:tcBorders>
              <w:top w:val="single" w:sz="4" w:space="0" w:color="auto"/>
              <w:left w:val="single" w:sz="4" w:space="0" w:color="auto"/>
              <w:bottom w:val="single" w:sz="4" w:space="0" w:color="auto"/>
              <w:right w:val="single" w:sz="4" w:space="0" w:color="auto"/>
            </w:tcBorders>
            <w:hideMark/>
          </w:tcPr>
          <w:p w14:paraId="69D82B41" w14:textId="77777777" w:rsidR="000E6195" w:rsidRDefault="000E6195">
            <w:pPr>
              <w:numPr>
                <w:ilvl w:val="12"/>
                <w:numId w:val="0"/>
              </w:numPr>
              <w:ind w:right="-2"/>
              <w:jc w:val="center"/>
              <w:rPr>
                <w:bCs/>
                <w:iCs/>
              </w:rPr>
            </w:pPr>
            <w:r>
              <w:rPr>
                <w:bCs/>
                <w:iCs/>
              </w:rPr>
              <w:t>41,0 (54,8)</w:t>
            </w:r>
          </w:p>
        </w:tc>
        <w:tc>
          <w:tcPr>
            <w:tcW w:w="938" w:type="pct"/>
            <w:tcBorders>
              <w:top w:val="single" w:sz="4" w:space="0" w:color="auto"/>
              <w:left w:val="single" w:sz="4" w:space="0" w:color="auto"/>
              <w:bottom w:val="single" w:sz="4" w:space="0" w:color="auto"/>
              <w:right w:val="single" w:sz="4" w:space="0" w:color="auto"/>
            </w:tcBorders>
            <w:hideMark/>
          </w:tcPr>
          <w:p w14:paraId="25005D0B" w14:textId="77777777" w:rsidR="000E6195" w:rsidRDefault="000E6195">
            <w:pPr>
              <w:numPr>
                <w:ilvl w:val="12"/>
                <w:numId w:val="0"/>
              </w:numPr>
              <w:ind w:right="-2"/>
              <w:jc w:val="center"/>
              <w:rPr>
                <w:bCs/>
                <w:iCs/>
              </w:rPr>
            </w:pPr>
            <w:r>
              <w:rPr>
                <w:bCs/>
                <w:iCs/>
              </w:rPr>
              <w:t>34,0 (44,0)</w:t>
            </w:r>
          </w:p>
        </w:tc>
        <w:tc>
          <w:tcPr>
            <w:tcW w:w="860" w:type="pct"/>
            <w:tcBorders>
              <w:top w:val="single" w:sz="4" w:space="0" w:color="auto"/>
              <w:left w:val="single" w:sz="4" w:space="0" w:color="auto"/>
              <w:bottom w:val="single" w:sz="4" w:space="0" w:color="auto"/>
              <w:right w:val="single" w:sz="4" w:space="0" w:color="auto"/>
            </w:tcBorders>
            <w:hideMark/>
          </w:tcPr>
          <w:p w14:paraId="19FE2F36" w14:textId="77777777" w:rsidR="000E6195" w:rsidRDefault="000E6195">
            <w:pPr>
              <w:numPr>
                <w:ilvl w:val="12"/>
                <w:numId w:val="0"/>
              </w:numPr>
              <w:ind w:right="-2"/>
              <w:jc w:val="center"/>
              <w:rPr>
                <w:bCs/>
                <w:iCs/>
              </w:rPr>
            </w:pPr>
            <w:r>
              <w:rPr>
                <w:bCs/>
                <w:iCs/>
              </w:rPr>
              <w:t>33,0 (44,9)</w:t>
            </w:r>
          </w:p>
        </w:tc>
        <w:tc>
          <w:tcPr>
            <w:tcW w:w="858" w:type="pct"/>
            <w:tcBorders>
              <w:top w:val="single" w:sz="4" w:space="0" w:color="auto"/>
              <w:left w:val="single" w:sz="4" w:space="0" w:color="auto"/>
              <w:bottom w:val="single" w:sz="4" w:space="0" w:color="auto"/>
              <w:right w:val="single" w:sz="4" w:space="0" w:color="auto"/>
            </w:tcBorders>
            <w:hideMark/>
          </w:tcPr>
          <w:p w14:paraId="4765F7A5" w14:textId="77777777" w:rsidR="000E6195" w:rsidRDefault="000E6195">
            <w:pPr>
              <w:numPr>
                <w:ilvl w:val="12"/>
                <w:numId w:val="0"/>
              </w:numPr>
              <w:ind w:right="-2"/>
              <w:jc w:val="center"/>
              <w:rPr>
                <w:bCs/>
                <w:iCs/>
              </w:rPr>
            </w:pPr>
            <w:r>
              <w:rPr>
                <w:bCs/>
                <w:iCs/>
              </w:rPr>
              <w:t>23,0 (29,1)</w:t>
            </w:r>
          </w:p>
        </w:tc>
      </w:tr>
    </w:tbl>
    <w:p w14:paraId="297AB26F" w14:textId="77777777" w:rsidR="000E6195" w:rsidRPr="000E6195" w:rsidRDefault="000E6195" w:rsidP="000E6195">
      <w:pPr>
        <w:ind w:left="851"/>
        <w:rPr>
          <w:sz w:val="24"/>
          <w:szCs w:val="24"/>
        </w:rPr>
      </w:pPr>
    </w:p>
    <w:p w14:paraId="631C2736" w14:textId="77777777" w:rsidR="000E6195" w:rsidRPr="000E6195" w:rsidRDefault="000E6195" w:rsidP="000E6195">
      <w:pPr>
        <w:keepNext/>
        <w:suppressAutoHyphens/>
        <w:ind w:left="851"/>
        <w:rPr>
          <w:bCs/>
          <w:sz w:val="24"/>
          <w:szCs w:val="24"/>
          <w:u w:val="single"/>
        </w:rPr>
      </w:pPr>
      <w:r w:rsidRPr="000E6195">
        <w:rPr>
          <w:bCs/>
          <w:sz w:val="24"/>
          <w:szCs w:val="24"/>
          <w:u w:val="single"/>
        </w:rPr>
        <w:t xml:space="preserve">Klinisk virkning af adapalen/benzoylperoxid hos børn i alderen 9 til 11 år </w:t>
      </w:r>
    </w:p>
    <w:p w14:paraId="4A19291E" w14:textId="77777777" w:rsidR="000E6195" w:rsidRPr="000E6195" w:rsidRDefault="000E6195" w:rsidP="000E6195">
      <w:pPr>
        <w:suppressAutoHyphens/>
        <w:ind w:left="851"/>
        <w:rPr>
          <w:sz w:val="24"/>
          <w:szCs w:val="24"/>
        </w:rPr>
      </w:pPr>
      <w:r w:rsidRPr="000E6195">
        <w:rPr>
          <w:bCs/>
          <w:sz w:val="24"/>
          <w:szCs w:val="24"/>
        </w:rPr>
        <w:t xml:space="preserve">Under et pædiatrisk klinisk studie blev 285 børn med acne vulgaris i alderen 9–11 år </w:t>
      </w:r>
      <w:r w:rsidRPr="000E6195">
        <w:rPr>
          <w:sz w:val="24"/>
          <w:szCs w:val="24"/>
        </w:rPr>
        <w:t>(53 % af patienterne var 11 år, 33 % var 10 år og 14 % var 9 år) med en score på 3 (moderat) på IGA</w:t>
      </w:r>
      <w:r w:rsidRPr="000E6195">
        <w:rPr>
          <w:sz w:val="24"/>
          <w:szCs w:val="24"/>
        </w:rPr>
        <w:noBreakHyphen/>
        <w:t xml:space="preserve">skalaen og med et minimum på 20 men ikke mere end 100 antal læsioner totalt (ikke-inflammatoriske og/eller inflammtoriske) i ansigtet (inkl. på næsen) ved </w:t>
      </w:r>
      <w:r w:rsidRPr="000E6195">
        <w:rPr>
          <w:i/>
          <w:iCs/>
          <w:sz w:val="24"/>
          <w:szCs w:val="24"/>
        </w:rPr>
        <w:t>baseline</w:t>
      </w:r>
      <w:r w:rsidRPr="000E6195">
        <w:rPr>
          <w:sz w:val="24"/>
          <w:szCs w:val="24"/>
        </w:rPr>
        <w:t>, behandlet med gel med adapalen/benzoylperoxid en gang dagligt i 12 uger.</w:t>
      </w:r>
    </w:p>
    <w:p w14:paraId="424B5052" w14:textId="77777777" w:rsidR="000E6195" w:rsidRPr="000E6195" w:rsidRDefault="000E6195" w:rsidP="000E6195">
      <w:pPr>
        <w:suppressAutoHyphens/>
        <w:ind w:left="851"/>
        <w:rPr>
          <w:sz w:val="24"/>
          <w:szCs w:val="24"/>
        </w:rPr>
      </w:pPr>
    </w:p>
    <w:p w14:paraId="5E552D42" w14:textId="77777777" w:rsidR="000E6195" w:rsidRPr="000E6195" w:rsidRDefault="000E6195" w:rsidP="000E6195">
      <w:pPr>
        <w:suppressAutoHyphens/>
        <w:ind w:left="851"/>
        <w:rPr>
          <w:sz w:val="24"/>
          <w:szCs w:val="24"/>
        </w:rPr>
      </w:pPr>
      <w:r w:rsidRPr="000E6195">
        <w:rPr>
          <w:sz w:val="24"/>
          <w:szCs w:val="24"/>
        </w:rPr>
        <w:t>Studiet konkluderer, at virknings- og sikkerhedsprofilerne for gel med adapalen/benzoylperoxid til behandling af ansigtsakne i denne specifikke yngre aldersgruppe er i overensstemmelse med resultaterne fra andre pivotale studier hos patienter med acne vulgaris i alderen 12 år og ældre, der viser signifikant virkning med en acceptabel tolerabilitet. En vedvarende tidlig behandlingseffekt af gel med adapalen/benzoylperoxid sammenlignet med gelvehikel blev konsekvent observeret for alle læsioner (inflammatorisk, ikke-inflammatorisk og totalt) i uge 1 og fortsatte til uge 12.</w:t>
      </w:r>
    </w:p>
    <w:p w14:paraId="04B62428" w14:textId="77777777" w:rsidR="000E6195" w:rsidRDefault="000E6195" w:rsidP="000E6195">
      <w:pPr>
        <w:suppressAutoHyphens/>
        <w:rPr>
          <w:sz w:val="24"/>
          <w:szCs w:val="24"/>
        </w:rPr>
      </w:pPr>
    </w:p>
    <w:tbl>
      <w:tblPr>
        <w:tblStyle w:val="Tabel-Gitter"/>
        <w:tblW w:w="4193" w:type="pct"/>
        <w:jc w:val="center"/>
        <w:tblInd w:w="0" w:type="dxa"/>
        <w:tblLook w:val="04A0" w:firstRow="1" w:lastRow="0" w:firstColumn="1" w:lastColumn="0" w:noHBand="0" w:noVBand="1"/>
      </w:tblPr>
      <w:tblGrid>
        <w:gridCol w:w="3682"/>
        <w:gridCol w:w="2267"/>
        <w:gridCol w:w="2125"/>
      </w:tblGrid>
      <w:tr w:rsidR="000E6195" w14:paraId="3F896483" w14:textId="77777777" w:rsidTr="004A6046">
        <w:trPr>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A95CA94" w14:textId="77777777" w:rsidR="000E6195" w:rsidRDefault="000E6195">
            <w:pPr>
              <w:numPr>
                <w:ilvl w:val="12"/>
                <w:numId w:val="0"/>
              </w:numPr>
              <w:ind w:right="-2"/>
              <w:jc w:val="center"/>
              <w:rPr>
                <w:b/>
                <w:iCs/>
                <w:sz w:val="22"/>
              </w:rPr>
            </w:pPr>
            <w:r>
              <w:rPr>
                <w:b/>
                <w:iCs/>
              </w:rPr>
              <w:t>Studie 3</w:t>
            </w:r>
          </w:p>
        </w:tc>
      </w:tr>
      <w:tr w:rsidR="000E6195" w14:paraId="2822BD5A" w14:textId="77777777" w:rsidTr="004A6046">
        <w:trPr>
          <w:tblHeader/>
          <w:jc w:val="center"/>
        </w:trPr>
        <w:tc>
          <w:tcPr>
            <w:tcW w:w="2280" w:type="pct"/>
            <w:tcBorders>
              <w:top w:val="single" w:sz="4" w:space="0" w:color="auto"/>
              <w:left w:val="single" w:sz="4" w:space="0" w:color="auto"/>
              <w:bottom w:val="single" w:sz="4" w:space="0" w:color="auto"/>
              <w:right w:val="single" w:sz="4" w:space="0" w:color="auto"/>
            </w:tcBorders>
            <w:hideMark/>
          </w:tcPr>
          <w:p w14:paraId="14E1B9C7" w14:textId="77777777" w:rsidR="000E6195" w:rsidRDefault="000E6195">
            <w:pPr>
              <w:numPr>
                <w:ilvl w:val="12"/>
                <w:numId w:val="0"/>
              </w:numPr>
              <w:ind w:right="-2"/>
              <w:rPr>
                <w:b/>
                <w:bCs/>
              </w:rPr>
            </w:pPr>
            <w:r>
              <w:rPr>
                <w:b/>
                <w:bCs/>
              </w:rPr>
              <w:t xml:space="preserve">Uge 12 </w:t>
            </w:r>
          </w:p>
          <w:p w14:paraId="32A0C602" w14:textId="77777777" w:rsidR="000E6195" w:rsidRDefault="000E6195">
            <w:pPr>
              <w:numPr>
                <w:ilvl w:val="12"/>
                <w:numId w:val="0"/>
              </w:numPr>
              <w:ind w:right="-2"/>
              <w:rPr>
                <w:bCs/>
                <w:iCs/>
              </w:rPr>
            </w:pPr>
            <w:r>
              <w:rPr>
                <w:b/>
                <w:bCs/>
              </w:rPr>
              <w:t>LOCF; ITT</w:t>
            </w:r>
          </w:p>
        </w:tc>
        <w:tc>
          <w:tcPr>
            <w:tcW w:w="1404" w:type="pct"/>
            <w:tcBorders>
              <w:top w:val="single" w:sz="4" w:space="0" w:color="auto"/>
              <w:left w:val="single" w:sz="4" w:space="0" w:color="auto"/>
              <w:bottom w:val="single" w:sz="4" w:space="0" w:color="auto"/>
              <w:right w:val="single" w:sz="4" w:space="0" w:color="auto"/>
            </w:tcBorders>
            <w:hideMark/>
          </w:tcPr>
          <w:p w14:paraId="5CD915D7" w14:textId="77777777" w:rsidR="000E6195" w:rsidRDefault="000E6195">
            <w:pPr>
              <w:pStyle w:val="Default"/>
              <w:jc w:val="center"/>
              <w:rPr>
                <w:sz w:val="22"/>
                <w:szCs w:val="22"/>
              </w:rPr>
            </w:pPr>
            <w:r>
              <w:rPr>
                <w:b/>
                <w:bCs/>
                <w:sz w:val="22"/>
                <w:szCs w:val="22"/>
              </w:rPr>
              <w:t>Adapalen+BPO</w:t>
            </w:r>
          </w:p>
          <w:p w14:paraId="0F27AE27" w14:textId="77777777" w:rsidR="000E6195" w:rsidRDefault="000E6195">
            <w:pPr>
              <w:numPr>
                <w:ilvl w:val="12"/>
                <w:numId w:val="0"/>
              </w:numPr>
              <w:ind w:right="-2"/>
              <w:jc w:val="center"/>
              <w:rPr>
                <w:bCs/>
                <w:iCs/>
                <w:sz w:val="22"/>
              </w:rPr>
            </w:pPr>
            <w:r>
              <w:rPr>
                <w:b/>
                <w:bCs/>
              </w:rPr>
              <w:t>N=142</w:t>
            </w:r>
          </w:p>
        </w:tc>
        <w:tc>
          <w:tcPr>
            <w:tcW w:w="1316" w:type="pct"/>
            <w:tcBorders>
              <w:top w:val="single" w:sz="4" w:space="0" w:color="auto"/>
              <w:left w:val="single" w:sz="4" w:space="0" w:color="auto"/>
              <w:bottom w:val="single" w:sz="4" w:space="0" w:color="auto"/>
              <w:right w:val="single" w:sz="4" w:space="0" w:color="auto"/>
            </w:tcBorders>
            <w:hideMark/>
          </w:tcPr>
          <w:p w14:paraId="0050C7DE" w14:textId="77777777" w:rsidR="000E6195" w:rsidRDefault="000E6195">
            <w:pPr>
              <w:pStyle w:val="Default"/>
              <w:jc w:val="center"/>
              <w:rPr>
                <w:sz w:val="22"/>
                <w:szCs w:val="22"/>
              </w:rPr>
            </w:pPr>
            <w:r>
              <w:rPr>
                <w:b/>
                <w:bCs/>
                <w:sz w:val="22"/>
                <w:szCs w:val="22"/>
              </w:rPr>
              <w:t>Vehikel</w:t>
            </w:r>
          </w:p>
          <w:p w14:paraId="36103DE1" w14:textId="77777777" w:rsidR="000E6195" w:rsidRDefault="000E6195">
            <w:pPr>
              <w:numPr>
                <w:ilvl w:val="12"/>
                <w:numId w:val="0"/>
              </w:numPr>
              <w:ind w:right="-2"/>
              <w:jc w:val="center"/>
              <w:rPr>
                <w:bCs/>
                <w:iCs/>
                <w:sz w:val="22"/>
              </w:rPr>
            </w:pPr>
            <w:r>
              <w:rPr>
                <w:b/>
                <w:bCs/>
              </w:rPr>
              <w:t>N=143</w:t>
            </w:r>
          </w:p>
        </w:tc>
      </w:tr>
      <w:tr w:rsidR="000E6195" w14:paraId="5A889268" w14:textId="77777777" w:rsidTr="004A6046">
        <w:trPr>
          <w:tblHeader/>
          <w:jc w:val="center"/>
        </w:trPr>
        <w:tc>
          <w:tcPr>
            <w:tcW w:w="2280" w:type="pct"/>
            <w:tcBorders>
              <w:top w:val="single" w:sz="4" w:space="0" w:color="auto"/>
              <w:left w:val="single" w:sz="4" w:space="0" w:color="auto"/>
              <w:bottom w:val="single" w:sz="4" w:space="0" w:color="auto"/>
              <w:right w:val="single" w:sz="4" w:space="0" w:color="auto"/>
            </w:tcBorders>
          </w:tcPr>
          <w:p w14:paraId="57C6FB0A" w14:textId="77777777" w:rsidR="000E6195" w:rsidRDefault="000E6195">
            <w:pPr>
              <w:pStyle w:val="Default"/>
              <w:rPr>
                <w:sz w:val="22"/>
                <w:szCs w:val="22"/>
                <w:lang w:eastAsia="en-US"/>
              </w:rPr>
            </w:pPr>
            <w:r>
              <w:rPr>
                <w:b/>
                <w:bCs/>
                <w:sz w:val="22"/>
                <w:szCs w:val="22"/>
              </w:rPr>
              <w:t xml:space="preserve">Succesrate (Klar, Næsten klar) </w:t>
            </w:r>
          </w:p>
          <w:p w14:paraId="07998434" w14:textId="77777777" w:rsidR="000E6195" w:rsidRDefault="000E6195">
            <w:pPr>
              <w:numPr>
                <w:ilvl w:val="12"/>
                <w:numId w:val="0"/>
              </w:numPr>
              <w:ind w:right="-2"/>
              <w:rPr>
                <w:bCs/>
                <w:iCs/>
                <w:sz w:val="22"/>
              </w:rPr>
            </w:pPr>
          </w:p>
        </w:tc>
        <w:tc>
          <w:tcPr>
            <w:tcW w:w="1404" w:type="pct"/>
            <w:tcBorders>
              <w:top w:val="single" w:sz="4" w:space="0" w:color="auto"/>
              <w:left w:val="single" w:sz="4" w:space="0" w:color="auto"/>
              <w:bottom w:val="single" w:sz="4" w:space="0" w:color="auto"/>
              <w:right w:val="single" w:sz="4" w:space="0" w:color="auto"/>
            </w:tcBorders>
            <w:hideMark/>
          </w:tcPr>
          <w:p w14:paraId="27718301" w14:textId="77777777" w:rsidR="000E6195" w:rsidRDefault="000E6195">
            <w:pPr>
              <w:pStyle w:val="Default"/>
              <w:jc w:val="center"/>
              <w:rPr>
                <w:sz w:val="22"/>
                <w:szCs w:val="22"/>
              </w:rPr>
            </w:pPr>
            <w:r>
              <w:rPr>
                <w:sz w:val="22"/>
                <w:szCs w:val="22"/>
              </w:rPr>
              <w:t>67 (47,2 %)</w:t>
            </w:r>
          </w:p>
        </w:tc>
        <w:tc>
          <w:tcPr>
            <w:tcW w:w="1316" w:type="pct"/>
            <w:tcBorders>
              <w:top w:val="single" w:sz="4" w:space="0" w:color="auto"/>
              <w:left w:val="single" w:sz="4" w:space="0" w:color="auto"/>
              <w:bottom w:val="single" w:sz="4" w:space="0" w:color="auto"/>
              <w:right w:val="single" w:sz="4" w:space="0" w:color="auto"/>
            </w:tcBorders>
            <w:hideMark/>
          </w:tcPr>
          <w:p w14:paraId="48BB751C" w14:textId="77777777" w:rsidR="000E6195" w:rsidRDefault="000E6195">
            <w:pPr>
              <w:numPr>
                <w:ilvl w:val="12"/>
                <w:numId w:val="0"/>
              </w:numPr>
              <w:ind w:right="-2"/>
              <w:jc w:val="center"/>
              <w:rPr>
                <w:bCs/>
                <w:iCs/>
                <w:sz w:val="22"/>
              </w:rPr>
            </w:pPr>
            <w:r>
              <w:rPr>
                <w:bCs/>
                <w:iCs/>
              </w:rPr>
              <w:t>22 (15,4 %)</w:t>
            </w:r>
          </w:p>
        </w:tc>
      </w:tr>
      <w:tr w:rsidR="000E6195" w14:paraId="13F1E343" w14:textId="77777777" w:rsidTr="004A6046">
        <w:trPr>
          <w:tblHeader/>
          <w:jc w:val="center"/>
        </w:trPr>
        <w:tc>
          <w:tcPr>
            <w:tcW w:w="2280" w:type="pct"/>
            <w:tcBorders>
              <w:top w:val="single" w:sz="4" w:space="0" w:color="auto"/>
              <w:left w:val="single" w:sz="4" w:space="0" w:color="auto"/>
              <w:bottom w:val="single" w:sz="4" w:space="0" w:color="auto"/>
              <w:right w:val="single" w:sz="4" w:space="0" w:color="auto"/>
            </w:tcBorders>
            <w:hideMark/>
          </w:tcPr>
          <w:p w14:paraId="44657473" w14:textId="77777777" w:rsidR="000E6195" w:rsidRDefault="000E6195">
            <w:pPr>
              <w:pStyle w:val="Default"/>
              <w:rPr>
                <w:lang w:eastAsia="en-US"/>
              </w:rPr>
            </w:pPr>
            <w:r>
              <w:rPr>
                <w:b/>
                <w:bCs/>
                <w:sz w:val="20"/>
                <w:szCs w:val="20"/>
              </w:rPr>
              <w:t>Medianreduktion (% reduktion) i:</w:t>
            </w:r>
          </w:p>
        </w:tc>
        <w:tc>
          <w:tcPr>
            <w:tcW w:w="2720" w:type="pct"/>
            <w:gridSpan w:val="2"/>
            <w:tcBorders>
              <w:top w:val="single" w:sz="4" w:space="0" w:color="auto"/>
              <w:left w:val="single" w:sz="4" w:space="0" w:color="auto"/>
              <w:bottom w:val="single" w:sz="4" w:space="0" w:color="auto"/>
              <w:right w:val="single" w:sz="4" w:space="0" w:color="auto"/>
            </w:tcBorders>
          </w:tcPr>
          <w:p w14:paraId="0331435C" w14:textId="77777777" w:rsidR="000E6195" w:rsidRDefault="000E6195">
            <w:pPr>
              <w:numPr>
                <w:ilvl w:val="12"/>
                <w:numId w:val="0"/>
              </w:numPr>
              <w:ind w:right="-2"/>
              <w:jc w:val="center"/>
              <w:rPr>
                <w:bCs/>
                <w:iCs/>
              </w:rPr>
            </w:pPr>
          </w:p>
        </w:tc>
      </w:tr>
      <w:tr w:rsidR="000E6195" w14:paraId="42014A8D" w14:textId="77777777" w:rsidTr="004A6046">
        <w:trPr>
          <w:tblHeader/>
          <w:jc w:val="center"/>
        </w:trPr>
        <w:tc>
          <w:tcPr>
            <w:tcW w:w="2280" w:type="pct"/>
            <w:tcBorders>
              <w:top w:val="single" w:sz="4" w:space="0" w:color="auto"/>
              <w:left w:val="single" w:sz="4" w:space="0" w:color="auto"/>
              <w:bottom w:val="single" w:sz="4" w:space="0" w:color="auto"/>
              <w:right w:val="single" w:sz="4" w:space="0" w:color="auto"/>
            </w:tcBorders>
            <w:hideMark/>
          </w:tcPr>
          <w:p w14:paraId="41A835B8" w14:textId="77777777" w:rsidR="000E6195" w:rsidRDefault="000E6195">
            <w:pPr>
              <w:numPr>
                <w:ilvl w:val="12"/>
                <w:numId w:val="0"/>
              </w:numPr>
              <w:ind w:left="318" w:right="-2"/>
              <w:rPr>
                <w:bCs/>
                <w:iCs/>
              </w:rPr>
            </w:pPr>
            <w:r>
              <w:t>Antal inflammatoriske læsioner</w:t>
            </w:r>
          </w:p>
        </w:tc>
        <w:tc>
          <w:tcPr>
            <w:tcW w:w="1404" w:type="pct"/>
            <w:tcBorders>
              <w:top w:val="single" w:sz="4" w:space="0" w:color="auto"/>
              <w:left w:val="single" w:sz="4" w:space="0" w:color="auto"/>
              <w:bottom w:val="single" w:sz="4" w:space="0" w:color="auto"/>
              <w:right w:val="single" w:sz="4" w:space="0" w:color="auto"/>
            </w:tcBorders>
            <w:hideMark/>
          </w:tcPr>
          <w:p w14:paraId="6D219D0C" w14:textId="77777777" w:rsidR="000E6195" w:rsidRDefault="000E6195">
            <w:pPr>
              <w:numPr>
                <w:ilvl w:val="12"/>
                <w:numId w:val="0"/>
              </w:numPr>
              <w:ind w:right="-2"/>
              <w:jc w:val="center"/>
              <w:rPr>
                <w:bCs/>
                <w:iCs/>
              </w:rPr>
            </w:pPr>
            <w:r>
              <w:rPr>
                <w:bCs/>
                <w:iCs/>
              </w:rPr>
              <w:t>6 (62,5 %)</w:t>
            </w:r>
          </w:p>
        </w:tc>
        <w:tc>
          <w:tcPr>
            <w:tcW w:w="1316" w:type="pct"/>
            <w:tcBorders>
              <w:top w:val="single" w:sz="4" w:space="0" w:color="auto"/>
              <w:left w:val="single" w:sz="4" w:space="0" w:color="auto"/>
              <w:bottom w:val="single" w:sz="4" w:space="0" w:color="auto"/>
              <w:right w:val="single" w:sz="4" w:space="0" w:color="auto"/>
            </w:tcBorders>
            <w:hideMark/>
          </w:tcPr>
          <w:p w14:paraId="3D92C0F5" w14:textId="77777777" w:rsidR="000E6195" w:rsidRDefault="000E6195">
            <w:pPr>
              <w:numPr>
                <w:ilvl w:val="12"/>
                <w:numId w:val="0"/>
              </w:numPr>
              <w:ind w:right="-2"/>
              <w:jc w:val="center"/>
              <w:rPr>
                <w:bCs/>
                <w:iCs/>
              </w:rPr>
            </w:pPr>
            <w:r>
              <w:rPr>
                <w:bCs/>
                <w:iCs/>
              </w:rPr>
              <w:t>1 (11,5 %)</w:t>
            </w:r>
          </w:p>
        </w:tc>
      </w:tr>
      <w:tr w:rsidR="000E6195" w14:paraId="25278C0C" w14:textId="77777777" w:rsidTr="004A6046">
        <w:trPr>
          <w:tblHeader/>
          <w:jc w:val="center"/>
        </w:trPr>
        <w:tc>
          <w:tcPr>
            <w:tcW w:w="2280" w:type="pct"/>
            <w:tcBorders>
              <w:top w:val="single" w:sz="4" w:space="0" w:color="auto"/>
              <w:left w:val="single" w:sz="4" w:space="0" w:color="auto"/>
              <w:bottom w:val="single" w:sz="4" w:space="0" w:color="auto"/>
              <w:right w:val="single" w:sz="4" w:space="0" w:color="auto"/>
            </w:tcBorders>
            <w:hideMark/>
          </w:tcPr>
          <w:p w14:paraId="4695CB01" w14:textId="77777777" w:rsidR="000E6195" w:rsidRDefault="000E6195">
            <w:pPr>
              <w:numPr>
                <w:ilvl w:val="12"/>
                <w:numId w:val="0"/>
              </w:numPr>
              <w:ind w:left="318" w:right="-2"/>
              <w:rPr>
                <w:bCs/>
                <w:iCs/>
              </w:rPr>
            </w:pPr>
            <w:r>
              <w:rPr>
                <w:bCs/>
                <w:iCs/>
              </w:rPr>
              <w:t>Antal ikke</w:t>
            </w:r>
            <w:r>
              <w:rPr>
                <w:bCs/>
                <w:iCs/>
              </w:rPr>
              <w:noBreakHyphen/>
              <w:t>inflammatoriske læsioner</w:t>
            </w:r>
          </w:p>
        </w:tc>
        <w:tc>
          <w:tcPr>
            <w:tcW w:w="1404" w:type="pct"/>
            <w:tcBorders>
              <w:top w:val="single" w:sz="4" w:space="0" w:color="auto"/>
              <w:left w:val="single" w:sz="4" w:space="0" w:color="auto"/>
              <w:bottom w:val="single" w:sz="4" w:space="0" w:color="auto"/>
              <w:right w:val="single" w:sz="4" w:space="0" w:color="auto"/>
            </w:tcBorders>
            <w:hideMark/>
          </w:tcPr>
          <w:p w14:paraId="7B99BFA6" w14:textId="77777777" w:rsidR="000E6195" w:rsidRDefault="000E6195">
            <w:pPr>
              <w:numPr>
                <w:ilvl w:val="12"/>
                <w:numId w:val="0"/>
              </w:numPr>
              <w:ind w:right="-2"/>
              <w:jc w:val="center"/>
              <w:rPr>
                <w:bCs/>
                <w:iCs/>
              </w:rPr>
            </w:pPr>
            <w:r>
              <w:rPr>
                <w:bCs/>
                <w:iCs/>
              </w:rPr>
              <w:t>19 (67,6 %)</w:t>
            </w:r>
          </w:p>
        </w:tc>
        <w:tc>
          <w:tcPr>
            <w:tcW w:w="1316" w:type="pct"/>
            <w:tcBorders>
              <w:top w:val="single" w:sz="4" w:space="0" w:color="auto"/>
              <w:left w:val="single" w:sz="4" w:space="0" w:color="auto"/>
              <w:bottom w:val="single" w:sz="4" w:space="0" w:color="auto"/>
              <w:right w:val="single" w:sz="4" w:space="0" w:color="auto"/>
            </w:tcBorders>
            <w:hideMark/>
          </w:tcPr>
          <w:p w14:paraId="545A3EC9" w14:textId="77777777" w:rsidR="000E6195" w:rsidRDefault="000E6195">
            <w:pPr>
              <w:numPr>
                <w:ilvl w:val="12"/>
                <w:numId w:val="0"/>
              </w:numPr>
              <w:ind w:right="-2"/>
              <w:jc w:val="center"/>
              <w:rPr>
                <w:bCs/>
                <w:iCs/>
              </w:rPr>
            </w:pPr>
            <w:r>
              <w:rPr>
                <w:bCs/>
                <w:iCs/>
              </w:rPr>
              <w:t>5 (13,2 %)</w:t>
            </w:r>
          </w:p>
        </w:tc>
      </w:tr>
      <w:tr w:rsidR="000E6195" w14:paraId="51B45532" w14:textId="77777777" w:rsidTr="004A6046">
        <w:trPr>
          <w:tblHeader/>
          <w:jc w:val="center"/>
        </w:trPr>
        <w:tc>
          <w:tcPr>
            <w:tcW w:w="2280" w:type="pct"/>
            <w:tcBorders>
              <w:top w:val="single" w:sz="4" w:space="0" w:color="auto"/>
              <w:left w:val="single" w:sz="4" w:space="0" w:color="auto"/>
              <w:bottom w:val="single" w:sz="4" w:space="0" w:color="auto"/>
              <w:right w:val="single" w:sz="4" w:space="0" w:color="auto"/>
            </w:tcBorders>
            <w:hideMark/>
          </w:tcPr>
          <w:p w14:paraId="793478D4" w14:textId="77777777" w:rsidR="000E6195" w:rsidRDefault="000E6195">
            <w:pPr>
              <w:numPr>
                <w:ilvl w:val="12"/>
                <w:numId w:val="0"/>
              </w:numPr>
              <w:ind w:left="318" w:right="-2"/>
              <w:rPr>
                <w:bCs/>
                <w:iCs/>
              </w:rPr>
            </w:pPr>
            <w:r>
              <w:rPr>
                <w:bCs/>
                <w:iCs/>
              </w:rPr>
              <w:t>Totalt antal læsioner</w:t>
            </w:r>
          </w:p>
        </w:tc>
        <w:tc>
          <w:tcPr>
            <w:tcW w:w="1404" w:type="pct"/>
            <w:tcBorders>
              <w:top w:val="single" w:sz="4" w:space="0" w:color="auto"/>
              <w:left w:val="single" w:sz="4" w:space="0" w:color="auto"/>
              <w:bottom w:val="single" w:sz="4" w:space="0" w:color="auto"/>
              <w:right w:val="single" w:sz="4" w:space="0" w:color="auto"/>
            </w:tcBorders>
            <w:hideMark/>
          </w:tcPr>
          <w:p w14:paraId="6D0C605D" w14:textId="77777777" w:rsidR="000E6195" w:rsidRDefault="000E6195">
            <w:pPr>
              <w:numPr>
                <w:ilvl w:val="12"/>
                <w:numId w:val="0"/>
              </w:numPr>
              <w:ind w:right="-2"/>
              <w:jc w:val="center"/>
              <w:rPr>
                <w:bCs/>
                <w:iCs/>
              </w:rPr>
            </w:pPr>
            <w:r>
              <w:rPr>
                <w:bCs/>
                <w:iCs/>
              </w:rPr>
              <w:t>26 (66,9 %)</w:t>
            </w:r>
          </w:p>
        </w:tc>
        <w:tc>
          <w:tcPr>
            <w:tcW w:w="1316" w:type="pct"/>
            <w:tcBorders>
              <w:top w:val="single" w:sz="4" w:space="0" w:color="auto"/>
              <w:left w:val="single" w:sz="4" w:space="0" w:color="auto"/>
              <w:bottom w:val="single" w:sz="4" w:space="0" w:color="auto"/>
              <w:right w:val="single" w:sz="4" w:space="0" w:color="auto"/>
            </w:tcBorders>
            <w:hideMark/>
          </w:tcPr>
          <w:p w14:paraId="0ED9B9AA" w14:textId="77777777" w:rsidR="000E6195" w:rsidRDefault="000E6195">
            <w:pPr>
              <w:numPr>
                <w:ilvl w:val="12"/>
                <w:numId w:val="0"/>
              </w:numPr>
              <w:ind w:right="-2"/>
              <w:jc w:val="center"/>
              <w:rPr>
                <w:bCs/>
                <w:iCs/>
              </w:rPr>
            </w:pPr>
            <w:r>
              <w:rPr>
                <w:bCs/>
                <w:iCs/>
              </w:rPr>
              <w:t>8 (18,4 %)</w:t>
            </w:r>
          </w:p>
        </w:tc>
      </w:tr>
    </w:tbl>
    <w:p w14:paraId="0E353FFA" w14:textId="170BFAC8" w:rsidR="00FC6C3E" w:rsidRDefault="00FC6C3E" w:rsidP="000E6195">
      <w:pPr>
        <w:rPr>
          <w:sz w:val="22"/>
        </w:rPr>
      </w:pPr>
    </w:p>
    <w:p w14:paraId="41A08EC4" w14:textId="77777777" w:rsidR="00FC6C3E" w:rsidRDefault="00FC6C3E">
      <w:pPr>
        <w:rPr>
          <w:sz w:val="22"/>
        </w:rPr>
      </w:pPr>
      <w:r>
        <w:rPr>
          <w:sz w:val="22"/>
        </w:rPr>
        <w:br w:type="page"/>
      </w:r>
    </w:p>
    <w:p w14:paraId="24C43AAE" w14:textId="77777777" w:rsidR="000E6195" w:rsidRDefault="000E6195" w:rsidP="000E6195">
      <w:pPr>
        <w:rPr>
          <w:sz w:val="22"/>
        </w:rPr>
      </w:pPr>
    </w:p>
    <w:p w14:paraId="1ABC05B1"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3FB932E" w14:textId="77777777" w:rsidR="00FC6C3E" w:rsidRPr="00FC6C3E" w:rsidRDefault="00FC6C3E" w:rsidP="00FC6C3E">
      <w:pPr>
        <w:tabs>
          <w:tab w:val="left" w:pos="851"/>
        </w:tabs>
        <w:ind w:left="851"/>
        <w:rPr>
          <w:sz w:val="24"/>
          <w:szCs w:val="24"/>
        </w:rPr>
      </w:pPr>
      <w:r w:rsidRPr="00FC6C3E">
        <w:rPr>
          <w:sz w:val="24"/>
          <w:szCs w:val="24"/>
        </w:rPr>
        <w:t>De farmakokinetiske (PK) egenskaber af gel med adapalen/benzoylperoxid svarer til PK</w:t>
      </w:r>
      <w:r w:rsidRPr="00FC6C3E">
        <w:rPr>
          <w:sz w:val="24"/>
          <w:szCs w:val="24"/>
        </w:rPr>
        <w:noBreakHyphen/>
        <w:t>profilen af adapalen 0,1 % gel alene.</w:t>
      </w:r>
    </w:p>
    <w:p w14:paraId="454A3F66" w14:textId="77777777" w:rsidR="00FC6C3E" w:rsidRPr="00FC6C3E" w:rsidRDefault="00FC6C3E" w:rsidP="00FC6C3E">
      <w:pPr>
        <w:tabs>
          <w:tab w:val="left" w:pos="851"/>
        </w:tabs>
        <w:ind w:left="851"/>
        <w:rPr>
          <w:sz w:val="24"/>
          <w:szCs w:val="24"/>
        </w:rPr>
      </w:pPr>
    </w:p>
    <w:p w14:paraId="4C6F1747" w14:textId="77777777" w:rsidR="00FC6C3E" w:rsidRPr="00FC6C3E" w:rsidRDefault="00FC6C3E" w:rsidP="00FC6C3E">
      <w:pPr>
        <w:tabs>
          <w:tab w:val="left" w:pos="851"/>
        </w:tabs>
        <w:ind w:left="851"/>
        <w:rPr>
          <w:sz w:val="24"/>
          <w:szCs w:val="24"/>
        </w:rPr>
      </w:pPr>
      <w:r w:rsidRPr="00FC6C3E">
        <w:rPr>
          <w:sz w:val="24"/>
          <w:szCs w:val="24"/>
        </w:rPr>
        <w:t>I et 30 dages klinisk PK</w:t>
      </w:r>
      <w:r w:rsidRPr="00FC6C3E">
        <w:rPr>
          <w:sz w:val="24"/>
          <w:szCs w:val="24"/>
        </w:rPr>
        <w:noBreakHyphen/>
        <w:t>studie udført hos patienter med akne, som blev testet med enten fastkombinationsgelen eller med en lignende formulering af adapalen 0,1 % under maksimerede betingelser (med applikation af 2 g gel daglig), var adapalen ikke kvantificerbart i størstedelen af plasmaprøverne (kvantificeringsgrænse på 0,1 ng/ml). Lave niveauer af adapalen (C</w:t>
      </w:r>
      <w:r w:rsidRPr="00FC6C3E">
        <w:rPr>
          <w:sz w:val="24"/>
          <w:szCs w:val="24"/>
          <w:vertAlign w:val="subscript"/>
        </w:rPr>
        <w:t>max</w:t>
      </w:r>
      <w:r w:rsidRPr="00FC6C3E">
        <w:rPr>
          <w:sz w:val="24"/>
          <w:szCs w:val="24"/>
        </w:rPr>
        <w:t xml:space="preserve"> mellem 0,1 og 0,2 ng/ml) blev målt i to blodprøver fra patienter behandlet med adapalen/benzoylperoxid og i tre prøver fra patienter behandlet med adapalen 0,1 % gel. Den højeste adapalen AUC</w:t>
      </w:r>
      <w:r w:rsidRPr="00FC6C3E">
        <w:rPr>
          <w:sz w:val="24"/>
          <w:szCs w:val="24"/>
          <w:vertAlign w:val="subscript"/>
        </w:rPr>
        <w:t>0-24h</w:t>
      </w:r>
      <w:r w:rsidRPr="00FC6C3E">
        <w:rPr>
          <w:sz w:val="24"/>
          <w:szCs w:val="24"/>
        </w:rPr>
        <w:t>-værdi, der blev målt i fastkombinationsgruppen, var 1,99 ng.h/ml.</w:t>
      </w:r>
    </w:p>
    <w:p w14:paraId="5CDCD5DC" w14:textId="77777777" w:rsidR="00FC6C3E" w:rsidRPr="00FC6C3E" w:rsidRDefault="00FC6C3E" w:rsidP="00FC6C3E">
      <w:pPr>
        <w:tabs>
          <w:tab w:val="left" w:pos="851"/>
        </w:tabs>
        <w:ind w:left="851"/>
        <w:rPr>
          <w:sz w:val="24"/>
          <w:szCs w:val="24"/>
        </w:rPr>
      </w:pPr>
    </w:p>
    <w:p w14:paraId="1F053550" w14:textId="77777777" w:rsidR="00FC6C3E" w:rsidRPr="00FC6C3E" w:rsidRDefault="00FC6C3E" w:rsidP="00FC6C3E">
      <w:pPr>
        <w:tabs>
          <w:tab w:val="left" w:pos="851"/>
        </w:tabs>
        <w:ind w:left="851"/>
        <w:rPr>
          <w:sz w:val="24"/>
          <w:szCs w:val="24"/>
        </w:rPr>
      </w:pPr>
      <w:r w:rsidRPr="00FC6C3E">
        <w:rPr>
          <w:sz w:val="24"/>
          <w:szCs w:val="24"/>
        </w:rPr>
        <w:t>Disse resultater er sammenlignelige med dem, der blev fundet i tidligere kliniske PK</w:t>
      </w:r>
      <w:r w:rsidRPr="00FC6C3E">
        <w:rPr>
          <w:sz w:val="24"/>
          <w:szCs w:val="24"/>
        </w:rPr>
        <w:noBreakHyphen/>
        <w:t>studier på forskellige adapalen 0,1 %</w:t>
      </w:r>
      <w:r w:rsidRPr="00FC6C3E">
        <w:rPr>
          <w:sz w:val="24"/>
          <w:szCs w:val="24"/>
        </w:rPr>
        <w:noBreakHyphen/>
        <w:t>formuleringer, hvor systemisk eksponering var konsekvent lav.</w:t>
      </w:r>
    </w:p>
    <w:p w14:paraId="25DAF01E" w14:textId="77777777" w:rsidR="00FC6C3E" w:rsidRPr="00FC6C3E" w:rsidRDefault="00FC6C3E" w:rsidP="00FC6C3E">
      <w:pPr>
        <w:tabs>
          <w:tab w:val="left" w:pos="851"/>
        </w:tabs>
        <w:ind w:left="851"/>
        <w:rPr>
          <w:sz w:val="24"/>
          <w:szCs w:val="24"/>
        </w:rPr>
      </w:pPr>
    </w:p>
    <w:p w14:paraId="5B3A6F43" w14:textId="77777777" w:rsidR="00FC6C3E" w:rsidRPr="00FC6C3E" w:rsidRDefault="00FC6C3E" w:rsidP="00FC6C3E">
      <w:pPr>
        <w:tabs>
          <w:tab w:val="left" w:pos="851"/>
        </w:tabs>
        <w:ind w:left="851"/>
        <w:rPr>
          <w:sz w:val="24"/>
          <w:szCs w:val="24"/>
        </w:rPr>
      </w:pPr>
      <w:r w:rsidRPr="00FC6C3E">
        <w:rPr>
          <w:sz w:val="24"/>
          <w:szCs w:val="24"/>
        </w:rPr>
        <w:t>Den perkutane penetrering af benzoylperoxid er lav. Når det bliver påført huden, bliver det fuldstændigt omdannet til benzoesyre, der hurtigt elimineres.</w:t>
      </w:r>
    </w:p>
    <w:p w14:paraId="54C693BB" w14:textId="77777777" w:rsidR="009260DE" w:rsidRPr="00C84483" w:rsidRDefault="009260DE" w:rsidP="009260DE">
      <w:pPr>
        <w:tabs>
          <w:tab w:val="left" w:pos="851"/>
        </w:tabs>
        <w:ind w:left="851"/>
        <w:rPr>
          <w:sz w:val="24"/>
          <w:szCs w:val="24"/>
        </w:rPr>
      </w:pPr>
    </w:p>
    <w:p w14:paraId="611E40B4"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D14EE16" w14:textId="77777777" w:rsidR="00FC6C3E" w:rsidRPr="00FC6C3E" w:rsidRDefault="00FC6C3E" w:rsidP="00FC6C3E">
      <w:pPr>
        <w:tabs>
          <w:tab w:val="left" w:pos="851"/>
        </w:tabs>
        <w:ind w:left="851"/>
        <w:rPr>
          <w:sz w:val="24"/>
          <w:szCs w:val="24"/>
        </w:rPr>
      </w:pPr>
      <w:r w:rsidRPr="00FC6C3E">
        <w:rPr>
          <w:sz w:val="24"/>
          <w:szCs w:val="24"/>
        </w:rPr>
        <w:t>Non-kliniske data viser ingen speciel risiko for mennesker vurderet ud fra konventionelle studier af sikkerhedsfarmakologi, toksicitet efter gentagne doser, genotoksicitet, fototoksicitet eller karcinogenicitet.</w:t>
      </w:r>
    </w:p>
    <w:p w14:paraId="26FEC5B8" w14:textId="77777777" w:rsidR="00FC6C3E" w:rsidRPr="00FC6C3E" w:rsidRDefault="00FC6C3E" w:rsidP="00FC6C3E">
      <w:pPr>
        <w:tabs>
          <w:tab w:val="left" w:pos="851"/>
        </w:tabs>
        <w:ind w:left="851"/>
        <w:rPr>
          <w:sz w:val="24"/>
          <w:szCs w:val="24"/>
        </w:rPr>
      </w:pPr>
    </w:p>
    <w:p w14:paraId="16F3E3E9" w14:textId="77777777" w:rsidR="00FC6C3E" w:rsidRPr="00FC6C3E" w:rsidRDefault="00FC6C3E" w:rsidP="00FC6C3E">
      <w:pPr>
        <w:tabs>
          <w:tab w:val="left" w:pos="851"/>
        </w:tabs>
        <w:ind w:left="851"/>
        <w:rPr>
          <w:sz w:val="24"/>
          <w:szCs w:val="24"/>
        </w:rPr>
      </w:pPr>
      <w:r w:rsidRPr="00FC6C3E">
        <w:rPr>
          <w:sz w:val="24"/>
          <w:szCs w:val="24"/>
        </w:rPr>
        <w:t>Studier af reproduktionstoksikologi, med oral og dermal administrering af adapalen, er blevet udført på rotter og kaniner. En teratogen virkning er blevet påvist ved høj systemisk eksponering (orale doser fra 25 mg/kg/dag). Ved lavere eksponering (dermal dosis på 6 mg/kg/dag) blev der set ændringer i antallet af ribben og ryghvirvler.</w:t>
      </w:r>
    </w:p>
    <w:p w14:paraId="257B20BC" w14:textId="77777777" w:rsidR="00FC6C3E" w:rsidRPr="00FC6C3E" w:rsidRDefault="00FC6C3E" w:rsidP="00FC6C3E">
      <w:pPr>
        <w:tabs>
          <w:tab w:val="left" w:pos="851"/>
        </w:tabs>
        <w:ind w:left="851"/>
        <w:rPr>
          <w:sz w:val="24"/>
          <w:szCs w:val="24"/>
        </w:rPr>
      </w:pPr>
    </w:p>
    <w:p w14:paraId="7FA3A3E2" w14:textId="77777777" w:rsidR="00FC6C3E" w:rsidRPr="00FC6C3E" w:rsidRDefault="00FC6C3E" w:rsidP="00FC6C3E">
      <w:pPr>
        <w:tabs>
          <w:tab w:val="left" w:pos="851"/>
        </w:tabs>
        <w:ind w:left="851"/>
        <w:rPr>
          <w:sz w:val="24"/>
          <w:szCs w:val="24"/>
        </w:rPr>
      </w:pPr>
      <w:r w:rsidRPr="00FC6C3E">
        <w:rPr>
          <w:sz w:val="24"/>
          <w:szCs w:val="24"/>
        </w:rPr>
        <w:t>Dyrestudier udført med gel med adapalen/benzoylperoxid omfatter lokaltolerancestudier og dermale toksicitetsstudier med gentagne doser i rotter, hunde og minigrise i op til 13 uger, og viste lokal irritation og et potentiale for sensibilisering, som forventet for en kombination indeholdende benzoylperoxid. Hos dyr er den systemiske eksponering for adapalen, efter gentagen dermal applikation af den faste kombination, meget lav, hvilket er i overensstemmelse med kliniske farmakokinetiske data. Benzoylperoxid omdannes hurtigt og fuldstændigt til benzoesyre i huden, og efter absorption elimineres det i urinen med begrænset systemisk eksponering.</w:t>
      </w:r>
    </w:p>
    <w:p w14:paraId="43D32244" w14:textId="77777777" w:rsidR="00FC6C3E" w:rsidRPr="00FC6C3E" w:rsidRDefault="00FC6C3E" w:rsidP="00FC6C3E">
      <w:pPr>
        <w:tabs>
          <w:tab w:val="left" w:pos="851"/>
        </w:tabs>
        <w:ind w:left="851"/>
        <w:rPr>
          <w:sz w:val="24"/>
          <w:szCs w:val="24"/>
        </w:rPr>
      </w:pPr>
    </w:p>
    <w:p w14:paraId="15D66CA3" w14:textId="77777777" w:rsidR="00FC6C3E" w:rsidRPr="00FC6C3E" w:rsidRDefault="00FC6C3E" w:rsidP="00FC6C3E">
      <w:pPr>
        <w:tabs>
          <w:tab w:val="left" w:pos="851"/>
        </w:tabs>
        <w:ind w:left="851"/>
        <w:rPr>
          <w:sz w:val="24"/>
          <w:szCs w:val="24"/>
        </w:rPr>
      </w:pPr>
      <w:r w:rsidRPr="00FC6C3E">
        <w:rPr>
          <w:sz w:val="24"/>
          <w:szCs w:val="24"/>
        </w:rPr>
        <w:t>Adapalens reproduktionstoksicitet blev testet ved oral indgift til rotter i fertilitetsstudier.</w:t>
      </w:r>
    </w:p>
    <w:p w14:paraId="5E126C33" w14:textId="77777777" w:rsidR="00FC6C3E" w:rsidRPr="00FC6C3E" w:rsidRDefault="00FC6C3E" w:rsidP="00FC6C3E">
      <w:pPr>
        <w:tabs>
          <w:tab w:val="left" w:pos="851"/>
        </w:tabs>
        <w:ind w:left="851"/>
        <w:rPr>
          <w:sz w:val="24"/>
          <w:szCs w:val="24"/>
        </w:rPr>
      </w:pPr>
    </w:p>
    <w:p w14:paraId="03CDC935" w14:textId="77777777" w:rsidR="00FC6C3E" w:rsidRPr="00FC6C3E" w:rsidRDefault="00FC6C3E" w:rsidP="00FC6C3E">
      <w:pPr>
        <w:tabs>
          <w:tab w:val="left" w:pos="851"/>
        </w:tabs>
        <w:ind w:left="851"/>
        <w:rPr>
          <w:sz w:val="24"/>
          <w:szCs w:val="24"/>
        </w:rPr>
      </w:pPr>
      <w:r w:rsidRPr="00FC6C3E">
        <w:rPr>
          <w:sz w:val="24"/>
          <w:szCs w:val="24"/>
        </w:rPr>
        <w:t>Der var ingen uønskede virkninger på reproduktionsevne og fertilitet, overlevelse af F1</w:t>
      </w:r>
      <w:r w:rsidRPr="00FC6C3E">
        <w:rPr>
          <w:sz w:val="24"/>
          <w:szCs w:val="24"/>
        </w:rPr>
        <w:noBreakHyphen/>
        <w:t>kuld, vækst og udvikling til fravænning og efterfølgende reproduktionsevne efter behandling med oral adapalen i doser op til 20 mg/kg/dag.</w:t>
      </w:r>
    </w:p>
    <w:p w14:paraId="08ACA038" w14:textId="77777777" w:rsidR="00FC6C3E" w:rsidRPr="00FC6C3E" w:rsidRDefault="00FC6C3E" w:rsidP="00FC6C3E">
      <w:pPr>
        <w:tabs>
          <w:tab w:val="left" w:pos="851"/>
        </w:tabs>
        <w:ind w:left="851"/>
        <w:rPr>
          <w:sz w:val="24"/>
          <w:szCs w:val="24"/>
        </w:rPr>
      </w:pPr>
    </w:p>
    <w:p w14:paraId="618B2D07" w14:textId="77777777" w:rsidR="00FC6C3E" w:rsidRPr="00FC6C3E" w:rsidRDefault="00FC6C3E" w:rsidP="00FC6C3E">
      <w:pPr>
        <w:tabs>
          <w:tab w:val="left" w:pos="851"/>
        </w:tabs>
        <w:ind w:left="851"/>
        <w:rPr>
          <w:sz w:val="24"/>
          <w:szCs w:val="24"/>
        </w:rPr>
      </w:pPr>
      <w:r w:rsidRPr="00FC6C3E">
        <w:rPr>
          <w:sz w:val="24"/>
          <w:szCs w:val="24"/>
        </w:rPr>
        <w:t>Et reproduktions- og udviklingstoksicitetsstudie udført med rotter, der i grupper blev udsat for orale doser af benzoylperoxid på op til 1 000 mg/kg/dag (5 ml/kg) viste, at benzoylperoxid ikke inducerede teratogenicitet eller virkninger på reproduktionsfunktionen ved doser op til 500 mg/kg/dag.</w:t>
      </w:r>
    </w:p>
    <w:p w14:paraId="384CCB31" w14:textId="77777777" w:rsidR="009260DE" w:rsidRPr="00C84483" w:rsidRDefault="009260DE" w:rsidP="009260DE">
      <w:pPr>
        <w:tabs>
          <w:tab w:val="left" w:pos="851"/>
        </w:tabs>
        <w:ind w:left="851"/>
        <w:rPr>
          <w:sz w:val="24"/>
          <w:szCs w:val="24"/>
        </w:rPr>
      </w:pPr>
    </w:p>
    <w:p w14:paraId="751BED0A" w14:textId="77777777" w:rsidR="009260DE" w:rsidRPr="00C84483" w:rsidRDefault="009260DE" w:rsidP="009260DE">
      <w:pPr>
        <w:tabs>
          <w:tab w:val="left" w:pos="851"/>
        </w:tabs>
        <w:ind w:left="851"/>
        <w:rPr>
          <w:sz w:val="24"/>
          <w:szCs w:val="24"/>
        </w:rPr>
      </w:pPr>
    </w:p>
    <w:p w14:paraId="4B619B7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A95B709" w14:textId="77777777" w:rsidR="009260DE" w:rsidRPr="00BA09F1" w:rsidRDefault="009260DE" w:rsidP="009260DE">
      <w:pPr>
        <w:tabs>
          <w:tab w:val="left" w:pos="851"/>
        </w:tabs>
        <w:ind w:left="851"/>
        <w:rPr>
          <w:sz w:val="24"/>
          <w:szCs w:val="24"/>
        </w:rPr>
      </w:pPr>
    </w:p>
    <w:p w14:paraId="5C9BC4C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0E4CC8D" w14:textId="77777777" w:rsidR="00FC6C3E" w:rsidRPr="00EC4B87" w:rsidRDefault="00FC6C3E" w:rsidP="00FC6C3E">
      <w:pPr>
        <w:tabs>
          <w:tab w:val="left" w:pos="851"/>
        </w:tabs>
        <w:ind w:left="851"/>
        <w:rPr>
          <w:sz w:val="24"/>
          <w:szCs w:val="24"/>
        </w:rPr>
      </w:pPr>
      <w:r w:rsidRPr="00EC4B87">
        <w:rPr>
          <w:sz w:val="24"/>
          <w:szCs w:val="24"/>
        </w:rPr>
        <w:t>Propylenglycol (E1520)</w:t>
      </w:r>
    </w:p>
    <w:p w14:paraId="54881C4E" w14:textId="77777777" w:rsidR="00FC6C3E" w:rsidRPr="00FC6C3E" w:rsidRDefault="00FC6C3E" w:rsidP="00FC6C3E">
      <w:pPr>
        <w:tabs>
          <w:tab w:val="left" w:pos="851"/>
        </w:tabs>
        <w:ind w:left="851"/>
        <w:rPr>
          <w:sz w:val="24"/>
          <w:szCs w:val="24"/>
          <w:lang w:val="sv-SE"/>
        </w:rPr>
      </w:pPr>
      <w:r w:rsidRPr="00FC6C3E">
        <w:rPr>
          <w:sz w:val="24"/>
          <w:szCs w:val="24"/>
          <w:lang w:val="sv-SE"/>
        </w:rPr>
        <w:t>Glycerol</w:t>
      </w:r>
    </w:p>
    <w:p w14:paraId="04B2C96F" w14:textId="77777777" w:rsidR="00FC6C3E" w:rsidRPr="00FC6C3E" w:rsidRDefault="00FC6C3E" w:rsidP="00FC6C3E">
      <w:pPr>
        <w:tabs>
          <w:tab w:val="left" w:pos="851"/>
        </w:tabs>
        <w:ind w:left="851"/>
        <w:rPr>
          <w:sz w:val="24"/>
          <w:szCs w:val="24"/>
          <w:lang w:val="sv-SE"/>
        </w:rPr>
      </w:pPr>
      <w:r w:rsidRPr="00FC6C3E">
        <w:rPr>
          <w:sz w:val="24"/>
          <w:szCs w:val="24"/>
          <w:lang w:val="sv-SE"/>
        </w:rPr>
        <w:t>Sepineo P600</w:t>
      </w:r>
    </w:p>
    <w:p w14:paraId="59E66CC8" w14:textId="77777777" w:rsidR="00FC6C3E" w:rsidRPr="00FC6C3E" w:rsidRDefault="00FC6C3E" w:rsidP="00FC6C3E">
      <w:pPr>
        <w:tabs>
          <w:tab w:val="left" w:pos="851"/>
        </w:tabs>
        <w:ind w:left="851"/>
        <w:rPr>
          <w:sz w:val="24"/>
          <w:szCs w:val="24"/>
          <w:lang w:val="sv-SE"/>
        </w:rPr>
      </w:pPr>
      <w:r w:rsidRPr="00FC6C3E">
        <w:rPr>
          <w:sz w:val="24"/>
          <w:szCs w:val="24"/>
          <w:lang w:val="sv-SE"/>
        </w:rPr>
        <w:t>Poloxamer 124</w:t>
      </w:r>
    </w:p>
    <w:p w14:paraId="77E81D1A" w14:textId="77777777" w:rsidR="00FC6C3E" w:rsidRPr="00FC6C3E" w:rsidRDefault="00FC6C3E" w:rsidP="00FC6C3E">
      <w:pPr>
        <w:tabs>
          <w:tab w:val="left" w:pos="851"/>
        </w:tabs>
        <w:ind w:left="851"/>
        <w:rPr>
          <w:sz w:val="24"/>
          <w:szCs w:val="24"/>
          <w:lang w:val="sv-SE"/>
        </w:rPr>
      </w:pPr>
      <w:r w:rsidRPr="00FC6C3E">
        <w:rPr>
          <w:sz w:val="24"/>
          <w:szCs w:val="24"/>
          <w:lang w:val="sv-SE"/>
        </w:rPr>
        <w:t>Dinatriumedetat</w:t>
      </w:r>
    </w:p>
    <w:p w14:paraId="1EB17698" w14:textId="77777777" w:rsidR="00FC6C3E" w:rsidRPr="00FC6C3E" w:rsidRDefault="00FC6C3E" w:rsidP="00FC6C3E">
      <w:pPr>
        <w:tabs>
          <w:tab w:val="left" w:pos="851"/>
        </w:tabs>
        <w:ind w:left="851"/>
        <w:rPr>
          <w:sz w:val="24"/>
          <w:szCs w:val="24"/>
          <w:lang w:val="sv-SE"/>
        </w:rPr>
      </w:pPr>
      <w:r w:rsidRPr="00FC6C3E">
        <w:rPr>
          <w:sz w:val="24"/>
          <w:szCs w:val="24"/>
          <w:lang w:val="sv-SE"/>
        </w:rPr>
        <w:t>Docusatnatrium</w:t>
      </w:r>
    </w:p>
    <w:p w14:paraId="191F5A58" w14:textId="77777777" w:rsidR="00FC6C3E" w:rsidRPr="00FC6C3E" w:rsidRDefault="00FC6C3E" w:rsidP="00FC6C3E">
      <w:pPr>
        <w:tabs>
          <w:tab w:val="left" w:pos="851"/>
        </w:tabs>
        <w:ind w:left="851"/>
        <w:rPr>
          <w:sz w:val="24"/>
          <w:szCs w:val="24"/>
        </w:rPr>
      </w:pPr>
      <w:r w:rsidRPr="00FC6C3E">
        <w:rPr>
          <w:sz w:val="24"/>
          <w:szCs w:val="24"/>
        </w:rPr>
        <w:t>Renset vand</w:t>
      </w:r>
    </w:p>
    <w:p w14:paraId="62D9B37D" w14:textId="77777777" w:rsidR="00FC6C3E" w:rsidRPr="00FC6C3E" w:rsidRDefault="00FC6C3E" w:rsidP="00FC6C3E">
      <w:pPr>
        <w:tabs>
          <w:tab w:val="left" w:pos="851"/>
        </w:tabs>
        <w:ind w:left="851"/>
        <w:rPr>
          <w:sz w:val="24"/>
          <w:szCs w:val="24"/>
        </w:rPr>
      </w:pPr>
    </w:p>
    <w:p w14:paraId="54C7B43A" w14:textId="77777777" w:rsidR="00FC6C3E" w:rsidRPr="00FC6C3E" w:rsidRDefault="00FC6C3E" w:rsidP="00FC6C3E">
      <w:pPr>
        <w:tabs>
          <w:tab w:val="left" w:pos="851"/>
        </w:tabs>
        <w:ind w:left="851"/>
        <w:rPr>
          <w:sz w:val="24"/>
          <w:szCs w:val="24"/>
          <w:u w:val="single"/>
        </w:rPr>
      </w:pPr>
      <w:r w:rsidRPr="00FC6C3E">
        <w:rPr>
          <w:sz w:val="24"/>
          <w:szCs w:val="24"/>
          <w:u w:val="single"/>
        </w:rPr>
        <w:t>Sepineo P600 er et hjælpestof, dannet af flere ingredienser:</w:t>
      </w:r>
    </w:p>
    <w:p w14:paraId="0C59EB8B" w14:textId="77777777" w:rsidR="00FC6C3E" w:rsidRPr="00FC6C3E" w:rsidRDefault="00FC6C3E" w:rsidP="00FC6C3E">
      <w:pPr>
        <w:tabs>
          <w:tab w:val="left" w:pos="851"/>
        </w:tabs>
        <w:ind w:left="851"/>
        <w:rPr>
          <w:sz w:val="24"/>
          <w:szCs w:val="24"/>
        </w:rPr>
      </w:pPr>
      <w:r w:rsidRPr="00FC6C3E">
        <w:rPr>
          <w:sz w:val="24"/>
          <w:szCs w:val="24"/>
        </w:rPr>
        <w:t>Copolymer af acrylamid og natriumacryloyldimethyltaurat (1:1), isohexadecan, polysorbat 80, sorbitanoleat.</w:t>
      </w:r>
    </w:p>
    <w:p w14:paraId="73DC0178" w14:textId="77777777" w:rsidR="009260DE" w:rsidRPr="00C84483" w:rsidRDefault="009260DE" w:rsidP="009260DE">
      <w:pPr>
        <w:tabs>
          <w:tab w:val="left" w:pos="851"/>
        </w:tabs>
        <w:ind w:left="851"/>
        <w:rPr>
          <w:sz w:val="24"/>
          <w:szCs w:val="24"/>
        </w:rPr>
      </w:pPr>
    </w:p>
    <w:p w14:paraId="5A31435E"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EDB81A9" w14:textId="77777777" w:rsidR="00FC6C3E" w:rsidRPr="00FC6C3E" w:rsidRDefault="00FC6C3E" w:rsidP="00FC6C3E">
      <w:pPr>
        <w:tabs>
          <w:tab w:val="left" w:pos="851"/>
        </w:tabs>
        <w:ind w:left="851"/>
        <w:rPr>
          <w:sz w:val="24"/>
          <w:szCs w:val="24"/>
        </w:rPr>
      </w:pPr>
      <w:r w:rsidRPr="00FC6C3E">
        <w:rPr>
          <w:sz w:val="24"/>
          <w:szCs w:val="24"/>
        </w:rPr>
        <w:t>Ikke relevant.</w:t>
      </w:r>
    </w:p>
    <w:p w14:paraId="1EAE7430" w14:textId="77777777" w:rsidR="009260DE" w:rsidRPr="00C84483" w:rsidRDefault="009260DE" w:rsidP="009260DE">
      <w:pPr>
        <w:tabs>
          <w:tab w:val="left" w:pos="851"/>
        </w:tabs>
        <w:ind w:left="851"/>
        <w:rPr>
          <w:sz w:val="24"/>
          <w:szCs w:val="24"/>
        </w:rPr>
      </w:pPr>
    </w:p>
    <w:p w14:paraId="25AC277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819D16E" w14:textId="130ED374" w:rsidR="00FC6C3E" w:rsidRDefault="00FC6C3E" w:rsidP="00FC6C3E">
      <w:pPr>
        <w:tabs>
          <w:tab w:val="left" w:pos="851"/>
        </w:tabs>
        <w:ind w:left="851"/>
        <w:rPr>
          <w:sz w:val="24"/>
          <w:szCs w:val="24"/>
        </w:rPr>
      </w:pPr>
      <w:r w:rsidRPr="00FC6C3E">
        <w:rPr>
          <w:sz w:val="24"/>
          <w:szCs w:val="24"/>
        </w:rPr>
        <w:t>18 måneder</w:t>
      </w:r>
      <w:r>
        <w:rPr>
          <w:sz w:val="24"/>
          <w:szCs w:val="24"/>
        </w:rPr>
        <w:t>.</w:t>
      </w:r>
    </w:p>
    <w:p w14:paraId="3AD2D6FE" w14:textId="77777777" w:rsidR="00FC6C3E" w:rsidRPr="00FC6C3E" w:rsidRDefault="00FC6C3E" w:rsidP="00FC6C3E">
      <w:pPr>
        <w:tabs>
          <w:tab w:val="left" w:pos="851"/>
        </w:tabs>
        <w:ind w:left="851"/>
        <w:rPr>
          <w:sz w:val="24"/>
          <w:szCs w:val="24"/>
        </w:rPr>
      </w:pPr>
    </w:p>
    <w:p w14:paraId="61842367" w14:textId="77777777" w:rsidR="00FC6C3E" w:rsidRPr="00FC6C3E" w:rsidRDefault="00FC6C3E" w:rsidP="00FC6C3E">
      <w:pPr>
        <w:tabs>
          <w:tab w:val="left" w:pos="851"/>
        </w:tabs>
        <w:ind w:left="851"/>
        <w:rPr>
          <w:sz w:val="24"/>
          <w:szCs w:val="24"/>
        </w:rPr>
      </w:pPr>
      <w:r w:rsidRPr="00FC6C3E">
        <w:rPr>
          <w:sz w:val="24"/>
          <w:szCs w:val="24"/>
        </w:rPr>
        <w:t>Holdbarhed efter anbrud: 3 måneder.</w:t>
      </w:r>
    </w:p>
    <w:p w14:paraId="654B11FD" w14:textId="77777777" w:rsidR="009260DE" w:rsidRPr="00C84483" w:rsidRDefault="009260DE" w:rsidP="009260DE">
      <w:pPr>
        <w:tabs>
          <w:tab w:val="left" w:pos="851"/>
        </w:tabs>
        <w:ind w:left="851"/>
        <w:rPr>
          <w:sz w:val="24"/>
          <w:szCs w:val="24"/>
        </w:rPr>
      </w:pPr>
    </w:p>
    <w:p w14:paraId="0BFE0AE7"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958ECF2" w14:textId="77777777" w:rsidR="00FC6C3E" w:rsidRPr="00FC6C3E" w:rsidRDefault="00FC6C3E" w:rsidP="00FC6C3E">
      <w:pPr>
        <w:tabs>
          <w:tab w:val="left" w:pos="851"/>
        </w:tabs>
        <w:ind w:left="851"/>
        <w:rPr>
          <w:sz w:val="24"/>
          <w:szCs w:val="24"/>
        </w:rPr>
      </w:pPr>
      <w:r w:rsidRPr="00FC6C3E">
        <w:rPr>
          <w:sz w:val="24"/>
          <w:szCs w:val="24"/>
        </w:rPr>
        <w:t>Må ikke opbevares ved temperaturer over 30 °C.</w:t>
      </w:r>
    </w:p>
    <w:p w14:paraId="7032AF76" w14:textId="77777777" w:rsidR="009260DE" w:rsidRPr="00C84483" w:rsidRDefault="009260DE" w:rsidP="009260DE">
      <w:pPr>
        <w:tabs>
          <w:tab w:val="left" w:pos="851"/>
        </w:tabs>
        <w:ind w:left="851"/>
        <w:rPr>
          <w:sz w:val="24"/>
          <w:szCs w:val="24"/>
        </w:rPr>
      </w:pPr>
    </w:p>
    <w:p w14:paraId="6382461D"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E8A3322" w14:textId="2CEA1C36" w:rsidR="00FC6C3E" w:rsidRDefault="00FC6C3E" w:rsidP="00FC6C3E">
      <w:pPr>
        <w:tabs>
          <w:tab w:val="left" w:pos="851"/>
        </w:tabs>
        <w:ind w:left="851"/>
        <w:rPr>
          <w:sz w:val="24"/>
          <w:szCs w:val="24"/>
        </w:rPr>
      </w:pPr>
      <w:r w:rsidRPr="00FC6C3E">
        <w:rPr>
          <w:sz w:val="24"/>
          <w:szCs w:val="24"/>
        </w:rPr>
        <w:t>Hvid HDPE/LLDPE</w:t>
      </w:r>
      <w:r w:rsidRPr="00FC6C3E">
        <w:rPr>
          <w:sz w:val="24"/>
          <w:szCs w:val="24"/>
        </w:rPr>
        <w:noBreakHyphen/>
        <w:t>plastiktube med en hvid HDPE-top med en forseglingsflig fremstillet af aluminium og lukket med et hvidt skruelåg fremstillet af polypropylen.</w:t>
      </w:r>
    </w:p>
    <w:p w14:paraId="2C4919DC" w14:textId="0B71E963" w:rsidR="00FC6C3E" w:rsidRDefault="00FC6C3E" w:rsidP="00FC6C3E">
      <w:pPr>
        <w:tabs>
          <w:tab w:val="left" w:pos="851"/>
        </w:tabs>
        <w:ind w:left="851"/>
        <w:rPr>
          <w:sz w:val="24"/>
          <w:szCs w:val="24"/>
        </w:rPr>
      </w:pPr>
    </w:p>
    <w:p w14:paraId="2C1333FD" w14:textId="6FB1E999" w:rsidR="00FC6C3E" w:rsidRPr="00FC6C3E" w:rsidRDefault="00FC6C3E" w:rsidP="00FC6C3E">
      <w:pPr>
        <w:tabs>
          <w:tab w:val="left" w:pos="851"/>
        </w:tabs>
        <w:ind w:left="851"/>
        <w:rPr>
          <w:sz w:val="24"/>
          <w:szCs w:val="24"/>
          <w:u w:val="single"/>
        </w:rPr>
      </w:pPr>
      <w:r w:rsidRPr="00FC6C3E">
        <w:rPr>
          <w:sz w:val="24"/>
          <w:szCs w:val="24"/>
          <w:u w:val="single"/>
        </w:rPr>
        <w:t>Pakningsstørrelser</w:t>
      </w:r>
    </w:p>
    <w:p w14:paraId="26D881E2" w14:textId="175B8D18" w:rsidR="00FC6C3E" w:rsidRPr="00FC6C3E" w:rsidRDefault="00FC6C3E" w:rsidP="00FC6C3E">
      <w:pPr>
        <w:tabs>
          <w:tab w:val="left" w:pos="851"/>
        </w:tabs>
        <w:ind w:left="851"/>
        <w:rPr>
          <w:sz w:val="24"/>
          <w:szCs w:val="24"/>
        </w:rPr>
      </w:pPr>
      <w:r w:rsidRPr="00FC6C3E">
        <w:rPr>
          <w:sz w:val="24"/>
          <w:szCs w:val="24"/>
        </w:rPr>
        <w:t>1 tube med 30 g</w:t>
      </w:r>
      <w:r>
        <w:rPr>
          <w:sz w:val="24"/>
          <w:szCs w:val="24"/>
        </w:rPr>
        <w:t>.</w:t>
      </w:r>
    </w:p>
    <w:p w14:paraId="5AFB8F78" w14:textId="2E408499" w:rsidR="00FC6C3E" w:rsidRPr="00FC6C3E" w:rsidRDefault="00FC6C3E" w:rsidP="00FC6C3E">
      <w:pPr>
        <w:tabs>
          <w:tab w:val="left" w:pos="851"/>
        </w:tabs>
        <w:ind w:left="851"/>
        <w:rPr>
          <w:sz w:val="24"/>
          <w:szCs w:val="24"/>
        </w:rPr>
      </w:pPr>
      <w:r w:rsidRPr="00FC6C3E">
        <w:rPr>
          <w:sz w:val="24"/>
          <w:szCs w:val="24"/>
        </w:rPr>
        <w:t>1 tube med 45 g</w:t>
      </w:r>
      <w:r>
        <w:rPr>
          <w:sz w:val="24"/>
          <w:szCs w:val="24"/>
        </w:rPr>
        <w:t>.</w:t>
      </w:r>
    </w:p>
    <w:p w14:paraId="7FBBDCA9" w14:textId="77777777" w:rsidR="00FC6C3E" w:rsidRPr="00FC6C3E" w:rsidRDefault="00FC6C3E" w:rsidP="00FC6C3E">
      <w:pPr>
        <w:tabs>
          <w:tab w:val="left" w:pos="851"/>
        </w:tabs>
        <w:ind w:left="851"/>
        <w:rPr>
          <w:sz w:val="24"/>
          <w:szCs w:val="24"/>
        </w:rPr>
      </w:pPr>
      <w:r w:rsidRPr="00FC6C3E">
        <w:rPr>
          <w:sz w:val="24"/>
          <w:szCs w:val="24"/>
        </w:rPr>
        <w:t xml:space="preserve">1 tube med 60 g. </w:t>
      </w:r>
    </w:p>
    <w:p w14:paraId="650D3913" w14:textId="77777777" w:rsidR="00FC6C3E" w:rsidRPr="00FC6C3E" w:rsidRDefault="00FC6C3E" w:rsidP="00FC6C3E">
      <w:pPr>
        <w:tabs>
          <w:tab w:val="left" w:pos="851"/>
        </w:tabs>
        <w:ind w:left="851"/>
        <w:rPr>
          <w:sz w:val="24"/>
          <w:szCs w:val="24"/>
        </w:rPr>
      </w:pPr>
    </w:p>
    <w:p w14:paraId="47538D81" w14:textId="77777777" w:rsidR="00FC6C3E" w:rsidRPr="00FC6C3E" w:rsidRDefault="00FC6C3E" w:rsidP="00FC6C3E">
      <w:pPr>
        <w:tabs>
          <w:tab w:val="left" w:pos="851"/>
        </w:tabs>
        <w:ind w:left="851"/>
        <w:rPr>
          <w:sz w:val="24"/>
          <w:szCs w:val="24"/>
        </w:rPr>
      </w:pPr>
      <w:r w:rsidRPr="00FC6C3E">
        <w:rPr>
          <w:sz w:val="24"/>
          <w:szCs w:val="24"/>
        </w:rPr>
        <w:t>Ikke alle pakningsstørrelser er nødvendigvis markedsført.</w:t>
      </w:r>
    </w:p>
    <w:p w14:paraId="0A2CECFA" w14:textId="77777777" w:rsidR="009260DE" w:rsidRPr="00C84483" w:rsidRDefault="009260DE" w:rsidP="009260DE">
      <w:pPr>
        <w:tabs>
          <w:tab w:val="left" w:pos="851"/>
        </w:tabs>
        <w:ind w:left="851"/>
        <w:rPr>
          <w:sz w:val="24"/>
          <w:szCs w:val="24"/>
        </w:rPr>
      </w:pPr>
    </w:p>
    <w:p w14:paraId="788BEAC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4F35F49" w14:textId="77777777" w:rsidR="00FC6C3E" w:rsidRPr="00FC6C3E" w:rsidRDefault="00FC6C3E" w:rsidP="00FC6C3E">
      <w:pPr>
        <w:tabs>
          <w:tab w:val="left" w:pos="851"/>
        </w:tabs>
        <w:ind w:left="851"/>
        <w:rPr>
          <w:sz w:val="24"/>
          <w:szCs w:val="24"/>
        </w:rPr>
      </w:pPr>
      <w:r w:rsidRPr="00FC6C3E">
        <w:rPr>
          <w:sz w:val="24"/>
          <w:szCs w:val="24"/>
        </w:rPr>
        <w:t>Ingen særlige forholdsregler.</w:t>
      </w:r>
    </w:p>
    <w:p w14:paraId="779B4590" w14:textId="77777777" w:rsidR="00FC6C3E" w:rsidRPr="00FC6C3E" w:rsidRDefault="00FC6C3E" w:rsidP="00FC6C3E">
      <w:pPr>
        <w:tabs>
          <w:tab w:val="left" w:pos="851"/>
        </w:tabs>
        <w:ind w:left="851"/>
        <w:rPr>
          <w:sz w:val="24"/>
          <w:szCs w:val="24"/>
        </w:rPr>
      </w:pPr>
    </w:p>
    <w:p w14:paraId="1AC8A18C" w14:textId="77777777" w:rsidR="00FC6C3E" w:rsidRPr="00FC6C3E" w:rsidRDefault="00FC6C3E" w:rsidP="00FC6C3E">
      <w:pPr>
        <w:tabs>
          <w:tab w:val="left" w:pos="851"/>
        </w:tabs>
        <w:ind w:left="851"/>
        <w:rPr>
          <w:sz w:val="24"/>
          <w:szCs w:val="24"/>
        </w:rPr>
      </w:pPr>
      <w:r w:rsidRPr="00FC6C3E">
        <w:rPr>
          <w:sz w:val="24"/>
          <w:szCs w:val="24"/>
        </w:rPr>
        <w:t>Ikke anvendt lægemiddel samt affald heraf skal bortskaffes i henhold til lokale retningslinjer.</w:t>
      </w:r>
    </w:p>
    <w:p w14:paraId="6BE74C22" w14:textId="77777777" w:rsidR="009260DE" w:rsidRPr="00C84483" w:rsidRDefault="009260DE" w:rsidP="000730CA">
      <w:pPr>
        <w:tabs>
          <w:tab w:val="left" w:pos="851"/>
        </w:tabs>
        <w:ind w:left="851"/>
        <w:rPr>
          <w:sz w:val="24"/>
          <w:szCs w:val="24"/>
        </w:rPr>
      </w:pPr>
    </w:p>
    <w:p w14:paraId="2360A6F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E549294" w14:textId="77777777" w:rsidR="00FC6C3E" w:rsidRPr="00FC6C3E" w:rsidRDefault="00FC6C3E" w:rsidP="00FC6C3E">
      <w:pPr>
        <w:tabs>
          <w:tab w:val="left" w:pos="851"/>
        </w:tabs>
        <w:ind w:left="851"/>
        <w:rPr>
          <w:sz w:val="24"/>
          <w:szCs w:val="24"/>
          <w:lang w:val="fi-FI"/>
        </w:rPr>
      </w:pPr>
      <w:r w:rsidRPr="00FC6C3E">
        <w:rPr>
          <w:sz w:val="24"/>
          <w:szCs w:val="24"/>
          <w:lang w:val="fi-FI"/>
        </w:rPr>
        <w:t>2care4 Generics ApS</w:t>
      </w:r>
    </w:p>
    <w:p w14:paraId="0D883799" w14:textId="77777777" w:rsidR="00FC6C3E" w:rsidRPr="00FC6C3E" w:rsidRDefault="00FC6C3E" w:rsidP="00FC6C3E">
      <w:pPr>
        <w:tabs>
          <w:tab w:val="left" w:pos="851"/>
        </w:tabs>
        <w:ind w:left="851"/>
        <w:rPr>
          <w:sz w:val="24"/>
          <w:szCs w:val="24"/>
          <w:lang w:val="fi-FI"/>
        </w:rPr>
      </w:pPr>
      <w:r w:rsidRPr="00FC6C3E">
        <w:rPr>
          <w:sz w:val="24"/>
          <w:szCs w:val="24"/>
          <w:lang w:val="fi-FI"/>
        </w:rPr>
        <w:t>Stenhuggervej 12</w:t>
      </w:r>
    </w:p>
    <w:p w14:paraId="3DC99790" w14:textId="77777777" w:rsidR="00FC6C3E" w:rsidRPr="00FC6C3E" w:rsidRDefault="00FC6C3E" w:rsidP="00FC6C3E">
      <w:pPr>
        <w:tabs>
          <w:tab w:val="left" w:pos="851"/>
        </w:tabs>
        <w:ind w:left="851"/>
        <w:rPr>
          <w:sz w:val="24"/>
          <w:szCs w:val="24"/>
          <w:lang w:val="fi-FI"/>
        </w:rPr>
      </w:pPr>
      <w:r w:rsidRPr="00FC6C3E">
        <w:rPr>
          <w:sz w:val="24"/>
          <w:szCs w:val="24"/>
          <w:lang w:val="fi-FI"/>
        </w:rPr>
        <w:t>6710 Esbjerg V</w:t>
      </w:r>
    </w:p>
    <w:p w14:paraId="063E07E7" w14:textId="136725AE" w:rsidR="00FC6C3E" w:rsidRDefault="00FC6C3E">
      <w:pPr>
        <w:rPr>
          <w:sz w:val="24"/>
          <w:szCs w:val="24"/>
        </w:rPr>
      </w:pPr>
      <w:r>
        <w:rPr>
          <w:sz w:val="24"/>
          <w:szCs w:val="24"/>
        </w:rPr>
        <w:br w:type="page"/>
      </w:r>
    </w:p>
    <w:p w14:paraId="771D2E64" w14:textId="77777777" w:rsidR="009260DE" w:rsidRDefault="009260DE" w:rsidP="009260DE">
      <w:pPr>
        <w:tabs>
          <w:tab w:val="left" w:pos="851"/>
        </w:tabs>
        <w:ind w:left="851"/>
        <w:rPr>
          <w:sz w:val="24"/>
          <w:szCs w:val="24"/>
        </w:rPr>
      </w:pPr>
    </w:p>
    <w:p w14:paraId="33DEB3F8"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5423F8B" w14:textId="50C7D570" w:rsidR="00FC6C3E" w:rsidRPr="00C84483" w:rsidRDefault="00EC4B87" w:rsidP="00EC4B87">
      <w:pPr>
        <w:tabs>
          <w:tab w:val="left" w:pos="851"/>
          <w:tab w:val="left" w:pos="2694"/>
        </w:tabs>
        <w:ind w:left="851"/>
        <w:rPr>
          <w:sz w:val="24"/>
          <w:szCs w:val="24"/>
        </w:rPr>
      </w:pPr>
      <w:r>
        <w:rPr>
          <w:sz w:val="24"/>
          <w:szCs w:val="24"/>
        </w:rPr>
        <w:t>73519</w:t>
      </w:r>
    </w:p>
    <w:p w14:paraId="1A03022C" w14:textId="77777777" w:rsidR="009260DE" w:rsidRPr="00C84483" w:rsidRDefault="009260DE" w:rsidP="009260DE">
      <w:pPr>
        <w:tabs>
          <w:tab w:val="left" w:pos="851"/>
        </w:tabs>
        <w:ind w:left="851"/>
        <w:jc w:val="both"/>
        <w:rPr>
          <w:sz w:val="24"/>
          <w:szCs w:val="24"/>
        </w:rPr>
      </w:pPr>
    </w:p>
    <w:p w14:paraId="0077079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169E4EB" w14:textId="0A47E1B6" w:rsidR="009260DE" w:rsidRPr="00C84483" w:rsidRDefault="0022413A" w:rsidP="009260DE">
      <w:pPr>
        <w:tabs>
          <w:tab w:val="left" w:pos="851"/>
        </w:tabs>
        <w:ind w:left="851"/>
        <w:rPr>
          <w:sz w:val="24"/>
          <w:szCs w:val="24"/>
        </w:rPr>
      </w:pPr>
      <w:r>
        <w:rPr>
          <w:sz w:val="24"/>
          <w:szCs w:val="24"/>
        </w:rPr>
        <w:t>1. juli 2025</w:t>
      </w:r>
      <w:bookmarkStart w:id="0" w:name="_GoBack"/>
      <w:bookmarkEnd w:id="0"/>
    </w:p>
    <w:p w14:paraId="068001C3" w14:textId="77777777" w:rsidR="009260DE" w:rsidRPr="00C84483" w:rsidRDefault="009260DE" w:rsidP="009260DE">
      <w:pPr>
        <w:tabs>
          <w:tab w:val="left" w:pos="851"/>
        </w:tabs>
        <w:ind w:left="851"/>
        <w:rPr>
          <w:sz w:val="24"/>
          <w:szCs w:val="24"/>
        </w:rPr>
      </w:pPr>
    </w:p>
    <w:p w14:paraId="77D0548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E48A6B4" w14:textId="7B12EF0E" w:rsidR="009260DE" w:rsidRPr="00C84483" w:rsidRDefault="00FC6C3E"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E87A5" w14:textId="77777777" w:rsidR="00B30C9B" w:rsidRDefault="00B30C9B">
      <w:r>
        <w:separator/>
      </w:r>
    </w:p>
  </w:endnote>
  <w:endnote w:type="continuationSeparator" w:id="0">
    <w:p w14:paraId="7CF1FC6D" w14:textId="77777777" w:rsidR="00B30C9B" w:rsidRDefault="00B3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C05E" w14:textId="77777777" w:rsidR="000259B9" w:rsidRDefault="000259B9">
    <w:pPr>
      <w:pStyle w:val="Sidefod"/>
      <w:pBdr>
        <w:bottom w:val="single" w:sz="6" w:space="1" w:color="auto"/>
      </w:pBdr>
    </w:pPr>
  </w:p>
  <w:p w14:paraId="7F1F8726" w14:textId="77777777" w:rsidR="000259B9" w:rsidRDefault="000259B9" w:rsidP="00C42586">
    <w:pPr>
      <w:pStyle w:val="Sidefod"/>
      <w:tabs>
        <w:tab w:val="clear" w:pos="4819"/>
        <w:tab w:val="left" w:pos="8505"/>
      </w:tabs>
      <w:rPr>
        <w:i/>
        <w:sz w:val="18"/>
        <w:szCs w:val="18"/>
      </w:rPr>
    </w:pPr>
  </w:p>
  <w:p w14:paraId="7790B510" w14:textId="7FA1DAE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E4877">
      <w:rPr>
        <w:i/>
        <w:noProof/>
        <w:sz w:val="18"/>
        <w:szCs w:val="18"/>
      </w:rPr>
      <w:t>Cutimum, gel 1+25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684A5" w14:textId="77777777" w:rsidR="00B30C9B" w:rsidRDefault="00B30C9B">
      <w:r>
        <w:separator/>
      </w:r>
    </w:p>
  </w:footnote>
  <w:footnote w:type="continuationSeparator" w:id="0">
    <w:p w14:paraId="25525B35" w14:textId="77777777" w:rsidR="00B30C9B" w:rsidRDefault="00B3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9B"/>
    <w:rsid w:val="000259B9"/>
    <w:rsid w:val="00041491"/>
    <w:rsid w:val="00050D16"/>
    <w:rsid w:val="000730CA"/>
    <w:rsid w:val="00074F2A"/>
    <w:rsid w:val="000A1CA8"/>
    <w:rsid w:val="000A466B"/>
    <w:rsid w:val="000B058C"/>
    <w:rsid w:val="000D68B0"/>
    <w:rsid w:val="000E4EE6"/>
    <w:rsid w:val="000E6195"/>
    <w:rsid w:val="001454E2"/>
    <w:rsid w:val="001E4877"/>
    <w:rsid w:val="00206CE8"/>
    <w:rsid w:val="0021526C"/>
    <w:rsid w:val="0022413A"/>
    <w:rsid w:val="00283A2B"/>
    <w:rsid w:val="002B30AD"/>
    <w:rsid w:val="002C1EC0"/>
    <w:rsid w:val="002C2C01"/>
    <w:rsid w:val="003A29AE"/>
    <w:rsid w:val="003A32D7"/>
    <w:rsid w:val="003B4074"/>
    <w:rsid w:val="003C769A"/>
    <w:rsid w:val="003D3A90"/>
    <w:rsid w:val="003F1838"/>
    <w:rsid w:val="004251C1"/>
    <w:rsid w:val="0045746C"/>
    <w:rsid w:val="0049104B"/>
    <w:rsid w:val="004A6046"/>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30C9B"/>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D677F"/>
    <w:rsid w:val="00E108AA"/>
    <w:rsid w:val="00E3749A"/>
    <w:rsid w:val="00E7437F"/>
    <w:rsid w:val="00E865B8"/>
    <w:rsid w:val="00EC0B9B"/>
    <w:rsid w:val="00EC4B87"/>
    <w:rsid w:val="00ED5E9F"/>
    <w:rsid w:val="00F66D4F"/>
    <w:rsid w:val="00FB6D01"/>
    <w:rsid w:val="00FC6C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76CF9"/>
  <w15:chartTrackingRefBased/>
  <w15:docId w15:val="{A23B4E57-ABE5-4C59-A67A-70ACDDA0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1E4877"/>
    <w:rPr>
      <w:color w:val="0000FF"/>
      <w:u w:val="single"/>
    </w:rPr>
  </w:style>
  <w:style w:type="paragraph" w:customStyle="1" w:styleId="Default">
    <w:name w:val="Default"/>
    <w:rsid w:val="001E4877"/>
    <w:pPr>
      <w:autoSpaceDE w:val="0"/>
      <w:autoSpaceDN w:val="0"/>
      <w:adjustRightInd w:val="0"/>
    </w:pPr>
    <w:rPr>
      <w:rFonts w:eastAsia="SimSun"/>
      <w:color w:val="000000"/>
      <w:sz w:val="24"/>
      <w:szCs w:val="24"/>
      <w:lang w:val="en-US" w:eastAsia="en-GB"/>
    </w:rPr>
  </w:style>
  <w:style w:type="table" w:styleId="Tabel-Gitter">
    <w:name w:val="Table Grid"/>
    <w:basedOn w:val="Tabel-Normal"/>
    <w:uiPriority w:val="39"/>
    <w:rsid w:val="001E4877"/>
    <w:rPr>
      <w:rFonts w:eastAsia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6606">
      <w:bodyDiv w:val="1"/>
      <w:marLeft w:val="0"/>
      <w:marRight w:val="0"/>
      <w:marTop w:val="0"/>
      <w:marBottom w:val="0"/>
      <w:divBdr>
        <w:top w:val="none" w:sz="0" w:space="0" w:color="auto"/>
        <w:left w:val="none" w:sz="0" w:space="0" w:color="auto"/>
        <w:bottom w:val="none" w:sz="0" w:space="0" w:color="auto"/>
        <w:right w:val="none" w:sz="0" w:space="0" w:color="auto"/>
      </w:divBdr>
    </w:div>
    <w:div w:id="52044103">
      <w:bodyDiv w:val="1"/>
      <w:marLeft w:val="0"/>
      <w:marRight w:val="0"/>
      <w:marTop w:val="0"/>
      <w:marBottom w:val="0"/>
      <w:divBdr>
        <w:top w:val="none" w:sz="0" w:space="0" w:color="auto"/>
        <w:left w:val="none" w:sz="0" w:space="0" w:color="auto"/>
        <w:bottom w:val="none" w:sz="0" w:space="0" w:color="auto"/>
        <w:right w:val="none" w:sz="0" w:space="0" w:color="auto"/>
      </w:divBdr>
    </w:div>
    <w:div w:id="55248854">
      <w:bodyDiv w:val="1"/>
      <w:marLeft w:val="0"/>
      <w:marRight w:val="0"/>
      <w:marTop w:val="0"/>
      <w:marBottom w:val="0"/>
      <w:divBdr>
        <w:top w:val="none" w:sz="0" w:space="0" w:color="auto"/>
        <w:left w:val="none" w:sz="0" w:space="0" w:color="auto"/>
        <w:bottom w:val="none" w:sz="0" w:space="0" w:color="auto"/>
        <w:right w:val="none" w:sz="0" w:space="0" w:color="auto"/>
      </w:divBdr>
    </w:div>
    <w:div w:id="1141801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8458212">
      <w:bodyDiv w:val="1"/>
      <w:marLeft w:val="0"/>
      <w:marRight w:val="0"/>
      <w:marTop w:val="0"/>
      <w:marBottom w:val="0"/>
      <w:divBdr>
        <w:top w:val="none" w:sz="0" w:space="0" w:color="auto"/>
        <w:left w:val="none" w:sz="0" w:space="0" w:color="auto"/>
        <w:bottom w:val="none" w:sz="0" w:space="0" w:color="auto"/>
        <w:right w:val="none" w:sz="0" w:space="0" w:color="auto"/>
      </w:divBdr>
    </w:div>
    <w:div w:id="318462197">
      <w:bodyDiv w:val="1"/>
      <w:marLeft w:val="0"/>
      <w:marRight w:val="0"/>
      <w:marTop w:val="0"/>
      <w:marBottom w:val="0"/>
      <w:divBdr>
        <w:top w:val="none" w:sz="0" w:space="0" w:color="auto"/>
        <w:left w:val="none" w:sz="0" w:space="0" w:color="auto"/>
        <w:bottom w:val="none" w:sz="0" w:space="0" w:color="auto"/>
        <w:right w:val="none" w:sz="0" w:space="0" w:color="auto"/>
      </w:divBdr>
    </w:div>
    <w:div w:id="392194693">
      <w:bodyDiv w:val="1"/>
      <w:marLeft w:val="0"/>
      <w:marRight w:val="0"/>
      <w:marTop w:val="0"/>
      <w:marBottom w:val="0"/>
      <w:divBdr>
        <w:top w:val="none" w:sz="0" w:space="0" w:color="auto"/>
        <w:left w:val="none" w:sz="0" w:space="0" w:color="auto"/>
        <w:bottom w:val="none" w:sz="0" w:space="0" w:color="auto"/>
        <w:right w:val="none" w:sz="0" w:space="0" w:color="auto"/>
      </w:divBdr>
    </w:div>
    <w:div w:id="396317925">
      <w:bodyDiv w:val="1"/>
      <w:marLeft w:val="0"/>
      <w:marRight w:val="0"/>
      <w:marTop w:val="0"/>
      <w:marBottom w:val="0"/>
      <w:divBdr>
        <w:top w:val="none" w:sz="0" w:space="0" w:color="auto"/>
        <w:left w:val="none" w:sz="0" w:space="0" w:color="auto"/>
        <w:bottom w:val="none" w:sz="0" w:space="0" w:color="auto"/>
        <w:right w:val="none" w:sz="0" w:space="0" w:color="auto"/>
      </w:divBdr>
    </w:div>
    <w:div w:id="409471516">
      <w:bodyDiv w:val="1"/>
      <w:marLeft w:val="0"/>
      <w:marRight w:val="0"/>
      <w:marTop w:val="0"/>
      <w:marBottom w:val="0"/>
      <w:divBdr>
        <w:top w:val="none" w:sz="0" w:space="0" w:color="auto"/>
        <w:left w:val="none" w:sz="0" w:space="0" w:color="auto"/>
        <w:bottom w:val="none" w:sz="0" w:space="0" w:color="auto"/>
        <w:right w:val="none" w:sz="0" w:space="0" w:color="auto"/>
      </w:divBdr>
    </w:div>
    <w:div w:id="461272724">
      <w:bodyDiv w:val="1"/>
      <w:marLeft w:val="0"/>
      <w:marRight w:val="0"/>
      <w:marTop w:val="0"/>
      <w:marBottom w:val="0"/>
      <w:divBdr>
        <w:top w:val="none" w:sz="0" w:space="0" w:color="auto"/>
        <w:left w:val="none" w:sz="0" w:space="0" w:color="auto"/>
        <w:bottom w:val="none" w:sz="0" w:space="0" w:color="auto"/>
        <w:right w:val="none" w:sz="0" w:space="0" w:color="auto"/>
      </w:divBdr>
    </w:div>
    <w:div w:id="538399974">
      <w:bodyDiv w:val="1"/>
      <w:marLeft w:val="0"/>
      <w:marRight w:val="0"/>
      <w:marTop w:val="0"/>
      <w:marBottom w:val="0"/>
      <w:divBdr>
        <w:top w:val="none" w:sz="0" w:space="0" w:color="auto"/>
        <w:left w:val="none" w:sz="0" w:space="0" w:color="auto"/>
        <w:bottom w:val="none" w:sz="0" w:space="0" w:color="auto"/>
        <w:right w:val="none" w:sz="0" w:space="0" w:color="auto"/>
      </w:divBdr>
    </w:div>
    <w:div w:id="577979315">
      <w:bodyDiv w:val="1"/>
      <w:marLeft w:val="0"/>
      <w:marRight w:val="0"/>
      <w:marTop w:val="0"/>
      <w:marBottom w:val="0"/>
      <w:divBdr>
        <w:top w:val="none" w:sz="0" w:space="0" w:color="auto"/>
        <w:left w:val="none" w:sz="0" w:space="0" w:color="auto"/>
        <w:bottom w:val="none" w:sz="0" w:space="0" w:color="auto"/>
        <w:right w:val="none" w:sz="0" w:space="0" w:color="auto"/>
      </w:divBdr>
    </w:div>
    <w:div w:id="595749368">
      <w:bodyDiv w:val="1"/>
      <w:marLeft w:val="0"/>
      <w:marRight w:val="0"/>
      <w:marTop w:val="0"/>
      <w:marBottom w:val="0"/>
      <w:divBdr>
        <w:top w:val="none" w:sz="0" w:space="0" w:color="auto"/>
        <w:left w:val="none" w:sz="0" w:space="0" w:color="auto"/>
        <w:bottom w:val="none" w:sz="0" w:space="0" w:color="auto"/>
        <w:right w:val="none" w:sz="0" w:space="0" w:color="auto"/>
      </w:divBdr>
    </w:div>
    <w:div w:id="630865422">
      <w:bodyDiv w:val="1"/>
      <w:marLeft w:val="0"/>
      <w:marRight w:val="0"/>
      <w:marTop w:val="0"/>
      <w:marBottom w:val="0"/>
      <w:divBdr>
        <w:top w:val="none" w:sz="0" w:space="0" w:color="auto"/>
        <w:left w:val="none" w:sz="0" w:space="0" w:color="auto"/>
        <w:bottom w:val="none" w:sz="0" w:space="0" w:color="auto"/>
        <w:right w:val="none" w:sz="0" w:space="0" w:color="auto"/>
      </w:divBdr>
    </w:div>
    <w:div w:id="640573607">
      <w:bodyDiv w:val="1"/>
      <w:marLeft w:val="0"/>
      <w:marRight w:val="0"/>
      <w:marTop w:val="0"/>
      <w:marBottom w:val="0"/>
      <w:divBdr>
        <w:top w:val="none" w:sz="0" w:space="0" w:color="auto"/>
        <w:left w:val="none" w:sz="0" w:space="0" w:color="auto"/>
        <w:bottom w:val="none" w:sz="0" w:space="0" w:color="auto"/>
        <w:right w:val="none" w:sz="0" w:space="0" w:color="auto"/>
      </w:divBdr>
    </w:div>
    <w:div w:id="726799061">
      <w:bodyDiv w:val="1"/>
      <w:marLeft w:val="0"/>
      <w:marRight w:val="0"/>
      <w:marTop w:val="0"/>
      <w:marBottom w:val="0"/>
      <w:divBdr>
        <w:top w:val="none" w:sz="0" w:space="0" w:color="auto"/>
        <w:left w:val="none" w:sz="0" w:space="0" w:color="auto"/>
        <w:bottom w:val="none" w:sz="0" w:space="0" w:color="auto"/>
        <w:right w:val="none" w:sz="0" w:space="0" w:color="auto"/>
      </w:divBdr>
    </w:div>
    <w:div w:id="777144825">
      <w:bodyDiv w:val="1"/>
      <w:marLeft w:val="0"/>
      <w:marRight w:val="0"/>
      <w:marTop w:val="0"/>
      <w:marBottom w:val="0"/>
      <w:divBdr>
        <w:top w:val="none" w:sz="0" w:space="0" w:color="auto"/>
        <w:left w:val="none" w:sz="0" w:space="0" w:color="auto"/>
        <w:bottom w:val="none" w:sz="0" w:space="0" w:color="auto"/>
        <w:right w:val="none" w:sz="0" w:space="0" w:color="auto"/>
      </w:divBdr>
    </w:div>
    <w:div w:id="851915581">
      <w:bodyDiv w:val="1"/>
      <w:marLeft w:val="0"/>
      <w:marRight w:val="0"/>
      <w:marTop w:val="0"/>
      <w:marBottom w:val="0"/>
      <w:divBdr>
        <w:top w:val="none" w:sz="0" w:space="0" w:color="auto"/>
        <w:left w:val="none" w:sz="0" w:space="0" w:color="auto"/>
        <w:bottom w:val="none" w:sz="0" w:space="0" w:color="auto"/>
        <w:right w:val="none" w:sz="0" w:space="0" w:color="auto"/>
      </w:divBdr>
    </w:div>
    <w:div w:id="868759564">
      <w:bodyDiv w:val="1"/>
      <w:marLeft w:val="0"/>
      <w:marRight w:val="0"/>
      <w:marTop w:val="0"/>
      <w:marBottom w:val="0"/>
      <w:divBdr>
        <w:top w:val="none" w:sz="0" w:space="0" w:color="auto"/>
        <w:left w:val="none" w:sz="0" w:space="0" w:color="auto"/>
        <w:bottom w:val="none" w:sz="0" w:space="0" w:color="auto"/>
        <w:right w:val="none" w:sz="0" w:space="0" w:color="auto"/>
      </w:divBdr>
    </w:div>
    <w:div w:id="983895017">
      <w:bodyDiv w:val="1"/>
      <w:marLeft w:val="0"/>
      <w:marRight w:val="0"/>
      <w:marTop w:val="0"/>
      <w:marBottom w:val="0"/>
      <w:divBdr>
        <w:top w:val="none" w:sz="0" w:space="0" w:color="auto"/>
        <w:left w:val="none" w:sz="0" w:space="0" w:color="auto"/>
        <w:bottom w:val="none" w:sz="0" w:space="0" w:color="auto"/>
        <w:right w:val="none" w:sz="0" w:space="0" w:color="auto"/>
      </w:divBdr>
    </w:div>
    <w:div w:id="1067457547">
      <w:bodyDiv w:val="1"/>
      <w:marLeft w:val="0"/>
      <w:marRight w:val="0"/>
      <w:marTop w:val="0"/>
      <w:marBottom w:val="0"/>
      <w:divBdr>
        <w:top w:val="none" w:sz="0" w:space="0" w:color="auto"/>
        <w:left w:val="none" w:sz="0" w:space="0" w:color="auto"/>
        <w:bottom w:val="none" w:sz="0" w:space="0" w:color="auto"/>
        <w:right w:val="none" w:sz="0" w:space="0" w:color="auto"/>
      </w:divBdr>
    </w:div>
    <w:div w:id="1078789095">
      <w:bodyDiv w:val="1"/>
      <w:marLeft w:val="0"/>
      <w:marRight w:val="0"/>
      <w:marTop w:val="0"/>
      <w:marBottom w:val="0"/>
      <w:divBdr>
        <w:top w:val="none" w:sz="0" w:space="0" w:color="auto"/>
        <w:left w:val="none" w:sz="0" w:space="0" w:color="auto"/>
        <w:bottom w:val="none" w:sz="0" w:space="0" w:color="auto"/>
        <w:right w:val="none" w:sz="0" w:space="0" w:color="auto"/>
      </w:divBdr>
    </w:div>
    <w:div w:id="1263565866">
      <w:bodyDiv w:val="1"/>
      <w:marLeft w:val="0"/>
      <w:marRight w:val="0"/>
      <w:marTop w:val="0"/>
      <w:marBottom w:val="0"/>
      <w:divBdr>
        <w:top w:val="none" w:sz="0" w:space="0" w:color="auto"/>
        <w:left w:val="none" w:sz="0" w:space="0" w:color="auto"/>
        <w:bottom w:val="none" w:sz="0" w:space="0" w:color="auto"/>
        <w:right w:val="none" w:sz="0" w:space="0" w:color="auto"/>
      </w:divBdr>
    </w:div>
    <w:div w:id="1403210618">
      <w:bodyDiv w:val="1"/>
      <w:marLeft w:val="0"/>
      <w:marRight w:val="0"/>
      <w:marTop w:val="0"/>
      <w:marBottom w:val="0"/>
      <w:divBdr>
        <w:top w:val="none" w:sz="0" w:space="0" w:color="auto"/>
        <w:left w:val="none" w:sz="0" w:space="0" w:color="auto"/>
        <w:bottom w:val="none" w:sz="0" w:space="0" w:color="auto"/>
        <w:right w:val="none" w:sz="0" w:space="0" w:color="auto"/>
      </w:divBdr>
    </w:div>
    <w:div w:id="1441072531">
      <w:bodyDiv w:val="1"/>
      <w:marLeft w:val="0"/>
      <w:marRight w:val="0"/>
      <w:marTop w:val="0"/>
      <w:marBottom w:val="0"/>
      <w:divBdr>
        <w:top w:val="none" w:sz="0" w:space="0" w:color="auto"/>
        <w:left w:val="none" w:sz="0" w:space="0" w:color="auto"/>
        <w:bottom w:val="none" w:sz="0" w:space="0" w:color="auto"/>
        <w:right w:val="none" w:sz="0" w:space="0" w:color="auto"/>
      </w:divBdr>
    </w:div>
    <w:div w:id="1474785453">
      <w:bodyDiv w:val="1"/>
      <w:marLeft w:val="0"/>
      <w:marRight w:val="0"/>
      <w:marTop w:val="0"/>
      <w:marBottom w:val="0"/>
      <w:divBdr>
        <w:top w:val="none" w:sz="0" w:space="0" w:color="auto"/>
        <w:left w:val="none" w:sz="0" w:space="0" w:color="auto"/>
        <w:bottom w:val="none" w:sz="0" w:space="0" w:color="auto"/>
        <w:right w:val="none" w:sz="0" w:space="0" w:color="auto"/>
      </w:divBdr>
    </w:div>
    <w:div w:id="1597135978">
      <w:bodyDiv w:val="1"/>
      <w:marLeft w:val="0"/>
      <w:marRight w:val="0"/>
      <w:marTop w:val="0"/>
      <w:marBottom w:val="0"/>
      <w:divBdr>
        <w:top w:val="none" w:sz="0" w:space="0" w:color="auto"/>
        <w:left w:val="none" w:sz="0" w:space="0" w:color="auto"/>
        <w:bottom w:val="none" w:sz="0" w:space="0" w:color="auto"/>
        <w:right w:val="none" w:sz="0" w:space="0" w:color="auto"/>
      </w:divBdr>
    </w:div>
    <w:div w:id="1634284628">
      <w:bodyDiv w:val="1"/>
      <w:marLeft w:val="0"/>
      <w:marRight w:val="0"/>
      <w:marTop w:val="0"/>
      <w:marBottom w:val="0"/>
      <w:divBdr>
        <w:top w:val="none" w:sz="0" w:space="0" w:color="auto"/>
        <w:left w:val="none" w:sz="0" w:space="0" w:color="auto"/>
        <w:bottom w:val="none" w:sz="0" w:space="0" w:color="auto"/>
        <w:right w:val="none" w:sz="0" w:space="0" w:color="auto"/>
      </w:divBdr>
    </w:div>
    <w:div w:id="1656764301">
      <w:bodyDiv w:val="1"/>
      <w:marLeft w:val="0"/>
      <w:marRight w:val="0"/>
      <w:marTop w:val="0"/>
      <w:marBottom w:val="0"/>
      <w:divBdr>
        <w:top w:val="none" w:sz="0" w:space="0" w:color="auto"/>
        <w:left w:val="none" w:sz="0" w:space="0" w:color="auto"/>
        <w:bottom w:val="none" w:sz="0" w:space="0" w:color="auto"/>
        <w:right w:val="none" w:sz="0" w:space="0" w:color="auto"/>
      </w:divBdr>
    </w:div>
    <w:div w:id="1686438000">
      <w:bodyDiv w:val="1"/>
      <w:marLeft w:val="0"/>
      <w:marRight w:val="0"/>
      <w:marTop w:val="0"/>
      <w:marBottom w:val="0"/>
      <w:divBdr>
        <w:top w:val="none" w:sz="0" w:space="0" w:color="auto"/>
        <w:left w:val="none" w:sz="0" w:space="0" w:color="auto"/>
        <w:bottom w:val="none" w:sz="0" w:space="0" w:color="auto"/>
        <w:right w:val="none" w:sz="0" w:space="0" w:color="auto"/>
      </w:divBdr>
    </w:div>
    <w:div w:id="1735355551">
      <w:bodyDiv w:val="1"/>
      <w:marLeft w:val="0"/>
      <w:marRight w:val="0"/>
      <w:marTop w:val="0"/>
      <w:marBottom w:val="0"/>
      <w:divBdr>
        <w:top w:val="none" w:sz="0" w:space="0" w:color="auto"/>
        <w:left w:val="none" w:sz="0" w:space="0" w:color="auto"/>
        <w:bottom w:val="none" w:sz="0" w:space="0" w:color="auto"/>
        <w:right w:val="none" w:sz="0" w:space="0" w:color="auto"/>
      </w:divBdr>
    </w:div>
    <w:div w:id="1783378564">
      <w:bodyDiv w:val="1"/>
      <w:marLeft w:val="0"/>
      <w:marRight w:val="0"/>
      <w:marTop w:val="0"/>
      <w:marBottom w:val="0"/>
      <w:divBdr>
        <w:top w:val="none" w:sz="0" w:space="0" w:color="auto"/>
        <w:left w:val="none" w:sz="0" w:space="0" w:color="auto"/>
        <w:bottom w:val="none" w:sz="0" w:space="0" w:color="auto"/>
        <w:right w:val="none" w:sz="0" w:space="0" w:color="auto"/>
      </w:divBdr>
    </w:div>
    <w:div w:id="1795951574">
      <w:bodyDiv w:val="1"/>
      <w:marLeft w:val="0"/>
      <w:marRight w:val="0"/>
      <w:marTop w:val="0"/>
      <w:marBottom w:val="0"/>
      <w:divBdr>
        <w:top w:val="none" w:sz="0" w:space="0" w:color="auto"/>
        <w:left w:val="none" w:sz="0" w:space="0" w:color="auto"/>
        <w:bottom w:val="none" w:sz="0" w:space="0" w:color="auto"/>
        <w:right w:val="none" w:sz="0" w:space="0" w:color="auto"/>
      </w:divBdr>
    </w:div>
    <w:div w:id="1803574566">
      <w:bodyDiv w:val="1"/>
      <w:marLeft w:val="0"/>
      <w:marRight w:val="0"/>
      <w:marTop w:val="0"/>
      <w:marBottom w:val="0"/>
      <w:divBdr>
        <w:top w:val="none" w:sz="0" w:space="0" w:color="auto"/>
        <w:left w:val="none" w:sz="0" w:space="0" w:color="auto"/>
        <w:bottom w:val="none" w:sz="0" w:space="0" w:color="auto"/>
        <w:right w:val="none" w:sz="0" w:space="0" w:color="auto"/>
      </w:divBdr>
    </w:div>
    <w:div w:id="1841654483">
      <w:bodyDiv w:val="1"/>
      <w:marLeft w:val="0"/>
      <w:marRight w:val="0"/>
      <w:marTop w:val="0"/>
      <w:marBottom w:val="0"/>
      <w:divBdr>
        <w:top w:val="none" w:sz="0" w:space="0" w:color="auto"/>
        <w:left w:val="none" w:sz="0" w:space="0" w:color="auto"/>
        <w:bottom w:val="none" w:sz="0" w:space="0" w:color="auto"/>
        <w:right w:val="none" w:sz="0" w:space="0" w:color="auto"/>
      </w:divBdr>
    </w:div>
    <w:div w:id="1865551256">
      <w:bodyDiv w:val="1"/>
      <w:marLeft w:val="0"/>
      <w:marRight w:val="0"/>
      <w:marTop w:val="0"/>
      <w:marBottom w:val="0"/>
      <w:divBdr>
        <w:top w:val="none" w:sz="0" w:space="0" w:color="auto"/>
        <w:left w:val="none" w:sz="0" w:space="0" w:color="auto"/>
        <w:bottom w:val="none" w:sz="0" w:space="0" w:color="auto"/>
        <w:right w:val="none" w:sz="0" w:space="0" w:color="auto"/>
      </w:divBdr>
    </w:div>
    <w:div w:id="1894004255">
      <w:bodyDiv w:val="1"/>
      <w:marLeft w:val="0"/>
      <w:marRight w:val="0"/>
      <w:marTop w:val="0"/>
      <w:marBottom w:val="0"/>
      <w:divBdr>
        <w:top w:val="none" w:sz="0" w:space="0" w:color="auto"/>
        <w:left w:val="none" w:sz="0" w:space="0" w:color="auto"/>
        <w:bottom w:val="none" w:sz="0" w:space="0" w:color="auto"/>
        <w:right w:val="none" w:sz="0" w:space="0" w:color="auto"/>
      </w:divBdr>
    </w:div>
    <w:div w:id="2055041332">
      <w:bodyDiv w:val="1"/>
      <w:marLeft w:val="0"/>
      <w:marRight w:val="0"/>
      <w:marTop w:val="0"/>
      <w:marBottom w:val="0"/>
      <w:divBdr>
        <w:top w:val="none" w:sz="0" w:space="0" w:color="auto"/>
        <w:left w:val="none" w:sz="0" w:space="0" w:color="auto"/>
        <w:bottom w:val="none" w:sz="0" w:space="0" w:color="auto"/>
        <w:right w:val="none" w:sz="0" w:space="0" w:color="auto"/>
      </w:divBdr>
    </w:div>
    <w:div w:id="2056467055">
      <w:bodyDiv w:val="1"/>
      <w:marLeft w:val="0"/>
      <w:marRight w:val="0"/>
      <w:marTop w:val="0"/>
      <w:marBottom w:val="0"/>
      <w:divBdr>
        <w:top w:val="none" w:sz="0" w:space="0" w:color="auto"/>
        <w:left w:val="none" w:sz="0" w:space="0" w:color="auto"/>
        <w:bottom w:val="none" w:sz="0" w:space="0" w:color="auto"/>
        <w:right w:val="none" w:sz="0" w:space="0" w:color="auto"/>
      </w:divBdr>
    </w:div>
    <w:div w:id="21265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16</TotalTime>
  <Pages>10</Pages>
  <Words>2620</Words>
  <Characters>16538</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2025031272 mt</dc:description>
  <cp:lastModifiedBy>Hanne Thy Iversen</cp:lastModifiedBy>
  <cp:revision>7</cp:revision>
  <cp:lastPrinted>2012-08-22T08:53:00Z</cp:lastPrinted>
  <dcterms:created xsi:type="dcterms:W3CDTF">2025-06-27T12:13:00Z</dcterms:created>
  <dcterms:modified xsi:type="dcterms:W3CDTF">2025-07-01T08:40:00Z</dcterms:modified>
</cp:coreProperties>
</file>