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D91298" w14:textId="77777777" w:rsidR="004A3BF4" w:rsidRPr="00303008" w:rsidRDefault="00056601" w:rsidP="004A3BF4">
      <w:pPr>
        <w:rPr>
          <w:sz w:val="24"/>
          <w:szCs w:val="24"/>
          <w:lang w:val="en-GB"/>
        </w:rPr>
      </w:pPr>
      <w:r w:rsidRPr="00303008">
        <w:rPr>
          <w:noProof/>
          <w:sz w:val="24"/>
          <w:szCs w:val="24"/>
          <w:lang w:val="en-GB"/>
        </w:rPr>
        <w:drawing>
          <wp:inline distT="0" distB="0" distL="0" distR="0" wp14:anchorId="257AFF7E" wp14:editId="7AA83E6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47AB3DB7" w14:textId="77777777" w:rsidR="006B3847" w:rsidRPr="00303008" w:rsidRDefault="006B3847" w:rsidP="006B3847">
      <w:pPr>
        <w:rPr>
          <w:sz w:val="24"/>
          <w:szCs w:val="24"/>
          <w:lang w:val="en-GB"/>
        </w:rPr>
      </w:pPr>
    </w:p>
    <w:p w14:paraId="0F6B6FEC" w14:textId="091502BF" w:rsidR="006B3847" w:rsidRPr="00303008" w:rsidRDefault="006B3847" w:rsidP="006B3847">
      <w:pPr>
        <w:tabs>
          <w:tab w:val="right" w:pos="9356"/>
        </w:tabs>
        <w:rPr>
          <w:b/>
          <w:sz w:val="24"/>
          <w:szCs w:val="24"/>
          <w:lang w:val="en-GB"/>
        </w:rPr>
      </w:pPr>
      <w:r w:rsidRPr="00303008">
        <w:rPr>
          <w:b/>
          <w:sz w:val="24"/>
          <w:szCs w:val="24"/>
          <w:lang w:val="en-GB"/>
        </w:rPr>
        <w:tab/>
      </w:r>
      <w:r w:rsidR="00586336">
        <w:rPr>
          <w:b/>
          <w:sz w:val="24"/>
          <w:szCs w:val="24"/>
          <w:lang w:val="en-GB"/>
        </w:rPr>
        <w:t>2</w:t>
      </w:r>
      <w:r w:rsidR="00F70B53">
        <w:rPr>
          <w:b/>
          <w:sz w:val="24"/>
          <w:szCs w:val="24"/>
          <w:lang w:val="en-GB"/>
        </w:rPr>
        <w:t>1</w:t>
      </w:r>
      <w:r w:rsidR="00586336">
        <w:rPr>
          <w:b/>
          <w:sz w:val="24"/>
          <w:szCs w:val="24"/>
          <w:lang w:val="en-GB"/>
        </w:rPr>
        <w:t xml:space="preserve"> March</w:t>
      </w:r>
      <w:r w:rsidR="007361B4">
        <w:rPr>
          <w:b/>
          <w:sz w:val="24"/>
          <w:szCs w:val="24"/>
          <w:lang w:val="en-GB"/>
        </w:rPr>
        <w:t xml:space="preserve"> 2024</w:t>
      </w:r>
    </w:p>
    <w:p w14:paraId="27B16D6E" w14:textId="77777777" w:rsidR="006B3847" w:rsidRPr="00303008" w:rsidRDefault="006B3847" w:rsidP="006B3847">
      <w:pPr>
        <w:rPr>
          <w:sz w:val="24"/>
          <w:szCs w:val="24"/>
          <w:lang w:val="en-GB"/>
        </w:rPr>
      </w:pPr>
    </w:p>
    <w:p w14:paraId="5B54A982" w14:textId="77777777" w:rsidR="007361B4" w:rsidRPr="00303008" w:rsidRDefault="007361B4" w:rsidP="007C5D2A">
      <w:pPr>
        <w:rPr>
          <w:sz w:val="24"/>
          <w:szCs w:val="24"/>
          <w:lang w:val="en-GB"/>
        </w:rPr>
      </w:pPr>
    </w:p>
    <w:p w14:paraId="691AE998" w14:textId="77777777"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14:paraId="4880532C" w14:textId="77777777" w:rsidR="007C5D2A" w:rsidRPr="00303008" w:rsidRDefault="007C5D2A" w:rsidP="007C5D2A">
      <w:pPr>
        <w:jc w:val="center"/>
        <w:rPr>
          <w:sz w:val="24"/>
          <w:szCs w:val="24"/>
          <w:lang w:val="en-GB"/>
        </w:rPr>
      </w:pPr>
    </w:p>
    <w:p w14:paraId="7E03887C" w14:textId="77777777" w:rsidR="007C5D2A" w:rsidRPr="00303008" w:rsidRDefault="007C5D2A" w:rsidP="007C5D2A">
      <w:pPr>
        <w:jc w:val="center"/>
        <w:rPr>
          <w:b/>
          <w:sz w:val="24"/>
          <w:szCs w:val="24"/>
          <w:lang w:val="en-GB"/>
        </w:rPr>
      </w:pPr>
      <w:r w:rsidRPr="00303008">
        <w:rPr>
          <w:b/>
          <w:sz w:val="24"/>
          <w:szCs w:val="24"/>
          <w:lang w:val="en-GB"/>
        </w:rPr>
        <w:t>for</w:t>
      </w:r>
    </w:p>
    <w:p w14:paraId="68980484" w14:textId="77777777" w:rsidR="007C5D2A" w:rsidRPr="00303008" w:rsidRDefault="007C5D2A" w:rsidP="007C5D2A">
      <w:pPr>
        <w:jc w:val="center"/>
        <w:rPr>
          <w:sz w:val="24"/>
          <w:szCs w:val="24"/>
          <w:lang w:val="en-GB"/>
        </w:rPr>
      </w:pPr>
    </w:p>
    <w:p w14:paraId="2AF22561" w14:textId="40441A0F" w:rsidR="007C5D2A" w:rsidRPr="007361B4" w:rsidRDefault="00DB045D" w:rsidP="007C5D2A">
      <w:pPr>
        <w:jc w:val="center"/>
        <w:rPr>
          <w:b/>
          <w:sz w:val="24"/>
          <w:szCs w:val="24"/>
          <w:lang w:val="en-US"/>
        </w:rPr>
      </w:pPr>
      <w:proofErr w:type="spellStart"/>
      <w:r w:rsidRPr="007361B4">
        <w:rPr>
          <w:b/>
          <w:sz w:val="24"/>
          <w:szCs w:val="24"/>
          <w:lang w:val="en-US"/>
        </w:rPr>
        <w:t>Cuvitru</w:t>
      </w:r>
      <w:proofErr w:type="spellEnd"/>
      <w:r w:rsidRPr="007361B4">
        <w:rPr>
          <w:b/>
          <w:sz w:val="24"/>
          <w:szCs w:val="24"/>
          <w:lang w:val="en-US"/>
        </w:rPr>
        <w:t>, solution for injection</w:t>
      </w:r>
    </w:p>
    <w:p w14:paraId="2690C385" w14:textId="77777777" w:rsidR="007C5D2A" w:rsidRPr="007361B4" w:rsidRDefault="007C5D2A" w:rsidP="007C5D2A">
      <w:pPr>
        <w:jc w:val="both"/>
        <w:rPr>
          <w:sz w:val="24"/>
          <w:szCs w:val="24"/>
          <w:lang w:val="en-US"/>
        </w:rPr>
      </w:pPr>
    </w:p>
    <w:p w14:paraId="1AA99185" w14:textId="77777777" w:rsidR="0042292D" w:rsidRPr="007361B4" w:rsidRDefault="0042292D" w:rsidP="007C5D2A">
      <w:pPr>
        <w:jc w:val="both"/>
        <w:rPr>
          <w:sz w:val="24"/>
          <w:szCs w:val="24"/>
          <w:lang w:val="en-US"/>
        </w:rPr>
      </w:pPr>
    </w:p>
    <w:p w14:paraId="76406ABD" w14:textId="77777777"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r>
      <w:proofErr w:type="gramStart"/>
      <w:r w:rsidRPr="00303008">
        <w:rPr>
          <w:b/>
          <w:sz w:val="24"/>
          <w:szCs w:val="24"/>
          <w:lang w:val="en-GB"/>
        </w:rPr>
        <w:t>D.SP.NO</w:t>
      </w:r>
      <w:proofErr w:type="gramEnd"/>
      <w:r w:rsidRPr="00303008">
        <w:rPr>
          <w:b/>
          <w:sz w:val="24"/>
          <w:szCs w:val="24"/>
          <w:lang w:val="en-GB"/>
        </w:rPr>
        <w:t>.</w:t>
      </w:r>
    </w:p>
    <w:p w14:paraId="204BC32F" w14:textId="3B9286F2" w:rsidR="008F2F8C" w:rsidRPr="00303008" w:rsidRDefault="0002473A" w:rsidP="008F2F8C">
      <w:pPr>
        <w:tabs>
          <w:tab w:val="left" w:pos="8222"/>
        </w:tabs>
        <w:ind w:left="851"/>
        <w:rPr>
          <w:sz w:val="24"/>
          <w:szCs w:val="24"/>
          <w:lang w:val="en-GB"/>
        </w:rPr>
      </w:pPr>
      <w:r>
        <w:rPr>
          <w:sz w:val="24"/>
          <w:szCs w:val="24"/>
          <w:lang w:val="en-GB"/>
        </w:rPr>
        <w:t>29814</w:t>
      </w:r>
    </w:p>
    <w:p w14:paraId="158B928E" w14:textId="77777777" w:rsidR="007C5D2A" w:rsidRPr="00303008" w:rsidRDefault="007C5D2A" w:rsidP="007C5D2A">
      <w:pPr>
        <w:tabs>
          <w:tab w:val="left" w:pos="851"/>
        </w:tabs>
        <w:jc w:val="both"/>
        <w:rPr>
          <w:sz w:val="24"/>
          <w:szCs w:val="24"/>
          <w:lang w:val="en-GB"/>
        </w:rPr>
      </w:pPr>
    </w:p>
    <w:p w14:paraId="26821912"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14:paraId="680885F4" w14:textId="4AFBCD15" w:rsidR="007C5D2A" w:rsidRPr="00303008" w:rsidRDefault="0002473A" w:rsidP="004A3BF4">
      <w:pPr>
        <w:tabs>
          <w:tab w:val="left" w:pos="851"/>
        </w:tabs>
        <w:ind w:left="851"/>
        <w:rPr>
          <w:sz w:val="24"/>
          <w:szCs w:val="24"/>
          <w:lang w:val="en-GB"/>
        </w:rPr>
      </w:pPr>
      <w:proofErr w:type="spellStart"/>
      <w:r>
        <w:rPr>
          <w:sz w:val="24"/>
          <w:szCs w:val="24"/>
          <w:lang w:val="en-GB"/>
        </w:rPr>
        <w:t>Cuvitru</w:t>
      </w:r>
      <w:proofErr w:type="spellEnd"/>
    </w:p>
    <w:p w14:paraId="2A07C73F" w14:textId="77777777" w:rsidR="007C5D2A" w:rsidRPr="00303008" w:rsidRDefault="007C5D2A" w:rsidP="004A3BF4">
      <w:pPr>
        <w:tabs>
          <w:tab w:val="left" w:pos="851"/>
        </w:tabs>
        <w:ind w:left="851"/>
        <w:rPr>
          <w:sz w:val="24"/>
          <w:szCs w:val="24"/>
          <w:lang w:val="en-GB"/>
        </w:rPr>
      </w:pPr>
    </w:p>
    <w:p w14:paraId="07737B0E" w14:textId="77777777"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14:paraId="3B68A38F" w14:textId="77777777" w:rsidR="00C42153" w:rsidRPr="00C42153" w:rsidRDefault="00C42153" w:rsidP="00C42153">
      <w:pPr>
        <w:tabs>
          <w:tab w:val="left" w:pos="851"/>
        </w:tabs>
        <w:ind w:left="851"/>
        <w:rPr>
          <w:sz w:val="24"/>
          <w:szCs w:val="24"/>
          <w:lang w:val="en-GB"/>
        </w:rPr>
      </w:pPr>
      <w:r w:rsidRPr="00C42153">
        <w:rPr>
          <w:sz w:val="24"/>
          <w:szCs w:val="24"/>
          <w:lang w:val="en-GB"/>
        </w:rPr>
        <w:t>Human normal immunoglobulin (</w:t>
      </w:r>
      <w:proofErr w:type="spellStart"/>
      <w:r w:rsidRPr="00C42153">
        <w:rPr>
          <w:sz w:val="24"/>
          <w:szCs w:val="24"/>
          <w:lang w:val="en-GB"/>
        </w:rPr>
        <w:t>SCIg</w:t>
      </w:r>
      <w:proofErr w:type="spellEnd"/>
      <w:r w:rsidRPr="00C42153">
        <w:rPr>
          <w:sz w:val="24"/>
          <w:szCs w:val="24"/>
          <w:lang w:val="en-GB"/>
        </w:rPr>
        <w:t>)</w:t>
      </w:r>
    </w:p>
    <w:p w14:paraId="3857661E" w14:textId="77777777" w:rsidR="00C42153" w:rsidRPr="00C42153" w:rsidRDefault="00C42153" w:rsidP="00C42153">
      <w:pPr>
        <w:tabs>
          <w:tab w:val="left" w:pos="851"/>
        </w:tabs>
        <w:ind w:left="851"/>
        <w:rPr>
          <w:sz w:val="24"/>
          <w:szCs w:val="24"/>
          <w:lang w:val="en-GB"/>
        </w:rPr>
      </w:pPr>
    </w:p>
    <w:p w14:paraId="0BF56FA8" w14:textId="228A533F" w:rsidR="00C42153" w:rsidRPr="00A252EF" w:rsidRDefault="00C42153" w:rsidP="00C42153">
      <w:pPr>
        <w:tabs>
          <w:tab w:val="left" w:pos="851"/>
        </w:tabs>
        <w:ind w:left="851"/>
        <w:rPr>
          <w:sz w:val="24"/>
          <w:szCs w:val="24"/>
          <w:u w:val="single"/>
          <w:lang w:val="en-GB"/>
        </w:rPr>
      </w:pPr>
      <w:r w:rsidRPr="00A252EF">
        <w:rPr>
          <w:sz w:val="24"/>
          <w:szCs w:val="24"/>
          <w:u w:val="single"/>
          <w:lang w:val="en-GB"/>
        </w:rPr>
        <w:t>One ml contains</w:t>
      </w:r>
    </w:p>
    <w:p w14:paraId="0119F943" w14:textId="77777777" w:rsidR="00C42153" w:rsidRPr="00C42153" w:rsidRDefault="00C42153" w:rsidP="00C42153">
      <w:pPr>
        <w:tabs>
          <w:tab w:val="left" w:pos="851"/>
        </w:tabs>
        <w:ind w:left="851"/>
        <w:rPr>
          <w:sz w:val="24"/>
          <w:szCs w:val="24"/>
          <w:lang w:val="en-GB"/>
        </w:rPr>
      </w:pPr>
      <w:r w:rsidRPr="00C42153">
        <w:rPr>
          <w:sz w:val="24"/>
          <w:szCs w:val="24"/>
          <w:lang w:val="en-GB"/>
        </w:rPr>
        <w:t>Human normal immunoglobulin ……………200 mg</w:t>
      </w:r>
    </w:p>
    <w:p w14:paraId="5C7C2D6B" w14:textId="707062C7" w:rsidR="00C42153" w:rsidRPr="00C42153" w:rsidRDefault="00C42153" w:rsidP="00C42153">
      <w:pPr>
        <w:tabs>
          <w:tab w:val="left" w:pos="851"/>
        </w:tabs>
        <w:ind w:left="851"/>
        <w:rPr>
          <w:sz w:val="24"/>
          <w:szCs w:val="24"/>
          <w:lang w:val="en-GB"/>
        </w:rPr>
      </w:pPr>
      <w:r w:rsidRPr="00C42153">
        <w:rPr>
          <w:sz w:val="24"/>
          <w:szCs w:val="24"/>
          <w:lang w:val="en-GB"/>
        </w:rPr>
        <w:t>(purity of at least 98</w:t>
      </w:r>
      <w:r w:rsidR="00A252EF">
        <w:rPr>
          <w:sz w:val="24"/>
          <w:szCs w:val="24"/>
          <w:lang w:val="en-GB"/>
        </w:rPr>
        <w:t xml:space="preserve"> </w:t>
      </w:r>
      <w:r w:rsidRPr="00C42153">
        <w:rPr>
          <w:sz w:val="24"/>
          <w:szCs w:val="24"/>
          <w:lang w:val="en-GB"/>
        </w:rPr>
        <w:t>% IgG)</w:t>
      </w:r>
    </w:p>
    <w:p w14:paraId="22E756EA" w14:textId="77777777" w:rsidR="00C42153" w:rsidRPr="00C42153" w:rsidRDefault="00C42153" w:rsidP="00C42153">
      <w:pPr>
        <w:tabs>
          <w:tab w:val="left" w:pos="851"/>
        </w:tabs>
        <w:ind w:left="851"/>
        <w:rPr>
          <w:sz w:val="24"/>
          <w:szCs w:val="24"/>
          <w:lang w:val="en-GB"/>
        </w:rPr>
      </w:pPr>
    </w:p>
    <w:p w14:paraId="1FFE034F" w14:textId="77777777" w:rsidR="00C42153" w:rsidRPr="00C42153" w:rsidRDefault="00C42153" w:rsidP="00C42153">
      <w:pPr>
        <w:tabs>
          <w:tab w:val="left" w:pos="851"/>
        </w:tabs>
        <w:ind w:left="851"/>
        <w:rPr>
          <w:sz w:val="24"/>
          <w:szCs w:val="24"/>
          <w:lang w:val="en-GB"/>
        </w:rPr>
      </w:pPr>
      <w:r w:rsidRPr="00C42153">
        <w:rPr>
          <w:sz w:val="24"/>
          <w:szCs w:val="24"/>
          <w:lang w:val="en-GB"/>
        </w:rPr>
        <w:t>Each vial of 5 ml contains: 1 g of human normal immunoglobulin</w:t>
      </w:r>
    </w:p>
    <w:p w14:paraId="6ED1BF4B" w14:textId="77777777" w:rsidR="00C42153" w:rsidRPr="00C42153" w:rsidRDefault="00C42153" w:rsidP="00C42153">
      <w:pPr>
        <w:tabs>
          <w:tab w:val="left" w:pos="851"/>
        </w:tabs>
        <w:ind w:left="851"/>
        <w:rPr>
          <w:sz w:val="24"/>
          <w:szCs w:val="24"/>
          <w:lang w:val="en-GB"/>
        </w:rPr>
      </w:pPr>
      <w:r w:rsidRPr="00C42153">
        <w:rPr>
          <w:sz w:val="24"/>
          <w:szCs w:val="24"/>
          <w:lang w:val="en-GB"/>
        </w:rPr>
        <w:t>Each vial of 10 ml contains: 2 g of human normal immunoglobulin</w:t>
      </w:r>
    </w:p>
    <w:p w14:paraId="7FA49907" w14:textId="77777777" w:rsidR="00C42153" w:rsidRPr="00C42153" w:rsidRDefault="00C42153" w:rsidP="00C42153">
      <w:pPr>
        <w:tabs>
          <w:tab w:val="left" w:pos="851"/>
        </w:tabs>
        <w:ind w:left="851"/>
        <w:rPr>
          <w:sz w:val="24"/>
          <w:szCs w:val="24"/>
          <w:lang w:val="en-GB"/>
        </w:rPr>
      </w:pPr>
      <w:r w:rsidRPr="00C42153">
        <w:rPr>
          <w:sz w:val="24"/>
          <w:szCs w:val="24"/>
          <w:lang w:val="en-GB"/>
        </w:rPr>
        <w:t>Each vial of 20 ml contains: 4 g of human normal immunoglobulin</w:t>
      </w:r>
    </w:p>
    <w:p w14:paraId="688F9A40" w14:textId="77777777" w:rsidR="00C42153" w:rsidRPr="00C42153" w:rsidRDefault="00C42153" w:rsidP="00C42153">
      <w:pPr>
        <w:tabs>
          <w:tab w:val="left" w:pos="851"/>
        </w:tabs>
        <w:ind w:left="851"/>
        <w:rPr>
          <w:sz w:val="24"/>
          <w:szCs w:val="24"/>
          <w:lang w:val="en-GB"/>
        </w:rPr>
      </w:pPr>
      <w:r w:rsidRPr="00C42153">
        <w:rPr>
          <w:sz w:val="24"/>
          <w:szCs w:val="24"/>
          <w:lang w:val="en-GB"/>
        </w:rPr>
        <w:t>Each vial of 40 ml contains: 8 g of human normal immunoglobulin</w:t>
      </w:r>
    </w:p>
    <w:p w14:paraId="681D7B10" w14:textId="77777777" w:rsidR="00C42153" w:rsidRPr="00C42153" w:rsidRDefault="00C42153" w:rsidP="00C42153">
      <w:pPr>
        <w:tabs>
          <w:tab w:val="left" w:pos="851"/>
        </w:tabs>
        <w:ind w:left="851"/>
        <w:rPr>
          <w:sz w:val="24"/>
          <w:szCs w:val="24"/>
          <w:lang w:val="en-GB"/>
        </w:rPr>
      </w:pPr>
      <w:r w:rsidRPr="00C42153">
        <w:rPr>
          <w:sz w:val="24"/>
          <w:szCs w:val="24"/>
          <w:lang w:val="en-GB"/>
        </w:rPr>
        <w:t>Each vial of 50 ml contains: 10 g of human normal immunoglobulin</w:t>
      </w:r>
    </w:p>
    <w:p w14:paraId="4E0711A4" w14:textId="77777777" w:rsidR="00C42153" w:rsidRPr="00C42153" w:rsidRDefault="00C42153" w:rsidP="00C42153">
      <w:pPr>
        <w:tabs>
          <w:tab w:val="left" w:pos="851"/>
        </w:tabs>
        <w:ind w:left="851"/>
        <w:rPr>
          <w:sz w:val="24"/>
          <w:szCs w:val="24"/>
          <w:lang w:val="en-GB"/>
        </w:rPr>
      </w:pPr>
    </w:p>
    <w:p w14:paraId="003CB1F3" w14:textId="3B2545D9" w:rsidR="00C42153" w:rsidRPr="00A252EF" w:rsidRDefault="00C42153" w:rsidP="00C42153">
      <w:pPr>
        <w:tabs>
          <w:tab w:val="left" w:pos="851"/>
        </w:tabs>
        <w:ind w:left="851"/>
        <w:rPr>
          <w:sz w:val="24"/>
          <w:szCs w:val="24"/>
          <w:u w:val="single"/>
          <w:lang w:val="en-GB"/>
        </w:rPr>
      </w:pPr>
      <w:r w:rsidRPr="00A252EF">
        <w:rPr>
          <w:sz w:val="24"/>
          <w:szCs w:val="24"/>
          <w:u w:val="single"/>
          <w:lang w:val="en-GB"/>
        </w:rPr>
        <w:t>Distribution of IgG subclasses (approx. values)</w:t>
      </w:r>
    </w:p>
    <w:p w14:paraId="529DAB8E" w14:textId="2FA8618B" w:rsidR="00C42153" w:rsidRPr="00C42153" w:rsidRDefault="00C42153" w:rsidP="00A252EF">
      <w:pPr>
        <w:tabs>
          <w:tab w:val="left" w:pos="1560"/>
        </w:tabs>
        <w:ind w:left="851"/>
        <w:rPr>
          <w:sz w:val="24"/>
          <w:szCs w:val="24"/>
          <w:lang w:val="en-GB"/>
        </w:rPr>
      </w:pPr>
      <w:r w:rsidRPr="00C42153">
        <w:rPr>
          <w:sz w:val="24"/>
          <w:szCs w:val="24"/>
          <w:lang w:val="en-GB"/>
        </w:rPr>
        <w:t>IgG1</w:t>
      </w:r>
      <w:r w:rsidRPr="00C42153">
        <w:rPr>
          <w:sz w:val="24"/>
          <w:szCs w:val="24"/>
          <w:lang w:val="en-GB"/>
        </w:rPr>
        <w:tab/>
      </w:r>
      <w:r w:rsidRPr="00C42153">
        <w:rPr>
          <w:bCs/>
          <w:iCs/>
          <w:sz w:val="24"/>
          <w:szCs w:val="24"/>
          <w:lang w:val="en-GB"/>
        </w:rPr>
        <w:t>≥</w:t>
      </w:r>
      <w:r w:rsidRPr="00C42153">
        <w:rPr>
          <w:sz w:val="24"/>
          <w:szCs w:val="24"/>
          <w:lang w:val="en-GB"/>
        </w:rPr>
        <w:t>56.9</w:t>
      </w:r>
      <w:r w:rsidR="00A252EF">
        <w:rPr>
          <w:sz w:val="24"/>
          <w:szCs w:val="24"/>
          <w:lang w:val="en-GB"/>
        </w:rPr>
        <w:t xml:space="preserve"> </w:t>
      </w:r>
      <w:r w:rsidRPr="00C42153">
        <w:rPr>
          <w:sz w:val="24"/>
          <w:szCs w:val="24"/>
          <w:lang w:val="en-GB"/>
        </w:rPr>
        <w:t>%</w:t>
      </w:r>
    </w:p>
    <w:p w14:paraId="05CB45C0" w14:textId="69B2DA2D" w:rsidR="00C42153" w:rsidRPr="00C42153" w:rsidRDefault="00C42153" w:rsidP="00A252EF">
      <w:pPr>
        <w:tabs>
          <w:tab w:val="left" w:pos="1560"/>
        </w:tabs>
        <w:ind w:left="851"/>
        <w:rPr>
          <w:sz w:val="24"/>
          <w:szCs w:val="24"/>
          <w:lang w:val="en-GB"/>
        </w:rPr>
      </w:pPr>
      <w:r w:rsidRPr="00C42153">
        <w:rPr>
          <w:sz w:val="24"/>
          <w:szCs w:val="24"/>
          <w:lang w:val="en-GB"/>
        </w:rPr>
        <w:t>IgG2</w:t>
      </w:r>
      <w:r w:rsidRPr="00C42153">
        <w:rPr>
          <w:sz w:val="24"/>
          <w:szCs w:val="24"/>
          <w:lang w:val="en-GB"/>
        </w:rPr>
        <w:tab/>
      </w:r>
      <w:r w:rsidRPr="00C42153">
        <w:rPr>
          <w:bCs/>
          <w:iCs/>
          <w:sz w:val="24"/>
          <w:szCs w:val="24"/>
          <w:lang w:val="en-GB"/>
        </w:rPr>
        <w:t>≥</w:t>
      </w:r>
      <w:r w:rsidRPr="00C42153">
        <w:rPr>
          <w:sz w:val="24"/>
          <w:szCs w:val="24"/>
          <w:lang w:val="en-GB"/>
        </w:rPr>
        <w:t>26.6</w:t>
      </w:r>
      <w:r w:rsidR="00A252EF">
        <w:rPr>
          <w:sz w:val="24"/>
          <w:szCs w:val="24"/>
          <w:lang w:val="en-GB"/>
        </w:rPr>
        <w:t xml:space="preserve"> </w:t>
      </w:r>
      <w:r w:rsidRPr="00C42153">
        <w:rPr>
          <w:sz w:val="24"/>
          <w:szCs w:val="24"/>
          <w:lang w:val="en-GB"/>
        </w:rPr>
        <w:t>%</w:t>
      </w:r>
    </w:p>
    <w:p w14:paraId="623F7E16" w14:textId="0D68D188" w:rsidR="00C42153" w:rsidRPr="00C42153" w:rsidRDefault="00C42153" w:rsidP="00A252EF">
      <w:pPr>
        <w:tabs>
          <w:tab w:val="left" w:pos="1560"/>
        </w:tabs>
        <w:ind w:left="851"/>
        <w:rPr>
          <w:sz w:val="24"/>
          <w:szCs w:val="24"/>
          <w:lang w:val="en-GB"/>
        </w:rPr>
      </w:pPr>
      <w:r w:rsidRPr="00C42153">
        <w:rPr>
          <w:sz w:val="24"/>
          <w:szCs w:val="24"/>
          <w:lang w:val="en-GB"/>
        </w:rPr>
        <w:t>IgG3</w:t>
      </w:r>
      <w:r w:rsidRPr="00C42153">
        <w:rPr>
          <w:sz w:val="24"/>
          <w:szCs w:val="24"/>
          <w:lang w:val="en-GB"/>
        </w:rPr>
        <w:tab/>
      </w:r>
      <w:r w:rsidRPr="00C42153">
        <w:rPr>
          <w:bCs/>
          <w:iCs/>
          <w:sz w:val="24"/>
          <w:szCs w:val="24"/>
          <w:lang w:val="en-GB"/>
        </w:rPr>
        <w:t>≥</w:t>
      </w:r>
      <w:r w:rsidRPr="00C42153">
        <w:rPr>
          <w:sz w:val="24"/>
          <w:szCs w:val="24"/>
          <w:lang w:val="en-GB"/>
        </w:rPr>
        <w:t>3.4</w:t>
      </w:r>
      <w:r w:rsidR="00A252EF">
        <w:rPr>
          <w:sz w:val="24"/>
          <w:szCs w:val="24"/>
          <w:lang w:val="en-GB"/>
        </w:rPr>
        <w:t xml:space="preserve"> </w:t>
      </w:r>
      <w:r w:rsidRPr="00C42153">
        <w:rPr>
          <w:sz w:val="24"/>
          <w:szCs w:val="24"/>
          <w:lang w:val="en-GB"/>
        </w:rPr>
        <w:t>%</w:t>
      </w:r>
    </w:p>
    <w:p w14:paraId="38D4F9B2" w14:textId="093B1870" w:rsidR="00C42153" w:rsidRPr="00C42153" w:rsidRDefault="00C42153" w:rsidP="00A252EF">
      <w:pPr>
        <w:tabs>
          <w:tab w:val="left" w:pos="1560"/>
        </w:tabs>
        <w:ind w:left="851"/>
        <w:rPr>
          <w:sz w:val="24"/>
          <w:szCs w:val="24"/>
          <w:lang w:val="en-GB"/>
        </w:rPr>
      </w:pPr>
      <w:r w:rsidRPr="00C42153">
        <w:rPr>
          <w:sz w:val="24"/>
          <w:szCs w:val="24"/>
          <w:lang w:val="en-GB"/>
        </w:rPr>
        <w:t>IgG4</w:t>
      </w:r>
      <w:r w:rsidRPr="00C42153">
        <w:rPr>
          <w:sz w:val="24"/>
          <w:szCs w:val="24"/>
          <w:lang w:val="en-GB"/>
        </w:rPr>
        <w:tab/>
      </w:r>
      <w:r w:rsidRPr="00C42153">
        <w:rPr>
          <w:bCs/>
          <w:iCs/>
          <w:sz w:val="24"/>
          <w:szCs w:val="24"/>
          <w:lang w:val="en-GB"/>
        </w:rPr>
        <w:t>≥</w:t>
      </w:r>
      <w:r w:rsidRPr="00C42153">
        <w:rPr>
          <w:sz w:val="24"/>
          <w:szCs w:val="24"/>
          <w:lang w:val="en-GB"/>
        </w:rPr>
        <w:t>1.7</w:t>
      </w:r>
      <w:r w:rsidR="00A252EF">
        <w:rPr>
          <w:sz w:val="24"/>
          <w:szCs w:val="24"/>
          <w:lang w:val="en-GB"/>
        </w:rPr>
        <w:t xml:space="preserve"> </w:t>
      </w:r>
      <w:r w:rsidRPr="00C42153">
        <w:rPr>
          <w:sz w:val="24"/>
          <w:szCs w:val="24"/>
          <w:lang w:val="en-GB"/>
        </w:rPr>
        <w:t>%</w:t>
      </w:r>
    </w:p>
    <w:p w14:paraId="5D7BE420" w14:textId="77777777" w:rsidR="00C42153" w:rsidRPr="00C42153" w:rsidRDefault="00C42153" w:rsidP="00C42153">
      <w:pPr>
        <w:tabs>
          <w:tab w:val="left" w:pos="851"/>
        </w:tabs>
        <w:ind w:left="851"/>
        <w:rPr>
          <w:sz w:val="24"/>
          <w:szCs w:val="24"/>
          <w:lang w:val="en-GB"/>
        </w:rPr>
      </w:pPr>
    </w:p>
    <w:p w14:paraId="74EB7DE2" w14:textId="77777777" w:rsidR="00C42153" w:rsidRPr="00C42153" w:rsidRDefault="00C42153" w:rsidP="00C42153">
      <w:pPr>
        <w:tabs>
          <w:tab w:val="left" w:pos="851"/>
        </w:tabs>
        <w:ind w:left="851"/>
        <w:rPr>
          <w:sz w:val="24"/>
          <w:szCs w:val="24"/>
          <w:lang w:val="en-GB"/>
        </w:rPr>
      </w:pPr>
      <w:r w:rsidRPr="00C42153">
        <w:rPr>
          <w:sz w:val="24"/>
          <w:szCs w:val="24"/>
          <w:lang w:val="en-GB"/>
        </w:rPr>
        <w:t>The maximum IgA content is 280 micrograms/ml.</w:t>
      </w:r>
    </w:p>
    <w:p w14:paraId="09493447" w14:textId="77777777" w:rsidR="00C42153" w:rsidRPr="00C42153" w:rsidRDefault="00C42153" w:rsidP="00C42153">
      <w:pPr>
        <w:tabs>
          <w:tab w:val="left" w:pos="851"/>
        </w:tabs>
        <w:ind w:left="851"/>
        <w:rPr>
          <w:sz w:val="24"/>
          <w:szCs w:val="24"/>
          <w:lang w:val="en-GB"/>
        </w:rPr>
      </w:pPr>
    </w:p>
    <w:p w14:paraId="58672DEE" w14:textId="77777777" w:rsidR="00C42153" w:rsidRPr="00C42153" w:rsidRDefault="00C42153" w:rsidP="00C42153">
      <w:pPr>
        <w:tabs>
          <w:tab w:val="left" w:pos="851"/>
        </w:tabs>
        <w:ind w:left="851"/>
        <w:rPr>
          <w:sz w:val="24"/>
          <w:szCs w:val="24"/>
          <w:lang w:val="en-GB"/>
        </w:rPr>
      </w:pPr>
      <w:r w:rsidRPr="00C42153">
        <w:rPr>
          <w:sz w:val="24"/>
          <w:szCs w:val="24"/>
          <w:lang w:val="en-GB"/>
        </w:rPr>
        <w:t>Produced from the plasma of human donors.</w:t>
      </w:r>
    </w:p>
    <w:p w14:paraId="0959EEC3" w14:textId="77777777" w:rsidR="00C42153" w:rsidRPr="00C42153" w:rsidRDefault="00C42153" w:rsidP="00C42153">
      <w:pPr>
        <w:tabs>
          <w:tab w:val="left" w:pos="851"/>
        </w:tabs>
        <w:ind w:left="851"/>
        <w:rPr>
          <w:sz w:val="24"/>
          <w:szCs w:val="24"/>
          <w:lang w:val="en-GB"/>
        </w:rPr>
      </w:pPr>
    </w:p>
    <w:p w14:paraId="5A296683" w14:textId="77777777" w:rsidR="00C42153" w:rsidRPr="00C42153" w:rsidRDefault="00C42153" w:rsidP="00C42153">
      <w:pPr>
        <w:tabs>
          <w:tab w:val="left" w:pos="851"/>
        </w:tabs>
        <w:ind w:left="851"/>
        <w:rPr>
          <w:sz w:val="24"/>
          <w:szCs w:val="24"/>
          <w:lang w:val="en-GB"/>
        </w:rPr>
      </w:pPr>
      <w:r w:rsidRPr="00C42153">
        <w:rPr>
          <w:sz w:val="24"/>
          <w:szCs w:val="24"/>
          <w:lang w:val="en-GB"/>
        </w:rPr>
        <w:t>For the full list of excipients, see section 6.1.</w:t>
      </w:r>
    </w:p>
    <w:p w14:paraId="02FA2CD7" w14:textId="77777777" w:rsidR="007C5D2A" w:rsidRPr="00C42153" w:rsidRDefault="007C5D2A" w:rsidP="004A3BF4">
      <w:pPr>
        <w:tabs>
          <w:tab w:val="left" w:pos="851"/>
        </w:tabs>
        <w:ind w:left="851"/>
        <w:rPr>
          <w:sz w:val="24"/>
          <w:szCs w:val="24"/>
          <w:lang w:val="en-GB"/>
        </w:rPr>
      </w:pPr>
    </w:p>
    <w:p w14:paraId="5296F01F"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14:paraId="4A275031" w14:textId="05E13598" w:rsidR="006F1584" w:rsidRDefault="006F1584" w:rsidP="006F1584">
      <w:pPr>
        <w:tabs>
          <w:tab w:val="left" w:pos="851"/>
        </w:tabs>
        <w:ind w:left="851"/>
        <w:rPr>
          <w:sz w:val="24"/>
          <w:szCs w:val="24"/>
          <w:lang w:val="en-GB"/>
        </w:rPr>
      </w:pPr>
      <w:r w:rsidRPr="006F1584">
        <w:rPr>
          <w:sz w:val="24"/>
          <w:szCs w:val="24"/>
          <w:lang w:val="en-GB"/>
        </w:rPr>
        <w:t>Solution for injection</w:t>
      </w:r>
    </w:p>
    <w:p w14:paraId="2BD1CC7B" w14:textId="77777777" w:rsidR="006F1584" w:rsidRPr="006F1584" w:rsidRDefault="006F1584" w:rsidP="006F1584">
      <w:pPr>
        <w:tabs>
          <w:tab w:val="left" w:pos="851"/>
        </w:tabs>
        <w:ind w:left="851"/>
        <w:rPr>
          <w:sz w:val="24"/>
          <w:szCs w:val="24"/>
          <w:lang w:val="en-GB"/>
        </w:rPr>
      </w:pPr>
    </w:p>
    <w:p w14:paraId="613C3A85" w14:textId="77777777" w:rsidR="006F1584" w:rsidRPr="006F1584" w:rsidRDefault="006F1584" w:rsidP="006F1584">
      <w:pPr>
        <w:tabs>
          <w:tab w:val="left" w:pos="851"/>
        </w:tabs>
        <w:ind w:left="851"/>
        <w:rPr>
          <w:sz w:val="24"/>
          <w:szCs w:val="24"/>
          <w:lang w:val="en-GB"/>
        </w:rPr>
      </w:pPr>
      <w:r w:rsidRPr="006F1584">
        <w:rPr>
          <w:sz w:val="24"/>
          <w:szCs w:val="24"/>
          <w:lang w:val="en-GB"/>
        </w:rPr>
        <w:t>The solution is clear and colourless or pale yellow or light-brown.</w:t>
      </w:r>
    </w:p>
    <w:p w14:paraId="5E9DEE89" w14:textId="2A9E505E" w:rsidR="006F1584" w:rsidRPr="006F1584" w:rsidRDefault="006F1584" w:rsidP="006F1584">
      <w:pPr>
        <w:tabs>
          <w:tab w:val="left" w:pos="851"/>
        </w:tabs>
        <w:ind w:left="851"/>
        <w:rPr>
          <w:sz w:val="24"/>
          <w:szCs w:val="24"/>
          <w:lang w:val="en-GB"/>
        </w:rPr>
      </w:pPr>
      <w:r w:rsidRPr="006F1584">
        <w:rPr>
          <w:sz w:val="24"/>
          <w:szCs w:val="24"/>
          <w:lang w:val="en-GB"/>
        </w:rPr>
        <w:t>pH of 4.6 to 5.1 (measured by dilution at 1% in saline)</w:t>
      </w:r>
      <w:r>
        <w:rPr>
          <w:sz w:val="24"/>
          <w:szCs w:val="24"/>
          <w:lang w:val="en-GB"/>
        </w:rPr>
        <w:t>.</w:t>
      </w:r>
    </w:p>
    <w:p w14:paraId="63CFA066" w14:textId="77777777" w:rsidR="007C5D2A" w:rsidRPr="006F1584" w:rsidRDefault="007C5D2A" w:rsidP="004A3BF4">
      <w:pPr>
        <w:tabs>
          <w:tab w:val="left" w:pos="851"/>
        </w:tabs>
        <w:ind w:left="851"/>
        <w:rPr>
          <w:sz w:val="24"/>
          <w:szCs w:val="24"/>
          <w:lang w:val="en-GB"/>
        </w:rPr>
      </w:pPr>
    </w:p>
    <w:p w14:paraId="2F4958ED" w14:textId="77777777" w:rsidR="007C5D2A" w:rsidRPr="00303008" w:rsidRDefault="007C5D2A" w:rsidP="004A3BF4">
      <w:pPr>
        <w:tabs>
          <w:tab w:val="left" w:pos="851"/>
        </w:tabs>
        <w:ind w:left="851"/>
        <w:rPr>
          <w:sz w:val="24"/>
          <w:szCs w:val="24"/>
          <w:lang w:val="en-GB"/>
        </w:rPr>
      </w:pPr>
    </w:p>
    <w:p w14:paraId="2BE536D8" w14:textId="77777777"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14:paraId="1375BF88" w14:textId="77777777" w:rsidR="007C5D2A" w:rsidRPr="00303008" w:rsidRDefault="007C5D2A" w:rsidP="004A3BF4">
      <w:pPr>
        <w:tabs>
          <w:tab w:val="left" w:pos="851"/>
        </w:tabs>
        <w:ind w:left="851"/>
        <w:rPr>
          <w:sz w:val="24"/>
          <w:szCs w:val="24"/>
          <w:lang w:val="en-GB"/>
        </w:rPr>
      </w:pPr>
    </w:p>
    <w:p w14:paraId="27418DB0" w14:textId="77777777"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14:paraId="07FAA88F" w14:textId="77777777" w:rsidR="000F12D3" w:rsidRPr="000F12D3" w:rsidRDefault="000F12D3" w:rsidP="000F12D3">
      <w:pPr>
        <w:tabs>
          <w:tab w:val="left" w:pos="851"/>
        </w:tabs>
        <w:ind w:left="851"/>
        <w:rPr>
          <w:sz w:val="24"/>
          <w:szCs w:val="24"/>
          <w:lang w:val="en-GB"/>
        </w:rPr>
      </w:pPr>
      <w:r w:rsidRPr="000F12D3">
        <w:rPr>
          <w:sz w:val="24"/>
          <w:szCs w:val="24"/>
          <w:lang w:val="en-GB"/>
        </w:rPr>
        <w:t>Indications for subcutaneous administration (</w:t>
      </w:r>
      <w:proofErr w:type="spellStart"/>
      <w:r w:rsidRPr="000F12D3">
        <w:rPr>
          <w:sz w:val="24"/>
          <w:szCs w:val="24"/>
          <w:lang w:val="en-GB"/>
        </w:rPr>
        <w:t>SCIg</w:t>
      </w:r>
      <w:proofErr w:type="spellEnd"/>
      <w:r w:rsidRPr="000F12D3">
        <w:rPr>
          <w:sz w:val="24"/>
          <w:szCs w:val="24"/>
          <w:lang w:val="en-GB"/>
        </w:rPr>
        <w:t>)</w:t>
      </w:r>
    </w:p>
    <w:p w14:paraId="384A40AB" w14:textId="77777777" w:rsidR="00DD1C29" w:rsidRDefault="00DD1C29" w:rsidP="000F12D3">
      <w:pPr>
        <w:tabs>
          <w:tab w:val="left" w:pos="851"/>
        </w:tabs>
        <w:ind w:left="851"/>
        <w:rPr>
          <w:i/>
          <w:sz w:val="24"/>
          <w:szCs w:val="24"/>
          <w:u w:val="single"/>
          <w:lang w:val="en-GB"/>
        </w:rPr>
      </w:pPr>
    </w:p>
    <w:p w14:paraId="36213B55" w14:textId="139FB95D" w:rsidR="000F12D3" w:rsidRPr="00DD1C29" w:rsidRDefault="000F12D3" w:rsidP="000F12D3">
      <w:pPr>
        <w:tabs>
          <w:tab w:val="left" w:pos="851"/>
        </w:tabs>
        <w:ind w:left="851"/>
        <w:rPr>
          <w:sz w:val="24"/>
          <w:szCs w:val="24"/>
          <w:u w:val="single"/>
          <w:lang w:val="en-GB"/>
        </w:rPr>
      </w:pPr>
      <w:r w:rsidRPr="00DD1C29">
        <w:rPr>
          <w:sz w:val="24"/>
          <w:szCs w:val="24"/>
          <w:u w:val="single"/>
          <w:lang w:val="en-GB"/>
        </w:rPr>
        <w:t>Replacement therapy in adults, and children and adolescents (0</w:t>
      </w:r>
      <w:r w:rsidRPr="00DD1C29">
        <w:rPr>
          <w:sz w:val="24"/>
          <w:szCs w:val="24"/>
          <w:u w:val="single"/>
          <w:lang w:val="en-GB"/>
        </w:rPr>
        <w:noBreakHyphen/>
        <w:t>18 years) in</w:t>
      </w:r>
    </w:p>
    <w:p w14:paraId="73B972FD" w14:textId="77777777" w:rsidR="00586336" w:rsidRPr="00586336" w:rsidRDefault="00586336" w:rsidP="00586336">
      <w:pPr>
        <w:numPr>
          <w:ilvl w:val="0"/>
          <w:numId w:val="5"/>
        </w:numPr>
        <w:autoSpaceDE w:val="0"/>
        <w:autoSpaceDN w:val="0"/>
        <w:adjustRightInd w:val="0"/>
        <w:ind w:left="1276" w:hanging="425"/>
        <w:rPr>
          <w:szCs w:val="22"/>
          <w:lang w:val="en-US"/>
        </w:rPr>
      </w:pPr>
      <w:r w:rsidRPr="00586336">
        <w:rPr>
          <w:szCs w:val="22"/>
          <w:lang w:val="en-US"/>
        </w:rPr>
        <w:t>Primary immunodeficiency (PID) syndromes with impaired antibody production (see section 4.4).</w:t>
      </w:r>
    </w:p>
    <w:p w14:paraId="2C7D408F" w14:textId="77777777" w:rsidR="00586336" w:rsidRPr="00586336" w:rsidRDefault="00586336" w:rsidP="00586336">
      <w:pPr>
        <w:numPr>
          <w:ilvl w:val="0"/>
          <w:numId w:val="5"/>
        </w:numPr>
        <w:autoSpaceDE w:val="0"/>
        <w:autoSpaceDN w:val="0"/>
        <w:adjustRightInd w:val="0"/>
        <w:ind w:left="1276" w:hanging="425"/>
        <w:rPr>
          <w:szCs w:val="22"/>
          <w:lang w:val="en-US"/>
        </w:rPr>
      </w:pPr>
      <w:r w:rsidRPr="00586336">
        <w:rPr>
          <w:szCs w:val="22"/>
          <w:lang w:val="en-US"/>
        </w:rPr>
        <w:t xml:space="preserve">Secondary immunodeficiencies (SID) in patients who suffer from severe or recurrent infections, ineffective antimicrobial treatment and either proven specific antibody failure (PSAF)* or serum IgG level of &lt;4g/l.   </w:t>
      </w:r>
    </w:p>
    <w:p w14:paraId="5C22701C" w14:textId="77777777" w:rsidR="00586336" w:rsidRPr="00586336" w:rsidRDefault="00586336" w:rsidP="00586336">
      <w:pPr>
        <w:autoSpaceDE w:val="0"/>
        <w:autoSpaceDN w:val="0"/>
        <w:adjustRightInd w:val="0"/>
        <w:ind w:left="1276"/>
        <w:rPr>
          <w:szCs w:val="22"/>
          <w:lang w:val="en-US"/>
        </w:rPr>
      </w:pPr>
    </w:p>
    <w:p w14:paraId="3033CAEC" w14:textId="77777777" w:rsidR="00586336" w:rsidRPr="00586336" w:rsidRDefault="00586336" w:rsidP="00586336">
      <w:pPr>
        <w:ind w:left="1276" w:hanging="425"/>
        <w:rPr>
          <w:lang w:val="en-US"/>
        </w:rPr>
      </w:pPr>
      <w:r w:rsidRPr="00586336">
        <w:rPr>
          <w:lang w:val="en-US"/>
        </w:rPr>
        <w:t xml:space="preserve">*PSAF = failure to mount at least a 2-fold rise in IgG antibody </w:t>
      </w:r>
      <w:proofErr w:type="spellStart"/>
      <w:r w:rsidRPr="00586336">
        <w:rPr>
          <w:lang w:val="en-US"/>
        </w:rPr>
        <w:t>titre</w:t>
      </w:r>
      <w:proofErr w:type="spellEnd"/>
      <w:r w:rsidRPr="00586336">
        <w:rPr>
          <w:lang w:val="en-US"/>
        </w:rPr>
        <w:t xml:space="preserve"> to pneumococcal polysaccharide and polypeptide antigen vaccines.</w:t>
      </w:r>
    </w:p>
    <w:p w14:paraId="3365E581" w14:textId="77777777" w:rsidR="007C5D2A" w:rsidRPr="00586336" w:rsidRDefault="007C5D2A" w:rsidP="00A85D26">
      <w:pPr>
        <w:tabs>
          <w:tab w:val="left" w:pos="851"/>
        </w:tabs>
        <w:ind w:left="851"/>
        <w:rPr>
          <w:sz w:val="24"/>
          <w:szCs w:val="24"/>
          <w:lang w:val="en-US"/>
        </w:rPr>
      </w:pPr>
    </w:p>
    <w:p w14:paraId="67224E04" w14:textId="77777777"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14:paraId="17D6CCA0" w14:textId="77777777" w:rsidR="00564539" w:rsidRPr="00564539" w:rsidRDefault="00564539" w:rsidP="00420B6E">
      <w:pPr>
        <w:tabs>
          <w:tab w:val="left" w:pos="851"/>
        </w:tabs>
        <w:ind w:left="851"/>
        <w:rPr>
          <w:sz w:val="24"/>
          <w:szCs w:val="24"/>
          <w:lang w:val="en-GB"/>
        </w:rPr>
      </w:pPr>
      <w:r w:rsidRPr="00564539">
        <w:rPr>
          <w:sz w:val="24"/>
          <w:szCs w:val="24"/>
          <w:lang w:val="en-GB"/>
        </w:rPr>
        <w:t>Replacement therapy should be initiated and monitored under the supervision of a physician experienced in the treatment of immunodeficiency.</w:t>
      </w:r>
    </w:p>
    <w:p w14:paraId="2674C824" w14:textId="77777777" w:rsidR="00564539" w:rsidRPr="00564539" w:rsidRDefault="00564539" w:rsidP="00564539">
      <w:pPr>
        <w:tabs>
          <w:tab w:val="left" w:pos="851"/>
        </w:tabs>
        <w:ind w:left="851"/>
        <w:rPr>
          <w:sz w:val="24"/>
          <w:szCs w:val="24"/>
          <w:lang w:val="en-GB"/>
        </w:rPr>
      </w:pPr>
    </w:p>
    <w:p w14:paraId="692EDD23" w14:textId="77777777" w:rsidR="00564539" w:rsidRPr="00564539" w:rsidRDefault="00564539" w:rsidP="00564539">
      <w:pPr>
        <w:tabs>
          <w:tab w:val="left" w:pos="851"/>
        </w:tabs>
        <w:ind w:left="851"/>
        <w:rPr>
          <w:sz w:val="24"/>
          <w:szCs w:val="24"/>
          <w:u w:val="single"/>
          <w:lang w:val="en-GB"/>
        </w:rPr>
      </w:pPr>
      <w:r w:rsidRPr="00564539">
        <w:rPr>
          <w:sz w:val="24"/>
          <w:szCs w:val="24"/>
          <w:u w:val="single"/>
          <w:lang w:val="en-GB"/>
        </w:rPr>
        <w:t>Posology</w:t>
      </w:r>
    </w:p>
    <w:p w14:paraId="35935F9E" w14:textId="77777777" w:rsidR="00564539" w:rsidRPr="00564539" w:rsidRDefault="00564539" w:rsidP="00564539">
      <w:pPr>
        <w:tabs>
          <w:tab w:val="left" w:pos="851"/>
        </w:tabs>
        <w:ind w:left="851"/>
        <w:rPr>
          <w:sz w:val="24"/>
          <w:szCs w:val="24"/>
          <w:lang w:val="en-GB"/>
        </w:rPr>
      </w:pPr>
      <w:r w:rsidRPr="00564539">
        <w:rPr>
          <w:sz w:val="24"/>
          <w:szCs w:val="24"/>
          <w:lang w:val="en-GB"/>
        </w:rPr>
        <w:t xml:space="preserve">The dose and dose regimen </w:t>
      </w:r>
      <w:proofErr w:type="gramStart"/>
      <w:r w:rsidRPr="00564539">
        <w:rPr>
          <w:sz w:val="24"/>
          <w:szCs w:val="24"/>
          <w:lang w:val="en-GB"/>
        </w:rPr>
        <w:t>is</w:t>
      </w:r>
      <w:proofErr w:type="gramEnd"/>
      <w:r w:rsidRPr="00564539">
        <w:rPr>
          <w:sz w:val="24"/>
          <w:szCs w:val="24"/>
          <w:lang w:val="en-GB"/>
        </w:rPr>
        <w:t xml:space="preserve"> dependent on the indication.</w:t>
      </w:r>
    </w:p>
    <w:p w14:paraId="71C803CA" w14:textId="77777777" w:rsidR="00564539" w:rsidRPr="00564539" w:rsidRDefault="00564539" w:rsidP="00564539">
      <w:pPr>
        <w:tabs>
          <w:tab w:val="left" w:pos="851"/>
        </w:tabs>
        <w:ind w:left="851"/>
        <w:rPr>
          <w:sz w:val="24"/>
          <w:szCs w:val="24"/>
          <w:lang w:val="en-GB"/>
        </w:rPr>
      </w:pPr>
    </w:p>
    <w:p w14:paraId="07B9255B" w14:textId="20EA3FB7" w:rsidR="00564539" w:rsidRPr="00564539" w:rsidRDefault="00564539" w:rsidP="00586336">
      <w:pPr>
        <w:tabs>
          <w:tab w:val="left" w:pos="851"/>
        </w:tabs>
        <w:ind w:left="851"/>
        <w:rPr>
          <w:sz w:val="24"/>
          <w:szCs w:val="24"/>
          <w:lang w:val="en-GB"/>
        </w:rPr>
      </w:pPr>
      <w:r w:rsidRPr="00564539">
        <w:rPr>
          <w:sz w:val="24"/>
          <w:szCs w:val="24"/>
          <w:lang w:val="en-GB"/>
        </w:rPr>
        <w:t>The product should be administered via the subcutaneous route.</w:t>
      </w:r>
    </w:p>
    <w:p w14:paraId="64DADBC3" w14:textId="77777777" w:rsidR="00564539" w:rsidRPr="00564539" w:rsidRDefault="00564539" w:rsidP="00564539">
      <w:pPr>
        <w:tabs>
          <w:tab w:val="left" w:pos="851"/>
        </w:tabs>
        <w:ind w:left="851"/>
        <w:rPr>
          <w:sz w:val="24"/>
          <w:szCs w:val="24"/>
          <w:lang w:val="en-GB"/>
        </w:rPr>
      </w:pPr>
    </w:p>
    <w:p w14:paraId="1AF89386" w14:textId="0A35807F" w:rsidR="00586336" w:rsidRPr="00586336" w:rsidRDefault="00586336" w:rsidP="00586336">
      <w:pPr>
        <w:autoSpaceDE w:val="0"/>
        <w:autoSpaceDN w:val="0"/>
        <w:adjustRightInd w:val="0"/>
        <w:ind w:left="851"/>
        <w:rPr>
          <w:szCs w:val="22"/>
          <w:lang w:val="en-US"/>
        </w:rPr>
      </w:pPr>
      <w:r w:rsidRPr="00586336">
        <w:rPr>
          <w:szCs w:val="22"/>
          <w:lang w:val="en-US"/>
        </w:rPr>
        <w:t xml:space="preserve">In replacement therapy the dose may need to be </w:t>
      </w:r>
      <w:proofErr w:type="spellStart"/>
      <w:r w:rsidRPr="00586336">
        <w:rPr>
          <w:szCs w:val="22"/>
          <w:lang w:val="en-US"/>
        </w:rPr>
        <w:t>individualised</w:t>
      </w:r>
      <w:proofErr w:type="spellEnd"/>
      <w:r w:rsidRPr="00586336">
        <w:rPr>
          <w:szCs w:val="22"/>
          <w:lang w:val="en-US"/>
        </w:rPr>
        <w:t xml:space="preserve"> for each patient dependent on the pharmacokinetic and clinical response. Dose based on bodyweight may require adjustment in underweight or overweight patients. The following dose regimens are given as a guideline.</w:t>
      </w:r>
    </w:p>
    <w:p w14:paraId="4D403A2B" w14:textId="77777777" w:rsidR="00586336" w:rsidRPr="00586336" w:rsidRDefault="00586336" w:rsidP="00586336">
      <w:pPr>
        <w:keepNext/>
        <w:autoSpaceDE w:val="0"/>
        <w:autoSpaceDN w:val="0"/>
        <w:adjustRightInd w:val="0"/>
        <w:ind w:left="851"/>
        <w:rPr>
          <w:szCs w:val="22"/>
          <w:lang w:val="en-US"/>
        </w:rPr>
      </w:pPr>
    </w:p>
    <w:p w14:paraId="34047031" w14:textId="77777777" w:rsidR="00586336" w:rsidRPr="00586336" w:rsidRDefault="00586336" w:rsidP="00586336">
      <w:pPr>
        <w:keepNext/>
        <w:autoSpaceDE w:val="0"/>
        <w:autoSpaceDN w:val="0"/>
        <w:adjustRightInd w:val="0"/>
        <w:ind w:left="851"/>
        <w:rPr>
          <w:szCs w:val="22"/>
          <w:lang w:val="en-US"/>
        </w:rPr>
      </w:pPr>
      <w:r w:rsidRPr="00586336">
        <w:rPr>
          <w:rStyle w:val="normaltextrun"/>
          <w:i/>
          <w:iCs/>
          <w:szCs w:val="22"/>
          <w:shd w:val="clear" w:color="auto" w:fill="FFFFFF"/>
          <w:lang w:val="en-US"/>
        </w:rPr>
        <w:t>Replacement therapy in primary immunodeficiency syndromes (as defined in 4.1)</w:t>
      </w:r>
      <w:r w:rsidRPr="00586336">
        <w:rPr>
          <w:rStyle w:val="eop"/>
          <w:szCs w:val="22"/>
          <w:shd w:val="clear" w:color="auto" w:fill="FFFFFF"/>
          <w:lang w:val="en-US"/>
        </w:rPr>
        <w:t> </w:t>
      </w:r>
    </w:p>
    <w:p w14:paraId="16BDC007" w14:textId="77777777" w:rsidR="00564539" w:rsidRPr="00564539" w:rsidRDefault="00564539" w:rsidP="00586336">
      <w:pPr>
        <w:tabs>
          <w:tab w:val="left" w:pos="851"/>
        </w:tabs>
        <w:ind w:left="851"/>
        <w:rPr>
          <w:sz w:val="24"/>
          <w:szCs w:val="24"/>
          <w:lang w:val="en-GB"/>
        </w:rPr>
      </w:pPr>
      <w:r w:rsidRPr="00564539">
        <w:rPr>
          <w:sz w:val="24"/>
          <w:szCs w:val="24"/>
          <w:lang w:val="en-GB"/>
        </w:rPr>
        <w:t>The dose regimen should achieve a trough level of IgG (measured before the next infusion) of at least 5 to 6 g/l</w:t>
      </w:r>
      <w:r w:rsidRPr="00564539">
        <w:rPr>
          <w:b/>
          <w:i/>
          <w:sz w:val="24"/>
          <w:szCs w:val="24"/>
          <w:lang w:val="en-GB"/>
        </w:rPr>
        <w:t xml:space="preserve"> </w:t>
      </w:r>
      <w:r w:rsidRPr="00564539">
        <w:rPr>
          <w:sz w:val="24"/>
          <w:szCs w:val="24"/>
          <w:lang w:val="en-GB"/>
        </w:rPr>
        <w:t>and aim to be within the reference interval of serum IgG for age. A loading dose of at least 0.2 to 0.5 g/kg (1 to 2.5 ml/kg) body weight may be required. This may need to be divided over several days, with a maximal daily dose of 0.1 to 0.15 g/kg. After steady state IgG levels have been attained, maintenance doses are administered at repeated intervals to reach a cumulative monthly dose of the order of 0.3 to 1.0 g/kg (see section 5.2 for details). Each single dose may need to be injected at different anatomic sites.</w:t>
      </w:r>
    </w:p>
    <w:p w14:paraId="087C7A2E" w14:textId="77777777" w:rsidR="00564539" w:rsidRPr="00564539" w:rsidRDefault="00564539" w:rsidP="00564539">
      <w:pPr>
        <w:tabs>
          <w:tab w:val="left" w:pos="851"/>
        </w:tabs>
        <w:ind w:left="851"/>
        <w:rPr>
          <w:sz w:val="24"/>
          <w:szCs w:val="24"/>
          <w:lang w:val="en-GB"/>
        </w:rPr>
      </w:pPr>
    </w:p>
    <w:p w14:paraId="2A67DB94" w14:textId="77777777" w:rsidR="00564539" w:rsidRPr="00564539" w:rsidRDefault="00564539" w:rsidP="00564539">
      <w:pPr>
        <w:tabs>
          <w:tab w:val="left" w:pos="851"/>
        </w:tabs>
        <w:ind w:left="851"/>
        <w:rPr>
          <w:sz w:val="24"/>
          <w:szCs w:val="24"/>
          <w:lang w:val="en-GB"/>
        </w:rPr>
      </w:pPr>
      <w:r w:rsidRPr="00564539">
        <w:rPr>
          <w:sz w:val="24"/>
          <w:szCs w:val="24"/>
          <w:lang w:val="en-GB"/>
        </w:rPr>
        <w:t>Trough levels should be measured and assessed in conjunction with the incidence of infection. To reduce the rate of infection, it may be necessary to increase the dose and aim for higher trough levels.</w:t>
      </w:r>
    </w:p>
    <w:p w14:paraId="6D5F7E53" w14:textId="71EA1A6B" w:rsidR="00564539" w:rsidRDefault="00564539" w:rsidP="00564539">
      <w:pPr>
        <w:tabs>
          <w:tab w:val="left" w:pos="851"/>
        </w:tabs>
        <w:ind w:left="851"/>
        <w:rPr>
          <w:sz w:val="24"/>
          <w:szCs w:val="24"/>
          <w:lang w:val="en-GB"/>
        </w:rPr>
      </w:pPr>
    </w:p>
    <w:p w14:paraId="21B0EB6E" w14:textId="77777777" w:rsidR="00586336" w:rsidRPr="00586336" w:rsidRDefault="00586336" w:rsidP="00586336">
      <w:pPr>
        <w:autoSpaceDE w:val="0"/>
        <w:autoSpaceDN w:val="0"/>
        <w:adjustRightInd w:val="0"/>
        <w:ind w:left="851"/>
        <w:rPr>
          <w:i/>
          <w:iCs/>
          <w:szCs w:val="22"/>
          <w:lang w:val="en-US"/>
        </w:rPr>
      </w:pPr>
      <w:r w:rsidRPr="00586336">
        <w:rPr>
          <w:i/>
          <w:iCs/>
          <w:szCs w:val="22"/>
          <w:lang w:val="en-US"/>
        </w:rPr>
        <w:t>Replacement therapy in secondary immunodeficiencies (as defined in 4.1)</w:t>
      </w:r>
    </w:p>
    <w:p w14:paraId="1B44915D" w14:textId="77777777" w:rsidR="00586336" w:rsidRPr="00586336" w:rsidRDefault="00586336" w:rsidP="00586336">
      <w:pPr>
        <w:autoSpaceDE w:val="0"/>
        <w:autoSpaceDN w:val="0"/>
        <w:adjustRightInd w:val="0"/>
        <w:ind w:left="851"/>
        <w:rPr>
          <w:szCs w:val="22"/>
          <w:lang w:val="en-US"/>
        </w:rPr>
      </w:pPr>
      <w:r w:rsidRPr="00586336">
        <w:rPr>
          <w:szCs w:val="22"/>
          <w:lang w:val="en-US"/>
        </w:rPr>
        <w:t>The recommended dose administered at repeated intervals is to reach a cumulative monthly dose to the order of 0.2-0.4 g/kg. Each single dose may need to be injected at different anatomic sites.</w:t>
      </w:r>
    </w:p>
    <w:p w14:paraId="30894B51" w14:textId="77777777" w:rsidR="00586336" w:rsidRPr="00586336" w:rsidRDefault="00586336" w:rsidP="00586336">
      <w:pPr>
        <w:autoSpaceDE w:val="0"/>
        <w:autoSpaceDN w:val="0"/>
        <w:adjustRightInd w:val="0"/>
        <w:ind w:left="851"/>
        <w:rPr>
          <w:szCs w:val="22"/>
          <w:lang w:val="en-US"/>
        </w:rPr>
      </w:pPr>
    </w:p>
    <w:p w14:paraId="14BBBBB3" w14:textId="4BE1C9A0" w:rsidR="00586336" w:rsidRPr="00586336" w:rsidRDefault="00586336" w:rsidP="00586336">
      <w:pPr>
        <w:autoSpaceDE w:val="0"/>
        <w:autoSpaceDN w:val="0"/>
        <w:adjustRightInd w:val="0"/>
        <w:ind w:left="851"/>
        <w:rPr>
          <w:szCs w:val="22"/>
          <w:lang w:val="en-US"/>
        </w:rPr>
      </w:pPr>
      <w:r w:rsidRPr="00586336">
        <w:rPr>
          <w:szCs w:val="22"/>
          <w:lang w:val="en-US"/>
        </w:rPr>
        <w:t xml:space="preserve">IgG trough levels should be measured and assessed in conjunction with the incidence of infection. Dose should be adjusted as necessary to achieve optimal protection against </w:t>
      </w:r>
      <w:proofErr w:type="gramStart"/>
      <w:r w:rsidRPr="00586336">
        <w:rPr>
          <w:szCs w:val="22"/>
          <w:lang w:val="en-US"/>
        </w:rPr>
        <w:lastRenderedPageBreak/>
        <w:t>infections,</w:t>
      </w:r>
      <w:proofErr w:type="gramEnd"/>
      <w:r w:rsidRPr="00586336">
        <w:rPr>
          <w:szCs w:val="22"/>
          <w:lang w:val="en-US"/>
        </w:rPr>
        <w:t xml:space="preserve"> an increase may be necessary in patients with persisting infection; a dose decrease can be considered when the patient remains infection-free.</w:t>
      </w:r>
    </w:p>
    <w:p w14:paraId="69489CB6" w14:textId="77777777" w:rsidR="00586336" w:rsidRPr="00564539" w:rsidRDefault="00586336" w:rsidP="00586336">
      <w:pPr>
        <w:tabs>
          <w:tab w:val="left" w:pos="851"/>
        </w:tabs>
        <w:rPr>
          <w:sz w:val="24"/>
          <w:szCs w:val="24"/>
          <w:lang w:val="en-GB"/>
        </w:rPr>
      </w:pPr>
    </w:p>
    <w:p w14:paraId="037E33E3" w14:textId="77777777" w:rsidR="00564539" w:rsidRPr="00564539" w:rsidRDefault="00564539" w:rsidP="00564539">
      <w:pPr>
        <w:tabs>
          <w:tab w:val="left" w:pos="851"/>
        </w:tabs>
        <w:ind w:left="851"/>
        <w:rPr>
          <w:sz w:val="24"/>
          <w:szCs w:val="24"/>
          <w:lang w:val="en-GB"/>
        </w:rPr>
      </w:pPr>
      <w:r w:rsidRPr="00564539">
        <w:rPr>
          <w:bCs/>
          <w:i/>
          <w:iCs/>
          <w:sz w:val="24"/>
          <w:szCs w:val="24"/>
          <w:lang w:val="en-GB"/>
        </w:rPr>
        <w:t>Paediatric population</w:t>
      </w:r>
    </w:p>
    <w:p w14:paraId="5FE582AC" w14:textId="2BDB0A0B" w:rsidR="00564539" w:rsidRPr="00564539" w:rsidRDefault="00564539" w:rsidP="00564539">
      <w:pPr>
        <w:tabs>
          <w:tab w:val="left" w:pos="851"/>
        </w:tabs>
        <w:ind w:left="851"/>
        <w:rPr>
          <w:sz w:val="24"/>
          <w:szCs w:val="24"/>
          <w:lang w:val="en-GB"/>
        </w:rPr>
      </w:pPr>
      <w:r w:rsidRPr="00564539">
        <w:rPr>
          <w:sz w:val="24"/>
          <w:szCs w:val="24"/>
          <w:lang w:val="en-GB"/>
        </w:rPr>
        <w:t>The posology in children and adolescents (0</w:t>
      </w:r>
      <w:r w:rsidRPr="00564539">
        <w:rPr>
          <w:sz w:val="24"/>
          <w:szCs w:val="24"/>
          <w:lang w:val="en-GB"/>
        </w:rPr>
        <w:noBreakHyphen/>
        <w:t>18 years) is not different to that of adults as the posology for each indication is given by body weight and adjusted to the clinical outcome of the </w:t>
      </w:r>
      <w:r w:rsidR="00586336" w:rsidRPr="00564539">
        <w:rPr>
          <w:sz w:val="24"/>
          <w:szCs w:val="24"/>
          <w:lang w:val="en-GB"/>
        </w:rPr>
        <w:t>above-mentioned</w:t>
      </w:r>
      <w:r w:rsidRPr="00564539">
        <w:rPr>
          <w:sz w:val="24"/>
          <w:szCs w:val="24"/>
          <w:lang w:val="en-GB"/>
        </w:rPr>
        <w:t xml:space="preserve"> indications.</w:t>
      </w:r>
    </w:p>
    <w:p w14:paraId="02D2E079" w14:textId="77777777" w:rsidR="00564539" w:rsidRPr="00564539" w:rsidRDefault="00564539" w:rsidP="00564539">
      <w:pPr>
        <w:tabs>
          <w:tab w:val="left" w:pos="851"/>
        </w:tabs>
        <w:ind w:left="851"/>
        <w:rPr>
          <w:sz w:val="24"/>
          <w:szCs w:val="24"/>
          <w:lang w:val="en-GB"/>
        </w:rPr>
      </w:pPr>
      <w:r w:rsidRPr="00564539">
        <w:rPr>
          <w:sz w:val="24"/>
          <w:szCs w:val="24"/>
          <w:lang w:val="en-GB"/>
        </w:rPr>
        <w:t xml:space="preserve">No clinical trials have been conducted with </w:t>
      </w:r>
      <w:proofErr w:type="spellStart"/>
      <w:r w:rsidRPr="00564539">
        <w:rPr>
          <w:sz w:val="24"/>
          <w:szCs w:val="24"/>
          <w:lang w:val="en-GB"/>
        </w:rPr>
        <w:t>Cuvitru</w:t>
      </w:r>
      <w:proofErr w:type="spellEnd"/>
      <w:r w:rsidRPr="00564539">
        <w:rPr>
          <w:sz w:val="24"/>
          <w:szCs w:val="24"/>
          <w:lang w:val="en-GB"/>
        </w:rPr>
        <w:t xml:space="preserve"> in children at age 0-&lt; 2 years, but experience with immunoglobulins suggests that no harmful effects on treatment of children at age 0-&lt; 2 years with </w:t>
      </w:r>
      <w:proofErr w:type="spellStart"/>
      <w:r w:rsidRPr="00564539">
        <w:rPr>
          <w:sz w:val="24"/>
          <w:szCs w:val="24"/>
          <w:lang w:val="en-GB"/>
        </w:rPr>
        <w:t>Cuvitru</w:t>
      </w:r>
      <w:proofErr w:type="spellEnd"/>
      <w:r w:rsidRPr="00564539">
        <w:rPr>
          <w:sz w:val="24"/>
          <w:szCs w:val="24"/>
          <w:lang w:val="en-GB"/>
        </w:rPr>
        <w:t xml:space="preserve"> are to be expected.</w:t>
      </w:r>
    </w:p>
    <w:p w14:paraId="6EFA2938" w14:textId="77777777" w:rsidR="00564539" w:rsidRPr="00564539" w:rsidRDefault="00564539" w:rsidP="00564539">
      <w:pPr>
        <w:tabs>
          <w:tab w:val="left" w:pos="851"/>
        </w:tabs>
        <w:ind w:left="851"/>
        <w:rPr>
          <w:sz w:val="24"/>
          <w:szCs w:val="24"/>
          <w:lang w:val="en-GB"/>
        </w:rPr>
      </w:pPr>
    </w:p>
    <w:p w14:paraId="0E0C2A15" w14:textId="77777777" w:rsidR="00564539" w:rsidRPr="00564539" w:rsidRDefault="00564539" w:rsidP="00564539">
      <w:pPr>
        <w:tabs>
          <w:tab w:val="left" w:pos="851"/>
        </w:tabs>
        <w:ind w:left="851"/>
        <w:rPr>
          <w:sz w:val="24"/>
          <w:szCs w:val="24"/>
          <w:u w:val="single"/>
          <w:lang w:val="en-GB"/>
        </w:rPr>
      </w:pPr>
      <w:r w:rsidRPr="00564539">
        <w:rPr>
          <w:sz w:val="24"/>
          <w:szCs w:val="24"/>
          <w:u w:val="single"/>
          <w:lang w:val="en-GB"/>
        </w:rPr>
        <w:t xml:space="preserve">Method of administration </w:t>
      </w:r>
    </w:p>
    <w:p w14:paraId="23276604" w14:textId="77777777" w:rsidR="00564539" w:rsidRPr="00564539" w:rsidRDefault="00564539" w:rsidP="00564539">
      <w:pPr>
        <w:tabs>
          <w:tab w:val="left" w:pos="851"/>
        </w:tabs>
        <w:ind w:left="851"/>
        <w:rPr>
          <w:sz w:val="24"/>
          <w:szCs w:val="24"/>
          <w:lang w:val="en-GB"/>
        </w:rPr>
      </w:pPr>
      <w:r w:rsidRPr="00564539">
        <w:rPr>
          <w:sz w:val="24"/>
          <w:szCs w:val="24"/>
          <w:lang w:val="en-GB"/>
        </w:rPr>
        <w:t>For subcutaneous use only.</w:t>
      </w:r>
    </w:p>
    <w:p w14:paraId="3981729B" w14:textId="77777777" w:rsidR="00564539" w:rsidRPr="00564539" w:rsidRDefault="00564539" w:rsidP="00564539">
      <w:pPr>
        <w:tabs>
          <w:tab w:val="left" w:pos="851"/>
        </w:tabs>
        <w:ind w:left="851"/>
        <w:rPr>
          <w:sz w:val="24"/>
          <w:szCs w:val="24"/>
          <w:lang w:val="en-GB"/>
        </w:rPr>
      </w:pPr>
    </w:p>
    <w:p w14:paraId="36168544" w14:textId="77777777" w:rsidR="00564539" w:rsidRPr="00564539" w:rsidRDefault="00564539" w:rsidP="00564539">
      <w:pPr>
        <w:tabs>
          <w:tab w:val="left" w:pos="851"/>
        </w:tabs>
        <w:ind w:left="851"/>
        <w:rPr>
          <w:sz w:val="24"/>
          <w:szCs w:val="24"/>
          <w:lang w:val="en-GB"/>
        </w:rPr>
      </w:pPr>
      <w:proofErr w:type="spellStart"/>
      <w:r w:rsidRPr="00564539">
        <w:rPr>
          <w:sz w:val="24"/>
          <w:szCs w:val="24"/>
          <w:lang w:val="en-GB"/>
        </w:rPr>
        <w:t>Cuvitru</w:t>
      </w:r>
      <w:proofErr w:type="spellEnd"/>
      <w:r w:rsidRPr="00564539">
        <w:rPr>
          <w:sz w:val="24"/>
          <w:szCs w:val="24"/>
          <w:lang w:val="en-GB"/>
        </w:rPr>
        <w:t xml:space="preserve"> should be inspected visually for particulate matter and discoloration prior to administration. Do not use if particulate matter and/or discoloration is observed.</w:t>
      </w:r>
    </w:p>
    <w:p w14:paraId="19035D31" w14:textId="77777777" w:rsidR="00564539" w:rsidRPr="00564539" w:rsidRDefault="00564539" w:rsidP="00564539">
      <w:pPr>
        <w:tabs>
          <w:tab w:val="left" w:pos="851"/>
        </w:tabs>
        <w:ind w:left="851"/>
        <w:rPr>
          <w:sz w:val="24"/>
          <w:szCs w:val="24"/>
          <w:lang w:val="en-GB"/>
        </w:rPr>
      </w:pPr>
    </w:p>
    <w:p w14:paraId="311AF253" w14:textId="77777777" w:rsidR="00564539" w:rsidRPr="00564539" w:rsidRDefault="00564539" w:rsidP="00564539">
      <w:pPr>
        <w:tabs>
          <w:tab w:val="left" w:pos="851"/>
        </w:tabs>
        <w:ind w:left="851"/>
        <w:rPr>
          <w:sz w:val="24"/>
          <w:szCs w:val="24"/>
          <w:lang w:val="en-GB"/>
        </w:rPr>
      </w:pPr>
      <w:r w:rsidRPr="00564539">
        <w:rPr>
          <w:sz w:val="24"/>
          <w:szCs w:val="24"/>
          <w:lang w:val="en-GB"/>
        </w:rPr>
        <w:t xml:space="preserve">The infusion must be started immediately upon transfer of </w:t>
      </w:r>
      <w:proofErr w:type="spellStart"/>
      <w:r w:rsidRPr="00564539">
        <w:rPr>
          <w:sz w:val="24"/>
          <w:szCs w:val="24"/>
          <w:lang w:val="en-GB"/>
        </w:rPr>
        <w:t>Cuvitru</w:t>
      </w:r>
      <w:proofErr w:type="spellEnd"/>
      <w:r w:rsidRPr="00564539">
        <w:rPr>
          <w:sz w:val="24"/>
          <w:szCs w:val="24"/>
          <w:lang w:val="en-GB"/>
        </w:rPr>
        <w:t xml:space="preserve"> into the syringe. The administration is foreseen to take up to two hours. Should an administration shorter than two hours not be possible due to required dose or administration rate of </w:t>
      </w:r>
      <w:proofErr w:type="spellStart"/>
      <w:r w:rsidRPr="00564539">
        <w:rPr>
          <w:sz w:val="24"/>
          <w:szCs w:val="24"/>
          <w:lang w:val="en-GB"/>
        </w:rPr>
        <w:t>Cuvitru</w:t>
      </w:r>
      <w:proofErr w:type="spellEnd"/>
      <w:r w:rsidRPr="00564539">
        <w:rPr>
          <w:sz w:val="24"/>
          <w:szCs w:val="24"/>
          <w:lang w:val="en-GB"/>
        </w:rPr>
        <w:t xml:space="preserve">, the required dose is to be portioned and administered at different infusion sites. If </w:t>
      </w:r>
      <w:proofErr w:type="spellStart"/>
      <w:r w:rsidRPr="00564539">
        <w:rPr>
          <w:sz w:val="24"/>
          <w:szCs w:val="24"/>
          <w:lang w:val="en-GB"/>
        </w:rPr>
        <w:t>Cuvitru</w:t>
      </w:r>
      <w:proofErr w:type="spellEnd"/>
      <w:r w:rsidRPr="00564539">
        <w:rPr>
          <w:sz w:val="24"/>
          <w:szCs w:val="24"/>
          <w:lang w:val="en-GB"/>
        </w:rPr>
        <w:t xml:space="preserve"> remains in siliconized syringes for more than two hours, visible particles may form. See section 4.4 for further details.</w:t>
      </w:r>
    </w:p>
    <w:p w14:paraId="71CF259A" w14:textId="77777777" w:rsidR="00564539" w:rsidRPr="00564539" w:rsidRDefault="00564539" w:rsidP="00564539">
      <w:pPr>
        <w:tabs>
          <w:tab w:val="left" w:pos="851"/>
        </w:tabs>
        <w:ind w:left="851"/>
        <w:rPr>
          <w:sz w:val="24"/>
          <w:szCs w:val="24"/>
          <w:lang w:val="en-GB"/>
        </w:rPr>
      </w:pPr>
    </w:p>
    <w:p w14:paraId="32E281C7" w14:textId="77777777" w:rsidR="00564539" w:rsidRPr="00564539" w:rsidRDefault="00564539" w:rsidP="00564539">
      <w:pPr>
        <w:tabs>
          <w:tab w:val="left" w:pos="851"/>
        </w:tabs>
        <w:ind w:left="851"/>
        <w:rPr>
          <w:sz w:val="24"/>
          <w:szCs w:val="24"/>
          <w:lang w:val="en-GB"/>
        </w:rPr>
      </w:pPr>
      <w:proofErr w:type="spellStart"/>
      <w:r w:rsidRPr="00564539">
        <w:rPr>
          <w:sz w:val="24"/>
          <w:szCs w:val="24"/>
          <w:lang w:val="en-GB"/>
        </w:rPr>
        <w:t>Cuvitru</w:t>
      </w:r>
      <w:proofErr w:type="spellEnd"/>
      <w:r w:rsidRPr="00564539">
        <w:rPr>
          <w:sz w:val="24"/>
          <w:szCs w:val="24"/>
          <w:lang w:val="en-GB"/>
        </w:rPr>
        <w:t xml:space="preserve"> must not be diluted.</w:t>
      </w:r>
    </w:p>
    <w:p w14:paraId="36997A72" w14:textId="77777777" w:rsidR="00564539" w:rsidRPr="00564539" w:rsidRDefault="00564539" w:rsidP="00564539">
      <w:pPr>
        <w:tabs>
          <w:tab w:val="left" w:pos="851"/>
        </w:tabs>
        <w:ind w:left="851"/>
        <w:rPr>
          <w:sz w:val="24"/>
          <w:szCs w:val="24"/>
          <w:lang w:val="en-GB"/>
        </w:rPr>
      </w:pPr>
    </w:p>
    <w:p w14:paraId="38FB485F" w14:textId="3E945E50" w:rsidR="00564539" w:rsidRPr="00564539" w:rsidRDefault="00564539" w:rsidP="00564539">
      <w:pPr>
        <w:tabs>
          <w:tab w:val="left" w:pos="851"/>
        </w:tabs>
        <w:ind w:left="851"/>
        <w:rPr>
          <w:sz w:val="24"/>
          <w:szCs w:val="24"/>
          <w:lang w:val="en-GB"/>
        </w:rPr>
      </w:pPr>
      <w:r w:rsidRPr="00564539">
        <w:rPr>
          <w:sz w:val="24"/>
          <w:szCs w:val="24"/>
          <w:lang w:val="en-GB"/>
        </w:rPr>
        <w:t>Subcutaneous infusion for home treatment should be initiated and monitored by a physician experienced in the guidance of patients for home treatment. Infusion pumps or manual administration using a syringe appropriate for subcutaneous administration of immunoglobulins may be used. The patient or caregiver must be instructed in the use of a syringe driver (device-assisted) or a syringe (manual administration), the infusion techniques, the keeping of treatment diary, recognition of and measures to be taken in case of severe adverse reactions, see section 4.4.</w:t>
      </w:r>
    </w:p>
    <w:p w14:paraId="1B144000" w14:textId="77777777" w:rsidR="00564539" w:rsidRPr="00564539" w:rsidRDefault="00564539" w:rsidP="00564539">
      <w:pPr>
        <w:tabs>
          <w:tab w:val="left" w:pos="851"/>
        </w:tabs>
        <w:ind w:left="851"/>
        <w:rPr>
          <w:sz w:val="24"/>
          <w:szCs w:val="24"/>
          <w:lang w:val="en-GB"/>
        </w:rPr>
      </w:pPr>
    </w:p>
    <w:p w14:paraId="72E81185" w14:textId="77777777" w:rsidR="00564539" w:rsidRPr="00564539" w:rsidRDefault="00564539" w:rsidP="00564539">
      <w:pPr>
        <w:tabs>
          <w:tab w:val="left" w:pos="851"/>
        </w:tabs>
        <w:ind w:left="851"/>
        <w:rPr>
          <w:sz w:val="24"/>
          <w:szCs w:val="24"/>
          <w:lang w:val="en-GB"/>
        </w:rPr>
      </w:pPr>
      <w:proofErr w:type="spellStart"/>
      <w:r w:rsidRPr="00564539">
        <w:rPr>
          <w:sz w:val="24"/>
          <w:szCs w:val="24"/>
          <w:lang w:val="en-GB"/>
        </w:rPr>
        <w:t>Cuvitru</w:t>
      </w:r>
      <w:proofErr w:type="spellEnd"/>
      <w:r w:rsidRPr="00564539">
        <w:rPr>
          <w:sz w:val="24"/>
          <w:szCs w:val="24"/>
          <w:lang w:val="en-GB"/>
        </w:rPr>
        <w:t xml:space="preserve"> may be injected into sites such as abdomen, thigh, upper arm, and lateral hip. </w:t>
      </w:r>
    </w:p>
    <w:p w14:paraId="4BF50D22" w14:textId="77777777" w:rsidR="00564539" w:rsidRPr="00564539" w:rsidRDefault="00564539" w:rsidP="00564539">
      <w:pPr>
        <w:tabs>
          <w:tab w:val="left" w:pos="851"/>
        </w:tabs>
        <w:ind w:left="851"/>
        <w:rPr>
          <w:sz w:val="24"/>
          <w:szCs w:val="24"/>
          <w:lang w:val="en-GB"/>
        </w:rPr>
      </w:pPr>
      <w:r w:rsidRPr="00564539">
        <w:rPr>
          <w:sz w:val="24"/>
          <w:szCs w:val="24"/>
          <w:lang w:val="en-GB"/>
        </w:rPr>
        <w:t xml:space="preserve">Adjustment of the infusion rate and infusion volume per site is based on subject tolerability. </w:t>
      </w:r>
    </w:p>
    <w:p w14:paraId="1305A7E6" w14:textId="77777777" w:rsidR="00564539" w:rsidRPr="00564539" w:rsidRDefault="00564539" w:rsidP="00564539">
      <w:pPr>
        <w:tabs>
          <w:tab w:val="left" w:pos="851"/>
        </w:tabs>
        <w:ind w:left="851"/>
        <w:rPr>
          <w:sz w:val="24"/>
          <w:szCs w:val="24"/>
          <w:lang w:val="en-GB"/>
        </w:rPr>
      </w:pPr>
    </w:p>
    <w:p w14:paraId="5B06CE29" w14:textId="77777777" w:rsidR="00564539" w:rsidRPr="00564539" w:rsidRDefault="00564539" w:rsidP="00564539">
      <w:pPr>
        <w:tabs>
          <w:tab w:val="left" w:pos="851"/>
        </w:tabs>
        <w:ind w:left="851"/>
        <w:rPr>
          <w:sz w:val="24"/>
          <w:szCs w:val="24"/>
          <w:lang w:val="en-GB"/>
        </w:rPr>
      </w:pPr>
      <w:r w:rsidRPr="00564539">
        <w:rPr>
          <w:sz w:val="24"/>
          <w:szCs w:val="24"/>
          <w:u w:val="single"/>
          <w:lang w:val="en-GB"/>
        </w:rPr>
        <w:t>Infusion rate</w:t>
      </w:r>
      <w:r w:rsidRPr="00564539">
        <w:rPr>
          <w:sz w:val="24"/>
          <w:szCs w:val="24"/>
          <w:lang w:val="en-GB"/>
        </w:rPr>
        <w:t xml:space="preserve"> </w:t>
      </w:r>
    </w:p>
    <w:p w14:paraId="774D12A2" w14:textId="77777777" w:rsidR="00564539" w:rsidRPr="00564539" w:rsidRDefault="00564539" w:rsidP="00564539">
      <w:pPr>
        <w:tabs>
          <w:tab w:val="left" w:pos="851"/>
        </w:tabs>
        <w:ind w:left="851"/>
        <w:rPr>
          <w:sz w:val="24"/>
          <w:szCs w:val="24"/>
          <w:lang w:val="en-GB"/>
        </w:rPr>
      </w:pPr>
      <w:proofErr w:type="spellStart"/>
      <w:r w:rsidRPr="00564539">
        <w:rPr>
          <w:sz w:val="24"/>
          <w:szCs w:val="24"/>
          <w:lang w:val="en-GB"/>
        </w:rPr>
        <w:t>Cuvitru</w:t>
      </w:r>
      <w:proofErr w:type="spellEnd"/>
      <w:r w:rsidRPr="00564539">
        <w:rPr>
          <w:sz w:val="24"/>
          <w:szCs w:val="24"/>
          <w:lang w:val="en-GB"/>
        </w:rPr>
        <w:t xml:space="preserve"> can be infused using:</w:t>
      </w:r>
    </w:p>
    <w:p w14:paraId="62D0C477" w14:textId="77777777" w:rsidR="00564539" w:rsidRPr="00564539" w:rsidRDefault="00564539" w:rsidP="00420B6E">
      <w:pPr>
        <w:numPr>
          <w:ilvl w:val="0"/>
          <w:numId w:val="6"/>
        </w:numPr>
        <w:tabs>
          <w:tab w:val="left" w:pos="851"/>
        </w:tabs>
        <w:ind w:left="1134" w:hanging="283"/>
        <w:rPr>
          <w:sz w:val="24"/>
          <w:szCs w:val="24"/>
          <w:lang w:val="en-GB"/>
        </w:rPr>
      </w:pPr>
      <w:r w:rsidRPr="00564539">
        <w:rPr>
          <w:sz w:val="24"/>
          <w:szCs w:val="24"/>
          <w:lang w:val="en-GB"/>
        </w:rPr>
        <w:t>an infusion device, or</w:t>
      </w:r>
    </w:p>
    <w:p w14:paraId="7E0DED8E" w14:textId="77777777" w:rsidR="00564539" w:rsidRPr="00564539" w:rsidRDefault="00564539" w:rsidP="00420B6E">
      <w:pPr>
        <w:numPr>
          <w:ilvl w:val="0"/>
          <w:numId w:val="6"/>
        </w:numPr>
        <w:tabs>
          <w:tab w:val="left" w:pos="851"/>
        </w:tabs>
        <w:ind w:left="1134" w:hanging="283"/>
        <w:rPr>
          <w:sz w:val="24"/>
          <w:szCs w:val="24"/>
          <w:lang w:val="en-GB"/>
        </w:rPr>
      </w:pPr>
      <w:r w:rsidRPr="00564539">
        <w:rPr>
          <w:sz w:val="24"/>
          <w:szCs w:val="24"/>
          <w:lang w:val="en-GB"/>
        </w:rPr>
        <w:t>by manual administration using a syringe.</w:t>
      </w:r>
    </w:p>
    <w:p w14:paraId="775F691A" w14:textId="77777777" w:rsidR="00564539" w:rsidRPr="00564539" w:rsidRDefault="00564539" w:rsidP="00564539">
      <w:pPr>
        <w:tabs>
          <w:tab w:val="left" w:pos="851"/>
        </w:tabs>
        <w:ind w:left="851"/>
        <w:rPr>
          <w:sz w:val="24"/>
          <w:szCs w:val="24"/>
          <w:lang w:val="en-GB"/>
        </w:rPr>
      </w:pPr>
    </w:p>
    <w:p w14:paraId="225008DA" w14:textId="77777777" w:rsidR="00564539" w:rsidRPr="00564539" w:rsidRDefault="00564539" w:rsidP="00564539">
      <w:pPr>
        <w:tabs>
          <w:tab w:val="left" w:pos="851"/>
        </w:tabs>
        <w:ind w:left="851"/>
        <w:rPr>
          <w:sz w:val="24"/>
          <w:szCs w:val="24"/>
          <w:lang w:val="en-GB"/>
        </w:rPr>
      </w:pPr>
      <w:r w:rsidRPr="00564539">
        <w:rPr>
          <w:sz w:val="24"/>
          <w:szCs w:val="24"/>
          <w:lang w:val="en-GB"/>
        </w:rPr>
        <w:t>The recommended initial infusion rate depends on the individual patient’s needs. An increase in the infusion rate of successive infusions may be considered at the discretion of the patient and based on the healthcare professionals’ judgement.</w:t>
      </w:r>
    </w:p>
    <w:p w14:paraId="73705727" w14:textId="77777777" w:rsidR="00564539" w:rsidRPr="00564539" w:rsidRDefault="00564539" w:rsidP="00564539">
      <w:pPr>
        <w:tabs>
          <w:tab w:val="left" w:pos="851"/>
        </w:tabs>
        <w:ind w:left="851"/>
        <w:rPr>
          <w:sz w:val="24"/>
          <w:szCs w:val="24"/>
          <w:lang w:val="en-GB"/>
        </w:rPr>
      </w:pPr>
    </w:p>
    <w:p w14:paraId="38000604" w14:textId="4C129421" w:rsidR="00564539" w:rsidRPr="00564539" w:rsidRDefault="00564539" w:rsidP="00564539">
      <w:pPr>
        <w:tabs>
          <w:tab w:val="left" w:pos="851"/>
        </w:tabs>
        <w:ind w:left="851"/>
        <w:rPr>
          <w:sz w:val="24"/>
          <w:szCs w:val="24"/>
          <w:lang w:val="en-GB"/>
        </w:rPr>
      </w:pPr>
      <w:r w:rsidRPr="00564539">
        <w:rPr>
          <w:i/>
          <w:iCs/>
          <w:sz w:val="24"/>
          <w:szCs w:val="24"/>
          <w:lang w:val="en-GB"/>
        </w:rPr>
        <w:t>Device-assisted infusion</w:t>
      </w:r>
    </w:p>
    <w:p w14:paraId="73F3A94E" w14:textId="77777777" w:rsidR="00564539" w:rsidRPr="00564539" w:rsidRDefault="00564539" w:rsidP="00564539">
      <w:pPr>
        <w:tabs>
          <w:tab w:val="left" w:pos="851"/>
        </w:tabs>
        <w:ind w:left="851"/>
        <w:rPr>
          <w:sz w:val="24"/>
          <w:szCs w:val="24"/>
          <w:lang w:val="en-GB"/>
        </w:rPr>
      </w:pPr>
      <w:r w:rsidRPr="00564539">
        <w:rPr>
          <w:sz w:val="24"/>
          <w:szCs w:val="24"/>
          <w:lang w:val="en-GB"/>
        </w:rPr>
        <w:t xml:space="preserve">It is recommended to use an initial administration speed of 10 ml/h/infusion site. If well tolerated (see section 4.4), the rate of administration may be increased at intervals of at </w:t>
      </w:r>
      <w:r w:rsidRPr="00564539">
        <w:rPr>
          <w:sz w:val="24"/>
          <w:szCs w:val="24"/>
          <w:lang w:val="en-GB"/>
        </w:rPr>
        <w:lastRenderedPageBreak/>
        <w:t>least 10 minutes to a maximum of 20 ml/h/infusion site for the initial two infusions. For further infusions, the infusion rate may be increased as tolerated.</w:t>
      </w:r>
    </w:p>
    <w:p w14:paraId="65B31E14" w14:textId="77777777" w:rsidR="00564539" w:rsidRPr="00564539" w:rsidRDefault="00564539" w:rsidP="00564539">
      <w:pPr>
        <w:tabs>
          <w:tab w:val="left" w:pos="851"/>
        </w:tabs>
        <w:ind w:left="851"/>
        <w:rPr>
          <w:sz w:val="24"/>
          <w:szCs w:val="24"/>
          <w:lang w:val="en-GB"/>
        </w:rPr>
      </w:pPr>
    </w:p>
    <w:p w14:paraId="2395D223" w14:textId="77777777" w:rsidR="00564539" w:rsidRPr="00564539" w:rsidRDefault="00564539" w:rsidP="00564539">
      <w:pPr>
        <w:tabs>
          <w:tab w:val="left" w:pos="851"/>
        </w:tabs>
        <w:ind w:left="851"/>
        <w:rPr>
          <w:sz w:val="24"/>
          <w:szCs w:val="24"/>
          <w:lang w:val="en-GB"/>
        </w:rPr>
      </w:pPr>
      <w:r w:rsidRPr="00564539">
        <w:rPr>
          <w:sz w:val="24"/>
          <w:szCs w:val="24"/>
          <w:lang w:val="en-GB"/>
        </w:rPr>
        <w:t xml:space="preserve">More than one pump can be used </w:t>
      </w:r>
      <w:bookmarkStart w:id="1" w:name="_Hlk101418051"/>
      <w:r w:rsidRPr="00564539">
        <w:rPr>
          <w:sz w:val="24"/>
          <w:szCs w:val="24"/>
          <w:lang w:val="en-GB"/>
        </w:rPr>
        <w:t xml:space="preserve">simultaneously. </w:t>
      </w:r>
      <w:bookmarkEnd w:id="1"/>
      <w:r w:rsidRPr="00564539">
        <w:rPr>
          <w:sz w:val="24"/>
          <w:szCs w:val="24"/>
          <w:lang w:val="en-GB"/>
        </w:rPr>
        <w:t xml:space="preserve">The amount of product infused into a particular site varies. In infants and children, infusion site may be changed every 5-15 ml. In </w:t>
      </w:r>
      <w:proofErr w:type="gramStart"/>
      <w:r w:rsidRPr="00564539">
        <w:rPr>
          <w:sz w:val="24"/>
          <w:szCs w:val="24"/>
          <w:lang w:val="en-GB"/>
        </w:rPr>
        <w:t>adults</w:t>
      </w:r>
      <w:proofErr w:type="gramEnd"/>
      <w:r w:rsidRPr="00564539">
        <w:rPr>
          <w:sz w:val="24"/>
          <w:szCs w:val="24"/>
          <w:lang w:val="en-GB"/>
        </w:rPr>
        <w:t xml:space="preserve"> doses over 30 ml may be divided according to patient preference. There is no limit to the number of infusion sites. </w:t>
      </w:r>
    </w:p>
    <w:p w14:paraId="5A80984D" w14:textId="77777777" w:rsidR="00564539" w:rsidRPr="00564539" w:rsidRDefault="00564539" w:rsidP="00564539">
      <w:pPr>
        <w:tabs>
          <w:tab w:val="left" w:pos="851"/>
        </w:tabs>
        <w:ind w:left="851"/>
        <w:rPr>
          <w:bCs/>
          <w:sz w:val="24"/>
          <w:szCs w:val="24"/>
          <w:lang w:val="en-GB"/>
        </w:rPr>
      </w:pPr>
    </w:p>
    <w:p w14:paraId="79EEE076" w14:textId="7337E2D5" w:rsidR="00564539" w:rsidRPr="00564539" w:rsidRDefault="00564539" w:rsidP="00564539">
      <w:pPr>
        <w:tabs>
          <w:tab w:val="left" w:pos="851"/>
        </w:tabs>
        <w:ind w:left="851"/>
        <w:rPr>
          <w:i/>
          <w:iCs/>
          <w:sz w:val="24"/>
          <w:szCs w:val="24"/>
          <w:lang w:val="en-GB"/>
        </w:rPr>
      </w:pPr>
      <w:r w:rsidRPr="00564539">
        <w:rPr>
          <w:i/>
          <w:iCs/>
          <w:sz w:val="24"/>
          <w:szCs w:val="24"/>
          <w:lang w:val="en-GB"/>
        </w:rPr>
        <w:t>Manual administration infusion</w:t>
      </w:r>
    </w:p>
    <w:p w14:paraId="5C26173C" w14:textId="77777777" w:rsidR="00564539" w:rsidRPr="00564539" w:rsidRDefault="00564539" w:rsidP="00564539">
      <w:pPr>
        <w:tabs>
          <w:tab w:val="left" w:pos="851"/>
        </w:tabs>
        <w:ind w:left="851"/>
        <w:rPr>
          <w:sz w:val="24"/>
          <w:szCs w:val="24"/>
          <w:lang w:val="en-GB"/>
        </w:rPr>
      </w:pPr>
      <w:proofErr w:type="spellStart"/>
      <w:r w:rsidRPr="00564539">
        <w:rPr>
          <w:sz w:val="24"/>
          <w:szCs w:val="24"/>
          <w:lang w:val="en-GB"/>
        </w:rPr>
        <w:t>Cuvitru</w:t>
      </w:r>
      <w:proofErr w:type="spellEnd"/>
      <w:r w:rsidRPr="00564539">
        <w:rPr>
          <w:sz w:val="24"/>
          <w:szCs w:val="24"/>
          <w:lang w:val="en-GB"/>
        </w:rPr>
        <w:t xml:space="preserve"> may be administered using a syringe at a single infusion site. If administration at additional sites is required, a new sterile injection needle should be used.</w:t>
      </w:r>
    </w:p>
    <w:p w14:paraId="3C56491D" w14:textId="77777777" w:rsidR="00564539" w:rsidRPr="00564539" w:rsidRDefault="00564539" w:rsidP="00564539">
      <w:pPr>
        <w:tabs>
          <w:tab w:val="left" w:pos="851"/>
        </w:tabs>
        <w:ind w:left="851"/>
        <w:rPr>
          <w:sz w:val="24"/>
          <w:szCs w:val="24"/>
          <w:lang w:val="en-GB"/>
        </w:rPr>
      </w:pPr>
    </w:p>
    <w:p w14:paraId="553FC217" w14:textId="77777777" w:rsidR="00564539" w:rsidRPr="00564539" w:rsidRDefault="00564539" w:rsidP="00564539">
      <w:pPr>
        <w:tabs>
          <w:tab w:val="left" w:pos="851"/>
        </w:tabs>
        <w:ind w:left="851"/>
        <w:rPr>
          <w:sz w:val="24"/>
          <w:szCs w:val="24"/>
          <w:lang w:val="en-GB"/>
        </w:rPr>
      </w:pPr>
      <w:r w:rsidRPr="00564539">
        <w:rPr>
          <w:sz w:val="24"/>
          <w:szCs w:val="24"/>
          <w:lang w:val="en-GB"/>
        </w:rPr>
        <w:t xml:space="preserve">The proposed maximum infusion rate is approximately 1-2 ml per minute. </w:t>
      </w:r>
    </w:p>
    <w:p w14:paraId="0A05BD0F" w14:textId="45B3E2AA" w:rsidR="00564539" w:rsidRPr="00564539" w:rsidRDefault="00564539" w:rsidP="00564539">
      <w:pPr>
        <w:tabs>
          <w:tab w:val="left" w:pos="851"/>
        </w:tabs>
        <w:ind w:left="851"/>
        <w:rPr>
          <w:sz w:val="24"/>
          <w:szCs w:val="24"/>
          <w:lang w:val="en-GB"/>
        </w:rPr>
      </w:pPr>
      <w:r w:rsidRPr="00564539">
        <w:rPr>
          <w:sz w:val="24"/>
          <w:szCs w:val="24"/>
          <w:lang w:val="en-GB"/>
        </w:rPr>
        <w:t xml:space="preserve">The rate of administration should be adjusted for each patient’s local tolerance which may depend on the site of each subcutaneous </w:t>
      </w:r>
      <w:r w:rsidR="00836BC4" w:rsidRPr="00836BC4">
        <w:rPr>
          <w:lang w:val="en-US"/>
        </w:rPr>
        <w:t xml:space="preserve">infusion </w:t>
      </w:r>
      <w:r w:rsidRPr="00564539">
        <w:rPr>
          <w:sz w:val="24"/>
          <w:szCs w:val="24"/>
          <w:lang w:val="en-GB"/>
        </w:rPr>
        <w:t xml:space="preserve">and the amount of the individual patient’s subcutaneous tissue at that site.  </w:t>
      </w:r>
    </w:p>
    <w:p w14:paraId="19328D9E" w14:textId="77777777" w:rsidR="00564539" w:rsidRPr="00564539" w:rsidRDefault="00564539" w:rsidP="00564539">
      <w:pPr>
        <w:tabs>
          <w:tab w:val="left" w:pos="851"/>
        </w:tabs>
        <w:ind w:left="851"/>
        <w:rPr>
          <w:i/>
          <w:iCs/>
          <w:sz w:val="24"/>
          <w:szCs w:val="24"/>
          <w:lang w:val="en-GB"/>
        </w:rPr>
      </w:pPr>
    </w:p>
    <w:p w14:paraId="436F9D79" w14:textId="77777777" w:rsidR="00564539" w:rsidRPr="00564539" w:rsidRDefault="00564539" w:rsidP="00564539">
      <w:pPr>
        <w:tabs>
          <w:tab w:val="left" w:pos="851"/>
        </w:tabs>
        <w:ind w:left="851"/>
        <w:rPr>
          <w:sz w:val="24"/>
          <w:szCs w:val="24"/>
          <w:lang w:val="en-GB"/>
        </w:rPr>
      </w:pPr>
      <w:r w:rsidRPr="00564539">
        <w:rPr>
          <w:sz w:val="24"/>
          <w:szCs w:val="24"/>
          <w:lang w:val="en-GB"/>
        </w:rPr>
        <w:t xml:space="preserve">The amount of product infused into a particular site varies. In infants and children, infusion site may be changed every 5-15 ml. In </w:t>
      </w:r>
      <w:proofErr w:type="gramStart"/>
      <w:r w:rsidRPr="00564539">
        <w:rPr>
          <w:sz w:val="24"/>
          <w:szCs w:val="24"/>
          <w:lang w:val="en-GB"/>
        </w:rPr>
        <w:t>adults</w:t>
      </w:r>
      <w:proofErr w:type="gramEnd"/>
      <w:r w:rsidRPr="00564539">
        <w:rPr>
          <w:sz w:val="24"/>
          <w:szCs w:val="24"/>
          <w:lang w:val="en-GB"/>
        </w:rPr>
        <w:t xml:space="preserve"> doses over 30 ml may be divided according to patient preference.</w:t>
      </w:r>
    </w:p>
    <w:p w14:paraId="72DBF701" w14:textId="77777777" w:rsidR="007C5D2A" w:rsidRPr="00303008" w:rsidRDefault="007C5D2A" w:rsidP="00A85D26">
      <w:pPr>
        <w:tabs>
          <w:tab w:val="left" w:pos="851"/>
        </w:tabs>
        <w:ind w:left="851"/>
        <w:rPr>
          <w:sz w:val="24"/>
          <w:szCs w:val="24"/>
          <w:lang w:val="en-GB"/>
        </w:rPr>
      </w:pPr>
    </w:p>
    <w:p w14:paraId="7B9FCA42"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14:paraId="2D0EFB1F" w14:textId="77777777" w:rsidR="00420B6E" w:rsidRPr="00420B6E" w:rsidRDefault="00420B6E" w:rsidP="00420B6E">
      <w:pPr>
        <w:tabs>
          <w:tab w:val="left" w:pos="851"/>
        </w:tabs>
        <w:ind w:left="851"/>
        <w:rPr>
          <w:bCs/>
          <w:iCs/>
          <w:sz w:val="24"/>
          <w:szCs w:val="24"/>
          <w:lang w:val="en-GB"/>
        </w:rPr>
      </w:pPr>
      <w:r w:rsidRPr="00420B6E">
        <w:rPr>
          <w:sz w:val="24"/>
          <w:szCs w:val="24"/>
          <w:lang w:val="en-GB"/>
        </w:rPr>
        <w:t>Hypersensitivity to the active substance or to any of the excipients listed in section 6.1(see section 4.4)</w:t>
      </w:r>
      <w:r w:rsidRPr="00420B6E">
        <w:rPr>
          <w:i/>
          <w:iCs/>
          <w:sz w:val="24"/>
          <w:szCs w:val="24"/>
          <w:lang w:val="en-GB"/>
        </w:rPr>
        <w:t xml:space="preserve">. </w:t>
      </w:r>
    </w:p>
    <w:p w14:paraId="32C49334" w14:textId="77777777" w:rsidR="00420B6E" w:rsidRPr="00420B6E" w:rsidRDefault="00420B6E" w:rsidP="00420B6E">
      <w:pPr>
        <w:tabs>
          <w:tab w:val="left" w:pos="851"/>
        </w:tabs>
        <w:ind w:left="851"/>
        <w:rPr>
          <w:sz w:val="24"/>
          <w:szCs w:val="24"/>
          <w:lang w:val="en-GB"/>
        </w:rPr>
      </w:pPr>
      <w:r w:rsidRPr="00420B6E">
        <w:rPr>
          <w:sz w:val="24"/>
          <w:szCs w:val="24"/>
          <w:lang w:val="en-GB"/>
        </w:rPr>
        <w:t>Severe IgA deficiency and a history of hypersensitivity to human immunoglobulin treatment.</w:t>
      </w:r>
    </w:p>
    <w:p w14:paraId="3A4FFB8C" w14:textId="77777777" w:rsidR="00420B6E" w:rsidRPr="00420B6E" w:rsidRDefault="00420B6E" w:rsidP="00420B6E">
      <w:pPr>
        <w:tabs>
          <w:tab w:val="left" w:pos="851"/>
        </w:tabs>
        <w:ind w:left="851"/>
        <w:rPr>
          <w:sz w:val="24"/>
          <w:szCs w:val="24"/>
          <w:lang w:val="en-GB"/>
        </w:rPr>
      </w:pPr>
    </w:p>
    <w:p w14:paraId="2971F28B" w14:textId="77777777" w:rsidR="00420B6E" w:rsidRPr="00420B6E" w:rsidRDefault="00420B6E" w:rsidP="00420B6E">
      <w:pPr>
        <w:tabs>
          <w:tab w:val="left" w:pos="851"/>
        </w:tabs>
        <w:ind w:left="851"/>
        <w:rPr>
          <w:sz w:val="24"/>
          <w:szCs w:val="24"/>
          <w:lang w:val="en-GB"/>
        </w:rPr>
      </w:pPr>
      <w:proofErr w:type="spellStart"/>
      <w:r w:rsidRPr="00420B6E">
        <w:rPr>
          <w:sz w:val="24"/>
          <w:szCs w:val="24"/>
          <w:lang w:val="en-GB"/>
        </w:rPr>
        <w:t>Cuvitru</w:t>
      </w:r>
      <w:proofErr w:type="spellEnd"/>
      <w:r w:rsidRPr="00420B6E">
        <w:rPr>
          <w:sz w:val="24"/>
          <w:szCs w:val="24"/>
          <w:lang w:val="en-GB"/>
        </w:rPr>
        <w:t xml:space="preserve"> must not be given intravascularly or intramuscularly.</w:t>
      </w:r>
    </w:p>
    <w:p w14:paraId="188910CE" w14:textId="77777777" w:rsidR="007C5D2A" w:rsidRPr="00420B6E" w:rsidRDefault="007C5D2A" w:rsidP="003E0341">
      <w:pPr>
        <w:tabs>
          <w:tab w:val="left" w:pos="851"/>
        </w:tabs>
        <w:ind w:left="851"/>
        <w:rPr>
          <w:sz w:val="24"/>
          <w:szCs w:val="24"/>
          <w:lang w:val="en-GB"/>
        </w:rPr>
      </w:pPr>
    </w:p>
    <w:p w14:paraId="5D565C3E" w14:textId="77777777" w:rsidR="007C5D2A" w:rsidRPr="00303008"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14:paraId="76BB4AAD" w14:textId="77777777" w:rsidR="00035643" w:rsidRPr="00035643" w:rsidRDefault="00035643" w:rsidP="00035643">
      <w:pPr>
        <w:tabs>
          <w:tab w:val="left" w:pos="851"/>
        </w:tabs>
        <w:ind w:left="851"/>
        <w:rPr>
          <w:sz w:val="24"/>
          <w:szCs w:val="24"/>
          <w:lang w:val="en-GB"/>
        </w:rPr>
      </w:pPr>
    </w:p>
    <w:p w14:paraId="0A2CD7D2" w14:textId="77777777" w:rsidR="00035643" w:rsidRPr="00035643" w:rsidRDefault="00035643" w:rsidP="00035643">
      <w:pPr>
        <w:tabs>
          <w:tab w:val="left" w:pos="851"/>
        </w:tabs>
        <w:ind w:left="851"/>
        <w:rPr>
          <w:sz w:val="24"/>
          <w:szCs w:val="24"/>
          <w:u w:val="single"/>
          <w:lang w:val="en-US"/>
        </w:rPr>
      </w:pPr>
      <w:r w:rsidRPr="00035643">
        <w:rPr>
          <w:sz w:val="24"/>
          <w:szCs w:val="24"/>
          <w:u w:val="single"/>
          <w:lang w:val="en-US"/>
        </w:rPr>
        <w:t>Traceability</w:t>
      </w:r>
    </w:p>
    <w:p w14:paraId="09C11C4B" w14:textId="77777777" w:rsidR="00035643" w:rsidRPr="00035643" w:rsidRDefault="00035643" w:rsidP="00035643">
      <w:pPr>
        <w:tabs>
          <w:tab w:val="left" w:pos="851"/>
        </w:tabs>
        <w:ind w:left="851"/>
        <w:rPr>
          <w:sz w:val="24"/>
          <w:szCs w:val="24"/>
          <w:lang w:val="en-US"/>
        </w:rPr>
      </w:pPr>
      <w:r w:rsidRPr="00035643">
        <w:rPr>
          <w:sz w:val="24"/>
          <w:szCs w:val="24"/>
          <w:lang w:val="en-US"/>
        </w:rPr>
        <w:t>In order to improve the traceability of biological medicinal products, the name and the batch number of the administered product should be clearly recorded.</w:t>
      </w:r>
    </w:p>
    <w:p w14:paraId="506716BA" w14:textId="77777777" w:rsidR="00035643" w:rsidRPr="00035643" w:rsidRDefault="00035643" w:rsidP="00035643">
      <w:pPr>
        <w:tabs>
          <w:tab w:val="left" w:pos="851"/>
        </w:tabs>
        <w:ind w:left="851"/>
        <w:rPr>
          <w:sz w:val="24"/>
          <w:szCs w:val="24"/>
          <w:lang w:val="en-US"/>
        </w:rPr>
      </w:pPr>
    </w:p>
    <w:p w14:paraId="1DDFC13A" w14:textId="77777777" w:rsidR="00035643" w:rsidRPr="00035643" w:rsidRDefault="00035643" w:rsidP="00035643">
      <w:pPr>
        <w:tabs>
          <w:tab w:val="left" w:pos="851"/>
        </w:tabs>
        <w:ind w:left="851"/>
        <w:rPr>
          <w:sz w:val="24"/>
          <w:szCs w:val="24"/>
          <w:lang w:val="en-GB"/>
        </w:rPr>
      </w:pPr>
      <w:r w:rsidRPr="00035643">
        <w:rPr>
          <w:sz w:val="24"/>
          <w:szCs w:val="24"/>
          <w:lang w:val="en-GB"/>
        </w:rPr>
        <w:t xml:space="preserve">If </w:t>
      </w:r>
      <w:proofErr w:type="spellStart"/>
      <w:r w:rsidRPr="00035643">
        <w:rPr>
          <w:sz w:val="24"/>
          <w:szCs w:val="24"/>
          <w:lang w:val="en-GB"/>
        </w:rPr>
        <w:t>Cuvitru</w:t>
      </w:r>
      <w:proofErr w:type="spellEnd"/>
      <w:r w:rsidRPr="00035643">
        <w:rPr>
          <w:sz w:val="24"/>
          <w:szCs w:val="24"/>
          <w:lang w:val="en-GB"/>
        </w:rPr>
        <w:t xml:space="preserve"> is accidentally administered into a </w:t>
      </w:r>
      <w:proofErr w:type="gramStart"/>
      <w:r w:rsidRPr="00035643">
        <w:rPr>
          <w:sz w:val="24"/>
          <w:szCs w:val="24"/>
          <w:lang w:val="en-GB"/>
        </w:rPr>
        <w:t>blood vessel patients</w:t>
      </w:r>
      <w:proofErr w:type="gramEnd"/>
      <w:r w:rsidRPr="00035643">
        <w:rPr>
          <w:sz w:val="24"/>
          <w:szCs w:val="24"/>
          <w:lang w:val="en-GB"/>
        </w:rPr>
        <w:t xml:space="preserve"> could develop shock.</w:t>
      </w:r>
    </w:p>
    <w:p w14:paraId="2C0497E0" w14:textId="77777777" w:rsidR="00035643" w:rsidRPr="00035643" w:rsidRDefault="00035643" w:rsidP="00035643">
      <w:pPr>
        <w:tabs>
          <w:tab w:val="left" w:pos="851"/>
        </w:tabs>
        <w:ind w:left="851"/>
        <w:rPr>
          <w:sz w:val="24"/>
          <w:szCs w:val="24"/>
          <w:lang w:val="en-GB"/>
        </w:rPr>
      </w:pPr>
    </w:p>
    <w:p w14:paraId="474342FE" w14:textId="77777777" w:rsidR="00035643" w:rsidRPr="00035643" w:rsidRDefault="00035643" w:rsidP="00035643">
      <w:pPr>
        <w:tabs>
          <w:tab w:val="left" w:pos="851"/>
        </w:tabs>
        <w:ind w:left="851"/>
        <w:rPr>
          <w:sz w:val="24"/>
          <w:szCs w:val="24"/>
          <w:lang w:val="en-GB"/>
        </w:rPr>
      </w:pPr>
      <w:r w:rsidRPr="00035643">
        <w:rPr>
          <w:sz w:val="24"/>
          <w:szCs w:val="24"/>
          <w:lang w:val="en-GB"/>
        </w:rPr>
        <w:t>The recommended infusion rate and administration instructions given in section 4.2 must be closely followed. Patients must be closely monitored and carefully observed for any symptoms throughout the infusion period. If the product remains in a siliconized syringe for more than two hours, visible particles may form.</w:t>
      </w:r>
    </w:p>
    <w:p w14:paraId="7A6DE336" w14:textId="77777777" w:rsidR="00035643" w:rsidRPr="00035643" w:rsidRDefault="00035643" w:rsidP="00035643">
      <w:pPr>
        <w:tabs>
          <w:tab w:val="left" w:pos="851"/>
        </w:tabs>
        <w:ind w:left="851"/>
        <w:rPr>
          <w:sz w:val="24"/>
          <w:szCs w:val="24"/>
          <w:lang w:val="en-GB"/>
        </w:rPr>
      </w:pPr>
    </w:p>
    <w:p w14:paraId="64B27FC2" w14:textId="77777777" w:rsidR="00035643" w:rsidRPr="00035643" w:rsidRDefault="00035643" w:rsidP="00035643">
      <w:pPr>
        <w:tabs>
          <w:tab w:val="left" w:pos="851"/>
        </w:tabs>
        <w:ind w:left="851"/>
        <w:rPr>
          <w:sz w:val="24"/>
          <w:szCs w:val="24"/>
          <w:lang w:val="en-GB"/>
        </w:rPr>
      </w:pPr>
      <w:r w:rsidRPr="00035643">
        <w:rPr>
          <w:sz w:val="24"/>
          <w:szCs w:val="24"/>
          <w:lang w:val="en-GB"/>
        </w:rPr>
        <w:t>Certain adverse reactions may occur more frequently in patients who receive human normal immunoglobulin for the first time or, in rare cases, when the human normal immunoglobulin product is switched or when there has been a long interval since the previous infusion.</w:t>
      </w:r>
    </w:p>
    <w:p w14:paraId="2EDC1A1B" w14:textId="77777777" w:rsidR="00035643" w:rsidRPr="00035643" w:rsidRDefault="00035643" w:rsidP="00035643">
      <w:pPr>
        <w:tabs>
          <w:tab w:val="left" w:pos="851"/>
        </w:tabs>
        <w:ind w:left="851"/>
        <w:rPr>
          <w:sz w:val="24"/>
          <w:szCs w:val="24"/>
          <w:lang w:val="en-GB"/>
        </w:rPr>
      </w:pPr>
    </w:p>
    <w:p w14:paraId="4CE25579" w14:textId="77777777" w:rsidR="00035643" w:rsidRPr="00035643" w:rsidRDefault="00035643" w:rsidP="00035643">
      <w:pPr>
        <w:tabs>
          <w:tab w:val="left" w:pos="851"/>
        </w:tabs>
        <w:ind w:left="851"/>
        <w:rPr>
          <w:sz w:val="24"/>
          <w:szCs w:val="24"/>
          <w:lang w:val="en-GB"/>
        </w:rPr>
      </w:pPr>
      <w:r w:rsidRPr="00035643">
        <w:rPr>
          <w:bCs/>
          <w:iCs/>
          <w:sz w:val="24"/>
          <w:szCs w:val="24"/>
          <w:lang w:val="en-GB"/>
        </w:rPr>
        <w:t>Potential complications can often be avoided by</w:t>
      </w:r>
      <w:r w:rsidRPr="00035643">
        <w:rPr>
          <w:sz w:val="24"/>
          <w:szCs w:val="24"/>
          <w:lang w:val="en-GB"/>
        </w:rPr>
        <w:t>:</w:t>
      </w:r>
    </w:p>
    <w:p w14:paraId="21F5F0BB" w14:textId="77777777" w:rsidR="00035643" w:rsidRPr="00035643" w:rsidRDefault="00035643" w:rsidP="006B7D0E">
      <w:pPr>
        <w:numPr>
          <w:ilvl w:val="0"/>
          <w:numId w:val="7"/>
        </w:numPr>
        <w:tabs>
          <w:tab w:val="left" w:pos="851"/>
        </w:tabs>
        <w:ind w:left="1134" w:hanging="283"/>
        <w:rPr>
          <w:sz w:val="24"/>
          <w:szCs w:val="24"/>
          <w:lang w:val="en-GB"/>
        </w:rPr>
      </w:pPr>
      <w:r w:rsidRPr="00035643">
        <w:rPr>
          <w:sz w:val="24"/>
          <w:szCs w:val="24"/>
          <w:lang w:val="en-GB"/>
        </w:rPr>
        <w:t xml:space="preserve">initially injecting the product slowly (see section 4.2) </w:t>
      </w:r>
    </w:p>
    <w:p w14:paraId="7320ED61" w14:textId="77777777" w:rsidR="00035643" w:rsidRPr="00035643" w:rsidRDefault="00035643" w:rsidP="006B7D0E">
      <w:pPr>
        <w:numPr>
          <w:ilvl w:val="0"/>
          <w:numId w:val="7"/>
        </w:numPr>
        <w:tabs>
          <w:tab w:val="left" w:pos="851"/>
        </w:tabs>
        <w:ind w:left="1134" w:hanging="283"/>
        <w:rPr>
          <w:sz w:val="24"/>
          <w:szCs w:val="24"/>
          <w:lang w:val="en-GB"/>
        </w:rPr>
      </w:pPr>
      <w:r w:rsidRPr="00035643">
        <w:rPr>
          <w:sz w:val="24"/>
          <w:szCs w:val="24"/>
          <w:lang w:val="en-GB"/>
        </w:rPr>
        <w:t xml:space="preserve">ensuring that patients are carefully monitored for any symptoms throughout the infusion period. In particular, patients naive to human normal immunoglobulin, patients switched </w:t>
      </w:r>
      <w:r w:rsidRPr="00035643">
        <w:rPr>
          <w:sz w:val="24"/>
          <w:szCs w:val="24"/>
          <w:lang w:val="en-GB"/>
        </w:rPr>
        <w:lastRenderedPageBreak/>
        <w:t xml:space="preserve">from an alternative immunoglobulin product or when there has been a long interval since the previous infusion should be monitored during the first infusion and for the first hour after the first infusion, in order to detect potential adverse signs. </w:t>
      </w:r>
    </w:p>
    <w:p w14:paraId="513F8BF6" w14:textId="77777777" w:rsidR="00035643" w:rsidRPr="00035643" w:rsidRDefault="00035643" w:rsidP="00035643">
      <w:pPr>
        <w:tabs>
          <w:tab w:val="left" w:pos="851"/>
        </w:tabs>
        <w:ind w:left="851"/>
        <w:rPr>
          <w:sz w:val="24"/>
          <w:szCs w:val="24"/>
          <w:lang w:val="en-GB"/>
        </w:rPr>
      </w:pPr>
    </w:p>
    <w:p w14:paraId="0DE94199" w14:textId="77777777" w:rsidR="00035643" w:rsidRPr="00035643" w:rsidRDefault="00035643" w:rsidP="00035643">
      <w:pPr>
        <w:tabs>
          <w:tab w:val="left" w:pos="851"/>
        </w:tabs>
        <w:ind w:left="851"/>
        <w:rPr>
          <w:sz w:val="24"/>
          <w:szCs w:val="24"/>
          <w:lang w:val="en-GB"/>
        </w:rPr>
      </w:pPr>
      <w:r w:rsidRPr="00035643">
        <w:rPr>
          <w:sz w:val="24"/>
          <w:szCs w:val="24"/>
          <w:lang w:val="en-GB"/>
        </w:rPr>
        <w:t>All other patients should be observed for at least 20 minutes after administration.</w:t>
      </w:r>
    </w:p>
    <w:p w14:paraId="48864D45" w14:textId="77777777" w:rsidR="00035643" w:rsidRPr="00035643" w:rsidRDefault="00035643" w:rsidP="00035643">
      <w:pPr>
        <w:tabs>
          <w:tab w:val="left" w:pos="851"/>
        </w:tabs>
        <w:ind w:left="851"/>
        <w:rPr>
          <w:sz w:val="24"/>
          <w:szCs w:val="24"/>
          <w:lang w:val="en-GB"/>
        </w:rPr>
      </w:pPr>
    </w:p>
    <w:p w14:paraId="634F1CDE" w14:textId="77777777" w:rsidR="00035643" w:rsidRPr="00035643" w:rsidRDefault="00035643" w:rsidP="00035643">
      <w:pPr>
        <w:tabs>
          <w:tab w:val="left" w:pos="851"/>
        </w:tabs>
        <w:ind w:left="851"/>
        <w:rPr>
          <w:sz w:val="24"/>
          <w:szCs w:val="24"/>
          <w:lang w:val="en-GB"/>
        </w:rPr>
      </w:pPr>
      <w:r w:rsidRPr="00035643">
        <w:rPr>
          <w:sz w:val="24"/>
          <w:szCs w:val="24"/>
          <w:lang w:val="en-GB"/>
        </w:rPr>
        <w:t>In case of adverse reaction, either the rate of administration must be reduced or the infusion stopped. Suspicion of severe hypersensitivity or anaphylactic-type reactions requires immediate discontinuation of the injection. The treatment required depends on the nature and severity of the adverse reaction.</w:t>
      </w:r>
    </w:p>
    <w:p w14:paraId="6D135174" w14:textId="77777777" w:rsidR="00035643" w:rsidRPr="00035643" w:rsidRDefault="00035643" w:rsidP="00035643">
      <w:pPr>
        <w:tabs>
          <w:tab w:val="left" w:pos="851"/>
        </w:tabs>
        <w:ind w:left="851"/>
        <w:rPr>
          <w:sz w:val="24"/>
          <w:szCs w:val="24"/>
          <w:lang w:val="en-GB"/>
        </w:rPr>
      </w:pPr>
      <w:r w:rsidRPr="00035643">
        <w:rPr>
          <w:sz w:val="24"/>
          <w:szCs w:val="24"/>
          <w:lang w:val="en-GB"/>
        </w:rPr>
        <w:t>In case of shock, standard medical treatment for shock should be implemented.</w:t>
      </w:r>
    </w:p>
    <w:p w14:paraId="3478C607" w14:textId="77777777" w:rsidR="00836BC4" w:rsidRDefault="00836BC4" w:rsidP="00035643">
      <w:pPr>
        <w:tabs>
          <w:tab w:val="left" w:pos="851"/>
        </w:tabs>
        <w:ind w:left="851"/>
        <w:rPr>
          <w:sz w:val="24"/>
          <w:szCs w:val="24"/>
          <w:lang w:val="en-GB"/>
        </w:rPr>
      </w:pPr>
    </w:p>
    <w:p w14:paraId="161127FE" w14:textId="77777777" w:rsidR="00836BC4" w:rsidRDefault="00035643" w:rsidP="00035643">
      <w:pPr>
        <w:tabs>
          <w:tab w:val="left" w:pos="851"/>
        </w:tabs>
        <w:ind w:left="851"/>
        <w:rPr>
          <w:sz w:val="24"/>
          <w:szCs w:val="24"/>
          <w:lang w:val="en-GB"/>
        </w:rPr>
      </w:pPr>
      <w:r w:rsidRPr="00035643">
        <w:rPr>
          <w:sz w:val="24"/>
          <w:szCs w:val="24"/>
          <w:lang w:val="en-GB"/>
        </w:rPr>
        <w:t xml:space="preserve">An increase in the number and the severity of adverse events may occur when patients begin manual administration. As a consequence, patients considered for manual administration should be medically stable and adequately trained on the recognition and measures to be taken in case of severe adverse reactions. </w:t>
      </w:r>
    </w:p>
    <w:p w14:paraId="1D365D42" w14:textId="77777777" w:rsidR="00836BC4" w:rsidRDefault="00836BC4" w:rsidP="00035643">
      <w:pPr>
        <w:tabs>
          <w:tab w:val="left" w:pos="851"/>
        </w:tabs>
        <w:ind w:left="851"/>
        <w:rPr>
          <w:sz w:val="24"/>
          <w:szCs w:val="24"/>
          <w:u w:val="single"/>
          <w:lang w:val="en-GB"/>
        </w:rPr>
      </w:pPr>
    </w:p>
    <w:p w14:paraId="3154554E" w14:textId="2B37F81E" w:rsidR="00035643" w:rsidRPr="00035643" w:rsidRDefault="00035643" w:rsidP="00035643">
      <w:pPr>
        <w:tabs>
          <w:tab w:val="left" w:pos="851"/>
        </w:tabs>
        <w:ind w:left="851"/>
        <w:rPr>
          <w:sz w:val="24"/>
          <w:szCs w:val="24"/>
          <w:u w:val="single"/>
          <w:lang w:val="en-GB"/>
        </w:rPr>
      </w:pPr>
      <w:r w:rsidRPr="00035643">
        <w:rPr>
          <w:sz w:val="24"/>
          <w:szCs w:val="24"/>
          <w:u w:val="single"/>
          <w:lang w:val="en-GB"/>
        </w:rPr>
        <w:t>Hypersensitivity</w:t>
      </w:r>
    </w:p>
    <w:p w14:paraId="0B59640F" w14:textId="77777777" w:rsidR="00035643" w:rsidRPr="00035643" w:rsidRDefault="00035643" w:rsidP="00035643">
      <w:pPr>
        <w:tabs>
          <w:tab w:val="left" w:pos="851"/>
        </w:tabs>
        <w:ind w:left="851"/>
        <w:rPr>
          <w:sz w:val="24"/>
          <w:szCs w:val="24"/>
          <w:lang w:val="en-GB"/>
        </w:rPr>
      </w:pPr>
    </w:p>
    <w:p w14:paraId="7F605B4D" w14:textId="77777777" w:rsidR="00035643" w:rsidRPr="00035643" w:rsidRDefault="00035643" w:rsidP="00035643">
      <w:pPr>
        <w:tabs>
          <w:tab w:val="left" w:pos="851"/>
        </w:tabs>
        <w:ind w:left="851"/>
        <w:rPr>
          <w:sz w:val="24"/>
          <w:szCs w:val="24"/>
          <w:lang w:val="en-GB"/>
        </w:rPr>
      </w:pPr>
      <w:r w:rsidRPr="00035643">
        <w:rPr>
          <w:sz w:val="24"/>
          <w:szCs w:val="24"/>
          <w:lang w:val="en-GB"/>
        </w:rPr>
        <w:t xml:space="preserve">True allergic reactions are rare. They can particularly occur in patients with anti-IgA antibodies who should be treated with particular caution. Patients with anti-IgA antibodies, in whom treatment with subcutaneous IgG products remains the only option, should be treated with </w:t>
      </w:r>
      <w:proofErr w:type="spellStart"/>
      <w:r w:rsidRPr="00035643">
        <w:rPr>
          <w:sz w:val="24"/>
          <w:szCs w:val="24"/>
          <w:lang w:val="en-GB"/>
        </w:rPr>
        <w:t>Cuvitru</w:t>
      </w:r>
      <w:proofErr w:type="spellEnd"/>
      <w:r w:rsidRPr="00035643">
        <w:rPr>
          <w:sz w:val="24"/>
          <w:szCs w:val="24"/>
          <w:lang w:val="en-GB"/>
        </w:rPr>
        <w:t xml:space="preserve"> only under close medical supervision. </w:t>
      </w:r>
      <w:proofErr w:type="spellStart"/>
      <w:r w:rsidRPr="00035643">
        <w:rPr>
          <w:sz w:val="24"/>
          <w:szCs w:val="24"/>
          <w:lang w:val="en-GB"/>
        </w:rPr>
        <w:t>Cuvitru</w:t>
      </w:r>
      <w:proofErr w:type="spellEnd"/>
      <w:r w:rsidRPr="00035643">
        <w:rPr>
          <w:sz w:val="24"/>
          <w:szCs w:val="24"/>
          <w:lang w:val="en-GB"/>
        </w:rPr>
        <w:t xml:space="preserve"> contains trace amounts of IgA (not more than 280 micrograms/ml).</w:t>
      </w:r>
    </w:p>
    <w:p w14:paraId="2E9BA098" w14:textId="77777777" w:rsidR="00035643" w:rsidRPr="00035643" w:rsidRDefault="00035643" w:rsidP="00035643">
      <w:pPr>
        <w:tabs>
          <w:tab w:val="left" w:pos="851"/>
        </w:tabs>
        <w:ind w:left="851"/>
        <w:rPr>
          <w:sz w:val="24"/>
          <w:szCs w:val="24"/>
          <w:lang w:val="en-GB"/>
        </w:rPr>
      </w:pPr>
    </w:p>
    <w:p w14:paraId="236CB85E" w14:textId="77777777" w:rsidR="00035643" w:rsidRPr="00035643" w:rsidRDefault="00035643" w:rsidP="00035643">
      <w:pPr>
        <w:tabs>
          <w:tab w:val="left" w:pos="851"/>
        </w:tabs>
        <w:ind w:left="851"/>
        <w:rPr>
          <w:sz w:val="24"/>
          <w:szCs w:val="24"/>
          <w:lang w:val="en-GB"/>
        </w:rPr>
      </w:pPr>
      <w:r w:rsidRPr="00035643">
        <w:rPr>
          <w:sz w:val="24"/>
          <w:szCs w:val="24"/>
          <w:lang w:val="en-GB"/>
        </w:rPr>
        <w:t>Rarely, human normal immunoglobulin can induce a fall in blood pressure with anaphylactic reaction, even in patients who had tolerated previous treatment with human normal immunoglobulin.</w:t>
      </w:r>
    </w:p>
    <w:p w14:paraId="1CE9BD20" w14:textId="77777777" w:rsidR="00035643" w:rsidRPr="00035643" w:rsidRDefault="00035643" w:rsidP="00035643">
      <w:pPr>
        <w:tabs>
          <w:tab w:val="left" w:pos="851"/>
        </w:tabs>
        <w:ind w:left="851"/>
        <w:rPr>
          <w:sz w:val="24"/>
          <w:szCs w:val="24"/>
          <w:lang w:val="en-GB"/>
        </w:rPr>
      </w:pPr>
    </w:p>
    <w:p w14:paraId="4E093955" w14:textId="77777777" w:rsidR="00035643" w:rsidRPr="00035643" w:rsidRDefault="00035643" w:rsidP="00035643">
      <w:pPr>
        <w:tabs>
          <w:tab w:val="left" w:pos="851"/>
        </w:tabs>
        <w:ind w:left="851"/>
        <w:rPr>
          <w:sz w:val="24"/>
          <w:szCs w:val="24"/>
          <w:u w:val="single"/>
          <w:lang w:val="en-GB"/>
        </w:rPr>
      </w:pPr>
      <w:r w:rsidRPr="00035643">
        <w:rPr>
          <w:sz w:val="24"/>
          <w:szCs w:val="24"/>
          <w:u w:val="single"/>
          <w:lang w:val="en-GB"/>
        </w:rPr>
        <w:t>Thromboembolism</w:t>
      </w:r>
    </w:p>
    <w:p w14:paraId="5E495E24" w14:textId="77777777" w:rsidR="00035643" w:rsidRPr="00035643" w:rsidRDefault="00035643" w:rsidP="00035643">
      <w:pPr>
        <w:tabs>
          <w:tab w:val="left" w:pos="851"/>
        </w:tabs>
        <w:ind w:left="851"/>
        <w:rPr>
          <w:sz w:val="24"/>
          <w:szCs w:val="24"/>
          <w:lang w:val="en-GB"/>
        </w:rPr>
      </w:pPr>
      <w:r w:rsidRPr="00035643">
        <w:rPr>
          <w:sz w:val="24"/>
          <w:szCs w:val="24"/>
          <w:lang w:val="en-GB"/>
        </w:rPr>
        <w:t xml:space="preserve">Arterial and venous thromboembolic events including myocardial infarction, stroke, deep venous thrombosis and pulmonary embolism have been associated with the use of immunoglobulins. Caution should be exercised in patients with </w:t>
      </w:r>
      <w:proofErr w:type="spellStart"/>
      <w:r w:rsidRPr="00035643">
        <w:rPr>
          <w:sz w:val="24"/>
          <w:szCs w:val="24"/>
          <w:lang w:val="en-GB"/>
        </w:rPr>
        <w:t>preexisting</w:t>
      </w:r>
      <w:proofErr w:type="spellEnd"/>
      <w:r w:rsidRPr="00035643">
        <w:rPr>
          <w:sz w:val="24"/>
          <w:szCs w:val="24"/>
          <w:lang w:val="en-GB"/>
        </w:rPr>
        <w:t xml:space="preserve"> risk factors for thrombotic events (such as advanced age, hypertension, diabetes mellitus and a history of vascular disease or thrombotic episodes, patients with acquired or inherited </w:t>
      </w:r>
      <w:proofErr w:type="spellStart"/>
      <w:r w:rsidRPr="00035643">
        <w:rPr>
          <w:sz w:val="24"/>
          <w:szCs w:val="24"/>
          <w:lang w:val="en-GB"/>
        </w:rPr>
        <w:t>thrombophilic</w:t>
      </w:r>
      <w:proofErr w:type="spellEnd"/>
      <w:r w:rsidRPr="00035643">
        <w:rPr>
          <w:sz w:val="24"/>
          <w:szCs w:val="24"/>
          <w:lang w:val="en-GB"/>
        </w:rPr>
        <w:t xml:space="preserve"> disorders, patients with prolonged periods of immobilization, severely hypovolemic patients, patients with diseases which increase blood viscosity). Patients should be informed about first symptoms of thromboembolic events including shortness of breath, pain and swelling of a limb, focal neurological deficits and chest pain and should be advised to contact their physician immediately upon onset of symptoms.</w:t>
      </w:r>
    </w:p>
    <w:p w14:paraId="3FAD62BF" w14:textId="77777777" w:rsidR="00035643" w:rsidRPr="00035643" w:rsidRDefault="00035643" w:rsidP="00035643">
      <w:pPr>
        <w:tabs>
          <w:tab w:val="left" w:pos="851"/>
        </w:tabs>
        <w:ind w:left="851"/>
        <w:rPr>
          <w:sz w:val="24"/>
          <w:szCs w:val="24"/>
          <w:lang w:val="en-GB"/>
        </w:rPr>
      </w:pPr>
    </w:p>
    <w:p w14:paraId="79B200CA" w14:textId="77777777" w:rsidR="00035643" w:rsidRPr="00035643" w:rsidRDefault="00035643" w:rsidP="00035643">
      <w:pPr>
        <w:tabs>
          <w:tab w:val="left" w:pos="851"/>
        </w:tabs>
        <w:ind w:left="851"/>
        <w:rPr>
          <w:sz w:val="24"/>
          <w:szCs w:val="24"/>
          <w:lang w:val="en-GB"/>
        </w:rPr>
      </w:pPr>
      <w:r w:rsidRPr="00035643">
        <w:rPr>
          <w:sz w:val="24"/>
          <w:szCs w:val="24"/>
          <w:lang w:val="en-GB"/>
        </w:rPr>
        <w:t xml:space="preserve">Ensure adequate hydration in patients before administration. Monitor for signs and symptoms of thrombosis and assess blood viscosity in patients at risk for </w:t>
      </w:r>
      <w:proofErr w:type="spellStart"/>
      <w:r w:rsidRPr="00035643">
        <w:rPr>
          <w:sz w:val="24"/>
          <w:szCs w:val="24"/>
          <w:lang w:val="en-GB"/>
        </w:rPr>
        <w:t>hyperviscosity</w:t>
      </w:r>
      <w:proofErr w:type="spellEnd"/>
      <w:r w:rsidRPr="00035643">
        <w:rPr>
          <w:sz w:val="24"/>
          <w:szCs w:val="24"/>
          <w:lang w:val="en-GB"/>
        </w:rPr>
        <w:t>.</w:t>
      </w:r>
    </w:p>
    <w:p w14:paraId="3CD5498F" w14:textId="77777777" w:rsidR="00035643" w:rsidRPr="00035643" w:rsidRDefault="00035643" w:rsidP="00035643">
      <w:pPr>
        <w:tabs>
          <w:tab w:val="left" w:pos="851"/>
        </w:tabs>
        <w:ind w:left="851"/>
        <w:rPr>
          <w:sz w:val="24"/>
          <w:szCs w:val="24"/>
          <w:lang w:val="en-GB"/>
        </w:rPr>
      </w:pPr>
    </w:p>
    <w:p w14:paraId="5D73B64F" w14:textId="77777777" w:rsidR="00035643" w:rsidRPr="00035643" w:rsidRDefault="00035643" w:rsidP="00035643">
      <w:pPr>
        <w:tabs>
          <w:tab w:val="left" w:pos="851"/>
        </w:tabs>
        <w:ind w:left="851"/>
        <w:rPr>
          <w:sz w:val="24"/>
          <w:szCs w:val="24"/>
          <w:u w:val="single"/>
          <w:lang w:val="en-GB"/>
        </w:rPr>
      </w:pPr>
      <w:r w:rsidRPr="00035643">
        <w:rPr>
          <w:sz w:val="24"/>
          <w:szCs w:val="24"/>
          <w:u w:val="single"/>
          <w:lang w:val="en-GB"/>
        </w:rPr>
        <w:t>Renal complications</w:t>
      </w:r>
    </w:p>
    <w:p w14:paraId="36236247" w14:textId="77777777" w:rsidR="00035643" w:rsidRPr="00035643" w:rsidRDefault="00035643" w:rsidP="00035643">
      <w:pPr>
        <w:tabs>
          <w:tab w:val="left" w:pos="851"/>
        </w:tabs>
        <w:ind w:left="851"/>
        <w:rPr>
          <w:sz w:val="24"/>
          <w:szCs w:val="24"/>
          <w:lang w:val="en-GB"/>
        </w:rPr>
      </w:pPr>
      <w:r w:rsidRPr="00035643">
        <w:rPr>
          <w:sz w:val="24"/>
          <w:szCs w:val="24"/>
          <w:lang w:val="en-GB"/>
        </w:rPr>
        <w:t>Severe renal adverse reactions have been reported in patients receiving immune globulin treatment, particularly those products containing sucrose (</w:t>
      </w:r>
      <w:proofErr w:type="spellStart"/>
      <w:r w:rsidRPr="00035643">
        <w:rPr>
          <w:sz w:val="24"/>
          <w:szCs w:val="24"/>
          <w:lang w:val="en-GB"/>
        </w:rPr>
        <w:t>Cuvitru</w:t>
      </w:r>
      <w:proofErr w:type="spellEnd"/>
      <w:r w:rsidRPr="00035643">
        <w:rPr>
          <w:sz w:val="24"/>
          <w:szCs w:val="24"/>
          <w:lang w:val="en-GB"/>
        </w:rPr>
        <w:t xml:space="preserve"> does not contain sucrose). These include acute renal failure, acute tubular necrosis, proximal tubular nephropathy and osmotic nephrosis. Factors that increase the risk of renal complications include, but are not limited to </w:t>
      </w:r>
      <w:proofErr w:type="spellStart"/>
      <w:r w:rsidRPr="00035643">
        <w:rPr>
          <w:sz w:val="24"/>
          <w:szCs w:val="24"/>
          <w:lang w:val="en-GB"/>
        </w:rPr>
        <w:t>preexisting</w:t>
      </w:r>
      <w:proofErr w:type="spellEnd"/>
      <w:r w:rsidRPr="00035643">
        <w:rPr>
          <w:sz w:val="24"/>
          <w:szCs w:val="24"/>
          <w:lang w:val="en-GB"/>
        </w:rPr>
        <w:t xml:space="preserve"> renal insufficiency, diabetes mellitus, </w:t>
      </w:r>
      <w:r w:rsidRPr="00035643">
        <w:rPr>
          <w:sz w:val="24"/>
          <w:szCs w:val="24"/>
          <w:lang w:val="en-GB"/>
        </w:rPr>
        <w:lastRenderedPageBreak/>
        <w:t xml:space="preserve">hypovolemia, concomitant nephrotoxic medicinal products, age over 65, sepsis, </w:t>
      </w:r>
      <w:proofErr w:type="spellStart"/>
      <w:r w:rsidRPr="00035643">
        <w:rPr>
          <w:sz w:val="24"/>
          <w:szCs w:val="24"/>
          <w:lang w:val="en-GB"/>
        </w:rPr>
        <w:t>hyperviscosity</w:t>
      </w:r>
      <w:proofErr w:type="spellEnd"/>
      <w:r w:rsidRPr="00035643">
        <w:rPr>
          <w:sz w:val="24"/>
          <w:szCs w:val="24"/>
          <w:lang w:val="en-GB"/>
        </w:rPr>
        <w:t xml:space="preserve"> and paraproteinemia.</w:t>
      </w:r>
    </w:p>
    <w:p w14:paraId="067E0EB8" w14:textId="77777777" w:rsidR="00035643" w:rsidRPr="00035643" w:rsidRDefault="00035643" w:rsidP="00035643">
      <w:pPr>
        <w:tabs>
          <w:tab w:val="left" w:pos="851"/>
        </w:tabs>
        <w:ind w:left="851"/>
        <w:rPr>
          <w:sz w:val="24"/>
          <w:szCs w:val="24"/>
          <w:lang w:val="en-GB"/>
        </w:rPr>
      </w:pPr>
    </w:p>
    <w:p w14:paraId="2D0762EA" w14:textId="77777777" w:rsidR="00035643" w:rsidRPr="00035643" w:rsidRDefault="00035643" w:rsidP="00035643">
      <w:pPr>
        <w:tabs>
          <w:tab w:val="left" w:pos="851"/>
        </w:tabs>
        <w:ind w:left="851"/>
        <w:rPr>
          <w:sz w:val="24"/>
          <w:szCs w:val="24"/>
          <w:u w:val="single"/>
          <w:lang w:val="en-GB"/>
        </w:rPr>
      </w:pPr>
      <w:bookmarkStart w:id="2" w:name="_Hlk76482815"/>
      <w:r w:rsidRPr="00035643">
        <w:rPr>
          <w:sz w:val="24"/>
          <w:szCs w:val="24"/>
          <w:u w:val="single"/>
          <w:lang w:val="en-GB"/>
        </w:rPr>
        <w:t>Aseptic Meningitis Syndrome (AMS)</w:t>
      </w:r>
    </w:p>
    <w:p w14:paraId="0326F9A4" w14:textId="2D1D24D5" w:rsidR="00035643" w:rsidRPr="00035643" w:rsidRDefault="00035643" w:rsidP="00035643">
      <w:pPr>
        <w:tabs>
          <w:tab w:val="left" w:pos="851"/>
        </w:tabs>
        <w:ind w:left="851"/>
        <w:rPr>
          <w:sz w:val="24"/>
          <w:szCs w:val="24"/>
          <w:lang w:val="en-GB"/>
        </w:rPr>
      </w:pPr>
      <w:r w:rsidRPr="00035643">
        <w:rPr>
          <w:sz w:val="24"/>
          <w:szCs w:val="24"/>
          <w:lang w:val="en-GB"/>
        </w:rPr>
        <w:t xml:space="preserve">Aseptic meningitis syndrome (AMS) has been reported to occur in association with immune globulin treatments, including </w:t>
      </w:r>
      <w:proofErr w:type="spellStart"/>
      <w:r w:rsidRPr="00035643">
        <w:rPr>
          <w:sz w:val="24"/>
          <w:szCs w:val="24"/>
          <w:lang w:val="en-GB"/>
        </w:rPr>
        <w:t>Cuvitru</w:t>
      </w:r>
      <w:proofErr w:type="spellEnd"/>
      <w:r w:rsidRPr="00035643">
        <w:rPr>
          <w:sz w:val="24"/>
          <w:szCs w:val="24"/>
          <w:lang w:val="en-GB"/>
        </w:rPr>
        <w:t xml:space="preserve"> (see section 4.8 Undesirable Effects – </w:t>
      </w:r>
      <w:proofErr w:type="spellStart"/>
      <w:r w:rsidRPr="00035643">
        <w:rPr>
          <w:sz w:val="24"/>
          <w:szCs w:val="24"/>
          <w:lang w:val="en-GB"/>
        </w:rPr>
        <w:t>Postmarketing</w:t>
      </w:r>
      <w:proofErr w:type="spellEnd"/>
      <w:r w:rsidRPr="00035643">
        <w:rPr>
          <w:sz w:val="24"/>
          <w:szCs w:val="24"/>
          <w:lang w:val="en-GB"/>
        </w:rPr>
        <w:t xml:space="preserve">). AMS may occur more frequently in female patients. </w:t>
      </w:r>
      <w:bookmarkEnd w:id="2"/>
      <w:r w:rsidRPr="00035643">
        <w:rPr>
          <w:sz w:val="24"/>
          <w:szCs w:val="24"/>
          <w:lang w:val="en-GB"/>
        </w:rPr>
        <w:t>Discontinuation of Ig treatment may result in remission of AMS within several days without sequelae. The symptoms usually begin within several hours to 2 days following IG treatment. Cerebrospinal fluid studies are frequently positive with pleocytosis up to several thousand cells per mm</w:t>
      </w:r>
      <w:r w:rsidRPr="00035643">
        <w:rPr>
          <w:sz w:val="24"/>
          <w:szCs w:val="24"/>
          <w:vertAlign w:val="superscript"/>
          <w:lang w:val="en-GB"/>
        </w:rPr>
        <w:t>3</w:t>
      </w:r>
      <w:r w:rsidRPr="00035643">
        <w:rPr>
          <w:sz w:val="24"/>
          <w:szCs w:val="24"/>
          <w:lang w:val="en-GB"/>
        </w:rPr>
        <w:t>, predominantly from the granulocytic series, and elevated protein levels up to several hundred mg/dl.</w:t>
      </w:r>
    </w:p>
    <w:p w14:paraId="0943AB0C" w14:textId="77777777" w:rsidR="00035643" w:rsidRPr="00035643" w:rsidRDefault="00035643" w:rsidP="00035643">
      <w:pPr>
        <w:tabs>
          <w:tab w:val="left" w:pos="851"/>
        </w:tabs>
        <w:ind w:left="851"/>
        <w:rPr>
          <w:sz w:val="24"/>
          <w:szCs w:val="24"/>
          <w:lang w:val="en-GB"/>
        </w:rPr>
      </w:pPr>
    </w:p>
    <w:p w14:paraId="0405B41F" w14:textId="77777777" w:rsidR="00035643" w:rsidRPr="00035643" w:rsidRDefault="00035643" w:rsidP="00035643">
      <w:pPr>
        <w:tabs>
          <w:tab w:val="left" w:pos="851"/>
        </w:tabs>
        <w:ind w:left="851"/>
        <w:rPr>
          <w:sz w:val="24"/>
          <w:szCs w:val="24"/>
          <w:lang w:val="en-GB"/>
        </w:rPr>
      </w:pPr>
      <w:r w:rsidRPr="00035643">
        <w:rPr>
          <w:sz w:val="24"/>
          <w:szCs w:val="24"/>
          <w:lang w:val="en-GB"/>
        </w:rPr>
        <w:t>Patients should be informed about first symptoms which encompass severe headache, neck stiffness, drowsiness, fever, photophobia, nausea, and vomiting.</w:t>
      </w:r>
    </w:p>
    <w:p w14:paraId="69DBBBAD" w14:textId="77777777" w:rsidR="00035643" w:rsidRPr="00035643" w:rsidRDefault="00035643" w:rsidP="00035643">
      <w:pPr>
        <w:tabs>
          <w:tab w:val="left" w:pos="851"/>
        </w:tabs>
        <w:ind w:left="851"/>
        <w:rPr>
          <w:sz w:val="24"/>
          <w:szCs w:val="24"/>
          <w:lang w:val="en-GB"/>
        </w:rPr>
      </w:pPr>
    </w:p>
    <w:p w14:paraId="2DBBD629" w14:textId="77777777" w:rsidR="00035643" w:rsidRPr="00035643" w:rsidRDefault="00035643" w:rsidP="00035643">
      <w:pPr>
        <w:tabs>
          <w:tab w:val="left" w:pos="851"/>
        </w:tabs>
        <w:ind w:left="851"/>
        <w:rPr>
          <w:sz w:val="24"/>
          <w:szCs w:val="24"/>
          <w:u w:val="single"/>
          <w:lang w:val="en-GB"/>
        </w:rPr>
      </w:pPr>
      <w:r w:rsidRPr="00035643">
        <w:rPr>
          <w:sz w:val="24"/>
          <w:szCs w:val="24"/>
          <w:u w:val="single"/>
          <w:lang w:val="en-GB"/>
        </w:rPr>
        <w:t>Haemolysis</w:t>
      </w:r>
    </w:p>
    <w:p w14:paraId="001D026A" w14:textId="77777777" w:rsidR="00035643" w:rsidRPr="00035643" w:rsidRDefault="00035643" w:rsidP="00035643">
      <w:pPr>
        <w:tabs>
          <w:tab w:val="left" w:pos="851"/>
        </w:tabs>
        <w:ind w:left="851"/>
        <w:rPr>
          <w:sz w:val="24"/>
          <w:szCs w:val="24"/>
          <w:lang w:val="en-GB"/>
        </w:rPr>
      </w:pPr>
      <w:proofErr w:type="spellStart"/>
      <w:r w:rsidRPr="00035643">
        <w:rPr>
          <w:sz w:val="24"/>
          <w:szCs w:val="24"/>
          <w:lang w:val="en-GB"/>
        </w:rPr>
        <w:t>Cuvitru</w:t>
      </w:r>
      <w:proofErr w:type="spellEnd"/>
      <w:r w:rsidRPr="00035643">
        <w:rPr>
          <w:sz w:val="24"/>
          <w:szCs w:val="24"/>
          <w:lang w:val="en-GB"/>
        </w:rPr>
        <w:t xml:space="preserve"> contains blood group antibodies that may act as haemolysins and induce </w:t>
      </w:r>
      <w:r w:rsidRPr="00035643">
        <w:rPr>
          <w:i/>
          <w:sz w:val="24"/>
          <w:szCs w:val="24"/>
          <w:lang w:val="en-GB"/>
        </w:rPr>
        <w:t>in vivo</w:t>
      </w:r>
      <w:r w:rsidRPr="00035643">
        <w:rPr>
          <w:sz w:val="24"/>
          <w:szCs w:val="24"/>
          <w:lang w:val="en-GB"/>
        </w:rPr>
        <w:t xml:space="preserve"> coating of red blood cells (RBC) with immunoglobulin. This may cause a positive direct antiglobulin reaction (DAT, direct Coombs test) and, rarely, haemolysis. Delayed haemolytic anaemia can develop subsequent to IG therapy due to enhanced RBC sequestration. Acute haemolytic anaemia, consistent with intravascular haemolysis, has been reported.</w:t>
      </w:r>
    </w:p>
    <w:p w14:paraId="73F25B25" w14:textId="77777777" w:rsidR="00035643" w:rsidRPr="00035643" w:rsidRDefault="00035643" w:rsidP="00035643">
      <w:pPr>
        <w:tabs>
          <w:tab w:val="left" w:pos="851"/>
        </w:tabs>
        <w:ind w:left="851"/>
        <w:rPr>
          <w:iCs/>
          <w:sz w:val="24"/>
          <w:szCs w:val="24"/>
          <w:lang w:val="en-GB"/>
        </w:rPr>
      </w:pPr>
    </w:p>
    <w:p w14:paraId="339F94F4" w14:textId="77777777" w:rsidR="00035643" w:rsidRPr="00035643" w:rsidRDefault="00035643" w:rsidP="00035643">
      <w:pPr>
        <w:tabs>
          <w:tab w:val="left" w:pos="851"/>
        </w:tabs>
        <w:ind w:left="851"/>
        <w:rPr>
          <w:sz w:val="24"/>
          <w:szCs w:val="24"/>
          <w:u w:val="single"/>
          <w:lang w:val="en-GB"/>
        </w:rPr>
      </w:pPr>
      <w:r w:rsidRPr="00035643">
        <w:rPr>
          <w:sz w:val="24"/>
          <w:szCs w:val="24"/>
          <w:u w:val="single"/>
          <w:lang w:val="en-GB"/>
        </w:rPr>
        <w:t>Interference with serological testing</w:t>
      </w:r>
    </w:p>
    <w:p w14:paraId="12AF20C7" w14:textId="77777777" w:rsidR="00035643" w:rsidRPr="00035643" w:rsidRDefault="00035643" w:rsidP="00035643">
      <w:pPr>
        <w:tabs>
          <w:tab w:val="left" w:pos="851"/>
        </w:tabs>
        <w:ind w:left="851"/>
        <w:rPr>
          <w:sz w:val="24"/>
          <w:szCs w:val="24"/>
          <w:lang w:val="en-GB"/>
        </w:rPr>
      </w:pPr>
      <w:r w:rsidRPr="00035643">
        <w:rPr>
          <w:sz w:val="24"/>
          <w:szCs w:val="24"/>
          <w:lang w:val="en-GB"/>
        </w:rPr>
        <w:t>After injection of immunoglobulin the transitory rise of the various passively transferred antibodies in the patient's blood may result in misleading positive results in serological testing, for example, Hepatitis A, Hepatitis B, measles, and varicella. Passive transmission of antibodies to erythrocyte antigens, e.g. A, B, D, may interfere with some serological tests for red cell antibodies, for example the direct antiglobulin test (DAT, direct Coombs test).</w:t>
      </w:r>
    </w:p>
    <w:p w14:paraId="63892E4F" w14:textId="77777777" w:rsidR="00035643" w:rsidRPr="00035643" w:rsidRDefault="00035643" w:rsidP="00035643">
      <w:pPr>
        <w:tabs>
          <w:tab w:val="left" w:pos="851"/>
        </w:tabs>
        <w:ind w:left="851"/>
        <w:rPr>
          <w:sz w:val="24"/>
          <w:szCs w:val="24"/>
          <w:lang w:val="en-GB"/>
        </w:rPr>
      </w:pPr>
    </w:p>
    <w:p w14:paraId="20C2797F" w14:textId="77777777" w:rsidR="00035643" w:rsidRPr="00035643" w:rsidRDefault="00035643" w:rsidP="00035643">
      <w:pPr>
        <w:tabs>
          <w:tab w:val="left" w:pos="851"/>
        </w:tabs>
        <w:ind w:left="851"/>
        <w:rPr>
          <w:iCs/>
          <w:sz w:val="24"/>
          <w:szCs w:val="24"/>
          <w:lang w:val="en-GB"/>
        </w:rPr>
      </w:pPr>
      <w:r w:rsidRPr="00035643">
        <w:rPr>
          <w:iCs/>
          <w:sz w:val="24"/>
          <w:szCs w:val="24"/>
          <w:lang w:val="en-GB"/>
        </w:rPr>
        <w:t xml:space="preserve">Administration of </w:t>
      </w:r>
      <w:proofErr w:type="spellStart"/>
      <w:r w:rsidRPr="00035643">
        <w:rPr>
          <w:sz w:val="24"/>
          <w:szCs w:val="24"/>
          <w:lang w:val="en-GB"/>
        </w:rPr>
        <w:t>Cuvitru</w:t>
      </w:r>
      <w:proofErr w:type="spellEnd"/>
      <w:r w:rsidRPr="00035643">
        <w:rPr>
          <w:sz w:val="24"/>
          <w:szCs w:val="24"/>
          <w:lang w:val="en-GB"/>
        </w:rPr>
        <w:t xml:space="preserve"> </w:t>
      </w:r>
      <w:r w:rsidRPr="00035643">
        <w:rPr>
          <w:iCs/>
          <w:sz w:val="24"/>
          <w:szCs w:val="24"/>
          <w:lang w:val="en-GB"/>
        </w:rPr>
        <w:t>can lead to false positive readings in assays that depend on detection of beta-D-glucans for diagnosis of fungal infections; this may persist during the weeks following infusion of the product.</w:t>
      </w:r>
    </w:p>
    <w:p w14:paraId="5FBBCD15" w14:textId="77777777" w:rsidR="00035643" w:rsidRPr="00035643" w:rsidRDefault="00035643" w:rsidP="00035643">
      <w:pPr>
        <w:tabs>
          <w:tab w:val="left" w:pos="851"/>
        </w:tabs>
        <w:ind w:left="851"/>
        <w:rPr>
          <w:iCs/>
          <w:sz w:val="24"/>
          <w:szCs w:val="24"/>
          <w:lang w:val="en-GB"/>
        </w:rPr>
      </w:pPr>
    </w:p>
    <w:p w14:paraId="42B79790" w14:textId="77777777" w:rsidR="00035643" w:rsidRPr="00035643" w:rsidRDefault="00035643" w:rsidP="00035643">
      <w:pPr>
        <w:tabs>
          <w:tab w:val="left" w:pos="851"/>
        </w:tabs>
        <w:ind w:left="851"/>
        <w:rPr>
          <w:sz w:val="24"/>
          <w:szCs w:val="24"/>
          <w:u w:val="single"/>
          <w:lang w:val="en-GB"/>
        </w:rPr>
      </w:pPr>
      <w:r w:rsidRPr="00035643">
        <w:rPr>
          <w:sz w:val="24"/>
          <w:szCs w:val="24"/>
          <w:u w:val="single"/>
          <w:lang w:val="en-GB"/>
        </w:rPr>
        <w:t>Transmissible agents</w:t>
      </w:r>
    </w:p>
    <w:p w14:paraId="298063B8" w14:textId="77777777" w:rsidR="00035643" w:rsidRPr="00035643" w:rsidRDefault="00035643" w:rsidP="00035643">
      <w:pPr>
        <w:tabs>
          <w:tab w:val="left" w:pos="851"/>
        </w:tabs>
        <w:ind w:left="851"/>
        <w:rPr>
          <w:sz w:val="24"/>
          <w:szCs w:val="24"/>
          <w:lang w:val="en-GB"/>
        </w:rPr>
      </w:pPr>
      <w:r w:rsidRPr="00035643">
        <w:rPr>
          <w:sz w:val="24"/>
          <w:szCs w:val="24"/>
          <w:lang w:val="en-GB"/>
        </w:rPr>
        <w:t>Standard measures to prevent infections resulting from the use of medicinal products prepared from human blood or plasma include selection of donors, screening of individual donations and plasma pools for specific markers of infection and the inclusion of effective manufacturing steps for the inactivation/removal of viruses. Despite this, when medicinal products prepared from human blood or plasma are administered, the possibility of transmitting infectious agents cannot be totally excluded. This also applies to unknown or emerging viruses and other pathogens.</w:t>
      </w:r>
    </w:p>
    <w:p w14:paraId="3D7E5A18" w14:textId="77777777" w:rsidR="00035643" w:rsidRPr="00035643" w:rsidRDefault="00035643" w:rsidP="00035643">
      <w:pPr>
        <w:tabs>
          <w:tab w:val="left" w:pos="851"/>
        </w:tabs>
        <w:ind w:left="851"/>
        <w:rPr>
          <w:sz w:val="24"/>
          <w:szCs w:val="24"/>
          <w:lang w:val="en-GB"/>
        </w:rPr>
      </w:pPr>
    </w:p>
    <w:p w14:paraId="335312CD" w14:textId="77777777" w:rsidR="00035643" w:rsidRPr="00035643" w:rsidRDefault="00035643" w:rsidP="00035643">
      <w:pPr>
        <w:tabs>
          <w:tab w:val="left" w:pos="851"/>
        </w:tabs>
        <w:ind w:left="851"/>
        <w:rPr>
          <w:sz w:val="24"/>
          <w:szCs w:val="24"/>
          <w:lang w:val="en-GB"/>
        </w:rPr>
      </w:pPr>
      <w:r w:rsidRPr="00035643">
        <w:rPr>
          <w:sz w:val="24"/>
          <w:szCs w:val="24"/>
          <w:lang w:val="en-GB"/>
        </w:rPr>
        <w:t>The measures taken are considered effective for enveloped viruses such as human immunodeficiency virus (HIV), hepatitis B virus (HBV) and hepatitis C virus (HCV), and for the non</w:t>
      </w:r>
      <w:r w:rsidRPr="00035643">
        <w:rPr>
          <w:sz w:val="24"/>
          <w:szCs w:val="24"/>
          <w:lang w:val="en-GB"/>
        </w:rPr>
        <w:noBreakHyphen/>
        <w:t>enveloped viruses hepatitis A and parvovirus B19.</w:t>
      </w:r>
    </w:p>
    <w:p w14:paraId="15051246" w14:textId="77777777" w:rsidR="00035643" w:rsidRPr="00035643" w:rsidRDefault="00035643" w:rsidP="00035643">
      <w:pPr>
        <w:tabs>
          <w:tab w:val="left" w:pos="851"/>
        </w:tabs>
        <w:ind w:left="851"/>
        <w:rPr>
          <w:sz w:val="24"/>
          <w:szCs w:val="24"/>
          <w:lang w:val="en-GB"/>
        </w:rPr>
      </w:pPr>
    </w:p>
    <w:p w14:paraId="7E9ACC0F" w14:textId="77777777" w:rsidR="00035643" w:rsidRPr="00035643" w:rsidRDefault="00035643" w:rsidP="00035643">
      <w:pPr>
        <w:tabs>
          <w:tab w:val="left" w:pos="851"/>
        </w:tabs>
        <w:ind w:left="851"/>
        <w:rPr>
          <w:sz w:val="24"/>
          <w:szCs w:val="24"/>
          <w:lang w:val="en-GB"/>
        </w:rPr>
      </w:pPr>
      <w:r w:rsidRPr="00035643">
        <w:rPr>
          <w:sz w:val="24"/>
          <w:szCs w:val="24"/>
          <w:lang w:val="en-GB"/>
        </w:rPr>
        <w:lastRenderedPageBreak/>
        <w:t>There is reassuring clinical experience regarding the lack of hepatitis A or Parvovirus B19 transmission with immunoglobulins and it is also assumed that the antibody content makes an important contribution to the viral safety.</w:t>
      </w:r>
    </w:p>
    <w:p w14:paraId="13936A57" w14:textId="77777777" w:rsidR="00035643" w:rsidRPr="00035643" w:rsidRDefault="00035643" w:rsidP="00035643">
      <w:pPr>
        <w:tabs>
          <w:tab w:val="left" w:pos="851"/>
        </w:tabs>
        <w:ind w:left="851"/>
        <w:rPr>
          <w:sz w:val="24"/>
          <w:szCs w:val="24"/>
          <w:lang w:val="en-GB"/>
        </w:rPr>
      </w:pPr>
    </w:p>
    <w:p w14:paraId="19634E12" w14:textId="77777777" w:rsidR="00035643" w:rsidRPr="00035643" w:rsidRDefault="00035643" w:rsidP="00035643">
      <w:pPr>
        <w:tabs>
          <w:tab w:val="left" w:pos="851"/>
        </w:tabs>
        <w:ind w:left="851"/>
        <w:rPr>
          <w:sz w:val="24"/>
          <w:szCs w:val="24"/>
          <w:lang w:val="en-GB"/>
        </w:rPr>
      </w:pPr>
      <w:r w:rsidRPr="00035643">
        <w:rPr>
          <w:sz w:val="24"/>
          <w:szCs w:val="24"/>
          <w:lang w:val="en-GB"/>
        </w:rPr>
        <w:t xml:space="preserve">It is strongly recommended that every time that </w:t>
      </w:r>
      <w:proofErr w:type="spellStart"/>
      <w:r w:rsidRPr="00035643">
        <w:rPr>
          <w:sz w:val="24"/>
          <w:szCs w:val="24"/>
          <w:lang w:val="en-GB"/>
        </w:rPr>
        <w:t>Cuvitru</w:t>
      </w:r>
      <w:proofErr w:type="spellEnd"/>
      <w:r w:rsidRPr="00035643">
        <w:rPr>
          <w:sz w:val="24"/>
          <w:szCs w:val="24"/>
          <w:lang w:val="en-GB"/>
        </w:rPr>
        <w:t xml:space="preserve"> is administered to a patient, the name and batch number of the product are recorded in order to maintain a link between the patient and the batch of the product.</w:t>
      </w:r>
    </w:p>
    <w:p w14:paraId="11B6C070" w14:textId="77777777" w:rsidR="00035643" w:rsidRPr="00035643" w:rsidRDefault="00035643" w:rsidP="00035643">
      <w:pPr>
        <w:tabs>
          <w:tab w:val="left" w:pos="851"/>
        </w:tabs>
        <w:ind w:left="851"/>
        <w:rPr>
          <w:sz w:val="24"/>
          <w:szCs w:val="24"/>
          <w:lang w:val="en-GB"/>
        </w:rPr>
      </w:pPr>
    </w:p>
    <w:p w14:paraId="73E7400E" w14:textId="77777777" w:rsidR="00035643" w:rsidRPr="00035643" w:rsidRDefault="00035643" w:rsidP="00035643">
      <w:pPr>
        <w:tabs>
          <w:tab w:val="left" w:pos="851"/>
        </w:tabs>
        <w:ind w:left="851"/>
        <w:rPr>
          <w:sz w:val="24"/>
          <w:szCs w:val="24"/>
          <w:u w:val="single"/>
          <w:lang w:val="en-GB"/>
        </w:rPr>
      </w:pPr>
      <w:r w:rsidRPr="00035643">
        <w:rPr>
          <w:sz w:val="24"/>
          <w:szCs w:val="24"/>
          <w:u w:val="single"/>
          <w:lang w:val="en-GB"/>
        </w:rPr>
        <w:t>Paediatric population</w:t>
      </w:r>
    </w:p>
    <w:p w14:paraId="2EE6E145" w14:textId="454E0EB2" w:rsidR="001F59B5" w:rsidRDefault="00035643" w:rsidP="00836BC4">
      <w:pPr>
        <w:tabs>
          <w:tab w:val="left" w:pos="851"/>
        </w:tabs>
        <w:ind w:left="851"/>
        <w:rPr>
          <w:sz w:val="24"/>
          <w:szCs w:val="24"/>
          <w:lang w:val="en-GB"/>
        </w:rPr>
      </w:pPr>
      <w:r w:rsidRPr="00035643">
        <w:rPr>
          <w:sz w:val="24"/>
          <w:szCs w:val="24"/>
          <w:lang w:val="en-GB"/>
        </w:rPr>
        <w:t>The listed warnings and precautions apply both to adults and children.</w:t>
      </w:r>
    </w:p>
    <w:p w14:paraId="202862A5" w14:textId="77777777" w:rsidR="007C5D2A" w:rsidRPr="00035643" w:rsidRDefault="007C5D2A" w:rsidP="003E0341">
      <w:pPr>
        <w:tabs>
          <w:tab w:val="left" w:pos="851"/>
        </w:tabs>
        <w:ind w:left="851"/>
        <w:rPr>
          <w:sz w:val="24"/>
          <w:szCs w:val="24"/>
          <w:lang w:val="en-GB"/>
        </w:rPr>
      </w:pPr>
    </w:p>
    <w:p w14:paraId="627646BD" w14:textId="77777777"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14:paraId="692B1C02" w14:textId="77777777" w:rsidR="000332FA" w:rsidRDefault="000332FA" w:rsidP="00035643">
      <w:pPr>
        <w:tabs>
          <w:tab w:val="left" w:pos="851"/>
        </w:tabs>
        <w:ind w:left="851"/>
        <w:rPr>
          <w:iCs/>
          <w:sz w:val="24"/>
          <w:szCs w:val="24"/>
          <w:u w:val="single"/>
          <w:lang w:val="en-GB"/>
        </w:rPr>
      </w:pPr>
    </w:p>
    <w:p w14:paraId="3DE845A7" w14:textId="576F7011" w:rsidR="00035643" w:rsidRPr="00035643" w:rsidRDefault="00035643" w:rsidP="00035643">
      <w:pPr>
        <w:tabs>
          <w:tab w:val="left" w:pos="851"/>
        </w:tabs>
        <w:ind w:left="851"/>
        <w:rPr>
          <w:iCs/>
          <w:sz w:val="24"/>
          <w:szCs w:val="24"/>
          <w:u w:val="single"/>
          <w:lang w:val="en-GB"/>
        </w:rPr>
      </w:pPr>
      <w:r w:rsidRPr="00035643">
        <w:rPr>
          <w:iCs/>
          <w:sz w:val="24"/>
          <w:szCs w:val="24"/>
          <w:u w:val="single"/>
          <w:lang w:val="en-GB"/>
        </w:rPr>
        <w:t>Live attenuated virus vaccines</w:t>
      </w:r>
    </w:p>
    <w:p w14:paraId="27E2205E" w14:textId="485D1B7F" w:rsidR="00035643" w:rsidRPr="00035643" w:rsidRDefault="00035643" w:rsidP="00035643">
      <w:pPr>
        <w:tabs>
          <w:tab w:val="left" w:pos="851"/>
        </w:tabs>
        <w:ind w:left="851"/>
        <w:rPr>
          <w:sz w:val="24"/>
          <w:szCs w:val="24"/>
          <w:lang w:val="en-GB"/>
        </w:rPr>
      </w:pPr>
      <w:r w:rsidRPr="00035643">
        <w:rPr>
          <w:sz w:val="24"/>
          <w:szCs w:val="24"/>
          <w:lang w:val="en-GB"/>
        </w:rPr>
        <w:t>Immunoglobulin administration may impair for a period of at least 6 weeks and up to 3 months the efficacy of live attenuated virus vaccines such as measles</w:t>
      </w:r>
      <w:r w:rsidRPr="00035643">
        <w:rPr>
          <w:i/>
          <w:sz w:val="24"/>
          <w:szCs w:val="24"/>
          <w:lang w:val="en-GB"/>
        </w:rPr>
        <w:t xml:space="preserve">, </w:t>
      </w:r>
      <w:r w:rsidRPr="00035643">
        <w:rPr>
          <w:sz w:val="24"/>
          <w:szCs w:val="24"/>
          <w:lang w:val="en-GB"/>
        </w:rPr>
        <w:t xml:space="preserve">rubella, mumps and varicella. After administration of </w:t>
      </w:r>
      <w:proofErr w:type="spellStart"/>
      <w:r w:rsidRPr="00035643">
        <w:rPr>
          <w:sz w:val="24"/>
          <w:szCs w:val="24"/>
          <w:lang w:val="en-GB"/>
        </w:rPr>
        <w:t>Cuvitru</w:t>
      </w:r>
      <w:proofErr w:type="spellEnd"/>
      <w:r w:rsidRPr="00035643">
        <w:rPr>
          <w:sz w:val="24"/>
          <w:szCs w:val="24"/>
          <w:lang w:val="en-GB"/>
        </w:rPr>
        <w:t xml:space="preserve"> an interval of 3 months should elapse before vaccination with live attenuated virus vaccines. In the case of measles, this impairment may persist for up to 1 year. Therefore</w:t>
      </w:r>
      <w:r w:rsidR="001F59B5">
        <w:rPr>
          <w:sz w:val="24"/>
          <w:szCs w:val="24"/>
          <w:lang w:val="en-GB"/>
        </w:rPr>
        <w:t>,</w:t>
      </w:r>
      <w:r w:rsidRPr="00035643">
        <w:rPr>
          <w:sz w:val="24"/>
          <w:szCs w:val="24"/>
          <w:lang w:val="en-GB"/>
        </w:rPr>
        <w:t xml:space="preserve"> patients receiving measles vaccine should have their antibody status checked.</w:t>
      </w:r>
    </w:p>
    <w:p w14:paraId="2900776A" w14:textId="77777777" w:rsidR="00035643" w:rsidRPr="00035643" w:rsidRDefault="00035643" w:rsidP="00035643">
      <w:pPr>
        <w:tabs>
          <w:tab w:val="left" w:pos="851"/>
        </w:tabs>
        <w:ind w:left="851"/>
        <w:rPr>
          <w:sz w:val="24"/>
          <w:szCs w:val="24"/>
          <w:lang w:val="en-GB"/>
        </w:rPr>
      </w:pPr>
    </w:p>
    <w:p w14:paraId="11F1D901" w14:textId="77777777" w:rsidR="00035643" w:rsidRPr="00035643" w:rsidRDefault="00035643" w:rsidP="00035643">
      <w:pPr>
        <w:tabs>
          <w:tab w:val="left" w:pos="851"/>
        </w:tabs>
        <w:ind w:left="851"/>
        <w:rPr>
          <w:sz w:val="24"/>
          <w:szCs w:val="24"/>
          <w:u w:val="single"/>
          <w:lang w:val="en-GB"/>
        </w:rPr>
      </w:pPr>
      <w:r w:rsidRPr="00035643">
        <w:rPr>
          <w:sz w:val="24"/>
          <w:szCs w:val="24"/>
          <w:u w:val="single"/>
          <w:lang w:val="en-GB"/>
        </w:rPr>
        <w:t>Paediatric population</w:t>
      </w:r>
    </w:p>
    <w:p w14:paraId="636DF108" w14:textId="77777777" w:rsidR="00035643" w:rsidRPr="00035643" w:rsidRDefault="00035643" w:rsidP="00035643">
      <w:pPr>
        <w:tabs>
          <w:tab w:val="left" w:pos="851"/>
        </w:tabs>
        <w:ind w:left="851"/>
        <w:rPr>
          <w:sz w:val="24"/>
          <w:szCs w:val="24"/>
          <w:lang w:val="en-GB"/>
        </w:rPr>
      </w:pPr>
      <w:r w:rsidRPr="00035643">
        <w:rPr>
          <w:sz w:val="24"/>
          <w:szCs w:val="24"/>
          <w:lang w:val="en-GB"/>
        </w:rPr>
        <w:t>The listed interactions apply both to adults and children.</w:t>
      </w:r>
    </w:p>
    <w:p w14:paraId="0BC4B639" w14:textId="77777777" w:rsidR="00035643" w:rsidRPr="00035643" w:rsidRDefault="00035643" w:rsidP="00035643">
      <w:pPr>
        <w:tabs>
          <w:tab w:val="left" w:pos="851"/>
        </w:tabs>
        <w:ind w:left="851"/>
        <w:rPr>
          <w:sz w:val="24"/>
          <w:szCs w:val="24"/>
          <w:lang w:val="en-GB"/>
        </w:rPr>
      </w:pPr>
    </w:p>
    <w:p w14:paraId="5B22D59F"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14:paraId="6B5116C9" w14:textId="77777777" w:rsidR="00035643" w:rsidRPr="00035643" w:rsidRDefault="00035643" w:rsidP="00035643">
      <w:pPr>
        <w:tabs>
          <w:tab w:val="left" w:pos="851"/>
        </w:tabs>
        <w:ind w:left="851"/>
        <w:rPr>
          <w:sz w:val="24"/>
          <w:szCs w:val="24"/>
          <w:lang w:val="en-GB"/>
        </w:rPr>
      </w:pPr>
      <w:r w:rsidRPr="00035643">
        <w:rPr>
          <w:sz w:val="24"/>
          <w:szCs w:val="24"/>
          <w:lang w:val="en-GB"/>
        </w:rPr>
        <w:t xml:space="preserve">Physicians must balance the potential risk and only prescribe </w:t>
      </w:r>
      <w:proofErr w:type="spellStart"/>
      <w:r w:rsidRPr="00035643">
        <w:rPr>
          <w:sz w:val="24"/>
          <w:szCs w:val="24"/>
          <w:lang w:val="en-GB"/>
        </w:rPr>
        <w:t>Cuvitru</w:t>
      </w:r>
      <w:proofErr w:type="spellEnd"/>
      <w:r w:rsidRPr="00035643">
        <w:rPr>
          <w:sz w:val="24"/>
          <w:szCs w:val="24"/>
          <w:lang w:val="en-GB"/>
        </w:rPr>
        <w:t xml:space="preserve"> if clearly needed</w:t>
      </w:r>
    </w:p>
    <w:p w14:paraId="20E414E8" w14:textId="77777777" w:rsidR="00035643" w:rsidRPr="00035643" w:rsidRDefault="00035643" w:rsidP="00035643">
      <w:pPr>
        <w:tabs>
          <w:tab w:val="left" w:pos="851"/>
        </w:tabs>
        <w:ind w:left="851"/>
        <w:rPr>
          <w:sz w:val="24"/>
          <w:szCs w:val="24"/>
          <w:lang w:val="en-GB"/>
        </w:rPr>
      </w:pPr>
    </w:p>
    <w:p w14:paraId="6902D3BB" w14:textId="77777777" w:rsidR="00035643" w:rsidRPr="00035643" w:rsidRDefault="00035643" w:rsidP="00035643">
      <w:pPr>
        <w:tabs>
          <w:tab w:val="left" w:pos="851"/>
        </w:tabs>
        <w:ind w:left="851"/>
        <w:rPr>
          <w:sz w:val="24"/>
          <w:szCs w:val="24"/>
          <w:u w:val="single"/>
          <w:lang w:val="en-GB"/>
        </w:rPr>
      </w:pPr>
      <w:r w:rsidRPr="00035643">
        <w:rPr>
          <w:sz w:val="24"/>
          <w:szCs w:val="24"/>
          <w:u w:val="single"/>
          <w:lang w:val="en-GB"/>
        </w:rPr>
        <w:t>Pregnancy</w:t>
      </w:r>
    </w:p>
    <w:p w14:paraId="055A8F36" w14:textId="77777777" w:rsidR="00035643" w:rsidRPr="00035643" w:rsidRDefault="00035643" w:rsidP="00035643">
      <w:pPr>
        <w:tabs>
          <w:tab w:val="left" w:pos="851"/>
        </w:tabs>
        <w:ind w:left="851"/>
        <w:rPr>
          <w:sz w:val="24"/>
          <w:szCs w:val="24"/>
          <w:lang w:val="en-GB"/>
        </w:rPr>
      </w:pPr>
      <w:r w:rsidRPr="00035643">
        <w:rPr>
          <w:sz w:val="24"/>
          <w:szCs w:val="24"/>
          <w:lang w:val="en-GB"/>
        </w:rPr>
        <w:t>The safety of this medicinal product for use in human pregnancy has not been established in controlled clinical trials and therefore it should only be given with caution to pregnant women and breast-feeding mothers. IG products have been shown to cross the placenta, increasingly during the third trimester. Clinical experience with immunoglobulins suggests that no harmful effects on the course of pregnancy, or on the foetus and the neonate are to be expected.</w:t>
      </w:r>
    </w:p>
    <w:p w14:paraId="7E34B745" w14:textId="77777777" w:rsidR="00035643" w:rsidRPr="00035643" w:rsidRDefault="00035643" w:rsidP="00035643">
      <w:pPr>
        <w:tabs>
          <w:tab w:val="left" w:pos="851"/>
        </w:tabs>
        <w:ind w:left="851"/>
        <w:rPr>
          <w:sz w:val="24"/>
          <w:szCs w:val="24"/>
          <w:lang w:val="en-GB"/>
        </w:rPr>
      </w:pPr>
    </w:p>
    <w:p w14:paraId="4767DC29" w14:textId="77777777" w:rsidR="00035643" w:rsidRPr="00035643" w:rsidRDefault="00035643" w:rsidP="00035643">
      <w:pPr>
        <w:tabs>
          <w:tab w:val="left" w:pos="851"/>
        </w:tabs>
        <w:ind w:left="851"/>
        <w:rPr>
          <w:sz w:val="24"/>
          <w:szCs w:val="24"/>
          <w:u w:val="single"/>
          <w:lang w:val="en-GB"/>
        </w:rPr>
      </w:pPr>
      <w:r w:rsidRPr="00035643">
        <w:rPr>
          <w:sz w:val="24"/>
          <w:szCs w:val="24"/>
          <w:u w:val="single"/>
          <w:lang w:val="en-GB"/>
        </w:rPr>
        <w:t>Breast-feeding</w:t>
      </w:r>
    </w:p>
    <w:p w14:paraId="23620F7D" w14:textId="77777777" w:rsidR="00035643" w:rsidRPr="00035643" w:rsidRDefault="00035643" w:rsidP="00035643">
      <w:pPr>
        <w:tabs>
          <w:tab w:val="left" w:pos="851"/>
        </w:tabs>
        <w:ind w:left="851"/>
        <w:rPr>
          <w:sz w:val="24"/>
          <w:szCs w:val="24"/>
          <w:lang w:val="en-GB"/>
        </w:rPr>
      </w:pPr>
      <w:r w:rsidRPr="00035643">
        <w:rPr>
          <w:sz w:val="24"/>
          <w:szCs w:val="24"/>
          <w:lang w:val="en-GB"/>
        </w:rPr>
        <w:t>Immunoglobulins are excreted into the milk and may contribute to protecting the neonate from pathogens which have a mucosal portal of entry.</w:t>
      </w:r>
    </w:p>
    <w:p w14:paraId="03F903C2" w14:textId="77777777" w:rsidR="00035643" w:rsidRPr="00035643" w:rsidRDefault="00035643" w:rsidP="00035643">
      <w:pPr>
        <w:tabs>
          <w:tab w:val="left" w:pos="851"/>
        </w:tabs>
        <w:ind w:left="851"/>
        <w:rPr>
          <w:sz w:val="24"/>
          <w:szCs w:val="24"/>
          <w:lang w:val="en-GB"/>
        </w:rPr>
      </w:pPr>
    </w:p>
    <w:p w14:paraId="0311D8AF" w14:textId="77777777" w:rsidR="00035643" w:rsidRPr="00035643" w:rsidRDefault="00035643" w:rsidP="00035643">
      <w:pPr>
        <w:tabs>
          <w:tab w:val="left" w:pos="851"/>
        </w:tabs>
        <w:ind w:left="851"/>
        <w:rPr>
          <w:sz w:val="24"/>
          <w:szCs w:val="24"/>
          <w:u w:val="single"/>
          <w:lang w:val="en-GB"/>
        </w:rPr>
      </w:pPr>
      <w:r w:rsidRPr="00035643">
        <w:rPr>
          <w:sz w:val="24"/>
          <w:szCs w:val="24"/>
          <w:u w:val="single"/>
          <w:lang w:val="en-GB"/>
        </w:rPr>
        <w:t>Fertility</w:t>
      </w:r>
    </w:p>
    <w:p w14:paraId="7F5998AF" w14:textId="77777777" w:rsidR="00035643" w:rsidRPr="00035643" w:rsidRDefault="00035643" w:rsidP="00035643">
      <w:pPr>
        <w:tabs>
          <w:tab w:val="left" w:pos="851"/>
        </w:tabs>
        <w:ind w:left="851"/>
        <w:rPr>
          <w:sz w:val="24"/>
          <w:szCs w:val="24"/>
          <w:lang w:val="en-GB"/>
        </w:rPr>
      </w:pPr>
      <w:r w:rsidRPr="00035643">
        <w:rPr>
          <w:sz w:val="24"/>
          <w:szCs w:val="24"/>
          <w:lang w:val="en-GB"/>
        </w:rPr>
        <w:t>Clinical experience with immunoglobulins suggests that no harmful effects on fertility are to be expected.</w:t>
      </w:r>
    </w:p>
    <w:p w14:paraId="1B06ACE0" w14:textId="77777777" w:rsidR="007C5D2A" w:rsidRPr="00035643" w:rsidRDefault="007C5D2A" w:rsidP="003E0341">
      <w:pPr>
        <w:tabs>
          <w:tab w:val="left" w:pos="851"/>
        </w:tabs>
        <w:ind w:left="851"/>
        <w:rPr>
          <w:sz w:val="24"/>
          <w:szCs w:val="24"/>
          <w:lang w:val="en-GB"/>
        </w:rPr>
      </w:pPr>
    </w:p>
    <w:p w14:paraId="6A22DD52"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14:paraId="71E1A68E" w14:textId="77777777" w:rsidR="00035643" w:rsidRPr="00035643" w:rsidRDefault="00035643" w:rsidP="00035643">
      <w:pPr>
        <w:tabs>
          <w:tab w:val="left" w:pos="851"/>
        </w:tabs>
        <w:ind w:left="851"/>
        <w:rPr>
          <w:sz w:val="24"/>
          <w:szCs w:val="24"/>
          <w:lang w:val="en-GB"/>
        </w:rPr>
      </w:pPr>
      <w:r w:rsidRPr="00035643">
        <w:rPr>
          <w:sz w:val="24"/>
          <w:szCs w:val="24"/>
          <w:lang w:val="en-GB"/>
        </w:rPr>
        <w:t xml:space="preserve">The ability to drive and operate machines may be impaired by some adverse reactions associated with </w:t>
      </w:r>
      <w:proofErr w:type="spellStart"/>
      <w:r w:rsidRPr="00035643">
        <w:rPr>
          <w:sz w:val="24"/>
          <w:szCs w:val="24"/>
          <w:lang w:val="en-GB"/>
        </w:rPr>
        <w:t>Cuvitru</w:t>
      </w:r>
      <w:proofErr w:type="spellEnd"/>
      <w:r w:rsidRPr="00035643">
        <w:rPr>
          <w:sz w:val="24"/>
          <w:szCs w:val="24"/>
          <w:lang w:val="en-GB"/>
        </w:rPr>
        <w:t>. Patients who experience adverse reactions during treatment should wait for these to resolve before driving or operating machines.</w:t>
      </w:r>
    </w:p>
    <w:p w14:paraId="28AA187E" w14:textId="77777777" w:rsidR="007C5D2A" w:rsidRPr="00035643" w:rsidRDefault="007C5D2A" w:rsidP="003E0341">
      <w:pPr>
        <w:tabs>
          <w:tab w:val="left" w:pos="851"/>
        </w:tabs>
        <w:ind w:left="851"/>
        <w:rPr>
          <w:sz w:val="24"/>
          <w:szCs w:val="24"/>
          <w:lang w:val="en-GB"/>
        </w:rPr>
      </w:pPr>
    </w:p>
    <w:p w14:paraId="595156D0" w14:textId="5E96A292" w:rsidR="006B352E" w:rsidRPr="00836BC4" w:rsidRDefault="007C5D2A" w:rsidP="00836BC4">
      <w:pPr>
        <w:keepNext/>
        <w:tabs>
          <w:tab w:val="left" w:pos="851"/>
        </w:tabs>
        <w:ind w:left="851" w:hanging="851"/>
        <w:rPr>
          <w:b/>
          <w:sz w:val="24"/>
          <w:szCs w:val="24"/>
          <w:lang w:val="en-GB"/>
        </w:rPr>
      </w:pPr>
      <w:r w:rsidRPr="00303008">
        <w:rPr>
          <w:b/>
          <w:sz w:val="24"/>
          <w:szCs w:val="24"/>
          <w:lang w:val="en-GB"/>
        </w:rPr>
        <w:lastRenderedPageBreak/>
        <w:t>4.8</w:t>
      </w:r>
      <w:r w:rsidRPr="00303008">
        <w:rPr>
          <w:b/>
          <w:sz w:val="24"/>
          <w:szCs w:val="24"/>
          <w:lang w:val="en-GB"/>
        </w:rPr>
        <w:tab/>
        <w:t>Undesirable effects</w:t>
      </w:r>
    </w:p>
    <w:p w14:paraId="207C4D4B" w14:textId="77777777" w:rsidR="006B352E" w:rsidRPr="003D1261" w:rsidRDefault="006B352E" w:rsidP="003D1261">
      <w:pPr>
        <w:keepNext/>
        <w:ind w:left="851"/>
        <w:rPr>
          <w:sz w:val="24"/>
          <w:szCs w:val="24"/>
          <w:u w:val="single"/>
          <w:lang w:val="en-US"/>
        </w:rPr>
      </w:pPr>
      <w:r w:rsidRPr="003D1261">
        <w:rPr>
          <w:sz w:val="24"/>
          <w:szCs w:val="24"/>
          <w:u w:val="single"/>
          <w:lang w:val="en-US"/>
        </w:rPr>
        <w:t>Summary of the safety profile</w:t>
      </w:r>
    </w:p>
    <w:p w14:paraId="5BAE0704" w14:textId="77777777" w:rsidR="006B352E" w:rsidRPr="003D1261" w:rsidRDefault="006B352E" w:rsidP="003D1261">
      <w:pPr>
        <w:ind w:left="851"/>
        <w:rPr>
          <w:sz w:val="24"/>
          <w:szCs w:val="24"/>
          <w:lang w:val="en-US"/>
        </w:rPr>
      </w:pPr>
      <w:r w:rsidRPr="003D1261">
        <w:rPr>
          <w:sz w:val="24"/>
          <w:szCs w:val="24"/>
          <w:lang w:val="en-US"/>
        </w:rPr>
        <w:t>Adverse reactions such as chills, headache, dizziness, fever, vomiting, allergic reactions, nausea, arthralgia, low blood pressure and moderate low back pain may occur occasionally.</w:t>
      </w:r>
    </w:p>
    <w:p w14:paraId="3E501D50" w14:textId="77777777" w:rsidR="006B352E" w:rsidRPr="003D1261" w:rsidRDefault="006B352E" w:rsidP="003D1261">
      <w:pPr>
        <w:ind w:left="851"/>
        <w:rPr>
          <w:sz w:val="24"/>
          <w:szCs w:val="24"/>
          <w:lang w:val="en-US"/>
        </w:rPr>
      </w:pPr>
    </w:p>
    <w:p w14:paraId="22815F61" w14:textId="77777777" w:rsidR="006B352E" w:rsidRPr="003D1261" w:rsidRDefault="006B352E" w:rsidP="003D1261">
      <w:pPr>
        <w:ind w:left="851"/>
        <w:rPr>
          <w:sz w:val="24"/>
          <w:szCs w:val="24"/>
          <w:lang w:val="en-US"/>
        </w:rPr>
      </w:pPr>
      <w:r w:rsidRPr="003D1261">
        <w:rPr>
          <w:sz w:val="24"/>
          <w:szCs w:val="24"/>
          <w:lang w:val="en-US"/>
        </w:rPr>
        <w:t>Rarely human normal immunoglobulins may cause a sudden fall in blood pressure and, in isolated cases, anaphylactic shock, even when the patient has shown no hypersensitivity to previous administration.</w:t>
      </w:r>
    </w:p>
    <w:p w14:paraId="5834D37E" w14:textId="77777777" w:rsidR="006B352E" w:rsidRPr="003D1261" w:rsidRDefault="006B352E" w:rsidP="003D1261">
      <w:pPr>
        <w:ind w:left="851"/>
        <w:rPr>
          <w:sz w:val="24"/>
          <w:szCs w:val="24"/>
          <w:lang w:val="en-US"/>
        </w:rPr>
      </w:pPr>
    </w:p>
    <w:p w14:paraId="7DA27F02" w14:textId="77777777" w:rsidR="006B352E" w:rsidRPr="003D1261" w:rsidRDefault="006B352E" w:rsidP="003D1261">
      <w:pPr>
        <w:ind w:left="851"/>
        <w:rPr>
          <w:sz w:val="24"/>
          <w:szCs w:val="24"/>
          <w:lang w:val="en-US"/>
        </w:rPr>
      </w:pPr>
      <w:r w:rsidRPr="003D1261">
        <w:rPr>
          <w:sz w:val="24"/>
          <w:szCs w:val="24"/>
          <w:lang w:val="en-US"/>
        </w:rPr>
        <w:t>Local reactions at infusion site: swelling, soreness, redness, induration, local heat, local pain, itching, bruising and rash, may frequently occur.</w:t>
      </w:r>
    </w:p>
    <w:p w14:paraId="5DEF61B1" w14:textId="77777777" w:rsidR="006B352E" w:rsidRPr="003D1261" w:rsidRDefault="006B352E" w:rsidP="003D1261">
      <w:pPr>
        <w:ind w:left="851"/>
        <w:rPr>
          <w:sz w:val="24"/>
          <w:szCs w:val="24"/>
          <w:lang w:val="en-US"/>
        </w:rPr>
      </w:pPr>
    </w:p>
    <w:p w14:paraId="4383A7C8" w14:textId="77777777" w:rsidR="006B352E" w:rsidRPr="003D1261" w:rsidRDefault="006B352E" w:rsidP="003D1261">
      <w:pPr>
        <w:ind w:left="851"/>
        <w:rPr>
          <w:sz w:val="24"/>
          <w:szCs w:val="24"/>
          <w:lang w:val="en-US"/>
        </w:rPr>
      </w:pPr>
      <w:r w:rsidRPr="003D1261">
        <w:rPr>
          <w:sz w:val="24"/>
          <w:szCs w:val="24"/>
          <w:lang w:val="en-US"/>
        </w:rPr>
        <w:t>For safety information with respect to transmissible agents, see section 4.4.</w:t>
      </w:r>
    </w:p>
    <w:p w14:paraId="2CC86D63" w14:textId="77777777" w:rsidR="006B352E" w:rsidRPr="003D1261" w:rsidRDefault="006B352E" w:rsidP="003D1261">
      <w:pPr>
        <w:ind w:left="851"/>
        <w:rPr>
          <w:sz w:val="24"/>
          <w:szCs w:val="24"/>
          <w:lang w:val="en-US"/>
        </w:rPr>
      </w:pPr>
    </w:p>
    <w:p w14:paraId="20193E9E" w14:textId="77777777" w:rsidR="006B352E" w:rsidRPr="003D1261" w:rsidRDefault="006B352E" w:rsidP="003D1261">
      <w:pPr>
        <w:keepNext/>
        <w:ind w:left="851"/>
        <w:rPr>
          <w:sz w:val="24"/>
          <w:szCs w:val="24"/>
          <w:u w:val="single"/>
          <w:lang w:val="en-US"/>
        </w:rPr>
      </w:pPr>
      <w:r w:rsidRPr="003D1261">
        <w:rPr>
          <w:sz w:val="24"/>
          <w:szCs w:val="24"/>
          <w:u w:val="single"/>
          <w:lang w:val="en-US"/>
        </w:rPr>
        <w:t>Tabulated list of adverse reactions</w:t>
      </w:r>
    </w:p>
    <w:p w14:paraId="0383EA1A" w14:textId="77777777" w:rsidR="006B352E" w:rsidRPr="003D1261" w:rsidRDefault="006B352E" w:rsidP="003D1261">
      <w:pPr>
        <w:keepNext/>
        <w:ind w:left="851"/>
        <w:rPr>
          <w:bCs/>
          <w:iCs/>
          <w:sz w:val="24"/>
          <w:szCs w:val="24"/>
          <w:lang w:val="en-US"/>
        </w:rPr>
      </w:pPr>
      <w:r w:rsidRPr="003D1261">
        <w:rPr>
          <w:bCs/>
          <w:iCs/>
          <w:sz w:val="24"/>
          <w:szCs w:val="24"/>
          <w:lang w:val="en-US"/>
        </w:rPr>
        <w:t xml:space="preserve">The safety of </w:t>
      </w:r>
      <w:proofErr w:type="spellStart"/>
      <w:r w:rsidRPr="003D1261">
        <w:rPr>
          <w:bCs/>
          <w:iCs/>
          <w:sz w:val="24"/>
          <w:szCs w:val="24"/>
          <w:lang w:val="en-US"/>
        </w:rPr>
        <w:t>Cuvitru</w:t>
      </w:r>
      <w:proofErr w:type="spellEnd"/>
      <w:r w:rsidRPr="003D1261">
        <w:rPr>
          <w:bCs/>
          <w:iCs/>
          <w:sz w:val="24"/>
          <w:szCs w:val="24"/>
          <w:lang w:val="en-US"/>
        </w:rPr>
        <w:t xml:space="preserve"> administered subcutaneously was evaluated in two prospective, open-label, non-controlled, multi-</w:t>
      </w:r>
      <w:proofErr w:type="spellStart"/>
      <w:r w:rsidRPr="003D1261">
        <w:rPr>
          <w:bCs/>
          <w:iCs/>
          <w:sz w:val="24"/>
          <w:szCs w:val="24"/>
          <w:lang w:val="en-US"/>
        </w:rPr>
        <w:t>centre</w:t>
      </w:r>
      <w:proofErr w:type="spellEnd"/>
      <w:r w:rsidRPr="003D1261">
        <w:rPr>
          <w:bCs/>
          <w:iCs/>
          <w:sz w:val="24"/>
          <w:szCs w:val="24"/>
          <w:lang w:val="en-US"/>
        </w:rPr>
        <w:t xml:space="preserve"> studies in 122 subjects with primary immune deficiency (PID).</w:t>
      </w:r>
    </w:p>
    <w:p w14:paraId="76B88B7C" w14:textId="77777777" w:rsidR="006B352E" w:rsidRPr="003D1261" w:rsidRDefault="006B352E" w:rsidP="003D1261">
      <w:pPr>
        <w:keepNext/>
        <w:ind w:left="851"/>
        <w:rPr>
          <w:bCs/>
          <w:iCs/>
          <w:sz w:val="24"/>
          <w:szCs w:val="24"/>
          <w:lang w:val="en-US"/>
        </w:rPr>
      </w:pPr>
    </w:p>
    <w:p w14:paraId="20CBFC0D" w14:textId="77777777" w:rsidR="006B352E" w:rsidRPr="003D1261" w:rsidRDefault="006B352E" w:rsidP="003D1261">
      <w:pPr>
        <w:keepNext/>
        <w:ind w:left="851"/>
        <w:rPr>
          <w:bCs/>
          <w:iCs/>
          <w:sz w:val="24"/>
          <w:szCs w:val="24"/>
          <w:lang w:val="en-US"/>
        </w:rPr>
      </w:pPr>
      <w:r w:rsidRPr="003D1261">
        <w:rPr>
          <w:bCs/>
          <w:iCs/>
          <w:sz w:val="24"/>
          <w:szCs w:val="24"/>
          <w:lang w:val="en-US"/>
        </w:rPr>
        <w:t xml:space="preserve">The majority (98.8%) of local adverse reactions (ARs) were mild in intensity. One subject discontinued treatment due to a local AR (pain). 112 out of 122 subjects treated with </w:t>
      </w:r>
      <w:proofErr w:type="spellStart"/>
      <w:r w:rsidRPr="003D1261">
        <w:rPr>
          <w:bCs/>
          <w:iCs/>
          <w:sz w:val="24"/>
          <w:szCs w:val="24"/>
          <w:lang w:val="en-US"/>
        </w:rPr>
        <w:t>Cuvitru</w:t>
      </w:r>
      <w:proofErr w:type="spellEnd"/>
      <w:r w:rsidRPr="003D1261">
        <w:rPr>
          <w:bCs/>
          <w:iCs/>
          <w:sz w:val="24"/>
          <w:szCs w:val="24"/>
          <w:lang w:val="en-US"/>
        </w:rPr>
        <w:t xml:space="preserve"> completed a study.</w:t>
      </w:r>
    </w:p>
    <w:p w14:paraId="4C9136B2" w14:textId="77777777" w:rsidR="006B352E" w:rsidRPr="003D1261" w:rsidRDefault="006B352E" w:rsidP="003D1261">
      <w:pPr>
        <w:ind w:left="851"/>
        <w:rPr>
          <w:bCs/>
          <w:iCs/>
          <w:sz w:val="24"/>
          <w:szCs w:val="24"/>
          <w:lang w:val="en-US"/>
        </w:rPr>
      </w:pPr>
    </w:p>
    <w:p w14:paraId="79EC1870" w14:textId="0CA72C66" w:rsidR="006B352E" w:rsidRPr="003D1261" w:rsidRDefault="006B352E" w:rsidP="003D1261">
      <w:pPr>
        <w:ind w:left="851"/>
        <w:rPr>
          <w:bCs/>
          <w:iCs/>
          <w:sz w:val="24"/>
          <w:szCs w:val="24"/>
          <w:lang w:val="en-US"/>
        </w:rPr>
      </w:pPr>
      <w:r w:rsidRPr="003D1261">
        <w:rPr>
          <w:bCs/>
          <w:iCs/>
          <w:sz w:val="24"/>
          <w:szCs w:val="24"/>
          <w:lang w:val="en-US"/>
        </w:rPr>
        <w:t xml:space="preserve">The table presented below is according to the MedDRA system organ classification (SOC and Preferred Term Level). Frequencies have been evaluated according to the following convention: </w:t>
      </w:r>
      <w:r w:rsidR="003D1261">
        <w:rPr>
          <w:bCs/>
          <w:iCs/>
          <w:sz w:val="24"/>
          <w:szCs w:val="24"/>
          <w:lang w:val="en-US"/>
        </w:rPr>
        <w:t>V</w:t>
      </w:r>
      <w:r w:rsidRPr="003D1261">
        <w:rPr>
          <w:bCs/>
          <w:iCs/>
          <w:sz w:val="24"/>
          <w:szCs w:val="24"/>
          <w:lang w:val="en-US"/>
        </w:rPr>
        <w:t>ery common (≥1/10); common (≥1/100 to &lt;1/10); uncommon (≥1/1,000 to &lt;1/100); rare (≥1/10,000 to &lt;1/1,000); very rare (&lt;1/10,000); not known (cannot be estimated from available data). Within each frequency grouping, adverse reactions are presented in the order of decreasing seriousness.</w:t>
      </w:r>
    </w:p>
    <w:p w14:paraId="71726F5B" w14:textId="77777777" w:rsidR="006B352E" w:rsidRPr="006B352E" w:rsidRDefault="006B352E" w:rsidP="006B352E">
      <w:pPr>
        <w:rPr>
          <w:bCs/>
          <w:iCs/>
          <w:szCs w:val="22"/>
          <w:lang w:val="en-US"/>
        </w:rPr>
      </w:pPr>
    </w:p>
    <w:p w14:paraId="4E26DAD6" w14:textId="77777777" w:rsidR="006B352E" w:rsidRPr="001F59B5" w:rsidRDefault="006B352E" w:rsidP="006B352E">
      <w:pPr>
        <w:rPr>
          <w:bCs/>
          <w:iCs/>
          <w:sz w:val="24"/>
          <w:szCs w:val="24"/>
          <w:lang w:val="en-US"/>
        </w:rPr>
      </w:pPr>
      <w:r w:rsidRPr="001F59B5">
        <w:rPr>
          <w:sz w:val="24"/>
          <w:szCs w:val="24"/>
          <w:lang w:val="en-US"/>
        </w:rPr>
        <w:t xml:space="preserve">Table </w:t>
      </w:r>
      <w:r w:rsidRPr="001F59B5">
        <w:rPr>
          <w:sz w:val="24"/>
          <w:szCs w:val="24"/>
        </w:rPr>
        <w:fldChar w:fldCharType="begin"/>
      </w:r>
      <w:r w:rsidRPr="001F59B5">
        <w:rPr>
          <w:sz w:val="24"/>
          <w:szCs w:val="24"/>
          <w:lang w:val="en-US"/>
        </w:rPr>
        <w:instrText xml:space="preserve"> SEQ Table \* ARABIC </w:instrText>
      </w:r>
      <w:r w:rsidRPr="001F59B5">
        <w:rPr>
          <w:sz w:val="24"/>
          <w:szCs w:val="24"/>
        </w:rPr>
        <w:fldChar w:fldCharType="separate"/>
      </w:r>
      <w:r w:rsidRPr="001F59B5">
        <w:rPr>
          <w:noProof/>
          <w:sz w:val="24"/>
          <w:szCs w:val="24"/>
          <w:lang w:val="en-US"/>
        </w:rPr>
        <w:t>1</w:t>
      </w:r>
      <w:r w:rsidRPr="001F59B5">
        <w:rPr>
          <w:sz w:val="24"/>
          <w:szCs w:val="24"/>
        </w:rPr>
        <w:fldChar w:fldCharType="end"/>
      </w:r>
      <w:r w:rsidRPr="001F59B5">
        <w:rPr>
          <w:sz w:val="24"/>
          <w:szCs w:val="24"/>
          <w:lang w:val="en-US"/>
        </w:rPr>
        <w:t xml:space="preserve">: </w:t>
      </w:r>
      <w:r w:rsidRPr="001F59B5">
        <w:rPr>
          <w:bCs/>
          <w:iCs/>
          <w:sz w:val="24"/>
          <w:szCs w:val="24"/>
          <w:lang w:val="en-US"/>
        </w:rPr>
        <w:t xml:space="preserve">Frequency of Adverse Reactions (ADRs) in clinical studies with </w:t>
      </w:r>
      <w:proofErr w:type="spellStart"/>
      <w:r w:rsidRPr="001F59B5">
        <w:rPr>
          <w:bCs/>
          <w:iCs/>
          <w:sz w:val="24"/>
          <w:szCs w:val="24"/>
          <w:lang w:val="en-US"/>
        </w:rPr>
        <w:t>Cuvitru</w:t>
      </w:r>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504"/>
        <w:gridCol w:w="4234"/>
        <w:gridCol w:w="1452"/>
        <w:gridCol w:w="1438"/>
      </w:tblGrid>
      <w:tr w:rsidR="006B352E" w:rsidRPr="00F70B53" w14:paraId="21B92297" w14:textId="77777777" w:rsidTr="001F59B5">
        <w:trPr>
          <w:tblHeader/>
        </w:trPr>
        <w:tc>
          <w:tcPr>
            <w:tcW w:w="5000" w:type="pct"/>
            <w:gridSpan w:val="4"/>
            <w:tcBorders>
              <w:top w:val="single" w:sz="4" w:space="0" w:color="auto"/>
              <w:left w:val="single" w:sz="4" w:space="0" w:color="auto"/>
              <w:bottom w:val="single" w:sz="4" w:space="0" w:color="auto"/>
              <w:right w:val="single" w:sz="4" w:space="0" w:color="auto"/>
            </w:tcBorders>
            <w:hideMark/>
          </w:tcPr>
          <w:p w14:paraId="43A6296C" w14:textId="77777777" w:rsidR="006B352E" w:rsidRPr="001F59B5" w:rsidRDefault="006B352E">
            <w:pPr>
              <w:keepNext/>
              <w:jc w:val="center"/>
              <w:rPr>
                <w:b/>
                <w:bCs/>
                <w:noProof/>
                <w:sz w:val="22"/>
                <w:szCs w:val="22"/>
                <w:lang w:val="en-US"/>
              </w:rPr>
            </w:pPr>
            <w:r w:rsidRPr="001F59B5">
              <w:rPr>
                <w:b/>
                <w:bCs/>
                <w:noProof/>
                <w:sz w:val="22"/>
                <w:szCs w:val="22"/>
                <w:lang w:val="en-US"/>
              </w:rPr>
              <w:t>Table 1</w:t>
            </w:r>
          </w:p>
          <w:p w14:paraId="588FDA5E" w14:textId="77777777" w:rsidR="006B352E" w:rsidRPr="001F59B5" w:rsidRDefault="006B352E">
            <w:pPr>
              <w:keepNext/>
              <w:jc w:val="center"/>
              <w:rPr>
                <w:b/>
                <w:bCs/>
                <w:sz w:val="22"/>
                <w:szCs w:val="22"/>
                <w:lang w:val="en-US"/>
              </w:rPr>
            </w:pPr>
            <w:r w:rsidRPr="001F59B5">
              <w:rPr>
                <w:b/>
                <w:bCs/>
                <w:noProof/>
                <w:sz w:val="22"/>
                <w:szCs w:val="22"/>
                <w:lang w:val="en-US"/>
              </w:rPr>
              <w:t>Frequency of Adverse Reactions (ADRs) in clinical studies with CUVITRU</w:t>
            </w:r>
          </w:p>
        </w:tc>
      </w:tr>
      <w:tr w:rsidR="006B352E" w:rsidRPr="001F59B5" w14:paraId="7F9BEB2F" w14:textId="77777777" w:rsidTr="001F59B5">
        <w:trPr>
          <w:tblHeader/>
        </w:trPr>
        <w:tc>
          <w:tcPr>
            <w:tcW w:w="1300" w:type="pct"/>
            <w:tcBorders>
              <w:top w:val="single" w:sz="4" w:space="0" w:color="auto"/>
              <w:left w:val="single" w:sz="4" w:space="0" w:color="auto"/>
              <w:bottom w:val="single" w:sz="4" w:space="0" w:color="auto"/>
              <w:right w:val="single" w:sz="4" w:space="0" w:color="auto"/>
            </w:tcBorders>
            <w:hideMark/>
          </w:tcPr>
          <w:p w14:paraId="5670B78C" w14:textId="77777777" w:rsidR="006B352E" w:rsidRPr="001F59B5" w:rsidRDefault="006B352E">
            <w:pPr>
              <w:keepNext/>
              <w:rPr>
                <w:b/>
                <w:bCs/>
                <w:sz w:val="22"/>
                <w:szCs w:val="22"/>
                <w:lang w:val="en-US"/>
              </w:rPr>
            </w:pPr>
            <w:r w:rsidRPr="001F59B5">
              <w:rPr>
                <w:b/>
                <w:bCs/>
                <w:sz w:val="22"/>
                <w:szCs w:val="22"/>
                <w:lang w:val="en-US"/>
              </w:rPr>
              <w:t>MedDRA</w:t>
            </w:r>
          </w:p>
          <w:p w14:paraId="3D3E54A5" w14:textId="77777777" w:rsidR="006B352E" w:rsidRPr="001F59B5" w:rsidRDefault="006B352E">
            <w:pPr>
              <w:keepNext/>
              <w:rPr>
                <w:b/>
                <w:bCs/>
                <w:sz w:val="22"/>
                <w:szCs w:val="22"/>
                <w:lang w:val="en-US"/>
              </w:rPr>
            </w:pPr>
            <w:r w:rsidRPr="001F59B5">
              <w:rPr>
                <w:b/>
                <w:bCs/>
                <w:sz w:val="22"/>
                <w:szCs w:val="22"/>
                <w:lang w:val="en-US"/>
              </w:rPr>
              <w:t>System Organ Class (SOC)</w:t>
            </w:r>
          </w:p>
        </w:tc>
        <w:tc>
          <w:tcPr>
            <w:tcW w:w="2199" w:type="pct"/>
            <w:tcBorders>
              <w:top w:val="single" w:sz="4" w:space="0" w:color="auto"/>
              <w:left w:val="single" w:sz="4" w:space="0" w:color="auto"/>
              <w:bottom w:val="single" w:sz="4" w:space="0" w:color="auto"/>
              <w:right w:val="single" w:sz="4" w:space="0" w:color="auto"/>
            </w:tcBorders>
            <w:hideMark/>
          </w:tcPr>
          <w:p w14:paraId="1B420F2B" w14:textId="77777777" w:rsidR="006B352E" w:rsidRPr="001F59B5" w:rsidRDefault="006B352E">
            <w:pPr>
              <w:keepNext/>
              <w:rPr>
                <w:b/>
                <w:bCs/>
                <w:sz w:val="22"/>
                <w:szCs w:val="22"/>
              </w:rPr>
            </w:pPr>
            <w:proofErr w:type="spellStart"/>
            <w:r w:rsidRPr="001F59B5">
              <w:rPr>
                <w:b/>
                <w:bCs/>
                <w:sz w:val="22"/>
                <w:szCs w:val="22"/>
              </w:rPr>
              <w:t>Adverse</w:t>
            </w:r>
            <w:proofErr w:type="spellEnd"/>
            <w:r w:rsidRPr="001F59B5">
              <w:rPr>
                <w:b/>
                <w:bCs/>
                <w:sz w:val="22"/>
                <w:szCs w:val="22"/>
              </w:rPr>
              <w:t xml:space="preserve"> </w:t>
            </w:r>
            <w:proofErr w:type="spellStart"/>
            <w:r w:rsidRPr="001F59B5">
              <w:rPr>
                <w:b/>
                <w:bCs/>
                <w:sz w:val="22"/>
                <w:szCs w:val="22"/>
              </w:rPr>
              <w:t>reaction</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504C9433" w14:textId="77777777" w:rsidR="006B352E" w:rsidRPr="001F59B5" w:rsidRDefault="006B352E">
            <w:pPr>
              <w:keepNext/>
              <w:rPr>
                <w:b/>
                <w:bCs/>
                <w:sz w:val="22"/>
                <w:szCs w:val="22"/>
              </w:rPr>
            </w:pPr>
            <w:proofErr w:type="spellStart"/>
            <w:r w:rsidRPr="001F59B5">
              <w:rPr>
                <w:b/>
                <w:bCs/>
                <w:sz w:val="22"/>
                <w:szCs w:val="22"/>
              </w:rPr>
              <w:t>Frequency</w:t>
            </w:r>
            <w:proofErr w:type="spellEnd"/>
            <w:r w:rsidRPr="001F59B5">
              <w:rPr>
                <w:b/>
                <w:bCs/>
                <w:sz w:val="22"/>
                <w:szCs w:val="22"/>
              </w:rPr>
              <w:br/>
              <w:t xml:space="preserve">per </w:t>
            </w:r>
            <w:proofErr w:type="spellStart"/>
            <w:r w:rsidRPr="001F59B5">
              <w:rPr>
                <w:b/>
                <w:bCs/>
                <w:sz w:val="22"/>
                <w:szCs w:val="22"/>
              </w:rPr>
              <w:t>subject</w:t>
            </w:r>
            <w:r w:rsidRPr="001F59B5">
              <w:rPr>
                <w:b/>
                <w:bCs/>
                <w:sz w:val="22"/>
                <w:szCs w:val="22"/>
                <w:vertAlign w:val="superscript"/>
              </w:rPr>
              <w:t>a</w:t>
            </w:r>
            <w:proofErr w:type="spellEnd"/>
          </w:p>
        </w:tc>
        <w:tc>
          <w:tcPr>
            <w:tcW w:w="747" w:type="pct"/>
            <w:tcBorders>
              <w:top w:val="single" w:sz="4" w:space="0" w:color="auto"/>
              <w:left w:val="single" w:sz="4" w:space="0" w:color="auto"/>
              <w:bottom w:val="single" w:sz="4" w:space="0" w:color="auto"/>
              <w:right w:val="single" w:sz="4" w:space="0" w:color="auto"/>
            </w:tcBorders>
            <w:hideMark/>
          </w:tcPr>
          <w:p w14:paraId="24DE4F7B" w14:textId="77777777" w:rsidR="006B352E" w:rsidRPr="001F59B5" w:rsidRDefault="006B352E">
            <w:pPr>
              <w:keepNext/>
              <w:rPr>
                <w:b/>
                <w:bCs/>
                <w:sz w:val="22"/>
                <w:szCs w:val="22"/>
              </w:rPr>
            </w:pPr>
            <w:proofErr w:type="spellStart"/>
            <w:r w:rsidRPr="001F59B5">
              <w:rPr>
                <w:b/>
                <w:bCs/>
                <w:sz w:val="22"/>
                <w:szCs w:val="22"/>
              </w:rPr>
              <w:t>Frequency</w:t>
            </w:r>
            <w:proofErr w:type="spellEnd"/>
            <w:r w:rsidRPr="001F59B5">
              <w:rPr>
                <w:b/>
                <w:bCs/>
                <w:sz w:val="22"/>
                <w:szCs w:val="22"/>
              </w:rPr>
              <w:br/>
              <w:t xml:space="preserve">per </w:t>
            </w:r>
            <w:proofErr w:type="spellStart"/>
            <w:r w:rsidRPr="001F59B5">
              <w:rPr>
                <w:b/>
                <w:bCs/>
                <w:sz w:val="22"/>
                <w:szCs w:val="22"/>
              </w:rPr>
              <w:t>infusion</w:t>
            </w:r>
            <w:r w:rsidRPr="001F59B5">
              <w:rPr>
                <w:b/>
                <w:bCs/>
                <w:sz w:val="22"/>
                <w:szCs w:val="22"/>
                <w:vertAlign w:val="superscript"/>
              </w:rPr>
              <w:t>b</w:t>
            </w:r>
            <w:proofErr w:type="spellEnd"/>
          </w:p>
        </w:tc>
      </w:tr>
      <w:tr w:rsidR="006B352E" w:rsidRPr="001F59B5" w14:paraId="61793E87" w14:textId="77777777" w:rsidTr="001F59B5">
        <w:trPr>
          <w:trHeight w:val="424"/>
        </w:trPr>
        <w:tc>
          <w:tcPr>
            <w:tcW w:w="1300" w:type="pct"/>
            <w:vMerge w:val="restart"/>
            <w:tcBorders>
              <w:top w:val="single" w:sz="4" w:space="0" w:color="auto"/>
              <w:left w:val="single" w:sz="4" w:space="0" w:color="auto"/>
              <w:bottom w:val="single" w:sz="4" w:space="0" w:color="auto"/>
              <w:right w:val="single" w:sz="4" w:space="0" w:color="auto"/>
            </w:tcBorders>
            <w:hideMark/>
          </w:tcPr>
          <w:p w14:paraId="1B9A718C" w14:textId="77777777" w:rsidR="006B352E" w:rsidRPr="001F59B5" w:rsidRDefault="006B352E">
            <w:pPr>
              <w:rPr>
                <w:sz w:val="22"/>
                <w:szCs w:val="22"/>
              </w:rPr>
            </w:pPr>
            <w:r w:rsidRPr="001F59B5">
              <w:rPr>
                <w:sz w:val="22"/>
                <w:szCs w:val="22"/>
              </w:rPr>
              <w:t>NERVOUS SYSTEM DISORDERS</w:t>
            </w:r>
          </w:p>
        </w:tc>
        <w:tc>
          <w:tcPr>
            <w:tcW w:w="2199" w:type="pct"/>
            <w:tcBorders>
              <w:top w:val="single" w:sz="4" w:space="0" w:color="auto"/>
              <w:left w:val="single" w:sz="4" w:space="0" w:color="auto"/>
              <w:bottom w:val="single" w:sz="4" w:space="0" w:color="auto"/>
              <w:right w:val="single" w:sz="4" w:space="0" w:color="auto"/>
            </w:tcBorders>
            <w:hideMark/>
          </w:tcPr>
          <w:p w14:paraId="0F02CAEC" w14:textId="77777777" w:rsidR="006B352E" w:rsidRPr="001F59B5" w:rsidRDefault="006B352E">
            <w:pPr>
              <w:rPr>
                <w:sz w:val="22"/>
                <w:szCs w:val="22"/>
              </w:rPr>
            </w:pPr>
            <w:proofErr w:type="spellStart"/>
            <w:r w:rsidRPr="001F59B5">
              <w:rPr>
                <w:sz w:val="22"/>
                <w:szCs w:val="22"/>
              </w:rPr>
              <w:t>Headache</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792F8903" w14:textId="77777777" w:rsidR="006B352E" w:rsidRPr="001F59B5" w:rsidRDefault="006B352E">
            <w:pPr>
              <w:rPr>
                <w:sz w:val="22"/>
                <w:szCs w:val="22"/>
              </w:rPr>
            </w:pPr>
            <w:proofErr w:type="spellStart"/>
            <w:r w:rsidRPr="001F59B5">
              <w:rPr>
                <w:sz w:val="22"/>
                <w:szCs w:val="22"/>
              </w:rPr>
              <w:t>Very</w:t>
            </w:r>
            <w:proofErr w:type="spellEnd"/>
            <w:r w:rsidRPr="001F59B5">
              <w:rPr>
                <w:sz w:val="22"/>
                <w:szCs w:val="22"/>
              </w:rPr>
              <w:t xml:space="preserve"> Common</w:t>
            </w:r>
          </w:p>
        </w:tc>
        <w:tc>
          <w:tcPr>
            <w:tcW w:w="747" w:type="pct"/>
            <w:tcBorders>
              <w:top w:val="single" w:sz="4" w:space="0" w:color="auto"/>
              <w:left w:val="single" w:sz="4" w:space="0" w:color="auto"/>
              <w:bottom w:val="single" w:sz="4" w:space="0" w:color="auto"/>
              <w:right w:val="single" w:sz="4" w:space="0" w:color="auto"/>
            </w:tcBorders>
            <w:hideMark/>
          </w:tcPr>
          <w:p w14:paraId="2FA82AA8" w14:textId="77777777" w:rsidR="006B352E" w:rsidRPr="001F59B5" w:rsidRDefault="006B352E">
            <w:pPr>
              <w:rPr>
                <w:sz w:val="22"/>
                <w:szCs w:val="22"/>
              </w:rPr>
            </w:pPr>
            <w:r w:rsidRPr="001F59B5">
              <w:rPr>
                <w:sz w:val="22"/>
                <w:szCs w:val="22"/>
              </w:rPr>
              <w:t>Common</w:t>
            </w:r>
          </w:p>
        </w:tc>
      </w:tr>
      <w:tr w:rsidR="006B352E" w:rsidRPr="001F59B5" w14:paraId="4B9A1E5D" w14:textId="77777777" w:rsidTr="001F59B5">
        <w:trPr>
          <w:trHeight w:val="425"/>
        </w:trPr>
        <w:tc>
          <w:tcPr>
            <w:tcW w:w="1300" w:type="pct"/>
            <w:vMerge/>
            <w:tcBorders>
              <w:top w:val="single" w:sz="4" w:space="0" w:color="auto"/>
              <w:left w:val="single" w:sz="4" w:space="0" w:color="auto"/>
              <w:bottom w:val="single" w:sz="4" w:space="0" w:color="auto"/>
              <w:right w:val="single" w:sz="4" w:space="0" w:color="auto"/>
            </w:tcBorders>
            <w:vAlign w:val="center"/>
            <w:hideMark/>
          </w:tcPr>
          <w:p w14:paraId="0360B689" w14:textId="77777777" w:rsidR="006B352E" w:rsidRPr="001F59B5" w:rsidRDefault="006B352E">
            <w:pPr>
              <w:rPr>
                <w:sz w:val="22"/>
                <w:szCs w:val="22"/>
                <w:lang w:val="en-GB" w:eastAsia="en-US"/>
              </w:rPr>
            </w:pPr>
          </w:p>
        </w:tc>
        <w:tc>
          <w:tcPr>
            <w:tcW w:w="2199" w:type="pct"/>
            <w:tcBorders>
              <w:top w:val="single" w:sz="4" w:space="0" w:color="auto"/>
              <w:left w:val="single" w:sz="4" w:space="0" w:color="auto"/>
              <w:bottom w:val="single" w:sz="4" w:space="0" w:color="auto"/>
              <w:right w:val="single" w:sz="4" w:space="0" w:color="auto"/>
            </w:tcBorders>
            <w:hideMark/>
          </w:tcPr>
          <w:p w14:paraId="3047520E" w14:textId="77777777" w:rsidR="006B352E" w:rsidRPr="001F59B5" w:rsidRDefault="006B352E">
            <w:pPr>
              <w:rPr>
                <w:sz w:val="22"/>
                <w:szCs w:val="22"/>
              </w:rPr>
            </w:pPr>
            <w:proofErr w:type="spellStart"/>
            <w:r w:rsidRPr="001F59B5">
              <w:rPr>
                <w:sz w:val="22"/>
                <w:szCs w:val="22"/>
              </w:rPr>
              <w:t>Dizziness</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3B23A3F9" w14:textId="77777777" w:rsidR="006B352E" w:rsidRPr="001F59B5" w:rsidRDefault="006B352E">
            <w:pPr>
              <w:rPr>
                <w:sz w:val="22"/>
                <w:szCs w:val="22"/>
              </w:rPr>
            </w:pPr>
            <w:r w:rsidRPr="001F59B5">
              <w:rPr>
                <w:sz w:val="22"/>
                <w:szCs w:val="22"/>
              </w:rPr>
              <w:t>Common</w:t>
            </w:r>
          </w:p>
        </w:tc>
        <w:tc>
          <w:tcPr>
            <w:tcW w:w="747" w:type="pct"/>
            <w:tcBorders>
              <w:top w:val="single" w:sz="4" w:space="0" w:color="auto"/>
              <w:left w:val="single" w:sz="4" w:space="0" w:color="auto"/>
              <w:bottom w:val="single" w:sz="4" w:space="0" w:color="auto"/>
              <w:right w:val="single" w:sz="4" w:space="0" w:color="auto"/>
            </w:tcBorders>
            <w:hideMark/>
          </w:tcPr>
          <w:p w14:paraId="61566CD5" w14:textId="77777777" w:rsidR="006B352E" w:rsidRPr="001F59B5" w:rsidRDefault="006B352E">
            <w:pPr>
              <w:rPr>
                <w:sz w:val="22"/>
                <w:szCs w:val="22"/>
              </w:rPr>
            </w:pPr>
            <w:proofErr w:type="spellStart"/>
            <w:r w:rsidRPr="001F59B5">
              <w:rPr>
                <w:sz w:val="22"/>
                <w:szCs w:val="22"/>
              </w:rPr>
              <w:t>Uncommon</w:t>
            </w:r>
            <w:proofErr w:type="spellEnd"/>
          </w:p>
        </w:tc>
      </w:tr>
      <w:tr w:rsidR="006B352E" w:rsidRPr="001F59B5" w14:paraId="5FD7941B" w14:textId="77777777" w:rsidTr="001F59B5">
        <w:trPr>
          <w:trHeight w:val="425"/>
        </w:trPr>
        <w:tc>
          <w:tcPr>
            <w:tcW w:w="1300" w:type="pct"/>
            <w:vMerge/>
            <w:tcBorders>
              <w:top w:val="single" w:sz="4" w:space="0" w:color="auto"/>
              <w:left w:val="single" w:sz="4" w:space="0" w:color="auto"/>
              <w:bottom w:val="single" w:sz="4" w:space="0" w:color="auto"/>
              <w:right w:val="single" w:sz="4" w:space="0" w:color="auto"/>
            </w:tcBorders>
            <w:vAlign w:val="center"/>
            <w:hideMark/>
          </w:tcPr>
          <w:p w14:paraId="728BC0B4" w14:textId="77777777" w:rsidR="006B352E" w:rsidRPr="001F59B5" w:rsidRDefault="006B352E">
            <w:pPr>
              <w:rPr>
                <w:sz w:val="22"/>
                <w:szCs w:val="22"/>
                <w:lang w:val="en-GB" w:eastAsia="en-US"/>
              </w:rPr>
            </w:pPr>
          </w:p>
        </w:tc>
        <w:tc>
          <w:tcPr>
            <w:tcW w:w="2199" w:type="pct"/>
            <w:tcBorders>
              <w:top w:val="single" w:sz="4" w:space="0" w:color="auto"/>
              <w:left w:val="single" w:sz="4" w:space="0" w:color="auto"/>
              <w:bottom w:val="single" w:sz="4" w:space="0" w:color="auto"/>
              <w:right w:val="single" w:sz="4" w:space="0" w:color="auto"/>
            </w:tcBorders>
            <w:hideMark/>
          </w:tcPr>
          <w:p w14:paraId="766CC14F" w14:textId="77777777" w:rsidR="006B352E" w:rsidRPr="001F59B5" w:rsidRDefault="006B352E">
            <w:pPr>
              <w:rPr>
                <w:sz w:val="22"/>
                <w:szCs w:val="22"/>
              </w:rPr>
            </w:pPr>
            <w:proofErr w:type="spellStart"/>
            <w:r w:rsidRPr="001F59B5">
              <w:rPr>
                <w:sz w:val="22"/>
                <w:szCs w:val="22"/>
              </w:rPr>
              <w:t>Burning</w:t>
            </w:r>
            <w:proofErr w:type="spellEnd"/>
            <w:r w:rsidRPr="001F59B5">
              <w:rPr>
                <w:sz w:val="22"/>
                <w:szCs w:val="22"/>
              </w:rPr>
              <w:t xml:space="preserve"> sensation</w:t>
            </w:r>
          </w:p>
        </w:tc>
        <w:tc>
          <w:tcPr>
            <w:tcW w:w="754" w:type="pct"/>
            <w:tcBorders>
              <w:top w:val="single" w:sz="4" w:space="0" w:color="auto"/>
              <w:left w:val="single" w:sz="4" w:space="0" w:color="auto"/>
              <w:bottom w:val="single" w:sz="4" w:space="0" w:color="auto"/>
              <w:right w:val="single" w:sz="4" w:space="0" w:color="auto"/>
            </w:tcBorders>
            <w:hideMark/>
          </w:tcPr>
          <w:p w14:paraId="4540E0B8" w14:textId="77777777" w:rsidR="006B352E" w:rsidRPr="001F59B5" w:rsidRDefault="006B352E">
            <w:pPr>
              <w:rPr>
                <w:sz w:val="22"/>
                <w:szCs w:val="22"/>
              </w:rPr>
            </w:pPr>
            <w:proofErr w:type="spellStart"/>
            <w:r w:rsidRPr="001F59B5">
              <w:rPr>
                <w:sz w:val="22"/>
                <w:szCs w:val="22"/>
              </w:rPr>
              <w:t>Uncommon</w:t>
            </w:r>
            <w:proofErr w:type="spellEnd"/>
          </w:p>
        </w:tc>
        <w:tc>
          <w:tcPr>
            <w:tcW w:w="747" w:type="pct"/>
            <w:tcBorders>
              <w:top w:val="single" w:sz="4" w:space="0" w:color="auto"/>
              <w:left w:val="single" w:sz="4" w:space="0" w:color="auto"/>
              <w:bottom w:val="single" w:sz="4" w:space="0" w:color="auto"/>
              <w:right w:val="single" w:sz="4" w:space="0" w:color="auto"/>
            </w:tcBorders>
            <w:hideMark/>
          </w:tcPr>
          <w:p w14:paraId="64F9D7C5" w14:textId="77777777" w:rsidR="006B352E" w:rsidRPr="001F59B5" w:rsidRDefault="006B352E">
            <w:pPr>
              <w:rPr>
                <w:sz w:val="22"/>
                <w:szCs w:val="22"/>
              </w:rPr>
            </w:pPr>
            <w:r w:rsidRPr="001F59B5">
              <w:rPr>
                <w:sz w:val="22"/>
                <w:szCs w:val="22"/>
              </w:rPr>
              <w:t>Rare</w:t>
            </w:r>
          </w:p>
        </w:tc>
      </w:tr>
      <w:tr w:rsidR="006B352E" w:rsidRPr="001F59B5" w14:paraId="71704C31" w14:textId="77777777" w:rsidTr="001F59B5">
        <w:trPr>
          <w:trHeight w:val="425"/>
        </w:trPr>
        <w:tc>
          <w:tcPr>
            <w:tcW w:w="1300" w:type="pct"/>
            <w:vMerge/>
            <w:tcBorders>
              <w:top w:val="single" w:sz="4" w:space="0" w:color="auto"/>
              <w:left w:val="single" w:sz="4" w:space="0" w:color="auto"/>
              <w:bottom w:val="single" w:sz="4" w:space="0" w:color="auto"/>
              <w:right w:val="single" w:sz="4" w:space="0" w:color="auto"/>
            </w:tcBorders>
            <w:vAlign w:val="center"/>
            <w:hideMark/>
          </w:tcPr>
          <w:p w14:paraId="6C59AD18" w14:textId="77777777" w:rsidR="006B352E" w:rsidRPr="001F59B5" w:rsidRDefault="006B352E">
            <w:pPr>
              <w:rPr>
                <w:sz w:val="22"/>
                <w:szCs w:val="22"/>
                <w:lang w:val="en-GB" w:eastAsia="en-US"/>
              </w:rPr>
            </w:pPr>
          </w:p>
        </w:tc>
        <w:tc>
          <w:tcPr>
            <w:tcW w:w="2199" w:type="pct"/>
            <w:tcBorders>
              <w:top w:val="single" w:sz="4" w:space="0" w:color="auto"/>
              <w:left w:val="single" w:sz="4" w:space="0" w:color="auto"/>
              <w:bottom w:val="single" w:sz="4" w:space="0" w:color="auto"/>
              <w:right w:val="single" w:sz="4" w:space="0" w:color="auto"/>
            </w:tcBorders>
            <w:hideMark/>
          </w:tcPr>
          <w:p w14:paraId="47525107" w14:textId="77777777" w:rsidR="006B352E" w:rsidRPr="001F59B5" w:rsidRDefault="006B352E">
            <w:pPr>
              <w:rPr>
                <w:sz w:val="22"/>
                <w:szCs w:val="22"/>
              </w:rPr>
            </w:pPr>
            <w:proofErr w:type="spellStart"/>
            <w:r w:rsidRPr="001F59B5">
              <w:rPr>
                <w:sz w:val="22"/>
                <w:szCs w:val="22"/>
              </w:rPr>
              <w:t>Migraine</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3BFB552E" w14:textId="77777777" w:rsidR="006B352E" w:rsidRPr="001F59B5" w:rsidRDefault="006B352E">
            <w:pPr>
              <w:rPr>
                <w:sz w:val="22"/>
                <w:szCs w:val="22"/>
              </w:rPr>
            </w:pPr>
            <w:r w:rsidRPr="001F59B5">
              <w:rPr>
                <w:sz w:val="22"/>
                <w:szCs w:val="22"/>
              </w:rPr>
              <w:t>Common</w:t>
            </w:r>
          </w:p>
        </w:tc>
        <w:tc>
          <w:tcPr>
            <w:tcW w:w="747" w:type="pct"/>
            <w:tcBorders>
              <w:top w:val="single" w:sz="4" w:space="0" w:color="auto"/>
              <w:left w:val="single" w:sz="4" w:space="0" w:color="auto"/>
              <w:bottom w:val="single" w:sz="4" w:space="0" w:color="auto"/>
              <w:right w:val="single" w:sz="4" w:space="0" w:color="auto"/>
            </w:tcBorders>
            <w:hideMark/>
          </w:tcPr>
          <w:p w14:paraId="33FFA52C" w14:textId="77777777" w:rsidR="006B352E" w:rsidRPr="001F59B5" w:rsidRDefault="006B352E">
            <w:pPr>
              <w:rPr>
                <w:sz w:val="22"/>
                <w:szCs w:val="22"/>
              </w:rPr>
            </w:pPr>
            <w:r w:rsidRPr="001F59B5">
              <w:rPr>
                <w:sz w:val="22"/>
                <w:szCs w:val="22"/>
              </w:rPr>
              <w:t>Rare</w:t>
            </w:r>
          </w:p>
        </w:tc>
      </w:tr>
      <w:tr w:rsidR="006B352E" w:rsidRPr="001F59B5" w14:paraId="2F07E27E" w14:textId="77777777" w:rsidTr="001F59B5">
        <w:trPr>
          <w:trHeight w:val="425"/>
        </w:trPr>
        <w:tc>
          <w:tcPr>
            <w:tcW w:w="1300" w:type="pct"/>
            <w:vMerge/>
            <w:tcBorders>
              <w:top w:val="single" w:sz="4" w:space="0" w:color="auto"/>
              <w:left w:val="single" w:sz="4" w:space="0" w:color="auto"/>
              <w:bottom w:val="single" w:sz="4" w:space="0" w:color="auto"/>
              <w:right w:val="single" w:sz="4" w:space="0" w:color="auto"/>
            </w:tcBorders>
            <w:vAlign w:val="center"/>
            <w:hideMark/>
          </w:tcPr>
          <w:p w14:paraId="7C27F161" w14:textId="77777777" w:rsidR="006B352E" w:rsidRPr="001F59B5" w:rsidRDefault="006B352E">
            <w:pPr>
              <w:rPr>
                <w:sz w:val="22"/>
                <w:szCs w:val="22"/>
                <w:lang w:val="en-GB" w:eastAsia="en-US"/>
              </w:rPr>
            </w:pPr>
          </w:p>
        </w:tc>
        <w:tc>
          <w:tcPr>
            <w:tcW w:w="2199" w:type="pct"/>
            <w:tcBorders>
              <w:top w:val="single" w:sz="4" w:space="0" w:color="auto"/>
              <w:left w:val="single" w:sz="4" w:space="0" w:color="auto"/>
              <w:bottom w:val="single" w:sz="4" w:space="0" w:color="auto"/>
              <w:right w:val="single" w:sz="4" w:space="0" w:color="auto"/>
            </w:tcBorders>
            <w:hideMark/>
          </w:tcPr>
          <w:p w14:paraId="23640090" w14:textId="77777777" w:rsidR="006B352E" w:rsidRPr="001F59B5" w:rsidRDefault="006B352E">
            <w:pPr>
              <w:rPr>
                <w:sz w:val="22"/>
                <w:szCs w:val="22"/>
              </w:rPr>
            </w:pPr>
            <w:proofErr w:type="spellStart"/>
            <w:r w:rsidRPr="001F59B5">
              <w:rPr>
                <w:sz w:val="22"/>
                <w:szCs w:val="22"/>
              </w:rPr>
              <w:t>Somnolence</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4E76648F" w14:textId="77777777" w:rsidR="006B352E" w:rsidRPr="001F59B5" w:rsidRDefault="006B352E">
            <w:pPr>
              <w:rPr>
                <w:sz w:val="22"/>
                <w:szCs w:val="22"/>
              </w:rPr>
            </w:pPr>
            <w:r w:rsidRPr="001F59B5">
              <w:rPr>
                <w:sz w:val="22"/>
                <w:szCs w:val="22"/>
              </w:rPr>
              <w:t>Common</w:t>
            </w:r>
          </w:p>
        </w:tc>
        <w:tc>
          <w:tcPr>
            <w:tcW w:w="747" w:type="pct"/>
            <w:tcBorders>
              <w:top w:val="single" w:sz="4" w:space="0" w:color="auto"/>
              <w:left w:val="single" w:sz="4" w:space="0" w:color="auto"/>
              <w:bottom w:val="single" w:sz="4" w:space="0" w:color="auto"/>
              <w:right w:val="single" w:sz="4" w:space="0" w:color="auto"/>
            </w:tcBorders>
            <w:hideMark/>
          </w:tcPr>
          <w:p w14:paraId="2EFCB065" w14:textId="77777777" w:rsidR="006B352E" w:rsidRPr="001F59B5" w:rsidRDefault="006B352E">
            <w:pPr>
              <w:rPr>
                <w:sz w:val="22"/>
                <w:szCs w:val="22"/>
              </w:rPr>
            </w:pPr>
            <w:r w:rsidRPr="001F59B5">
              <w:rPr>
                <w:sz w:val="22"/>
                <w:szCs w:val="22"/>
              </w:rPr>
              <w:t>Rare</w:t>
            </w:r>
          </w:p>
        </w:tc>
      </w:tr>
      <w:tr w:rsidR="006B352E" w:rsidRPr="001F59B5" w14:paraId="204EC973" w14:textId="77777777" w:rsidTr="001F59B5">
        <w:trPr>
          <w:trHeight w:val="561"/>
        </w:trPr>
        <w:tc>
          <w:tcPr>
            <w:tcW w:w="1300" w:type="pct"/>
            <w:tcBorders>
              <w:top w:val="single" w:sz="4" w:space="0" w:color="auto"/>
              <w:left w:val="single" w:sz="4" w:space="0" w:color="auto"/>
              <w:bottom w:val="single" w:sz="4" w:space="0" w:color="auto"/>
              <w:right w:val="single" w:sz="4" w:space="0" w:color="auto"/>
            </w:tcBorders>
            <w:hideMark/>
          </w:tcPr>
          <w:p w14:paraId="5C88C068" w14:textId="77777777" w:rsidR="006B352E" w:rsidRPr="001F59B5" w:rsidRDefault="006B352E">
            <w:pPr>
              <w:rPr>
                <w:sz w:val="22"/>
                <w:szCs w:val="22"/>
              </w:rPr>
            </w:pPr>
            <w:r w:rsidRPr="001F59B5">
              <w:rPr>
                <w:sz w:val="22"/>
                <w:szCs w:val="22"/>
              </w:rPr>
              <w:t>VASCULAR DISORDERS</w:t>
            </w:r>
          </w:p>
        </w:tc>
        <w:tc>
          <w:tcPr>
            <w:tcW w:w="2199" w:type="pct"/>
            <w:tcBorders>
              <w:top w:val="single" w:sz="4" w:space="0" w:color="auto"/>
              <w:left w:val="single" w:sz="4" w:space="0" w:color="auto"/>
              <w:bottom w:val="single" w:sz="4" w:space="0" w:color="auto"/>
              <w:right w:val="single" w:sz="4" w:space="0" w:color="auto"/>
            </w:tcBorders>
            <w:hideMark/>
          </w:tcPr>
          <w:p w14:paraId="054A3E4F" w14:textId="77777777" w:rsidR="006B352E" w:rsidRPr="001F59B5" w:rsidRDefault="006B352E">
            <w:pPr>
              <w:rPr>
                <w:sz w:val="22"/>
                <w:szCs w:val="22"/>
              </w:rPr>
            </w:pPr>
            <w:r w:rsidRPr="001F59B5">
              <w:rPr>
                <w:sz w:val="22"/>
                <w:szCs w:val="22"/>
              </w:rPr>
              <w:t>Hypotension</w:t>
            </w:r>
          </w:p>
        </w:tc>
        <w:tc>
          <w:tcPr>
            <w:tcW w:w="754" w:type="pct"/>
            <w:tcBorders>
              <w:top w:val="single" w:sz="4" w:space="0" w:color="auto"/>
              <w:left w:val="single" w:sz="4" w:space="0" w:color="auto"/>
              <w:bottom w:val="single" w:sz="4" w:space="0" w:color="auto"/>
              <w:right w:val="single" w:sz="4" w:space="0" w:color="auto"/>
            </w:tcBorders>
            <w:hideMark/>
          </w:tcPr>
          <w:p w14:paraId="0C451F17" w14:textId="77777777" w:rsidR="006B352E" w:rsidRPr="001F59B5" w:rsidRDefault="006B352E">
            <w:pPr>
              <w:rPr>
                <w:sz w:val="22"/>
                <w:szCs w:val="22"/>
              </w:rPr>
            </w:pPr>
            <w:r w:rsidRPr="001F59B5">
              <w:rPr>
                <w:sz w:val="22"/>
                <w:szCs w:val="22"/>
              </w:rPr>
              <w:t>Common</w:t>
            </w:r>
          </w:p>
        </w:tc>
        <w:tc>
          <w:tcPr>
            <w:tcW w:w="747" w:type="pct"/>
            <w:tcBorders>
              <w:top w:val="single" w:sz="4" w:space="0" w:color="auto"/>
              <w:left w:val="single" w:sz="4" w:space="0" w:color="auto"/>
              <w:bottom w:val="single" w:sz="4" w:space="0" w:color="auto"/>
              <w:right w:val="single" w:sz="4" w:space="0" w:color="auto"/>
            </w:tcBorders>
            <w:hideMark/>
          </w:tcPr>
          <w:p w14:paraId="52C66648" w14:textId="77777777" w:rsidR="006B352E" w:rsidRPr="001F59B5" w:rsidRDefault="006B352E">
            <w:pPr>
              <w:rPr>
                <w:sz w:val="22"/>
                <w:szCs w:val="22"/>
              </w:rPr>
            </w:pPr>
            <w:r w:rsidRPr="001F59B5">
              <w:rPr>
                <w:sz w:val="22"/>
                <w:szCs w:val="22"/>
              </w:rPr>
              <w:t>Rare</w:t>
            </w:r>
          </w:p>
        </w:tc>
      </w:tr>
      <w:tr w:rsidR="006B352E" w:rsidRPr="001F59B5" w14:paraId="5047CFCB" w14:textId="77777777" w:rsidTr="001F59B5">
        <w:trPr>
          <w:cantSplit/>
          <w:trHeight w:val="458"/>
        </w:trPr>
        <w:tc>
          <w:tcPr>
            <w:tcW w:w="1300" w:type="pct"/>
            <w:vMerge w:val="restart"/>
            <w:tcBorders>
              <w:top w:val="single" w:sz="4" w:space="0" w:color="auto"/>
              <w:left w:val="single" w:sz="4" w:space="0" w:color="auto"/>
              <w:bottom w:val="single" w:sz="4" w:space="0" w:color="auto"/>
              <w:right w:val="single" w:sz="4" w:space="0" w:color="auto"/>
            </w:tcBorders>
            <w:hideMark/>
          </w:tcPr>
          <w:p w14:paraId="09930CD5" w14:textId="77777777" w:rsidR="006B352E" w:rsidRPr="001F59B5" w:rsidRDefault="006B352E">
            <w:pPr>
              <w:rPr>
                <w:sz w:val="22"/>
                <w:szCs w:val="22"/>
              </w:rPr>
            </w:pPr>
            <w:r w:rsidRPr="001F59B5">
              <w:rPr>
                <w:sz w:val="22"/>
                <w:szCs w:val="22"/>
              </w:rPr>
              <w:t>GASTROINTESTINAL DISORDERS</w:t>
            </w:r>
          </w:p>
        </w:tc>
        <w:tc>
          <w:tcPr>
            <w:tcW w:w="2199" w:type="pct"/>
            <w:tcBorders>
              <w:top w:val="single" w:sz="4" w:space="0" w:color="auto"/>
              <w:left w:val="single" w:sz="4" w:space="0" w:color="auto"/>
              <w:bottom w:val="single" w:sz="4" w:space="0" w:color="auto"/>
              <w:right w:val="single" w:sz="4" w:space="0" w:color="auto"/>
            </w:tcBorders>
            <w:hideMark/>
          </w:tcPr>
          <w:p w14:paraId="696008DD" w14:textId="77777777" w:rsidR="006B352E" w:rsidRPr="001F59B5" w:rsidRDefault="006B352E">
            <w:pPr>
              <w:rPr>
                <w:sz w:val="22"/>
                <w:szCs w:val="22"/>
              </w:rPr>
            </w:pPr>
            <w:proofErr w:type="spellStart"/>
            <w:r w:rsidRPr="001F59B5">
              <w:rPr>
                <w:sz w:val="22"/>
                <w:szCs w:val="22"/>
              </w:rPr>
              <w:t>Diarrhoea</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2440FD0C" w14:textId="77777777" w:rsidR="006B352E" w:rsidRPr="001F59B5" w:rsidRDefault="006B352E">
            <w:pPr>
              <w:rPr>
                <w:sz w:val="22"/>
                <w:szCs w:val="22"/>
              </w:rPr>
            </w:pPr>
            <w:proofErr w:type="spellStart"/>
            <w:r w:rsidRPr="001F59B5">
              <w:rPr>
                <w:sz w:val="22"/>
                <w:szCs w:val="22"/>
              </w:rPr>
              <w:t>Very</w:t>
            </w:r>
            <w:proofErr w:type="spellEnd"/>
            <w:r w:rsidRPr="001F59B5">
              <w:rPr>
                <w:sz w:val="22"/>
                <w:szCs w:val="22"/>
              </w:rPr>
              <w:t xml:space="preserve"> Common</w:t>
            </w:r>
          </w:p>
        </w:tc>
        <w:tc>
          <w:tcPr>
            <w:tcW w:w="747" w:type="pct"/>
            <w:tcBorders>
              <w:top w:val="single" w:sz="4" w:space="0" w:color="auto"/>
              <w:left w:val="single" w:sz="4" w:space="0" w:color="auto"/>
              <w:bottom w:val="single" w:sz="4" w:space="0" w:color="auto"/>
              <w:right w:val="single" w:sz="4" w:space="0" w:color="auto"/>
            </w:tcBorders>
            <w:hideMark/>
          </w:tcPr>
          <w:p w14:paraId="6C388B60" w14:textId="77777777" w:rsidR="006B352E" w:rsidRPr="001F59B5" w:rsidRDefault="006B352E">
            <w:pPr>
              <w:rPr>
                <w:sz w:val="22"/>
                <w:szCs w:val="22"/>
              </w:rPr>
            </w:pPr>
            <w:r w:rsidRPr="001F59B5">
              <w:rPr>
                <w:sz w:val="22"/>
                <w:szCs w:val="22"/>
              </w:rPr>
              <w:t>Common</w:t>
            </w:r>
          </w:p>
        </w:tc>
      </w:tr>
      <w:tr w:rsidR="006B352E" w:rsidRPr="001F59B5" w14:paraId="193CD780" w14:textId="77777777" w:rsidTr="001F59B5">
        <w:trPr>
          <w:cantSplit/>
          <w:trHeight w:val="458"/>
        </w:trPr>
        <w:tc>
          <w:tcPr>
            <w:tcW w:w="1300" w:type="pct"/>
            <w:vMerge/>
            <w:tcBorders>
              <w:top w:val="single" w:sz="4" w:space="0" w:color="auto"/>
              <w:left w:val="single" w:sz="4" w:space="0" w:color="auto"/>
              <w:bottom w:val="single" w:sz="4" w:space="0" w:color="auto"/>
              <w:right w:val="single" w:sz="4" w:space="0" w:color="auto"/>
            </w:tcBorders>
            <w:vAlign w:val="center"/>
            <w:hideMark/>
          </w:tcPr>
          <w:p w14:paraId="6DFB8A91" w14:textId="77777777" w:rsidR="006B352E" w:rsidRPr="001F59B5" w:rsidRDefault="006B352E">
            <w:pPr>
              <w:rPr>
                <w:sz w:val="22"/>
                <w:szCs w:val="22"/>
                <w:lang w:val="en-GB" w:eastAsia="en-US"/>
              </w:rPr>
            </w:pPr>
          </w:p>
        </w:tc>
        <w:tc>
          <w:tcPr>
            <w:tcW w:w="2199" w:type="pct"/>
            <w:tcBorders>
              <w:top w:val="single" w:sz="4" w:space="0" w:color="auto"/>
              <w:left w:val="single" w:sz="4" w:space="0" w:color="auto"/>
              <w:bottom w:val="single" w:sz="4" w:space="0" w:color="auto"/>
              <w:right w:val="single" w:sz="4" w:space="0" w:color="auto"/>
            </w:tcBorders>
            <w:hideMark/>
          </w:tcPr>
          <w:p w14:paraId="65FFC520" w14:textId="77777777" w:rsidR="006B352E" w:rsidRPr="001F59B5" w:rsidRDefault="006B352E">
            <w:pPr>
              <w:rPr>
                <w:sz w:val="22"/>
                <w:szCs w:val="22"/>
              </w:rPr>
            </w:pPr>
            <w:proofErr w:type="spellStart"/>
            <w:r w:rsidRPr="001F59B5">
              <w:rPr>
                <w:sz w:val="22"/>
                <w:szCs w:val="22"/>
              </w:rPr>
              <w:t>Nausea</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203A3E8F" w14:textId="77777777" w:rsidR="006B352E" w:rsidRPr="001F59B5" w:rsidRDefault="006B352E">
            <w:pPr>
              <w:rPr>
                <w:sz w:val="22"/>
                <w:szCs w:val="22"/>
              </w:rPr>
            </w:pPr>
            <w:proofErr w:type="spellStart"/>
            <w:r w:rsidRPr="001F59B5">
              <w:rPr>
                <w:sz w:val="22"/>
                <w:szCs w:val="22"/>
              </w:rPr>
              <w:t>Very</w:t>
            </w:r>
            <w:proofErr w:type="spellEnd"/>
            <w:r w:rsidRPr="001F59B5">
              <w:rPr>
                <w:sz w:val="22"/>
                <w:szCs w:val="22"/>
              </w:rPr>
              <w:t xml:space="preserve"> Common</w:t>
            </w:r>
          </w:p>
        </w:tc>
        <w:tc>
          <w:tcPr>
            <w:tcW w:w="747" w:type="pct"/>
            <w:tcBorders>
              <w:top w:val="single" w:sz="4" w:space="0" w:color="auto"/>
              <w:left w:val="single" w:sz="4" w:space="0" w:color="auto"/>
              <w:bottom w:val="single" w:sz="4" w:space="0" w:color="auto"/>
              <w:right w:val="single" w:sz="4" w:space="0" w:color="auto"/>
            </w:tcBorders>
            <w:hideMark/>
          </w:tcPr>
          <w:p w14:paraId="757EB6EF" w14:textId="77777777" w:rsidR="006B352E" w:rsidRPr="001F59B5" w:rsidRDefault="006B352E">
            <w:pPr>
              <w:rPr>
                <w:sz w:val="22"/>
                <w:szCs w:val="22"/>
              </w:rPr>
            </w:pPr>
            <w:proofErr w:type="spellStart"/>
            <w:r w:rsidRPr="001F59B5">
              <w:rPr>
                <w:sz w:val="22"/>
                <w:szCs w:val="22"/>
              </w:rPr>
              <w:t>Uncommon</w:t>
            </w:r>
            <w:proofErr w:type="spellEnd"/>
          </w:p>
        </w:tc>
      </w:tr>
      <w:tr w:rsidR="006B352E" w:rsidRPr="001F59B5" w14:paraId="7143293B" w14:textId="77777777" w:rsidTr="001F59B5">
        <w:trPr>
          <w:cantSplit/>
          <w:trHeight w:val="458"/>
        </w:trPr>
        <w:tc>
          <w:tcPr>
            <w:tcW w:w="1300" w:type="pct"/>
            <w:vMerge/>
            <w:tcBorders>
              <w:top w:val="single" w:sz="4" w:space="0" w:color="auto"/>
              <w:left w:val="single" w:sz="4" w:space="0" w:color="auto"/>
              <w:bottom w:val="single" w:sz="4" w:space="0" w:color="auto"/>
              <w:right w:val="single" w:sz="4" w:space="0" w:color="auto"/>
            </w:tcBorders>
            <w:vAlign w:val="center"/>
            <w:hideMark/>
          </w:tcPr>
          <w:p w14:paraId="4E2419E6" w14:textId="77777777" w:rsidR="006B352E" w:rsidRPr="001F59B5" w:rsidRDefault="006B352E">
            <w:pPr>
              <w:rPr>
                <w:sz w:val="22"/>
                <w:szCs w:val="22"/>
                <w:lang w:val="en-GB" w:eastAsia="en-US"/>
              </w:rPr>
            </w:pPr>
          </w:p>
        </w:tc>
        <w:tc>
          <w:tcPr>
            <w:tcW w:w="2199" w:type="pct"/>
            <w:tcBorders>
              <w:top w:val="single" w:sz="4" w:space="0" w:color="auto"/>
              <w:left w:val="single" w:sz="4" w:space="0" w:color="auto"/>
              <w:bottom w:val="single" w:sz="4" w:space="0" w:color="auto"/>
              <w:right w:val="single" w:sz="4" w:space="0" w:color="auto"/>
            </w:tcBorders>
            <w:hideMark/>
          </w:tcPr>
          <w:p w14:paraId="5A026292" w14:textId="77777777" w:rsidR="006B352E" w:rsidRPr="001F59B5" w:rsidRDefault="006B352E">
            <w:pPr>
              <w:rPr>
                <w:sz w:val="22"/>
                <w:szCs w:val="22"/>
              </w:rPr>
            </w:pPr>
            <w:proofErr w:type="spellStart"/>
            <w:r w:rsidRPr="001F59B5">
              <w:rPr>
                <w:sz w:val="22"/>
                <w:szCs w:val="22"/>
              </w:rPr>
              <w:t>Abdominal</w:t>
            </w:r>
            <w:proofErr w:type="spellEnd"/>
            <w:r w:rsidRPr="001F59B5">
              <w:rPr>
                <w:sz w:val="22"/>
                <w:szCs w:val="22"/>
              </w:rPr>
              <w:t xml:space="preserve"> </w:t>
            </w:r>
            <w:proofErr w:type="spellStart"/>
            <w:r w:rsidRPr="001F59B5">
              <w:rPr>
                <w:sz w:val="22"/>
                <w:szCs w:val="22"/>
              </w:rPr>
              <w:t>pain</w:t>
            </w:r>
            <w:proofErr w:type="spellEnd"/>
            <w:r w:rsidRPr="001F59B5">
              <w:rPr>
                <w:sz w:val="22"/>
                <w:szCs w:val="22"/>
              </w:rPr>
              <w:t xml:space="preserve"> </w:t>
            </w:r>
            <w:proofErr w:type="spellStart"/>
            <w:r w:rsidRPr="001F59B5">
              <w:rPr>
                <w:sz w:val="22"/>
                <w:szCs w:val="22"/>
              </w:rPr>
              <w:t>lower</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288C68F6" w14:textId="77777777" w:rsidR="006B352E" w:rsidRPr="001F59B5" w:rsidRDefault="006B352E">
            <w:pPr>
              <w:rPr>
                <w:sz w:val="22"/>
                <w:szCs w:val="22"/>
              </w:rPr>
            </w:pPr>
            <w:proofErr w:type="spellStart"/>
            <w:r w:rsidRPr="001F59B5">
              <w:rPr>
                <w:sz w:val="22"/>
                <w:szCs w:val="22"/>
              </w:rPr>
              <w:t>Uncommon</w:t>
            </w:r>
            <w:proofErr w:type="spellEnd"/>
          </w:p>
        </w:tc>
        <w:tc>
          <w:tcPr>
            <w:tcW w:w="747" w:type="pct"/>
            <w:tcBorders>
              <w:top w:val="single" w:sz="4" w:space="0" w:color="auto"/>
              <w:left w:val="single" w:sz="4" w:space="0" w:color="auto"/>
              <w:bottom w:val="single" w:sz="4" w:space="0" w:color="auto"/>
              <w:right w:val="single" w:sz="4" w:space="0" w:color="auto"/>
            </w:tcBorders>
            <w:hideMark/>
          </w:tcPr>
          <w:p w14:paraId="2DA36AC1" w14:textId="77777777" w:rsidR="006B352E" w:rsidRPr="001F59B5" w:rsidRDefault="006B352E">
            <w:pPr>
              <w:rPr>
                <w:sz w:val="22"/>
                <w:szCs w:val="22"/>
              </w:rPr>
            </w:pPr>
            <w:r w:rsidRPr="001F59B5">
              <w:rPr>
                <w:sz w:val="22"/>
                <w:szCs w:val="22"/>
              </w:rPr>
              <w:t>Rare</w:t>
            </w:r>
          </w:p>
        </w:tc>
      </w:tr>
      <w:tr w:rsidR="006B352E" w:rsidRPr="001F59B5" w14:paraId="098D9A42" w14:textId="77777777" w:rsidTr="001F59B5">
        <w:trPr>
          <w:cantSplit/>
          <w:trHeight w:val="457"/>
        </w:trPr>
        <w:tc>
          <w:tcPr>
            <w:tcW w:w="1300" w:type="pct"/>
            <w:vMerge/>
            <w:tcBorders>
              <w:top w:val="single" w:sz="4" w:space="0" w:color="auto"/>
              <w:left w:val="single" w:sz="4" w:space="0" w:color="auto"/>
              <w:bottom w:val="single" w:sz="4" w:space="0" w:color="auto"/>
              <w:right w:val="single" w:sz="4" w:space="0" w:color="auto"/>
            </w:tcBorders>
            <w:vAlign w:val="center"/>
            <w:hideMark/>
          </w:tcPr>
          <w:p w14:paraId="3891A256" w14:textId="77777777" w:rsidR="006B352E" w:rsidRPr="001F59B5" w:rsidRDefault="006B352E">
            <w:pPr>
              <w:rPr>
                <w:sz w:val="22"/>
                <w:szCs w:val="22"/>
                <w:lang w:val="en-GB" w:eastAsia="en-US"/>
              </w:rPr>
            </w:pPr>
          </w:p>
        </w:tc>
        <w:tc>
          <w:tcPr>
            <w:tcW w:w="2199" w:type="pct"/>
            <w:tcBorders>
              <w:top w:val="single" w:sz="4" w:space="0" w:color="auto"/>
              <w:left w:val="single" w:sz="4" w:space="0" w:color="auto"/>
              <w:bottom w:val="single" w:sz="4" w:space="0" w:color="auto"/>
              <w:right w:val="single" w:sz="4" w:space="0" w:color="auto"/>
            </w:tcBorders>
            <w:hideMark/>
          </w:tcPr>
          <w:p w14:paraId="460D9848" w14:textId="77777777" w:rsidR="006B352E" w:rsidRPr="001F59B5" w:rsidRDefault="006B352E">
            <w:pPr>
              <w:rPr>
                <w:sz w:val="22"/>
                <w:szCs w:val="22"/>
              </w:rPr>
            </w:pPr>
            <w:proofErr w:type="spellStart"/>
            <w:r w:rsidRPr="001F59B5">
              <w:rPr>
                <w:sz w:val="22"/>
                <w:szCs w:val="22"/>
              </w:rPr>
              <w:t>Abdominal</w:t>
            </w:r>
            <w:proofErr w:type="spellEnd"/>
            <w:r w:rsidRPr="001F59B5">
              <w:rPr>
                <w:sz w:val="22"/>
                <w:szCs w:val="22"/>
              </w:rPr>
              <w:t xml:space="preserve"> </w:t>
            </w:r>
            <w:proofErr w:type="spellStart"/>
            <w:r w:rsidRPr="001F59B5">
              <w:rPr>
                <w:sz w:val="22"/>
                <w:szCs w:val="22"/>
              </w:rPr>
              <w:t>pain</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1297D03C" w14:textId="77777777" w:rsidR="006B352E" w:rsidRPr="001F59B5" w:rsidRDefault="006B352E">
            <w:pPr>
              <w:rPr>
                <w:sz w:val="22"/>
                <w:szCs w:val="22"/>
              </w:rPr>
            </w:pPr>
            <w:r w:rsidRPr="001F59B5">
              <w:rPr>
                <w:sz w:val="22"/>
                <w:szCs w:val="22"/>
              </w:rPr>
              <w:t>Common</w:t>
            </w:r>
          </w:p>
        </w:tc>
        <w:tc>
          <w:tcPr>
            <w:tcW w:w="747" w:type="pct"/>
            <w:tcBorders>
              <w:top w:val="single" w:sz="4" w:space="0" w:color="auto"/>
              <w:left w:val="single" w:sz="4" w:space="0" w:color="auto"/>
              <w:bottom w:val="single" w:sz="4" w:space="0" w:color="auto"/>
              <w:right w:val="single" w:sz="4" w:space="0" w:color="auto"/>
            </w:tcBorders>
            <w:hideMark/>
          </w:tcPr>
          <w:p w14:paraId="651C4B9C" w14:textId="77777777" w:rsidR="006B352E" w:rsidRPr="001F59B5" w:rsidRDefault="006B352E">
            <w:pPr>
              <w:rPr>
                <w:sz w:val="22"/>
                <w:szCs w:val="22"/>
              </w:rPr>
            </w:pPr>
            <w:proofErr w:type="spellStart"/>
            <w:r w:rsidRPr="001F59B5">
              <w:rPr>
                <w:sz w:val="22"/>
                <w:szCs w:val="22"/>
              </w:rPr>
              <w:t>Uncommon</w:t>
            </w:r>
            <w:proofErr w:type="spellEnd"/>
          </w:p>
        </w:tc>
      </w:tr>
      <w:tr w:rsidR="006B352E" w:rsidRPr="001F59B5" w14:paraId="0B2BDD66" w14:textId="77777777" w:rsidTr="001F59B5">
        <w:trPr>
          <w:cantSplit/>
          <w:trHeight w:val="457"/>
        </w:trPr>
        <w:tc>
          <w:tcPr>
            <w:tcW w:w="1300" w:type="pct"/>
            <w:vMerge w:val="restart"/>
            <w:tcBorders>
              <w:top w:val="single" w:sz="4" w:space="0" w:color="auto"/>
              <w:left w:val="single" w:sz="4" w:space="0" w:color="auto"/>
              <w:bottom w:val="single" w:sz="4" w:space="0" w:color="auto"/>
              <w:right w:val="single" w:sz="4" w:space="0" w:color="auto"/>
            </w:tcBorders>
            <w:hideMark/>
          </w:tcPr>
          <w:p w14:paraId="18638FC0" w14:textId="77777777" w:rsidR="006B352E" w:rsidRPr="001F59B5" w:rsidRDefault="006B352E">
            <w:pPr>
              <w:rPr>
                <w:sz w:val="22"/>
                <w:szCs w:val="22"/>
                <w:lang w:val="en-US"/>
              </w:rPr>
            </w:pPr>
            <w:r w:rsidRPr="001F59B5">
              <w:rPr>
                <w:sz w:val="22"/>
                <w:szCs w:val="22"/>
                <w:lang w:val="en-US"/>
              </w:rPr>
              <w:t>SKIN AND SUBCUTANEOUS TISSUE DISORDERS</w:t>
            </w:r>
          </w:p>
        </w:tc>
        <w:tc>
          <w:tcPr>
            <w:tcW w:w="2199" w:type="pct"/>
            <w:tcBorders>
              <w:top w:val="single" w:sz="4" w:space="0" w:color="auto"/>
              <w:left w:val="single" w:sz="4" w:space="0" w:color="auto"/>
              <w:bottom w:val="single" w:sz="4" w:space="0" w:color="auto"/>
              <w:right w:val="single" w:sz="4" w:space="0" w:color="auto"/>
            </w:tcBorders>
            <w:hideMark/>
          </w:tcPr>
          <w:p w14:paraId="3E8E6DF3" w14:textId="77777777" w:rsidR="006B352E" w:rsidRPr="001F59B5" w:rsidRDefault="006B352E">
            <w:pPr>
              <w:rPr>
                <w:sz w:val="22"/>
                <w:szCs w:val="22"/>
              </w:rPr>
            </w:pPr>
            <w:proofErr w:type="spellStart"/>
            <w:r w:rsidRPr="001F59B5">
              <w:rPr>
                <w:sz w:val="22"/>
                <w:szCs w:val="22"/>
              </w:rPr>
              <w:t>Pruritus</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791CDBC4" w14:textId="77777777" w:rsidR="006B352E" w:rsidRPr="001F59B5" w:rsidRDefault="006B352E">
            <w:pPr>
              <w:rPr>
                <w:sz w:val="22"/>
                <w:szCs w:val="22"/>
              </w:rPr>
            </w:pPr>
            <w:r w:rsidRPr="001F59B5">
              <w:rPr>
                <w:sz w:val="22"/>
                <w:szCs w:val="22"/>
              </w:rPr>
              <w:t>Common</w:t>
            </w:r>
          </w:p>
        </w:tc>
        <w:tc>
          <w:tcPr>
            <w:tcW w:w="747" w:type="pct"/>
            <w:tcBorders>
              <w:top w:val="single" w:sz="4" w:space="0" w:color="auto"/>
              <w:left w:val="single" w:sz="4" w:space="0" w:color="auto"/>
              <w:bottom w:val="single" w:sz="4" w:space="0" w:color="auto"/>
              <w:right w:val="single" w:sz="4" w:space="0" w:color="auto"/>
            </w:tcBorders>
            <w:hideMark/>
          </w:tcPr>
          <w:p w14:paraId="6327DBE5" w14:textId="77777777" w:rsidR="006B352E" w:rsidRPr="001F59B5" w:rsidRDefault="006B352E">
            <w:pPr>
              <w:rPr>
                <w:sz w:val="22"/>
                <w:szCs w:val="22"/>
              </w:rPr>
            </w:pPr>
            <w:r w:rsidRPr="001F59B5">
              <w:rPr>
                <w:sz w:val="22"/>
                <w:szCs w:val="22"/>
              </w:rPr>
              <w:t>Rare</w:t>
            </w:r>
          </w:p>
        </w:tc>
      </w:tr>
      <w:tr w:rsidR="006B352E" w:rsidRPr="001F59B5" w14:paraId="47706A40" w14:textId="77777777" w:rsidTr="001F59B5">
        <w:trPr>
          <w:cantSplit/>
          <w:trHeight w:val="457"/>
        </w:trPr>
        <w:tc>
          <w:tcPr>
            <w:tcW w:w="1300" w:type="pct"/>
            <w:vMerge/>
            <w:tcBorders>
              <w:top w:val="single" w:sz="4" w:space="0" w:color="auto"/>
              <w:left w:val="single" w:sz="4" w:space="0" w:color="auto"/>
              <w:bottom w:val="single" w:sz="4" w:space="0" w:color="auto"/>
              <w:right w:val="single" w:sz="4" w:space="0" w:color="auto"/>
            </w:tcBorders>
            <w:vAlign w:val="center"/>
            <w:hideMark/>
          </w:tcPr>
          <w:p w14:paraId="2CD9598A" w14:textId="77777777" w:rsidR="006B352E" w:rsidRPr="001F59B5" w:rsidRDefault="006B352E">
            <w:pPr>
              <w:rPr>
                <w:sz w:val="22"/>
                <w:szCs w:val="22"/>
                <w:lang w:val="en-GB" w:eastAsia="en-US"/>
              </w:rPr>
            </w:pPr>
          </w:p>
        </w:tc>
        <w:tc>
          <w:tcPr>
            <w:tcW w:w="2199" w:type="pct"/>
            <w:tcBorders>
              <w:top w:val="single" w:sz="4" w:space="0" w:color="auto"/>
              <w:left w:val="single" w:sz="4" w:space="0" w:color="auto"/>
              <w:bottom w:val="single" w:sz="4" w:space="0" w:color="auto"/>
              <w:right w:val="single" w:sz="4" w:space="0" w:color="auto"/>
            </w:tcBorders>
            <w:hideMark/>
          </w:tcPr>
          <w:p w14:paraId="294CC18D" w14:textId="77777777" w:rsidR="006B352E" w:rsidRPr="001F59B5" w:rsidRDefault="006B352E">
            <w:pPr>
              <w:rPr>
                <w:sz w:val="22"/>
                <w:szCs w:val="22"/>
              </w:rPr>
            </w:pPr>
            <w:proofErr w:type="spellStart"/>
            <w:r w:rsidRPr="001F59B5">
              <w:rPr>
                <w:sz w:val="22"/>
                <w:szCs w:val="22"/>
              </w:rPr>
              <w:t>Urticaria</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00A9FD77" w14:textId="77777777" w:rsidR="006B352E" w:rsidRPr="001F59B5" w:rsidRDefault="006B352E">
            <w:pPr>
              <w:rPr>
                <w:sz w:val="22"/>
                <w:szCs w:val="22"/>
              </w:rPr>
            </w:pPr>
            <w:r w:rsidRPr="001F59B5">
              <w:rPr>
                <w:sz w:val="22"/>
                <w:szCs w:val="22"/>
              </w:rPr>
              <w:t>Common</w:t>
            </w:r>
          </w:p>
        </w:tc>
        <w:tc>
          <w:tcPr>
            <w:tcW w:w="747" w:type="pct"/>
            <w:tcBorders>
              <w:top w:val="single" w:sz="4" w:space="0" w:color="auto"/>
              <w:left w:val="single" w:sz="4" w:space="0" w:color="auto"/>
              <w:bottom w:val="single" w:sz="4" w:space="0" w:color="auto"/>
              <w:right w:val="single" w:sz="4" w:space="0" w:color="auto"/>
            </w:tcBorders>
            <w:hideMark/>
          </w:tcPr>
          <w:p w14:paraId="146D7D66" w14:textId="77777777" w:rsidR="006B352E" w:rsidRPr="001F59B5" w:rsidRDefault="006B352E">
            <w:pPr>
              <w:rPr>
                <w:sz w:val="22"/>
                <w:szCs w:val="22"/>
              </w:rPr>
            </w:pPr>
            <w:r w:rsidRPr="001F59B5">
              <w:rPr>
                <w:sz w:val="22"/>
                <w:szCs w:val="22"/>
              </w:rPr>
              <w:t>Rare</w:t>
            </w:r>
          </w:p>
        </w:tc>
      </w:tr>
      <w:tr w:rsidR="006B352E" w:rsidRPr="001F59B5" w14:paraId="21AE7622" w14:textId="77777777" w:rsidTr="001F59B5">
        <w:trPr>
          <w:cantSplit/>
          <w:trHeight w:val="457"/>
        </w:trPr>
        <w:tc>
          <w:tcPr>
            <w:tcW w:w="1300" w:type="pct"/>
            <w:tcBorders>
              <w:top w:val="single" w:sz="4" w:space="0" w:color="auto"/>
              <w:left w:val="single" w:sz="4" w:space="0" w:color="auto"/>
              <w:bottom w:val="single" w:sz="4" w:space="0" w:color="auto"/>
              <w:right w:val="single" w:sz="4" w:space="0" w:color="auto"/>
            </w:tcBorders>
            <w:hideMark/>
          </w:tcPr>
          <w:p w14:paraId="3EA9076F" w14:textId="77777777" w:rsidR="006B352E" w:rsidRPr="001F59B5" w:rsidRDefault="006B352E">
            <w:pPr>
              <w:rPr>
                <w:sz w:val="22"/>
                <w:szCs w:val="22"/>
                <w:lang w:val="en-US"/>
              </w:rPr>
            </w:pPr>
            <w:r w:rsidRPr="001F59B5">
              <w:rPr>
                <w:sz w:val="22"/>
                <w:szCs w:val="22"/>
                <w:lang w:val="en-US"/>
              </w:rPr>
              <w:t>MUSCULOSKELETAL AND CONNECTIVE TISSUE DISORDERS</w:t>
            </w:r>
          </w:p>
        </w:tc>
        <w:tc>
          <w:tcPr>
            <w:tcW w:w="2199" w:type="pct"/>
            <w:tcBorders>
              <w:top w:val="single" w:sz="4" w:space="0" w:color="auto"/>
              <w:left w:val="single" w:sz="4" w:space="0" w:color="auto"/>
              <w:bottom w:val="single" w:sz="4" w:space="0" w:color="auto"/>
              <w:right w:val="single" w:sz="4" w:space="0" w:color="auto"/>
            </w:tcBorders>
            <w:hideMark/>
          </w:tcPr>
          <w:p w14:paraId="758EF7F3" w14:textId="77777777" w:rsidR="006B352E" w:rsidRPr="001F59B5" w:rsidRDefault="006B352E">
            <w:pPr>
              <w:rPr>
                <w:sz w:val="22"/>
                <w:szCs w:val="22"/>
              </w:rPr>
            </w:pPr>
            <w:proofErr w:type="spellStart"/>
            <w:r w:rsidRPr="001F59B5">
              <w:rPr>
                <w:sz w:val="22"/>
                <w:szCs w:val="22"/>
              </w:rPr>
              <w:t>Myalgia</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08CB2230" w14:textId="77777777" w:rsidR="006B352E" w:rsidRPr="001F59B5" w:rsidRDefault="006B352E">
            <w:pPr>
              <w:rPr>
                <w:sz w:val="22"/>
                <w:szCs w:val="22"/>
              </w:rPr>
            </w:pPr>
            <w:r w:rsidRPr="001F59B5">
              <w:rPr>
                <w:sz w:val="22"/>
                <w:szCs w:val="22"/>
              </w:rPr>
              <w:t>Common</w:t>
            </w:r>
          </w:p>
        </w:tc>
        <w:tc>
          <w:tcPr>
            <w:tcW w:w="747" w:type="pct"/>
            <w:tcBorders>
              <w:top w:val="single" w:sz="4" w:space="0" w:color="auto"/>
              <w:left w:val="single" w:sz="4" w:space="0" w:color="auto"/>
              <w:bottom w:val="single" w:sz="4" w:space="0" w:color="auto"/>
              <w:right w:val="single" w:sz="4" w:space="0" w:color="auto"/>
            </w:tcBorders>
            <w:hideMark/>
          </w:tcPr>
          <w:p w14:paraId="73EB371E" w14:textId="77777777" w:rsidR="006B352E" w:rsidRPr="001F59B5" w:rsidRDefault="006B352E">
            <w:pPr>
              <w:rPr>
                <w:sz w:val="22"/>
                <w:szCs w:val="22"/>
              </w:rPr>
            </w:pPr>
            <w:proofErr w:type="spellStart"/>
            <w:r w:rsidRPr="001F59B5">
              <w:rPr>
                <w:sz w:val="22"/>
                <w:szCs w:val="22"/>
              </w:rPr>
              <w:t>Uncommon</w:t>
            </w:r>
            <w:proofErr w:type="spellEnd"/>
          </w:p>
        </w:tc>
      </w:tr>
      <w:tr w:rsidR="006B352E" w:rsidRPr="001F59B5" w14:paraId="554FEBC5" w14:textId="77777777" w:rsidTr="001F59B5">
        <w:trPr>
          <w:trHeight w:val="411"/>
        </w:trPr>
        <w:tc>
          <w:tcPr>
            <w:tcW w:w="1300" w:type="pct"/>
            <w:vMerge w:val="restart"/>
            <w:tcBorders>
              <w:top w:val="single" w:sz="4" w:space="0" w:color="auto"/>
              <w:left w:val="single" w:sz="4" w:space="0" w:color="auto"/>
              <w:bottom w:val="single" w:sz="4" w:space="0" w:color="auto"/>
              <w:right w:val="single" w:sz="4" w:space="0" w:color="auto"/>
            </w:tcBorders>
            <w:hideMark/>
          </w:tcPr>
          <w:p w14:paraId="3CF6B01F" w14:textId="77777777" w:rsidR="006B352E" w:rsidRPr="001F59B5" w:rsidRDefault="006B352E">
            <w:pPr>
              <w:keepNext/>
              <w:rPr>
                <w:sz w:val="22"/>
                <w:szCs w:val="22"/>
                <w:lang w:val="en-US"/>
              </w:rPr>
            </w:pPr>
            <w:r w:rsidRPr="001F59B5">
              <w:rPr>
                <w:sz w:val="22"/>
                <w:szCs w:val="22"/>
                <w:lang w:val="en-US"/>
              </w:rPr>
              <w:t>GENERAL DISORDERS AND ADMINISTRATION SITE CONDITIONS</w:t>
            </w:r>
          </w:p>
        </w:tc>
        <w:tc>
          <w:tcPr>
            <w:tcW w:w="2199" w:type="pct"/>
            <w:tcBorders>
              <w:top w:val="single" w:sz="4" w:space="0" w:color="auto"/>
              <w:left w:val="single" w:sz="4" w:space="0" w:color="auto"/>
              <w:bottom w:val="single" w:sz="4" w:space="0" w:color="auto"/>
              <w:right w:val="single" w:sz="4" w:space="0" w:color="auto"/>
            </w:tcBorders>
            <w:hideMark/>
          </w:tcPr>
          <w:p w14:paraId="5ECF70D3" w14:textId="77777777" w:rsidR="006B352E" w:rsidRPr="001F59B5" w:rsidRDefault="006B352E">
            <w:pPr>
              <w:keepNext/>
              <w:rPr>
                <w:sz w:val="22"/>
                <w:szCs w:val="22"/>
              </w:rPr>
            </w:pPr>
            <w:r w:rsidRPr="001F59B5">
              <w:rPr>
                <w:sz w:val="22"/>
                <w:szCs w:val="22"/>
              </w:rPr>
              <w:t xml:space="preserve">Local </w:t>
            </w:r>
            <w:proofErr w:type="spellStart"/>
            <w:r w:rsidRPr="001F59B5">
              <w:rPr>
                <w:sz w:val="22"/>
                <w:szCs w:val="22"/>
              </w:rPr>
              <w:t>reaction</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57282724" w14:textId="77777777" w:rsidR="006B352E" w:rsidRPr="001F59B5" w:rsidRDefault="006B352E">
            <w:pPr>
              <w:keepNext/>
              <w:rPr>
                <w:sz w:val="22"/>
                <w:szCs w:val="22"/>
              </w:rPr>
            </w:pPr>
            <w:proofErr w:type="spellStart"/>
            <w:r w:rsidRPr="001F59B5">
              <w:rPr>
                <w:sz w:val="22"/>
                <w:szCs w:val="22"/>
              </w:rPr>
              <w:t>Very</w:t>
            </w:r>
            <w:proofErr w:type="spellEnd"/>
            <w:r w:rsidRPr="001F59B5">
              <w:rPr>
                <w:sz w:val="22"/>
                <w:szCs w:val="22"/>
              </w:rPr>
              <w:t xml:space="preserve"> Common</w:t>
            </w:r>
          </w:p>
        </w:tc>
        <w:tc>
          <w:tcPr>
            <w:tcW w:w="747" w:type="pct"/>
            <w:tcBorders>
              <w:top w:val="single" w:sz="4" w:space="0" w:color="auto"/>
              <w:left w:val="single" w:sz="4" w:space="0" w:color="auto"/>
              <w:bottom w:val="single" w:sz="4" w:space="0" w:color="auto"/>
              <w:right w:val="single" w:sz="4" w:space="0" w:color="auto"/>
            </w:tcBorders>
            <w:hideMark/>
          </w:tcPr>
          <w:p w14:paraId="3A727DC6" w14:textId="77777777" w:rsidR="006B352E" w:rsidRPr="001F59B5" w:rsidRDefault="006B352E">
            <w:pPr>
              <w:keepNext/>
              <w:rPr>
                <w:sz w:val="22"/>
                <w:szCs w:val="22"/>
              </w:rPr>
            </w:pPr>
            <w:r w:rsidRPr="001F59B5">
              <w:rPr>
                <w:sz w:val="22"/>
                <w:szCs w:val="22"/>
              </w:rPr>
              <w:t>Common</w:t>
            </w:r>
          </w:p>
        </w:tc>
      </w:tr>
      <w:tr w:rsidR="006B352E" w:rsidRPr="001F59B5" w14:paraId="78E6A303" w14:textId="77777777" w:rsidTr="001F59B5">
        <w:trPr>
          <w:trHeight w:val="468"/>
        </w:trPr>
        <w:tc>
          <w:tcPr>
            <w:tcW w:w="1300" w:type="pct"/>
            <w:vMerge/>
            <w:tcBorders>
              <w:top w:val="single" w:sz="4" w:space="0" w:color="auto"/>
              <w:left w:val="single" w:sz="4" w:space="0" w:color="auto"/>
              <w:bottom w:val="single" w:sz="4" w:space="0" w:color="auto"/>
              <w:right w:val="single" w:sz="4" w:space="0" w:color="auto"/>
            </w:tcBorders>
            <w:vAlign w:val="center"/>
            <w:hideMark/>
          </w:tcPr>
          <w:p w14:paraId="7614D269" w14:textId="77777777" w:rsidR="006B352E" w:rsidRPr="001F59B5" w:rsidRDefault="006B352E">
            <w:pPr>
              <w:rPr>
                <w:sz w:val="22"/>
                <w:szCs w:val="22"/>
                <w:lang w:val="en-GB" w:eastAsia="en-US"/>
              </w:rPr>
            </w:pPr>
          </w:p>
        </w:tc>
        <w:tc>
          <w:tcPr>
            <w:tcW w:w="2199" w:type="pct"/>
            <w:tcBorders>
              <w:top w:val="single" w:sz="4" w:space="0" w:color="auto"/>
              <w:left w:val="single" w:sz="4" w:space="0" w:color="auto"/>
              <w:bottom w:val="single" w:sz="4" w:space="0" w:color="auto"/>
              <w:right w:val="single" w:sz="4" w:space="0" w:color="auto"/>
            </w:tcBorders>
            <w:hideMark/>
          </w:tcPr>
          <w:p w14:paraId="17D8EAED" w14:textId="77777777" w:rsidR="006B352E" w:rsidRPr="001F59B5" w:rsidRDefault="006B352E" w:rsidP="001F59B5">
            <w:pPr>
              <w:keepNext/>
              <w:numPr>
                <w:ilvl w:val="0"/>
                <w:numId w:val="8"/>
              </w:numPr>
              <w:ind w:left="503"/>
              <w:rPr>
                <w:sz w:val="22"/>
                <w:szCs w:val="22"/>
                <w:lang w:val="en-US"/>
              </w:rPr>
            </w:pPr>
            <w:r w:rsidRPr="001F59B5">
              <w:rPr>
                <w:sz w:val="22"/>
                <w:szCs w:val="22"/>
                <w:lang w:val="en-US"/>
              </w:rPr>
              <w:t xml:space="preserve">Infusion site erythema </w:t>
            </w:r>
            <w:r w:rsidRPr="001F59B5">
              <w:rPr>
                <w:sz w:val="22"/>
                <w:szCs w:val="22"/>
                <w:lang w:val="en-US"/>
              </w:rPr>
              <w:br/>
              <w:t>(including Injection site erythema)</w:t>
            </w:r>
          </w:p>
        </w:tc>
        <w:tc>
          <w:tcPr>
            <w:tcW w:w="754" w:type="pct"/>
            <w:tcBorders>
              <w:top w:val="single" w:sz="4" w:space="0" w:color="auto"/>
              <w:left w:val="single" w:sz="4" w:space="0" w:color="auto"/>
              <w:bottom w:val="single" w:sz="4" w:space="0" w:color="auto"/>
              <w:right w:val="single" w:sz="4" w:space="0" w:color="auto"/>
            </w:tcBorders>
            <w:hideMark/>
          </w:tcPr>
          <w:p w14:paraId="77B94569" w14:textId="77777777" w:rsidR="006B352E" w:rsidRPr="001F59B5" w:rsidRDefault="006B352E">
            <w:pPr>
              <w:keepNext/>
              <w:rPr>
                <w:sz w:val="22"/>
                <w:szCs w:val="22"/>
              </w:rPr>
            </w:pPr>
            <w:proofErr w:type="spellStart"/>
            <w:r w:rsidRPr="001F59B5">
              <w:rPr>
                <w:sz w:val="22"/>
                <w:szCs w:val="22"/>
              </w:rPr>
              <w:t>Very</w:t>
            </w:r>
            <w:proofErr w:type="spellEnd"/>
            <w:r w:rsidRPr="001F59B5">
              <w:rPr>
                <w:sz w:val="22"/>
                <w:szCs w:val="22"/>
              </w:rPr>
              <w:t xml:space="preserve"> Common</w:t>
            </w:r>
          </w:p>
        </w:tc>
        <w:tc>
          <w:tcPr>
            <w:tcW w:w="747" w:type="pct"/>
            <w:tcBorders>
              <w:top w:val="single" w:sz="4" w:space="0" w:color="auto"/>
              <w:left w:val="single" w:sz="4" w:space="0" w:color="auto"/>
              <w:bottom w:val="single" w:sz="4" w:space="0" w:color="auto"/>
              <w:right w:val="single" w:sz="4" w:space="0" w:color="auto"/>
            </w:tcBorders>
            <w:hideMark/>
          </w:tcPr>
          <w:p w14:paraId="19A8B9A5" w14:textId="77777777" w:rsidR="006B352E" w:rsidRPr="001F59B5" w:rsidRDefault="006B352E">
            <w:pPr>
              <w:keepNext/>
              <w:rPr>
                <w:sz w:val="22"/>
                <w:szCs w:val="22"/>
              </w:rPr>
            </w:pPr>
            <w:r w:rsidRPr="001F59B5">
              <w:rPr>
                <w:sz w:val="22"/>
                <w:szCs w:val="22"/>
              </w:rPr>
              <w:t>Common</w:t>
            </w:r>
          </w:p>
        </w:tc>
      </w:tr>
      <w:tr w:rsidR="006B352E" w:rsidRPr="001F59B5" w14:paraId="03AB9DB9" w14:textId="77777777" w:rsidTr="001F59B5">
        <w:trPr>
          <w:trHeight w:val="125"/>
        </w:trPr>
        <w:tc>
          <w:tcPr>
            <w:tcW w:w="1300" w:type="pct"/>
            <w:vMerge/>
            <w:tcBorders>
              <w:top w:val="single" w:sz="4" w:space="0" w:color="auto"/>
              <w:left w:val="single" w:sz="4" w:space="0" w:color="auto"/>
              <w:bottom w:val="single" w:sz="4" w:space="0" w:color="auto"/>
              <w:right w:val="single" w:sz="4" w:space="0" w:color="auto"/>
            </w:tcBorders>
            <w:vAlign w:val="center"/>
            <w:hideMark/>
          </w:tcPr>
          <w:p w14:paraId="4308B382" w14:textId="77777777" w:rsidR="006B352E" w:rsidRPr="001F59B5" w:rsidRDefault="006B352E">
            <w:pPr>
              <w:rPr>
                <w:sz w:val="22"/>
                <w:szCs w:val="22"/>
                <w:lang w:val="en-GB" w:eastAsia="en-US"/>
              </w:rPr>
            </w:pPr>
          </w:p>
        </w:tc>
        <w:tc>
          <w:tcPr>
            <w:tcW w:w="2199" w:type="pct"/>
            <w:tcBorders>
              <w:top w:val="single" w:sz="4" w:space="0" w:color="auto"/>
              <w:left w:val="single" w:sz="4" w:space="0" w:color="auto"/>
              <w:bottom w:val="single" w:sz="4" w:space="0" w:color="auto"/>
              <w:right w:val="single" w:sz="4" w:space="0" w:color="auto"/>
            </w:tcBorders>
            <w:hideMark/>
          </w:tcPr>
          <w:p w14:paraId="3FDB6129" w14:textId="55969063" w:rsidR="006B352E" w:rsidRPr="001F59B5" w:rsidRDefault="006B352E" w:rsidP="001F59B5">
            <w:pPr>
              <w:keepNext/>
              <w:numPr>
                <w:ilvl w:val="0"/>
                <w:numId w:val="8"/>
              </w:numPr>
              <w:ind w:left="503"/>
              <w:rPr>
                <w:sz w:val="22"/>
                <w:szCs w:val="22"/>
                <w:lang w:val="en-US"/>
              </w:rPr>
            </w:pPr>
            <w:r w:rsidRPr="001F59B5">
              <w:rPr>
                <w:sz w:val="22"/>
                <w:szCs w:val="22"/>
                <w:lang w:val="en-US"/>
              </w:rPr>
              <w:t xml:space="preserve">Injection site pain </w:t>
            </w:r>
            <w:r w:rsidRPr="001F59B5">
              <w:rPr>
                <w:sz w:val="22"/>
                <w:szCs w:val="22"/>
                <w:lang w:val="en-US"/>
              </w:rPr>
              <w:br/>
              <w:t>(including Infusion site discomfort and Infusion site pain)</w:t>
            </w:r>
          </w:p>
        </w:tc>
        <w:tc>
          <w:tcPr>
            <w:tcW w:w="754" w:type="pct"/>
            <w:tcBorders>
              <w:top w:val="single" w:sz="4" w:space="0" w:color="auto"/>
              <w:left w:val="single" w:sz="4" w:space="0" w:color="auto"/>
              <w:bottom w:val="single" w:sz="4" w:space="0" w:color="auto"/>
              <w:right w:val="single" w:sz="4" w:space="0" w:color="auto"/>
            </w:tcBorders>
            <w:hideMark/>
          </w:tcPr>
          <w:p w14:paraId="5E2B410D" w14:textId="77777777" w:rsidR="006B352E" w:rsidRPr="001F59B5" w:rsidRDefault="006B352E">
            <w:pPr>
              <w:keepNext/>
              <w:rPr>
                <w:sz w:val="22"/>
                <w:szCs w:val="22"/>
              </w:rPr>
            </w:pPr>
            <w:proofErr w:type="spellStart"/>
            <w:r w:rsidRPr="001F59B5">
              <w:rPr>
                <w:sz w:val="22"/>
                <w:szCs w:val="22"/>
              </w:rPr>
              <w:t>Very</w:t>
            </w:r>
            <w:proofErr w:type="spellEnd"/>
            <w:r w:rsidRPr="001F59B5">
              <w:rPr>
                <w:sz w:val="22"/>
                <w:szCs w:val="22"/>
              </w:rPr>
              <w:t xml:space="preserve"> Common</w:t>
            </w:r>
          </w:p>
        </w:tc>
        <w:tc>
          <w:tcPr>
            <w:tcW w:w="747" w:type="pct"/>
            <w:tcBorders>
              <w:top w:val="single" w:sz="4" w:space="0" w:color="auto"/>
              <w:left w:val="single" w:sz="4" w:space="0" w:color="auto"/>
              <w:bottom w:val="single" w:sz="4" w:space="0" w:color="auto"/>
              <w:right w:val="single" w:sz="4" w:space="0" w:color="auto"/>
            </w:tcBorders>
            <w:hideMark/>
          </w:tcPr>
          <w:p w14:paraId="3C6B83CA" w14:textId="77777777" w:rsidR="006B352E" w:rsidRPr="001F59B5" w:rsidRDefault="006B352E">
            <w:pPr>
              <w:keepNext/>
              <w:rPr>
                <w:sz w:val="22"/>
                <w:szCs w:val="22"/>
              </w:rPr>
            </w:pPr>
            <w:r w:rsidRPr="001F59B5">
              <w:rPr>
                <w:sz w:val="22"/>
                <w:szCs w:val="22"/>
              </w:rPr>
              <w:t>Common</w:t>
            </w:r>
          </w:p>
        </w:tc>
      </w:tr>
      <w:tr w:rsidR="006B352E" w:rsidRPr="001F59B5" w14:paraId="36440D5E" w14:textId="77777777" w:rsidTr="001F59B5">
        <w:trPr>
          <w:trHeight w:val="125"/>
        </w:trPr>
        <w:tc>
          <w:tcPr>
            <w:tcW w:w="1300" w:type="pct"/>
            <w:vMerge/>
            <w:tcBorders>
              <w:top w:val="single" w:sz="4" w:space="0" w:color="auto"/>
              <w:left w:val="single" w:sz="4" w:space="0" w:color="auto"/>
              <w:bottom w:val="single" w:sz="4" w:space="0" w:color="auto"/>
              <w:right w:val="single" w:sz="4" w:space="0" w:color="auto"/>
            </w:tcBorders>
            <w:vAlign w:val="center"/>
            <w:hideMark/>
          </w:tcPr>
          <w:p w14:paraId="69CE84AB" w14:textId="77777777" w:rsidR="006B352E" w:rsidRPr="001F59B5" w:rsidRDefault="006B352E">
            <w:pPr>
              <w:rPr>
                <w:sz w:val="22"/>
                <w:szCs w:val="22"/>
                <w:lang w:val="en-GB" w:eastAsia="en-US"/>
              </w:rPr>
            </w:pPr>
          </w:p>
        </w:tc>
        <w:tc>
          <w:tcPr>
            <w:tcW w:w="2199" w:type="pct"/>
            <w:tcBorders>
              <w:top w:val="single" w:sz="4" w:space="0" w:color="auto"/>
              <w:left w:val="single" w:sz="4" w:space="0" w:color="auto"/>
              <w:bottom w:val="single" w:sz="4" w:space="0" w:color="auto"/>
              <w:right w:val="single" w:sz="4" w:space="0" w:color="auto"/>
            </w:tcBorders>
            <w:hideMark/>
          </w:tcPr>
          <w:p w14:paraId="32C47262" w14:textId="77777777" w:rsidR="006B352E" w:rsidRPr="001F59B5" w:rsidRDefault="006B352E" w:rsidP="001F59B5">
            <w:pPr>
              <w:keepNext/>
              <w:numPr>
                <w:ilvl w:val="0"/>
                <w:numId w:val="8"/>
              </w:numPr>
              <w:ind w:left="503"/>
              <w:rPr>
                <w:sz w:val="22"/>
                <w:szCs w:val="22"/>
              </w:rPr>
            </w:pPr>
            <w:r w:rsidRPr="001F59B5">
              <w:rPr>
                <w:sz w:val="22"/>
                <w:szCs w:val="22"/>
              </w:rPr>
              <w:t xml:space="preserve">Infusion site </w:t>
            </w:r>
            <w:proofErr w:type="spellStart"/>
            <w:r w:rsidRPr="001F59B5">
              <w:rPr>
                <w:sz w:val="22"/>
                <w:szCs w:val="22"/>
              </w:rPr>
              <w:t>swelling</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3564E069" w14:textId="77777777" w:rsidR="006B352E" w:rsidRPr="001F59B5" w:rsidRDefault="006B352E">
            <w:pPr>
              <w:keepNext/>
              <w:rPr>
                <w:sz w:val="22"/>
                <w:szCs w:val="22"/>
              </w:rPr>
            </w:pPr>
            <w:r w:rsidRPr="001F59B5">
              <w:rPr>
                <w:sz w:val="22"/>
                <w:szCs w:val="22"/>
              </w:rPr>
              <w:t>Common</w:t>
            </w:r>
          </w:p>
        </w:tc>
        <w:tc>
          <w:tcPr>
            <w:tcW w:w="747" w:type="pct"/>
            <w:tcBorders>
              <w:top w:val="single" w:sz="4" w:space="0" w:color="auto"/>
              <w:left w:val="single" w:sz="4" w:space="0" w:color="auto"/>
              <w:bottom w:val="single" w:sz="4" w:space="0" w:color="auto"/>
              <w:right w:val="single" w:sz="4" w:space="0" w:color="auto"/>
            </w:tcBorders>
            <w:hideMark/>
          </w:tcPr>
          <w:p w14:paraId="7A01E891" w14:textId="77777777" w:rsidR="006B352E" w:rsidRPr="001F59B5" w:rsidRDefault="006B352E">
            <w:pPr>
              <w:keepNext/>
              <w:rPr>
                <w:sz w:val="22"/>
                <w:szCs w:val="22"/>
              </w:rPr>
            </w:pPr>
            <w:proofErr w:type="spellStart"/>
            <w:r w:rsidRPr="001F59B5">
              <w:rPr>
                <w:sz w:val="22"/>
                <w:szCs w:val="22"/>
              </w:rPr>
              <w:t>Uncommon</w:t>
            </w:r>
            <w:proofErr w:type="spellEnd"/>
          </w:p>
        </w:tc>
      </w:tr>
      <w:tr w:rsidR="006B352E" w:rsidRPr="001F59B5" w14:paraId="1D7828DD" w14:textId="77777777" w:rsidTr="001F59B5">
        <w:trPr>
          <w:trHeight w:val="125"/>
        </w:trPr>
        <w:tc>
          <w:tcPr>
            <w:tcW w:w="1300" w:type="pct"/>
            <w:vMerge/>
            <w:tcBorders>
              <w:top w:val="single" w:sz="4" w:space="0" w:color="auto"/>
              <w:left w:val="single" w:sz="4" w:space="0" w:color="auto"/>
              <w:bottom w:val="single" w:sz="4" w:space="0" w:color="auto"/>
              <w:right w:val="single" w:sz="4" w:space="0" w:color="auto"/>
            </w:tcBorders>
            <w:vAlign w:val="center"/>
            <w:hideMark/>
          </w:tcPr>
          <w:p w14:paraId="6BC1B161" w14:textId="77777777" w:rsidR="006B352E" w:rsidRPr="001F59B5" w:rsidRDefault="006B352E">
            <w:pPr>
              <w:rPr>
                <w:sz w:val="22"/>
                <w:szCs w:val="22"/>
                <w:lang w:val="en-GB" w:eastAsia="en-US"/>
              </w:rPr>
            </w:pPr>
          </w:p>
        </w:tc>
        <w:tc>
          <w:tcPr>
            <w:tcW w:w="2199" w:type="pct"/>
            <w:tcBorders>
              <w:top w:val="single" w:sz="4" w:space="0" w:color="auto"/>
              <w:left w:val="single" w:sz="4" w:space="0" w:color="auto"/>
              <w:bottom w:val="single" w:sz="4" w:space="0" w:color="auto"/>
              <w:right w:val="single" w:sz="4" w:space="0" w:color="auto"/>
            </w:tcBorders>
            <w:hideMark/>
          </w:tcPr>
          <w:p w14:paraId="00BEB51A" w14:textId="77777777" w:rsidR="006B352E" w:rsidRPr="001F59B5" w:rsidRDefault="006B352E" w:rsidP="001F59B5">
            <w:pPr>
              <w:keepNext/>
              <w:numPr>
                <w:ilvl w:val="0"/>
                <w:numId w:val="8"/>
              </w:numPr>
              <w:ind w:left="503"/>
              <w:rPr>
                <w:sz w:val="22"/>
                <w:szCs w:val="22"/>
                <w:lang w:val="en-US"/>
              </w:rPr>
            </w:pPr>
            <w:r w:rsidRPr="001F59B5">
              <w:rPr>
                <w:sz w:val="22"/>
                <w:szCs w:val="22"/>
                <w:lang w:val="en-US"/>
              </w:rPr>
              <w:t xml:space="preserve">Injection site pruritus </w:t>
            </w:r>
            <w:r w:rsidRPr="001F59B5">
              <w:rPr>
                <w:sz w:val="22"/>
                <w:szCs w:val="22"/>
                <w:lang w:val="en-US"/>
              </w:rPr>
              <w:br/>
              <w:t>(including Infusion site pruritus)</w:t>
            </w:r>
          </w:p>
        </w:tc>
        <w:tc>
          <w:tcPr>
            <w:tcW w:w="754" w:type="pct"/>
            <w:tcBorders>
              <w:top w:val="single" w:sz="4" w:space="0" w:color="auto"/>
              <w:left w:val="single" w:sz="4" w:space="0" w:color="auto"/>
              <w:bottom w:val="single" w:sz="4" w:space="0" w:color="auto"/>
              <w:right w:val="single" w:sz="4" w:space="0" w:color="auto"/>
            </w:tcBorders>
            <w:hideMark/>
          </w:tcPr>
          <w:p w14:paraId="2F36586D" w14:textId="77777777" w:rsidR="006B352E" w:rsidRPr="001F59B5" w:rsidRDefault="006B352E">
            <w:pPr>
              <w:keepNext/>
              <w:rPr>
                <w:sz w:val="22"/>
                <w:szCs w:val="22"/>
              </w:rPr>
            </w:pPr>
            <w:r w:rsidRPr="001F59B5">
              <w:rPr>
                <w:sz w:val="22"/>
                <w:szCs w:val="22"/>
              </w:rPr>
              <w:t>Common</w:t>
            </w:r>
          </w:p>
        </w:tc>
        <w:tc>
          <w:tcPr>
            <w:tcW w:w="747" w:type="pct"/>
            <w:tcBorders>
              <w:top w:val="single" w:sz="4" w:space="0" w:color="auto"/>
              <w:left w:val="single" w:sz="4" w:space="0" w:color="auto"/>
              <w:bottom w:val="single" w:sz="4" w:space="0" w:color="auto"/>
              <w:right w:val="single" w:sz="4" w:space="0" w:color="auto"/>
            </w:tcBorders>
            <w:hideMark/>
          </w:tcPr>
          <w:p w14:paraId="52EB06FE" w14:textId="77777777" w:rsidR="006B352E" w:rsidRPr="001F59B5" w:rsidRDefault="006B352E">
            <w:pPr>
              <w:keepNext/>
              <w:rPr>
                <w:sz w:val="22"/>
                <w:szCs w:val="22"/>
              </w:rPr>
            </w:pPr>
            <w:proofErr w:type="spellStart"/>
            <w:r w:rsidRPr="001F59B5">
              <w:rPr>
                <w:sz w:val="22"/>
                <w:szCs w:val="22"/>
              </w:rPr>
              <w:t>Uncommon</w:t>
            </w:r>
            <w:proofErr w:type="spellEnd"/>
          </w:p>
        </w:tc>
      </w:tr>
      <w:tr w:rsidR="006B352E" w:rsidRPr="001F59B5" w14:paraId="509328DE" w14:textId="77777777" w:rsidTr="001F59B5">
        <w:trPr>
          <w:trHeight w:val="177"/>
        </w:trPr>
        <w:tc>
          <w:tcPr>
            <w:tcW w:w="1300" w:type="pct"/>
            <w:vMerge/>
            <w:tcBorders>
              <w:top w:val="single" w:sz="4" w:space="0" w:color="auto"/>
              <w:left w:val="single" w:sz="4" w:space="0" w:color="auto"/>
              <w:bottom w:val="single" w:sz="4" w:space="0" w:color="auto"/>
              <w:right w:val="single" w:sz="4" w:space="0" w:color="auto"/>
            </w:tcBorders>
            <w:vAlign w:val="center"/>
            <w:hideMark/>
          </w:tcPr>
          <w:p w14:paraId="25C45558" w14:textId="77777777" w:rsidR="006B352E" w:rsidRPr="001F59B5" w:rsidRDefault="006B352E">
            <w:pPr>
              <w:rPr>
                <w:sz w:val="22"/>
                <w:szCs w:val="22"/>
                <w:lang w:val="en-GB" w:eastAsia="en-US"/>
              </w:rPr>
            </w:pPr>
          </w:p>
        </w:tc>
        <w:tc>
          <w:tcPr>
            <w:tcW w:w="2199" w:type="pct"/>
            <w:tcBorders>
              <w:top w:val="single" w:sz="4" w:space="0" w:color="auto"/>
              <w:left w:val="single" w:sz="4" w:space="0" w:color="auto"/>
              <w:bottom w:val="single" w:sz="4" w:space="0" w:color="auto"/>
              <w:right w:val="single" w:sz="4" w:space="0" w:color="auto"/>
            </w:tcBorders>
            <w:hideMark/>
          </w:tcPr>
          <w:p w14:paraId="780AC724" w14:textId="77777777" w:rsidR="006B352E" w:rsidRPr="001F59B5" w:rsidRDefault="006B352E" w:rsidP="001F59B5">
            <w:pPr>
              <w:keepNext/>
              <w:numPr>
                <w:ilvl w:val="0"/>
                <w:numId w:val="8"/>
              </w:numPr>
              <w:ind w:left="503"/>
              <w:rPr>
                <w:sz w:val="22"/>
                <w:szCs w:val="22"/>
              </w:rPr>
            </w:pPr>
            <w:r w:rsidRPr="001F59B5">
              <w:rPr>
                <w:sz w:val="22"/>
                <w:szCs w:val="22"/>
              </w:rPr>
              <w:t xml:space="preserve">Infusion site </w:t>
            </w:r>
            <w:proofErr w:type="spellStart"/>
            <w:r w:rsidRPr="001F59B5">
              <w:rPr>
                <w:sz w:val="22"/>
                <w:szCs w:val="22"/>
              </w:rPr>
              <w:t>urticaria</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5086966E" w14:textId="77777777" w:rsidR="006B352E" w:rsidRPr="001F59B5" w:rsidRDefault="006B352E">
            <w:pPr>
              <w:keepNext/>
              <w:rPr>
                <w:sz w:val="22"/>
                <w:szCs w:val="22"/>
              </w:rPr>
            </w:pPr>
            <w:r w:rsidRPr="001F59B5">
              <w:rPr>
                <w:sz w:val="22"/>
                <w:szCs w:val="22"/>
              </w:rPr>
              <w:t>Common</w:t>
            </w:r>
          </w:p>
        </w:tc>
        <w:tc>
          <w:tcPr>
            <w:tcW w:w="747" w:type="pct"/>
            <w:tcBorders>
              <w:top w:val="single" w:sz="4" w:space="0" w:color="auto"/>
              <w:left w:val="single" w:sz="4" w:space="0" w:color="auto"/>
              <w:bottom w:val="single" w:sz="4" w:space="0" w:color="auto"/>
              <w:right w:val="single" w:sz="4" w:space="0" w:color="auto"/>
            </w:tcBorders>
            <w:hideMark/>
          </w:tcPr>
          <w:p w14:paraId="5645D898" w14:textId="77777777" w:rsidR="006B352E" w:rsidRPr="001F59B5" w:rsidRDefault="006B352E">
            <w:pPr>
              <w:keepNext/>
              <w:rPr>
                <w:sz w:val="22"/>
                <w:szCs w:val="22"/>
              </w:rPr>
            </w:pPr>
            <w:proofErr w:type="spellStart"/>
            <w:r w:rsidRPr="001F59B5">
              <w:rPr>
                <w:sz w:val="22"/>
                <w:szCs w:val="22"/>
              </w:rPr>
              <w:t>Uncommon</w:t>
            </w:r>
            <w:proofErr w:type="spellEnd"/>
          </w:p>
        </w:tc>
      </w:tr>
      <w:tr w:rsidR="006B352E" w:rsidRPr="001F59B5" w14:paraId="7F6C5126" w14:textId="77777777" w:rsidTr="001F59B5">
        <w:trPr>
          <w:trHeight w:val="125"/>
        </w:trPr>
        <w:tc>
          <w:tcPr>
            <w:tcW w:w="1300" w:type="pct"/>
            <w:vMerge/>
            <w:tcBorders>
              <w:top w:val="single" w:sz="4" w:space="0" w:color="auto"/>
              <w:left w:val="single" w:sz="4" w:space="0" w:color="auto"/>
              <w:bottom w:val="single" w:sz="4" w:space="0" w:color="auto"/>
              <w:right w:val="single" w:sz="4" w:space="0" w:color="auto"/>
            </w:tcBorders>
            <w:vAlign w:val="center"/>
            <w:hideMark/>
          </w:tcPr>
          <w:p w14:paraId="3893AAD6" w14:textId="77777777" w:rsidR="006B352E" w:rsidRPr="001F59B5" w:rsidRDefault="006B352E">
            <w:pPr>
              <w:rPr>
                <w:sz w:val="22"/>
                <w:szCs w:val="22"/>
                <w:lang w:val="en-GB" w:eastAsia="en-US"/>
              </w:rPr>
            </w:pPr>
          </w:p>
        </w:tc>
        <w:tc>
          <w:tcPr>
            <w:tcW w:w="2199" w:type="pct"/>
            <w:tcBorders>
              <w:top w:val="single" w:sz="4" w:space="0" w:color="auto"/>
              <w:left w:val="single" w:sz="4" w:space="0" w:color="auto"/>
              <w:bottom w:val="single" w:sz="4" w:space="0" w:color="auto"/>
              <w:right w:val="single" w:sz="4" w:space="0" w:color="auto"/>
            </w:tcBorders>
            <w:hideMark/>
          </w:tcPr>
          <w:p w14:paraId="140D9396" w14:textId="77777777" w:rsidR="006B352E" w:rsidRPr="001F59B5" w:rsidRDefault="006B352E" w:rsidP="001F59B5">
            <w:pPr>
              <w:keepNext/>
              <w:numPr>
                <w:ilvl w:val="0"/>
                <w:numId w:val="8"/>
              </w:numPr>
              <w:ind w:left="503"/>
              <w:rPr>
                <w:sz w:val="22"/>
                <w:szCs w:val="22"/>
              </w:rPr>
            </w:pPr>
            <w:r w:rsidRPr="001F59B5">
              <w:rPr>
                <w:sz w:val="22"/>
                <w:szCs w:val="22"/>
              </w:rPr>
              <w:t xml:space="preserve">Infusion site </w:t>
            </w:r>
            <w:proofErr w:type="spellStart"/>
            <w:r w:rsidRPr="001F59B5">
              <w:rPr>
                <w:sz w:val="22"/>
                <w:szCs w:val="22"/>
              </w:rPr>
              <w:t>bruising</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67E38BAD" w14:textId="77777777" w:rsidR="006B352E" w:rsidRPr="001F59B5" w:rsidRDefault="006B352E">
            <w:pPr>
              <w:keepNext/>
              <w:rPr>
                <w:sz w:val="22"/>
                <w:szCs w:val="22"/>
              </w:rPr>
            </w:pPr>
            <w:r w:rsidRPr="001F59B5">
              <w:rPr>
                <w:sz w:val="22"/>
                <w:szCs w:val="22"/>
              </w:rPr>
              <w:t>Common</w:t>
            </w:r>
          </w:p>
        </w:tc>
        <w:tc>
          <w:tcPr>
            <w:tcW w:w="747" w:type="pct"/>
            <w:tcBorders>
              <w:top w:val="single" w:sz="4" w:space="0" w:color="auto"/>
              <w:left w:val="single" w:sz="4" w:space="0" w:color="auto"/>
              <w:bottom w:val="single" w:sz="4" w:space="0" w:color="auto"/>
              <w:right w:val="single" w:sz="4" w:space="0" w:color="auto"/>
            </w:tcBorders>
            <w:hideMark/>
          </w:tcPr>
          <w:p w14:paraId="1F724FCE" w14:textId="77777777" w:rsidR="006B352E" w:rsidRPr="001F59B5" w:rsidRDefault="006B352E">
            <w:pPr>
              <w:keepNext/>
              <w:rPr>
                <w:sz w:val="22"/>
                <w:szCs w:val="22"/>
              </w:rPr>
            </w:pPr>
            <w:r w:rsidRPr="001F59B5">
              <w:rPr>
                <w:sz w:val="22"/>
                <w:szCs w:val="22"/>
              </w:rPr>
              <w:t>Rare</w:t>
            </w:r>
          </w:p>
        </w:tc>
      </w:tr>
      <w:tr w:rsidR="006B352E" w:rsidRPr="001F59B5" w14:paraId="6142952C" w14:textId="77777777" w:rsidTr="001F59B5">
        <w:trPr>
          <w:trHeight w:val="125"/>
        </w:trPr>
        <w:tc>
          <w:tcPr>
            <w:tcW w:w="1300" w:type="pct"/>
            <w:vMerge/>
            <w:tcBorders>
              <w:top w:val="single" w:sz="4" w:space="0" w:color="auto"/>
              <w:left w:val="single" w:sz="4" w:space="0" w:color="auto"/>
              <w:bottom w:val="single" w:sz="4" w:space="0" w:color="auto"/>
              <w:right w:val="single" w:sz="4" w:space="0" w:color="auto"/>
            </w:tcBorders>
            <w:vAlign w:val="center"/>
            <w:hideMark/>
          </w:tcPr>
          <w:p w14:paraId="79720B4C" w14:textId="77777777" w:rsidR="006B352E" w:rsidRPr="001F59B5" w:rsidRDefault="006B352E">
            <w:pPr>
              <w:rPr>
                <w:sz w:val="22"/>
                <w:szCs w:val="22"/>
                <w:lang w:val="en-GB" w:eastAsia="en-US"/>
              </w:rPr>
            </w:pPr>
          </w:p>
        </w:tc>
        <w:tc>
          <w:tcPr>
            <w:tcW w:w="2199" w:type="pct"/>
            <w:tcBorders>
              <w:top w:val="single" w:sz="4" w:space="0" w:color="auto"/>
              <w:left w:val="single" w:sz="4" w:space="0" w:color="auto"/>
              <w:bottom w:val="single" w:sz="4" w:space="0" w:color="auto"/>
              <w:right w:val="single" w:sz="4" w:space="0" w:color="auto"/>
            </w:tcBorders>
            <w:hideMark/>
          </w:tcPr>
          <w:p w14:paraId="2728636A" w14:textId="77777777" w:rsidR="006B352E" w:rsidRPr="001F59B5" w:rsidRDefault="006B352E" w:rsidP="001F59B5">
            <w:pPr>
              <w:keepNext/>
              <w:numPr>
                <w:ilvl w:val="0"/>
                <w:numId w:val="8"/>
              </w:numPr>
              <w:ind w:left="503"/>
              <w:rPr>
                <w:sz w:val="22"/>
                <w:szCs w:val="22"/>
              </w:rPr>
            </w:pPr>
            <w:r w:rsidRPr="001F59B5">
              <w:rPr>
                <w:sz w:val="22"/>
                <w:szCs w:val="22"/>
              </w:rPr>
              <w:t xml:space="preserve">Infusion site </w:t>
            </w:r>
            <w:proofErr w:type="spellStart"/>
            <w:r w:rsidRPr="001F59B5">
              <w:rPr>
                <w:sz w:val="22"/>
                <w:szCs w:val="22"/>
              </w:rPr>
              <w:t>oedema</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537A9646" w14:textId="77777777" w:rsidR="006B352E" w:rsidRPr="001F59B5" w:rsidRDefault="006B352E">
            <w:pPr>
              <w:keepNext/>
              <w:rPr>
                <w:sz w:val="22"/>
                <w:szCs w:val="22"/>
              </w:rPr>
            </w:pPr>
            <w:proofErr w:type="spellStart"/>
            <w:r w:rsidRPr="001F59B5">
              <w:rPr>
                <w:sz w:val="22"/>
                <w:szCs w:val="22"/>
              </w:rPr>
              <w:t>Uncommon</w:t>
            </w:r>
            <w:proofErr w:type="spellEnd"/>
          </w:p>
        </w:tc>
        <w:tc>
          <w:tcPr>
            <w:tcW w:w="747" w:type="pct"/>
            <w:tcBorders>
              <w:top w:val="single" w:sz="4" w:space="0" w:color="auto"/>
              <w:left w:val="single" w:sz="4" w:space="0" w:color="auto"/>
              <w:bottom w:val="single" w:sz="4" w:space="0" w:color="auto"/>
              <w:right w:val="single" w:sz="4" w:space="0" w:color="auto"/>
            </w:tcBorders>
            <w:hideMark/>
          </w:tcPr>
          <w:p w14:paraId="20E3E12F" w14:textId="77777777" w:rsidR="006B352E" w:rsidRPr="001F59B5" w:rsidRDefault="006B352E">
            <w:pPr>
              <w:keepNext/>
              <w:rPr>
                <w:sz w:val="22"/>
                <w:szCs w:val="22"/>
              </w:rPr>
            </w:pPr>
            <w:r w:rsidRPr="001F59B5">
              <w:rPr>
                <w:sz w:val="22"/>
                <w:szCs w:val="22"/>
              </w:rPr>
              <w:t>Rare</w:t>
            </w:r>
          </w:p>
        </w:tc>
      </w:tr>
      <w:tr w:rsidR="006B352E" w:rsidRPr="001F59B5" w14:paraId="3A17448B" w14:textId="77777777" w:rsidTr="001F59B5">
        <w:trPr>
          <w:trHeight w:val="125"/>
        </w:trPr>
        <w:tc>
          <w:tcPr>
            <w:tcW w:w="1300" w:type="pct"/>
            <w:vMerge/>
            <w:tcBorders>
              <w:top w:val="single" w:sz="4" w:space="0" w:color="auto"/>
              <w:left w:val="single" w:sz="4" w:space="0" w:color="auto"/>
              <w:bottom w:val="single" w:sz="4" w:space="0" w:color="auto"/>
              <w:right w:val="single" w:sz="4" w:space="0" w:color="auto"/>
            </w:tcBorders>
            <w:vAlign w:val="center"/>
            <w:hideMark/>
          </w:tcPr>
          <w:p w14:paraId="5261B5AA" w14:textId="77777777" w:rsidR="006B352E" w:rsidRPr="001F59B5" w:rsidRDefault="006B352E">
            <w:pPr>
              <w:rPr>
                <w:sz w:val="22"/>
                <w:szCs w:val="22"/>
                <w:lang w:val="en-GB" w:eastAsia="en-US"/>
              </w:rPr>
            </w:pPr>
          </w:p>
        </w:tc>
        <w:tc>
          <w:tcPr>
            <w:tcW w:w="2199" w:type="pct"/>
            <w:tcBorders>
              <w:top w:val="single" w:sz="4" w:space="0" w:color="auto"/>
              <w:left w:val="single" w:sz="4" w:space="0" w:color="auto"/>
              <w:bottom w:val="single" w:sz="4" w:space="0" w:color="auto"/>
              <w:right w:val="single" w:sz="4" w:space="0" w:color="auto"/>
            </w:tcBorders>
            <w:hideMark/>
          </w:tcPr>
          <w:p w14:paraId="09831E31" w14:textId="77777777" w:rsidR="006B352E" w:rsidRPr="001F59B5" w:rsidRDefault="006B352E">
            <w:pPr>
              <w:keepNext/>
              <w:rPr>
                <w:sz w:val="22"/>
                <w:szCs w:val="22"/>
              </w:rPr>
            </w:pPr>
            <w:proofErr w:type="spellStart"/>
            <w:r w:rsidRPr="001F59B5">
              <w:rPr>
                <w:sz w:val="22"/>
                <w:szCs w:val="22"/>
              </w:rPr>
              <w:t>Fatigue</w:t>
            </w:r>
            <w:proofErr w:type="spellEnd"/>
          </w:p>
        </w:tc>
        <w:tc>
          <w:tcPr>
            <w:tcW w:w="754" w:type="pct"/>
            <w:tcBorders>
              <w:top w:val="single" w:sz="4" w:space="0" w:color="auto"/>
              <w:left w:val="single" w:sz="4" w:space="0" w:color="auto"/>
              <w:bottom w:val="single" w:sz="4" w:space="0" w:color="auto"/>
              <w:right w:val="single" w:sz="4" w:space="0" w:color="auto"/>
            </w:tcBorders>
            <w:hideMark/>
          </w:tcPr>
          <w:p w14:paraId="0629F2B4" w14:textId="77777777" w:rsidR="006B352E" w:rsidRPr="001F59B5" w:rsidRDefault="006B352E">
            <w:pPr>
              <w:keepNext/>
              <w:rPr>
                <w:sz w:val="22"/>
                <w:szCs w:val="22"/>
              </w:rPr>
            </w:pPr>
            <w:proofErr w:type="spellStart"/>
            <w:r w:rsidRPr="001F59B5">
              <w:rPr>
                <w:sz w:val="22"/>
                <w:szCs w:val="22"/>
              </w:rPr>
              <w:t>Very</w:t>
            </w:r>
            <w:proofErr w:type="spellEnd"/>
            <w:r w:rsidRPr="001F59B5">
              <w:rPr>
                <w:sz w:val="22"/>
                <w:szCs w:val="22"/>
              </w:rPr>
              <w:t xml:space="preserve"> Common</w:t>
            </w:r>
          </w:p>
        </w:tc>
        <w:tc>
          <w:tcPr>
            <w:tcW w:w="747" w:type="pct"/>
            <w:tcBorders>
              <w:top w:val="single" w:sz="4" w:space="0" w:color="auto"/>
              <w:left w:val="single" w:sz="4" w:space="0" w:color="auto"/>
              <w:bottom w:val="single" w:sz="4" w:space="0" w:color="auto"/>
              <w:right w:val="single" w:sz="4" w:space="0" w:color="auto"/>
            </w:tcBorders>
            <w:hideMark/>
          </w:tcPr>
          <w:p w14:paraId="1250A003" w14:textId="77777777" w:rsidR="006B352E" w:rsidRPr="001F59B5" w:rsidRDefault="006B352E">
            <w:pPr>
              <w:keepNext/>
              <w:rPr>
                <w:sz w:val="22"/>
                <w:szCs w:val="22"/>
              </w:rPr>
            </w:pPr>
            <w:proofErr w:type="spellStart"/>
            <w:r w:rsidRPr="001F59B5">
              <w:rPr>
                <w:sz w:val="22"/>
                <w:szCs w:val="22"/>
              </w:rPr>
              <w:t>Uncommon</w:t>
            </w:r>
            <w:proofErr w:type="spellEnd"/>
          </w:p>
        </w:tc>
      </w:tr>
      <w:tr w:rsidR="006B352E" w:rsidRPr="001F59B5" w14:paraId="618296A3" w14:textId="77777777" w:rsidTr="001F59B5">
        <w:trPr>
          <w:trHeight w:val="125"/>
        </w:trPr>
        <w:tc>
          <w:tcPr>
            <w:tcW w:w="1300" w:type="pct"/>
            <w:vMerge/>
            <w:tcBorders>
              <w:top w:val="single" w:sz="4" w:space="0" w:color="auto"/>
              <w:left w:val="single" w:sz="4" w:space="0" w:color="auto"/>
              <w:bottom w:val="single" w:sz="4" w:space="0" w:color="auto"/>
              <w:right w:val="single" w:sz="4" w:space="0" w:color="auto"/>
            </w:tcBorders>
            <w:vAlign w:val="center"/>
            <w:hideMark/>
          </w:tcPr>
          <w:p w14:paraId="29AD5DD7" w14:textId="77777777" w:rsidR="006B352E" w:rsidRPr="001F59B5" w:rsidRDefault="006B352E">
            <w:pPr>
              <w:rPr>
                <w:sz w:val="22"/>
                <w:szCs w:val="22"/>
                <w:lang w:val="en-GB" w:eastAsia="en-US"/>
              </w:rPr>
            </w:pPr>
          </w:p>
        </w:tc>
        <w:tc>
          <w:tcPr>
            <w:tcW w:w="2199" w:type="pct"/>
            <w:tcBorders>
              <w:top w:val="single" w:sz="4" w:space="0" w:color="auto"/>
              <w:left w:val="single" w:sz="4" w:space="0" w:color="auto"/>
              <w:bottom w:val="single" w:sz="4" w:space="0" w:color="auto"/>
              <w:right w:val="single" w:sz="4" w:space="0" w:color="auto"/>
            </w:tcBorders>
            <w:hideMark/>
          </w:tcPr>
          <w:p w14:paraId="7AF5D6AC" w14:textId="77777777" w:rsidR="006B352E" w:rsidRPr="001F59B5" w:rsidRDefault="006B352E">
            <w:pPr>
              <w:keepNext/>
              <w:rPr>
                <w:sz w:val="22"/>
                <w:szCs w:val="22"/>
              </w:rPr>
            </w:pPr>
            <w:r w:rsidRPr="001F59B5">
              <w:rPr>
                <w:sz w:val="22"/>
                <w:szCs w:val="22"/>
              </w:rPr>
              <w:t>Pain</w:t>
            </w:r>
          </w:p>
        </w:tc>
        <w:tc>
          <w:tcPr>
            <w:tcW w:w="754" w:type="pct"/>
            <w:tcBorders>
              <w:top w:val="single" w:sz="4" w:space="0" w:color="auto"/>
              <w:left w:val="single" w:sz="4" w:space="0" w:color="auto"/>
              <w:bottom w:val="single" w:sz="4" w:space="0" w:color="auto"/>
              <w:right w:val="single" w:sz="4" w:space="0" w:color="auto"/>
            </w:tcBorders>
            <w:hideMark/>
          </w:tcPr>
          <w:p w14:paraId="44396EF5" w14:textId="77777777" w:rsidR="006B352E" w:rsidRPr="001F59B5" w:rsidRDefault="006B352E">
            <w:pPr>
              <w:keepNext/>
              <w:rPr>
                <w:sz w:val="22"/>
                <w:szCs w:val="22"/>
              </w:rPr>
            </w:pPr>
            <w:r w:rsidRPr="001F59B5">
              <w:rPr>
                <w:sz w:val="22"/>
                <w:szCs w:val="22"/>
              </w:rPr>
              <w:t>Common</w:t>
            </w:r>
          </w:p>
        </w:tc>
        <w:tc>
          <w:tcPr>
            <w:tcW w:w="747" w:type="pct"/>
            <w:tcBorders>
              <w:top w:val="single" w:sz="4" w:space="0" w:color="auto"/>
              <w:left w:val="single" w:sz="4" w:space="0" w:color="auto"/>
              <w:bottom w:val="single" w:sz="4" w:space="0" w:color="auto"/>
              <w:right w:val="single" w:sz="4" w:space="0" w:color="auto"/>
            </w:tcBorders>
            <w:hideMark/>
          </w:tcPr>
          <w:p w14:paraId="6A628B30" w14:textId="77777777" w:rsidR="006B352E" w:rsidRPr="001F59B5" w:rsidRDefault="006B352E">
            <w:pPr>
              <w:keepNext/>
              <w:rPr>
                <w:sz w:val="22"/>
                <w:szCs w:val="22"/>
              </w:rPr>
            </w:pPr>
            <w:r w:rsidRPr="001F59B5">
              <w:rPr>
                <w:sz w:val="22"/>
                <w:szCs w:val="22"/>
              </w:rPr>
              <w:t>Rare</w:t>
            </w:r>
          </w:p>
        </w:tc>
      </w:tr>
      <w:tr w:rsidR="006B352E" w:rsidRPr="001F59B5" w14:paraId="2DED3C4D" w14:textId="77777777" w:rsidTr="001F59B5">
        <w:trPr>
          <w:trHeight w:val="125"/>
        </w:trPr>
        <w:tc>
          <w:tcPr>
            <w:tcW w:w="1300" w:type="pct"/>
            <w:tcBorders>
              <w:top w:val="single" w:sz="4" w:space="0" w:color="auto"/>
              <w:left w:val="single" w:sz="4" w:space="0" w:color="auto"/>
              <w:bottom w:val="single" w:sz="4" w:space="0" w:color="auto"/>
              <w:right w:val="single" w:sz="4" w:space="0" w:color="auto"/>
            </w:tcBorders>
            <w:hideMark/>
          </w:tcPr>
          <w:p w14:paraId="69D9E220" w14:textId="77777777" w:rsidR="006B352E" w:rsidRPr="001F59B5" w:rsidRDefault="006B352E">
            <w:pPr>
              <w:rPr>
                <w:sz w:val="22"/>
                <w:szCs w:val="22"/>
              </w:rPr>
            </w:pPr>
            <w:r w:rsidRPr="001F59B5">
              <w:rPr>
                <w:sz w:val="22"/>
                <w:szCs w:val="22"/>
              </w:rPr>
              <w:t>INVESTIGATIONS</w:t>
            </w:r>
          </w:p>
        </w:tc>
        <w:tc>
          <w:tcPr>
            <w:tcW w:w="2199" w:type="pct"/>
            <w:tcBorders>
              <w:top w:val="single" w:sz="4" w:space="0" w:color="auto"/>
              <w:left w:val="single" w:sz="4" w:space="0" w:color="auto"/>
              <w:bottom w:val="single" w:sz="4" w:space="0" w:color="auto"/>
              <w:right w:val="single" w:sz="4" w:space="0" w:color="auto"/>
            </w:tcBorders>
            <w:hideMark/>
          </w:tcPr>
          <w:p w14:paraId="66C4C994" w14:textId="77777777" w:rsidR="006B352E" w:rsidRPr="001F59B5" w:rsidRDefault="006B352E">
            <w:pPr>
              <w:rPr>
                <w:sz w:val="22"/>
                <w:szCs w:val="22"/>
              </w:rPr>
            </w:pPr>
            <w:proofErr w:type="spellStart"/>
            <w:r w:rsidRPr="001F59B5">
              <w:rPr>
                <w:sz w:val="22"/>
                <w:szCs w:val="22"/>
              </w:rPr>
              <w:t>Anti</w:t>
            </w:r>
            <w:proofErr w:type="spellEnd"/>
            <w:r w:rsidRPr="001F59B5">
              <w:rPr>
                <w:sz w:val="22"/>
                <w:szCs w:val="22"/>
              </w:rPr>
              <w:t>-GAD antibody positive</w:t>
            </w:r>
          </w:p>
        </w:tc>
        <w:tc>
          <w:tcPr>
            <w:tcW w:w="754" w:type="pct"/>
            <w:tcBorders>
              <w:top w:val="single" w:sz="4" w:space="0" w:color="auto"/>
              <w:left w:val="single" w:sz="4" w:space="0" w:color="auto"/>
              <w:bottom w:val="single" w:sz="4" w:space="0" w:color="auto"/>
              <w:right w:val="single" w:sz="4" w:space="0" w:color="auto"/>
            </w:tcBorders>
            <w:hideMark/>
          </w:tcPr>
          <w:p w14:paraId="26761872" w14:textId="77777777" w:rsidR="006B352E" w:rsidRPr="001F59B5" w:rsidRDefault="006B352E">
            <w:pPr>
              <w:rPr>
                <w:sz w:val="22"/>
                <w:szCs w:val="22"/>
              </w:rPr>
            </w:pPr>
            <w:proofErr w:type="spellStart"/>
            <w:r w:rsidRPr="001F59B5">
              <w:rPr>
                <w:sz w:val="22"/>
                <w:szCs w:val="22"/>
              </w:rPr>
              <w:t>Uncommon</w:t>
            </w:r>
            <w:proofErr w:type="spellEnd"/>
          </w:p>
        </w:tc>
        <w:tc>
          <w:tcPr>
            <w:tcW w:w="747" w:type="pct"/>
            <w:tcBorders>
              <w:top w:val="single" w:sz="4" w:space="0" w:color="auto"/>
              <w:left w:val="single" w:sz="4" w:space="0" w:color="auto"/>
              <w:bottom w:val="single" w:sz="4" w:space="0" w:color="auto"/>
              <w:right w:val="single" w:sz="4" w:space="0" w:color="auto"/>
            </w:tcBorders>
            <w:hideMark/>
          </w:tcPr>
          <w:p w14:paraId="1B94938D" w14:textId="77777777" w:rsidR="006B352E" w:rsidRPr="001F59B5" w:rsidRDefault="006B352E">
            <w:pPr>
              <w:rPr>
                <w:sz w:val="22"/>
                <w:szCs w:val="22"/>
              </w:rPr>
            </w:pPr>
            <w:r w:rsidRPr="001F59B5">
              <w:rPr>
                <w:sz w:val="22"/>
                <w:szCs w:val="22"/>
              </w:rPr>
              <w:t>Rare</w:t>
            </w:r>
          </w:p>
        </w:tc>
      </w:tr>
      <w:tr w:rsidR="006B352E" w:rsidRPr="001F59B5" w14:paraId="6568D326" w14:textId="77777777" w:rsidTr="001F59B5">
        <w:trPr>
          <w:trHeight w:val="125"/>
        </w:trPr>
        <w:tc>
          <w:tcPr>
            <w:tcW w:w="1300" w:type="pct"/>
            <w:tcBorders>
              <w:top w:val="single" w:sz="4" w:space="0" w:color="auto"/>
              <w:left w:val="single" w:sz="4" w:space="0" w:color="auto"/>
              <w:bottom w:val="single" w:sz="4" w:space="0" w:color="auto"/>
              <w:right w:val="single" w:sz="4" w:space="0" w:color="auto"/>
            </w:tcBorders>
          </w:tcPr>
          <w:p w14:paraId="012F12AB" w14:textId="77777777" w:rsidR="006B352E" w:rsidRPr="001F59B5" w:rsidRDefault="006B352E">
            <w:pPr>
              <w:rPr>
                <w:sz w:val="22"/>
                <w:szCs w:val="22"/>
              </w:rPr>
            </w:pPr>
          </w:p>
        </w:tc>
        <w:tc>
          <w:tcPr>
            <w:tcW w:w="2199" w:type="pct"/>
            <w:tcBorders>
              <w:top w:val="single" w:sz="4" w:space="0" w:color="auto"/>
              <w:left w:val="single" w:sz="4" w:space="0" w:color="auto"/>
              <w:bottom w:val="single" w:sz="4" w:space="0" w:color="auto"/>
              <w:right w:val="single" w:sz="4" w:space="0" w:color="auto"/>
            </w:tcBorders>
            <w:hideMark/>
          </w:tcPr>
          <w:p w14:paraId="05EBE28C" w14:textId="77777777" w:rsidR="006B352E" w:rsidRPr="001F59B5" w:rsidRDefault="006B352E">
            <w:pPr>
              <w:rPr>
                <w:sz w:val="22"/>
                <w:szCs w:val="22"/>
              </w:rPr>
            </w:pPr>
            <w:proofErr w:type="spellStart"/>
            <w:r w:rsidRPr="001F59B5">
              <w:rPr>
                <w:sz w:val="22"/>
                <w:szCs w:val="22"/>
              </w:rPr>
              <w:t>Coombs</w:t>
            </w:r>
            <w:proofErr w:type="spellEnd"/>
            <w:r w:rsidRPr="001F59B5">
              <w:rPr>
                <w:sz w:val="22"/>
                <w:szCs w:val="22"/>
              </w:rPr>
              <w:t xml:space="preserve"> </w:t>
            </w:r>
            <w:proofErr w:type="spellStart"/>
            <w:r w:rsidRPr="001F59B5">
              <w:rPr>
                <w:sz w:val="22"/>
                <w:szCs w:val="22"/>
              </w:rPr>
              <w:t>direct</w:t>
            </w:r>
            <w:proofErr w:type="spellEnd"/>
            <w:r w:rsidRPr="001F59B5">
              <w:rPr>
                <w:sz w:val="22"/>
                <w:szCs w:val="22"/>
              </w:rPr>
              <w:t xml:space="preserve"> test positive</w:t>
            </w:r>
          </w:p>
        </w:tc>
        <w:tc>
          <w:tcPr>
            <w:tcW w:w="754" w:type="pct"/>
            <w:tcBorders>
              <w:top w:val="single" w:sz="4" w:space="0" w:color="auto"/>
              <w:left w:val="single" w:sz="4" w:space="0" w:color="auto"/>
              <w:bottom w:val="single" w:sz="4" w:space="0" w:color="auto"/>
              <w:right w:val="single" w:sz="4" w:space="0" w:color="auto"/>
            </w:tcBorders>
            <w:hideMark/>
          </w:tcPr>
          <w:p w14:paraId="455EBFB8" w14:textId="77777777" w:rsidR="006B352E" w:rsidRPr="001F59B5" w:rsidRDefault="006B352E">
            <w:pPr>
              <w:rPr>
                <w:sz w:val="22"/>
                <w:szCs w:val="22"/>
              </w:rPr>
            </w:pPr>
            <w:proofErr w:type="spellStart"/>
            <w:r w:rsidRPr="001F59B5">
              <w:rPr>
                <w:sz w:val="22"/>
                <w:szCs w:val="22"/>
              </w:rPr>
              <w:t>Uncommon</w:t>
            </w:r>
            <w:proofErr w:type="spellEnd"/>
          </w:p>
        </w:tc>
        <w:tc>
          <w:tcPr>
            <w:tcW w:w="747" w:type="pct"/>
            <w:tcBorders>
              <w:top w:val="single" w:sz="4" w:space="0" w:color="auto"/>
              <w:left w:val="single" w:sz="4" w:space="0" w:color="auto"/>
              <w:bottom w:val="single" w:sz="4" w:space="0" w:color="auto"/>
              <w:right w:val="single" w:sz="4" w:space="0" w:color="auto"/>
            </w:tcBorders>
            <w:hideMark/>
          </w:tcPr>
          <w:p w14:paraId="5EEDD748" w14:textId="77777777" w:rsidR="006B352E" w:rsidRPr="001F59B5" w:rsidRDefault="006B352E">
            <w:pPr>
              <w:rPr>
                <w:sz w:val="22"/>
                <w:szCs w:val="22"/>
              </w:rPr>
            </w:pPr>
            <w:r w:rsidRPr="001F59B5">
              <w:rPr>
                <w:sz w:val="22"/>
                <w:szCs w:val="22"/>
              </w:rPr>
              <w:t>Rare</w:t>
            </w:r>
          </w:p>
        </w:tc>
      </w:tr>
    </w:tbl>
    <w:p w14:paraId="01794B86" w14:textId="69263406" w:rsidR="006B352E" w:rsidRDefault="006B352E" w:rsidP="001F59B5">
      <w:pPr>
        <w:ind w:left="284" w:hanging="284"/>
        <w:rPr>
          <w:sz w:val="20"/>
          <w:lang w:val="en-GB" w:eastAsia="en-US"/>
        </w:rPr>
      </w:pPr>
      <w:proofErr w:type="spellStart"/>
      <w:r w:rsidRPr="006B352E">
        <w:rPr>
          <w:sz w:val="20"/>
          <w:vertAlign w:val="superscript"/>
          <w:lang w:val="en-US"/>
        </w:rPr>
        <w:t>a</w:t>
      </w:r>
      <w:proofErr w:type="spellEnd"/>
      <w:r w:rsidRPr="006B352E">
        <w:rPr>
          <w:sz w:val="20"/>
          <w:lang w:val="en-US"/>
        </w:rPr>
        <w:t xml:space="preserve"> </w:t>
      </w:r>
      <w:r w:rsidR="001F59B5">
        <w:rPr>
          <w:sz w:val="20"/>
          <w:lang w:val="en-US"/>
        </w:rPr>
        <w:tab/>
      </w:r>
      <w:proofErr w:type="gramStart"/>
      <w:r w:rsidRPr="006B352E">
        <w:rPr>
          <w:sz w:val="20"/>
          <w:lang w:val="en-US"/>
        </w:rPr>
        <w:t>The</w:t>
      </w:r>
      <w:proofErr w:type="gramEnd"/>
      <w:r w:rsidRPr="006B352E">
        <w:rPr>
          <w:sz w:val="20"/>
          <w:lang w:val="en-US"/>
        </w:rPr>
        <w:t xml:space="preserve"> frequency per subject is calculated using the number of subjects associated with all AEs irrespective of relatedness to </w:t>
      </w:r>
      <w:proofErr w:type="spellStart"/>
      <w:r w:rsidRPr="006B352E">
        <w:rPr>
          <w:sz w:val="20"/>
          <w:lang w:val="en-US"/>
        </w:rPr>
        <w:t>Cuvitru</w:t>
      </w:r>
      <w:proofErr w:type="spellEnd"/>
      <w:r w:rsidRPr="006B352E">
        <w:rPr>
          <w:sz w:val="20"/>
          <w:lang w:val="en-US"/>
        </w:rPr>
        <w:t>.</w:t>
      </w:r>
    </w:p>
    <w:p w14:paraId="25530AAE" w14:textId="79A6B95F" w:rsidR="006B352E" w:rsidRPr="006B352E" w:rsidRDefault="006B352E" w:rsidP="001F59B5">
      <w:pPr>
        <w:ind w:left="284" w:hanging="284"/>
        <w:rPr>
          <w:sz w:val="20"/>
          <w:lang w:val="en-US"/>
        </w:rPr>
      </w:pPr>
      <w:r w:rsidRPr="006B352E">
        <w:rPr>
          <w:sz w:val="20"/>
          <w:vertAlign w:val="superscript"/>
          <w:lang w:val="en-US"/>
        </w:rPr>
        <w:t>b</w:t>
      </w:r>
      <w:r w:rsidRPr="006B352E">
        <w:rPr>
          <w:sz w:val="20"/>
          <w:lang w:val="en-US"/>
        </w:rPr>
        <w:t xml:space="preserve"> </w:t>
      </w:r>
      <w:r w:rsidR="001F59B5">
        <w:rPr>
          <w:sz w:val="20"/>
          <w:lang w:val="en-US"/>
        </w:rPr>
        <w:tab/>
      </w:r>
      <w:proofErr w:type="gramStart"/>
      <w:r w:rsidRPr="006B352E">
        <w:rPr>
          <w:sz w:val="20"/>
          <w:lang w:val="en-US"/>
        </w:rPr>
        <w:t>The</w:t>
      </w:r>
      <w:proofErr w:type="gramEnd"/>
      <w:r w:rsidRPr="006B352E">
        <w:rPr>
          <w:sz w:val="20"/>
          <w:lang w:val="en-US"/>
        </w:rPr>
        <w:t xml:space="preserve"> frequency per infusion is calculated using the number of infusions associated with all AEs irrespective of relatedness to </w:t>
      </w:r>
      <w:proofErr w:type="spellStart"/>
      <w:r w:rsidRPr="006B352E">
        <w:rPr>
          <w:sz w:val="20"/>
          <w:lang w:val="en-US"/>
        </w:rPr>
        <w:t>Cuvitru</w:t>
      </w:r>
      <w:proofErr w:type="spellEnd"/>
      <w:r w:rsidRPr="006B352E">
        <w:rPr>
          <w:sz w:val="20"/>
          <w:lang w:val="en-US"/>
        </w:rPr>
        <w:t>.</w:t>
      </w:r>
    </w:p>
    <w:p w14:paraId="7DCD751F" w14:textId="77777777" w:rsidR="006B352E" w:rsidRPr="001F59B5" w:rsidRDefault="006B352E" w:rsidP="006B352E">
      <w:pPr>
        <w:keepNext/>
        <w:rPr>
          <w:noProof/>
          <w:sz w:val="24"/>
          <w:szCs w:val="24"/>
          <w:lang w:val="en-US"/>
        </w:rPr>
      </w:pPr>
    </w:p>
    <w:p w14:paraId="4E132FA4" w14:textId="77777777" w:rsidR="006B352E" w:rsidRDefault="006B352E" w:rsidP="006B352E">
      <w:pPr>
        <w:pStyle w:val="Billedtekst"/>
        <w:keepNext/>
        <w:rPr>
          <w:sz w:val="22"/>
          <w:szCs w:val="22"/>
        </w:rPr>
      </w:pPr>
      <w:r>
        <w:rPr>
          <w:sz w:val="22"/>
          <w:szCs w:val="22"/>
        </w:rPr>
        <w:t xml:space="preserve">Table </w:t>
      </w:r>
      <w:r>
        <w:rPr>
          <w:sz w:val="22"/>
          <w:szCs w:val="22"/>
        </w:rPr>
        <w:fldChar w:fldCharType="begin"/>
      </w:r>
      <w:r>
        <w:rPr>
          <w:sz w:val="22"/>
          <w:szCs w:val="22"/>
        </w:rPr>
        <w:instrText xml:space="preserve"> SEQ Table \* ARABIC </w:instrText>
      </w:r>
      <w:r>
        <w:rPr>
          <w:sz w:val="22"/>
          <w:szCs w:val="22"/>
        </w:rPr>
        <w:fldChar w:fldCharType="separate"/>
      </w:r>
      <w:r>
        <w:rPr>
          <w:noProof/>
          <w:sz w:val="22"/>
          <w:szCs w:val="22"/>
        </w:rPr>
        <w:t>2</w:t>
      </w:r>
      <w:r>
        <w:rPr>
          <w:sz w:val="22"/>
          <w:szCs w:val="22"/>
        </w:rPr>
        <w:fldChar w:fldCharType="end"/>
      </w:r>
      <w:r>
        <w:rPr>
          <w:sz w:val="22"/>
          <w:szCs w:val="22"/>
        </w:rPr>
        <w:t xml:space="preserve">: </w:t>
      </w:r>
      <w:r>
        <w:rPr>
          <w:b w:val="0"/>
          <w:bCs w:val="0"/>
          <w:noProof/>
          <w:sz w:val="22"/>
          <w:szCs w:val="22"/>
        </w:rPr>
        <w:t>Post</w:t>
      </w:r>
      <w:r>
        <w:rPr>
          <w:b w:val="0"/>
          <w:bCs w:val="0"/>
          <w:noProof/>
          <w:sz w:val="22"/>
          <w:szCs w:val="22"/>
        </w:rPr>
        <w:noBreakHyphen/>
        <w:t>Marketing Adverse Reactions (ARs)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3"/>
        <w:gridCol w:w="5238"/>
        <w:gridCol w:w="1727"/>
      </w:tblGrid>
      <w:tr w:rsidR="006B352E" w:rsidRPr="00F70B53" w14:paraId="25D689B6" w14:textId="77777777" w:rsidTr="001F59B5">
        <w:trPr>
          <w:cantSplit/>
          <w:tblHeader/>
        </w:trPr>
        <w:tc>
          <w:tcPr>
            <w:tcW w:w="5000" w:type="pct"/>
            <w:gridSpan w:val="3"/>
            <w:tcBorders>
              <w:top w:val="single" w:sz="4" w:space="0" w:color="auto"/>
              <w:left w:val="single" w:sz="4" w:space="0" w:color="auto"/>
              <w:bottom w:val="single" w:sz="4" w:space="0" w:color="auto"/>
              <w:right w:val="single" w:sz="4" w:space="0" w:color="auto"/>
            </w:tcBorders>
            <w:hideMark/>
          </w:tcPr>
          <w:p w14:paraId="51179519" w14:textId="77777777" w:rsidR="006B352E" w:rsidRPr="001F59B5" w:rsidRDefault="006B352E">
            <w:pPr>
              <w:keepNext/>
              <w:jc w:val="center"/>
              <w:rPr>
                <w:b/>
                <w:bCs/>
                <w:noProof/>
                <w:sz w:val="22"/>
                <w:szCs w:val="22"/>
                <w:lang w:val="en-US"/>
              </w:rPr>
            </w:pPr>
            <w:r w:rsidRPr="001F59B5">
              <w:rPr>
                <w:b/>
                <w:bCs/>
                <w:noProof/>
                <w:sz w:val="22"/>
                <w:szCs w:val="22"/>
                <w:lang w:val="en-US"/>
              </w:rPr>
              <w:t>Table 2</w:t>
            </w:r>
          </w:p>
          <w:p w14:paraId="10BFB6DA" w14:textId="77777777" w:rsidR="006B352E" w:rsidRPr="001F59B5" w:rsidRDefault="006B352E">
            <w:pPr>
              <w:keepNext/>
              <w:jc w:val="center"/>
              <w:rPr>
                <w:b/>
                <w:bCs/>
                <w:noProof/>
                <w:sz w:val="22"/>
                <w:szCs w:val="22"/>
                <w:lang w:val="en-US"/>
              </w:rPr>
            </w:pPr>
            <w:r w:rsidRPr="001F59B5">
              <w:rPr>
                <w:b/>
                <w:bCs/>
                <w:noProof/>
                <w:sz w:val="22"/>
                <w:szCs w:val="22"/>
                <w:lang w:val="en-US"/>
              </w:rPr>
              <w:t>Post</w:t>
            </w:r>
            <w:r w:rsidRPr="001F59B5">
              <w:rPr>
                <w:b/>
                <w:bCs/>
                <w:noProof/>
                <w:sz w:val="22"/>
                <w:szCs w:val="22"/>
                <w:lang w:val="en-US"/>
              </w:rPr>
              <w:noBreakHyphen/>
              <w:t>Marketing Adverse Reactions (ARs)</w:t>
            </w:r>
          </w:p>
        </w:tc>
      </w:tr>
      <w:tr w:rsidR="006B352E" w:rsidRPr="001F59B5" w14:paraId="06E529F7" w14:textId="77777777" w:rsidTr="001F59B5">
        <w:trPr>
          <w:cantSplit/>
          <w:tblHeader/>
        </w:trPr>
        <w:tc>
          <w:tcPr>
            <w:tcW w:w="1383" w:type="pct"/>
            <w:tcBorders>
              <w:top w:val="single" w:sz="4" w:space="0" w:color="auto"/>
              <w:left w:val="single" w:sz="4" w:space="0" w:color="auto"/>
              <w:bottom w:val="single" w:sz="4" w:space="0" w:color="auto"/>
              <w:right w:val="single" w:sz="4" w:space="0" w:color="auto"/>
            </w:tcBorders>
            <w:vAlign w:val="center"/>
            <w:hideMark/>
          </w:tcPr>
          <w:p w14:paraId="326DCDA8" w14:textId="77777777" w:rsidR="006B352E" w:rsidRPr="001F59B5" w:rsidRDefault="006B352E">
            <w:pPr>
              <w:keepNext/>
              <w:jc w:val="center"/>
              <w:rPr>
                <w:b/>
                <w:bCs/>
                <w:noProof/>
                <w:sz w:val="22"/>
                <w:szCs w:val="22"/>
                <w:lang w:val="en-US"/>
              </w:rPr>
            </w:pPr>
            <w:r w:rsidRPr="001F59B5">
              <w:rPr>
                <w:b/>
                <w:bCs/>
                <w:noProof/>
                <w:sz w:val="22"/>
                <w:szCs w:val="22"/>
                <w:lang w:val="en-US"/>
              </w:rPr>
              <w:t>MedDRA</w:t>
            </w:r>
          </w:p>
          <w:p w14:paraId="397764E6" w14:textId="77777777" w:rsidR="006B352E" w:rsidRPr="001F59B5" w:rsidRDefault="006B352E">
            <w:pPr>
              <w:keepNext/>
              <w:jc w:val="center"/>
              <w:rPr>
                <w:b/>
                <w:bCs/>
                <w:noProof/>
                <w:sz w:val="22"/>
                <w:szCs w:val="22"/>
                <w:lang w:val="en-US"/>
              </w:rPr>
            </w:pPr>
            <w:r w:rsidRPr="001F59B5">
              <w:rPr>
                <w:b/>
                <w:bCs/>
                <w:noProof/>
                <w:sz w:val="22"/>
                <w:szCs w:val="22"/>
                <w:lang w:val="en-US"/>
              </w:rPr>
              <w:t>System Organ Class (SOC)</w:t>
            </w:r>
          </w:p>
        </w:tc>
        <w:tc>
          <w:tcPr>
            <w:tcW w:w="2720" w:type="pct"/>
            <w:tcBorders>
              <w:top w:val="single" w:sz="4" w:space="0" w:color="auto"/>
              <w:left w:val="single" w:sz="4" w:space="0" w:color="auto"/>
              <w:bottom w:val="single" w:sz="4" w:space="0" w:color="auto"/>
              <w:right w:val="single" w:sz="4" w:space="0" w:color="auto"/>
            </w:tcBorders>
            <w:vAlign w:val="center"/>
            <w:hideMark/>
          </w:tcPr>
          <w:p w14:paraId="34668E3E" w14:textId="77777777" w:rsidR="006B352E" w:rsidRPr="001F59B5" w:rsidRDefault="006B352E">
            <w:pPr>
              <w:keepNext/>
              <w:jc w:val="center"/>
              <w:rPr>
                <w:b/>
                <w:bCs/>
                <w:noProof/>
                <w:sz w:val="22"/>
                <w:szCs w:val="22"/>
              </w:rPr>
            </w:pPr>
            <w:r w:rsidRPr="001F59B5">
              <w:rPr>
                <w:b/>
                <w:bCs/>
                <w:noProof/>
                <w:sz w:val="22"/>
                <w:szCs w:val="22"/>
              </w:rPr>
              <w:t>Adverse reaction</w:t>
            </w:r>
          </w:p>
        </w:tc>
        <w:tc>
          <w:tcPr>
            <w:tcW w:w="897" w:type="pct"/>
            <w:tcBorders>
              <w:top w:val="single" w:sz="4" w:space="0" w:color="auto"/>
              <w:left w:val="single" w:sz="4" w:space="0" w:color="auto"/>
              <w:bottom w:val="single" w:sz="4" w:space="0" w:color="auto"/>
              <w:right w:val="single" w:sz="4" w:space="0" w:color="auto"/>
            </w:tcBorders>
            <w:vAlign w:val="center"/>
            <w:hideMark/>
          </w:tcPr>
          <w:p w14:paraId="5D6BAD53" w14:textId="77777777" w:rsidR="006B352E" w:rsidRPr="001F59B5" w:rsidRDefault="006B352E">
            <w:pPr>
              <w:keepNext/>
              <w:jc w:val="center"/>
              <w:rPr>
                <w:b/>
                <w:bCs/>
                <w:noProof/>
                <w:sz w:val="22"/>
                <w:szCs w:val="22"/>
              </w:rPr>
            </w:pPr>
            <w:r w:rsidRPr="001F59B5">
              <w:rPr>
                <w:b/>
                <w:bCs/>
                <w:noProof/>
                <w:sz w:val="22"/>
                <w:szCs w:val="22"/>
              </w:rPr>
              <w:t xml:space="preserve">Frequency </w:t>
            </w:r>
          </w:p>
        </w:tc>
      </w:tr>
      <w:tr w:rsidR="006B352E" w:rsidRPr="001F59B5" w14:paraId="09A84F63" w14:textId="77777777" w:rsidTr="001F59B5">
        <w:trPr>
          <w:cantSplit/>
        </w:trPr>
        <w:tc>
          <w:tcPr>
            <w:tcW w:w="1383" w:type="pct"/>
            <w:tcBorders>
              <w:top w:val="single" w:sz="4" w:space="0" w:color="auto"/>
              <w:left w:val="single" w:sz="4" w:space="0" w:color="auto"/>
              <w:bottom w:val="single" w:sz="4" w:space="0" w:color="auto"/>
              <w:right w:val="single" w:sz="4" w:space="0" w:color="auto"/>
            </w:tcBorders>
            <w:hideMark/>
          </w:tcPr>
          <w:p w14:paraId="20878FEC" w14:textId="77777777" w:rsidR="006B352E" w:rsidRPr="001F59B5" w:rsidRDefault="006B352E">
            <w:pPr>
              <w:keepNext/>
              <w:rPr>
                <w:noProof/>
                <w:sz w:val="22"/>
                <w:szCs w:val="22"/>
              </w:rPr>
            </w:pPr>
            <w:r w:rsidRPr="001F59B5">
              <w:rPr>
                <w:noProof/>
                <w:sz w:val="22"/>
                <w:szCs w:val="22"/>
              </w:rPr>
              <w:t>Infections and infestations</w:t>
            </w:r>
          </w:p>
        </w:tc>
        <w:tc>
          <w:tcPr>
            <w:tcW w:w="2720" w:type="pct"/>
            <w:tcBorders>
              <w:top w:val="single" w:sz="4" w:space="0" w:color="auto"/>
              <w:left w:val="single" w:sz="4" w:space="0" w:color="auto"/>
              <w:bottom w:val="single" w:sz="4" w:space="0" w:color="auto"/>
              <w:right w:val="single" w:sz="4" w:space="0" w:color="auto"/>
            </w:tcBorders>
            <w:hideMark/>
          </w:tcPr>
          <w:p w14:paraId="0BA90424" w14:textId="77777777" w:rsidR="006B352E" w:rsidRPr="001F59B5" w:rsidRDefault="006B352E">
            <w:pPr>
              <w:keepNext/>
              <w:rPr>
                <w:noProof/>
                <w:sz w:val="22"/>
                <w:szCs w:val="22"/>
              </w:rPr>
            </w:pPr>
            <w:r w:rsidRPr="001F59B5">
              <w:rPr>
                <w:noProof/>
                <w:sz w:val="22"/>
                <w:szCs w:val="22"/>
              </w:rPr>
              <w:t>Meningitis aseptic</w:t>
            </w:r>
          </w:p>
        </w:tc>
        <w:tc>
          <w:tcPr>
            <w:tcW w:w="897" w:type="pct"/>
            <w:tcBorders>
              <w:top w:val="single" w:sz="4" w:space="0" w:color="auto"/>
              <w:left w:val="single" w:sz="4" w:space="0" w:color="auto"/>
              <w:bottom w:val="single" w:sz="4" w:space="0" w:color="auto"/>
              <w:right w:val="single" w:sz="4" w:space="0" w:color="auto"/>
            </w:tcBorders>
            <w:hideMark/>
          </w:tcPr>
          <w:p w14:paraId="6E107D6A" w14:textId="77777777" w:rsidR="006B352E" w:rsidRPr="001F59B5" w:rsidRDefault="006B352E">
            <w:pPr>
              <w:keepNext/>
              <w:rPr>
                <w:noProof/>
                <w:sz w:val="22"/>
                <w:szCs w:val="22"/>
              </w:rPr>
            </w:pPr>
            <w:r w:rsidRPr="001F59B5">
              <w:rPr>
                <w:noProof/>
                <w:sz w:val="22"/>
                <w:szCs w:val="22"/>
              </w:rPr>
              <w:t>Not known</w:t>
            </w:r>
          </w:p>
        </w:tc>
      </w:tr>
    </w:tbl>
    <w:p w14:paraId="18FA3074" w14:textId="77777777" w:rsidR="006B352E" w:rsidRDefault="006B352E" w:rsidP="006B352E">
      <w:pPr>
        <w:rPr>
          <w:sz w:val="22"/>
          <w:szCs w:val="22"/>
          <w:u w:val="single"/>
          <w:lang w:val="en-GB" w:eastAsia="en-US"/>
        </w:rPr>
      </w:pPr>
    </w:p>
    <w:p w14:paraId="5121A16A" w14:textId="77777777" w:rsidR="006B352E" w:rsidRPr="003D1261" w:rsidRDefault="006B352E" w:rsidP="003D1261">
      <w:pPr>
        <w:ind w:left="851"/>
        <w:rPr>
          <w:sz w:val="24"/>
          <w:szCs w:val="24"/>
          <w:lang w:val="en-US"/>
        </w:rPr>
      </w:pPr>
      <w:r w:rsidRPr="003D1261">
        <w:rPr>
          <w:sz w:val="24"/>
          <w:szCs w:val="24"/>
          <w:lang w:val="en-US"/>
        </w:rPr>
        <w:t xml:space="preserve">The following additional ADRs have been identified and reported during the post-marketing use of another subcutaneous immune globulin product: </w:t>
      </w:r>
      <w:proofErr w:type="spellStart"/>
      <w:r w:rsidRPr="003D1261">
        <w:rPr>
          <w:sz w:val="24"/>
          <w:szCs w:val="24"/>
          <w:lang w:val="en-US"/>
        </w:rPr>
        <w:t>paraesthesia</w:t>
      </w:r>
      <w:proofErr w:type="spellEnd"/>
      <w:r w:rsidRPr="003D1261">
        <w:rPr>
          <w:sz w:val="24"/>
          <w:szCs w:val="24"/>
          <w:lang w:val="en-US"/>
        </w:rPr>
        <w:t xml:space="preserve">, tremor, tachycardia, </w:t>
      </w:r>
      <w:proofErr w:type="spellStart"/>
      <w:r w:rsidRPr="003D1261">
        <w:rPr>
          <w:sz w:val="24"/>
          <w:szCs w:val="24"/>
          <w:lang w:val="en-US"/>
        </w:rPr>
        <w:t>dyspnoea</w:t>
      </w:r>
      <w:proofErr w:type="spellEnd"/>
      <w:r w:rsidRPr="003D1261">
        <w:rPr>
          <w:sz w:val="24"/>
          <w:szCs w:val="24"/>
          <w:lang w:val="en-US"/>
        </w:rPr>
        <w:t>, laryngospasm and chest discomfort.</w:t>
      </w:r>
    </w:p>
    <w:p w14:paraId="123A4018" w14:textId="77777777" w:rsidR="006B352E" w:rsidRPr="003D1261" w:rsidRDefault="006B352E" w:rsidP="003D1261">
      <w:pPr>
        <w:ind w:left="851"/>
        <w:rPr>
          <w:sz w:val="24"/>
          <w:szCs w:val="24"/>
          <w:u w:val="single"/>
          <w:lang w:val="en-US"/>
        </w:rPr>
      </w:pPr>
    </w:p>
    <w:p w14:paraId="5FB9915D" w14:textId="77777777" w:rsidR="006B352E" w:rsidRPr="003D1261" w:rsidRDefault="006B352E" w:rsidP="003D1261">
      <w:pPr>
        <w:ind w:left="851"/>
        <w:rPr>
          <w:sz w:val="24"/>
          <w:szCs w:val="24"/>
          <w:u w:val="single"/>
          <w:lang w:val="en-US"/>
        </w:rPr>
      </w:pPr>
      <w:r w:rsidRPr="003D1261">
        <w:rPr>
          <w:sz w:val="24"/>
          <w:szCs w:val="24"/>
          <w:u w:val="single"/>
          <w:lang w:val="en-US"/>
        </w:rPr>
        <w:t>Paediatric population</w:t>
      </w:r>
    </w:p>
    <w:p w14:paraId="6D0A82E9" w14:textId="77777777" w:rsidR="006B352E" w:rsidRPr="003D1261" w:rsidRDefault="006B352E" w:rsidP="003D1261">
      <w:pPr>
        <w:ind w:left="851"/>
        <w:rPr>
          <w:sz w:val="24"/>
          <w:szCs w:val="24"/>
          <w:lang w:val="en-US"/>
        </w:rPr>
      </w:pPr>
      <w:r w:rsidRPr="003D1261">
        <w:rPr>
          <w:sz w:val="24"/>
          <w:szCs w:val="24"/>
          <w:lang w:val="en-US"/>
        </w:rPr>
        <w:t>The safety profile in the paediatric population was similar to that in adult subjects.</w:t>
      </w:r>
    </w:p>
    <w:p w14:paraId="474D1496" w14:textId="77777777" w:rsidR="006B352E" w:rsidRPr="003D1261" w:rsidRDefault="006B352E" w:rsidP="003D1261">
      <w:pPr>
        <w:ind w:left="851"/>
        <w:rPr>
          <w:sz w:val="24"/>
          <w:szCs w:val="24"/>
          <w:u w:val="single"/>
          <w:lang w:val="en-US"/>
        </w:rPr>
      </w:pPr>
    </w:p>
    <w:p w14:paraId="731BA6B7" w14:textId="77777777" w:rsidR="006B352E" w:rsidRPr="003D1261" w:rsidRDefault="006B352E" w:rsidP="003D1261">
      <w:pPr>
        <w:autoSpaceDE w:val="0"/>
        <w:autoSpaceDN w:val="0"/>
        <w:adjustRightInd w:val="0"/>
        <w:ind w:left="851"/>
        <w:rPr>
          <w:sz w:val="24"/>
          <w:szCs w:val="24"/>
          <w:u w:val="single"/>
          <w:lang w:val="en-US"/>
        </w:rPr>
      </w:pPr>
      <w:r w:rsidRPr="003D1261">
        <w:rPr>
          <w:sz w:val="24"/>
          <w:szCs w:val="24"/>
          <w:u w:val="single"/>
          <w:lang w:val="en-US"/>
        </w:rPr>
        <w:lastRenderedPageBreak/>
        <w:t>Reporting of suspected adverse reactions</w:t>
      </w:r>
    </w:p>
    <w:p w14:paraId="7318D140" w14:textId="77777777" w:rsidR="003D1261" w:rsidRDefault="006B352E" w:rsidP="003D1261">
      <w:pPr>
        <w:autoSpaceDE w:val="0"/>
        <w:autoSpaceDN w:val="0"/>
        <w:adjustRightInd w:val="0"/>
        <w:ind w:left="851"/>
        <w:rPr>
          <w:sz w:val="24"/>
          <w:szCs w:val="24"/>
          <w:lang w:val="en-US"/>
        </w:rPr>
      </w:pPr>
      <w:r w:rsidRPr="003D1261">
        <w:rPr>
          <w:sz w:val="24"/>
          <w:szCs w:val="24"/>
          <w:lang w:val="en-US"/>
        </w:rPr>
        <w:t xml:space="preserve">Reporting suspected adverse reactions after </w:t>
      </w:r>
      <w:proofErr w:type="spellStart"/>
      <w:r w:rsidRPr="003D1261">
        <w:rPr>
          <w:sz w:val="24"/>
          <w:szCs w:val="24"/>
          <w:lang w:val="en-US"/>
        </w:rPr>
        <w:t>authorisation</w:t>
      </w:r>
      <w:proofErr w:type="spellEnd"/>
      <w:r w:rsidRPr="003D1261">
        <w:rPr>
          <w:sz w:val="24"/>
          <w:szCs w:val="24"/>
          <w:lang w:val="en-US"/>
        </w:rPr>
        <w:t xml:space="preserve"> of the medicinal product is important. It allows continued monitoring of the benefit/risk balance of the medicinal product. Healthcare professionals are asked to report any suspected adverse reactions via</w:t>
      </w:r>
      <w:r w:rsidR="003D1261">
        <w:rPr>
          <w:sz w:val="24"/>
          <w:szCs w:val="24"/>
          <w:lang w:val="en-US"/>
        </w:rPr>
        <w:t>:</w:t>
      </w:r>
    </w:p>
    <w:p w14:paraId="6850384F" w14:textId="77777777" w:rsidR="003D1261" w:rsidRDefault="003D1261" w:rsidP="003D1261">
      <w:pPr>
        <w:autoSpaceDE w:val="0"/>
        <w:autoSpaceDN w:val="0"/>
        <w:adjustRightInd w:val="0"/>
        <w:ind w:left="851"/>
        <w:rPr>
          <w:sz w:val="24"/>
          <w:szCs w:val="24"/>
          <w:lang w:val="en-US"/>
        </w:rPr>
      </w:pPr>
    </w:p>
    <w:p w14:paraId="3498F10C" w14:textId="77777777" w:rsidR="00976997" w:rsidRPr="00976997" w:rsidRDefault="00976997" w:rsidP="00976997">
      <w:pPr>
        <w:ind w:left="851"/>
        <w:rPr>
          <w:sz w:val="24"/>
          <w:szCs w:val="24"/>
        </w:rPr>
      </w:pPr>
      <w:bookmarkStart w:id="3" w:name="_Hlk117501544"/>
      <w:bookmarkStart w:id="4" w:name="_Hlk112685907"/>
      <w:bookmarkStart w:id="5" w:name="_Hlk112664459"/>
      <w:r w:rsidRPr="00976997">
        <w:rPr>
          <w:sz w:val="24"/>
          <w:szCs w:val="24"/>
        </w:rPr>
        <w:t>Lægemiddelstyrelsen</w:t>
      </w:r>
    </w:p>
    <w:p w14:paraId="6A642137" w14:textId="77777777" w:rsidR="00976997" w:rsidRPr="00976997" w:rsidRDefault="00976997" w:rsidP="00976997">
      <w:pPr>
        <w:ind w:left="851"/>
        <w:rPr>
          <w:sz w:val="24"/>
          <w:szCs w:val="24"/>
        </w:rPr>
      </w:pPr>
      <w:bookmarkStart w:id="6" w:name="_Hlk117501524"/>
      <w:bookmarkEnd w:id="3"/>
      <w:r w:rsidRPr="00976997">
        <w:rPr>
          <w:sz w:val="24"/>
          <w:szCs w:val="24"/>
        </w:rPr>
        <w:t>Axel Heides Gade 1</w:t>
      </w:r>
    </w:p>
    <w:p w14:paraId="1E5B1C3D" w14:textId="77777777" w:rsidR="00976997" w:rsidRPr="00976997" w:rsidRDefault="00976997" w:rsidP="00976997">
      <w:pPr>
        <w:ind w:left="851"/>
        <w:rPr>
          <w:sz w:val="24"/>
          <w:szCs w:val="24"/>
        </w:rPr>
      </w:pPr>
      <w:r w:rsidRPr="00976997">
        <w:rPr>
          <w:sz w:val="24"/>
          <w:szCs w:val="24"/>
        </w:rPr>
        <w:t>DK-2300 København S</w:t>
      </w:r>
    </w:p>
    <w:p w14:paraId="28572129" w14:textId="2DB753CE" w:rsidR="00976997" w:rsidRPr="00976997" w:rsidRDefault="00976997" w:rsidP="00976997">
      <w:pPr>
        <w:ind w:left="851"/>
        <w:rPr>
          <w:sz w:val="24"/>
          <w:szCs w:val="24"/>
          <w:lang w:val="en-US"/>
        </w:rPr>
      </w:pPr>
      <w:r w:rsidRPr="00976997">
        <w:rPr>
          <w:sz w:val="24"/>
          <w:szCs w:val="24"/>
          <w:lang w:val="en-US"/>
        </w:rPr>
        <w:t>Website: www.meldenbivirkning.dk</w:t>
      </w:r>
      <w:bookmarkEnd w:id="4"/>
      <w:bookmarkEnd w:id="5"/>
      <w:bookmarkEnd w:id="6"/>
    </w:p>
    <w:p w14:paraId="0B1FE747" w14:textId="77777777" w:rsidR="007C5D2A" w:rsidRPr="003D1261" w:rsidRDefault="007C5D2A" w:rsidP="003D1261">
      <w:pPr>
        <w:tabs>
          <w:tab w:val="left" w:pos="851"/>
        </w:tabs>
        <w:ind w:left="851"/>
        <w:rPr>
          <w:sz w:val="24"/>
          <w:szCs w:val="24"/>
          <w:lang w:val="en-US"/>
        </w:rPr>
      </w:pPr>
    </w:p>
    <w:p w14:paraId="61F8383A"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14:paraId="56105806" w14:textId="77777777" w:rsidR="006B352E" w:rsidRPr="006B352E" w:rsidRDefault="006B352E" w:rsidP="006B352E">
      <w:pPr>
        <w:tabs>
          <w:tab w:val="left" w:pos="851"/>
        </w:tabs>
        <w:ind w:left="851"/>
        <w:rPr>
          <w:sz w:val="24"/>
          <w:szCs w:val="24"/>
          <w:lang w:val="en-GB"/>
        </w:rPr>
      </w:pPr>
      <w:r w:rsidRPr="006B352E">
        <w:rPr>
          <w:sz w:val="24"/>
          <w:szCs w:val="24"/>
          <w:lang w:val="en-GB"/>
        </w:rPr>
        <w:t xml:space="preserve">Consequences of an overdose are not known. </w:t>
      </w:r>
    </w:p>
    <w:p w14:paraId="1C4D18B4" w14:textId="77777777" w:rsidR="007C5D2A" w:rsidRPr="006B352E" w:rsidRDefault="007C5D2A" w:rsidP="003E0341">
      <w:pPr>
        <w:tabs>
          <w:tab w:val="left" w:pos="851"/>
        </w:tabs>
        <w:ind w:left="851"/>
        <w:rPr>
          <w:sz w:val="24"/>
          <w:szCs w:val="24"/>
          <w:lang w:val="en-GB"/>
        </w:rPr>
      </w:pPr>
    </w:p>
    <w:p w14:paraId="54B973C7" w14:textId="77777777"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14:paraId="699B7095" w14:textId="5929CBAE" w:rsidR="00AD2E36" w:rsidRPr="00303008" w:rsidRDefault="002F7E2A" w:rsidP="00AD2E36">
      <w:pPr>
        <w:tabs>
          <w:tab w:val="left" w:pos="851"/>
        </w:tabs>
        <w:ind w:left="851"/>
        <w:rPr>
          <w:sz w:val="24"/>
          <w:szCs w:val="24"/>
          <w:lang w:val="en-GB"/>
        </w:rPr>
      </w:pPr>
      <w:r>
        <w:rPr>
          <w:sz w:val="24"/>
          <w:szCs w:val="24"/>
          <w:lang w:val="en-GB"/>
        </w:rPr>
        <w:t>B</w:t>
      </w:r>
    </w:p>
    <w:p w14:paraId="0B3AF56D" w14:textId="77777777" w:rsidR="007C5D2A" w:rsidRPr="00303008" w:rsidRDefault="007C5D2A" w:rsidP="003E0341">
      <w:pPr>
        <w:tabs>
          <w:tab w:val="left" w:pos="851"/>
        </w:tabs>
        <w:ind w:left="851"/>
        <w:rPr>
          <w:sz w:val="24"/>
          <w:szCs w:val="24"/>
          <w:lang w:val="en-GB"/>
        </w:rPr>
      </w:pPr>
    </w:p>
    <w:p w14:paraId="6FE5FC49" w14:textId="77777777" w:rsidR="00AD2E36" w:rsidRPr="00303008" w:rsidRDefault="00AD2E36" w:rsidP="003E0341">
      <w:pPr>
        <w:tabs>
          <w:tab w:val="left" w:pos="851"/>
        </w:tabs>
        <w:ind w:left="851"/>
        <w:rPr>
          <w:sz w:val="24"/>
          <w:szCs w:val="24"/>
          <w:lang w:val="en-GB"/>
        </w:rPr>
      </w:pPr>
    </w:p>
    <w:p w14:paraId="650C645E" w14:textId="77777777"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14:paraId="27736110" w14:textId="77777777" w:rsidR="007C5D2A" w:rsidRDefault="007C5D2A" w:rsidP="003E0341">
      <w:pPr>
        <w:tabs>
          <w:tab w:val="left" w:pos="851"/>
        </w:tabs>
        <w:ind w:left="851"/>
        <w:rPr>
          <w:sz w:val="24"/>
          <w:szCs w:val="24"/>
          <w:lang w:val="en-GB"/>
        </w:rPr>
      </w:pPr>
    </w:p>
    <w:p w14:paraId="105F6068"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14:paraId="10347516" w14:textId="77777777" w:rsidR="006B352E" w:rsidRPr="006B352E" w:rsidRDefault="006B352E" w:rsidP="006B352E">
      <w:pPr>
        <w:tabs>
          <w:tab w:val="left" w:pos="851"/>
        </w:tabs>
        <w:ind w:left="851"/>
        <w:rPr>
          <w:sz w:val="24"/>
          <w:szCs w:val="24"/>
          <w:lang w:val="en-GB"/>
        </w:rPr>
      </w:pPr>
      <w:r w:rsidRPr="006B352E">
        <w:rPr>
          <w:sz w:val="24"/>
          <w:szCs w:val="24"/>
          <w:lang w:val="en-GB"/>
        </w:rPr>
        <w:t>Pharmacotherapeutic group: immune sera and immunoglobulins: immunoglobulins, normal human, for extravascular administration, ATC code: J06BA01</w:t>
      </w:r>
    </w:p>
    <w:p w14:paraId="477C978C" w14:textId="77777777" w:rsidR="006B352E" w:rsidRPr="006B352E" w:rsidRDefault="006B352E" w:rsidP="006B352E">
      <w:pPr>
        <w:tabs>
          <w:tab w:val="left" w:pos="851"/>
        </w:tabs>
        <w:ind w:left="851"/>
        <w:rPr>
          <w:sz w:val="24"/>
          <w:szCs w:val="24"/>
          <w:lang w:val="en-GB"/>
        </w:rPr>
      </w:pPr>
    </w:p>
    <w:p w14:paraId="11CEA570" w14:textId="77777777" w:rsidR="006B352E" w:rsidRPr="006B352E" w:rsidRDefault="006B352E" w:rsidP="006B352E">
      <w:pPr>
        <w:tabs>
          <w:tab w:val="left" w:pos="851"/>
        </w:tabs>
        <w:ind w:left="851"/>
        <w:rPr>
          <w:sz w:val="24"/>
          <w:szCs w:val="24"/>
          <w:u w:val="single"/>
          <w:lang w:val="en-GB"/>
        </w:rPr>
      </w:pPr>
      <w:r w:rsidRPr="006B352E">
        <w:rPr>
          <w:sz w:val="24"/>
          <w:szCs w:val="24"/>
          <w:u w:val="single"/>
          <w:lang w:val="en-GB"/>
        </w:rPr>
        <w:t>Mechanism of action</w:t>
      </w:r>
    </w:p>
    <w:p w14:paraId="3FAD696B" w14:textId="77777777" w:rsidR="006B352E" w:rsidRPr="006B352E" w:rsidRDefault="006B352E" w:rsidP="006B352E">
      <w:pPr>
        <w:tabs>
          <w:tab w:val="left" w:pos="851"/>
        </w:tabs>
        <w:ind w:left="851"/>
        <w:rPr>
          <w:sz w:val="24"/>
          <w:szCs w:val="24"/>
          <w:lang w:val="en-GB"/>
        </w:rPr>
      </w:pPr>
      <w:r w:rsidRPr="006B352E">
        <w:rPr>
          <w:sz w:val="24"/>
          <w:szCs w:val="24"/>
          <w:lang w:val="en-GB"/>
        </w:rPr>
        <w:t>Human normal immunoglobulin contains mainly immunoglobulin G (IgG) with a broad spectrum of antibodies against infectious agents.</w:t>
      </w:r>
    </w:p>
    <w:p w14:paraId="7AB1FC65" w14:textId="77777777" w:rsidR="006B352E" w:rsidRPr="006B352E" w:rsidRDefault="006B352E" w:rsidP="006B352E">
      <w:pPr>
        <w:tabs>
          <w:tab w:val="left" w:pos="851"/>
        </w:tabs>
        <w:ind w:left="851"/>
        <w:rPr>
          <w:sz w:val="24"/>
          <w:szCs w:val="24"/>
          <w:lang w:val="en-GB"/>
        </w:rPr>
      </w:pPr>
    </w:p>
    <w:p w14:paraId="192C9652" w14:textId="77777777" w:rsidR="006B352E" w:rsidRPr="006B352E" w:rsidRDefault="006B352E" w:rsidP="006B352E">
      <w:pPr>
        <w:tabs>
          <w:tab w:val="left" w:pos="851"/>
        </w:tabs>
        <w:ind w:left="851"/>
        <w:rPr>
          <w:sz w:val="24"/>
          <w:szCs w:val="24"/>
          <w:lang w:val="en-GB"/>
        </w:rPr>
      </w:pPr>
      <w:r w:rsidRPr="006B352E">
        <w:rPr>
          <w:sz w:val="24"/>
          <w:szCs w:val="24"/>
          <w:lang w:val="en-GB"/>
        </w:rPr>
        <w:t>Human normal immunoglobulin contains the IgG antibodies present in the normal population. It is usually prepared from pooled plasma from not fewer than 1000 donations. It has a distribution of immunoglobulin G subclasses closely proportional to that in native human plasma. Adequate doses of this medicinal product may restore abnormally low immunoglobulin G levels to the normal range.</w:t>
      </w:r>
    </w:p>
    <w:p w14:paraId="5E8F835B" w14:textId="77777777" w:rsidR="006B352E" w:rsidRPr="006B352E" w:rsidRDefault="006B352E" w:rsidP="006B352E">
      <w:pPr>
        <w:tabs>
          <w:tab w:val="left" w:pos="851"/>
        </w:tabs>
        <w:ind w:left="851"/>
        <w:rPr>
          <w:sz w:val="24"/>
          <w:szCs w:val="24"/>
          <w:lang w:val="en-GB"/>
        </w:rPr>
      </w:pPr>
    </w:p>
    <w:p w14:paraId="42AF2368" w14:textId="77777777" w:rsidR="006B352E" w:rsidRPr="006B352E" w:rsidRDefault="006B352E" w:rsidP="006B352E">
      <w:pPr>
        <w:tabs>
          <w:tab w:val="left" w:pos="851"/>
        </w:tabs>
        <w:ind w:left="851"/>
        <w:rPr>
          <w:sz w:val="24"/>
          <w:szCs w:val="24"/>
          <w:u w:val="single"/>
          <w:lang w:val="en-GB"/>
        </w:rPr>
      </w:pPr>
      <w:r w:rsidRPr="006B352E">
        <w:rPr>
          <w:sz w:val="24"/>
          <w:szCs w:val="24"/>
          <w:u w:val="single"/>
          <w:lang w:val="en-GB"/>
        </w:rPr>
        <w:t>Paediatric population</w:t>
      </w:r>
    </w:p>
    <w:p w14:paraId="748599D3" w14:textId="77777777" w:rsidR="006B352E" w:rsidRPr="006B352E" w:rsidRDefault="006B352E" w:rsidP="006B352E">
      <w:pPr>
        <w:tabs>
          <w:tab w:val="left" w:pos="851"/>
        </w:tabs>
        <w:ind w:left="851"/>
        <w:rPr>
          <w:sz w:val="24"/>
          <w:szCs w:val="24"/>
          <w:lang w:val="en-GB"/>
        </w:rPr>
      </w:pPr>
      <w:r w:rsidRPr="006B352E">
        <w:rPr>
          <w:sz w:val="24"/>
          <w:szCs w:val="24"/>
          <w:lang w:val="en-GB"/>
        </w:rPr>
        <w:t>There are no theoretical or observed differences in the action of immunoglobulins in children compared to adults.</w:t>
      </w:r>
    </w:p>
    <w:p w14:paraId="0DBBC638" w14:textId="77777777" w:rsidR="007C5D2A" w:rsidRPr="006B352E" w:rsidRDefault="007C5D2A" w:rsidP="003E0341">
      <w:pPr>
        <w:tabs>
          <w:tab w:val="left" w:pos="851"/>
        </w:tabs>
        <w:ind w:left="851"/>
        <w:rPr>
          <w:sz w:val="24"/>
          <w:szCs w:val="24"/>
          <w:lang w:val="en-GB"/>
        </w:rPr>
      </w:pPr>
    </w:p>
    <w:p w14:paraId="77B0066A" w14:textId="77777777"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14:paraId="43712DDB" w14:textId="77777777" w:rsidR="006B352E" w:rsidRPr="00853097" w:rsidRDefault="006B352E" w:rsidP="00853097">
      <w:pPr>
        <w:tabs>
          <w:tab w:val="left" w:pos="1304"/>
        </w:tabs>
        <w:autoSpaceDE w:val="0"/>
        <w:autoSpaceDN w:val="0"/>
        <w:adjustRightInd w:val="0"/>
        <w:ind w:left="851"/>
        <w:rPr>
          <w:sz w:val="24"/>
          <w:szCs w:val="24"/>
          <w:lang w:val="en-US"/>
        </w:rPr>
      </w:pPr>
      <w:r w:rsidRPr="00853097">
        <w:rPr>
          <w:sz w:val="24"/>
          <w:szCs w:val="24"/>
          <w:lang w:val="en-US"/>
        </w:rPr>
        <w:t xml:space="preserve">Following subcutaneous administration of </w:t>
      </w:r>
      <w:proofErr w:type="spellStart"/>
      <w:r w:rsidRPr="00853097">
        <w:rPr>
          <w:sz w:val="24"/>
          <w:szCs w:val="24"/>
          <w:lang w:val="en-US"/>
        </w:rPr>
        <w:t>Cuvitru</w:t>
      </w:r>
      <w:proofErr w:type="spellEnd"/>
      <w:r w:rsidRPr="00853097">
        <w:rPr>
          <w:sz w:val="24"/>
          <w:szCs w:val="24"/>
          <w:lang w:val="en-US"/>
        </w:rPr>
        <w:t xml:space="preserve">, peak serum levels are achieved after approximately 3 days. </w:t>
      </w:r>
    </w:p>
    <w:p w14:paraId="67F8F077" w14:textId="77777777" w:rsidR="006B352E" w:rsidRPr="00853097" w:rsidRDefault="006B352E" w:rsidP="00853097">
      <w:pPr>
        <w:tabs>
          <w:tab w:val="left" w:pos="1304"/>
        </w:tabs>
        <w:autoSpaceDE w:val="0"/>
        <w:autoSpaceDN w:val="0"/>
        <w:adjustRightInd w:val="0"/>
        <w:ind w:left="851"/>
        <w:rPr>
          <w:sz w:val="24"/>
          <w:szCs w:val="24"/>
          <w:lang w:val="en-US"/>
        </w:rPr>
      </w:pPr>
    </w:p>
    <w:p w14:paraId="542DF120" w14:textId="4DCBF3CA" w:rsidR="006B352E" w:rsidRPr="00853097" w:rsidRDefault="006B352E" w:rsidP="00853097">
      <w:pPr>
        <w:tabs>
          <w:tab w:val="left" w:pos="1304"/>
        </w:tabs>
        <w:autoSpaceDE w:val="0"/>
        <w:autoSpaceDN w:val="0"/>
        <w:adjustRightInd w:val="0"/>
        <w:ind w:left="851"/>
        <w:rPr>
          <w:sz w:val="24"/>
          <w:szCs w:val="24"/>
          <w:lang w:val="en-US"/>
        </w:rPr>
      </w:pPr>
      <w:r w:rsidRPr="00853097">
        <w:rPr>
          <w:sz w:val="24"/>
          <w:szCs w:val="24"/>
          <w:lang w:val="en-US"/>
        </w:rPr>
        <w:t xml:space="preserve">In a clinical trial with </w:t>
      </w:r>
      <w:proofErr w:type="spellStart"/>
      <w:r w:rsidRPr="00853097">
        <w:rPr>
          <w:sz w:val="24"/>
          <w:szCs w:val="24"/>
          <w:lang w:val="en-US"/>
        </w:rPr>
        <w:t>Cuvitru</w:t>
      </w:r>
      <w:proofErr w:type="spellEnd"/>
      <w:r w:rsidRPr="00853097">
        <w:rPr>
          <w:sz w:val="24"/>
          <w:szCs w:val="24"/>
          <w:lang w:val="en-US"/>
        </w:rPr>
        <w:t xml:space="preserve"> (n = 48), the subjects achieved sustained IgG trough levels (median 8.26 g/l) over a period of 52 weeks when receiving median weekly doses of 0.125</w:t>
      </w:r>
      <w:r w:rsidR="001F59B5">
        <w:rPr>
          <w:sz w:val="24"/>
          <w:szCs w:val="24"/>
          <w:lang w:val="en-US"/>
        </w:rPr>
        <w:t> </w:t>
      </w:r>
      <w:r w:rsidRPr="00853097">
        <w:rPr>
          <w:sz w:val="24"/>
          <w:szCs w:val="24"/>
          <w:lang w:val="en-US"/>
        </w:rPr>
        <w:t>g/kg.</w:t>
      </w:r>
    </w:p>
    <w:p w14:paraId="0188480C" w14:textId="77777777" w:rsidR="006B352E" w:rsidRPr="00853097" w:rsidRDefault="006B352E" w:rsidP="00853097">
      <w:pPr>
        <w:tabs>
          <w:tab w:val="left" w:pos="1304"/>
        </w:tabs>
        <w:autoSpaceDE w:val="0"/>
        <w:autoSpaceDN w:val="0"/>
        <w:adjustRightInd w:val="0"/>
        <w:ind w:left="851"/>
        <w:rPr>
          <w:sz w:val="24"/>
          <w:szCs w:val="24"/>
          <w:lang w:val="en-US"/>
        </w:rPr>
      </w:pPr>
    </w:p>
    <w:p w14:paraId="6440ABA8" w14:textId="77777777" w:rsidR="006B352E" w:rsidRPr="00853097" w:rsidRDefault="006B352E" w:rsidP="00853097">
      <w:pPr>
        <w:tabs>
          <w:tab w:val="left" w:pos="1304"/>
        </w:tabs>
        <w:autoSpaceDE w:val="0"/>
        <w:autoSpaceDN w:val="0"/>
        <w:adjustRightInd w:val="0"/>
        <w:ind w:left="851"/>
        <w:rPr>
          <w:sz w:val="24"/>
          <w:szCs w:val="24"/>
          <w:lang w:val="en-US"/>
        </w:rPr>
      </w:pPr>
      <w:r w:rsidRPr="00853097">
        <w:rPr>
          <w:sz w:val="24"/>
          <w:szCs w:val="24"/>
          <w:lang w:val="en-US"/>
        </w:rPr>
        <w:t xml:space="preserve">Data from the clinical trial of </w:t>
      </w:r>
      <w:proofErr w:type="spellStart"/>
      <w:r w:rsidRPr="00853097">
        <w:rPr>
          <w:sz w:val="24"/>
          <w:szCs w:val="24"/>
          <w:lang w:val="en-US"/>
        </w:rPr>
        <w:t>Cuvitru</w:t>
      </w:r>
      <w:proofErr w:type="spellEnd"/>
      <w:r w:rsidRPr="00853097">
        <w:rPr>
          <w:sz w:val="24"/>
          <w:szCs w:val="24"/>
          <w:lang w:val="en-US"/>
        </w:rPr>
        <w:t xml:space="preserve"> show that serum IgG trough levels can be maintained by dosing regimens of 0.3 to 1.0 g/kg body weight/4 weeks.</w:t>
      </w:r>
    </w:p>
    <w:p w14:paraId="200627D2" w14:textId="77777777" w:rsidR="006B352E" w:rsidRPr="00853097" w:rsidRDefault="006B352E" w:rsidP="00853097">
      <w:pPr>
        <w:tabs>
          <w:tab w:val="left" w:pos="1304"/>
        </w:tabs>
        <w:autoSpaceDE w:val="0"/>
        <w:autoSpaceDN w:val="0"/>
        <w:adjustRightInd w:val="0"/>
        <w:ind w:left="851"/>
        <w:rPr>
          <w:sz w:val="24"/>
          <w:szCs w:val="24"/>
        </w:rPr>
      </w:pPr>
      <w:r w:rsidRPr="00853097">
        <w:rPr>
          <w:sz w:val="24"/>
          <w:szCs w:val="24"/>
          <w:lang w:val="en-US"/>
        </w:rPr>
        <w:t xml:space="preserve">The pharmacokinetics of </w:t>
      </w:r>
      <w:proofErr w:type="spellStart"/>
      <w:r w:rsidRPr="00853097">
        <w:rPr>
          <w:sz w:val="24"/>
          <w:szCs w:val="24"/>
          <w:lang w:val="en-US"/>
        </w:rPr>
        <w:t>Cuvitru</w:t>
      </w:r>
      <w:proofErr w:type="spellEnd"/>
      <w:r w:rsidRPr="00853097">
        <w:rPr>
          <w:sz w:val="24"/>
          <w:szCs w:val="24"/>
          <w:lang w:val="en-US"/>
        </w:rPr>
        <w:t xml:space="preserve"> were evaluated in the phase 3 efficacy and safety study in 31 patients with PID aged 12 years and older. </w:t>
      </w:r>
      <w:r w:rsidRPr="00853097">
        <w:rPr>
          <w:sz w:val="24"/>
          <w:szCs w:val="24"/>
        </w:rPr>
        <w:t xml:space="preserve">The </w:t>
      </w:r>
      <w:proofErr w:type="spellStart"/>
      <w:r w:rsidRPr="00853097">
        <w:rPr>
          <w:sz w:val="24"/>
          <w:szCs w:val="24"/>
        </w:rPr>
        <w:t>pharmacokinetic</w:t>
      </w:r>
      <w:proofErr w:type="spellEnd"/>
      <w:r w:rsidRPr="00853097">
        <w:rPr>
          <w:sz w:val="24"/>
          <w:szCs w:val="24"/>
        </w:rPr>
        <w:t xml:space="preserve"> </w:t>
      </w:r>
      <w:proofErr w:type="spellStart"/>
      <w:r w:rsidRPr="00853097">
        <w:rPr>
          <w:sz w:val="24"/>
          <w:szCs w:val="24"/>
        </w:rPr>
        <w:t>results</w:t>
      </w:r>
      <w:proofErr w:type="spellEnd"/>
      <w:r w:rsidRPr="00853097">
        <w:rPr>
          <w:sz w:val="24"/>
          <w:szCs w:val="24"/>
        </w:rPr>
        <w:t xml:space="preserve"> </w:t>
      </w:r>
      <w:proofErr w:type="spellStart"/>
      <w:r w:rsidRPr="00853097">
        <w:rPr>
          <w:sz w:val="24"/>
          <w:szCs w:val="24"/>
        </w:rPr>
        <w:t>are</w:t>
      </w:r>
      <w:proofErr w:type="spellEnd"/>
      <w:r w:rsidRPr="00853097">
        <w:rPr>
          <w:sz w:val="24"/>
          <w:szCs w:val="24"/>
        </w:rPr>
        <w:t xml:space="preserve"> </w:t>
      </w:r>
      <w:proofErr w:type="spellStart"/>
      <w:r w:rsidRPr="00853097">
        <w:rPr>
          <w:sz w:val="24"/>
          <w:szCs w:val="24"/>
        </w:rPr>
        <w:t>presented</w:t>
      </w:r>
      <w:proofErr w:type="spellEnd"/>
      <w:r w:rsidRPr="00853097">
        <w:rPr>
          <w:sz w:val="24"/>
          <w:szCs w:val="24"/>
        </w:rPr>
        <w:t xml:space="preserve"> in the </w:t>
      </w:r>
      <w:proofErr w:type="spellStart"/>
      <w:r w:rsidRPr="00853097">
        <w:rPr>
          <w:sz w:val="24"/>
          <w:szCs w:val="24"/>
        </w:rPr>
        <w:t>table</w:t>
      </w:r>
      <w:proofErr w:type="spellEnd"/>
      <w:r w:rsidRPr="00853097">
        <w:rPr>
          <w:sz w:val="24"/>
          <w:szCs w:val="24"/>
        </w:rPr>
        <w:t xml:space="preserve"> </w:t>
      </w:r>
      <w:proofErr w:type="spellStart"/>
      <w:r w:rsidRPr="00853097">
        <w:rPr>
          <w:sz w:val="24"/>
          <w:szCs w:val="24"/>
        </w:rPr>
        <w:t>below</w:t>
      </w:r>
      <w:proofErr w:type="spellEnd"/>
      <w:r w:rsidRPr="00853097">
        <w:rPr>
          <w:sz w:val="24"/>
          <w:szCs w:val="24"/>
        </w:rPr>
        <w:t>.</w:t>
      </w:r>
    </w:p>
    <w:p w14:paraId="273275C9" w14:textId="77777777" w:rsidR="006B352E" w:rsidRDefault="006B352E" w:rsidP="006B352E">
      <w:pPr>
        <w:rPr>
          <w:szCs w:val="22"/>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50"/>
        <w:gridCol w:w="3513"/>
      </w:tblGrid>
      <w:tr w:rsidR="006B352E" w14:paraId="2C849F80" w14:textId="77777777" w:rsidTr="006244D0">
        <w:tc>
          <w:tcPr>
            <w:tcW w:w="6663" w:type="dxa"/>
            <w:gridSpan w:val="2"/>
            <w:tcBorders>
              <w:top w:val="single" w:sz="4" w:space="0" w:color="auto"/>
              <w:left w:val="single" w:sz="4" w:space="0" w:color="000000"/>
              <w:bottom w:val="single" w:sz="4" w:space="0" w:color="000000"/>
              <w:right w:val="single" w:sz="4" w:space="0" w:color="000000"/>
            </w:tcBorders>
            <w:vAlign w:val="center"/>
            <w:hideMark/>
          </w:tcPr>
          <w:p w14:paraId="55DD7955" w14:textId="77777777" w:rsidR="006B352E" w:rsidRDefault="006B352E">
            <w:pPr>
              <w:rPr>
                <w:b/>
                <w:bCs/>
                <w:szCs w:val="22"/>
              </w:rPr>
            </w:pPr>
            <w:proofErr w:type="spellStart"/>
            <w:r>
              <w:rPr>
                <w:b/>
                <w:bCs/>
                <w:szCs w:val="22"/>
              </w:rPr>
              <w:lastRenderedPageBreak/>
              <w:t>Pharmacokinetic</w:t>
            </w:r>
            <w:proofErr w:type="spellEnd"/>
            <w:r>
              <w:rPr>
                <w:b/>
                <w:bCs/>
                <w:szCs w:val="22"/>
              </w:rPr>
              <w:t xml:space="preserve"> Parameters of </w:t>
            </w:r>
            <w:proofErr w:type="spellStart"/>
            <w:r>
              <w:rPr>
                <w:b/>
                <w:bCs/>
                <w:szCs w:val="22"/>
              </w:rPr>
              <w:t>Cuvitru</w:t>
            </w:r>
            <w:proofErr w:type="spellEnd"/>
          </w:p>
        </w:tc>
      </w:tr>
      <w:tr w:rsidR="006B352E" w14:paraId="35A26134" w14:textId="77777777" w:rsidTr="006244D0">
        <w:tc>
          <w:tcPr>
            <w:tcW w:w="3150" w:type="dxa"/>
            <w:tcBorders>
              <w:top w:val="single" w:sz="4" w:space="0" w:color="auto"/>
              <w:left w:val="single" w:sz="4" w:space="0" w:color="000000"/>
              <w:bottom w:val="single" w:sz="4" w:space="0" w:color="000000"/>
              <w:right w:val="single" w:sz="4" w:space="0" w:color="000000"/>
            </w:tcBorders>
            <w:vAlign w:val="center"/>
            <w:hideMark/>
          </w:tcPr>
          <w:p w14:paraId="76E7C15F" w14:textId="77777777" w:rsidR="006B352E" w:rsidRDefault="006B352E">
            <w:pPr>
              <w:rPr>
                <w:b/>
                <w:bCs/>
                <w:szCs w:val="22"/>
              </w:rPr>
            </w:pPr>
            <w:r>
              <w:rPr>
                <w:b/>
                <w:bCs/>
                <w:szCs w:val="22"/>
              </w:rPr>
              <w:t>Parameter</w:t>
            </w:r>
          </w:p>
        </w:tc>
        <w:tc>
          <w:tcPr>
            <w:tcW w:w="3513" w:type="dxa"/>
            <w:tcBorders>
              <w:top w:val="single" w:sz="4" w:space="0" w:color="auto"/>
              <w:left w:val="single" w:sz="4" w:space="0" w:color="000000"/>
              <w:bottom w:val="single" w:sz="4" w:space="0" w:color="000000"/>
              <w:right w:val="single" w:sz="4" w:space="0" w:color="000000"/>
            </w:tcBorders>
            <w:vAlign w:val="center"/>
            <w:hideMark/>
          </w:tcPr>
          <w:p w14:paraId="33F24B7B" w14:textId="77777777" w:rsidR="006B352E" w:rsidRDefault="006B352E">
            <w:pPr>
              <w:rPr>
                <w:b/>
                <w:bCs/>
                <w:szCs w:val="22"/>
              </w:rPr>
            </w:pPr>
            <w:proofErr w:type="spellStart"/>
            <w:r>
              <w:rPr>
                <w:b/>
                <w:bCs/>
                <w:szCs w:val="22"/>
              </w:rPr>
              <w:t>Cuvitru</w:t>
            </w:r>
            <w:proofErr w:type="spellEnd"/>
          </w:p>
          <w:p w14:paraId="71466BCC" w14:textId="77777777" w:rsidR="006B352E" w:rsidRDefault="006B352E">
            <w:pPr>
              <w:rPr>
                <w:b/>
                <w:bCs/>
                <w:szCs w:val="22"/>
              </w:rPr>
            </w:pPr>
            <w:r>
              <w:rPr>
                <w:b/>
                <w:bCs/>
                <w:szCs w:val="22"/>
              </w:rPr>
              <w:t>Median (95% Cl), N=31</w:t>
            </w:r>
          </w:p>
        </w:tc>
      </w:tr>
      <w:tr w:rsidR="006B352E" w14:paraId="2AB89692" w14:textId="77777777" w:rsidTr="006244D0">
        <w:tc>
          <w:tcPr>
            <w:tcW w:w="3150" w:type="dxa"/>
            <w:tcBorders>
              <w:top w:val="single" w:sz="4" w:space="0" w:color="000000"/>
              <w:left w:val="single" w:sz="4" w:space="0" w:color="000000"/>
              <w:bottom w:val="single" w:sz="4" w:space="0" w:color="000000"/>
              <w:right w:val="single" w:sz="4" w:space="0" w:color="000000"/>
            </w:tcBorders>
            <w:hideMark/>
          </w:tcPr>
          <w:p w14:paraId="3177D78A" w14:textId="77777777" w:rsidR="006B352E" w:rsidRDefault="006B352E">
            <w:pPr>
              <w:rPr>
                <w:szCs w:val="22"/>
              </w:rPr>
            </w:pPr>
            <w:r>
              <w:rPr>
                <w:szCs w:val="22"/>
              </w:rPr>
              <w:t>AUC [g*</w:t>
            </w:r>
            <w:proofErr w:type="spellStart"/>
            <w:r>
              <w:rPr>
                <w:szCs w:val="22"/>
              </w:rPr>
              <w:t>days</w:t>
            </w:r>
            <w:proofErr w:type="spellEnd"/>
            <w:r>
              <w:rPr>
                <w:szCs w:val="22"/>
              </w:rPr>
              <w:t>/l]</w:t>
            </w:r>
          </w:p>
        </w:tc>
        <w:tc>
          <w:tcPr>
            <w:tcW w:w="3513" w:type="dxa"/>
            <w:tcBorders>
              <w:top w:val="single" w:sz="4" w:space="0" w:color="000000"/>
              <w:left w:val="single" w:sz="4" w:space="0" w:color="000000"/>
              <w:bottom w:val="single" w:sz="4" w:space="0" w:color="000000"/>
              <w:right w:val="single" w:sz="4" w:space="0" w:color="000000"/>
            </w:tcBorders>
            <w:hideMark/>
          </w:tcPr>
          <w:p w14:paraId="5D94A631" w14:textId="77777777" w:rsidR="006B352E" w:rsidRDefault="006B352E">
            <w:pPr>
              <w:rPr>
                <w:szCs w:val="22"/>
              </w:rPr>
            </w:pPr>
            <w:r>
              <w:rPr>
                <w:szCs w:val="22"/>
              </w:rPr>
              <w:t>62.52 (57.16 to 68.86)</w:t>
            </w:r>
          </w:p>
        </w:tc>
      </w:tr>
      <w:tr w:rsidR="006B352E" w14:paraId="24E3B7DA" w14:textId="77777777" w:rsidTr="006244D0">
        <w:tc>
          <w:tcPr>
            <w:tcW w:w="3150" w:type="dxa"/>
            <w:tcBorders>
              <w:top w:val="single" w:sz="4" w:space="0" w:color="000000"/>
              <w:left w:val="single" w:sz="4" w:space="0" w:color="000000"/>
              <w:bottom w:val="single" w:sz="4" w:space="0" w:color="000000"/>
              <w:right w:val="single" w:sz="4" w:space="0" w:color="000000"/>
            </w:tcBorders>
            <w:hideMark/>
          </w:tcPr>
          <w:p w14:paraId="067520AE" w14:textId="77777777" w:rsidR="006B352E" w:rsidRPr="006B352E" w:rsidRDefault="006B352E">
            <w:pPr>
              <w:rPr>
                <w:szCs w:val="22"/>
                <w:lang w:val="en-US"/>
              </w:rPr>
            </w:pPr>
            <w:r w:rsidRPr="006B352E">
              <w:rPr>
                <w:szCs w:val="22"/>
                <w:lang w:val="en-US"/>
              </w:rPr>
              <w:t>AUC / (Dose/Weight) [(g*days/l)/(g/kg)]</w:t>
            </w:r>
          </w:p>
        </w:tc>
        <w:tc>
          <w:tcPr>
            <w:tcW w:w="3513" w:type="dxa"/>
            <w:tcBorders>
              <w:top w:val="single" w:sz="4" w:space="0" w:color="000000"/>
              <w:left w:val="single" w:sz="4" w:space="0" w:color="000000"/>
              <w:bottom w:val="single" w:sz="4" w:space="0" w:color="000000"/>
              <w:right w:val="single" w:sz="4" w:space="0" w:color="000000"/>
            </w:tcBorders>
            <w:hideMark/>
          </w:tcPr>
          <w:p w14:paraId="56736B2E" w14:textId="77777777" w:rsidR="006B352E" w:rsidRDefault="006B352E">
            <w:pPr>
              <w:rPr>
                <w:szCs w:val="22"/>
              </w:rPr>
            </w:pPr>
            <w:r>
              <w:rPr>
                <w:szCs w:val="22"/>
              </w:rPr>
              <w:t>589.49 (448.40 to 638.81)</w:t>
            </w:r>
          </w:p>
        </w:tc>
      </w:tr>
      <w:tr w:rsidR="006B352E" w14:paraId="5E8E6E86" w14:textId="77777777" w:rsidTr="006244D0">
        <w:tc>
          <w:tcPr>
            <w:tcW w:w="3150" w:type="dxa"/>
            <w:tcBorders>
              <w:top w:val="single" w:sz="4" w:space="0" w:color="000000"/>
              <w:left w:val="single" w:sz="4" w:space="0" w:color="000000"/>
              <w:bottom w:val="single" w:sz="4" w:space="0" w:color="000000"/>
              <w:right w:val="single" w:sz="4" w:space="0" w:color="000000"/>
            </w:tcBorders>
            <w:hideMark/>
          </w:tcPr>
          <w:p w14:paraId="4F10EE80" w14:textId="77777777" w:rsidR="006B352E" w:rsidRPr="006B352E" w:rsidRDefault="006B352E">
            <w:pPr>
              <w:rPr>
                <w:szCs w:val="22"/>
                <w:lang w:val="en-US"/>
              </w:rPr>
            </w:pPr>
            <w:r w:rsidRPr="006B352E">
              <w:rPr>
                <w:szCs w:val="22"/>
                <w:lang w:val="en-US"/>
              </w:rPr>
              <w:t>Apparent clearance [ml/kg/day]</w:t>
            </w:r>
          </w:p>
        </w:tc>
        <w:tc>
          <w:tcPr>
            <w:tcW w:w="3513" w:type="dxa"/>
            <w:tcBorders>
              <w:top w:val="single" w:sz="4" w:space="0" w:color="000000"/>
              <w:left w:val="single" w:sz="4" w:space="0" w:color="000000"/>
              <w:bottom w:val="single" w:sz="4" w:space="0" w:color="000000"/>
              <w:right w:val="single" w:sz="4" w:space="0" w:color="000000"/>
            </w:tcBorders>
            <w:hideMark/>
          </w:tcPr>
          <w:p w14:paraId="579A8934" w14:textId="77777777" w:rsidR="006B352E" w:rsidRDefault="006B352E">
            <w:pPr>
              <w:rPr>
                <w:szCs w:val="22"/>
              </w:rPr>
            </w:pPr>
            <w:r>
              <w:rPr>
                <w:szCs w:val="22"/>
              </w:rPr>
              <w:t>1.70 (1.57 to 2.23)</w:t>
            </w:r>
          </w:p>
        </w:tc>
      </w:tr>
      <w:tr w:rsidR="006B352E" w14:paraId="2DC4713B" w14:textId="77777777" w:rsidTr="006244D0">
        <w:tc>
          <w:tcPr>
            <w:tcW w:w="3150" w:type="dxa"/>
            <w:tcBorders>
              <w:top w:val="single" w:sz="4" w:space="0" w:color="000000"/>
              <w:left w:val="single" w:sz="4" w:space="0" w:color="000000"/>
              <w:bottom w:val="single" w:sz="4" w:space="0" w:color="000000"/>
              <w:right w:val="single" w:sz="4" w:space="0" w:color="000000"/>
            </w:tcBorders>
            <w:hideMark/>
          </w:tcPr>
          <w:p w14:paraId="1932F455" w14:textId="77777777" w:rsidR="006B352E" w:rsidRDefault="006B352E">
            <w:pPr>
              <w:rPr>
                <w:szCs w:val="22"/>
              </w:rPr>
            </w:pPr>
            <w:proofErr w:type="spellStart"/>
            <w:r>
              <w:rPr>
                <w:szCs w:val="22"/>
              </w:rPr>
              <w:t>C</w:t>
            </w:r>
            <w:r>
              <w:rPr>
                <w:szCs w:val="22"/>
                <w:vertAlign w:val="subscript"/>
              </w:rPr>
              <w:t>max</w:t>
            </w:r>
            <w:proofErr w:type="spellEnd"/>
            <w:r>
              <w:rPr>
                <w:szCs w:val="22"/>
              </w:rPr>
              <w:t xml:space="preserve"> [g/l]</w:t>
            </w:r>
          </w:p>
        </w:tc>
        <w:tc>
          <w:tcPr>
            <w:tcW w:w="3513" w:type="dxa"/>
            <w:tcBorders>
              <w:top w:val="single" w:sz="4" w:space="0" w:color="000000"/>
              <w:left w:val="single" w:sz="4" w:space="0" w:color="000000"/>
              <w:bottom w:val="single" w:sz="4" w:space="0" w:color="000000"/>
              <w:right w:val="single" w:sz="4" w:space="0" w:color="000000"/>
            </w:tcBorders>
            <w:hideMark/>
          </w:tcPr>
          <w:p w14:paraId="52D418B3" w14:textId="77777777" w:rsidR="006B352E" w:rsidRDefault="006B352E">
            <w:pPr>
              <w:rPr>
                <w:szCs w:val="22"/>
              </w:rPr>
            </w:pPr>
            <w:r>
              <w:rPr>
                <w:szCs w:val="22"/>
              </w:rPr>
              <w:t>9.80 (9.31 to 10.62)</w:t>
            </w:r>
          </w:p>
        </w:tc>
      </w:tr>
      <w:tr w:rsidR="006B352E" w14:paraId="54FA5564" w14:textId="77777777" w:rsidTr="006244D0">
        <w:tc>
          <w:tcPr>
            <w:tcW w:w="3150" w:type="dxa"/>
            <w:tcBorders>
              <w:top w:val="single" w:sz="4" w:space="0" w:color="000000"/>
              <w:left w:val="single" w:sz="4" w:space="0" w:color="000000"/>
              <w:bottom w:val="single" w:sz="4" w:space="0" w:color="000000"/>
              <w:right w:val="single" w:sz="4" w:space="0" w:color="000000"/>
            </w:tcBorders>
            <w:hideMark/>
          </w:tcPr>
          <w:p w14:paraId="6438B4FB" w14:textId="77777777" w:rsidR="006B352E" w:rsidRDefault="006B352E">
            <w:pPr>
              <w:rPr>
                <w:szCs w:val="22"/>
              </w:rPr>
            </w:pPr>
            <w:proofErr w:type="spellStart"/>
            <w:r>
              <w:rPr>
                <w:szCs w:val="22"/>
              </w:rPr>
              <w:t>C</w:t>
            </w:r>
            <w:r>
              <w:rPr>
                <w:szCs w:val="22"/>
                <w:vertAlign w:val="subscript"/>
              </w:rPr>
              <w:t>min</w:t>
            </w:r>
            <w:proofErr w:type="spellEnd"/>
            <w:r>
              <w:rPr>
                <w:szCs w:val="22"/>
              </w:rPr>
              <w:t xml:space="preserve"> [g/l]</w:t>
            </w:r>
          </w:p>
        </w:tc>
        <w:tc>
          <w:tcPr>
            <w:tcW w:w="3513" w:type="dxa"/>
            <w:tcBorders>
              <w:top w:val="single" w:sz="4" w:space="0" w:color="000000"/>
              <w:left w:val="single" w:sz="4" w:space="0" w:color="000000"/>
              <w:bottom w:val="single" w:sz="4" w:space="0" w:color="000000"/>
              <w:right w:val="single" w:sz="4" w:space="0" w:color="000000"/>
            </w:tcBorders>
            <w:hideMark/>
          </w:tcPr>
          <w:p w14:paraId="6E83E523" w14:textId="77777777" w:rsidR="006B352E" w:rsidRDefault="006B352E">
            <w:pPr>
              <w:rPr>
                <w:szCs w:val="22"/>
              </w:rPr>
            </w:pPr>
            <w:r>
              <w:rPr>
                <w:szCs w:val="22"/>
              </w:rPr>
              <w:t>8.04 (7.30 to 8.99)</w:t>
            </w:r>
          </w:p>
        </w:tc>
      </w:tr>
      <w:tr w:rsidR="006B352E" w14:paraId="47F1854D" w14:textId="77777777" w:rsidTr="006244D0">
        <w:tc>
          <w:tcPr>
            <w:tcW w:w="3150" w:type="dxa"/>
            <w:tcBorders>
              <w:top w:val="single" w:sz="4" w:space="0" w:color="000000"/>
              <w:left w:val="single" w:sz="4" w:space="0" w:color="000000"/>
              <w:bottom w:val="single" w:sz="4" w:space="0" w:color="000000"/>
              <w:right w:val="single" w:sz="4" w:space="0" w:color="000000"/>
            </w:tcBorders>
            <w:hideMark/>
          </w:tcPr>
          <w:p w14:paraId="22AAC9E7" w14:textId="77777777" w:rsidR="006B352E" w:rsidRDefault="006B352E">
            <w:pPr>
              <w:rPr>
                <w:szCs w:val="22"/>
              </w:rPr>
            </w:pPr>
            <w:proofErr w:type="spellStart"/>
            <w:r>
              <w:rPr>
                <w:szCs w:val="22"/>
              </w:rPr>
              <w:t>T</w:t>
            </w:r>
            <w:r>
              <w:rPr>
                <w:szCs w:val="22"/>
                <w:vertAlign w:val="subscript"/>
              </w:rPr>
              <w:t>max</w:t>
            </w:r>
            <w:proofErr w:type="spellEnd"/>
            <w:r>
              <w:rPr>
                <w:szCs w:val="22"/>
              </w:rPr>
              <w:t xml:space="preserve"> [</w:t>
            </w:r>
            <w:proofErr w:type="spellStart"/>
            <w:r>
              <w:rPr>
                <w:szCs w:val="22"/>
              </w:rPr>
              <w:t>hours</w:t>
            </w:r>
            <w:proofErr w:type="spellEnd"/>
            <w:r>
              <w:rPr>
                <w:szCs w:val="22"/>
              </w:rPr>
              <w:t>]</w:t>
            </w:r>
          </w:p>
        </w:tc>
        <w:tc>
          <w:tcPr>
            <w:tcW w:w="3513" w:type="dxa"/>
            <w:tcBorders>
              <w:top w:val="single" w:sz="4" w:space="0" w:color="000000"/>
              <w:left w:val="single" w:sz="4" w:space="0" w:color="000000"/>
              <w:bottom w:val="single" w:sz="4" w:space="0" w:color="000000"/>
              <w:right w:val="single" w:sz="4" w:space="0" w:color="000000"/>
            </w:tcBorders>
            <w:hideMark/>
          </w:tcPr>
          <w:p w14:paraId="0D105DF7" w14:textId="77777777" w:rsidR="006B352E" w:rsidRDefault="006B352E">
            <w:pPr>
              <w:rPr>
                <w:szCs w:val="22"/>
              </w:rPr>
            </w:pPr>
            <w:r>
              <w:rPr>
                <w:szCs w:val="22"/>
              </w:rPr>
              <w:t>73.92 (69.82 to 120.08)</w:t>
            </w:r>
          </w:p>
        </w:tc>
      </w:tr>
    </w:tbl>
    <w:p w14:paraId="1793BA22" w14:textId="77777777" w:rsidR="006B352E" w:rsidRDefault="006B352E" w:rsidP="006B352E">
      <w:pPr>
        <w:rPr>
          <w:sz w:val="22"/>
          <w:szCs w:val="22"/>
          <w:lang w:val="en-GB" w:eastAsia="en-US"/>
        </w:rPr>
      </w:pPr>
    </w:p>
    <w:p w14:paraId="1958780E" w14:textId="77777777" w:rsidR="006B352E" w:rsidRPr="006244D0" w:rsidRDefault="006B352E" w:rsidP="006244D0">
      <w:pPr>
        <w:ind w:left="851"/>
        <w:rPr>
          <w:sz w:val="24"/>
          <w:szCs w:val="24"/>
          <w:lang w:val="en-US"/>
        </w:rPr>
      </w:pPr>
      <w:r w:rsidRPr="006244D0">
        <w:rPr>
          <w:sz w:val="24"/>
          <w:szCs w:val="24"/>
          <w:lang w:val="en-US"/>
        </w:rPr>
        <w:t>IgG and IgG-complexes are broken down in cells of the reticuloendothelial system.</w:t>
      </w:r>
    </w:p>
    <w:p w14:paraId="7202726C" w14:textId="77777777" w:rsidR="006B352E" w:rsidRPr="006244D0" w:rsidRDefault="006B352E" w:rsidP="006244D0">
      <w:pPr>
        <w:ind w:left="851"/>
        <w:rPr>
          <w:sz w:val="24"/>
          <w:szCs w:val="24"/>
          <w:lang w:val="en-US"/>
        </w:rPr>
      </w:pPr>
    </w:p>
    <w:p w14:paraId="62EC820F" w14:textId="77777777" w:rsidR="006B352E" w:rsidRPr="006244D0" w:rsidRDefault="006B352E" w:rsidP="006244D0">
      <w:pPr>
        <w:ind w:left="851"/>
        <w:rPr>
          <w:sz w:val="24"/>
          <w:szCs w:val="24"/>
          <w:u w:val="single"/>
          <w:lang w:val="en-US"/>
        </w:rPr>
      </w:pPr>
      <w:r w:rsidRPr="006244D0">
        <w:rPr>
          <w:sz w:val="24"/>
          <w:szCs w:val="24"/>
          <w:u w:val="single"/>
          <w:lang w:val="en-US"/>
        </w:rPr>
        <w:t xml:space="preserve">Once Weekly, Biweekly or more Frequent Dosing (2-7 times per week) </w:t>
      </w:r>
    </w:p>
    <w:p w14:paraId="264657C9" w14:textId="77777777" w:rsidR="006B352E" w:rsidRPr="006244D0" w:rsidRDefault="006B352E" w:rsidP="006244D0">
      <w:pPr>
        <w:ind w:left="851"/>
        <w:rPr>
          <w:sz w:val="24"/>
          <w:szCs w:val="24"/>
          <w:lang w:val="en-US"/>
        </w:rPr>
      </w:pPr>
      <w:r w:rsidRPr="006244D0">
        <w:rPr>
          <w:sz w:val="24"/>
          <w:szCs w:val="24"/>
          <w:lang w:val="en-US"/>
        </w:rPr>
        <w:t xml:space="preserve">Pharmacokinetic (PK) characterization of biweekly or more frequent dosing of </w:t>
      </w:r>
      <w:proofErr w:type="spellStart"/>
      <w:r w:rsidRPr="006244D0">
        <w:rPr>
          <w:sz w:val="24"/>
          <w:szCs w:val="24"/>
          <w:lang w:val="en-US"/>
        </w:rPr>
        <w:t>Cuvitru</w:t>
      </w:r>
      <w:proofErr w:type="spellEnd"/>
      <w:r w:rsidRPr="006244D0">
        <w:rPr>
          <w:sz w:val="24"/>
          <w:szCs w:val="24"/>
          <w:lang w:val="en-US"/>
        </w:rPr>
        <w:t xml:space="preserve"> was undertaken using population PK-based modelling and simulation. Serum IgG concentration data consisted of 724 samples from 32 unique paediatric and adult subjects with PID. Compared with weekly administration, PK modelling and simulation predicted that administration of </w:t>
      </w:r>
      <w:proofErr w:type="spellStart"/>
      <w:r w:rsidRPr="006244D0">
        <w:rPr>
          <w:sz w:val="24"/>
          <w:szCs w:val="24"/>
          <w:lang w:val="en-US"/>
        </w:rPr>
        <w:t>Cuvitru</w:t>
      </w:r>
      <w:proofErr w:type="spellEnd"/>
      <w:r w:rsidRPr="006244D0">
        <w:rPr>
          <w:sz w:val="24"/>
          <w:szCs w:val="24"/>
          <w:lang w:val="en-US"/>
        </w:rPr>
        <w:t xml:space="preserve"> on a biweekly basis at double the weekly dose results in overlapping IgG exposure across an entire 2-week interval. In addition, PK modelling and simulation predicted that for the same total weekly dose, </w:t>
      </w:r>
      <w:proofErr w:type="spellStart"/>
      <w:r w:rsidRPr="006244D0">
        <w:rPr>
          <w:sz w:val="24"/>
          <w:szCs w:val="24"/>
          <w:lang w:val="en-US"/>
        </w:rPr>
        <w:t>Cuvitru</w:t>
      </w:r>
      <w:proofErr w:type="spellEnd"/>
      <w:r w:rsidRPr="006244D0">
        <w:rPr>
          <w:sz w:val="24"/>
          <w:szCs w:val="24"/>
          <w:lang w:val="en-US"/>
        </w:rPr>
        <w:t xml:space="preserve"> infusions given 2-7 times per week (frequent dosing) results also in overlapping IgG exposure across an entire 2-week interval.</w:t>
      </w:r>
    </w:p>
    <w:p w14:paraId="73A287CB" w14:textId="77777777" w:rsidR="006B352E" w:rsidRPr="006244D0" w:rsidRDefault="006B352E" w:rsidP="006244D0">
      <w:pPr>
        <w:ind w:left="851"/>
        <w:rPr>
          <w:sz w:val="24"/>
          <w:szCs w:val="24"/>
          <w:lang w:val="en-US"/>
        </w:rPr>
      </w:pPr>
    </w:p>
    <w:p w14:paraId="3D40656A" w14:textId="77777777" w:rsidR="006B352E" w:rsidRPr="006244D0" w:rsidRDefault="006B352E" w:rsidP="006244D0">
      <w:pPr>
        <w:ind w:left="851"/>
        <w:rPr>
          <w:sz w:val="24"/>
          <w:szCs w:val="24"/>
          <w:u w:val="single"/>
          <w:lang w:val="en-US"/>
        </w:rPr>
      </w:pPr>
      <w:r w:rsidRPr="006244D0">
        <w:rPr>
          <w:sz w:val="24"/>
          <w:szCs w:val="24"/>
          <w:u w:val="single"/>
          <w:lang w:val="en-US"/>
        </w:rPr>
        <w:t>Paediatric population</w:t>
      </w:r>
    </w:p>
    <w:p w14:paraId="6A7F7849" w14:textId="77777777" w:rsidR="006B352E" w:rsidRPr="006244D0" w:rsidRDefault="006B352E" w:rsidP="006244D0">
      <w:pPr>
        <w:ind w:left="851"/>
        <w:rPr>
          <w:sz w:val="24"/>
          <w:szCs w:val="24"/>
          <w:lang w:val="en-US"/>
        </w:rPr>
      </w:pPr>
      <w:r w:rsidRPr="006244D0">
        <w:rPr>
          <w:sz w:val="24"/>
          <w:szCs w:val="24"/>
          <w:lang w:val="en-US"/>
        </w:rPr>
        <w:t>There are no theoretical or observed differences in the pharmacokinetics of immunoglobulins in children compared to adults.</w:t>
      </w:r>
    </w:p>
    <w:p w14:paraId="37366E20" w14:textId="77777777" w:rsidR="006B352E" w:rsidRPr="006244D0" w:rsidRDefault="006B352E" w:rsidP="006244D0">
      <w:pPr>
        <w:ind w:left="851"/>
        <w:rPr>
          <w:sz w:val="24"/>
          <w:szCs w:val="24"/>
          <w:lang w:val="en-US"/>
        </w:rPr>
      </w:pPr>
    </w:p>
    <w:p w14:paraId="6FA7AA10" w14:textId="77777777"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14:paraId="18710CFF" w14:textId="77777777" w:rsidR="006B352E" w:rsidRPr="006B352E" w:rsidRDefault="006B352E" w:rsidP="006B352E">
      <w:pPr>
        <w:tabs>
          <w:tab w:val="left" w:pos="851"/>
        </w:tabs>
        <w:ind w:left="851"/>
        <w:rPr>
          <w:sz w:val="24"/>
          <w:szCs w:val="24"/>
          <w:lang w:val="en-GB"/>
        </w:rPr>
      </w:pPr>
      <w:r w:rsidRPr="006B352E">
        <w:rPr>
          <w:sz w:val="24"/>
          <w:szCs w:val="24"/>
          <w:lang w:val="en-GB"/>
        </w:rPr>
        <w:t>Immune globulins are normal constituents of the human body.</w:t>
      </w:r>
    </w:p>
    <w:p w14:paraId="440C49F9" w14:textId="77777777" w:rsidR="006B352E" w:rsidRPr="006B352E" w:rsidRDefault="006B352E" w:rsidP="006B352E">
      <w:pPr>
        <w:tabs>
          <w:tab w:val="left" w:pos="851"/>
        </w:tabs>
        <w:ind w:left="851"/>
        <w:rPr>
          <w:sz w:val="24"/>
          <w:szCs w:val="24"/>
          <w:lang w:val="en-GB"/>
        </w:rPr>
      </w:pPr>
    </w:p>
    <w:p w14:paraId="267EA18C" w14:textId="77777777" w:rsidR="006B352E" w:rsidRPr="006B352E" w:rsidRDefault="006B352E" w:rsidP="006B352E">
      <w:pPr>
        <w:tabs>
          <w:tab w:val="left" w:pos="851"/>
        </w:tabs>
        <w:ind w:left="851"/>
        <w:rPr>
          <w:sz w:val="24"/>
          <w:szCs w:val="24"/>
          <w:lang w:val="en-GB"/>
        </w:rPr>
      </w:pPr>
      <w:r w:rsidRPr="006B352E">
        <w:rPr>
          <w:sz w:val="24"/>
          <w:szCs w:val="24"/>
          <w:lang w:val="en-GB"/>
        </w:rPr>
        <w:t xml:space="preserve">Non-clinical data for immune globulins reveal no special risk for humans based on conventional studies of safety pharmacology and toxicity. </w:t>
      </w:r>
      <w:proofErr w:type="spellStart"/>
      <w:r w:rsidRPr="006B352E">
        <w:rPr>
          <w:bCs/>
          <w:iCs/>
          <w:sz w:val="24"/>
          <w:szCs w:val="24"/>
          <w:lang w:val="en-GB"/>
        </w:rPr>
        <w:t>Cuvitru</w:t>
      </w:r>
      <w:proofErr w:type="spellEnd"/>
      <w:r w:rsidRPr="006B352E">
        <w:rPr>
          <w:bCs/>
          <w:iCs/>
          <w:sz w:val="24"/>
          <w:szCs w:val="24"/>
          <w:lang w:val="en-GB"/>
        </w:rPr>
        <w:t xml:space="preserve"> </w:t>
      </w:r>
      <w:r w:rsidRPr="006B352E">
        <w:rPr>
          <w:sz w:val="24"/>
          <w:szCs w:val="24"/>
          <w:lang w:val="en-GB"/>
        </w:rPr>
        <w:t xml:space="preserve">was well tolerated locally when infused subcutaneously into animals. Studies of repeated dose toxicity and toxicity to reproduction in animals are impracticable due to induction of and interference by developing antibodies to heterologous proteins. </w:t>
      </w:r>
    </w:p>
    <w:p w14:paraId="63084FF9" w14:textId="77777777" w:rsidR="006B352E" w:rsidRPr="006B352E" w:rsidRDefault="006B352E" w:rsidP="006B352E">
      <w:pPr>
        <w:tabs>
          <w:tab w:val="left" w:pos="851"/>
        </w:tabs>
        <w:ind w:left="851"/>
        <w:rPr>
          <w:sz w:val="24"/>
          <w:szCs w:val="24"/>
          <w:lang w:val="en-GB"/>
        </w:rPr>
      </w:pPr>
    </w:p>
    <w:p w14:paraId="50F0F4AC" w14:textId="77777777" w:rsidR="006B352E" w:rsidRPr="006B352E" w:rsidRDefault="006B352E" w:rsidP="006B352E">
      <w:pPr>
        <w:tabs>
          <w:tab w:val="left" w:pos="851"/>
        </w:tabs>
        <w:ind w:left="851"/>
        <w:rPr>
          <w:sz w:val="24"/>
          <w:szCs w:val="24"/>
          <w:lang w:val="en-GB"/>
        </w:rPr>
      </w:pPr>
      <w:r w:rsidRPr="006B352E">
        <w:rPr>
          <w:sz w:val="24"/>
          <w:szCs w:val="24"/>
          <w:lang w:val="en-GB"/>
        </w:rPr>
        <w:t xml:space="preserve">Long-term animal studies have not been conducted to evaluate the carcinogenic potential of </w:t>
      </w:r>
      <w:proofErr w:type="spellStart"/>
      <w:r w:rsidRPr="006B352E">
        <w:rPr>
          <w:sz w:val="24"/>
          <w:szCs w:val="24"/>
          <w:lang w:val="en-GB"/>
        </w:rPr>
        <w:t>Cuvitru</w:t>
      </w:r>
      <w:proofErr w:type="spellEnd"/>
      <w:r w:rsidRPr="006B352E">
        <w:rPr>
          <w:sz w:val="24"/>
          <w:szCs w:val="24"/>
          <w:lang w:val="en-GB"/>
        </w:rPr>
        <w:t xml:space="preserve"> or its effect on fertility. An in vitro mutagenicity test was performed for IGI, 10% and there was no evidence of mutagenicity observed.</w:t>
      </w:r>
    </w:p>
    <w:p w14:paraId="001E4828" w14:textId="77777777" w:rsidR="007C5D2A" w:rsidRPr="006B352E" w:rsidRDefault="007C5D2A" w:rsidP="003E0341">
      <w:pPr>
        <w:tabs>
          <w:tab w:val="left" w:pos="851"/>
        </w:tabs>
        <w:ind w:left="851"/>
        <w:rPr>
          <w:sz w:val="24"/>
          <w:szCs w:val="24"/>
          <w:lang w:val="en-GB"/>
        </w:rPr>
      </w:pPr>
    </w:p>
    <w:p w14:paraId="24C2C99A" w14:textId="77777777" w:rsidR="007C5D2A" w:rsidRPr="00303008" w:rsidRDefault="007C5D2A" w:rsidP="003E0341">
      <w:pPr>
        <w:tabs>
          <w:tab w:val="left" w:pos="851"/>
        </w:tabs>
        <w:ind w:left="851"/>
        <w:rPr>
          <w:sz w:val="24"/>
          <w:szCs w:val="24"/>
          <w:lang w:val="en-GB"/>
        </w:rPr>
      </w:pPr>
    </w:p>
    <w:p w14:paraId="5FBCCCB8" w14:textId="77777777"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14:paraId="6906AAC6" w14:textId="77777777" w:rsidR="007C5D2A" w:rsidRPr="00303008" w:rsidRDefault="007C5D2A" w:rsidP="003E0341">
      <w:pPr>
        <w:tabs>
          <w:tab w:val="left" w:pos="851"/>
        </w:tabs>
        <w:ind w:left="851"/>
        <w:rPr>
          <w:sz w:val="24"/>
          <w:szCs w:val="24"/>
          <w:lang w:val="en-GB"/>
        </w:rPr>
      </w:pPr>
    </w:p>
    <w:p w14:paraId="3FD25867" w14:textId="77777777"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14:paraId="46BA8A26" w14:textId="77777777" w:rsidR="006B352E" w:rsidRPr="006B352E" w:rsidRDefault="006B352E" w:rsidP="006B352E">
      <w:pPr>
        <w:tabs>
          <w:tab w:val="left" w:pos="851"/>
        </w:tabs>
        <w:ind w:left="851"/>
        <w:rPr>
          <w:sz w:val="24"/>
          <w:szCs w:val="24"/>
          <w:lang w:val="en-GB"/>
        </w:rPr>
      </w:pPr>
      <w:r w:rsidRPr="006B352E">
        <w:rPr>
          <w:sz w:val="24"/>
          <w:szCs w:val="24"/>
          <w:lang w:val="en-GB"/>
        </w:rPr>
        <w:t>Glycine</w:t>
      </w:r>
    </w:p>
    <w:p w14:paraId="7D52A300" w14:textId="7762E073" w:rsidR="006B352E" w:rsidRPr="006B352E" w:rsidRDefault="006B352E" w:rsidP="006B352E">
      <w:pPr>
        <w:tabs>
          <w:tab w:val="left" w:pos="851"/>
        </w:tabs>
        <w:ind w:left="851"/>
        <w:rPr>
          <w:sz w:val="24"/>
          <w:szCs w:val="24"/>
          <w:lang w:val="en-GB"/>
        </w:rPr>
      </w:pPr>
      <w:r w:rsidRPr="006B352E">
        <w:rPr>
          <w:sz w:val="24"/>
          <w:szCs w:val="24"/>
          <w:lang w:val="en-GB"/>
        </w:rPr>
        <w:t xml:space="preserve">Water for </w:t>
      </w:r>
      <w:r w:rsidR="00A54B48">
        <w:rPr>
          <w:sz w:val="24"/>
          <w:szCs w:val="24"/>
          <w:lang w:val="en-GB"/>
        </w:rPr>
        <w:t xml:space="preserve">solution for </w:t>
      </w:r>
      <w:r w:rsidRPr="006B352E">
        <w:rPr>
          <w:sz w:val="24"/>
          <w:szCs w:val="24"/>
          <w:lang w:val="en-GB"/>
        </w:rPr>
        <w:t>injections</w:t>
      </w:r>
    </w:p>
    <w:p w14:paraId="36F62B47" w14:textId="77777777" w:rsidR="007C5D2A" w:rsidRPr="00303008" w:rsidRDefault="007C5D2A" w:rsidP="003D727E">
      <w:pPr>
        <w:tabs>
          <w:tab w:val="left" w:pos="851"/>
        </w:tabs>
        <w:ind w:left="851"/>
        <w:rPr>
          <w:sz w:val="24"/>
          <w:szCs w:val="24"/>
          <w:lang w:val="en-GB"/>
        </w:rPr>
      </w:pPr>
    </w:p>
    <w:p w14:paraId="1CE71777" w14:textId="77777777" w:rsidR="007C5D2A" w:rsidRPr="00303008" w:rsidRDefault="007C5D2A" w:rsidP="007C5D2A">
      <w:pPr>
        <w:ind w:left="851" w:hanging="851"/>
        <w:rPr>
          <w:b/>
          <w:sz w:val="24"/>
          <w:szCs w:val="24"/>
          <w:lang w:val="en-GB"/>
        </w:rPr>
      </w:pPr>
      <w:r w:rsidRPr="00303008">
        <w:rPr>
          <w:b/>
          <w:sz w:val="24"/>
          <w:szCs w:val="24"/>
          <w:lang w:val="en-GB"/>
        </w:rPr>
        <w:t>6.2</w:t>
      </w:r>
      <w:r w:rsidRPr="00303008">
        <w:rPr>
          <w:b/>
          <w:sz w:val="24"/>
          <w:szCs w:val="24"/>
          <w:lang w:val="en-GB"/>
        </w:rPr>
        <w:tab/>
        <w:t>Incompatibilities</w:t>
      </w:r>
    </w:p>
    <w:p w14:paraId="0FBDB4CE" w14:textId="77777777" w:rsidR="006B352E" w:rsidRPr="006B352E" w:rsidRDefault="006B352E" w:rsidP="006B352E">
      <w:pPr>
        <w:tabs>
          <w:tab w:val="left" w:pos="851"/>
        </w:tabs>
        <w:ind w:left="851"/>
        <w:rPr>
          <w:sz w:val="24"/>
          <w:szCs w:val="24"/>
          <w:lang w:val="en-GB"/>
        </w:rPr>
      </w:pPr>
      <w:r w:rsidRPr="006B352E">
        <w:rPr>
          <w:sz w:val="24"/>
          <w:szCs w:val="24"/>
          <w:lang w:val="en-GB"/>
        </w:rPr>
        <w:t xml:space="preserve">Administration of </w:t>
      </w:r>
      <w:proofErr w:type="spellStart"/>
      <w:r w:rsidRPr="006B352E">
        <w:rPr>
          <w:sz w:val="24"/>
          <w:szCs w:val="24"/>
          <w:lang w:val="en-GB"/>
        </w:rPr>
        <w:t>Cuvitru</w:t>
      </w:r>
      <w:proofErr w:type="spellEnd"/>
      <w:r w:rsidRPr="006B352E">
        <w:rPr>
          <w:sz w:val="24"/>
          <w:szCs w:val="24"/>
          <w:lang w:val="en-GB"/>
        </w:rPr>
        <w:t xml:space="preserve"> with other medicinal products is not recommended.</w:t>
      </w:r>
    </w:p>
    <w:p w14:paraId="7BCE0B5D" w14:textId="77777777" w:rsidR="006B352E" w:rsidRPr="006B352E" w:rsidRDefault="006B352E" w:rsidP="006B352E">
      <w:pPr>
        <w:tabs>
          <w:tab w:val="left" w:pos="851"/>
        </w:tabs>
        <w:ind w:left="851"/>
        <w:rPr>
          <w:sz w:val="24"/>
          <w:szCs w:val="24"/>
          <w:lang w:val="en-GB"/>
        </w:rPr>
      </w:pPr>
      <w:r w:rsidRPr="006B352E">
        <w:rPr>
          <w:sz w:val="24"/>
          <w:szCs w:val="24"/>
          <w:lang w:val="en-GB"/>
        </w:rPr>
        <w:lastRenderedPageBreak/>
        <w:t>In the absence of compatibility studies, this medicinal product must not be mixed with other medicinal products.</w:t>
      </w:r>
    </w:p>
    <w:p w14:paraId="2A96E865" w14:textId="77777777" w:rsidR="006B352E" w:rsidRPr="006B352E" w:rsidRDefault="006B352E" w:rsidP="006B352E">
      <w:pPr>
        <w:tabs>
          <w:tab w:val="left" w:pos="851"/>
        </w:tabs>
        <w:ind w:left="851"/>
        <w:rPr>
          <w:sz w:val="24"/>
          <w:szCs w:val="24"/>
          <w:lang w:val="en-GB"/>
        </w:rPr>
      </w:pPr>
      <w:proofErr w:type="spellStart"/>
      <w:r w:rsidRPr="006B352E">
        <w:rPr>
          <w:sz w:val="24"/>
          <w:szCs w:val="24"/>
          <w:lang w:val="en-GB"/>
        </w:rPr>
        <w:t>Cuvitru</w:t>
      </w:r>
      <w:proofErr w:type="spellEnd"/>
      <w:r w:rsidRPr="006B352E">
        <w:rPr>
          <w:sz w:val="24"/>
          <w:szCs w:val="24"/>
          <w:lang w:val="en-GB"/>
        </w:rPr>
        <w:t xml:space="preserve"> must not be diluted.</w:t>
      </w:r>
    </w:p>
    <w:p w14:paraId="7551179C" w14:textId="77777777" w:rsidR="007C5D2A" w:rsidRPr="006B352E" w:rsidRDefault="007C5D2A" w:rsidP="003E0341">
      <w:pPr>
        <w:tabs>
          <w:tab w:val="left" w:pos="851"/>
        </w:tabs>
        <w:ind w:left="851"/>
        <w:rPr>
          <w:sz w:val="24"/>
          <w:szCs w:val="24"/>
          <w:lang w:val="en-GB"/>
        </w:rPr>
      </w:pPr>
    </w:p>
    <w:p w14:paraId="4303BCC6" w14:textId="77777777"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B45DC5">
        <w:rPr>
          <w:b/>
          <w:sz w:val="24"/>
          <w:szCs w:val="24"/>
          <w:lang w:val="en-GB"/>
        </w:rPr>
        <w:t xml:space="preserve"> </w:t>
      </w:r>
      <w:r w:rsidRPr="00303008">
        <w:rPr>
          <w:b/>
          <w:sz w:val="24"/>
          <w:szCs w:val="24"/>
          <w:lang w:val="en-GB"/>
        </w:rPr>
        <w:t>life</w:t>
      </w:r>
    </w:p>
    <w:p w14:paraId="4EFD8CCA" w14:textId="3379C5C2" w:rsidR="006B352E" w:rsidRPr="006B352E" w:rsidRDefault="006B352E" w:rsidP="006B352E">
      <w:pPr>
        <w:tabs>
          <w:tab w:val="left" w:pos="851"/>
        </w:tabs>
        <w:ind w:left="851"/>
        <w:rPr>
          <w:sz w:val="24"/>
          <w:szCs w:val="24"/>
          <w:lang w:val="en-GB"/>
        </w:rPr>
      </w:pPr>
      <w:r w:rsidRPr="006B352E">
        <w:rPr>
          <w:sz w:val="24"/>
          <w:szCs w:val="24"/>
          <w:lang w:val="en-GB"/>
        </w:rPr>
        <w:t>2 years</w:t>
      </w:r>
      <w:r w:rsidR="00DF57DE">
        <w:rPr>
          <w:sz w:val="24"/>
          <w:szCs w:val="24"/>
          <w:lang w:val="en-GB"/>
        </w:rPr>
        <w:t>.</w:t>
      </w:r>
    </w:p>
    <w:p w14:paraId="700EEDF5" w14:textId="77777777" w:rsidR="006B352E" w:rsidRPr="006B352E" w:rsidRDefault="006B352E" w:rsidP="006B352E">
      <w:pPr>
        <w:tabs>
          <w:tab w:val="left" w:pos="851"/>
        </w:tabs>
        <w:ind w:left="851"/>
        <w:rPr>
          <w:sz w:val="24"/>
          <w:szCs w:val="24"/>
          <w:lang w:val="en-GB"/>
        </w:rPr>
      </w:pPr>
    </w:p>
    <w:p w14:paraId="07CBC246" w14:textId="77777777" w:rsidR="006B352E" w:rsidRPr="006B352E" w:rsidRDefault="006B352E" w:rsidP="006B352E">
      <w:pPr>
        <w:tabs>
          <w:tab w:val="left" w:pos="851"/>
        </w:tabs>
        <w:ind w:left="851"/>
        <w:rPr>
          <w:sz w:val="24"/>
          <w:szCs w:val="24"/>
          <w:lang w:val="en-GB"/>
        </w:rPr>
      </w:pPr>
      <w:r w:rsidRPr="006B352E">
        <w:rPr>
          <w:sz w:val="24"/>
          <w:szCs w:val="24"/>
          <w:lang w:val="en-GB"/>
        </w:rPr>
        <w:t>Once opened, use immediately.</w:t>
      </w:r>
    </w:p>
    <w:p w14:paraId="6CE7464E" w14:textId="77777777" w:rsidR="007C5D2A" w:rsidRPr="006B352E" w:rsidRDefault="007C5D2A" w:rsidP="003E0341">
      <w:pPr>
        <w:tabs>
          <w:tab w:val="left" w:pos="851"/>
        </w:tabs>
        <w:ind w:left="851"/>
        <w:rPr>
          <w:sz w:val="24"/>
          <w:szCs w:val="24"/>
          <w:lang w:val="en-GB"/>
        </w:rPr>
      </w:pPr>
    </w:p>
    <w:p w14:paraId="7F81134C" w14:textId="77777777"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14:paraId="5076C1AA" w14:textId="69D377F3" w:rsidR="006B352E" w:rsidRPr="006B352E" w:rsidRDefault="006B352E" w:rsidP="006B352E">
      <w:pPr>
        <w:tabs>
          <w:tab w:val="left" w:pos="851"/>
        </w:tabs>
        <w:ind w:left="851"/>
        <w:rPr>
          <w:sz w:val="24"/>
          <w:szCs w:val="24"/>
          <w:lang w:val="en-GB"/>
        </w:rPr>
      </w:pPr>
      <w:r w:rsidRPr="006B352E">
        <w:rPr>
          <w:sz w:val="24"/>
          <w:szCs w:val="24"/>
          <w:lang w:val="en-GB"/>
        </w:rPr>
        <w:t>Do not store above 25</w:t>
      </w:r>
      <w:r w:rsidR="00B07FD7">
        <w:rPr>
          <w:sz w:val="24"/>
          <w:szCs w:val="24"/>
          <w:lang w:val="en-GB"/>
        </w:rPr>
        <w:t xml:space="preserve"> </w:t>
      </w:r>
      <w:r w:rsidRPr="006B352E">
        <w:rPr>
          <w:sz w:val="24"/>
          <w:szCs w:val="24"/>
          <w:lang w:val="en-GB"/>
        </w:rPr>
        <w:t>°C</w:t>
      </w:r>
      <w:r w:rsidR="00B07FD7">
        <w:rPr>
          <w:sz w:val="24"/>
          <w:szCs w:val="24"/>
          <w:lang w:val="en-GB"/>
        </w:rPr>
        <w:t>.</w:t>
      </w:r>
    </w:p>
    <w:p w14:paraId="01AC28CB" w14:textId="77777777" w:rsidR="006B352E" w:rsidRPr="006B352E" w:rsidRDefault="006B352E" w:rsidP="006B352E">
      <w:pPr>
        <w:tabs>
          <w:tab w:val="left" w:pos="851"/>
        </w:tabs>
        <w:ind w:left="851"/>
        <w:rPr>
          <w:sz w:val="24"/>
          <w:szCs w:val="24"/>
          <w:lang w:val="en-GB"/>
        </w:rPr>
      </w:pPr>
      <w:r w:rsidRPr="006B352E">
        <w:rPr>
          <w:sz w:val="24"/>
          <w:szCs w:val="24"/>
          <w:lang w:val="en-GB"/>
        </w:rPr>
        <w:t>Do not freeze the product.</w:t>
      </w:r>
    </w:p>
    <w:p w14:paraId="1FD9A0BB" w14:textId="77777777" w:rsidR="006B352E" w:rsidRPr="006B352E" w:rsidRDefault="006B352E" w:rsidP="006B352E">
      <w:pPr>
        <w:tabs>
          <w:tab w:val="left" w:pos="851"/>
        </w:tabs>
        <w:ind w:left="851"/>
        <w:rPr>
          <w:sz w:val="24"/>
          <w:szCs w:val="24"/>
          <w:lang w:val="en-GB"/>
        </w:rPr>
      </w:pPr>
      <w:r w:rsidRPr="006B352E">
        <w:rPr>
          <w:sz w:val="24"/>
          <w:szCs w:val="24"/>
          <w:lang w:val="en-GB"/>
        </w:rPr>
        <w:t>Keep the vial in the outer carton in order to protect from light.</w:t>
      </w:r>
    </w:p>
    <w:p w14:paraId="2532E9A8" w14:textId="77777777" w:rsidR="007C5D2A" w:rsidRPr="006B352E" w:rsidRDefault="007C5D2A" w:rsidP="003E0341">
      <w:pPr>
        <w:tabs>
          <w:tab w:val="left" w:pos="851"/>
        </w:tabs>
        <w:ind w:left="851"/>
        <w:rPr>
          <w:sz w:val="24"/>
          <w:szCs w:val="24"/>
          <w:lang w:val="en-GB"/>
        </w:rPr>
      </w:pPr>
    </w:p>
    <w:p w14:paraId="2D3AA2CE" w14:textId="77777777"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14:paraId="1C952D21" w14:textId="77777777" w:rsidR="006B352E" w:rsidRPr="006B352E" w:rsidRDefault="006B352E" w:rsidP="00841631">
      <w:pPr>
        <w:tabs>
          <w:tab w:val="left" w:pos="851"/>
        </w:tabs>
        <w:ind w:left="851"/>
        <w:rPr>
          <w:sz w:val="24"/>
          <w:szCs w:val="24"/>
          <w:lang w:val="en-GB"/>
        </w:rPr>
      </w:pPr>
      <w:r w:rsidRPr="006B352E">
        <w:rPr>
          <w:sz w:val="24"/>
          <w:szCs w:val="24"/>
          <w:lang w:val="en-GB"/>
        </w:rPr>
        <w:t>5, 10, 20, 40 or 50 ml of solution in a vial (Type I glass) with a stopper (</w:t>
      </w:r>
      <w:proofErr w:type="spellStart"/>
      <w:r w:rsidRPr="006B352E">
        <w:rPr>
          <w:sz w:val="24"/>
          <w:szCs w:val="24"/>
          <w:lang w:val="en-GB"/>
        </w:rPr>
        <w:t>bromobutyl</w:t>
      </w:r>
      <w:proofErr w:type="spellEnd"/>
      <w:r w:rsidRPr="006B352E">
        <w:rPr>
          <w:sz w:val="24"/>
          <w:szCs w:val="24"/>
          <w:lang w:val="en-GB"/>
        </w:rPr>
        <w:t>).</w:t>
      </w:r>
    </w:p>
    <w:p w14:paraId="4E92E9CC" w14:textId="77777777" w:rsidR="00B07FD7" w:rsidRDefault="00B07FD7" w:rsidP="00841631">
      <w:pPr>
        <w:tabs>
          <w:tab w:val="left" w:pos="851"/>
        </w:tabs>
        <w:ind w:left="851"/>
        <w:rPr>
          <w:sz w:val="24"/>
          <w:szCs w:val="24"/>
          <w:lang w:val="en-GB"/>
        </w:rPr>
      </w:pPr>
    </w:p>
    <w:p w14:paraId="21F1177E" w14:textId="6BE6388C" w:rsidR="006B352E" w:rsidRPr="00B07FD7" w:rsidRDefault="006B352E" w:rsidP="00841631">
      <w:pPr>
        <w:tabs>
          <w:tab w:val="left" w:pos="851"/>
        </w:tabs>
        <w:ind w:left="851"/>
        <w:rPr>
          <w:sz w:val="24"/>
          <w:szCs w:val="24"/>
          <w:u w:val="single"/>
          <w:lang w:val="en-GB"/>
        </w:rPr>
      </w:pPr>
      <w:r w:rsidRPr="00B07FD7">
        <w:rPr>
          <w:sz w:val="24"/>
          <w:szCs w:val="24"/>
          <w:u w:val="single"/>
          <w:lang w:val="en-GB"/>
        </w:rPr>
        <w:t>Pack size</w:t>
      </w:r>
      <w:r w:rsidR="00B07FD7" w:rsidRPr="00B07FD7">
        <w:rPr>
          <w:sz w:val="24"/>
          <w:szCs w:val="24"/>
          <w:u w:val="single"/>
          <w:lang w:val="en-GB"/>
        </w:rPr>
        <w:t>s</w:t>
      </w:r>
    </w:p>
    <w:p w14:paraId="75915AC9" w14:textId="2BB7511C" w:rsidR="006B352E" w:rsidRPr="006B352E" w:rsidRDefault="006B352E" w:rsidP="00841631">
      <w:pPr>
        <w:tabs>
          <w:tab w:val="left" w:pos="851"/>
        </w:tabs>
        <w:ind w:left="851"/>
        <w:rPr>
          <w:sz w:val="24"/>
          <w:szCs w:val="24"/>
          <w:lang w:val="en-GB"/>
        </w:rPr>
      </w:pPr>
      <w:r w:rsidRPr="006B352E">
        <w:rPr>
          <w:sz w:val="24"/>
          <w:szCs w:val="24"/>
          <w:lang w:val="en-GB"/>
        </w:rPr>
        <w:t>1, 10 or 20 vial(s) containing 1 g human normal immunoglobulin in 5 ml solution for injection</w:t>
      </w:r>
      <w:r w:rsidR="00746ADB">
        <w:rPr>
          <w:sz w:val="24"/>
          <w:szCs w:val="24"/>
          <w:lang w:val="en-GB"/>
        </w:rPr>
        <w:t>.</w:t>
      </w:r>
    </w:p>
    <w:p w14:paraId="6454CFA5" w14:textId="32AF726B" w:rsidR="006B352E" w:rsidRPr="006B352E" w:rsidRDefault="006B352E" w:rsidP="00841631">
      <w:pPr>
        <w:tabs>
          <w:tab w:val="left" w:pos="851"/>
        </w:tabs>
        <w:ind w:left="851"/>
        <w:rPr>
          <w:sz w:val="24"/>
          <w:szCs w:val="24"/>
          <w:lang w:val="en-GB"/>
        </w:rPr>
      </w:pPr>
      <w:r w:rsidRPr="006B352E">
        <w:rPr>
          <w:sz w:val="24"/>
          <w:szCs w:val="24"/>
          <w:lang w:val="en-GB"/>
        </w:rPr>
        <w:t>1, 10, 20 or 30 vial(s) containing 2 g human normal immunoglobulin in 10 ml solution for injection</w:t>
      </w:r>
      <w:r w:rsidR="00746ADB">
        <w:rPr>
          <w:sz w:val="24"/>
          <w:szCs w:val="24"/>
          <w:lang w:val="en-GB"/>
        </w:rPr>
        <w:t>.</w:t>
      </w:r>
    </w:p>
    <w:p w14:paraId="24AEEC3F" w14:textId="0FC54525" w:rsidR="006B352E" w:rsidRPr="006B352E" w:rsidRDefault="006B352E" w:rsidP="00841631">
      <w:pPr>
        <w:tabs>
          <w:tab w:val="left" w:pos="851"/>
        </w:tabs>
        <w:ind w:left="851"/>
        <w:rPr>
          <w:sz w:val="24"/>
          <w:szCs w:val="24"/>
          <w:lang w:val="en-GB"/>
        </w:rPr>
      </w:pPr>
      <w:r w:rsidRPr="006B352E">
        <w:rPr>
          <w:sz w:val="24"/>
          <w:szCs w:val="24"/>
          <w:lang w:val="en-GB"/>
        </w:rPr>
        <w:t>1, 10, 20 or 30 vial(s) containing 4 g human normal immunoglobulin in 20 ml solution for injection</w:t>
      </w:r>
      <w:r w:rsidR="00746ADB">
        <w:rPr>
          <w:sz w:val="24"/>
          <w:szCs w:val="24"/>
          <w:lang w:val="en-GB"/>
        </w:rPr>
        <w:t>.</w:t>
      </w:r>
    </w:p>
    <w:p w14:paraId="65A9F7AA" w14:textId="1DFA60DA" w:rsidR="006B352E" w:rsidRPr="006B352E" w:rsidRDefault="006B352E" w:rsidP="00841631">
      <w:pPr>
        <w:tabs>
          <w:tab w:val="left" w:pos="851"/>
        </w:tabs>
        <w:ind w:left="851"/>
        <w:rPr>
          <w:sz w:val="24"/>
          <w:szCs w:val="24"/>
          <w:lang w:val="en-GB"/>
        </w:rPr>
      </w:pPr>
      <w:r w:rsidRPr="006B352E">
        <w:rPr>
          <w:sz w:val="24"/>
          <w:szCs w:val="24"/>
          <w:lang w:val="en-GB"/>
        </w:rPr>
        <w:t>1, 5, 10 or 20 vial(s) containing 8 g human normal immunoglobulin in 40 ml solution for injection</w:t>
      </w:r>
      <w:r w:rsidR="00746ADB">
        <w:rPr>
          <w:sz w:val="24"/>
          <w:szCs w:val="24"/>
          <w:lang w:val="en-GB"/>
        </w:rPr>
        <w:t>.</w:t>
      </w:r>
    </w:p>
    <w:p w14:paraId="448F193D" w14:textId="5020C3F8" w:rsidR="006B352E" w:rsidRPr="006B352E" w:rsidRDefault="006B352E" w:rsidP="00841631">
      <w:pPr>
        <w:tabs>
          <w:tab w:val="left" w:pos="851"/>
        </w:tabs>
        <w:ind w:left="851"/>
        <w:rPr>
          <w:sz w:val="24"/>
          <w:szCs w:val="24"/>
          <w:lang w:val="en-GB"/>
        </w:rPr>
      </w:pPr>
      <w:r w:rsidRPr="006B352E">
        <w:rPr>
          <w:sz w:val="24"/>
          <w:szCs w:val="24"/>
          <w:lang w:val="en-GB"/>
        </w:rPr>
        <w:t>1 vial containing 10 g human normal immunoglobulin in 50 ml solution for injection</w:t>
      </w:r>
      <w:r w:rsidR="00137DC5">
        <w:rPr>
          <w:sz w:val="24"/>
          <w:szCs w:val="24"/>
          <w:lang w:val="en-GB"/>
        </w:rPr>
        <w:t>.</w:t>
      </w:r>
    </w:p>
    <w:p w14:paraId="40C802E4" w14:textId="77777777" w:rsidR="006B352E" w:rsidRPr="006B352E" w:rsidRDefault="006B352E" w:rsidP="00841631">
      <w:pPr>
        <w:tabs>
          <w:tab w:val="left" w:pos="851"/>
        </w:tabs>
        <w:ind w:left="851"/>
        <w:rPr>
          <w:sz w:val="24"/>
          <w:szCs w:val="24"/>
          <w:lang w:val="en-GB"/>
        </w:rPr>
      </w:pPr>
    </w:p>
    <w:p w14:paraId="5423B47A" w14:textId="77777777" w:rsidR="006B352E" w:rsidRPr="006B352E" w:rsidRDefault="006B352E" w:rsidP="00841631">
      <w:pPr>
        <w:tabs>
          <w:tab w:val="left" w:pos="851"/>
        </w:tabs>
        <w:ind w:left="851"/>
        <w:rPr>
          <w:sz w:val="24"/>
          <w:szCs w:val="24"/>
          <w:lang w:val="en-GB"/>
        </w:rPr>
      </w:pPr>
      <w:r w:rsidRPr="006B352E">
        <w:rPr>
          <w:sz w:val="24"/>
          <w:szCs w:val="24"/>
          <w:lang w:val="en-GB"/>
        </w:rPr>
        <w:t>Not all pack sizes may be marketed.</w:t>
      </w:r>
    </w:p>
    <w:p w14:paraId="20E21532" w14:textId="77777777" w:rsidR="007C5D2A" w:rsidRPr="006B352E" w:rsidRDefault="007C5D2A" w:rsidP="00841631">
      <w:pPr>
        <w:tabs>
          <w:tab w:val="left" w:pos="851"/>
        </w:tabs>
        <w:ind w:left="851"/>
        <w:rPr>
          <w:sz w:val="24"/>
          <w:szCs w:val="24"/>
          <w:lang w:val="en-GB"/>
        </w:rPr>
      </w:pPr>
    </w:p>
    <w:p w14:paraId="1C53E66C" w14:textId="77777777" w:rsidR="007C5D2A" w:rsidRPr="00303008" w:rsidRDefault="007C5D2A" w:rsidP="00841631">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14:paraId="3D7F85F6" w14:textId="77777777" w:rsidR="00A4615A" w:rsidRPr="00A4615A" w:rsidRDefault="00A4615A" w:rsidP="00841631">
      <w:pPr>
        <w:tabs>
          <w:tab w:val="left" w:pos="851"/>
        </w:tabs>
        <w:ind w:left="851"/>
        <w:rPr>
          <w:sz w:val="24"/>
          <w:szCs w:val="24"/>
          <w:lang w:val="en-GB"/>
        </w:rPr>
      </w:pPr>
      <w:r w:rsidRPr="00A4615A">
        <w:rPr>
          <w:sz w:val="24"/>
          <w:szCs w:val="24"/>
          <w:lang w:val="en-GB"/>
        </w:rPr>
        <w:t>In case the product is stored in a refrigerator, the unopened vials must be placed at room temperature for a minimum of 90 minutes prior to use and kept at room temperature during administration. Do not use heating devices including microwaves.</w:t>
      </w:r>
    </w:p>
    <w:p w14:paraId="6042F972" w14:textId="77777777" w:rsidR="00A4615A" w:rsidRPr="00A4615A" w:rsidRDefault="00A4615A" w:rsidP="00841631">
      <w:pPr>
        <w:tabs>
          <w:tab w:val="left" w:pos="851"/>
        </w:tabs>
        <w:ind w:left="851"/>
        <w:rPr>
          <w:sz w:val="24"/>
          <w:szCs w:val="24"/>
          <w:lang w:val="en-GB"/>
        </w:rPr>
      </w:pPr>
    </w:p>
    <w:p w14:paraId="04686468" w14:textId="77777777" w:rsidR="00A4615A" w:rsidRPr="00A4615A" w:rsidRDefault="00A4615A" w:rsidP="00841631">
      <w:pPr>
        <w:tabs>
          <w:tab w:val="left" w:pos="851"/>
        </w:tabs>
        <w:ind w:left="851"/>
        <w:rPr>
          <w:sz w:val="24"/>
          <w:szCs w:val="24"/>
          <w:lang w:val="en-GB"/>
        </w:rPr>
      </w:pPr>
      <w:r w:rsidRPr="00A4615A">
        <w:rPr>
          <w:sz w:val="24"/>
          <w:szCs w:val="24"/>
          <w:lang w:val="en-GB"/>
        </w:rPr>
        <w:t>Solutions that are cloudy or have deposits should not be used.</w:t>
      </w:r>
    </w:p>
    <w:p w14:paraId="33E0A307" w14:textId="77777777" w:rsidR="00A4615A" w:rsidRPr="00A4615A" w:rsidRDefault="00A4615A" w:rsidP="00841631">
      <w:pPr>
        <w:tabs>
          <w:tab w:val="left" w:pos="851"/>
        </w:tabs>
        <w:ind w:left="851"/>
        <w:rPr>
          <w:sz w:val="24"/>
          <w:szCs w:val="24"/>
          <w:lang w:val="en-GB"/>
        </w:rPr>
      </w:pPr>
    </w:p>
    <w:p w14:paraId="4BDB14B1" w14:textId="77777777" w:rsidR="00A4615A" w:rsidRPr="00A4615A" w:rsidRDefault="00A4615A" w:rsidP="00841631">
      <w:pPr>
        <w:tabs>
          <w:tab w:val="left" w:pos="851"/>
        </w:tabs>
        <w:ind w:left="851"/>
        <w:rPr>
          <w:sz w:val="24"/>
          <w:szCs w:val="24"/>
          <w:lang w:val="en-GB"/>
        </w:rPr>
      </w:pPr>
      <w:r w:rsidRPr="00A4615A">
        <w:rPr>
          <w:sz w:val="24"/>
          <w:szCs w:val="24"/>
          <w:lang w:val="en-GB"/>
        </w:rPr>
        <w:t>Any unused medicinal product or waste material should be disposed of in accordance with local requirements.</w:t>
      </w:r>
    </w:p>
    <w:p w14:paraId="0B2136C7" w14:textId="77777777" w:rsidR="007C5D2A" w:rsidRPr="00A4615A" w:rsidRDefault="007C5D2A" w:rsidP="00841631">
      <w:pPr>
        <w:tabs>
          <w:tab w:val="left" w:pos="851"/>
        </w:tabs>
        <w:ind w:left="851"/>
        <w:rPr>
          <w:sz w:val="24"/>
          <w:szCs w:val="24"/>
          <w:lang w:val="en-GB"/>
        </w:rPr>
      </w:pPr>
    </w:p>
    <w:p w14:paraId="143F2E56" w14:textId="77777777" w:rsidR="007C5D2A" w:rsidRPr="00303008" w:rsidRDefault="007C5D2A" w:rsidP="00841631">
      <w:pPr>
        <w:tabs>
          <w:tab w:val="left" w:pos="851"/>
        </w:tabs>
        <w:ind w:left="851" w:hanging="851"/>
        <w:rPr>
          <w:b/>
          <w:sz w:val="24"/>
          <w:szCs w:val="24"/>
          <w:lang w:val="en-GB"/>
        </w:rPr>
      </w:pPr>
      <w:r w:rsidRPr="00303008">
        <w:rPr>
          <w:b/>
          <w:sz w:val="24"/>
          <w:szCs w:val="24"/>
          <w:lang w:val="en-GB"/>
        </w:rPr>
        <w:t>7.</w:t>
      </w:r>
      <w:r w:rsidRPr="00303008">
        <w:rPr>
          <w:b/>
          <w:sz w:val="24"/>
          <w:szCs w:val="24"/>
          <w:lang w:val="en-GB"/>
        </w:rPr>
        <w:tab/>
        <w:t>MARKETING AUTHORISATION HOLDER</w:t>
      </w:r>
    </w:p>
    <w:p w14:paraId="64476520" w14:textId="77777777" w:rsidR="005610F7" w:rsidRPr="005610F7" w:rsidRDefault="005610F7" w:rsidP="00841631">
      <w:pPr>
        <w:tabs>
          <w:tab w:val="left" w:pos="851"/>
        </w:tabs>
        <w:ind w:left="851"/>
        <w:rPr>
          <w:sz w:val="24"/>
          <w:szCs w:val="24"/>
          <w:lang w:val="en-US"/>
        </w:rPr>
      </w:pPr>
      <w:r w:rsidRPr="005610F7">
        <w:rPr>
          <w:sz w:val="24"/>
          <w:szCs w:val="24"/>
          <w:lang w:val="en-US"/>
        </w:rPr>
        <w:t>Baxalta Innovations GmbH</w:t>
      </w:r>
    </w:p>
    <w:p w14:paraId="21FF58B7" w14:textId="77777777" w:rsidR="005610F7" w:rsidRPr="005610F7" w:rsidRDefault="005610F7" w:rsidP="00841631">
      <w:pPr>
        <w:tabs>
          <w:tab w:val="left" w:pos="851"/>
        </w:tabs>
        <w:ind w:left="851"/>
        <w:rPr>
          <w:sz w:val="24"/>
          <w:szCs w:val="24"/>
          <w:lang w:val="en-US"/>
        </w:rPr>
      </w:pPr>
      <w:proofErr w:type="spellStart"/>
      <w:r w:rsidRPr="005610F7">
        <w:rPr>
          <w:sz w:val="24"/>
          <w:szCs w:val="24"/>
          <w:lang w:val="en-US"/>
        </w:rPr>
        <w:t>Industriestrasse</w:t>
      </w:r>
      <w:proofErr w:type="spellEnd"/>
      <w:r w:rsidRPr="005610F7">
        <w:rPr>
          <w:sz w:val="24"/>
          <w:szCs w:val="24"/>
          <w:lang w:val="en-US"/>
        </w:rPr>
        <w:t xml:space="preserve"> 67</w:t>
      </w:r>
    </w:p>
    <w:p w14:paraId="5BFB2105" w14:textId="77777777" w:rsidR="005610F7" w:rsidRPr="005610F7" w:rsidRDefault="005610F7" w:rsidP="00841631">
      <w:pPr>
        <w:tabs>
          <w:tab w:val="left" w:pos="851"/>
        </w:tabs>
        <w:ind w:left="851"/>
        <w:rPr>
          <w:sz w:val="24"/>
          <w:szCs w:val="24"/>
          <w:lang w:val="en-US"/>
        </w:rPr>
      </w:pPr>
      <w:r w:rsidRPr="005610F7">
        <w:rPr>
          <w:sz w:val="24"/>
          <w:szCs w:val="24"/>
          <w:lang w:val="en-US"/>
        </w:rPr>
        <w:t>1221 Vienna</w:t>
      </w:r>
    </w:p>
    <w:p w14:paraId="4C2EB407" w14:textId="77777777" w:rsidR="005610F7" w:rsidRPr="005610F7" w:rsidRDefault="005610F7" w:rsidP="00841631">
      <w:pPr>
        <w:tabs>
          <w:tab w:val="left" w:pos="851"/>
        </w:tabs>
        <w:ind w:left="851"/>
        <w:rPr>
          <w:sz w:val="24"/>
          <w:szCs w:val="24"/>
          <w:lang w:val="en-US"/>
        </w:rPr>
      </w:pPr>
      <w:proofErr w:type="spellStart"/>
      <w:r w:rsidRPr="005610F7">
        <w:rPr>
          <w:sz w:val="24"/>
          <w:szCs w:val="24"/>
          <w:lang w:val="en-US"/>
        </w:rPr>
        <w:t>Østrig</w:t>
      </w:r>
      <w:proofErr w:type="spellEnd"/>
    </w:p>
    <w:p w14:paraId="1E936623" w14:textId="77777777" w:rsidR="007C5D2A" w:rsidRPr="005610F7" w:rsidRDefault="007C5D2A" w:rsidP="00841631">
      <w:pPr>
        <w:tabs>
          <w:tab w:val="left" w:pos="851"/>
        </w:tabs>
        <w:ind w:left="851"/>
        <w:rPr>
          <w:sz w:val="24"/>
          <w:szCs w:val="24"/>
          <w:lang w:val="en-US"/>
        </w:rPr>
      </w:pPr>
    </w:p>
    <w:p w14:paraId="17C2030A" w14:textId="77777777" w:rsidR="008A24F6" w:rsidRDefault="005A498B" w:rsidP="00841631">
      <w:pPr>
        <w:tabs>
          <w:tab w:val="left" w:pos="851"/>
        </w:tabs>
        <w:ind w:left="851"/>
        <w:rPr>
          <w:b/>
          <w:sz w:val="24"/>
          <w:szCs w:val="24"/>
          <w:lang w:val="en-GB"/>
        </w:rPr>
      </w:pPr>
      <w:r>
        <w:rPr>
          <w:b/>
          <w:sz w:val="24"/>
          <w:szCs w:val="24"/>
          <w:lang w:val="en-GB"/>
        </w:rPr>
        <w:t>Representative</w:t>
      </w:r>
    </w:p>
    <w:p w14:paraId="70F11939" w14:textId="77777777" w:rsidR="005610F7" w:rsidRPr="005610F7" w:rsidRDefault="005610F7" w:rsidP="00841631">
      <w:pPr>
        <w:tabs>
          <w:tab w:val="left" w:pos="851"/>
        </w:tabs>
        <w:ind w:left="851"/>
        <w:rPr>
          <w:sz w:val="24"/>
          <w:szCs w:val="24"/>
          <w:lang w:val="en-US"/>
        </w:rPr>
      </w:pPr>
      <w:r w:rsidRPr="005610F7">
        <w:rPr>
          <w:sz w:val="24"/>
          <w:szCs w:val="24"/>
          <w:lang w:val="en-US"/>
        </w:rPr>
        <w:t>Takeda Pharma A/S</w:t>
      </w:r>
    </w:p>
    <w:p w14:paraId="6C61A454" w14:textId="77777777" w:rsidR="005610F7" w:rsidRPr="005610F7" w:rsidRDefault="005610F7" w:rsidP="00841631">
      <w:pPr>
        <w:tabs>
          <w:tab w:val="left" w:pos="851"/>
        </w:tabs>
        <w:ind w:left="851"/>
        <w:rPr>
          <w:sz w:val="24"/>
          <w:szCs w:val="24"/>
          <w:lang w:val="en-US"/>
        </w:rPr>
      </w:pPr>
      <w:r w:rsidRPr="005610F7">
        <w:rPr>
          <w:sz w:val="24"/>
          <w:szCs w:val="24"/>
          <w:lang w:val="en-US"/>
        </w:rPr>
        <w:t>Delta Park 45</w:t>
      </w:r>
    </w:p>
    <w:p w14:paraId="78EA17D5" w14:textId="77777777" w:rsidR="005610F7" w:rsidRPr="007361B4" w:rsidRDefault="005610F7" w:rsidP="00841631">
      <w:pPr>
        <w:tabs>
          <w:tab w:val="left" w:pos="851"/>
        </w:tabs>
        <w:ind w:left="851"/>
        <w:rPr>
          <w:sz w:val="24"/>
          <w:szCs w:val="24"/>
          <w:lang w:val="en-US"/>
        </w:rPr>
      </w:pPr>
      <w:r w:rsidRPr="007361B4">
        <w:rPr>
          <w:sz w:val="24"/>
          <w:szCs w:val="24"/>
          <w:lang w:val="en-US"/>
        </w:rPr>
        <w:t xml:space="preserve">2665 </w:t>
      </w:r>
      <w:proofErr w:type="spellStart"/>
      <w:r w:rsidRPr="007361B4">
        <w:rPr>
          <w:sz w:val="24"/>
          <w:szCs w:val="24"/>
          <w:lang w:val="en-US"/>
        </w:rPr>
        <w:t>Vallensbæk</w:t>
      </w:r>
      <w:proofErr w:type="spellEnd"/>
      <w:r w:rsidRPr="007361B4">
        <w:rPr>
          <w:sz w:val="24"/>
          <w:szCs w:val="24"/>
          <w:lang w:val="en-US"/>
        </w:rPr>
        <w:t xml:space="preserve"> Strand</w:t>
      </w:r>
    </w:p>
    <w:p w14:paraId="2F4D9831" w14:textId="77777777" w:rsidR="008A24F6" w:rsidRPr="00303008" w:rsidRDefault="008A24F6" w:rsidP="00841631">
      <w:pPr>
        <w:tabs>
          <w:tab w:val="left" w:pos="851"/>
        </w:tabs>
        <w:ind w:left="851"/>
        <w:rPr>
          <w:sz w:val="24"/>
          <w:szCs w:val="24"/>
          <w:lang w:val="en-GB"/>
        </w:rPr>
      </w:pPr>
    </w:p>
    <w:p w14:paraId="4ED46C43" w14:textId="77777777" w:rsidR="007C5D2A" w:rsidRPr="00303008" w:rsidRDefault="007C5D2A" w:rsidP="00841631">
      <w:pPr>
        <w:ind w:left="851" w:hanging="851"/>
        <w:rPr>
          <w:b/>
          <w:sz w:val="24"/>
          <w:szCs w:val="24"/>
          <w:lang w:val="en-GB"/>
        </w:rPr>
      </w:pPr>
      <w:r w:rsidRPr="00303008">
        <w:rPr>
          <w:b/>
          <w:sz w:val="24"/>
          <w:szCs w:val="24"/>
          <w:lang w:val="en-GB"/>
        </w:rPr>
        <w:lastRenderedPageBreak/>
        <w:t>8.</w:t>
      </w:r>
      <w:r w:rsidRPr="00303008">
        <w:rPr>
          <w:b/>
          <w:sz w:val="24"/>
          <w:szCs w:val="24"/>
          <w:lang w:val="en-GB"/>
        </w:rPr>
        <w:tab/>
        <w:t>MARKETING AUTHORISATION NUMBER(S)</w:t>
      </w:r>
    </w:p>
    <w:p w14:paraId="464A25B9" w14:textId="03C6EFE4" w:rsidR="007C5D2A" w:rsidRPr="00303008" w:rsidRDefault="005610F7" w:rsidP="00841631">
      <w:pPr>
        <w:tabs>
          <w:tab w:val="left" w:pos="851"/>
        </w:tabs>
        <w:ind w:left="851"/>
        <w:rPr>
          <w:sz w:val="24"/>
          <w:szCs w:val="24"/>
          <w:lang w:val="en-GB"/>
        </w:rPr>
      </w:pPr>
      <w:r>
        <w:rPr>
          <w:sz w:val="24"/>
          <w:szCs w:val="24"/>
          <w:lang w:val="en-GB"/>
        </w:rPr>
        <w:t>56050</w:t>
      </w:r>
    </w:p>
    <w:p w14:paraId="25960CD1" w14:textId="77777777" w:rsidR="007C5D2A" w:rsidRPr="00303008" w:rsidRDefault="007C5D2A" w:rsidP="00841631">
      <w:pPr>
        <w:tabs>
          <w:tab w:val="left" w:pos="851"/>
        </w:tabs>
        <w:ind w:left="851"/>
        <w:rPr>
          <w:sz w:val="24"/>
          <w:szCs w:val="24"/>
          <w:lang w:val="en-GB"/>
        </w:rPr>
      </w:pPr>
    </w:p>
    <w:p w14:paraId="087662E7" w14:textId="77777777" w:rsidR="007C5D2A" w:rsidRPr="00303008" w:rsidRDefault="007C5D2A" w:rsidP="00841631">
      <w:pPr>
        <w:tabs>
          <w:tab w:val="left" w:pos="851"/>
        </w:tabs>
        <w:rPr>
          <w:sz w:val="24"/>
          <w:szCs w:val="24"/>
          <w:lang w:val="en-GB"/>
        </w:rPr>
      </w:pPr>
      <w:r w:rsidRPr="00303008">
        <w:rPr>
          <w:b/>
          <w:sz w:val="24"/>
          <w:szCs w:val="24"/>
          <w:lang w:val="en-GB"/>
        </w:rPr>
        <w:t>9.</w:t>
      </w:r>
      <w:r w:rsidRPr="00303008">
        <w:rPr>
          <w:b/>
          <w:sz w:val="24"/>
          <w:szCs w:val="24"/>
          <w:lang w:val="en-GB"/>
        </w:rPr>
        <w:tab/>
        <w:t>DATE OF FIRST AUTHORISATION</w:t>
      </w:r>
    </w:p>
    <w:p w14:paraId="40BCFB81" w14:textId="202F57E5" w:rsidR="007C5D2A" w:rsidRPr="00303008" w:rsidRDefault="00A4615A" w:rsidP="00841631">
      <w:pPr>
        <w:ind w:left="851"/>
        <w:rPr>
          <w:sz w:val="24"/>
          <w:szCs w:val="24"/>
          <w:lang w:val="en-GB"/>
        </w:rPr>
      </w:pPr>
      <w:r>
        <w:rPr>
          <w:sz w:val="24"/>
          <w:szCs w:val="24"/>
          <w:lang w:val="en-GB"/>
        </w:rPr>
        <w:t>5 August 2016</w:t>
      </w:r>
    </w:p>
    <w:p w14:paraId="2D09578F" w14:textId="77777777" w:rsidR="007C5D2A" w:rsidRPr="00303008" w:rsidRDefault="007C5D2A" w:rsidP="00841631">
      <w:pPr>
        <w:tabs>
          <w:tab w:val="left" w:pos="851"/>
        </w:tabs>
        <w:ind w:left="851"/>
        <w:rPr>
          <w:sz w:val="24"/>
          <w:szCs w:val="24"/>
          <w:lang w:val="en-GB"/>
        </w:rPr>
      </w:pPr>
    </w:p>
    <w:p w14:paraId="5A70DEAA" w14:textId="77777777" w:rsidR="007C5D2A" w:rsidRPr="00303008" w:rsidRDefault="007C5D2A" w:rsidP="00841631">
      <w:pPr>
        <w:tabs>
          <w:tab w:val="left" w:pos="851"/>
        </w:tabs>
        <w:rPr>
          <w:sz w:val="24"/>
          <w:szCs w:val="24"/>
          <w:lang w:val="en-GB"/>
        </w:rPr>
      </w:pPr>
      <w:r w:rsidRPr="00303008">
        <w:rPr>
          <w:b/>
          <w:sz w:val="24"/>
          <w:szCs w:val="24"/>
          <w:lang w:val="en-GB"/>
        </w:rPr>
        <w:t>10.</w:t>
      </w:r>
      <w:r w:rsidRPr="00303008">
        <w:rPr>
          <w:b/>
          <w:sz w:val="24"/>
          <w:szCs w:val="24"/>
          <w:lang w:val="en-GB"/>
        </w:rPr>
        <w:tab/>
        <w:t>DATE OF REVISION OF THE TEXT</w:t>
      </w:r>
    </w:p>
    <w:p w14:paraId="371B182B" w14:textId="3CC5926C" w:rsidR="007C5D2A" w:rsidRPr="00303008" w:rsidRDefault="00586336" w:rsidP="00586336">
      <w:pPr>
        <w:tabs>
          <w:tab w:val="left" w:pos="851"/>
        </w:tabs>
        <w:ind w:left="851"/>
        <w:rPr>
          <w:sz w:val="24"/>
          <w:szCs w:val="24"/>
          <w:lang w:val="en-GB"/>
        </w:rPr>
      </w:pPr>
      <w:r w:rsidRPr="00586336">
        <w:rPr>
          <w:sz w:val="24"/>
          <w:szCs w:val="24"/>
          <w:lang w:val="en-GB"/>
        </w:rPr>
        <w:t>2</w:t>
      </w:r>
      <w:r w:rsidR="00F70B53">
        <w:rPr>
          <w:sz w:val="24"/>
          <w:szCs w:val="24"/>
          <w:lang w:val="en-GB"/>
        </w:rPr>
        <w:t>1</w:t>
      </w:r>
      <w:r w:rsidRPr="00586336">
        <w:rPr>
          <w:sz w:val="24"/>
          <w:szCs w:val="24"/>
          <w:lang w:val="en-GB"/>
        </w:rPr>
        <w:t xml:space="preserve"> March 2024</w:t>
      </w:r>
      <w:bookmarkStart w:id="7" w:name="_GoBack"/>
      <w:bookmarkEnd w:id="7"/>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4E106" w14:textId="77777777" w:rsidR="006B352E" w:rsidRDefault="006B352E">
      <w:r>
        <w:separator/>
      </w:r>
    </w:p>
  </w:endnote>
  <w:endnote w:type="continuationSeparator" w:id="0">
    <w:p w14:paraId="0D320F2F" w14:textId="77777777" w:rsidR="006B352E" w:rsidRDefault="006B3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FE61E" w14:textId="77777777" w:rsidR="006B352E" w:rsidRDefault="006B352E">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28C21" w14:textId="77777777" w:rsidR="006B352E" w:rsidRDefault="006B352E">
    <w:pPr>
      <w:pStyle w:val="Sidefod"/>
      <w:pBdr>
        <w:bottom w:val="single" w:sz="6" w:space="1" w:color="auto"/>
      </w:pBdr>
    </w:pPr>
  </w:p>
  <w:p w14:paraId="10468FC7" w14:textId="77777777" w:rsidR="006B352E" w:rsidRDefault="006B352E">
    <w:pPr>
      <w:pStyle w:val="Sidefod"/>
      <w:tabs>
        <w:tab w:val="clear" w:pos="4819"/>
        <w:tab w:val="left" w:pos="8647"/>
      </w:tabs>
      <w:rPr>
        <w:i/>
        <w:snapToGrid w:val="0"/>
        <w:sz w:val="18"/>
      </w:rPr>
    </w:pPr>
  </w:p>
  <w:p w14:paraId="7E068B33" w14:textId="454F073E" w:rsidR="006B352E" w:rsidRDefault="006B352E"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Cuvitru, injektionsvæske, opløsning 200 mg-ml</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31F73" w14:textId="77777777" w:rsidR="006B352E" w:rsidRDefault="006B352E">
    <w:pPr>
      <w:pStyle w:val="Sidefod"/>
      <w:pBdr>
        <w:bottom w:val="single" w:sz="6" w:space="1" w:color="auto"/>
      </w:pBdr>
      <w:tabs>
        <w:tab w:val="clear" w:pos="4819"/>
        <w:tab w:val="left" w:pos="8789"/>
      </w:tabs>
      <w:rPr>
        <w:i/>
        <w:snapToGrid w:val="0"/>
        <w:sz w:val="18"/>
      </w:rPr>
    </w:pPr>
  </w:p>
  <w:p w14:paraId="773A7A1B" w14:textId="77777777" w:rsidR="006B352E" w:rsidRDefault="006B352E">
    <w:pPr>
      <w:pStyle w:val="Sidefod"/>
      <w:tabs>
        <w:tab w:val="clear" w:pos="4819"/>
        <w:tab w:val="left" w:pos="8789"/>
      </w:tabs>
      <w:rPr>
        <w:i/>
        <w:snapToGrid w:val="0"/>
        <w:sz w:val="18"/>
      </w:rPr>
    </w:pPr>
  </w:p>
  <w:p w14:paraId="196B5D6A" w14:textId="395341D6" w:rsidR="006B352E" w:rsidRDefault="006B352E">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Cuvitru, injektionsvæske, opløsning 200 mg-ml</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1DEE5A" w14:textId="77777777" w:rsidR="006B352E" w:rsidRDefault="006B352E">
      <w:r>
        <w:separator/>
      </w:r>
    </w:p>
  </w:footnote>
  <w:footnote w:type="continuationSeparator" w:id="0">
    <w:p w14:paraId="4AD50AA7" w14:textId="77777777" w:rsidR="006B352E" w:rsidRDefault="006B3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57441" w14:textId="77777777" w:rsidR="006B352E" w:rsidRDefault="006B352E">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608D9A" w14:textId="77777777" w:rsidR="006B352E" w:rsidRDefault="006B352E">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791A6" w14:textId="77777777" w:rsidR="006B352E" w:rsidRDefault="006B352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92B32F4"/>
    <w:multiLevelType w:val="hybridMultilevel"/>
    <w:tmpl w:val="CFF23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D1106AF"/>
    <w:multiLevelType w:val="hybridMultilevel"/>
    <w:tmpl w:val="4D16D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DD15DD3"/>
    <w:multiLevelType w:val="hybridMultilevel"/>
    <w:tmpl w:val="3EFE01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E053A05"/>
    <w:multiLevelType w:val="hybridMultilevel"/>
    <w:tmpl w:val="0D000F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7"/>
  </w:num>
  <w:num w:numId="4">
    <w:abstractNumId w:val="1"/>
  </w:num>
  <w:num w:numId="5">
    <w:abstractNumId w:val="4"/>
  </w:num>
  <w:num w:numId="6">
    <w:abstractNumId w:val="5"/>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7B8"/>
    <w:rsid w:val="00011072"/>
    <w:rsid w:val="0002473A"/>
    <w:rsid w:val="000332FA"/>
    <w:rsid w:val="00035643"/>
    <w:rsid w:val="00056601"/>
    <w:rsid w:val="000C3846"/>
    <w:rsid w:val="000C6218"/>
    <w:rsid w:val="000D3C9D"/>
    <w:rsid w:val="000F0D47"/>
    <w:rsid w:val="000F12D3"/>
    <w:rsid w:val="001242DE"/>
    <w:rsid w:val="00137DC5"/>
    <w:rsid w:val="0016430E"/>
    <w:rsid w:val="00180A12"/>
    <w:rsid w:val="001F59B5"/>
    <w:rsid w:val="00214331"/>
    <w:rsid w:val="00214CF4"/>
    <w:rsid w:val="00281F03"/>
    <w:rsid w:val="0029458A"/>
    <w:rsid w:val="002A1587"/>
    <w:rsid w:val="002B27C5"/>
    <w:rsid w:val="002F6D9C"/>
    <w:rsid w:val="002F7E2A"/>
    <w:rsid w:val="00303008"/>
    <w:rsid w:val="003357B8"/>
    <w:rsid w:val="00373B55"/>
    <w:rsid w:val="003D1261"/>
    <w:rsid w:val="003D727E"/>
    <w:rsid w:val="003E0341"/>
    <w:rsid w:val="003E3402"/>
    <w:rsid w:val="003F4736"/>
    <w:rsid w:val="00401B49"/>
    <w:rsid w:val="00420B6E"/>
    <w:rsid w:val="0042292D"/>
    <w:rsid w:val="00437D5B"/>
    <w:rsid w:val="00440254"/>
    <w:rsid w:val="004860D3"/>
    <w:rsid w:val="004A3BF4"/>
    <w:rsid w:val="004A5DB3"/>
    <w:rsid w:val="004F6299"/>
    <w:rsid w:val="005152D9"/>
    <w:rsid w:val="00533AD4"/>
    <w:rsid w:val="00534849"/>
    <w:rsid w:val="00560102"/>
    <w:rsid w:val="005610F7"/>
    <w:rsid w:val="00562EA1"/>
    <w:rsid w:val="00564539"/>
    <w:rsid w:val="00586336"/>
    <w:rsid w:val="005A498B"/>
    <w:rsid w:val="00617BB8"/>
    <w:rsid w:val="006207FF"/>
    <w:rsid w:val="006244D0"/>
    <w:rsid w:val="00680052"/>
    <w:rsid w:val="00683267"/>
    <w:rsid w:val="006844E9"/>
    <w:rsid w:val="006A1752"/>
    <w:rsid w:val="006B352E"/>
    <w:rsid w:val="006B3847"/>
    <w:rsid w:val="006B7D0E"/>
    <w:rsid w:val="006F1584"/>
    <w:rsid w:val="007361B4"/>
    <w:rsid w:val="00746ADB"/>
    <w:rsid w:val="0075453D"/>
    <w:rsid w:val="007A4CC6"/>
    <w:rsid w:val="007C3623"/>
    <w:rsid w:val="007C5D2A"/>
    <w:rsid w:val="007F1E00"/>
    <w:rsid w:val="00827444"/>
    <w:rsid w:val="00836BC4"/>
    <w:rsid w:val="008400E3"/>
    <w:rsid w:val="00841631"/>
    <w:rsid w:val="00850B1A"/>
    <w:rsid w:val="00853097"/>
    <w:rsid w:val="00864538"/>
    <w:rsid w:val="00873B4F"/>
    <w:rsid w:val="008A24F6"/>
    <w:rsid w:val="008C3B3C"/>
    <w:rsid w:val="008E51AE"/>
    <w:rsid w:val="008F2F8C"/>
    <w:rsid w:val="00976997"/>
    <w:rsid w:val="009925C9"/>
    <w:rsid w:val="00A179D0"/>
    <w:rsid w:val="00A252EF"/>
    <w:rsid w:val="00A358A3"/>
    <w:rsid w:val="00A4615A"/>
    <w:rsid w:val="00A46747"/>
    <w:rsid w:val="00A54B48"/>
    <w:rsid w:val="00A80446"/>
    <w:rsid w:val="00A85D26"/>
    <w:rsid w:val="00A9153A"/>
    <w:rsid w:val="00AB4376"/>
    <w:rsid w:val="00AC033C"/>
    <w:rsid w:val="00AD2E36"/>
    <w:rsid w:val="00B07FD7"/>
    <w:rsid w:val="00B45DC5"/>
    <w:rsid w:val="00BD3490"/>
    <w:rsid w:val="00C26226"/>
    <w:rsid w:val="00C3571D"/>
    <w:rsid w:val="00C42153"/>
    <w:rsid w:val="00C54F0B"/>
    <w:rsid w:val="00C82621"/>
    <w:rsid w:val="00CB1423"/>
    <w:rsid w:val="00D02508"/>
    <w:rsid w:val="00D778CC"/>
    <w:rsid w:val="00D80973"/>
    <w:rsid w:val="00D82FE9"/>
    <w:rsid w:val="00D97B77"/>
    <w:rsid w:val="00DB045D"/>
    <w:rsid w:val="00DB6A85"/>
    <w:rsid w:val="00DD1C29"/>
    <w:rsid w:val="00DF57DE"/>
    <w:rsid w:val="00E06B32"/>
    <w:rsid w:val="00E1290F"/>
    <w:rsid w:val="00E36A80"/>
    <w:rsid w:val="00EB21D7"/>
    <w:rsid w:val="00EE3EB7"/>
    <w:rsid w:val="00F57E16"/>
    <w:rsid w:val="00F60336"/>
    <w:rsid w:val="00F70B53"/>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F4D965"/>
  <w15:chartTrackingRefBased/>
  <w15:docId w15:val="{E411A40E-FF53-4939-830A-309649B8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6B352E"/>
    <w:rPr>
      <w:color w:val="0000FF"/>
      <w:u w:val="single"/>
    </w:rPr>
  </w:style>
  <w:style w:type="paragraph" w:styleId="Billedtekst">
    <w:name w:val="caption"/>
    <w:basedOn w:val="Normal"/>
    <w:next w:val="Normal"/>
    <w:semiHidden/>
    <w:unhideWhenUsed/>
    <w:qFormat/>
    <w:rsid w:val="006B352E"/>
    <w:pPr>
      <w:tabs>
        <w:tab w:val="left" w:pos="567"/>
      </w:tabs>
      <w:spacing w:line="260" w:lineRule="exact"/>
    </w:pPr>
    <w:rPr>
      <w:b/>
      <w:bCs/>
      <w:sz w:val="20"/>
      <w:lang w:val="en-GB" w:eastAsia="en-US"/>
    </w:rPr>
  </w:style>
  <w:style w:type="paragraph" w:styleId="Listeafsnit">
    <w:name w:val="List Paragraph"/>
    <w:basedOn w:val="Normal"/>
    <w:uiPriority w:val="34"/>
    <w:qFormat/>
    <w:rsid w:val="00586336"/>
    <w:pPr>
      <w:ind w:left="720"/>
      <w:contextualSpacing/>
    </w:pPr>
    <w:rPr>
      <w:sz w:val="22"/>
      <w:lang w:val="en-GB" w:eastAsia="en-US"/>
    </w:rPr>
  </w:style>
  <w:style w:type="character" w:customStyle="1" w:styleId="normaltextrun">
    <w:name w:val="normaltextrun"/>
    <w:basedOn w:val="Standardskrifttypeiafsnit"/>
    <w:rsid w:val="00586336"/>
  </w:style>
  <w:style w:type="character" w:customStyle="1" w:styleId="eop">
    <w:name w:val="eop"/>
    <w:basedOn w:val="Standardskrifttypeiafsnit"/>
    <w:rsid w:val="00586336"/>
  </w:style>
  <w:style w:type="paragraph" w:customStyle="1" w:styleId="TableHead">
    <w:name w:val="Table Head"/>
    <w:rsid w:val="00836BC4"/>
    <w:pPr>
      <w:spacing w:before="60" w:after="60"/>
      <w:jc w:val="center"/>
    </w:pPr>
    <w:rPr>
      <w:rFonts w:eastAsia="MS Mincho"/>
      <w:b/>
      <w:bCs/>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577">
      <w:bodyDiv w:val="1"/>
      <w:marLeft w:val="0"/>
      <w:marRight w:val="0"/>
      <w:marTop w:val="0"/>
      <w:marBottom w:val="0"/>
      <w:divBdr>
        <w:top w:val="none" w:sz="0" w:space="0" w:color="auto"/>
        <w:left w:val="none" w:sz="0" w:space="0" w:color="auto"/>
        <w:bottom w:val="none" w:sz="0" w:space="0" w:color="auto"/>
        <w:right w:val="none" w:sz="0" w:space="0" w:color="auto"/>
      </w:divBdr>
    </w:div>
    <w:div w:id="108163806">
      <w:bodyDiv w:val="1"/>
      <w:marLeft w:val="0"/>
      <w:marRight w:val="0"/>
      <w:marTop w:val="0"/>
      <w:marBottom w:val="0"/>
      <w:divBdr>
        <w:top w:val="none" w:sz="0" w:space="0" w:color="auto"/>
        <w:left w:val="none" w:sz="0" w:space="0" w:color="auto"/>
        <w:bottom w:val="none" w:sz="0" w:space="0" w:color="auto"/>
        <w:right w:val="none" w:sz="0" w:space="0" w:color="auto"/>
      </w:divBdr>
    </w:div>
    <w:div w:id="193270096">
      <w:bodyDiv w:val="1"/>
      <w:marLeft w:val="0"/>
      <w:marRight w:val="0"/>
      <w:marTop w:val="0"/>
      <w:marBottom w:val="0"/>
      <w:divBdr>
        <w:top w:val="none" w:sz="0" w:space="0" w:color="auto"/>
        <w:left w:val="none" w:sz="0" w:space="0" w:color="auto"/>
        <w:bottom w:val="none" w:sz="0" w:space="0" w:color="auto"/>
        <w:right w:val="none" w:sz="0" w:space="0" w:color="auto"/>
      </w:divBdr>
    </w:div>
    <w:div w:id="358971015">
      <w:bodyDiv w:val="1"/>
      <w:marLeft w:val="0"/>
      <w:marRight w:val="0"/>
      <w:marTop w:val="0"/>
      <w:marBottom w:val="0"/>
      <w:divBdr>
        <w:top w:val="none" w:sz="0" w:space="0" w:color="auto"/>
        <w:left w:val="none" w:sz="0" w:space="0" w:color="auto"/>
        <w:bottom w:val="none" w:sz="0" w:space="0" w:color="auto"/>
        <w:right w:val="none" w:sz="0" w:space="0" w:color="auto"/>
      </w:divBdr>
    </w:div>
    <w:div w:id="488209076">
      <w:bodyDiv w:val="1"/>
      <w:marLeft w:val="0"/>
      <w:marRight w:val="0"/>
      <w:marTop w:val="0"/>
      <w:marBottom w:val="0"/>
      <w:divBdr>
        <w:top w:val="none" w:sz="0" w:space="0" w:color="auto"/>
        <w:left w:val="none" w:sz="0" w:space="0" w:color="auto"/>
        <w:bottom w:val="none" w:sz="0" w:space="0" w:color="auto"/>
        <w:right w:val="none" w:sz="0" w:space="0" w:color="auto"/>
      </w:divBdr>
    </w:div>
    <w:div w:id="517354860">
      <w:bodyDiv w:val="1"/>
      <w:marLeft w:val="0"/>
      <w:marRight w:val="0"/>
      <w:marTop w:val="0"/>
      <w:marBottom w:val="0"/>
      <w:divBdr>
        <w:top w:val="none" w:sz="0" w:space="0" w:color="auto"/>
        <w:left w:val="none" w:sz="0" w:space="0" w:color="auto"/>
        <w:bottom w:val="none" w:sz="0" w:space="0" w:color="auto"/>
        <w:right w:val="none" w:sz="0" w:space="0" w:color="auto"/>
      </w:divBdr>
    </w:div>
    <w:div w:id="572475992">
      <w:bodyDiv w:val="1"/>
      <w:marLeft w:val="0"/>
      <w:marRight w:val="0"/>
      <w:marTop w:val="0"/>
      <w:marBottom w:val="0"/>
      <w:divBdr>
        <w:top w:val="none" w:sz="0" w:space="0" w:color="auto"/>
        <w:left w:val="none" w:sz="0" w:space="0" w:color="auto"/>
        <w:bottom w:val="none" w:sz="0" w:space="0" w:color="auto"/>
        <w:right w:val="none" w:sz="0" w:space="0" w:color="auto"/>
      </w:divBdr>
    </w:div>
    <w:div w:id="575407010">
      <w:bodyDiv w:val="1"/>
      <w:marLeft w:val="0"/>
      <w:marRight w:val="0"/>
      <w:marTop w:val="0"/>
      <w:marBottom w:val="0"/>
      <w:divBdr>
        <w:top w:val="none" w:sz="0" w:space="0" w:color="auto"/>
        <w:left w:val="none" w:sz="0" w:space="0" w:color="auto"/>
        <w:bottom w:val="none" w:sz="0" w:space="0" w:color="auto"/>
        <w:right w:val="none" w:sz="0" w:space="0" w:color="auto"/>
      </w:divBdr>
    </w:div>
    <w:div w:id="582105962">
      <w:bodyDiv w:val="1"/>
      <w:marLeft w:val="0"/>
      <w:marRight w:val="0"/>
      <w:marTop w:val="0"/>
      <w:marBottom w:val="0"/>
      <w:divBdr>
        <w:top w:val="none" w:sz="0" w:space="0" w:color="auto"/>
        <w:left w:val="none" w:sz="0" w:space="0" w:color="auto"/>
        <w:bottom w:val="none" w:sz="0" w:space="0" w:color="auto"/>
        <w:right w:val="none" w:sz="0" w:space="0" w:color="auto"/>
      </w:divBdr>
    </w:div>
    <w:div w:id="601231941">
      <w:bodyDiv w:val="1"/>
      <w:marLeft w:val="0"/>
      <w:marRight w:val="0"/>
      <w:marTop w:val="0"/>
      <w:marBottom w:val="0"/>
      <w:divBdr>
        <w:top w:val="none" w:sz="0" w:space="0" w:color="auto"/>
        <w:left w:val="none" w:sz="0" w:space="0" w:color="auto"/>
        <w:bottom w:val="none" w:sz="0" w:space="0" w:color="auto"/>
        <w:right w:val="none" w:sz="0" w:space="0" w:color="auto"/>
      </w:divBdr>
    </w:div>
    <w:div w:id="618493703">
      <w:bodyDiv w:val="1"/>
      <w:marLeft w:val="0"/>
      <w:marRight w:val="0"/>
      <w:marTop w:val="0"/>
      <w:marBottom w:val="0"/>
      <w:divBdr>
        <w:top w:val="none" w:sz="0" w:space="0" w:color="auto"/>
        <w:left w:val="none" w:sz="0" w:space="0" w:color="auto"/>
        <w:bottom w:val="none" w:sz="0" w:space="0" w:color="auto"/>
        <w:right w:val="none" w:sz="0" w:space="0" w:color="auto"/>
      </w:divBdr>
    </w:div>
    <w:div w:id="759134936">
      <w:bodyDiv w:val="1"/>
      <w:marLeft w:val="0"/>
      <w:marRight w:val="0"/>
      <w:marTop w:val="0"/>
      <w:marBottom w:val="0"/>
      <w:divBdr>
        <w:top w:val="none" w:sz="0" w:space="0" w:color="auto"/>
        <w:left w:val="none" w:sz="0" w:space="0" w:color="auto"/>
        <w:bottom w:val="none" w:sz="0" w:space="0" w:color="auto"/>
        <w:right w:val="none" w:sz="0" w:space="0" w:color="auto"/>
      </w:divBdr>
    </w:div>
    <w:div w:id="828865108">
      <w:bodyDiv w:val="1"/>
      <w:marLeft w:val="0"/>
      <w:marRight w:val="0"/>
      <w:marTop w:val="0"/>
      <w:marBottom w:val="0"/>
      <w:divBdr>
        <w:top w:val="none" w:sz="0" w:space="0" w:color="auto"/>
        <w:left w:val="none" w:sz="0" w:space="0" w:color="auto"/>
        <w:bottom w:val="none" w:sz="0" w:space="0" w:color="auto"/>
        <w:right w:val="none" w:sz="0" w:space="0" w:color="auto"/>
      </w:divBdr>
    </w:div>
    <w:div w:id="836923891">
      <w:bodyDiv w:val="1"/>
      <w:marLeft w:val="0"/>
      <w:marRight w:val="0"/>
      <w:marTop w:val="0"/>
      <w:marBottom w:val="0"/>
      <w:divBdr>
        <w:top w:val="none" w:sz="0" w:space="0" w:color="auto"/>
        <w:left w:val="none" w:sz="0" w:space="0" w:color="auto"/>
        <w:bottom w:val="none" w:sz="0" w:space="0" w:color="auto"/>
        <w:right w:val="none" w:sz="0" w:space="0" w:color="auto"/>
      </w:divBdr>
    </w:div>
    <w:div w:id="859471456">
      <w:bodyDiv w:val="1"/>
      <w:marLeft w:val="0"/>
      <w:marRight w:val="0"/>
      <w:marTop w:val="0"/>
      <w:marBottom w:val="0"/>
      <w:divBdr>
        <w:top w:val="none" w:sz="0" w:space="0" w:color="auto"/>
        <w:left w:val="none" w:sz="0" w:space="0" w:color="auto"/>
        <w:bottom w:val="none" w:sz="0" w:space="0" w:color="auto"/>
        <w:right w:val="none" w:sz="0" w:space="0" w:color="auto"/>
      </w:divBdr>
    </w:div>
    <w:div w:id="899169377">
      <w:bodyDiv w:val="1"/>
      <w:marLeft w:val="0"/>
      <w:marRight w:val="0"/>
      <w:marTop w:val="0"/>
      <w:marBottom w:val="0"/>
      <w:divBdr>
        <w:top w:val="none" w:sz="0" w:space="0" w:color="auto"/>
        <w:left w:val="none" w:sz="0" w:space="0" w:color="auto"/>
        <w:bottom w:val="none" w:sz="0" w:space="0" w:color="auto"/>
        <w:right w:val="none" w:sz="0" w:space="0" w:color="auto"/>
      </w:divBdr>
    </w:div>
    <w:div w:id="970214274">
      <w:bodyDiv w:val="1"/>
      <w:marLeft w:val="0"/>
      <w:marRight w:val="0"/>
      <w:marTop w:val="0"/>
      <w:marBottom w:val="0"/>
      <w:divBdr>
        <w:top w:val="none" w:sz="0" w:space="0" w:color="auto"/>
        <w:left w:val="none" w:sz="0" w:space="0" w:color="auto"/>
        <w:bottom w:val="none" w:sz="0" w:space="0" w:color="auto"/>
        <w:right w:val="none" w:sz="0" w:space="0" w:color="auto"/>
      </w:divBdr>
    </w:div>
    <w:div w:id="987131011">
      <w:bodyDiv w:val="1"/>
      <w:marLeft w:val="0"/>
      <w:marRight w:val="0"/>
      <w:marTop w:val="0"/>
      <w:marBottom w:val="0"/>
      <w:divBdr>
        <w:top w:val="none" w:sz="0" w:space="0" w:color="auto"/>
        <w:left w:val="none" w:sz="0" w:space="0" w:color="auto"/>
        <w:bottom w:val="none" w:sz="0" w:space="0" w:color="auto"/>
        <w:right w:val="none" w:sz="0" w:space="0" w:color="auto"/>
      </w:divBdr>
    </w:div>
    <w:div w:id="1007364744">
      <w:bodyDiv w:val="1"/>
      <w:marLeft w:val="0"/>
      <w:marRight w:val="0"/>
      <w:marTop w:val="0"/>
      <w:marBottom w:val="0"/>
      <w:divBdr>
        <w:top w:val="none" w:sz="0" w:space="0" w:color="auto"/>
        <w:left w:val="none" w:sz="0" w:space="0" w:color="auto"/>
        <w:bottom w:val="none" w:sz="0" w:space="0" w:color="auto"/>
        <w:right w:val="none" w:sz="0" w:space="0" w:color="auto"/>
      </w:divBdr>
    </w:div>
    <w:div w:id="1078597686">
      <w:bodyDiv w:val="1"/>
      <w:marLeft w:val="0"/>
      <w:marRight w:val="0"/>
      <w:marTop w:val="0"/>
      <w:marBottom w:val="0"/>
      <w:divBdr>
        <w:top w:val="none" w:sz="0" w:space="0" w:color="auto"/>
        <w:left w:val="none" w:sz="0" w:space="0" w:color="auto"/>
        <w:bottom w:val="none" w:sz="0" w:space="0" w:color="auto"/>
        <w:right w:val="none" w:sz="0" w:space="0" w:color="auto"/>
      </w:divBdr>
    </w:div>
    <w:div w:id="1109088099">
      <w:bodyDiv w:val="1"/>
      <w:marLeft w:val="0"/>
      <w:marRight w:val="0"/>
      <w:marTop w:val="0"/>
      <w:marBottom w:val="0"/>
      <w:divBdr>
        <w:top w:val="none" w:sz="0" w:space="0" w:color="auto"/>
        <w:left w:val="none" w:sz="0" w:space="0" w:color="auto"/>
        <w:bottom w:val="none" w:sz="0" w:space="0" w:color="auto"/>
        <w:right w:val="none" w:sz="0" w:space="0" w:color="auto"/>
      </w:divBdr>
    </w:div>
    <w:div w:id="1206869683">
      <w:bodyDiv w:val="1"/>
      <w:marLeft w:val="0"/>
      <w:marRight w:val="0"/>
      <w:marTop w:val="0"/>
      <w:marBottom w:val="0"/>
      <w:divBdr>
        <w:top w:val="none" w:sz="0" w:space="0" w:color="auto"/>
        <w:left w:val="none" w:sz="0" w:space="0" w:color="auto"/>
        <w:bottom w:val="none" w:sz="0" w:space="0" w:color="auto"/>
        <w:right w:val="none" w:sz="0" w:space="0" w:color="auto"/>
      </w:divBdr>
    </w:div>
    <w:div w:id="1261914279">
      <w:bodyDiv w:val="1"/>
      <w:marLeft w:val="0"/>
      <w:marRight w:val="0"/>
      <w:marTop w:val="0"/>
      <w:marBottom w:val="0"/>
      <w:divBdr>
        <w:top w:val="none" w:sz="0" w:space="0" w:color="auto"/>
        <w:left w:val="none" w:sz="0" w:space="0" w:color="auto"/>
        <w:bottom w:val="none" w:sz="0" w:space="0" w:color="auto"/>
        <w:right w:val="none" w:sz="0" w:space="0" w:color="auto"/>
      </w:divBdr>
    </w:div>
    <w:div w:id="1303003842">
      <w:bodyDiv w:val="1"/>
      <w:marLeft w:val="0"/>
      <w:marRight w:val="0"/>
      <w:marTop w:val="0"/>
      <w:marBottom w:val="0"/>
      <w:divBdr>
        <w:top w:val="none" w:sz="0" w:space="0" w:color="auto"/>
        <w:left w:val="none" w:sz="0" w:space="0" w:color="auto"/>
        <w:bottom w:val="none" w:sz="0" w:space="0" w:color="auto"/>
        <w:right w:val="none" w:sz="0" w:space="0" w:color="auto"/>
      </w:divBdr>
    </w:div>
    <w:div w:id="1320501106">
      <w:bodyDiv w:val="1"/>
      <w:marLeft w:val="0"/>
      <w:marRight w:val="0"/>
      <w:marTop w:val="0"/>
      <w:marBottom w:val="0"/>
      <w:divBdr>
        <w:top w:val="none" w:sz="0" w:space="0" w:color="auto"/>
        <w:left w:val="none" w:sz="0" w:space="0" w:color="auto"/>
        <w:bottom w:val="none" w:sz="0" w:space="0" w:color="auto"/>
        <w:right w:val="none" w:sz="0" w:space="0" w:color="auto"/>
      </w:divBdr>
    </w:div>
    <w:div w:id="1320622468">
      <w:bodyDiv w:val="1"/>
      <w:marLeft w:val="0"/>
      <w:marRight w:val="0"/>
      <w:marTop w:val="0"/>
      <w:marBottom w:val="0"/>
      <w:divBdr>
        <w:top w:val="none" w:sz="0" w:space="0" w:color="auto"/>
        <w:left w:val="none" w:sz="0" w:space="0" w:color="auto"/>
        <w:bottom w:val="none" w:sz="0" w:space="0" w:color="auto"/>
        <w:right w:val="none" w:sz="0" w:space="0" w:color="auto"/>
      </w:divBdr>
    </w:div>
    <w:div w:id="1333951533">
      <w:bodyDiv w:val="1"/>
      <w:marLeft w:val="0"/>
      <w:marRight w:val="0"/>
      <w:marTop w:val="0"/>
      <w:marBottom w:val="0"/>
      <w:divBdr>
        <w:top w:val="none" w:sz="0" w:space="0" w:color="auto"/>
        <w:left w:val="none" w:sz="0" w:space="0" w:color="auto"/>
        <w:bottom w:val="none" w:sz="0" w:space="0" w:color="auto"/>
        <w:right w:val="none" w:sz="0" w:space="0" w:color="auto"/>
      </w:divBdr>
    </w:div>
    <w:div w:id="1347831047">
      <w:bodyDiv w:val="1"/>
      <w:marLeft w:val="0"/>
      <w:marRight w:val="0"/>
      <w:marTop w:val="0"/>
      <w:marBottom w:val="0"/>
      <w:divBdr>
        <w:top w:val="none" w:sz="0" w:space="0" w:color="auto"/>
        <w:left w:val="none" w:sz="0" w:space="0" w:color="auto"/>
        <w:bottom w:val="none" w:sz="0" w:space="0" w:color="auto"/>
        <w:right w:val="none" w:sz="0" w:space="0" w:color="auto"/>
      </w:divBdr>
    </w:div>
    <w:div w:id="1365642711">
      <w:bodyDiv w:val="1"/>
      <w:marLeft w:val="0"/>
      <w:marRight w:val="0"/>
      <w:marTop w:val="0"/>
      <w:marBottom w:val="0"/>
      <w:divBdr>
        <w:top w:val="none" w:sz="0" w:space="0" w:color="auto"/>
        <w:left w:val="none" w:sz="0" w:space="0" w:color="auto"/>
        <w:bottom w:val="none" w:sz="0" w:space="0" w:color="auto"/>
        <w:right w:val="none" w:sz="0" w:space="0" w:color="auto"/>
      </w:divBdr>
    </w:div>
    <w:div w:id="1380200754">
      <w:bodyDiv w:val="1"/>
      <w:marLeft w:val="0"/>
      <w:marRight w:val="0"/>
      <w:marTop w:val="0"/>
      <w:marBottom w:val="0"/>
      <w:divBdr>
        <w:top w:val="none" w:sz="0" w:space="0" w:color="auto"/>
        <w:left w:val="none" w:sz="0" w:space="0" w:color="auto"/>
        <w:bottom w:val="none" w:sz="0" w:space="0" w:color="auto"/>
        <w:right w:val="none" w:sz="0" w:space="0" w:color="auto"/>
      </w:divBdr>
    </w:div>
    <w:div w:id="1383753551">
      <w:bodyDiv w:val="1"/>
      <w:marLeft w:val="0"/>
      <w:marRight w:val="0"/>
      <w:marTop w:val="0"/>
      <w:marBottom w:val="0"/>
      <w:divBdr>
        <w:top w:val="none" w:sz="0" w:space="0" w:color="auto"/>
        <w:left w:val="none" w:sz="0" w:space="0" w:color="auto"/>
        <w:bottom w:val="none" w:sz="0" w:space="0" w:color="auto"/>
        <w:right w:val="none" w:sz="0" w:space="0" w:color="auto"/>
      </w:divBdr>
    </w:div>
    <w:div w:id="1412503534">
      <w:bodyDiv w:val="1"/>
      <w:marLeft w:val="0"/>
      <w:marRight w:val="0"/>
      <w:marTop w:val="0"/>
      <w:marBottom w:val="0"/>
      <w:divBdr>
        <w:top w:val="none" w:sz="0" w:space="0" w:color="auto"/>
        <w:left w:val="none" w:sz="0" w:space="0" w:color="auto"/>
        <w:bottom w:val="none" w:sz="0" w:space="0" w:color="auto"/>
        <w:right w:val="none" w:sz="0" w:space="0" w:color="auto"/>
      </w:divBdr>
    </w:div>
    <w:div w:id="1503275548">
      <w:bodyDiv w:val="1"/>
      <w:marLeft w:val="0"/>
      <w:marRight w:val="0"/>
      <w:marTop w:val="0"/>
      <w:marBottom w:val="0"/>
      <w:divBdr>
        <w:top w:val="none" w:sz="0" w:space="0" w:color="auto"/>
        <w:left w:val="none" w:sz="0" w:space="0" w:color="auto"/>
        <w:bottom w:val="none" w:sz="0" w:space="0" w:color="auto"/>
        <w:right w:val="none" w:sz="0" w:space="0" w:color="auto"/>
      </w:divBdr>
    </w:div>
    <w:div w:id="1516840335">
      <w:bodyDiv w:val="1"/>
      <w:marLeft w:val="0"/>
      <w:marRight w:val="0"/>
      <w:marTop w:val="0"/>
      <w:marBottom w:val="0"/>
      <w:divBdr>
        <w:top w:val="none" w:sz="0" w:space="0" w:color="auto"/>
        <w:left w:val="none" w:sz="0" w:space="0" w:color="auto"/>
        <w:bottom w:val="none" w:sz="0" w:space="0" w:color="auto"/>
        <w:right w:val="none" w:sz="0" w:space="0" w:color="auto"/>
      </w:divBdr>
    </w:div>
    <w:div w:id="1567957435">
      <w:bodyDiv w:val="1"/>
      <w:marLeft w:val="0"/>
      <w:marRight w:val="0"/>
      <w:marTop w:val="0"/>
      <w:marBottom w:val="0"/>
      <w:divBdr>
        <w:top w:val="none" w:sz="0" w:space="0" w:color="auto"/>
        <w:left w:val="none" w:sz="0" w:space="0" w:color="auto"/>
        <w:bottom w:val="none" w:sz="0" w:space="0" w:color="auto"/>
        <w:right w:val="none" w:sz="0" w:space="0" w:color="auto"/>
      </w:divBdr>
    </w:div>
    <w:div w:id="1708991603">
      <w:bodyDiv w:val="1"/>
      <w:marLeft w:val="0"/>
      <w:marRight w:val="0"/>
      <w:marTop w:val="0"/>
      <w:marBottom w:val="0"/>
      <w:divBdr>
        <w:top w:val="none" w:sz="0" w:space="0" w:color="auto"/>
        <w:left w:val="none" w:sz="0" w:space="0" w:color="auto"/>
        <w:bottom w:val="none" w:sz="0" w:space="0" w:color="auto"/>
        <w:right w:val="none" w:sz="0" w:space="0" w:color="auto"/>
      </w:divBdr>
    </w:div>
    <w:div w:id="1741051572">
      <w:bodyDiv w:val="1"/>
      <w:marLeft w:val="0"/>
      <w:marRight w:val="0"/>
      <w:marTop w:val="0"/>
      <w:marBottom w:val="0"/>
      <w:divBdr>
        <w:top w:val="none" w:sz="0" w:space="0" w:color="auto"/>
        <w:left w:val="none" w:sz="0" w:space="0" w:color="auto"/>
        <w:bottom w:val="none" w:sz="0" w:space="0" w:color="auto"/>
        <w:right w:val="none" w:sz="0" w:space="0" w:color="auto"/>
      </w:divBdr>
    </w:div>
    <w:div w:id="1752433403">
      <w:bodyDiv w:val="1"/>
      <w:marLeft w:val="0"/>
      <w:marRight w:val="0"/>
      <w:marTop w:val="0"/>
      <w:marBottom w:val="0"/>
      <w:divBdr>
        <w:top w:val="none" w:sz="0" w:space="0" w:color="auto"/>
        <w:left w:val="none" w:sz="0" w:space="0" w:color="auto"/>
        <w:bottom w:val="none" w:sz="0" w:space="0" w:color="auto"/>
        <w:right w:val="none" w:sz="0" w:space="0" w:color="auto"/>
      </w:divBdr>
    </w:div>
    <w:div w:id="1770658151">
      <w:bodyDiv w:val="1"/>
      <w:marLeft w:val="0"/>
      <w:marRight w:val="0"/>
      <w:marTop w:val="0"/>
      <w:marBottom w:val="0"/>
      <w:divBdr>
        <w:top w:val="none" w:sz="0" w:space="0" w:color="auto"/>
        <w:left w:val="none" w:sz="0" w:space="0" w:color="auto"/>
        <w:bottom w:val="none" w:sz="0" w:space="0" w:color="auto"/>
        <w:right w:val="none" w:sz="0" w:space="0" w:color="auto"/>
      </w:divBdr>
    </w:div>
    <w:div w:id="1816145353">
      <w:bodyDiv w:val="1"/>
      <w:marLeft w:val="0"/>
      <w:marRight w:val="0"/>
      <w:marTop w:val="0"/>
      <w:marBottom w:val="0"/>
      <w:divBdr>
        <w:top w:val="none" w:sz="0" w:space="0" w:color="auto"/>
        <w:left w:val="none" w:sz="0" w:space="0" w:color="auto"/>
        <w:bottom w:val="none" w:sz="0" w:space="0" w:color="auto"/>
        <w:right w:val="none" w:sz="0" w:space="0" w:color="auto"/>
      </w:divBdr>
    </w:div>
    <w:div w:id="1851604312">
      <w:bodyDiv w:val="1"/>
      <w:marLeft w:val="0"/>
      <w:marRight w:val="0"/>
      <w:marTop w:val="0"/>
      <w:marBottom w:val="0"/>
      <w:divBdr>
        <w:top w:val="none" w:sz="0" w:space="0" w:color="auto"/>
        <w:left w:val="none" w:sz="0" w:space="0" w:color="auto"/>
        <w:bottom w:val="none" w:sz="0" w:space="0" w:color="auto"/>
        <w:right w:val="none" w:sz="0" w:space="0" w:color="auto"/>
      </w:divBdr>
    </w:div>
    <w:div w:id="1897083568">
      <w:bodyDiv w:val="1"/>
      <w:marLeft w:val="0"/>
      <w:marRight w:val="0"/>
      <w:marTop w:val="0"/>
      <w:marBottom w:val="0"/>
      <w:divBdr>
        <w:top w:val="none" w:sz="0" w:space="0" w:color="auto"/>
        <w:left w:val="none" w:sz="0" w:space="0" w:color="auto"/>
        <w:bottom w:val="none" w:sz="0" w:space="0" w:color="auto"/>
        <w:right w:val="none" w:sz="0" w:space="0" w:color="auto"/>
      </w:divBdr>
    </w:div>
    <w:div w:id="1996953153">
      <w:bodyDiv w:val="1"/>
      <w:marLeft w:val="0"/>
      <w:marRight w:val="0"/>
      <w:marTop w:val="0"/>
      <w:marBottom w:val="0"/>
      <w:divBdr>
        <w:top w:val="none" w:sz="0" w:space="0" w:color="auto"/>
        <w:left w:val="none" w:sz="0" w:space="0" w:color="auto"/>
        <w:bottom w:val="none" w:sz="0" w:space="0" w:color="auto"/>
        <w:right w:val="none" w:sz="0" w:space="0" w:color="auto"/>
      </w:divBdr>
    </w:div>
    <w:div w:id="20750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Template>
  <TotalTime>15</TotalTime>
  <Pages>13</Pages>
  <Words>4011</Words>
  <Characters>23329</Characters>
  <Application>Microsoft Office Word</Application>
  <DocSecurity>0</DocSecurity>
  <Lines>194</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Becker</dc:creator>
  <cp:keywords/>
  <dc:description>2023073982_x000d_
Pkt. 4.1, 4.2, 4.4</dc:description>
  <cp:lastModifiedBy>Victoria Becker</cp:lastModifiedBy>
  <cp:revision>4</cp:revision>
  <cp:lastPrinted>2006-02-24T09:31:00Z</cp:lastPrinted>
  <dcterms:created xsi:type="dcterms:W3CDTF">2024-03-18T09:37:00Z</dcterms:created>
  <dcterms:modified xsi:type="dcterms:W3CDTF">2024-03-21T10:09:00Z</dcterms:modified>
</cp:coreProperties>
</file>