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04" w:rsidRPr="008F49E1" w:rsidRDefault="00C06704" w:rsidP="00C06704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BC509CB" wp14:editId="21155AA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C06704" w:rsidRPr="00C84483" w:rsidRDefault="00C06704" w:rsidP="00C0670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97818">
        <w:rPr>
          <w:szCs w:val="24"/>
        </w:rPr>
        <w:t>17. november 2021</w:t>
      </w:r>
    </w:p>
    <w:p w:rsidR="00C06704" w:rsidRPr="00C84483" w:rsidRDefault="00C06704" w:rsidP="00C06704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p w:rsidR="00C06704" w:rsidRPr="00C84483" w:rsidRDefault="00C06704" w:rsidP="00C06704">
      <w:pPr>
        <w:pStyle w:val="Titel"/>
        <w:jc w:val="left"/>
        <w:rPr>
          <w:b w:val="0"/>
          <w:szCs w:val="24"/>
        </w:rPr>
      </w:pP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Default="00EB4551" w:rsidP="00EB4551">
      <w:pPr>
        <w:tabs>
          <w:tab w:val="left" w:pos="330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06704" w:rsidRPr="00C84483">
        <w:rPr>
          <w:b/>
          <w:sz w:val="24"/>
          <w:szCs w:val="24"/>
        </w:rPr>
        <w:t>for</w:t>
      </w: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</w:p>
    <w:p w:rsidR="00C06704" w:rsidRPr="00C84483" w:rsidRDefault="00C06704" w:rsidP="00C0670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Cyclogest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vagitorier</w:t>
      </w:r>
      <w:proofErr w:type="spellEnd"/>
      <w:r w:rsidR="008960F6">
        <w:rPr>
          <w:b/>
          <w:sz w:val="24"/>
          <w:szCs w:val="24"/>
        </w:rPr>
        <w:t xml:space="preserve"> (</w:t>
      </w:r>
      <w:proofErr w:type="spellStart"/>
      <w:r w:rsidR="008960F6">
        <w:rPr>
          <w:b/>
          <w:sz w:val="24"/>
          <w:szCs w:val="24"/>
        </w:rPr>
        <w:t>Epione</w:t>
      </w:r>
      <w:proofErr w:type="spellEnd"/>
      <w:r w:rsidR="008960F6">
        <w:rPr>
          <w:b/>
          <w:sz w:val="24"/>
          <w:szCs w:val="24"/>
        </w:rPr>
        <w:t xml:space="preserve"> </w:t>
      </w:r>
      <w:proofErr w:type="spellStart"/>
      <w:r w:rsidR="008960F6">
        <w:rPr>
          <w:b/>
          <w:sz w:val="24"/>
          <w:szCs w:val="24"/>
        </w:rPr>
        <w:t>Medicine</w:t>
      </w:r>
      <w:proofErr w:type="spellEnd"/>
      <w:r w:rsidR="008960F6">
        <w:rPr>
          <w:b/>
          <w:sz w:val="24"/>
          <w:szCs w:val="24"/>
        </w:rPr>
        <w:t>)</w:t>
      </w:r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30158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Cyclogest</w:t>
      </w:r>
      <w:proofErr w:type="spellEnd"/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 xml:space="preserve">Hver </w:t>
      </w:r>
      <w:proofErr w:type="spellStart"/>
      <w:r w:rsidRPr="003B45D1">
        <w:rPr>
          <w:sz w:val="24"/>
          <w:szCs w:val="24"/>
        </w:rPr>
        <w:t>vagitorie</w:t>
      </w:r>
      <w:proofErr w:type="spellEnd"/>
      <w:r w:rsidRPr="003B45D1">
        <w:rPr>
          <w:sz w:val="24"/>
          <w:szCs w:val="24"/>
        </w:rPr>
        <w:t xml:space="preserve"> indeholder 400 mg progesteron.</w:t>
      </w: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3B45D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3B45D1">
        <w:rPr>
          <w:sz w:val="24"/>
          <w:szCs w:val="24"/>
        </w:rPr>
        <w:t>Alle hjælpestofferne er anført under pkt. 6.1.</w:t>
      </w:r>
    </w:p>
    <w:p w:rsidR="00C06704" w:rsidRPr="00C84483" w:rsidRDefault="00C06704" w:rsidP="00C06704">
      <w:pPr>
        <w:tabs>
          <w:tab w:val="left" w:pos="851"/>
        </w:tabs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C06704" w:rsidRPr="004216A6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216A6">
        <w:rPr>
          <w:sz w:val="24"/>
          <w:szCs w:val="24"/>
        </w:rPr>
        <w:t>Vagitorie</w:t>
      </w:r>
      <w:r>
        <w:rPr>
          <w:sz w:val="24"/>
          <w:szCs w:val="24"/>
        </w:rPr>
        <w:t>r</w:t>
      </w:r>
      <w:proofErr w:type="spellEnd"/>
      <w:r w:rsidR="008960F6">
        <w:rPr>
          <w:sz w:val="24"/>
          <w:szCs w:val="24"/>
        </w:rPr>
        <w:t xml:space="preserve"> (</w:t>
      </w:r>
      <w:proofErr w:type="spellStart"/>
      <w:r w:rsidR="008960F6">
        <w:rPr>
          <w:sz w:val="24"/>
          <w:szCs w:val="24"/>
        </w:rPr>
        <w:t>Epione</w:t>
      </w:r>
      <w:proofErr w:type="spellEnd"/>
      <w:r w:rsidR="008960F6">
        <w:rPr>
          <w:sz w:val="24"/>
          <w:szCs w:val="24"/>
        </w:rPr>
        <w:t xml:space="preserve"> </w:t>
      </w:r>
      <w:proofErr w:type="spellStart"/>
      <w:r w:rsidR="008960F6">
        <w:rPr>
          <w:sz w:val="24"/>
          <w:szCs w:val="24"/>
        </w:rPr>
        <w:t>Medicine</w:t>
      </w:r>
      <w:proofErr w:type="spellEnd"/>
      <w:r w:rsidR="008960F6">
        <w:rPr>
          <w:sz w:val="24"/>
          <w:szCs w:val="24"/>
        </w:rPr>
        <w:t>)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2632A">
        <w:rPr>
          <w:sz w:val="24"/>
          <w:szCs w:val="24"/>
        </w:rPr>
        <w:t>Cyclogest</w:t>
      </w:r>
      <w:proofErr w:type="spellEnd"/>
      <w:r w:rsidRPr="00B2632A">
        <w:rPr>
          <w:sz w:val="24"/>
          <w:szCs w:val="24"/>
        </w:rPr>
        <w:t xml:space="preserve"> er indiceret til </w:t>
      </w:r>
      <w:proofErr w:type="spellStart"/>
      <w:r w:rsidRPr="00B2632A">
        <w:rPr>
          <w:sz w:val="24"/>
          <w:szCs w:val="24"/>
        </w:rPr>
        <w:t>lutealfasestøtte</w:t>
      </w:r>
      <w:proofErr w:type="spellEnd"/>
      <w:r w:rsidRPr="00B2632A">
        <w:rPr>
          <w:sz w:val="24"/>
          <w:szCs w:val="24"/>
        </w:rPr>
        <w:t>, som en del af en assisteret reproduktionsteknologi-behandling (ART) til kvinder.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Dosering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Voksne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400 mg </w:t>
      </w:r>
      <w:proofErr w:type="spellStart"/>
      <w:r>
        <w:rPr>
          <w:sz w:val="24"/>
          <w:szCs w:val="24"/>
        </w:rPr>
        <w:t>vagitorie</w:t>
      </w:r>
      <w:proofErr w:type="spellEnd"/>
      <w:r>
        <w:rPr>
          <w:sz w:val="24"/>
          <w:szCs w:val="24"/>
        </w:rPr>
        <w:t xml:space="preserve"> administreret vaginalt to gange daglig startende fra </w:t>
      </w:r>
      <w:proofErr w:type="spellStart"/>
      <w:r>
        <w:rPr>
          <w:sz w:val="24"/>
          <w:szCs w:val="24"/>
        </w:rPr>
        <w:t>ægudtagning</w:t>
      </w:r>
      <w:proofErr w:type="spellEnd"/>
      <w:r>
        <w:rPr>
          <w:sz w:val="24"/>
          <w:szCs w:val="24"/>
        </w:rPr>
        <w:t xml:space="preserve">. Hvis graviditet er bekræftet, bør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fortsættes i 38 dage efter opstart af behandlingen.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Pædiatriske patienter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relevant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pædiatriske patienter.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6736B">
        <w:rPr>
          <w:sz w:val="24"/>
          <w:szCs w:val="24"/>
          <w:u w:val="single"/>
        </w:rPr>
        <w:t>Ældre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ikke samlet noget klinisk data for patienter over 65 år.   </w:t>
      </w:r>
    </w:p>
    <w:p w:rsidR="00C06704" w:rsidRPr="00B6736B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2D1AB0">
        <w:rPr>
          <w:i/>
          <w:sz w:val="24"/>
          <w:szCs w:val="24"/>
        </w:rPr>
        <w:lastRenderedPageBreak/>
        <w:br/>
      </w:r>
      <w:r w:rsidRPr="00B6736B">
        <w:rPr>
          <w:sz w:val="24"/>
          <w:szCs w:val="24"/>
          <w:u w:val="single"/>
        </w:rPr>
        <w:t>Brug i specielle populationer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 xml:space="preserve">Der er ingen erfaring med brug af </w:t>
      </w:r>
      <w:proofErr w:type="spellStart"/>
      <w:r w:rsidRPr="002D1AB0">
        <w:rPr>
          <w:sz w:val="24"/>
          <w:szCs w:val="24"/>
        </w:rPr>
        <w:t>Cyclogest</w:t>
      </w:r>
      <w:proofErr w:type="spellEnd"/>
      <w:r w:rsidRPr="002D1AB0">
        <w:rPr>
          <w:sz w:val="24"/>
          <w:szCs w:val="24"/>
        </w:rPr>
        <w:t xml:space="preserve"> til patienter med nedsat lever- eller nyrefunktion.</w:t>
      </w:r>
    </w:p>
    <w:p w:rsidR="00C06704" w:rsidRPr="002D1AB0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B6736B" w:rsidRDefault="00C06704" w:rsidP="00C06704">
      <w:pPr>
        <w:tabs>
          <w:tab w:val="left" w:pos="851"/>
        </w:tabs>
        <w:ind w:left="851"/>
        <w:rPr>
          <w:b/>
          <w:sz w:val="24"/>
          <w:szCs w:val="24"/>
        </w:rPr>
      </w:pPr>
      <w:r w:rsidRPr="00B6736B">
        <w:rPr>
          <w:b/>
          <w:sz w:val="24"/>
          <w:szCs w:val="24"/>
        </w:rPr>
        <w:t>Administration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D1AB0">
        <w:rPr>
          <w:sz w:val="24"/>
          <w:szCs w:val="24"/>
        </w:rPr>
        <w:t>Indsættes vaginalt.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Overfølsomhed over for det aktive stof eller over for et eller flere af hjælpestofferne anført i pkt. 6.1.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 eller mistanke om progesteronsensitive maligne tumorer.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732CB7">
        <w:rPr>
          <w:sz w:val="24"/>
          <w:szCs w:val="24"/>
        </w:rPr>
        <w:t>Porfyri</w:t>
      </w:r>
      <w:proofErr w:type="spellEnd"/>
      <w:r w:rsidRPr="00732CB7">
        <w:rPr>
          <w:sz w:val="24"/>
          <w:szCs w:val="24"/>
        </w:rPr>
        <w:t>.</w:t>
      </w:r>
    </w:p>
    <w:p w:rsidR="00C06704" w:rsidRPr="00732CB7" w:rsidRDefault="00C06704" w:rsidP="00C06704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>Kendskab til</w:t>
      </w:r>
      <w:r>
        <w:rPr>
          <w:sz w:val="24"/>
          <w:szCs w:val="24"/>
        </w:rPr>
        <w:t xml:space="preserve"> </w:t>
      </w:r>
      <w:r w:rsidRPr="00732CB7">
        <w:rPr>
          <w:sz w:val="24"/>
          <w:szCs w:val="24"/>
        </w:rPr>
        <w:t>”</w:t>
      </w:r>
      <w:proofErr w:type="spellStart"/>
      <w:r w:rsidRPr="00732CB7">
        <w:rPr>
          <w:sz w:val="24"/>
          <w:szCs w:val="24"/>
        </w:rPr>
        <w:t>missed</w:t>
      </w:r>
      <w:proofErr w:type="spellEnd"/>
      <w:r w:rsidRPr="00732CB7">
        <w:rPr>
          <w:sz w:val="24"/>
          <w:szCs w:val="24"/>
        </w:rPr>
        <w:t xml:space="preserve"> </w:t>
      </w:r>
      <w:proofErr w:type="spellStart"/>
      <w:r w:rsidRPr="00732CB7">
        <w:rPr>
          <w:sz w:val="24"/>
          <w:szCs w:val="24"/>
        </w:rPr>
        <w:t>abortion</w:t>
      </w:r>
      <w:proofErr w:type="spellEnd"/>
      <w:r w:rsidRPr="00732CB7">
        <w:rPr>
          <w:sz w:val="24"/>
          <w:szCs w:val="24"/>
        </w:rPr>
        <w:t xml:space="preserve">” eller </w:t>
      </w:r>
      <w:proofErr w:type="spellStart"/>
      <w:r w:rsidRPr="00732CB7">
        <w:rPr>
          <w:sz w:val="24"/>
          <w:szCs w:val="24"/>
        </w:rPr>
        <w:t>ektopisk</w:t>
      </w:r>
      <w:proofErr w:type="spellEnd"/>
      <w:r w:rsidRPr="00732CB7">
        <w:rPr>
          <w:sz w:val="24"/>
          <w:szCs w:val="24"/>
        </w:rPr>
        <w:t xml:space="preserve"> graviditet.</w:t>
      </w:r>
    </w:p>
    <w:p w:rsidR="00C06704" w:rsidRPr="00732CB7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Aktiv arteriel eller venøs </w:t>
      </w:r>
      <w:proofErr w:type="spellStart"/>
      <w:r w:rsidRPr="00732CB7">
        <w:rPr>
          <w:sz w:val="24"/>
          <w:szCs w:val="24"/>
        </w:rPr>
        <w:t>tromboembolisme</w:t>
      </w:r>
      <w:proofErr w:type="spellEnd"/>
      <w:r w:rsidRPr="00732CB7">
        <w:rPr>
          <w:sz w:val="24"/>
          <w:szCs w:val="24"/>
        </w:rPr>
        <w:t xml:space="preserve"> eller alvorlig </w:t>
      </w:r>
      <w:proofErr w:type="spellStart"/>
      <w:r w:rsidRPr="00732CB7">
        <w:rPr>
          <w:sz w:val="24"/>
          <w:szCs w:val="24"/>
        </w:rPr>
        <w:t>tromboflebitis</w:t>
      </w:r>
      <w:proofErr w:type="spellEnd"/>
      <w:r w:rsidRPr="00732CB7">
        <w:rPr>
          <w:sz w:val="24"/>
          <w:szCs w:val="24"/>
        </w:rPr>
        <w:t>, eller fortilfælde af disse lidelser.</w:t>
      </w:r>
    </w:p>
    <w:p w:rsidR="00C06704" w:rsidRPr="001153E8" w:rsidRDefault="00C06704" w:rsidP="00C06704">
      <w:pPr>
        <w:keepNext/>
        <w:keepLines/>
        <w:numPr>
          <w:ilvl w:val="0"/>
          <w:numId w:val="6"/>
        </w:numPr>
        <w:ind w:left="1134" w:hanging="283"/>
        <w:rPr>
          <w:sz w:val="24"/>
          <w:szCs w:val="24"/>
        </w:rPr>
      </w:pPr>
      <w:r w:rsidRPr="00732CB7">
        <w:rPr>
          <w:sz w:val="24"/>
          <w:szCs w:val="24"/>
        </w:rPr>
        <w:t xml:space="preserve">Alvorlig </w:t>
      </w:r>
      <w:proofErr w:type="spellStart"/>
      <w:r w:rsidRPr="00732CB7">
        <w:rPr>
          <w:sz w:val="24"/>
          <w:szCs w:val="24"/>
        </w:rPr>
        <w:t>hepatisk</w:t>
      </w:r>
      <w:proofErr w:type="spellEnd"/>
      <w:r w:rsidRPr="00732CB7">
        <w:rPr>
          <w:sz w:val="24"/>
          <w:szCs w:val="24"/>
        </w:rPr>
        <w:t xml:space="preserve"> dysfunktion eller sygdom.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Cyclogest</w:t>
      </w:r>
      <w:proofErr w:type="spellEnd"/>
      <w:r>
        <w:rPr>
          <w:sz w:val="24"/>
          <w:szCs w:val="24"/>
          <w:u w:val="single"/>
        </w:rPr>
        <w:t xml:space="preserve"> bør seponeres, hvis nogle af følgende tilstande mistænkes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Myokardial</w:t>
      </w:r>
      <w:proofErr w:type="spellEnd"/>
      <w:r>
        <w:rPr>
          <w:sz w:val="24"/>
          <w:szCs w:val="24"/>
        </w:rPr>
        <w:t xml:space="preserve"> infarkt, </w:t>
      </w:r>
      <w:proofErr w:type="spellStart"/>
      <w:r>
        <w:rPr>
          <w:sz w:val="24"/>
          <w:szCs w:val="24"/>
        </w:rPr>
        <w:t>cerebrovaskulære</w:t>
      </w:r>
      <w:proofErr w:type="spellEnd"/>
      <w:r>
        <w:rPr>
          <w:sz w:val="24"/>
          <w:szCs w:val="24"/>
        </w:rPr>
        <w:t xml:space="preserve"> lidelser, arteriel eller venøse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(venøse </w:t>
      </w:r>
      <w:proofErr w:type="spellStart"/>
      <w:r>
        <w:rPr>
          <w:sz w:val="24"/>
          <w:szCs w:val="24"/>
        </w:rPr>
        <w:t>tromboembolismer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pulmonal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embolismer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tromboflebitis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retinal</w:t>
      </w:r>
      <w:proofErr w:type="spellEnd"/>
      <w:r>
        <w:rPr>
          <w:sz w:val="24"/>
          <w:szCs w:val="24"/>
        </w:rPr>
        <w:t xml:space="preserve"> trombose.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risiko for </w:t>
      </w:r>
      <w:proofErr w:type="spellStart"/>
      <w:r>
        <w:rPr>
          <w:sz w:val="24"/>
          <w:szCs w:val="24"/>
        </w:rPr>
        <w:t>tromboembolisme</w:t>
      </w:r>
      <w:proofErr w:type="spellEnd"/>
      <w:r>
        <w:rPr>
          <w:sz w:val="24"/>
          <w:szCs w:val="24"/>
        </w:rPr>
        <w:t xml:space="preserve"> er blevet associeret med østrogener, forbliver et link til </w:t>
      </w:r>
      <w:proofErr w:type="spellStart"/>
      <w:r>
        <w:rPr>
          <w:sz w:val="24"/>
          <w:szCs w:val="24"/>
        </w:rPr>
        <w:t>progestogener</w:t>
      </w:r>
      <w:proofErr w:type="spellEnd"/>
      <w:r>
        <w:rPr>
          <w:sz w:val="24"/>
          <w:szCs w:val="24"/>
        </w:rPr>
        <w:t xml:space="preserve"> uklart. Hos kvinder med generelle anerkendte risikofaktorer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tilfælde, såsom tidligere personlige tilfælde eller tilfælde i familien, kan risikoen derfor stige yderligere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. Hos disse kvinder skal fordelene ved behandling med </w:t>
      </w:r>
      <w:proofErr w:type="spellStart"/>
      <w:r>
        <w:rPr>
          <w:sz w:val="24"/>
          <w:szCs w:val="24"/>
        </w:rPr>
        <w:t>Cyclogest</w:t>
      </w:r>
      <w:proofErr w:type="spellEnd"/>
      <w:r>
        <w:rPr>
          <w:sz w:val="24"/>
          <w:szCs w:val="24"/>
        </w:rPr>
        <w:t xml:space="preserve"> opvejes mod risici. Det skal dog bemærkes, at graviditet i sig selv medfører en øget risiko for </w:t>
      </w:r>
      <w:proofErr w:type="spellStart"/>
      <w:r>
        <w:rPr>
          <w:sz w:val="24"/>
          <w:szCs w:val="24"/>
        </w:rPr>
        <w:t>tromboembolistiske</w:t>
      </w:r>
      <w:proofErr w:type="spellEnd"/>
      <w:r>
        <w:rPr>
          <w:sz w:val="24"/>
          <w:szCs w:val="24"/>
        </w:rPr>
        <w:t xml:space="preserve"> tilfælde.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tidligere tilfælde af depression skal observeres tæt.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bør overvejes, hvis symptomerne forværres.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Eftersom at progesteron kan forårsage en grad af væskeretention, behøver tilstande som kan påvirkes af dette (f.eks. epilepsi, migræne, astma, kardial eller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dysfunktion) særlig observation.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fald i </w:t>
      </w:r>
      <w:proofErr w:type="spellStart"/>
      <w:r>
        <w:rPr>
          <w:sz w:val="24"/>
          <w:szCs w:val="24"/>
        </w:rPr>
        <w:t>glucosetolerance</w:t>
      </w:r>
      <w:proofErr w:type="spellEnd"/>
      <w:r>
        <w:rPr>
          <w:sz w:val="24"/>
          <w:szCs w:val="24"/>
        </w:rPr>
        <w:t xml:space="preserve"> er blevet observeret hos et lille antal af patienter i behandling med østrogen/</w:t>
      </w:r>
      <w:proofErr w:type="spellStart"/>
      <w:r>
        <w:rPr>
          <w:sz w:val="24"/>
          <w:szCs w:val="24"/>
        </w:rPr>
        <w:t>progestogen</w:t>
      </w:r>
      <w:proofErr w:type="spellEnd"/>
      <w:r>
        <w:rPr>
          <w:sz w:val="24"/>
          <w:szCs w:val="24"/>
        </w:rPr>
        <w:t xml:space="preserve">-kombinationslægemidler. Mekanismen for dette fald er ikke kendt. Grundet dette, bør diabetiske patienter observeres omhyggeligt, mens de er i progesteron-behandling. 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Progesteron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leveren og skal derfor anvendes med omtanke til patienter med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dysfunktion.</w:t>
      </w: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</w:p>
    <w:p w:rsidR="000A6F46" w:rsidRDefault="000A6F46" w:rsidP="000A6F4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Brat afbrydelse af progesteronbehandling kan forårsage angst, tungsindighed og øget sensibilitet for anfald.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145C0E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4.5</w:t>
      </w:r>
      <w:r w:rsidRPr="00C84483">
        <w:rPr>
          <w:b/>
          <w:sz w:val="24"/>
          <w:szCs w:val="24"/>
        </w:rPr>
        <w:tab/>
        <w:t>Interaktion med andre læge</w:t>
      </w:r>
      <w:bookmarkStart w:id="0" w:name="_GoBack"/>
      <w:bookmarkEnd w:id="0"/>
      <w:r w:rsidRPr="00C84483">
        <w:rPr>
          <w:b/>
          <w:sz w:val="24"/>
          <w:szCs w:val="24"/>
        </w:rPr>
        <w:t>midler og andre former for interaktion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Lægemidler, som er kendt for at øge det </w:t>
      </w:r>
      <w:proofErr w:type="spellStart"/>
      <w:r w:rsidRPr="001A2FA9">
        <w:rPr>
          <w:sz w:val="24"/>
          <w:szCs w:val="24"/>
        </w:rPr>
        <w:t>hepatiske</w:t>
      </w:r>
      <w:proofErr w:type="spellEnd"/>
      <w:r w:rsidRPr="001A2FA9">
        <w:rPr>
          <w:sz w:val="24"/>
          <w:szCs w:val="24"/>
        </w:rPr>
        <w:t xml:space="preserve"> cytochrome-P450-3A4 system (f.eks. </w:t>
      </w:r>
      <w:proofErr w:type="spellStart"/>
      <w:r w:rsidRPr="001A2FA9">
        <w:rPr>
          <w:sz w:val="24"/>
          <w:szCs w:val="24"/>
        </w:rPr>
        <w:t>rifampicin</w:t>
      </w:r>
      <w:proofErr w:type="spellEnd"/>
      <w:r w:rsidRPr="001A2FA9">
        <w:rPr>
          <w:sz w:val="24"/>
          <w:szCs w:val="24"/>
        </w:rPr>
        <w:t xml:space="preserve">, </w:t>
      </w:r>
      <w:proofErr w:type="spellStart"/>
      <w:r w:rsidRPr="001A2FA9">
        <w:rPr>
          <w:sz w:val="24"/>
          <w:szCs w:val="24"/>
        </w:rPr>
        <w:t>carbamazepin</w:t>
      </w:r>
      <w:proofErr w:type="spellEnd"/>
      <w:r w:rsidRPr="001A2FA9">
        <w:rPr>
          <w:sz w:val="24"/>
          <w:szCs w:val="24"/>
        </w:rPr>
        <w:t xml:space="preserve"> eller </w:t>
      </w:r>
      <w:proofErr w:type="spellStart"/>
      <w:r w:rsidRPr="001A2FA9">
        <w:rPr>
          <w:sz w:val="24"/>
          <w:szCs w:val="24"/>
        </w:rPr>
        <w:t>phenytoin</w:t>
      </w:r>
      <w:proofErr w:type="spellEnd"/>
      <w:r w:rsidRPr="001A2FA9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1A2FA9">
        <w:rPr>
          <w:sz w:val="24"/>
          <w:szCs w:val="24"/>
        </w:rPr>
        <w:t xml:space="preserve"> kan øge eliminationshastigheden og hermed reducere biotilgængeligheden af progesteron. </w:t>
      </w:r>
    </w:p>
    <w:p w:rsidR="00C06704" w:rsidRPr="001A2FA9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A2FA9">
        <w:rPr>
          <w:sz w:val="24"/>
          <w:szCs w:val="24"/>
        </w:rPr>
        <w:t xml:space="preserve">Det anbefales ikke at anvende andre vaginale produkter samtidig med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, da effekten af disse på progesteroneksponeringen fra </w:t>
      </w:r>
      <w:proofErr w:type="spellStart"/>
      <w:r w:rsidRPr="001A2FA9">
        <w:rPr>
          <w:sz w:val="24"/>
          <w:szCs w:val="24"/>
        </w:rPr>
        <w:t>Cyclogest</w:t>
      </w:r>
      <w:proofErr w:type="spellEnd"/>
      <w:r w:rsidRPr="001A2FA9">
        <w:rPr>
          <w:sz w:val="24"/>
          <w:szCs w:val="24"/>
        </w:rPr>
        <w:t xml:space="preserve"> ikke er undersøgt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Graviditet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er kun indiceret til det første trimester som del af en assisteret reproduktionsteknologi-behandling (ART) (se pkt. 4.1 for alle detaljer). Der er </w:t>
      </w:r>
      <w:proofErr w:type="gramStart"/>
      <w:r w:rsidRPr="000E504C">
        <w:rPr>
          <w:sz w:val="24"/>
          <w:szCs w:val="24"/>
        </w:rPr>
        <w:t>begrænset og utilstrækkelig data</w:t>
      </w:r>
      <w:proofErr w:type="gramEnd"/>
      <w:r w:rsidRPr="000E504C">
        <w:rPr>
          <w:sz w:val="24"/>
          <w:szCs w:val="24"/>
        </w:rPr>
        <w:t xml:space="preserve"> om risikoen for medfødte anormaliteter, herunder genitale anormaliteter hos dreng- eller pigespædbørn, som følge af intrauterinærer eksponering under graviditet. Raterne for medfødte anormaliteter, spontan abort og </w:t>
      </w:r>
      <w:proofErr w:type="spellStart"/>
      <w:r w:rsidRPr="000E504C">
        <w:rPr>
          <w:sz w:val="24"/>
          <w:szCs w:val="24"/>
        </w:rPr>
        <w:t>ektopisk</w:t>
      </w:r>
      <w:proofErr w:type="spellEnd"/>
      <w:r w:rsidRPr="000E504C">
        <w:rPr>
          <w:sz w:val="24"/>
          <w:szCs w:val="24"/>
        </w:rPr>
        <w:t xml:space="preserve"> graviditet, som blev observeret under kliniske studier, var sammenlignelige med raterne beskrevet for den generelle population. Dog var den totale eksponering for lav til at foretage konklusioner.</w:t>
      </w: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E504C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504C">
        <w:rPr>
          <w:sz w:val="24"/>
          <w:szCs w:val="24"/>
          <w:u w:val="single"/>
        </w:rPr>
        <w:t>Amning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E504C">
        <w:rPr>
          <w:sz w:val="24"/>
          <w:szCs w:val="24"/>
        </w:rPr>
        <w:t xml:space="preserve">Målbare mængder af progesteron er blevet identificeret i mælken hos mødre. Derfor bør </w:t>
      </w:r>
      <w:proofErr w:type="spellStart"/>
      <w:r w:rsidRPr="000E504C">
        <w:rPr>
          <w:sz w:val="24"/>
          <w:szCs w:val="24"/>
        </w:rPr>
        <w:t>Cyclogest</w:t>
      </w:r>
      <w:proofErr w:type="spellEnd"/>
      <w:r w:rsidRPr="000E504C">
        <w:rPr>
          <w:sz w:val="24"/>
          <w:szCs w:val="24"/>
        </w:rPr>
        <w:t xml:space="preserve"> ikke benyttes under amning.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E56C88">
        <w:rPr>
          <w:sz w:val="24"/>
          <w:szCs w:val="24"/>
        </w:rPr>
        <w:t>Progesteron kan forårsage svimmelhed. Derfor rådes det at tage forbehold ved føring af motorkøretøjer eller betjening af maskiner.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Bivirkninger hos patienter</w:t>
      </w:r>
      <w:r>
        <w:rPr>
          <w:sz w:val="24"/>
          <w:szCs w:val="24"/>
        </w:rPr>
        <w:t>,</w:t>
      </w:r>
      <w:r w:rsidRPr="00A24545">
        <w:rPr>
          <w:sz w:val="24"/>
          <w:szCs w:val="24"/>
        </w:rPr>
        <w:t xml:space="preserve"> som får </w:t>
      </w:r>
      <w:proofErr w:type="spellStart"/>
      <w:r w:rsidRPr="00A24545">
        <w:rPr>
          <w:sz w:val="24"/>
          <w:szCs w:val="24"/>
        </w:rPr>
        <w:t>luteralstøtte</w:t>
      </w:r>
      <w:proofErr w:type="spellEnd"/>
      <w:r w:rsidRPr="00A24545">
        <w:rPr>
          <w:sz w:val="24"/>
          <w:szCs w:val="24"/>
        </w:rPr>
        <w:t xml:space="preserve"> som en del af ART-behandling, er præsenteret i tabellen nedenfor: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685"/>
      </w:tblGrid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SYSTEM ORGANKLASSE</w:t>
            </w:r>
          </w:p>
        </w:tc>
        <w:tc>
          <w:tcPr>
            <w:tcW w:w="297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Almindelige</w:t>
            </w:r>
          </w:p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 til &lt;1/10</w:t>
            </w:r>
          </w:p>
        </w:tc>
        <w:tc>
          <w:tcPr>
            <w:tcW w:w="3685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Ikke almindelige</w:t>
            </w:r>
          </w:p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≥1/1000 til &lt;1/100</w:t>
            </w:r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Psykiske forstyrrelser</w:t>
            </w:r>
          </w:p>
        </w:tc>
        <w:tc>
          <w:tcPr>
            <w:tcW w:w="297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Ændret sindsstemning</w:t>
            </w:r>
          </w:p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Nervesystemet</w:t>
            </w:r>
          </w:p>
        </w:tc>
        <w:tc>
          <w:tcPr>
            <w:tcW w:w="297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Hovedpine, svimmelhed og </w:t>
            </w:r>
            <w:proofErr w:type="spellStart"/>
            <w:r w:rsidRPr="00517614">
              <w:rPr>
                <w:rFonts w:eastAsia="Calibri"/>
                <w:sz w:val="22"/>
                <w:szCs w:val="22"/>
              </w:rPr>
              <w:t>dysgeusi</w:t>
            </w:r>
            <w:proofErr w:type="spellEnd"/>
          </w:p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b/>
                <w:sz w:val="22"/>
                <w:szCs w:val="22"/>
              </w:rPr>
              <w:t>Vaskulære</w:t>
            </w:r>
            <w:proofErr w:type="spellEnd"/>
            <w:r w:rsidRPr="00517614">
              <w:rPr>
                <w:rFonts w:eastAsia="Calibri"/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297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Hedeture</w:t>
            </w:r>
          </w:p>
        </w:tc>
        <w:tc>
          <w:tcPr>
            <w:tcW w:w="3685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Blødning</w:t>
            </w:r>
          </w:p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517614">
              <w:rPr>
                <w:rFonts w:eastAsia="Calibri"/>
                <w:b/>
                <w:sz w:val="22"/>
                <w:szCs w:val="22"/>
              </w:rPr>
              <w:t>Mave-tarm kanalen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145C0E" w:rsidRPr="00013E3D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Udspilet abdomen, smerter i abdomen, forstoppelse</w:t>
            </w:r>
          </w:p>
          <w:p w:rsidR="00145C0E" w:rsidRPr="00013E3D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45C0E" w:rsidRPr="00013E3D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Diarré, opkast, luft i maven,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ventrikeldilation</w:t>
            </w:r>
            <w:proofErr w:type="spellEnd"/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Hud og subkutane væv</w:t>
            </w:r>
          </w:p>
        </w:tc>
        <w:tc>
          <w:tcPr>
            <w:tcW w:w="297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45C0E" w:rsidRPr="00013E3D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Hypersensitive reaktioner (f.eks. udslæt, kløe), nattesved. </w:t>
            </w:r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013E3D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2977" w:type="dxa"/>
            <w:shd w:val="clear" w:color="auto" w:fill="auto"/>
          </w:tcPr>
          <w:p w:rsidR="00145C0E" w:rsidRPr="00013E3D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Arthralgi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Nyre og urinveje</w:t>
            </w:r>
          </w:p>
        </w:tc>
        <w:tc>
          <w:tcPr>
            <w:tcW w:w="297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517614">
              <w:rPr>
                <w:rFonts w:eastAsia="Calibri"/>
                <w:sz w:val="22"/>
                <w:szCs w:val="22"/>
              </w:rPr>
              <w:t>Pollakisuri</w:t>
            </w:r>
            <w:proofErr w:type="spellEnd"/>
            <w:r w:rsidRPr="00517614">
              <w:rPr>
                <w:rFonts w:eastAsia="Calibri"/>
                <w:sz w:val="22"/>
                <w:szCs w:val="22"/>
              </w:rPr>
              <w:t>, inkontinens</w:t>
            </w:r>
          </w:p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013E3D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t xml:space="preserve">Det </w:t>
            </w:r>
            <w:proofErr w:type="spellStart"/>
            <w:r w:rsidRPr="00013E3D">
              <w:rPr>
                <w:rFonts w:eastAsia="Calibri"/>
                <w:b/>
                <w:sz w:val="22"/>
                <w:szCs w:val="22"/>
              </w:rPr>
              <w:t>reproductive</w:t>
            </w:r>
            <w:proofErr w:type="spellEnd"/>
            <w:r w:rsidRPr="00013E3D">
              <w:rPr>
                <w:rFonts w:eastAsia="Calibri"/>
                <w:b/>
                <w:sz w:val="22"/>
                <w:szCs w:val="22"/>
              </w:rPr>
              <w:t xml:space="preserve"> system og mammae</w:t>
            </w:r>
          </w:p>
        </w:tc>
        <w:tc>
          <w:tcPr>
            <w:tcW w:w="297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Brystsmerter</w:t>
            </w:r>
          </w:p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45C0E" w:rsidRPr="00013E3D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 xml:space="preserve">Vaginal blødning, bækkensmerter,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metroragi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, ovarieforstørrelse, </w:t>
            </w:r>
            <w:proofErr w:type="spellStart"/>
            <w:r w:rsidRPr="00013E3D">
              <w:rPr>
                <w:rFonts w:eastAsia="Calibri"/>
                <w:sz w:val="22"/>
                <w:szCs w:val="22"/>
              </w:rPr>
              <w:t>vulvovaginal</w:t>
            </w:r>
            <w:proofErr w:type="spellEnd"/>
            <w:r w:rsidRPr="00013E3D">
              <w:rPr>
                <w:rFonts w:eastAsia="Calibri"/>
                <w:sz w:val="22"/>
                <w:szCs w:val="22"/>
              </w:rPr>
              <w:t xml:space="preserve"> kløe </w:t>
            </w:r>
          </w:p>
          <w:p w:rsidR="00145C0E" w:rsidRPr="00013E3D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013E3D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013E3D">
              <w:rPr>
                <w:rFonts w:eastAsia="Calibri"/>
                <w:b/>
                <w:sz w:val="22"/>
                <w:szCs w:val="22"/>
              </w:rPr>
              <w:lastRenderedPageBreak/>
              <w:t>Almene symptomer og reaktioner på administrationsstedet</w:t>
            </w:r>
          </w:p>
        </w:tc>
        <w:tc>
          <w:tcPr>
            <w:tcW w:w="297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 xml:space="preserve">Træthed </w:t>
            </w:r>
          </w:p>
        </w:tc>
        <w:tc>
          <w:tcPr>
            <w:tcW w:w="3685" w:type="dxa"/>
            <w:shd w:val="clear" w:color="auto" w:fill="auto"/>
          </w:tcPr>
          <w:p w:rsidR="00145C0E" w:rsidRPr="00013E3D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013E3D">
              <w:rPr>
                <w:rFonts w:eastAsia="Calibri"/>
                <w:sz w:val="22"/>
                <w:szCs w:val="22"/>
              </w:rPr>
              <w:t>Kold følelse, følelse af ændret kropstemperatur, kløe på administrationsstedet, ubehag</w:t>
            </w:r>
          </w:p>
        </w:tc>
      </w:tr>
      <w:tr w:rsidR="00145C0E" w:rsidRPr="00013E3D" w:rsidTr="007535E6">
        <w:tc>
          <w:tcPr>
            <w:tcW w:w="322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b/>
                <w:sz w:val="22"/>
                <w:szCs w:val="22"/>
              </w:rPr>
            </w:pPr>
            <w:r w:rsidRPr="00517614">
              <w:rPr>
                <w:rFonts w:eastAsia="Calibri"/>
                <w:b/>
                <w:sz w:val="22"/>
                <w:szCs w:val="22"/>
              </w:rPr>
              <w:t>Undersøgelser</w:t>
            </w:r>
          </w:p>
        </w:tc>
        <w:tc>
          <w:tcPr>
            <w:tcW w:w="2977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  <w:r w:rsidRPr="00517614">
              <w:rPr>
                <w:rFonts w:eastAsia="Calibri"/>
                <w:sz w:val="22"/>
                <w:szCs w:val="22"/>
              </w:rPr>
              <w:t>Vægtøgning</w:t>
            </w:r>
          </w:p>
          <w:p w:rsidR="00145C0E" w:rsidRPr="00517614" w:rsidRDefault="00145C0E" w:rsidP="007535E6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A24545">
        <w:rPr>
          <w:sz w:val="24"/>
          <w:szCs w:val="24"/>
        </w:rPr>
        <w:t>Som med andre va</w:t>
      </w:r>
      <w:r>
        <w:rPr>
          <w:sz w:val="24"/>
          <w:szCs w:val="24"/>
        </w:rPr>
        <w:t>ginale præparater</w:t>
      </w:r>
      <w:r w:rsidRPr="00A24545">
        <w:rPr>
          <w:sz w:val="24"/>
          <w:szCs w:val="24"/>
        </w:rPr>
        <w:t xml:space="preserve"> kan udsivning ved </w:t>
      </w:r>
      <w:proofErr w:type="spellStart"/>
      <w:r w:rsidRPr="00A24545">
        <w:rPr>
          <w:sz w:val="24"/>
          <w:szCs w:val="24"/>
        </w:rPr>
        <w:t>vagitorien</w:t>
      </w:r>
      <w:proofErr w:type="spellEnd"/>
      <w:r w:rsidRPr="00A24545">
        <w:rPr>
          <w:sz w:val="24"/>
          <w:szCs w:val="24"/>
        </w:rPr>
        <w:t xml:space="preserve"> forekomme. </w:t>
      </w:r>
    </w:p>
    <w:p w:rsidR="00C06704" w:rsidRPr="00A24545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24545">
        <w:rPr>
          <w:noProof/>
          <w:sz w:val="24"/>
          <w:szCs w:val="24"/>
          <w:u w:val="single"/>
        </w:rPr>
        <w:t>Indberetning af formodede bivirkninger</w:t>
      </w:r>
    </w:p>
    <w:p w:rsidR="00C06704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A24545">
        <w:rPr>
          <w:noProof/>
          <w:sz w:val="24"/>
          <w:szCs w:val="24"/>
        </w:rPr>
        <w:t>Når lægemidlet er godkendt, er indberetning af formodede bivirkninger vigtig.</w:t>
      </w:r>
      <w:r w:rsidRPr="00A24545">
        <w:rPr>
          <w:sz w:val="24"/>
          <w:szCs w:val="24"/>
        </w:rPr>
        <w:t xml:space="preserve"> </w:t>
      </w:r>
      <w:r w:rsidRPr="00A24545">
        <w:rPr>
          <w:noProof/>
          <w:sz w:val="24"/>
          <w:szCs w:val="24"/>
        </w:rPr>
        <w:t>Det muliggør løbende overvågning af benefit/risk-forholdet for lægemidlet</w:t>
      </w:r>
      <w:r w:rsidR="000A6F46">
        <w:rPr>
          <w:noProof/>
          <w:sz w:val="24"/>
          <w:szCs w:val="24"/>
        </w:rPr>
        <w:t>.</w:t>
      </w:r>
      <w:r w:rsidRPr="00A24545">
        <w:rPr>
          <w:noProof/>
          <w:sz w:val="24"/>
          <w:szCs w:val="24"/>
        </w:rPr>
        <w:t xml:space="preserve"> </w:t>
      </w:r>
      <w:r w:rsidR="000A6F46">
        <w:rPr>
          <w:noProof/>
          <w:sz w:val="24"/>
          <w:szCs w:val="24"/>
        </w:rPr>
        <w:t>S</w:t>
      </w:r>
      <w:r w:rsidRPr="00A24545">
        <w:rPr>
          <w:noProof/>
          <w:sz w:val="24"/>
          <w:szCs w:val="24"/>
        </w:rPr>
        <w:t>undhedsperso</w:t>
      </w:r>
      <w:r w:rsidR="000A6F46">
        <w:rPr>
          <w:noProof/>
          <w:sz w:val="24"/>
          <w:szCs w:val="24"/>
        </w:rPr>
        <w:t>ner</w:t>
      </w:r>
      <w:r w:rsidRPr="00A24545">
        <w:rPr>
          <w:noProof/>
          <w:sz w:val="24"/>
          <w:szCs w:val="24"/>
        </w:rPr>
        <w:t xml:space="preserve"> anmodes om at indberette alle formodede bivirkninger via:</w:t>
      </w:r>
    </w:p>
    <w:p w:rsidR="00C06704" w:rsidRPr="00A24545" w:rsidRDefault="00C06704" w:rsidP="00C06704">
      <w:pPr>
        <w:tabs>
          <w:tab w:val="left" w:pos="851"/>
        </w:tabs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A24545">
        <w:rPr>
          <w:rFonts w:eastAsia="Calibri"/>
          <w:color w:val="000000"/>
          <w:sz w:val="24"/>
          <w:szCs w:val="24"/>
          <w:lang w:eastAsia="zh-CN"/>
        </w:rPr>
        <w:t>Lægemiddelstyrelsen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sz w:val="24"/>
          <w:szCs w:val="24"/>
          <w:lang w:eastAsia="zh-CN"/>
        </w:rPr>
        <w:t>Axel Heides Gade 1</w:t>
      </w:r>
    </w:p>
    <w:p w:rsidR="00C06704" w:rsidRPr="00A24545" w:rsidRDefault="00C06704" w:rsidP="00C06704">
      <w:pPr>
        <w:tabs>
          <w:tab w:val="left" w:pos="851"/>
        </w:tabs>
        <w:ind w:left="851"/>
        <w:rPr>
          <w:rFonts w:eastAsia="Calibri"/>
          <w:noProof/>
          <w:sz w:val="24"/>
          <w:szCs w:val="24"/>
          <w:lang w:eastAsia="zh-CN"/>
        </w:rPr>
      </w:pPr>
      <w:r w:rsidRPr="00A24545">
        <w:rPr>
          <w:rFonts w:eastAsia="Calibri"/>
          <w:noProof/>
          <w:sz w:val="24"/>
          <w:szCs w:val="24"/>
          <w:lang w:eastAsia="zh-CN"/>
        </w:rPr>
        <w:t xml:space="preserve">DK-2300 </w:t>
      </w:r>
      <w:r w:rsidRPr="00A24545">
        <w:rPr>
          <w:rFonts w:eastAsia="Calibri"/>
          <w:sz w:val="24"/>
          <w:szCs w:val="24"/>
          <w:lang w:eastAsia="zh-CN"/>
        </w:rPr>
        <w:t>København S</w:t>
      </w:r>
    </w:p>
    <w:p w:rsidR="00C06704" w:rsidRPr="008960F6" w:rsidRDefault="00C06704" w:rsidP="00C06704">
      <w:pPr>
        <w:tabs>
          <w:tab w:val="left" w:pos="-720"/>
          <w:tab w:val="left" w:pos="851"/>
        </w:tabs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8960F6">
        <w:rPr>
          <w:rFonts w:eastAsia="Calibri"/>
          <w:sz w:val="24"/>
          <w:szCs w:val="24"/>
          <w:lang w:eastAsia="zh-CN"/>
        </w:rPr>
        <w:t>Websted</w:t>
      </w:r>
      <w:r w:rsidRPr="008960F6">
        <w:rPr>
          <w:rFonts w:eastAsia="Calibri"/>
          <w:noProof/>
          <w:sz w:val="24"/>
          <w:szCs w:val="24"/>
          <w:lang w:eastAsia="zh-CN"/>
        </w:rPr>
        <w:t xml:space="preserve">: </w:t>
      </w:r>
      <w:hyperlink r:id="rId8" w:history="1">
        <w:r w:rsidRPr="008960F6">
          <w:rPr>
            <w:rStyle w:val="Hyperlink"/>
            <w:rFonts w:eastAsia="Calibri"/>
            <w:noProof/>
            <w:sz w:val="24"/>
            <w:szCs w:val="24"/>
            <w:lang w:eastAsia="zh-CN"/>
          </w:rPr>
          <w:t>www.meldenbivirkning.dk</w:t>
        </w:r>
      </w:hyperlink>
    </w:p>
    <w:p w:rsidR="00C06704" w:rsidRPr="008960F6" w:rsidRDefault="00C06704" w:rsidP="00C06704">
      <w:pPr>
        <w:pStyle w:val="Sidehoved"/>
        <w:tabs>
          <w:tab w:val="left" w:pos="851"/>
        </w:tabs>
        <w:ind w:left="851"/>
        <w:rPr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7E7B31">
        <w:rPr>
          <w:sz w:val="24"/>
          <w:szCs w:val="24"/>
        </w:rPr>
        <w:t xml:space="preserve">Der er en bred sikkerhedsmargin ved </w:t>
      </w:r>
      <w:proofErr w:type="spellStart"/>
      <w:r w:rsidRPr="007E7B31">
        <w:rPr>
          <w:sz w:val="24"/>
          <w:szCs w:val="24"/>
        </w:rPr>
        <w:t>progesteronvagitorier</w:t>
      </w:r>
      <w:proofErr w:type="spellEnd"/>
      <w:r w:rsidRPr="007E7B31">
        <w:rPr>
          <w:sz w:val="24"/>
          <w:szCs w:val="24"/>
        </w:rPr>
        <w:t xml:space="preserve">, men overdosering kan medføre eufori eller </w:t>
      </w:r>
      <w:proofErr w:type="spellStart"/>
      <w:r w:rsidRPr="007E7B31">
        <w:rPr>
          <w:sz w:val="24"/>
          <w:szCs w:val="24"/>
        </w:rPr>
        <w:t>dysmenoré</w:t>
      </w:r>
      <w:proofErr w:type="spellEnd"/>
      <w:r w:rsidRPr="007E7B31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C06704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2775E">
        <w:rPr>
          <w:sz w:val="24"/>
          <w:szCs w:val="24"/>
        </w:rPr>
        <w:t>ATC-kode: G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02775E">
        <w:rPr>
          <w:sz w:val="24"/>
          <w:szCs w:val="24"/>
        </w:rPr>
        <w:t>04.</w:t>
      </w:r>
      <w:r>
        <w:rPr>
          <w:sz w:val="24"/>
          <w:szCs w:val="24"/>
        </w:rPr>
        <w:t xml:space="preserve"> K</w:t>
      </w:r>
      <w:r w:rsidRPr="0002775E">
        <w:rPr>
          <w:sz w:val="24"/>
          <w:szCs w:val="24"/>
        </w:rPr>
        <w:t xml:space="preserve">ønshormoner og </w:t>
      </w:r>
      <w:proofErr w:type="spellStart"/>
      <w:r w:rsidRPr="0002775E">
        <w:rPr>
          <w:sz w:val="24"/>
          <w:szCs w:val="24"/>
        </w:rPr>
        <w:t>modulatorer</w:t>
      </w:r>
      <w:proofErr w:type="spellEnd"/>
      <w:r w:rsidRPr="0002775E">
        <w:rPr>
          <w:sz w:val="24"/>
          <w:szCs w:val="24"/>
        </w:rPr>
        <w:t xml:space="preserve"> af det genitale</w:t>
      </w:r>
      <w:r>
        <w:rPr>
          <w:sz w:val="24"/>
          <w:szCs w:val="24"/>
        </w:rPr>
        <w:t xml:space="preserve"> system. </w:t>
      </w:r>
      <w:proofErr w:type="spellStart"/>
      <w:r>
        <w:rPr>
          <w:sz w:val="24"/>
          <w:szCs w:val="24"/>
        </w:rPr>
        <w:t>Pregnen</w:t>
      </w:r>
      <w:proofErr w:type="spellEnd"/>
      <w:r>
        <w:rPr>
          <w:sz w:val="24"/>
          <w:szCs w:val="24"/>
        </w:rPr>
        <w:t>-(4) derivater.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Progesteron er et naturligt forekommende steroid, som udskilles af æggestokken, placenta og binyrebarken. Ved tilstedeværelse af tilstrækkeligt østrogen omdanner progesteron et </w:t>
      </w:r>
      <w:proofErr w:type="spellStart"/>
      <w:r w:rsidRPr="000F029D">
        <w:rPr>
          <w:sz w:val="24"/>
          <w:szCs w:val="24"/>
        </w:rPr>
        <w:t>proliferativt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 til et </w:t>
      </w:r>
      <w:proofErr w:type="spellStart"/>
      <w:r w:rsidRPr="000F029D">
        <w:rPr>
          <w:sz w:val="24"/>
          <w:szCs w:val="24"/>
        </w:rPr>
        <w:t>sekretorisk</w:t>
      </w:r>
      <w:proofErr w:type="spellEnd"/>
      <w:r w:rsidRPr="000F029D">
        <w:rPr>
          <w:sz w:val="24"/>
          <w:szCs w:val="24"/>
        </w:rPr>
        <w:t xml:space="preserve"> </w:t>
      </w:r>
      <w:proofErr w:type="spellStart"/>
      <w:r w:rsidRPr="000F029D">
        <w:rPr>
          <w:sz w:val="24"/>
          <w:szCs w:val="24"/>
        </w:rPr>
        <w:t>endometrium</w:t>
      </w:r>
      <w:proofErr w:type="spellEnd"/>
      <w:r w:rsidRPr="000F029D">
        <w:rPr>
          <w:sz w:val="24"/>
          <w:szCs w:val="24"/>
        </w:rPr>
        <w:t xml:space="preserve">. Progesteron er nødvendigt for at øge </w:t>
      </w:r>
      <w:proofErr w:type="spellStart"/>
      <w:r w:rsidRPr="000F029D">
        <w:rPr>
          <w:sz w:val="24"/>
          <w:szCs w:val="24"/>
        </w:rPr>
        <w:t>endometriets</w:t>
      </w:r>
      <w:proofErr w:type="spellEnd"/>
      <w:r w:rsidRPr="000F029D">
        <w:rPr>
          <w:sz w:val="24"/>
          <w:szCs w:val="24"/>
        </w:rPr>
        <w:t xml:space="preserve"> modtagelighed for implantation af et embryo. Når embryoet er implanteret, hjælper progesteron med at opretholde graviditet.</w:t>
      </w: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C06704" w:rsidRPr="000F029D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F029D">
        <w:rPr>
          <w:sz w:val="24"/>
          <w:szCs w:val="24"/>
          <w:u w:val="single"/>
        </w:rPr>
        <w:t>Klinisk virkning og sikkerhed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0F029D">
        <w:rPr>
          <w:sz w:val="24"/>
          <w:szCs w:val="24"/>
        </w:rPr>
        <w:t xml:space="preserve">I et fase III-studie med </w:t>
      </w:r>
      <w:proofErr w:type="spellStart"/>
      <w:r w:rsidRPr="000F029D">
        <w:rPr>
          <w:sz w:val="24"/>
          <w:szCs w:val="24"/>
        </w:rPr>
        <w:t>præmenopausale</w:t>
      </w:r>
      <w:proofErr w:type="spellEnd"/>
      <w:r w:rsidRPr="000F029D">
        <w:rPr>
          <w:sz w:val="24"/>
          <w:szCs w:val="24"/>
        </w:rPr>
        <w:t xml:space="preserve"> kvinder i ART- og IVF-behandling blev </w:t>
      </w:r>
      <w:proofErr w:type="gramStart"/>
      <w:r w:rsidRPr="000F029D">
        <w:rPr>
          <w:sz w:val="24"/>
          <w:szCs w:val="24"/>
        </w:rPr>
        <w:t>graviditetsraten ,</w:t>
      </w:r>
      <w:proofErr w:type="gramEnd"/>
      <w:r w:rsidRPr="000F029D">
        <w:rPr>
          <w:sz w:val="24"/>
          <w:szCs w:val="24"/>
        </w:rPr>
        <w:t xml:space="preserve"> efter vaginal indsættelse af </w:t>
      </w:r>
      <w:proofErr w:type="spellStart"/>
      <w:r w:rsidRPr="000F029D">
        <w:rPr>
          <w:sz w:val="24"/>
          <w:szCs w:val="24"/>
        </w:rPr>
        <w:t>Cyclogest</w:t>
      </w:r>
      <w:proofErr w:type="spellEnd"/>
      <w:r w:rsidRPr="000F029D">
        <w:rPr>
          <w:sz w:val="24"/>
          <w:szCs w:val="24"/>
        </w:rPr>
        <w:t xml:space="preserve"> (400 mg to gange dagligt), fundet til at være 38,3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(FAS) og 38,1 (PP) efter 38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 Den kliniske graviditetsrate var 34,5</w:t>
      </w:r>
      <w:r>
        <w:rPr>
          <w:sz w:val="24"/>
          <w:szCs w:val="24"/>
        </w:rPr>
        <w:t xml:space="preserve"> %</w:t>
      </w:r>
      <w:r w:rsidRPr="000F029D">
        <w:rPr>
          <w:sz w:val="24"/>
          <w:szCs w:val="24"/>
        </w:rPr>
        <w:t xml:space="preserve"> efter 70 dage med </w:t>
      </w:r>
      <w:proofErr w:type="spellStart"/>
      <w:r w:rsidRPr="000F029D">
        <w:rPr>
          <w:sz w:val="24"/>
          <w:szCs w:val="24"/>
        </w:rPr>
        <w:t>lutealfasestøtte</w:t>
      </w:r>
      <w:proofErr w:type="spellEnd"/>
      <w:r w:rsidRPr="000F029D"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0A6F46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06704" w:rsidRPr="001234F1" w:rsidRDefault="00C06704" w:rsidP="000A6F46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Absorption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Vaginal administration af </w:t>
      </w:r>
      <w:proofErr w:type="spellStart"/>
      <w:r w:rsidRPr="001234F1">
        <w:rPr>
          <w:sz w:val="24"/>
          <w:szCs w:val="24"/>
        </w:rPr>
        <w:t>Cyclogest</w:t>
      </w:r>
      <w:proofErr w:type="spellEnd"/>
      <w:r w:rsidRPr="001234F1">
        <w:rPr>
          <w:sz w:val="24"/>
          <w:szCs w:val="24"/>
        </w:rPr>
        <w:t xml:space="preserve"> 400 mg hver 12</w:t>
      </w:r>
      <w:r>
        <w:rPr>
          <w:sz w:val="24"/>
          <w:szCs w:val="24"/>
        </w:rPr>
        <w:t>.</w:t>
      </w:r>
      <w:r w:rsidRPr="001234F1">
        <w:rPr>
          <w:sz w:val="24"/>
          <w:szCs w:val="24"/>
        </w:rPr>
        <w:t xml:space="preserve"> time hos raske kvinder har påvist sig effektiv til hurtigt at opnå og bibeholde progesteronkoncentrationer på fysiologiske niveauer passende til den </w:t>
      </w:r>
      <w:proofErr w:type="spellStart"/>
      <w:r w:rsidRPr="001234F1">
        <w:rPr>
          <w:sz w:val="24"/>
          <w:szCs w:val="24"/>
        </w:rPr>
        <w:t>midtluteale</w:t>
      </w:r>
      <w:proofErr w:type="spellEnd"/>
      <w:r w:rsidRPr="001234F1">
        <w:rPr>
          <w:sz w:val="24"/>
          <w:szCs w:val="24"/>
        </w:rPr>
        <w:t xml:space="preserve"> fase i den </w:t>
      </w:r>
      <w:proofErr w:type="spellStart"/>
      <w:r w:rsidRPr="001234F1">
        <w:rPr>
          <w:sz w:val="24"/>
          <w:szCs w:val="24"/>
        </w:rPr>
        <w:t>ovarielle</w:t>
      </w:r>
      <w:proofErr w:type="spellEnd"/>
      <w:r w:rsidRPr="001234F1">
        <w:rPr>
          <w:sz w:val="24"/>
          <w:szCs w:val="24"/>
        </w:rPr>
        <w:t xml:space="preserve"> cyklus og tidlige graviditet. Den gennemsnitlige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max</w:t>
      </w:r>
      <w:proofErr w:type="spellEnd"/>
      <w:r w:rsidRPr="001234F1">
        <w:rPr>
          <w:sz w:val="24"/>
          <w:szCs w:val="24"/>
        </w:rPr>
        <w:t xml:space="preserve"> efter 10 dage med gentagende doseringer var 18,4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 xml:space="preserve">/ml og </w:t>
      </w:r>
      <w:proofErr w:type="spellStart"/>
      <w:r w:rsidRPr="001234F1">
        <w:rPr>
          <w:sz w:val="24"/>
          <w:szCs w:val="24"/>
        </w:rPr>
        <w:t>C</w:t>
      </w:r>
      <w:r w:rsidRPr="001234F1">
        <w:rPr>
          <w:sz w:val="24"/>
          <w:szCs w:val="24"/>
          <w:vertAlign w:val="subscript"/>
        </w:rPr>
        <w:t>trough</w:t>
      </w:r>
      <w:proofErr w:type="spellEnd"/>
      <w:r w:rsidRPr="001234F1">
        <w:rPr>
          <w:sz w:val="24"/>
          <w:szCs w:val="24"/>
          <w:vertAlign w:val="subscript"/>
        </w:rPr>
        <w:t xml:space="preserve"> </w:t>
      </w:r>
      <w:r w:rsidRPr="001234F1">
        <w:rPr>
          <w:sz w:val="24"/>
          <w:szCs w:val="24"/>
        </w:rPr>
        <w:t xml:space="preserve">var 10,5 </w:t>
      </w:r>
      <w:proofErr w:type="spellStart"/>
      <w:r w:rsidRPr="001234F1">
        <w:rPr>
          <w:sz w:val="24"/>
          <w:szCs w:val="24"/>
        </w:rPr>
        <w:t>ng</w:t>
      </w:r>
      <w:proofErr w:type="spellEnd"/>
      <w:r w:rsidRPr="001234F1">
        <w:rPr>
          <w:sz w:val="24"/>
          <w:szCs w:val="24"/>
        </w:rPr>
        <w:t>/ml.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Distribution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binder ca. 96-99 % til serumproteiner, primært serumalbumin og </w:t>
      </w:r>
      <w:proofErr w:type="spellStart"/>
      <w:r w:rsidRPr="001234F1">
        <w:rPr>
          <w:sz w:val="24"/>
          <w:szCs w:val="24"/>
        </w:rPr>
        <w:t>kortikosteroidbindende</w:t>
      </w:r>
      <w:proofErr w:type="spellEnd"/>
      <w:r w:rsidRPr="001234F1">
        <w:rPr>
          <w:sz w:val="24"/>
          <w:szCs w:val="24"/>
        </w:rPr>
        <w:t xml:space="preserve"> </w:t>
      </w:r>
      <w:proofErr w:type="spellStart"/>
      <w:r w:rsidRPr="001234F1">
        <w:rPr>
          <w:sz w:val="24"/>
          <w:szCs w:val="24"/>
        </w:rPr>
        <w:t>globulin</w:t>
      </w:r>
      <w:proofErr w:type="spellEnd"/>
      <w:r w:rsidRPr="001234F1">
        <w:rPr>
          <w:sz w:val="24"/>
          <w:szCs w:val="24"/>
        </w:rPr>
        <w:t xml:space="preserve">. 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>Biotransformation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primært i leveren til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. </w:t>
      </w:r>
      <w:proofErr w:type="spellStart"/>
      <w:r w:rsidRPr="001234F1">
        <w:rPr>
          <w:sz w:val="24"/>
          <w:szCs w:val="24"/>
        </w:rPr>
        <w:t>Pregnanedioler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pregnanoloner</w:t>
      </w:r>
      <w:proofErr w:type="spellEnd"/>
      <w:r w:rsidRPr="001234F1">
        <w:rPr>
          <w:sz w:val="24"/>
          <w:szCs w:val="24"/>
        </w:rPr>
        <w:t xml:space="preserve"> er konjugeret til </w:t>
      </w:r>
      <w:proofErr w:type="spellStart"/>
      <w:r w:rsidRPr="001234F1">
        <w:rPr>
          <w:sz w:val="24"/>
          <w:szCs w:val="24"/>
        </w:rPr>
        <w:t>glukuronid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sulfatmetaboliter</w:t>
      </w:r>
      <w:proofErr w:type="spellEnd"/>
      <w:r w:rsidRPr="001234F1">
        <w:rPr>
          <w:sz w:val="24"/>
          <w:szCs w:val="24"/>
        </w:rPr>
        <w:t xml:space="preserve"> i leveren. </w:t>
      </w:r>
      <w:r w:rsidR="000A6F46">
        <w:rPr>
          <w:sz w:val="24"/>
          <w:szCs w:val="24"/>
        </w:rPr>
        <w:t>Progesteronmetabolitter</w:t>
      </w:r>
      <w:r w:rsidRPr="001234F1">
        <w:rPr>
          <w:sz w:val="24"/>
          <w:szCs w:val="24"/>
        </w:rPr>
        <w:t xml:space="preserve">, som udskilles via galden, kan være </w:t>
      </w:r>
      <w:proofErr w:type="spellStart"/>
      <w:r w:rsidRPr="001234F1">
        <w:rPr>
          <w:sz w:val="24"/>
          <w:szCs w:val="24"/>
        </w:rPr>
        <w:t>dekonjugeret</w:t>
      </w:r>
      <w:proofErr w:type="spellEnd"/>
      <w:r w:rsidRPr="001234F1">
        <w:rPr>
          <w:sz w:val="24"/>
          <w:szCs w:val="24"/>
        </w:rPr>
        <w:t xml:space="preserve"> og kan </w:t>
      </w:r>
      <w:proofErr w:type="spellStart"/>
      <w:r w:rsidRPr="001234F1">
        <w:rPr>
          <w:sz w:val="24"/>
          <w:szCs w:val="24"/>
        </w:rPr>
        <w:t>metaboliseres</w:t>
      </w:r>
      <w:proofErr w:type="spellEnd"/>
      <w:r w:rsidRPr="001234F1">
        <w:rPr>
          <w:sz w:val="24"/>
          <w:szCs w:val="24"/>
        </w:rPr>
        <w:t xml:space="preserve"> yderligere i maven via reduktion, </w:t>
      </w:r>
      <w:proofErr w:type="spellStart"/>
      <w:r w:rsidRPr="001234F1">
        <w:rPr>
          <w:sz w:val="24"/>
          <w:szCs w:val="24"/>
        </w:rPr>
        <w:t>dehydroxylering</w:t>
      </w:r>
      <w:proofErr w:type="spellEnd"/>
      <w:r w:rsidRPr="001234F1">
        <w:rPr>
          <w:sz w:val="24"/>
          <w:szCs w:val="24"/>
        </w:rPr>
        <w:t xml:space="preserve"> og </w:t>
      </w:r>
      <w:proofErr w:type="spellStart"/>
      <w:r w:rsidRPr="001234F1">
        <w:rPr>
          <w:sz w:val="24"/>
          <w:szCs w:val="24"/>
        </w:rPr>
        <w:t>epimerization</w:t>
      </w:r>
      <w:proofErr w:type="spellEnd"/>
      <w:r w:rsidRPr="001234F1">
        <w:rPr>
          <w:sz w:val="24"/>
          <w:szCs w:val="24"/>
        </w:rPr>
        <w:t>.</w:t>
      </w: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1234F1" w:rsidRDefault="00C06704" w:rsidP="00C0670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234F1">
        <w:rPr>
          <w:sz w:val="24"/>
          <w:szCs w:val="24"/>
          <w:u w:val="single"/>
        </w:rPr>
        <w:t xml:space="preserve">Elimination 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234F1">
        <w:rPr>
          <w:sz w:val="24"/>
          <w:szCs w:val="24"/>
        </w:rPr>
        <w:t xml:space="preserve">Progesteron elimineres </w:t>
      </w:r>
      <w:proofErr w:type="spellStart"/>
      <w:r w:rsidRPr="001234F1">
        <w:rPr>
          <w:sz w:val="24"/>
          <w:szCs w:val="24"/>
        </w:rPr>
        <w:t>renalt</w:t>
      </w:r>
      <w:proofErr w:type="spellEnd"/>
      <w:r w:rsidRPr="001234F1">
        <w:rPr>
          <w:sz w:val="24"/>
          <w:szCs w:val="24"/>
        </w:rPr>
        <w:t xml:space="preserve"> og via galde.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7107E">
        <w:rPr>
          <w:sz w:val="24"/>
          <w:szCs w:val="24"/>
        </w:rPr>
        <w:t>Progesteron er et velkendt naturligt reproduktionssteroidhormon hos mennesker og dyr uden kendte toksikologiske virkninger.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C06704" w:rsidRPr="00BA09F1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B1398">
        <w:rPr>
          <w:sz w:val="24"/>
          <w:szCs w:val="24"/>
        </w:rPr>
        <w:t>Hårdfedt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77D3A">
        <w:rPr>
          <w:sz w:val="24"/>
          <w:szCs w:val="24"/>
        </w:rPr>
        <w:t>Ingen relevante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BF0695">
        <w:rPr>
          <w:sz w:val="24"/>
          <w:szCs w:val="24"/>
        </w:rPr>
        <w:t>4 år</w:t>
      </w:r>
      <w:r>
        <w:rPr>
          <w:sz w:val="24"/>
          <w:szCs w:val="24"/>
        </w:rPr>
        <w:t>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632508">
        <w:rPr>
          <w:sz w:val="24"/>
          <w:szCs w:val="24"/>
        </w:rPr>
        <w:t>Må ikke opbevares ved temperaturer over 30</w:t>
      </w:r>
      <w:r>
        <w:rPr>
          <w:sz w:val="24"/>
          <w:szCs w:val="24"/>
        </w:rPr>
        <w:t xml:space="preserve"> </w:t>
      </w:r>
      <w:r w:rsidRPr="00632508">
        <w:rPr>
          <w:noProof/>
          <w:sz w:val="24"/>
          <w:szCs w:val="24"/>
        </w:rPr>
        <w:t>°C.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C06704" w:rsidRPr="00191D0B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191D0B">
        <w:rPr>
          <w:sz w:val="24"/>
          <w:szCs w:val="24"/>
        </w:rPr>
        <w:t>PVC/</w:t>
      </w:r>
      <w:proofErr w:type="gramStart"/>
      <w:r w:rsidRPr="00191D0B">
        <w:rPr>
          <w:sz w:val="24"/>
          <w:szCs w:val="24"/>
        </w:rPr>
        <w:t>PE</w:t>
      </w:r>
      <w:r>
        <w:rPr>
          <w:sz w:val="24"/>
          <w:szCs w:val="24"/>
        </w:rPr>
        <w:t xml:space="preserve"> strips</w:t>
      </w:r>
      <w:proofErr w:type="gramEnd"/>
      <w:r w:rsidR="008960F6">
        <w:rPr>
          <w:sz w:val="24"/>
          <w:szCs w:val="24"/>
        </w:rPr>
        <w:t>.</w:t>
      </w:r>
    </w:p>
    <w:p w:rsidR="008960F6" w:rsidRDefault="008960F6" w:rsidP="00C0670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  <w:r w:rsidRPr="0024141E">
        <w:rPr>
          <w:sz w:val="24"/>
          <w:szCs w:val="24"/>
        </w:rPr>
        <w:t>Ikke anvendt lægemiddel samt affald heraf skal bortskaffes i henhold til lokale retningslinjer.</w:t>
      </w:r>
    </w:p>
    <w:p w:rsidR="00C06704" w:rsidRPr="00C84483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06704" w:rsidRPr="00C84483" w:rsidRDefault="00C06704" w:rsidP="000A6F46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8960F6" w:rsidRDefault="008960F6" w:rsidP="008960F6">
      <w:pPr>
        <w:ind w:firstLine="851"/>
        <w:rPr>
          <w:lang w:eastAsia="da-DK"/>
        </w:rPr>
      </w:pPr>
      <w:proofErr w:type="spellStart"/>
      <w:r w:rsidRPr="00184359">
        <w:rPr>
          <w:lang w:eastAsia="da-DK"/>
        </w:rPr>
        <w:t>Epione</w:t>
      </w:r>
      <w:proofErr w:type="spellEnd"/>
      <w:r w:rsidRPr="00184359">
        <w:rPr>
          <w:lang w:eastAsia="da-DK"/>
        </w:rPr>
        <w:t xml:space="preserve"> </w:t>
      </w:r>
      <w:proofErr w:type="spellStart"/>
      <w:r w:rsidRPr="00184359">
        <w:rPr>
          <w:lang w:eastAsia="da-DK"/>
        </w:rPr>
        <w:t>Medicine</w:t>
      </w:r>
      <w:proofErr w:type="spellEnd"/>
      <w:r w:rsidRPr="00184359">
        <w:rPr>
          <w:lang w:eastAsia="da-DK"/>
        </w:rPr>
        <w:t xml:space="preserve"> ApS</w:t>
      </w:r>
    </w:p>
    <w:p w:rsidR="008960F6" w:rsidRDefault="008960F6" w:rsidP="008960F6">
      <w:pPr>
        <w:ind w:firstLine="851"/>
        <w:rPr>
          <w:lang w:eastAsia="da-DK"/>
        </w:rPr>
      </w:pPr>
      <w:r w:rsidRPr="00184359">
        <w:rPr>
          <w:lang w:eastAsia="da-DK"/>
        </w:rPr>
        <w:t>Kanalholmen 14L</w:t>
      </w:r>
    </w:p>
    <w:p w:rsidR="008960F6" w:rsidRDefault="008960F6" w:rsidP="008960F6">
      <w:pPr>
        <w:ind w:firstLine="851"/>
        <w:rPr>
          <w:lang w:eastAsia="da-DK"/>
        </w:rPr>
      </w:pPr>
      <w:r w:rsidRPr="00184359">
        <w:rPr>
          <w:lang w:eastAsia="da-DK"/>
        </w:rPr>
        <w:t>2650</w:t>
      </w:r>
      <w:r>
        <w:rPr>
          <w:lang w:eastAsia="da-DK"/>
        </w:rPr>
        <w:t xml:space="preserve"> </w:t>
      </w:r>
      <w:r w:rsidRPr="00184359">
        <w:rPr>
          <w:lang w:eastAsia="da-DK"/>
        </w:rPr>
        <w:t xml:space="preserve">Hvidovre </w:t>
      </w:r>
    </w:p>
    <w:p w:rsidR="008960F6" w:rsidRDefault="008960F6"/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C06704" w:rsidRPr="00C84483" w:rsidRDefault="008960F6" w:rsidP="00C0670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66599</w:t>
      </w:r>
    </w:p>
    <w:p w:rsidR="00C06704" w:rsidRPr="00C84483" w:rsidRDefault="00C06704" w:rsidP="00C0670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8960F6" w:rsidRPr="00C84483" w:rsidRDefault="008960F6" w:rsidP="008960F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7B103C">
        <w:rPr>
          <w:sz w:val="24"/>
          <w:szCs w:val="24"/>
        </w:rPr>
        <w:t>7</w:t>
      </w:r>
      <w:r>
        <w:rPr>
          <w:sz w:val="24"/>
          <w:szCs w:val="24"/>
        </w:rPr>
        <w:t>. september 2021</w:t>
      </w:r>
    </w:p>
    <w:p w:rsidR="00C06704" w:rsidRPr="00C84483" w:rsidRDefault="00C06704" w:rsidP="00C06704">
      <w:pPr>
        <w:tabs>
          <w:tab w:val="left" w:pos="851"/>
        </w:tabs>
        <w:ind w:left="851"/>
        <w:rPr>
          <w:sz w:val="24"/>
          <w:szCs w:val="24"/>
        </w:rPr>
      </w:pPr>
    </w:p>
    <w:p w:rsidR="00C06704" w:rsidRPr="00C84483" w:rsidRDefault="00C06704" w:rsidP="00C0670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C06704" w:rsidRPr="009D3587" w:rsidRDefault="00797818" w:rsidP="008960F6">
      <w:pPr>
        <w:ind w:firstLine="851"/>
      </w:pPr>
      <w:r>
        <w:t>17. november 2021</w:t>
      </w:r>
    </w:p>
    <w:p w:rsidR="00C06704" w:rsidRPr="00F02437" w:rsidRDefault="00C06704" w:rsidP="00C06704"/>
    <w:p w:rsidR="009260DE" w:rsidRPr="00C06704" w:rsidRDefault="009260DE" w:rsidP="00C06704"/>
    <w:sectPr w:rsidR="009260DE" w:rsidRPr="00C0670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704" w:rsidRDefault="00C06704">
      <w:r>
        <w:separator/>
      </w:r>
    </w:p>
  </w:endnote>
  <w:endnote w:type="continuationSeparator" w:id="0">
    <w:p w:rsidR="00C06704" w:rsidRDefault="00C06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960F6">
      <w:rPr>
        <w:i/>
        <w:noProof/>
        <w:sz w:val="18"/>
        <w:szCs w:val="18"/>
      </w:rPr>
      <w:t>Cyclogest (Epione Medicine), vagitorier 400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704" w:rsidRDefault="00C06704">
      <w:r>
        <w:separator/>
      </w:r>
    </w:p>
  </w:footnote>
  <w:footnote w:type="continuationSeparator" w:id="0">
    <w:p w:rsidR="00C06704" w:rsidRDefault="00C06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4B3E38"/>
    <w:multiLevelType w:val="hybridMultilevel"/>
    <w:tmpl w:val="1EB68D0E"/>
    <w:lvl w:ilvl="0" w:tplc="06F415E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04"/>
    <w:rsid w:val="000259B9"/>
    <w:rsid w:val="00041491"/>
    <w:rsid w:val="00050D16"/>
    <w:rsid w:val="00074F2A"/>
    <w:rsid w:val="000A1CA8"/>
    <w:rsid w:val="000A466B"/>
    <w:rsid w:val="000A6F46"/>
    <w:rsid w:val="000B058C"/>
    <w:rsid w:val="000E4EE6"/>
    <w:rsid w:val="001454E2"/>
    <w:rsid w:val="00145C0E"/>
    <w:rsid w:val="001B2A10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97818"/>
    <w:rsid w:val="007B103C"/>
    <w:rsid w:val="007B6649"/>
    <w:rsid w:val="007E3AD5"/>
    <w:rsid w:val="0081546F"/>
    <w:rsid w:val="0082576E"/>
    <w:rsid w:val="00874222"/>
    <w:rsid w:val="008960F6"/>
    <w:rsid w:val="00907F75"/>
    <w:rsid w:val="009260DE"/>
    <w:rsid w:val="0093258A"/>
    <w:rsid w:val="009C5C09"/>
    <w:rsid w:val="009C7BA3"/>
    <w:rsid w:val="009D1F5A"/>
    <w:rsid w:val="00B003BF"/>
    <w:rsid w:val="00B373D7"/>
    <w:rsid w:val="00C06704"/>
    <w:rsid w:val="00C32F11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B4551"/>
    <w:rsid w:val="00EC0B9B"/>
    <w:rsid w:val="00ED5E9F"/>
    <w:rsid w:val="00F5319D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81C6A"/>
  <w15:chartTrackingRefBased/>
  <w15:docId w15:val="{4C3DD2A8-DB0A-4A8D-A55C-68C9DA47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C06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</TotalTime>
  <Pages>6</Pages>
  <Words>1127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2021114194 - pkt. 4.8</dc:description>
  <cp:lastModifiedBy>Line Aaboe Würtz</cp:lastModifiedBy>
  <cp:revision>5</cp:revision>
  <cp:lastPrinted>2012-08-22T08:53:00Z</cp:lastPrinted>
  <dcterms:created xsi:type="dcterms:W3CDTF">2021-11-26T10:31:00Z</dcterms:created>
  <dcterms:modified xsi:type="dcterms:W3CDTF">2021-11-26T10:32:00Z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