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34" w:rsidRDefault="003F14E7">
      <w:pPr>
        <w:pStyle w:val="Titel"/>
        <w:tabs>
          <w:tab w:val="left" w:pos="7938"/>
        </w:tabs>
        <w:jc w:val="left"/>
      </w:pPr>
      <w:r w:rsidRPr="008A6348">
        <w:rPr>
          <w:noProof/>
          <w:szCs w:val="24"/>
        </w:rPr>
        <w:drawing>
          <wp:inline distT="0" distB="0" distL="0" distR="0">
            <wp:extent cx="2432050" cy="685800"/>
            <wp:effectExtent l="0" t="0" r="0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B7" w:rsidRDefault="004650B5">
      <w:pPr>
        <w:tabs>
          <w:tab w:val="center" w:pos="4513"/>
        </w:tabs>
        <w:suppressAutoHyphens/>
        <w:jc w:val="both"/>
        <w:rPr>
          <w:b/>
          <w:spacing w:val="-3"/>
          <w:lang w:val="nb-NO"/>
        </w:rPr>
      </w:pPr>
      <w:r>
        <w:rPr>
          <w:b/>
          <w:spacing w:val="-3"/>
          <w:lang w:val="nb-NO"/>
        </w:rPr>
        <w:tab/>
      </w:r>
    </w:p>
    <w:p w:rsidR="00DA0D70" w:rsidRDefault="00DA0D70">
      <w:pPr>
        <w:tabs>
          <w:tab w:val="center" w:pos="4513"/>
        </w:tabs>
        <w:suppressAutoHyphens/>
        <w:jc w:val="both"/>
        <w:rPr>
          <w:b/>
          <w:spacing w:val="-3"/>
          <w:lang w:val="nb-NO"/>
        </w:rPr>
      </w:pPr>
    </w:p>
    <w:p w:rsidR="008803CB" w:rsidRDefault="00F35FB7">
      <w:pPr>
        <w:tabs>
          <w:tab w:val="center" w:pos="4513"/>
        </w:tabs>
        <w:suppressAutoHyphens/>
        <w:jc w:val="both"/>
        <w:rPr>
          <w:b/>
          <w:spacing w:val="-3"/>
          <w:lang w:val="nb-NO"/>
        </w:rPr>
      </w:pPr>
      <w:r>
        <w:rPr>
          <w:b/>
          <w:spacing w:val="-3"/>
          <w:lang w:val="nb-NO"/>
        </w:rPr>
        <w:tab/>
      </w:r>
      <w:r w:rsidR="004650B5">
        <w:rPr>
          <w:b/>
          <w:spacing w:val="-3"/>
          <w:lang w:val="nb-NO"/>
        </w:rPr>
        <w:tab/>
      </w:r>
      <w:r w:rsidR="004650B5">
        <w:rPr>
          <w:b/>
          <w:spacing w:val="-3"/>
          <w:lang w:val="nb-NO"/>
        </w:rPr>
        <w:tab/>
      </w:r>
      <w:r w:rsidR="004650B5">
        <w:rPr>
          <w:b/>
          <w:spacing w:val="-3"/>
          <w:lang w:val="nb-NO"/>
        </w:rPr>
        <w:tab/>
      </w:r>
      <w:r w:rsidR="00356D14">
        <w:rPr>
          <w:b/>
          <w:spacing w:val="-3"/>
          <w:lang w:val="nb-NO"/>
        </w:rPr>
        <w:t>30. april 2025</w:t>
      </w:r>
    </w:p>
    <w:p w:rsidR="008803CB" w:rsidRDefault="008803CB">
      <w:pPr>
        <w:tabs>
          <w:tab w:val="center" w:pos="4513"/>
        </w:tabs>
        <w:suppressAutoHyphens/>
        <w:jc w:val="both"/>
        <w:rPr>
          <w:b/>
          <w:spacing w:val="-3"/>
          <w:lang w:val="nb-NO"/>
        </w:rPr>
      </w:pPr>
    </w:p>
    <w:p w:rsidR="008803CB" w:rsidRDefault="008803CB">
      <w:pPr>
        <w:pStyle w:val="Overskrift2"/>
      </w:pPr>
      <w:r>
        <w:t>PRODUKTRESUMÉ</w:t>
      </w:r>
    </w:p>
    <w:p w:rsidR="008803CB" w:rsidRDefault="008803CB" w:rsidP="00B978D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spacing w:val="-3"/>
          <w:lang w:val="nb-NO"/>
        </w:rPr>
      </w:pPr>
    </w:p>
    <w:p w:rsidR="008803CB" w:rsidRDefault="00A106BE" w:rsidP="00A106BE">
      <w:pPr>
        <w:tabs>
          <w:tab w:val="left" w:pos="360"/>
          <w:tab w:val="center" w:pos="4513"/>
          <w:tab w:val="center" w:pos="4819"/>
        </w:tabs>
        <w:suppressAutoHyphens/>
        <w:rPr>
          <w:b/>
          <w:spacing w:val="-3"/>
          <w:lang w:val="nb-NO"/>
        </w:rPr>
      </w:pPr>
      <w:r>
        <w:rPr>
          <w:b/>
          <w:spacing w:val="-3"/>
          <w:lang w:val="nb-NO"/>
        </w:rPr>
        <w:tab/>
      </w:r>
      <w:r>
        <w:rPr>
          <w:b/>
          <w:spacing w:val="-3"/>
          <w:lang w:val="nb-NO"/>
        </w:rPr>
        <w:tab/>
      </w:r>
      <w:r>
        <w:rPr>
          <w:b/>
          <w:spacing w:val="-3"/>
          <w:lang w:val="nb-NO"/>
        </w:rPr>
        <w:tab/>
      </w:r>
      <w:r w:rsidR="008803CB">
        <w:rPr>
          <w:b/>
          <w:spacing w:val="-3"/>
          <w:lang w:val="nb-NO"/>
        </w:rPr>
        <w:t>for</w:t>
      </w:r>
    </w:p>
    <w:p w:rsidR="008803CB" w:rsidRDefault="008803C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jc w:val="center"/>
        <w:rPr>
          <w:b/>
          <w:spacing w:val="-3"/>
          <w:lang w:val="nb-NO"/>
        </w:rPr>
      </w:pPr>
    </w:p>
    <w:p w:rsidR="008803CB" w:rsidRDefault="008803CB">
      <w:pPr>
        <w:tabs>
          <w:tab w:val="center" w:pos="4513"/>
        </w:tabs>
        <w:suppressAutoHyphens/>
        <w:jc w:val="center"/>
        <w:rPr>
          <w:b/>
          <w:spacing w:val="-3"/>
          <w:lang w:val="nb-NO"/>
        </w:rPr>
      </w:pPr>
      <w:r>
        <w:rPr>
          <w:b/>
          <w:spacing w:val="-3"/>
          <w:lang w:val="nb-NO"/>
        </w:rPr>
        <w:t>Cyclogyl, øjendråber, opløsning</w:t>
      </w:r>
      <w:r w:rsidR="008A6348">
        <w:rPr>
          <w:b/>
          <w:spacing w:val="-3"/>
          <w:lang w:val="nb-NO"/>
        </w:rPr>
        <w:t xml:space="preserve"> (Orifarm A/S)</w:t>
      </w:r>
    </w:p>
    <w:p w:rsidR="008803CB" w:rsidRDefault="008803CB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spacing w:val="-3"/>
          <w:lang w:val="nb-NO"/>
        </w:rPr>
      </w:pPr>
    </w:p>
    <w:p w:rsidR="008803CB" w:rsidRDefault="008803CB" w:rsidP="008803CB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</w:rPr>
      </w:pPr>
      <w:r>
        <w:rPr>
          <w:b/>
        </w:rPr>
        <w:t>D.SP.NR.</w:t>
      </w:r>
    </w:p>
    <w:p w:rsidR="008803CB" w:rsidRDefault="008803CB">
      <w:pPr>
        <w:tabs>
          <w:tab w:val="left" w:pos="851"/>
        </w:tabs>
      </w:pPr>
      <w:r>
        <w:tab/>
        <w:t>1350</w:t>
      </w:r>
    </w:p>
    <w:p w:rsidR="008803CB" w:rsidRDefault="008803CB">
      <w:pPr>
        <w:tabs>
          <w:tab w:val="left" w:pos="851"/>
        </w:tabs>
      </w:pPr>
    </w:p>
    <w:p w:rsidR="008803CB" w:rsidRDefault="008803CB" w:rsidP="008803CB">
      <w:pPr>
        <w:numPr>
          <w:ilvl w:val="0"/>
          <w:numId w:val="1"/>
        </w:numPr>
        <w:rPr>
          <w:b/>
        </w:rPr>
      </w:pPr>
      <w:r>
        <w:rPr>
          <w:b/>
        </w:rPr>
        <w:t>LÆGEMIDLETS NAVN</w:t>
      </w:r>
    </w:p>
    <w:p w:rsidR="008803CB" w:rsidRDefault="008803CB">
      <w:pPr>
        <w:tabs>
          <w:tab w:val="left" w:pos="851"/>
        </w:tabs>
      </w:pPr>
      <w:r>
        <w:tab/>
      </w:r>
      <w:proofErr w:type="spellStart"/>
      <w:r>
        <w:t>Cyclogyl</w:t>
      </w:r>
      <w:proofErr w:type="spellEnd"/>
    </w:p>
    <w:p w:rsidR="008803CB" w:rsidRDefault="008803CB">
      <w:pPr>
        <w:tabs>
          <w:tab w:val="left" w:pos="851"/>
        </w:tabs>
      </w:pPr>
      <w:r>
        <w:tab/>
      </w:r>
    </w:p>
    <w:p w:rsidR="008803CB" w:rsidRDefault="008803CB" w:rsidP="008803CB">
      <w:pPr>
        <w:numPr>
          <w:ilvl w:val="0"/>
          <w:numId w:val="1"/>
        </w:numPr>
        <w:rPr>
          <w:b/>
        </w:rPr>
      </w:pPr>
      <w:r>
        <w:rPr>
          <w:b/>
        </w:rPr>
        <w:t>KVALITATIV OG KVANTITATIV SAMMENSÆTNING</w:t>
      </w:r>
    </w:p>
    <w:p w:rsidR="00DA0D70" w:rsidRPr="00242DB8" w:rsidRDefault="00CC19D5" w:rsidP="00DA0D70">
      <w:pPr>
        <w:tabs>
          <w:tab w:val="left" w:pos="0"/>
          <w:tab w:val="left" w:pos="851"/>
        </w:tabs>
        <w:ind w:left="1700" w:hanging="850"/>
        <w:jc w:val="both"/>
        <w:rPr>
          <w:spacing w:val="-3"/>
          <w:szCs w:val="24"/>
        </w:rPr>
      </w:pPr>
      <w:r w:rsidRPr="003E18A2">
        <w:rPr>
          <w:spacing w:val="-3"/>
        </w:rPr>
        <w:tab/>
      </w:r>
      <w:r w:rsidR="00DA0D70" w:rsidRPr="00242DB8">
        <w:rPr>
          <w:szCs w:val="24"/>
        </w:rPr>
        <w:t xml:space="preserve">1 ml opløsning indeholder 10 mg </w:t>
      </w:r>
      <w:proofErr w:type="spellStart"/>
      <w:r w:rsidR="00DA0D70" w:rsidRPr="00242DB8">
        <w:rPr>
          <w:spacing w:val="-3"/>
          <w:szCs w:val="24"/>
        </w:rPr>
        <w:t>cyclopentolathydrochlorid</w:t>
      </w:r>
      <w:proofErr w:type="spellEnd"/>
      <w:r w:rsidR="00DA0D70" w:rsidRPr="00242DB8">
        <w:rPr>
          <w:spacing w:val="-3"/>
          <w:szCs w:val="24"/>
        </w:rPr>
        <w:t>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1700" w:hanging="850"/>
        <w:jc w:val="both"/>
        <w:rPr>
          <w:spacing w:val="-3"/>
          <w:szCs w:val="24"/>
        </w:rPr>
      </w:pPr>
    </w:p>
    <w:p w:rsidR="00DA0D70" w:rsidRPr="006731AC" w:rsidRDefault="00DA0D70" w:rsidP="00DA0D70">
      <w:pPr>
        <w:tabs>
          <w:tab w:val="left" w:pos="0"/>
          <w:tab w:val="left" w:pos="851"/>
        </w:tabs>
        <w:ind w:left="1700" w:hanging="850"/>
        <w:jc w:val="both"/>
        <w:rPr>
          <w:spacing w:val="-3"/>
          <w:szCs w:val="24"/>
          <w:u w:val="single"/>
        </w:rPr>
      </w:pPr>
      <w:r w:rsidRPr="00242DB8">
        <w:rPr>
          <w:spacing w:val="-3"/>
          <w:szCs w:val="24"/>
          <w:u w:val="single"/>
        </w:rPr>
        <w:t xml:space="preserve">Hjælpestof </w:t>
      </w:r>
      <w:r w:rsidRPr="006731AC">
        <w:rPr>
          <w:spacing w:val="-3"/>
          <w:szCs w:val="24"/>
          <w:u w:val="single"/>
        </w:rPr>
        <w:t>med kendt virkning:</w:t>
      </w:r>
    </w:p>
    <w:p w:rsidR="00DA0D70" w:rsidRPr="00242DB8" w:rsidRDefault="00DA0D70" w:rsidP="00DA0D70">
      <w:pPr>
        <w:ind w:firstLine="850"/>
        <w:rPr>
          <w:spacing w:val="-3"/>
          <w:szCs w:val="24"/>
        </w:rPr>
      </w:pPr>
      <w:r w:rsidRPr="00242DB8">
        <w:rPr>
          <w:spacing w:val="-3"/>
          <w:szCs w:val="24"/>
        </w:rPr>
        <w:t xml:space="preserve">1 ml opløsning indeholder 0,1 mg </w:t>
      </w:r>
      <w:proofErr w:type="spellStart"/>
      <w:r w:rsidRPr="00242DB8">
        <w:rPr>
          <w:spacing w:val="-3"/>
          <w:szCs w:val="24"/>
        </w:rPr>
        <w:t>benzalkoniumchlorid</w:t>
      </w:r>
      <w:proofErr w:type="spellEnd"/>
      <w:r w:rsidRPr="00242DB8">
        <w:rPr>
          <w:spacing w:val="-3"/>
          <w:szCs w:val="24"/>
        </w:rPr>
        <w:t>.</w:t>
      </w:r>
    </w:p>
    <w:p w:rsidR="00DA0D70" w:rsidRPr="00242DB8" w:rsidRDefault="00DA0D70" w:rsidP="00DA0D70">
      <w:pPr>
        <w:ind w:firstLine="850"/>
        <w:rPr>
          <w:spacing w:val="-3"/>
          <w:szCs w:val="24"/>
        </w:rPr>
      </w:pPr>
    </w:p>
    <w:p w:rsidR="00DA0D70" w:rsidRPr="00242DB8" w:rsidRDefault="00DA0D70" w:rsidP="00DA0D70">
      <w:pPr>
        <w:ind w:firstLine="850"/>
        <w:rPr>
          <w:spacing w:val="-3"/>
          <w:szCs w:val="24"/>
        </w:rPr>
      </w:pPr>
      <w:r w:rsidRPr="00242DB8">
        <w:rPr>
          <w:spacing w:val="-3"/>
          <w:szCs w:val="24"/>
        </w:rPr>
        <w:t>Alle hjælpestoffer er anført under pkt. 6.1.</w:t>
      </w:r>
    </w:p>
    <w:p w:rsidR="008803CB" w:rsidRDefault="008803CB" w:rsidP="00DA0D70">
      <w:pPr>
        <w:tabs>
          <w:tab w:val="left" w:pos="0"/>
          <w:tab w:val="left" w:pos="851"/>
        </w:tabs>
        <w:ind w:left="850" w:hanging="850"/>
        <w:jc w:val="both"/>
      </w:pPr>
    </w:p>
    <w:p w:rsidR="008803CB" w:rsidRDefault="008803CB" w:rsidP="008803CB">
      <w:pPr>
        <w:numPr>
          <w:ilvl w:val="0"/>
          <w:numId w:val="1"/>
        </w:numPr>
        <w:rPr>
          <w:b/>
        </w:rPr>
      </w:pPr>
      <w:r>
        <w:rPr>
          <w:b/>
        </w:rPr>
        <w:t>LÆGEMIDDELFORM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5"/>
        <w:jc w:val="both"/>
        <w:rPr>
          <w:spacing w:val="-3"/>
          <w:szCs w:val="24"/>
        </w:rPr>
      </w:pPr>
      <w:r w:rsidRPr="00242DB8">
        <w:rPr>
          <w:spacing w:val="-3"/>
          <w:szCs w:val="24"/>
        </w:rPr>
        <w:t>Øjendråber, opløsning</w:t>
      </w:r>
      <w:r w:rsidR="008A6348">
        <w:rPr>
          <w:spacing w:val="-3"/>
          <w:szCs w:val="24"/>
        </w:rPr>
        <w:t xml:space="preserve"> (</w:t>
      </w:r>
      <w:proofErr w:type="spellStart"/>
      <w:r w:rsidR="008A6348">
        <w:rPr>
          <w:spacing w:val="-3"/>
          <w:szCs w:val="24"/>
        </w:rPr>
        <w:t>Orifarm</w:t>
      </w:r>
      <w:proofErr w:type="spellEnd"/>
      <w:r w:rsidR="008A6348">
        <w:rPr>
          <w:spacing w:val="-3"/>
          <w:szCs w:val="24"/>
        </w:rPr>
        <w:t xml:space="preserve"> A/S)</w:t>
      </w:r>
      <w:r w:rsidRPr="00242DB8">
        <w:rPr>
          <w:spacing w:val="-3"/>
          <w:szCs w:val="24"/>
        </w:rPr>
        <w:t>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1700" w:hanging="850"/>
        <w:jc w:val="both"/>
        <w:rPr>
          <w:spacing w:val="-3"/>
          <w:szCs w:val="24"/>
        </w:rPr>
      </w:pPr>
    </w:p>
    <w:p w:rsidR="00DA0D70" w:rsidRPr="00242DB8" w:rsidRDefault="00DA0D70" w:rsidP="00DA0D70">
      <w:pPr>
        <w:tabs>
          <w:tab w:val="left" w:pos="0"/>
          <w:tab w:val="left" w:pos="851"/>
        </w:tabs>
        <w:ind w:left="1700" w:hanging="850"/>
        <w:jc w:val="both"/>
        <w:rPr>
          <w:spacing w:val="-3"/>
          <w:szCs w:val="24"/>
        </w:rPr>
      </w:pPr>
      <w:r w:rsidRPr="00242DB8">
        <w:rPr>
          <w:szCs w:val="24"/>
        </w:rPr>
        <w:t>En klar, farveløs opløsning.</w:t>
      </w:r>
    </w:p>
    <w:p w:rsidR="002A11FF" w:rsidRDefault="002A11FF" w:rsidP="00CC19D5">
      <w:pPr>
        <w:tabs>
          <w:tab w:val="left" w:pos="0"/>
          <w:tab w:val="left" w:pos="851"/>
        </w:tabs>
        <w:ind w:left="850" w:hanging="850"/>
        <w:jc w:val="both"/>
        <w:rPr>
          <w:spacing w:val="-3"/>
        </w:rPr>
      </w:pPr>
    </w:p>
    <w:p w:rsidR="008803CB" w:rsidRDefault="002A11FF" w:rsidP="002F54E8">
      <w:pPr>
        <w:tabs>
          <w:tab w:val="left" w:pos="0"/>
          <w:tab w:val="left" w:pos="851"/>
        </w:tabs>
        <w:ind w:left="850" w:hanging="850"/>
        <w:jc w:val="both"/>
      </w:pPr>
      <w:r>
        <w:rPr>
          <w:spacing w:val="-3"/>
        </w:rPr>
        <w:tab/>
      </w:r>
      <w:r w:rsidRPr="002A11FF">
        <w:rPr>
          <w:spacing w:val="-3"/>
        </w:rPr>
        <w:tab/>
      </w:r>
    </w:p>
    <w:p w:rsidR="008803CB" w:rsidRDefault="008803CB" w:rsidP="008803CB">
      <w:pPr>
        <w:numPr>
          <w:ilvl w:val="0"/>
          <w:numId w:val="1"/>
        </w:numPr>
        <w:rPr>
          <w:b/>
        </w:rPr>
      </w:pPr>
      <w:r>
        <w:rPr>
          <w:b/>
        </w:rPr>
        <w:t>KLINISKE OPLYSNINGER</w:t>
      </w:r>
    </w:p>
    <w:p w:rsidR="008803CB" w:rsidRDefault="008803CB">
      <w:pPr>
        <w:tabs>
          <w:tab w:val="left" w:pos="851"/>
        </w:tabs>
        <w:rPr>
          <w:b/>
        </w:rPr>
      </w:pPr>
    </w:p>
    <w:p w:rsidR="008803CB" w:rsidRDefault="008803CB" w:rsidP="008803CB">
      <w:pPr>
        <w:numPr>
          <w:ilvl w:val="1"/>
          <w:numId w:val="1"/>
        </w:numPr>
        <w:rPr>
          <w:b/>
          <w:u w:val="single"/>
        </w:rPr>
      </w:pPr>
      <w:r>
        <w:rPr>
          <w:b/>
        </w:rPr>
        <w:t>Terapeutiske indikationer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5"/>
        <w:jc w:val="both"/>
        <w:rPr>
          <w:spacing w:val="-3"/>
          <w:szCs w:val="24"/>
        </w:rPr>
      </w:pPr>
      <w:proofErr w:type="spellStart"/>
      <w:r w:rsidRPr="00242DB8">
        <w:rPr>
          <w:spacing w:val="-3"/>
          <w:szCs w:val="24"/>
        </w:rPr>
        <w:t>Pupildilation</w:t>
      </w:r>
      <w:proofErr w:type="spellEnd"/>
      <w:r w:rsidRPr="00242DB8">
        <w:rPr>
          <w:spacing w:val="-3"/>
          <w:szCs w:val="24"/>
        </w:rPr>
        <w:t xml:space="preserve"> (</w:t>
      </w:r>
      <w:proofErr w:type="spellStart"/>
      <w:r w:rsidRPr="00242DB8">
        <w:rPr>
          <w:spacing w:val="-3"/>
          <w:szCs w:val="24"/>
        </w:rPr>
        <w:t>mydriatisk</w:t>
      </w:r>
      <w:proofErr w:type="spellEnd"/>
      <w:r w:rsidRPr="00242DB8">
        <w:rPr>
          <w:spacing w:val="-3"/>
          <w:szCs w:val="24"/>
        </w:rPr>
        <w:t>).</w:t>
      </w:r>
    </w:p>
    <w:p w:rsidR="00DA0D70" w:rsidRPr="00242DB8" w:rsidRDefault="00DA0D70" w:rsidP="00DA0D70">
      <w:pPr>
        <w:tabs>
          <w:tab w:val="left" w:pos="851"/>
        </w:tabs>
        <w:rPr>
          <w:szCs w:val="24"/>
        </w:rPr>
      </w:pPr>
    </w:p>
    <w:p w:rsidR="00DA0D70" w:rsidRPr="00242DB8" w:rsidRDefault="00DA0D70" w:rsidP="00DA0D70">
      <w:pPr>
        <w:tabs>
          <w:tab w:val="left" w:pos="851"/>
        </w:tabs>
        <w:rPr>
          <w:szCs w:val="24"/>
        </w:rPr>
      </w:pPr>
      <w:r w:rsidRPr="00242DB8">
        <w:rPr>
          <w:szCs w:val="24"/>
        </w:rPr>
        <w:tab/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er indiceret til voksne.</w:t>
      </w:r>
    </w:p>
    <w:p w:rsidR="00DA0D70" w:rsidRPr="00242DB8" w:rsidRDefault="00DA0D70" w:rsidP="00DA0D70">
      <w:pPr>
        <w:tabs>
          <w:tab w:val="left" w:pos="851"/>
        </w:tabs>
        <w:rPr>
          <w:szCs w:val="24"/>
        </w:rPr>
      </w:pPr>
      <w:r w:rsidRPr="00242DB8">
        <w:rPr>
          <w:szCs w:val="24"/>
        </w:rPr>
        <w:tab/>
      </w:r>
    </w:p>
    <w:p w:rsidR="00DA0D70" w:rsidRPr="00DA0D70" w:rsidRDefault="00DA0D70" w:rsidP="00DA0D70">
      <w:pPr>
        <w:numPr>
          <w:ilvl w:val="1"/>
          <w:numId w:val="1"/>
        </w:numPr>
        <w:rPr>
          <w:b/>
          <w:szCs w:val="24"/>
        </w:rPr>
      </w:pPr>
      <w:r w:rsidRPr="00242DB8">
        <w:rPr>
          <w:b/>
          <w:szCs w:val="24"/>
        </w:rPr>
        <w:t xml:space="preserve">Dosering og </w:t>
      </w:r>
      <w:r w:rsidR="00356D14">
        <w:rPr>
          <w:b/>
          <w:szCs w:val="24"/>
        </w:rPr>
        <w:t>administration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pacing w:val="-3"/>
          <w:szCs w:val="24"/>
          <w:u w:val="single"/>
        </w:rPr>
      </w:pPr>
      <w:r w:rsidRPr="00242DB8">
        <w:rPr>
          <w:spacing w:val="-3"/>
          <w:szCs w:val="24"/>
          <w:u w:val="single"/>
        </w:rPr>
        <w:t>Dosering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zCs w:val="24"/>
        </w:rPr>
      </w:pPr>
      <w:r w:rsidRPr="006731AC">
        <w:rPr>
          <w:i/>
          <w:spacing w:val="-3"/>
          <w:szCs w:val="24"/>
        </w:rPr>
        <w:t>Voksne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pacing w:val="-3"/>
          <w:szCs w:val="24"/>
        </w:rPr>
      </w:pPr>
      <w:proofErr w:type="spellStart"/>
      <w:r w:rsidRPr="00242DB8">
        <w:rPr>
          <w:spacing w:val="-3"/>
          <w:szCs w:val="24"/>
        </w:rPr>
        <w:t>Oftalmoskopi</w:t>
      </w:r>
      <w:proofErr w:type="spellEnd"/>
      <w:r w:rsidRPr="00242DB8">
        <w:rPr>
          <w:spacing w:val="-3"/>
          <w:szCs w:val="24"/>
        </w:rPr>
        <w:t xml:space="preserve">: 1 dråbe 30 minutter før undersøgelsen. 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pacing w:val="-3"/>
          <w:szCs w:val="24"/>
        </w:rPr>
      </w:pP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pacing w:val="-2"/>
          <w:szCs w:val="24"/>
        </w:rPr>
      </w:pPr>
      <w:r w:rsidRPr="006731AC">
        <w:rPr>
          <w:i/>
          <w:spacing w:val="-3"/>
          <w:szCs w:val="24"/>
        </w:rPr>
        <w:t>Ældre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pacing w:val="-3"/>
          <w:szCs w:val="24"/>
        </w:rPr>
      </w:pPr>
      <w:proofErr w:type="spellStart"/>
      <w:r w:rsidRPr="00242DB8">
        <w:rPr>
          <w:spacing w:val="-2"/>
          <w:szCs w:val="24"/>
        </w:rPr>
        <w:t>Cyclogyl</w:t>
      </w:r>
      <w:proofErr w:type="spellEnd"/>
      <w:r w:rsidRPr="00242DB8">
        <w:rPr>
          <w:spacing w:val="-2"/>
          <w:szCs w:val="24"/>
        </w:rPr>
        <w:t xml:space="preserve"> skal anvendes med forsigti</w:t>
      </w:r>
      <w:r w:rsidRPr="00242DB8">
        <w:rPr>
          <w:spacing w:val="-2"/>
          <w:szCs w:val="24"/>
        </w:rPr>
        <w:t>g</w:t>
      </w:r>
      <w:r w:rsidRPr="00242DB8">
        <w:rPr>
          <w:spacing w:val="-2"/>
          <w:szCs w:val="24"/>
        </w:rPr>
        <w:t xml:space="preserve">hed til den ældre patientpopulation </w:t>
      </w:r>
      <w:r w:rsidRPr="00242DB8">
        <w:rPr>
          <w:szCs w:val="24"/>
        </w:rPr>
        <w:t>(se pkt. 4.4).</w:t>
      </w:r>
    </w:p>
    <w:p w:rsidR="00DA0D70" w:rsidRPr="00242DB8" w:rsidRDefault="00DA0D70" w:rsidP="00DA0D70">
      <w:pPr>
        <w:tabs>
          <w:tab w:val="left" w:pos="851"/>
          <w:tab w:val="left" w:pos="4253"/>
          <w:tab w:val="left" w:pos="6946"/>
        </w:tabs>
        <w:ind w:left="851" w:right="71"/>
        <w:rPr>
          <w:szCs w:val="24"/>
          <w:u w:val="single"/>
        </w:rPr>
      </w:pPr>
    </w:p>
    <w:p w:rsidR="00DA0D70" w:rsidRPr="00242DB8" w:rsidRDefault="00DA0D70" w:rsidP="00DA0D70">
      <w:pPr>
        <w:tabs>
          <w:tab w:val="left" w:pos="851"/>
          <w:tab w:val="left" w:pos="4253"/>
          <w:tab w:val="left" w:pos="6946"/>
        </w:tabs>
        <w:ind w:left="851" w:right="71"/>
        <w:rPr>
          <w:szCs w:val="24"/>
        </w:rPr>
      </w:pPr>
      <w:r w:rsidRPr="006731AC">
        <w:rPr>
          <w:i/>
          <w:szCs w:val="24"/>
        </w:rPr>
        <w:t>Pædiatrisk population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1"/>
        <w:rPr>
          <w:szCs w:val="24"/>
          <w:lang w:eastAsia="bg-BG"/>
        </w:rPr>
      </w:pPr>
      <w:r w:rsidRPr="006731AC">
        <w:rPr>
          <w:szCs w:val="24"/>
          <w:lang w:eastAsia="bg-BG"/>
        </w:rPr>
        <w:t xml:space="preserve">Sikkerhed og virkning af </w:t>
      </w:r>
      <w:proofErr w:type="spellStart"/>
      <w:r w:rsidRPr="006731AC">
        <w:rPr>
          <w:szCs w:val="24"/>
          <w:lang w:eastAsia="bg-BG"/>
        </w:rPr>
        <w:t>Cyclogyl</w:t>
      </w:r>
      <w:proofErr w:type="spellEnd"/>
      <w:r w:rsidRPr="006731AC">
        <w:rPr>
          <w:szCs w:val="24"/>
          <w:lang w:eastAsia="bg-BG"/>
        </w:rPr>
        <w:t xml:space="preserve"> 10 mg/ml hos børn er ikke klarlagt. </w:t>
      </w:r>
    </w:p>
    <w:p w:rsidR="00DA0D70" w:rsidRPr="006731AC" w:rsidRDefault="00DA0D70" w:rsidP="00DA0D70">
      <w:pPr>
        <w:tabs>
          <w:tab w:val="left" w:pos="0"/>
          <w:tab w:val="left" w:pos="851"/>
        </w:tabs>
        <w:ind w:left="851"/>
        <w:rPr>
          <w:i/>
          <w:szCs w:val="24"/>
          <w:highlight w:val="yellow"/>
          <w:lang w:eastAsia="bg-BG"/>
        </w:rPr>
      </w:pPr>
      <w:proofErr w:type="spellStart"/>
      <w:r w:rsidRPr="006731AC">
        <w:rPr>
          <w:szCs w:val="24"/>
          <w:lang w:eastAsia="bg-BG"/>
        </w:rPr>
        <w:t>Cyclogyl</w:t>
      </w:r>
      <w:proofErr w:type="spellEnd"/>
      <w:r w:rsidRPr="006731AC">
        <w:rPr>
          <w:szCs w:val="24"/>
          <w:lang w:eastAsia="bg-BG"/>
        </w:rPr>
        <w:t xml:space="preserve"> </w:t>
      </w:r>
      <w:r w:rsidRPr="00242DB8">
        <w:rPr>
          <w:szCs w:val="24"/>
          <w:lang w:eastAsia="bg-BG"/>
        </w:rPr>
        <w:t>anbefales ikke</w:t>
      </w:r>
      <w:r w:rsidRPr="006731AC">
        <w:rPr>
          <w:szCs w:val="24"/>
          <w:lang w:eastAsia="bg-BG"/>
        </w:rPr>
        <w:t xml:space="preserve"> til børn. 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1"/>
        <w:rPr>
          <w:i/>
          <w:szCs w:val="24"/>
          <w:highlight w:val="yellow"/>
          <w:u w:val="single"/>
          <w:lang w:eastAsia="bg-BG"/>
        </w:rPr>
      </w:pPr>
    </w:p>
    <w:p w:rsidR="00DA0D70" w:rsidRPr="006731AC" w:rsidRDefault="00DA0D70" w:rsidP="00DA0D70">
      <w:pPr>
        <w:tabs>
          <w:tab w:val="left" w:pos="0"/>
          <w:tab w:val="left" w:pos="851"/>
        </w:tabs>
        <w:ind w:left="851"/>
        <w:rPr>
          <w:i/>
          <w:szCs w:val="24"/>
          <w:lang w:eastAsia="bg-BG"/>
        </w:rPr>
      </w:pPr>
      <w:r w:rsidRPr="006731AC">
        <w:rPr>
          <w:i/>
          <w:szCs w:val="24"/>
          <w:lang w:eastAsia="bg-BG"/>
        </w:rPr>
        <w:t>Nedsat lever- og nyrefunktion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1"/>
        <w:rPr>
          <w:szCs w:val="24"/>
        </w:rPr>
      </w:pPr>
      <w:proofErr w:type="spellStart"/>
      <w:r w:rsidRPr="00242DB8">
        <w:rPr>
          <w:spacing w:val="-2"/>
          <w:szCs w:val="24"/>
        </w:rPr>
        <w:t>Cyclogyl</w:t>
      </w:r>
      <w:proofErr w:type="spellEnd"/>
      <w:r w:rsidRPr="00242DB8">
        <w:rPr>
          <w:spacing w:val="-2"/>
          <w:szCs w:val="24"/>
        </w:rPr>
        <w:t xml:space="preserve"> er ikke vurderet hos disse patientpopulationer. </w:t>
      </w:r>
    </w:p>
    <w:p w:rsidR="00DA0D70" w:rsidRPr="00242DB8" w:rsidRDefault="00DA0D70" w:rsidP="00DA0D70">
      <w:pPr>
        <w:keepNext/>
        <w:ind w:firstLine="850"/>
        <w:rPr>
          <w:szCs w:val="24"/>
          <w:u w:val="single"/>
        </w:rPr>
      </w:pPr>
    </w:p>
    <w:p w:rsidR="00DA0D70" w:rsidRPr="00242DB8" w:rsidRDefault="00DA0D70" w:rsidP="00DA0D70">
      <w:pPr>
        <w:keepNext/>
        <w:ind w:firstLine="850"/>
        <w:rPr>
          <w:szCs w:val="24"/>
          <w:u w:val="single"/>
        </w:rPr>
      </w:pPr>
      <w:r w:rsidRPr="00242DB8">
        <w:rPr>
          <w:szCs w:val="24"/>
          <w:u w:val="single"/>
        </w:rPr>
        <w:t>Administration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0"/>
        <w:rPr>
          <w:spacing w:val="-3"/>
          <w:szCs w:val="24"/>
        </w:rPr>
      </w:pPr>
      <w:r w:rsidRPr="00242DB8">
        <w:rPr>
          <w:spacing w:val="-3"/>
          <w:szCs w:val="24"/>
        </w:rPr>
        <w:t xml:space="preserve">Kun til </w:t>
      </w:r>
      <w:proofErr w:type="spellStart"/>
      <w:r w:rsidRPr="00242DB8">
        <w:rPr>
          <w:spacing w:val="-3"/>
          <w:szCs w:val="24"/>
        </w:rPr>
        <w:t>okulær</w:t>
      </w:r>
      <w:proofErr w:type="spellEnd"/>
      <w:r w:rsidRPr="00242DB8">
        <w:rPr>
          <w:spacing w:val="-3"/>
          <w:szCs w:val="24"/>
        </w:rPr>
        <w:t xml:space="preserve"> brug.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0"/>
        <w:rPr>
          <w:spacing w:val="-3"/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jc w:val="both"/>
        <w:rPr>
          <w:color w:val="000000"/>
          <w:szCs w:val="24"/>
        </w:rPr>
      </w:pPr>
      <w:r w:rsidRPr="00242DB8">
        <w:rPr>
          <w:rFonts w:eastAsia="SimSun"/>
          <w:color w:val="000000"/>
          <w:szCs w:val="24"/>
        </w:rPr>
        <w:t xml:space="preserve">Hvis </w:t>
      </w:r>
      <w:proofErr w:type="spellStart"/>
      <w:r w:rsidRPr="00242DB8">
        <w:rPr>
          <w:rFonts w:eastAsia="SimSun"/>
          <w:color w:val="000000"/>
          <w:szCs w:val="24"/>
        </w:rPr>
        <w:t>sikkerhedsringen</w:t>
      </w:r>
      <w:proofErr w:type="spellEnd"/>
      <w:r w:rsidRPr="00242DB8">
        <w:rPr>
          <w:rFonts w:eastAsia="SimSun"/>
          <w:color w:val="000000"/>
          <w:szCs w:val="24"/>
        </w:rPr>
        <w:t xml:space="preserve"> omkring hætten sidder løst, når flasken åbnes, skal den fjernes, i</w:t>
      </w:r>
      <w:r w:rsidRPr="00242DB8">
        <w:rPr>
          <w:rFonts w:eastAsia="SimSun"/>
          <w:color w:val="000000"/>
          <w:szCs w:val="24"/>
        </w:rPr>
        <w:t>n</w:t>
      </w:r>
      <w:r w:rsidRPr="00242DB8">
        <w:rPr>
          <w:rFonts w:eastAsia="SimSun"/>
          <w:color w:val="000000"/>
          <w:szCs w:val="24"/>
        </w:rPr>
        <w:t>den præp</w:t>
      </w:r>
      <w:r w:rsidRPr="00242DB8">
        <w:rPr>
          <w:rFonts w:eastAsia="SimSun"/>
          <w:color w:val="000000"/>
          <w:szCs w:val="24"/>
        </w:rPr>
        <w:t>a</w:t>
      </w:r>
      <w:r w:rsidRPr="00242DB8">
        <w:rPr>
          <w:rFonts w:eastAsia="SimSun"/>
          <w:color w:val="000000"/>
          <w:szCs w:val="24"/>
        </w:rPr>
        <w:t xml:space="preserve">ratet tages i brug. 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0"/>
        <w:jc w:val="both"/>
        <w:rPr>
          <w:spacing w:val="-3"/>
          <w:szCs w:val="24"/>
        </w:rPr>
      </w:pPr>
    </w:p>
    <w:p w:rsidR="00DA0D70" w:rsidRPr="00242DB8" w:rsidRDefault="00DA0D70" w:rsidP="00DA0D70">
      <w:pPr>
        <w:ind w:left="850"/>
        <w:rPr>
          <w:szCs w:val="24"/>
        </w:rPr>
      </w:pPr>
      <w:r w:rsidRPr="00242DB8">
        <w:rPr>
          <w:szCs w:val="24"/>
        </w:rPr>
        <w:t>For at forhindre kontaminering af dråbespidsen og opløsningen, skal man være opmær</w:t>
      </w:r>
      <w:r w:rsidRPr="00242DB8">
        <w:rPr>
          <w:szCs w:val="24"/>
        </w:rPr>
        <w:t>k</w:t>
      </w:r>
      <w:r w:rsidRPr="00242DB8">
        <w:rPr>
          <w:szCs w:val="24"/>
        </w:rPr>
        <w:t>som på ikke at berøre øjenlåget, omgivende områder eller andre overflader med spi</w:t>
      </w:r>
      <w:r w:rsidRPr="00242DB8">
        <w:rPr>
          <w:szCs w:val="24"/>
        </w:rPr>
        <w:t>d</w:t>
      </w:r>
      <w:r w:rsidRPr="00242DB8">
        <w:rPr>
          <w:szCs w:val="24"/>
        </w:rPr>
        <w:t>sen af flasken.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2"/>
        <w:jc w:val="both"/>
        <w:rPr>
          <w:szCs w:val="24"/>
        </w:rPr>
      </w:pPr>
    </w:p>
    <w:p w:rsidR="00DA0D70" w:rsidRPr="00242DB8" w:rsidRDefault="00DA0D70" w:rsidP="00DA0D70">
      <w:pPr>
        <w:ind w:left="850"/>
        <w:rPr>
          <w:szCs w:val="24"/>
        </w:rPr>
      </w:pPr>
      <w:r w:rsidRPr="00242DB8">
        <w:rPr>
          <w:szCs w:val="24"/>
        </w:rPr>
        <w:t xml:space="preserve">Rolig lukning af øjet og </w:t>
      </w:r>
      <w:proofErr w:type="spellStart"/>
      <w:r w:rsidRPr="00242DB8">
        <w:rPr>
          <w:szCs w:val="24"/>
        </w:rPr>
        <w:t>nasolakrimal</w:t>
      </w:r>
      <w:proofErr w:type="spellEnd"/>
      <w:r w:rsidRPr="00242DB8">
        <w:rPr>
          <w:szCs w:val="24"/>
        </w:rPr>
        <w:t xml:space="preserve"> </w:t>
      </w:r>
      <w:proofErr w:type="spellStart"/>
      <w:r w:rsidRPr="00242DB8">
        <w:rPr>
          <w:szCs w:val="24"/>
        </w:rPr>
        <w:t>okklusion</w:t>
      </w:r>
      <w:proofErr w:type="spellEnd"/>
      <w:r w:rsidRPr="00242DB8">
        <w:rPr>
          <w:szCs w:val="24"/>
        </w:rPr>
        <w:t xml:space="preserve"> i 2 minutter efter indgivelse anbef</w:t>
      </w:r>
      <w:r w:rsidRPr="00242DB8">
        <w:rPr>
          <w:szCs w:val="24"/>
        </w:rPr>
        <w:t>a</w:t>
      </w:r>
      <w:r w:rsidRPr="00242DB8">
        <w:rPr>
          <w:szCs w:val="24"/>
        </w:rPr>
        <w:t>les. Det kan reducere den systemiske absorption af lægemidler administreret via øjet og medføre færre systemiske bivir</w:t>
      </w:r>
      <w:r w:rsidRPr="00242DB8">
        <w:rPr>
          <w:szCs w:val="24"/>
        </w:rPr>
        <w:t>k</w:t>
      </w:r>
      <w:r w:rsidRPr="00242DB8">
        <w:rPr>
          <w:szCs w:val="24"/>
        </w:rPr>
        <w:t>ninger.</w:t>
      </w:r>
      <w:r w:rsidRPr="00242DB8">
        <w:rPr>
          <w:spacing w:val="-3"/>
          <w:szCs w:val="24"/>
        </w:rPr>
        <w:br/>
      </w:r>
      <w:r w:rsidRPr="00242DB8">
        <w:rPr>
          <w:spacing w:val="-3"/>
          <w:szCs w:val="24"/>
        </w:rPr>
        <w:br/>
      </w:r>
      <w:r w:rsidRPr="00242DB8">
        <w:rPr>
          <w:szCs w:val="24"/>
        </w:rPr>
        <w:t>Ved anvendelse sammen med andre øjenpræparater skal der være mindst 5 minutters inte</w:t>
      </w:r>
      <w:r w:rsidRPr="00242DB8">
        <w:rPr>
          <w:szCs w:val="24"/>
        </w:rPr>
        <w:t>r</w:t>
      </w:r>
      <w:r w:rsidRPr="00242DB8">
        <w:rPr>
          <w:szCs w:val="24"/>
        </w:rPr>
        <w:t xml:space="preserve">val mellem </w:t>
      </w:r>
      <w:proofErr w:type="spellStart"/>
      <w:r w:rsidRPr="00242DB8">
        <w:rPr>
          <w:szCs w:val="24"/>
        </w:rPr>
        <w:t>instillation</w:t>
      </w:r>
      <w:proofErr w:type="spellEnd"/>
      <w:r w:rsidRPr="00242DB8">
        <w:rPr>
          <w:szCs w:val="24"/>
        </w:rPr>
        <w:t xml:space="preserve"> af de enkelte præparater. Øjensalve skal påføres til sidst.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0"/>
        <w:jc w:val="both"/>
        <w:rPr>
          <w:spacing w:val="-3"/>
          <w:szCs w:val="24"/>
        </w:rPr>
      </w:pPr>
    </w:p>
    <w:p w:rsidR="00DA0D70" w:rsidRPr="00DA0D70" w:rsidRDefault="00DA0D70" w:rsidP="00DA0D70">
      <w:pPr>
        <w:numPr>
          <w:ilvl w:val="1"/>
          <w:numId w:val="1"/>
        </w:numPr>
        <w:rPr>
          <w:b/>
          <w:szCs w:val="24"/>
        </w:rPr>
      </w:pPr>
      <w:r w:rsidRPr="00242DB8">
        <w:rPr>
          <w:b/>
          <w:szCs w:val="24"/>
        </w:rPr>
        <w:t>Kontraindikationer</w:t>
      </w:r>
    </w:p>
    <w:p w:rsidR="00DA0D70" w:rsidRPr="006731AC" w:rsidRDefault="00DA0D70" w:rsidP="00DA0D70">
      <w:pPr>
        <w:ind w:left="851"/>
        <w:rPr>
          <w:szCs w:val="24"/>
        </w:rPr>
      </w:pPr>
      <w:r w:rsidRPr="00242DB8">
        <w:rPr>
          <w:szCs w:val="24"/>
        </w:rPr>
        <w:t>Overfølsomhed over for det aktive stof eller over for et eller flere af hjælpestofferne anført i pkt. 6.1.</w:t>
      </w:r>
    </w:p>
    <w:p w:rsidR="00DA0D70" w:rsidRPr="00242DB8" w:rsidRDefault="00DA0D70" w:rsidP="00DA0D70">
      <w:pPr>
        <w:ind w:left="851"/>
        <w:rPr>
          <w:b/>
          <w:szCs w:val="24"/>
        </w:rPr>
      </w:pPr>
    </w:p>
    <w:p w:rsidR="00DA0D70" w:rsidRPr="00242DB8" w:rsidRDefault="00DA0D70" w:rsidP="00DA0D70">
      <w:pPr>
        <w:tabs>
          <w:tab w:val="left" w:pos="0"/>
          <w:tab w:val="left" w:pos="851"/>
        </w:tabs>
        <w:ind w:left="850" w:firstLine="1"/>
        <w:jc w:val="both"/>
        <w:rPr>
          <w:spacing w:val="-3"/>
          <w:szCs w:val="24"/>
        </w:rPr>
      </w:pPr>
      <w:r w:rsidRPr="00242DB8">
        <w:rPr>
          <w:spacing w:val="-3"/>
          <w:szCs w:val="24"/>
        </w:rPr>
        <w:t>Fladt forreste ka</w:t>
      </w:r>
      <w:r w:rsidRPr="00242DB8">
        <w:rPr>
          <w:spacing w:val="-3"/>
          <w:szCs w:val="24"/>
        </w:rPr>
        <w:t>m</w:t>
      </w:r>
      <w:r w:rsidRPr="00242DB8">
        <w:rPr>
          <w:spacing w:val="-3"/>
          <w:szCs w:val="24"/>
        </w:rPr>
        <w:t xml:space="preserve">mer eller snæver kammervinkel med risiko for akut </w:t>
      </w:r>
      <w:proofErr w:type="spellStart"/>
      <w:r w:rsidRPr="00242DB8">
        <w:rPr>
          <w:spacing w:val="-3"/>
          <w:szCs w:val="24"/>
        </w:rPr>
        <w:t>glaukom</w:t>
      </w:r>
      <w:proofErr w:type="spellEnd"/>
      <w:r w:rsidRPr="00242DB8">
        <w:rPr>
          <w:spacing w:val="-3"/>
          <w:szCs w:val="24"/>
        </w:rPr>
        <w:t>.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0" w:firstLine="1"/>
        <w:jc w:val="both"/>
        <w:rPr>
          <w:spacing w:val="-3"/>
          <w:szCs w:val="24"/>
        </w:rPr>
      </w:pPr>
    </w:p>
    <w:p w:rsidR="00DA0D70" w:rsidRPr="00DA0D70" w:rsidRDefault="00DA0D70" w:rsidP="00DA0D70">
      <w:pPr>
        <w:numPr>
          <w:ilvl w:val="1"/>
          <w:numId w:val="1"/>
        </w:numPr>
        <w:rPr>
          <w:b/>
          <w:szCs w:val="24"/>
        </w:rPr>
      </w:pPr>
      <w:r w:rsidRPr="00242DB8">
        <w:rPr>
          <w:b/>
          <w:szCs w:val="24"/>
        </w:rPr>
        <w:t>Særlige advarsler og forsigtighedsregler vedrørende brugen</w:t>
      </w:r>
      <w:r w:rsidRPr="00DA0D70">
        <w:rPr>
          <w:spacing w:val="-3"/>
          <w:szCs w:val="24"/>
        </w:rPr>
        <w:br/>
      </w:r>
      <w:r w:rsidRPr="00DA0D70">
        <w:rPr>
          <w:szCs w:val="24"/>
        </w:rPr>
        <w:t>Skal anvendes med forsigtighed til patienter, som tidligere har haft en kraftig s</w:t>
      </w:r>
      <w:r w:rsidRPr="00DA0D70">
        <w:rPr>
          <w:szCs w:val="24"/>
        </w:rPr>
        <w:t>y</w:t>
      </w:r>
      <w:r w:rsidRPr="00DA0D70">
        <w:rPr>
          <w:szCs w:val="24"/>
        </w:rPr>
        <w:t>stemisk reaktion på atropin.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kan medføre forhøjet </w:t>
      </w:r>
      <w:proofErr w:type="spellStart"/>
      <w:r w:rsidRPr="00242DB8">
        <w:rPr>
          <w:szCs w:val="24"/>
        </w:rPr>
        <w:t>intraokulært</w:t>
      </w:r>
      <w:proofErr w:type="spellEnd"/>
      <w:r w:rsidRPr="00242DB8">
        <w:rPr>
          <w:szCs w:val="24"/>
        </w:rPr>
        <w:t xml:space="preserve"> tryk. Muligheden for </w:t>
      </w:r>
      <w:proofErr w:type="spellStart"/>
      <w:r w:rsidRPr="00242DB8">
        <w:rPr>
          <w:szCs w:val="24"/>
        </w:rPr>
        <w:t>udiagnosticeret</w:t>
      </w:r>
      <w:proofErr w:type="spellEnd"/>
      <w:r w:rsidRPr="00242DB8">
        <w:rPr>
          <w:szCs w:val="24"/>
        </w:rPr>
        <w:t xml:space="preserve"> </w:t>
      </w:r>
      <w:proofErr w:type="spellStart"/>
      <w:r w:rsidRPr="00242DB8">
        <w:rPr>
          <w:szCs w:val="24"/>
        </w:rPr>
        <w:t>glaukom</w:t>
      </w:r>
      <w:proofErr w:type="spellEnd"/>
      <w:r w:rsidRPr="00242DB8">
        <w:rPr>
          <w:szCs w:val="24"/>
        </w:rPr>
        <w:t xml:space="preserve"> skal tages i betragtning for visse patienter som f.eks. ældre patienter.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Bestem det </w:t>
      </w:r>
      <w:proofErr w:type="spellStart"/>
      <w:r w:rsidRPr="00242DB8">
        <w:rPr>
          <w:szCs w:val="24"/>
        </w:rPr>
        <w:t>intraokulære</w:t>
      </w:r>
      <w:proofErr w:type="spellEnd"/>
      <w:r w:rsidRPr="00242DB8">
        <w:rPr>
          <w:szCs w:val="24"/>
        </w:rPr>
        <w:t xml:space="preserve"> tryk og kammervinklens dybde før behandlingen påbegyndes for at undgå </w:t>
      </w:r>
      <w:proofErr w:type="spellStart"/>
      <w:r w:rsidRPr="00242DB8">
        <w:rPr>
          <w:szCs w:val="24"/>
        </w:rPr>
        <w:t>glaukomanfald</w:t>
      </w:r>
      <w:proofErr w:type="spellEnd"/>
      <w:r w:rsidRPr="00242DB8">
        <w:rPr>
          <w:szCs w:val="24"/>
        </w:rPr>
        <w:t xml:space="preserve"> (se pkt. </w:t>
      </w:r>
      <w:r w:rsidRPr="00242DB8">
        <w:rPr>
          <w:spacing w:val="-3"/>
          <w:szCs w:val="24"/>
        </w:rPr>
        <w:t xml:space="preserve">4.8).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pacing w:val="-3"/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Der kan forekomme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>-inducerede psykotiske reaktioner og adfærdsforstyrrel</w:t>
      </w:r>
      <w:r w:rsidRPr="00242DB8">
        <w:rPr>
          <w:szCs w:val="24"/>
        </w:rPr>
        <w:softHyphen/>
        <w:t xml:space="preserve">ser samt andre CNS-forstyrrelser hos patienter med øget modtagelighed over for </w:t>
      </w:r>
      <w:proofErr w:type="spellStart"/>
      <w:r w:rsidRPr="00242DB8">
        <w:rPr>
          <w:szCs w:val="24"/>
        </w:rPr>
        <w:t>antikol</w:t>
      </w:r>
      <w:r w:rsidRPr="00242DB8">
        <w:rPr>
          <w:szCs w:val="24"/>
        </w:rPr>
        <w:t>i</w:t>
      </w:r>
      <w:r w:rsidRPr="00242DB8">
        <w:rPr>
          <w:szCs w:val="24"/>
        </w:rPr>
        <w:t>nerge</w:t>
      </w:r>
      <w:proofErr w:type="spellEnd"/>
      <w:r w:rsidRPr="00242DB8">
        <w:rPr>
          <w:szCs w:val="24"/>
        </w:rPr>
        <w:t xml:space="preserve"> lægemidler (se pkt. 4.8). Anvendes med forsigtighed til</w:t>
      </w:r>
      <w:r>
        <w:rPr>
          <w:szCs w:val="24"/>
        </w:rPr>
        <w:t xml:space="preserve"> </w:t>
      </w:r>
      <w:r w:rsidRPr="00242DB8">
        <w:rPr>
          <w:szCs w:val="24"/>
        </w:rPr>
        <w:t>ældre patienter, men reaktioner kan forekomme i en hvilken som helst alder.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</w:p>
    <w:p w:rsidR="00DA0D70" w:rsidRPr="00242DB8" w:rsidRDefault="00DA0D70" w:rsidP="00DA0D70">
      <w:pPr>
        <w:tabs>
          <w:tab w:val="left" w:pos="851"/>
        </w:tabs>
        <w:ind w:left="851"/>
        <w:rPr>
          <w:spacing w:val="-3"/>
          <w:szCs w:val="24"/>
        </w:rPr>
      </w:pPr>
      <w:r w:rsidRPr="00242DB8">
        <w:rPr>
          <w:szCs w:val="24"/>
        </w:rPr>
        <w:t xml:space="preserve">Patienterne kan opleve øget lysfølsomhed, og øjnene bør beskyttes mod stærkt lys </w:t>
      </w:r>
      <w:r w:rsidRPr="00242DB8">
        <w:rPr>
          <w:spacing w:val="-3"/>
          <w:szCs w:val="24"/>
        </w:rPr>
        <w:t>(se pkt. 4.8).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Da der er risiko for at fremkalde </w:t>
      </w:r>
      <w:proofErr w:type="spellStart"/>
      <w:r w:rsidRPr="00242DB8">
        <w:rPr>
          <w:szCs w:val="24"/>
        </w:rPr>
        <w:t>hypertermi</w:t>
      </w:r>
      <w:proofErr w:type="spellEnd"/>
      <w:r w:rsidRPr="00242DB8">
        <w:rPr>
          <w:szCs w:val="24"/>
        </w:rPr>
        <w:t>, skal det anvendes med forsigtighed til patie</w:t>
      </w:r>
      <w:r w:rsidRPr="00242DB8">
        <w:rPr>
          <w:szCs w:val="24"/>
        </w:rPr>
        <w:t>n</w:t>
      </w:r>
      <w:r w:rsidRPr="00242DB8">
        <w:rPr>
          <w:szCs w:val="24"/>
        </w:rPr>
        <w:t>ter, som kan være udsat for forhøjede temperaturer i omgivelserne, eller som har feber.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  <w:highlight w:val="yellow"/>
        </w:rPr>
      </w:pP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r w:rsidRPr="00242DB8">
        <w:rPr>
          <w:szCs w:val="24"/>
        </w:rPr>
        <w:t xml:space="preserve">Forsigtighed tilrådes ved inflammation, da </w:t>
      </w:r>
      <w:proofErr w:type="spellStart"/>
      <w:r w:rsidRPr="00242DB8">
        <w:rPr>
          <w:szCs w:val="24"/>
        </w:rPr>
        <w:t>hyperæmi</w:t>
      </w:r>
      <w:proofErr w:type="spellEnd"/>
      <w:r w:rsidRPr="00242DB8">
        <w:rPr>
          <w:szCs w:val="24"/>
        </w:rPr>
        <w:t xml:space="preserve"> øger graden af systemisk absorption gennem </w:t>
      </w:r>
      <w:proofErr w:type="spellStart"/>
      <w:r w:rsidRPr="00242DB8">
        <w:rPr>
          <w:szCs w:val="24"/>
        </w:rPr>
        <w:t>konjunktiva</w:t>
      </w:r>
      <w:proofErr w:type="spellEnd"/>
      <w:r w:rsidRPr="00242DB8">
        <w:rPr>
          <w:szCs w:val="24"/>
        </w:rPr>
        <w:t>.</w:t>
      </w:r>
    </w:p>
    <w:p w:rsidR="00DA0D70" w:rsidRPr="00242DB8" w:rsidRDefault="00DA0D70" w:rsidP="00DA0D70">
      <w:pPr>
        <w:tabs>
          <w:tab w:val="left" w:pos="851"/>
        </w:tabs>
        <w:rPr>
          <w:spacing w:val="-3"/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indeholder </w:t>
      </w:r>
      <w:proofErr w:type="spellStart"/>
      <w:r w:rsidRPr="00242DB8">
        <w:rPr>
          <w:szCs w:val="24"/>
        </w:rPr>
        <w:t>benzalkoniumchlorid</w:t>
      </w:r>
      <w:proofErr w:type="spellEnd"/>
      <w:r w:rsidRPr="00242DB8">
        <w:rPr>
          <w:szCs w:val="24"/>
        </w:rPr>
        <w:t>, der kan medføre øjenirritation og misfarvning af bløde kontaktlinser. Undgå kontakt med bløde kontaktlinser.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lastRenderedPageBreak/>
        <w:t xml:space="preserve">Patienter skal instrueres i at fjerne deres (hårde eller bløde) kontaktlinser før applikation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og vente i mindst 15 minutter, før linserne sættes i igen.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6731AC" w:rsidRDefault="00DA0D70" w:rsidP="00DA0D70">
      <w:pPr>
        <w:autoSpaceDE w:val="0"/>
        <w:autoSpaceDN w:val="0"/>
        <w:adjustRightInd w:val="0"/>
        <w:ind w:firstLine="851"/>
        <w:rPr>
          <w:bCs/>
          <w:szCs w:val="24"/>
          <w:u w:val="single"/>
        </w:rPr>
      </w:pPr>
      <w:r w:rsidRPr="006731AC">
        <w:rPr>
          <w:bCs/>
          <w:szCs w:val="24"/>
          <w:u w:val="single"/>
        </w:rPr>
        <w:t>Pædiatrisk population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anbefales ikke til børn, da sikkerhed og virkning ikke er klarlagt.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>For tidligt fødte børn, spædbørn, små børn eller børn med Downs syndrom, spastisk parese eller hjerneskader er særligt modtagelige over for forstyrrelser i centralnervesystemet, hje</w:t>
      </w:r>
      <w:r w:rsidRPr="00242DB8">
        <w:rPr>
          <w:szCs w:val="24"/>
        </w:rPr>
        <w:t>r</w:t>
      </w:r>
      <w:r w:rsidRPr="00242DB8">
        <w:rPr>
          <w:szCs w:val="24"/>
        </w:rPr>
        <w:t xml:space="preserve">telunge- og mave-tarm-toksicitet efter systemisk absorption af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(se pkt. 4.8). </w:t>
      </w:r>
    </w:p>
    <w:p w:rsidR="00DA0D70" w:rsidRPr="00242DB8" w:rsidRDefault="00DA0D70" w:rsidP="00DA0D70">
      <w:pPr>
        <w:autoSpaceDE w:val="0"/>
        <w:autoSpaceDN w:val="0"/>
        <w:adjustRightInd w:val="0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Kramper og akut psykose induceret af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er særligt fremtrædende hos børn (pkt. 4.8). </w:t>
      </w:r>
    </w:p>
    <w:p w:rsidR="00DA0D70" w:rsidRPr="00242DB8" w:rsidRDefault="00DA0D70" w:rsidP="00DA0D70">
      <w:pPr>
        <w:tabs>
          <w:tab w:val="left" w:pos="851"/>
        </w:tabs>
        <w:rPr>
          <w:szCs w:val="24"/>
        </w:rPr>
      </w:pPr>
    </w:p>
    <w:p w:rsidR="00DA0D70" w:rsidRPr="00DA0D70" w:rsidRDefault="00DA0D70" w:rsidP="00DA0D70">
      <w:pPr>
        <w:numPr>
          <w:ilvl w:val="1"/>
          <w:numId w:val="1"/>
        </w:numPr>
        <w:rPr>
          <w:b/>
          <w:szCs w:val="24"/>
        </w:rPr>
      </w:pPr>
      <w:r w:rsidRPr="00242DB8">
        <w:rPr>
          <w:b/>
          <w:szCs w:val="24"/>
        </w:rPr>
        <w:t>Interaktion med andre lægemidler og andre former for interaktion</w:t>
      </w: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855"/>
        <w:jc w:val="both"/>
        <w:rPr>
          <w:spacing w:val="-3"/>
          <w:szCs w:val="24"/>
        </w:rPr>
      </w:pPr>
      <w:r w:rsidRPr="00242DB8">
        <w:rPr>
          <w:szCs w:val="24"/>
        </w:rPr>
        <w:t>Der er ikke udført interaktionsstudier.</w:t>
      </w: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850" w:hanging="850"/>
        <w:jc w:val="both"/>
        <w:rPr>
          <w:spacing w:val="-3"/>
          <w:szCs w:val="24"/>
        </w:rPr>
      </w:pP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850" w:hanging="850"/>
        <w:jc w:val="both"/>
        <w:rPr>
          <w:spacing w:val="-3"/>
          <w:szCs w:val="24"/>
        </w:rPr>
      </w:pPr>
      <w:r w:rsidRPr="00242DB8">
        <w:rPr>
          <w:szCs w:val="24"/>
        </w:rPr>
        <w:tab/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hæmmer effekten af </w:t>
      </w:r>
      <w:proofErr w:type="spellStart"/>
      <w:r w:rsidRPr="00242DB8">
        <w:rPr>
          <w:szCs w:val="24"/>
        </w:rPr>
        <w:t>parasympatomimetiske</w:t>
      </w:r>
      <w:proofErr w:type="spellEnd"/>
      <w:r w:rsidRPr="00242DB8">
        <w:rPr>
          <w:szCs w:val="24"/>
        </w:rPr>
        <w:t xml:space="preserve"> stoffer, f.eks. </w:t>
      </w:r>
      <w:proofErr w:type="spellStart"/>
      <w:r w:rsidRPr="00242DB8">
        <w:rPr>
          <w:szCs w:val="24"/>
        </w:rPr>
        <w:t>pilokarpin</w:t>
      </w:r>
      <w:proofErr w:type="spellEnd"/>
      <w:r w:rsidRPr="00242DB8">
        <w:rPr>
          <w:szCs w:val="24"/>
        </w:rPr>
        <w:t>.</w:t>
      </w: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850" w:hanging="850"/>
        <w:jc w:val="both"/>
        <w:rPr>
          <w:spacing w:val="-3"/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spacing w:line="216" w:lineRule="auto"/>
        <w:ind w:left="850"/>
        <w:rPr>
          <w:szCs w:val="24"/>
        </w:rPr>
      </w:pPr>
      <w:r w:rsidRPr="00242DB8">
        <w:rPr>
          <w:szCs w:val="24"/>
        </w:rPr>
        <w:t xml:space="preserve">Effekten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kan øges ved samtidig anvendelse af andre lægemidler med </w:t>
      </w:r>
      <w:proofErr w:type="spellStart"/>
      <w:r w:rsidRPr="00242DB8">
        <w:rPr>
          <w:szCs w:val="24"/>
        </w:rPr>
        <w:t>antim</w:t>
      </w:r>
      <w:r w:rsidRPr="00242DB8">
        <w:rPr>
          <w:szCs w:val="24"/>
        </w:rPr>
        <w:t>u</w:t>
      </w:r>
      <w:r w:rsidRPr="00242DB8">
        <w:rPr>
          <w:szCs w:val="24"/>
        </w:rPr>
        <w:t>skarine</w:t>
      </w:r>
      <w:proofErr w:type="spellEnd"/>
      <w:r w:rsidRPr="00242DB8">
        <w:rPr>
          <w:szCs w:val="24"/>
        </w:rPr>
        <w:t xml:space="preserve"> egenskaber som f.eks. </w:t>
      </w:r>
      <w:proofErr w:type="spellStart"/>
      <w:r w:rsidRPr="00242DB8">
        <w:rPr>
          <w:szCs w:val="24"/>
        </w:rPr>
        <w:t>amantadin</w:t>
      </w:r>
      <w:proofErr w:type="spellEnd"/>
      <w:r w:rsidRPr="00242DB8">
        <w:rPr>
          <w:szCs w:val="24"/>
        </w:rPr>
        <w:t xml:space="preserve">, nogle antihistaminer, </w:t>
      </w:r>
      <w:proofErr w:type="spellStart"/>
      <w:r w:rsidRPr="00242DB8">
        <w:rPr>
          <w:szCs w:val="24"/>
        </w:rPr>
        <w:t>fenotiazin</w:t>
      </w:r>
      <w:proofErr w:type="spellEnd"/>
      <w:r w:rsidRPr="00242DB8">
        <w:rPr>
          <w:szCs w:val="24"/>
        </w:rPr>
        <w:t xml:space="preserve"> antipsykotika og tricykliske </w:t>
      </w:r>
      <w:proofErr w:type="spellStart"/>
      <w:r w:rsidRPr="00242DB8">
        <w:rPr>
          <w:szCs w:val="24"/>
        </w:rPr>
        <w:t>antidepressiva</w:t>
      </w:r>
      <w:proofErr w:type="spellEnd"/>
      <w:r w:rsidRPr="00242DB8">
        <w:rPr>
          <w:szCs w:val="24"/>
        </w:rPr>
        <w:t>.</w:t>
      </w:r>
    </w:p>
    <w:p w:rsidR="008803CB" w:rsidRDefault="008803CB" w:rsidP="00DA0D70">
      <w:pPr>
        <w:tabs>
          <w:tab w:val="left" w:pos="0"/>
          <w:tab w:val="left" w:pos="851"/>
        </w:tabs>
        <w:ind w:left="850" w:hanging="850"/>
        <w:jc w:val="both"/>
      </w:pPr>
    </w:p>
    <w:p w:rsidR="008803CB" w:rsidRDefault="00356D14" w:rsidP="008803CB">
      <w:pPr>
        <w:numPr>
          <w:ilvl w:val="1"/>
          <w:numId w:val="1"/>
        </w:numPr>
        <w:rPr>
          <w:b/>
        </w:rPr>
      </w:pPr>
      <w:r>
        <w:rPr>
          <w:b/>
        </w:rPr>
        <w:t>Fertilitet, g</w:t>
      </w:r>
      <w:r w:rsidR="008803CB">
        <w:rPr>
          <w:b/>
        </w:rPr>
        <w:t>raviditet og amning</w:t>
      </w:r>
    </w:p>
    <w:p w:rsidR="000A218C" w:rsidRPr="00242DB8" w:rsidRDefault="000A218C" w:rsidP="000A218C">
      <w:pPr>
        <w:tabs>
          <w:tab w:val="left" w:pos="0"/>
          <w:tab w:val="left" w:pos="851"/>
        </w:tabs>
        <w:spacing w:line="216" w:lineRule="auto"/>
        <w:ind w:left="855"/>
        <w:jc w:val="both"/>
        <w:rPr>
          <w:spacing w:val="-3"/>
          <w:szCs w:val="24"/>
        </w:rPr>
      </w:pPr>
      <w:r w:rsidRPr="003E18A2">
        <w:rPr>
          <w:b/>
          <w:bCs/>
          <w:spacing w:val="-3"/>
        </w:rPr>
        <w:tab/>
      </w:r>
    </w:p>
    <w:p w:rsidR="000A218C" w:rsidRPr="00242DB8" w:rsidRDefault="000A218C" w:rsidP="000A218C">
      <w:pPr>
        <w:keepNext/>
        <w:tabs>
          <w:tab w:val="left" w:pos="851"/>
        </w:tabs>
        <w:spacing w:line="216" w:lineRule="auto"/>
        <w:ind w:left="851"/>
        <w:jc w:val="both"/>
        <w:rPr>
          <w:spacing w:val="-3"/>
          <w:szCs w:val="24"/>
          <w:u w:val="single"/>
        </w:rPr>
      </w:pPr>
      <w:r w:rsidRPr="006731AC">
        <w:rPr>
          <w:spacing w:val="-3"/>
          <w:szCs w:val="24"/>
          <w:u w:val="single"/>
        </w:rPr>
        <w:t>Graviditet</w:t>
      </w:r>
    </w:p>
    <w:p w:rsidR="000A218C" w:rsidRPr="00242DB8" w:rsidRDefault="000A218C" w:rsidP="000A218C">
      <w:pPr>
        <w:tabs>
          <w:tab w:val="left" w:pos="851"/>
        </w:tabs>
        <w:spacing w:line="216" w:lineRule="auto"/>
        <w:ind w:left="851"/>
        <w:jc w:val="both"/>
        <w:rPr>
          <w:szCs w:val="24"/>
        </w:rPr>
      </w:pPr>
      <w:r w:rsidRPr="00242DB8">
        <w:rPr>
          <w:szCs w:val="24"/>
        </w:rPr>
        <w:t xml:space="preserve">Der er ingen eller utilstrækkelige data fra anvendelse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til gravide kvinder. Brug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frarådes under graviditet.</w:t>
      </w:r>
    </w:p>
    <w:p w:rsidR="000A218C" w:rsidRPr="00242DB8" w:rsidRDefault="000A218C" w:rsidP="000A218C">
      <w:pPr>
        <w:tabs>
          <w:tab w:val="left" w:pos="851"/>
        </w:tabs>
        <w:spacing w:line="216" w:lineRule="auto"/>
        <w:ind w:left="851"/>
        <w:jc w:val="both"/>
        <w:rPr>
          <w:b/>
          <w:spacing w:val="-3"/>
          <w:szCs w:val="24"/>
        </w:rPr>
      </w:pPr>
      <w:r w:rsidRPr="00242DB8">
        <w:rPr>
          <w:b/>
          <w:bCs/>
          <w:spacing w:val="-3"/>
          <w:szCs w:val="24"/>
        </w:rPr>
        <w:tab/>
      </w:r>
    </w:p>
    <w:p w:rsidR="000A218C" w:rsidRPr="00242DB8" w:rsidRDefault="000A218C" w:rsidP="000A218C">
      <w:pPr>
        <w:tabs>
          <w:tab w:val="left" w:pos="851"/>
        </w:tabs>
        <w:spacing w:line="216" w:lineRule="auto"/>
        <w:ind w:left="851"/>
        <w:jc w:val="both"/>
        <w:rPr>
          <w:spacing w:val="-3"/>
          <w:szCs w:val="24"/>
          <w:u w:val="single"/>
        </w:rPr>
      </w:pPr>
      <w:r w:rsidRPr="00242DB8">
        <w:rPr>
          <w:spacing w:val="-3"/>
          <w:szCs w:val="24"/>
          <w:u w:val="single"/>
        </w:rPr>
        <w:t>Amning</w:t>
      </w:r>
    </w:p>
    <w:p w:rsidR="000A218C" w:rsidRDefault="000A218C" w:rsidP="000A218C">
      <w:pPr>
        <w:tabs>
          <w:tab w:val="left" w:pos="851"/>
        </w:tabs>
        <w:autoSpaceDE w:val="0"/>
        <w:autoSpaceDN w:val="0"/>
        <w:adjustRightInd w:val="0"/>
        <w:spacing w:line="216" w:lineRule="auto"/>
        <w:ind w:left="851"/>
        <w:rPr>
          <w:szCs w:val="24"/>
        </w:rPr>
      </w:pPr>
      <w:r w:rsidRPr="00242DB8">
        <w:rPr>
          <w:szCs w:val="24"/>
        </w:rPr>
        <w:t xml:space="preserve">Det er ukendt, om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/metabolitter udskilles i human mælk. En risiko for det ammede barn kan ikke udelukkes. Det skal besluttes, om amning skal ophøre eller behandling med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sepon</w:t>
      </w:r>
      <w:r w:rsidRPr="00242DB8">
        <w:rPr>
          <w:szCs w:val="24"/>
        </w:rPr>
        <w:t>e</w:t>
      </w:r>
      <w:r w:rsidRPr="00242DB8">
        <w:rPr>
          <w:szCs w:val="24"/>
        </w:rPr>
        <w:t>res/undlades, idet der tages højde for fordelene ved amning for barnet i forhold til de terapeutiske fordele for mod</w:t>
      </w:r>
      <w:r w:rsidRPr="00242DB8">
        <w:rPr>
          <w:szCs w:val="24"/>
        </w:rPr>
        <w:t>e</w:t>
      </w:r>
      <w:r w:rsidRPr="00242DB8">
        <w:rPr>
          <w:szCs w:val="24"/>
        </w:rPr>
        <w:t>ren.</w:t>
      </w:r>
    </w:p>
    <w:p w:rsidR="000A218C" w:rsidRDefault="000A218C" w:rsidP="000A218C">
      <w:pPr>
        <w:tabs>
          <w:tab w:val="left" w:pos="851"/>
        </w:tabs>
        <w:autoSpaceDE w:val="0"/>
        <w:autoSpaceDN w:val="0"/>
        <w:adjustRightInd w:val="0"/>
        <w:spacing w:line="216" w:lineRule="auto"/>
        <w:ind w:left="851"/>
        <w:rPr>
          <w:szCs w:val="24"/>
        </w:rPr>
      </w:pPr>
    </w:p>
    <w:p w:rsidR="000A218C" w:rsidRPr="006731AC" w:rsidRDefault="000A218C" w:rsidP="000A218C">
      <w:pPr>
        <w:tabs>
          <w:tab w:val="left" w:pos="851"/>
        </w:tabs>
        <w:spacing w:line="216" w:lineRule="auto"/>
        <w:ind w:left="851"/>
        <w:jc w:val="both"/>
        <w:rPr>
          <w:spacing w:val="-3"/>
          <w:szCs w:val="24"/>
          <w:u w:val="single"/>
        </w:rPr>
      </w:pPr>
      <w:r w:rsidRPr="006731AC">
        <w:rPr>
          <w:spacing w:val="-3"/>
          <w:szCs w:val="24"/>
          <w:u w:val="single"/>
        </w:rPr>
        <w:t>Fertilitet</w:t>
      </w:r>
    </w:p>
    <w:p w:rsidR="000A218C" w:rsidRPr="00242DB8" w:rsidRDefault="000A218C" w:rsidP="000A218C">
      <w:pPr>
        <w:tabs>
          <w:tab w:val="left" w:pos="851"/>
        </w:tabs>
        <w:spacing w:line="216" w:lineRule="auto"/>
        <w:ind w:left="851"/>
        <w:jc w:val="both"/>
        <w:rPr>
          <w:spacing w:val="-3"/>
          <w:szCs w:val="24"/>
        </w:rPr>
      </w:pPr>
      <w:r w:rsidRPr="00242DB8">
        <w:rPr>
          <w:szCs w:val="24"/>
        </w:rPr>
        <w:t xml:space="preserve">Der er ikke udført studier til vurdering af virkningen af </w:t>
      </w:r>
      <w:proofErr w:type="spellStart"/>
      <w:r w:rsidRPr="00242DB8">
        <w:rPr>
          <w:szCs w:val="24"/>
        </w:rPr>
        <w:t>topikal</w:t>
      </w:r>
      <w:proofErr w:type="spellEnd"/>
      <w:r w:rsidRPr="00242DB8">
        <w:rPr>
          <w:szCs w:val="24"/>
        </w:rPr>
        <w:t xml:space="preserve">, </w:t>
      </w:r>
      <w:proofErr w:type="spellStart"/>
      <w:r w:rsidRPr="00242DB8">
        <w:rPr>
          <w:szCs w:val="24"/>
        </w:rPr>
        <w:t>okulær</w:t>
      </w:r>
      <w:proofErr w:type="spellEnd"/>
      <w:r w:rsidRPr="00242DB8">
        <w:rPr>
          <w:szCs w:val="24"/>
        </w:rPr>
        <w:t xml:space="preserve"> administration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på fertiliteten.</w:t>
      </w:r>
    </w:p>
    <w:p w:rsidR="008803CB" w:rsidRDefault="008803CB" w:rsidP="00DA0D70">
      <w:pPr>
        <w:tabs>
          <w:tab w:val="left" w:pos="0"/>
          <w:tab w:val="left" w:pos="851"/>
        </w:tabs>
        <w:spacing w:line="216" w:lineRule="auto"/>
        <w:ind w:left="850" w:hanging="850"/>
        <w:jc w:val="both"/>
      </w:pPr>
    </w:p>
    <w:p w:rsidR="00CC19D5" w:rsidRDefault="00CC19D5" w:rsidP="00CC19D5">
      <w:pPr>
        <w:tabs>
          <w:tab w:val="left" w:pos="0"/>
          <w:tab w:val="left" w:pos="851"/>
        </w:tabs>
        <w:spacing w:line="216" w:lineRule="auto"/>
        <w:ind w:left="850" w:hanging="850"/>
        <w:rPr>
          <w:b/>
          <w:spacing w:val="-3"/>
        </w:rPr>
      </w:pPr>
      <w:r w:rsidRPr="003E18A2">
        <w:rPr>
          <w:b/>
          <w:bCs/>
          <w:spacing w:val="-3"/>
        </w:rPr>
        <w:t>4.7</w:t>
      </w:r>
      <w:r w:rsidRPr="003E18A2">
        <w:rPr>
          <w:spacing w:val="-3"/>
        </w:rPr>
        <w:tab/>
      </w:r>
      <w:r w:rsidRPr="003E18A2">
        <w:rPr>
          <w:b/>
          <w:bCs/>
          <w:spacing w:val="-3"/>
        </w:rPr>
        <w:t>Virkning</w:t>
      </w:r>
      <w:r w:rsidRPr="00C67777">
        <w:rPr>
          <w:b/>
          <w:spacing w:val="-3"/>
        </w:rPr>
        <w:t xml:space="preserve"> på evnen til at føre motorkøretøj </w:t>
      </w:r>
      <w:r w:rsidR="00356D14">
        <w:rPr>
          <w:b/>
          <w:spacing w:val="-3"/>
        </w:rPr>
        <w:t>og</w:t>
      </w:r>
      <w:r w:rsidRPr="00C67777">
        <w:rPr>
          <w:b/>
          <w:spacing w:val="-3"/>
        </w:rPr>
        <w:t xml:space="preserve"> betjene maskiner</w:t>
      </w:r>
    </w:p>
    <w:p w:rsidR="00DA0D70" w:rsidRPr="00242DB8" w:rsidRDefault="00CC19D5" w:rsidP="00DA0D70">
      <w:pPr>
        <w:tabs>
          <w:tab w:val="left" w:pos="0"/>
          <w:tab w:val="left" w:pos="851"/>
        </w:tabs>
        <w:spacing w:line="216" w:lineRule="auto"/>
        <w:ind w:left="1700" w:hanging="850"/>
        <w:rPr>
          <w:spacing w:val="-3"/>
          <w:szCs w:val="24"/>
        </w:rPr>
      </w:pPr>
      <w:r w:rsidRPr="003E18A2">
        <w:rPr>
          <w:spacing w:val="-3"/>
        </w:rPr>
        <w:tab/>
      </w:r>
      <w:r w:rsidR="00DA0D70" w:rsidRPr="00242DB8">
        <w:rPr>
          <w:spacing w:val="-3"/>
          <w:szCs w:val="24"/>
        </w:rPr>
        <w:t>Mærkning.</w:t>
      </w:r>
      <w:r w:rsidR="00DA0D70" w:rsidRPr="00242DB8">
        <w:rPr>
          <w:spacing w:val="-3"/>
          <w:szCs w:val="24"/>
        </w:rPr>
        <w:tab/>
      </w: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1700" w:hanging="850"/>
        <w:rPr>
          <w:spacing w:val="-3"/>
          <w:szCs w:val="24"/>
        </w:rPr>
      </w:pPr>
    </w:p>
    <w:p w:rsidR="00DA0D70" w:rsidRPr="00242DB8" w:rsidRDefault="00DA0D70" w:rsidP="00DA0D70">
      <w:pPr>
        <w:tabs>
          <w:tab w:val="left" w:pos="0"/>
          <w:tab w:val="left" w:pos="851"/>
        </w:tabs>
        <w:spacing w:line="216" w:lineRule="auto"/>
        <w:ind w:left="1700" w:hanging="850"/>
        <w:rPr>
          <w:spacing w:val="-3"/>
          <w:szCs w:val="24"/>
        </w:rPr>
      </w:pPr>
      <w:proofErr w:type="spellStart"/>
      <w:r w:rsidRPr="00242DB8">
        <w:rPr>
          <w:spacing w:val="-3"/>
          <w:szCs w:val="24"/>
        </w:rPr>
        <w:t>Cyclogyl</w:t>
      </w:r>
      <w:proofErr w:type="spellEnd"/>
      <w:r w:rsidRPr="00242DB8">
        <w:rPr>
          <w:spacing w:val="-3"/>
          <w:szCs w:val="24"/>
        </w:rPr>
        <w:t xml:space="preserve"> påvirker i væsentlig grad evnen til at føre motorkøretøj og betjene maskiner.</w:t>
      </w:r>
    </w:p>
    <w:p w:rsidR="00DA0D70" w:rsidRPr="00242DB8" w:rsidRDefault="00DA0D70" w:rsidP="00DA0D70">
      <w:pPr>
        <w:autoSpaceDE w:val="0"/>
        <w:autoSpaceDN w:val="0"/>
        <w:adjustRightInd w:val="0"/>
        <w:spacing w:line="216" w:lineRule="auto"/>
        <w:ind w:left="850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spacing w:line="216" w:lineRule="auto"/>
        <w:ind w:left="850"/>
        <w:rPr>
          <w:szCs w:val="24"/>
        </w:rPr>
      </w:pP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kan medføre døsighed, sløret syn og lysfølsomhed. Patienter, som får </w:t>
      </w:r>
      <w:proofErr w:type="spellStart"/>
      <w:r w:rsidRPr="00242DB8">
        <w:rPr>
          <w:szCs w:val="24"/>
        </w:rPr>
        <w:t>C</w:t>
      </w:r>
      <w:r w:rsidRPr="00242DB8">
        <w:rPr>
          <w:szCs w:val="24"/>
        </w:rPr>
        <w:t>y</w:t>
      </w:r>
      <w:r w:rsidRPr="00242DB8">
        <w:rPr>
          <w:szCs w:val="24"/>
        </w:rPr>
        <w:t>clogyl</w:t>
      </w:r>
      <w:proofErr w:type="spellEnd"/>
      <w:r w:rsidRPr="00242DB8">
        <w:rPr>
          <w:szCs w:val="24"/>
        </w:rPr>
        <w:t>, skal derfor instrueres om ikke at føre motorkøretøj eller foretage andre farlige akt</w:t>
      </w:r>
      <w:r w:rsidRPr="00242DB8">
        <w:rPr>
          <w:szCs w:val="24"/>
        </w:rPr>
        <w:t>i</w:t>
      </w:r>
      <w:r w:rsidRPr="00242DB8">
        <w:rPr>
          <w:szCs w:val="24"/>
        </w:rPr>
        <w:t>viteter, før synet er klart igen.</w:t>
      </w:r>
    </w:p>
    <w:p w:rsidR="00DA0D70" w:rsidRPr="00242DB8" w:rsidRDefault="00DA0D70" w:rsidP="00DA0D70">
      <w:pPr>
        <w:tabs>
          <w:tab w:val="left" w:pos="851"/>
        </w:tabs>
        <w:rPr>
          <w:szCs w:val="24"/>
        </w:rPr>
      </w:pPr>
    </w:p>
    <w:p w:rsidR="00DA0D70" w:rsidRPr="00DA0D70" w:rsidRDefault="00DA0D70" w:rsidP="00DA0D70">
      <w:pPr>
        <w:numPr>
          <w:ilvl w:val="1"/>
          <w:numId w:val="6"/>
        </w:numPr>
        <w:tabs>
          <w:tab w:val="clear" w:pos="360"/>
          <w:tab w:val="num" w:pos="851"/>
        </w:tabs>
        <w:ind w:left="851" w:hanging="851"/>
        <w:rPr>
          <w:b/>
          <w:szCs w:val="24"/>
        </w:rPr>
      </w:pPr>
      <w:r w:rsidRPr="00242DB8">
        <w:rPr>
          <w:b/>
          <w:szCs w:val="24"/>
        </w:rPr>
        <w:t xml:space="preserve"> Bivirkninger</w:t>
      </w:r>
    </w:p>
    <w:p w:rsidR="00DA0D70" w:rsidRPr="00242DB8" w:rsidRDefault="00DA0D70" w:rsidP="00DA0D70">
      <w:pPr>
        <w:ind w:firstLine="850"/>
        <w:rPr>
          <w:szCs w:val="24"/>
          <w:u w:val="single"/>
        </w:rPr>
      </w:pPr>
      <w:r w:rsidRPr="00242DB8">
        <w:rPr>
          <w:szCs w:val="24"/>
          <w:u w:val="single"/>
        </w:rPr>
        <w:t>Skematisk oversigt over bivirkninger</w:t>
      </w:r>
    </w:p>
    <w:p w:rsidR="00DA0D70" w:rsidRPr="00242DB8" w:rsidRDefault="00DA0D70" w:rsidP="00DA0D70">
      <w:pPr>
        <w:autoSpaceDE w:val="0"/>
        <w:autoSpaceDN w:val="0"/>
        <w:adjustRightInd w:val="0"/>
        <w:spacing w:line="216" w:lineRule="auto"/>
        <w:ind w:left="850"/>
        <w:rPr>
          <w:szCs w:val="24"/>
        </w:rPr>
      </w:pPr>
      <w:r w:rsidRPr="00242DB8">
        <w:rPr>
          <w:szCs w:val="24"/>
        </w:rPr>
        <w:t>Nedenstående bivirkninger klassificeres i henhold til følgende konvention: almindelig (≥1/100 til &lt;1/10), ikke almindelig (≥1/1.000 til &lt;1/100), sjælden (≥1/10.000 til &lt;1/1.000), meget sjælden (&lt;1/10.000) eller ikke kendt (kan ikke estimeres ud fra forhåndenværende data). Inden for hver enkelt frekvensgruppe er bivir</w:t>
      </w:r>
      <w:r w:rsidRPr="00242DB8">
        <w:rPr>
          <w:szCs w:val="24"/>
        </w:rPr>
        <w:t>k</w:t>
      </w:r>
      <w:r w:rsidRPr="00242DB8">
        <w:rPr>
          <w:szCs w:val="24"/>
        </w:rPr>
        <w:t>ningerne anført efter hvor alvorlige de er. De alvorligste er anført først:</w:t>
      </w:r>
    </w:p>
    <w:p w:rsidR="00DA0D70" w:rsidRPr="00242DB8" w:rsidRDefault="00DA0D70" w:rsidP="00DA0D70">
      <w:pPr>
        <w:autoSpaceDE w:val="0"/>
        <w:autoSpaceDN w:val="0"/>
        <w:adjustRightInd w:val="0"/>
        <w:ind w:left="850"/>
        <w:rPr>
          <w:szCs w:val="24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43"/>
        <w:gridCol w:w="4359"/>
      </w:tblGrid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b/>
                <w:bCs/>
                <w:szCs w:val="24"/>
              </w:rPr>
              <w:lastRenderedPageBreak/>
              <w:t xml:space="preserve">Systemorganklasse 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b/>
                <w:bCs/>
                <w:szCs w:val="24"/>
              </w:rPr>
              <w:t xml:space="preserve">I henhold til </w:t>
            </w:r>
            <w:proofErr w:type="spellStart"/>
            <w:r w:rsidRPr="00242DB8">
              <w:rPr>
                <w:b/>
                <w:bCs/>
                <w:szCs w:val="24"/>
              </w:rPr>
              <w:t>MedDRA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Immunsystemet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almindelig:</w:t>
            </w:r>
            <w:r w:rsidRPr="00242DB8">
              <w:rPr>
                <w:szCs w:val="24"/>
              </w:rPr>
              <w:t xml:space="preserve"> Overfølsomhed</w:t>
            </w:r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Psykiske forstyrrelser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Almindelig:</w:t>
            </w:r>
            <w:r w:rsidRPr="00242DB8">
              <w:rPr>
                <w:szCs w:val="24"/>
              </w:rPr>
              <w:t xml:space="preserve"> Hallucination, forvirringsti</w:t>
            </w:r>
            <w:r w:rsidRPr="00242DB8">
              <w:rPr>
                <w:szCs w:val="24"/>
              </w:rPr>
              <w:t>l</w:t>
            </w:r>
            <w:r w:rsidRPr="00242DB8">
              <w:rPr>
                <w:szCs w:val="24"/>
              </w:rPr>
              <w:t>stand, uro</w:t>
            </w:r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Meget sjælden:</w:t>
            </w:r>
            <w:r w:rsidRPr="00242DB8">
              <w:rPr>
                <w:szCs w:val="24"/>
              </w:rPr>
              <w:t xml:space="preserve"> Psykotisk lidelse</w:t>
            </w:r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kendt:</w:t>
            </w:r>
            <w:r w:rsidRPr="00242DB8">
              <w:rPr>
                <w:szCs w:val="24"/>
              </w:rPr>
              <w:t xml:space="preserve"> Desorientering, rastløshed</w:t>
            </w:r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Nervesystemet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Sjælden:</w:t>
            </w:r>
            <w:r w:rsidRPr="00242DB8">
              <w:rPr>
                <w:szCs w:val="24"/>
              </w:rPr>
              <w:t xml:space="preserve"> </w:t>
            </w:r>
            <w:proofErr w:type="spellStart"/>
            <w:r w:rsidRPr="00242DB8">
              <w:rPr>
                <w:szCs w:val="24"/>
              </w:rPr>
              <w:t>Omtågethed</w:t>
            </w:r>
            <w:proofErr w:type="spellEnd"/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kendt:</w:t>
            </w:r>
            <w:r w:rsidRPr="00242DB8">
              <w:rPr>
                <w:szCs w:val="24"/>
              </w:rPr>
              <w:t xml:space="preserve"> Retrograd amnesi, svimme</w:t>
            </w:r>
            <w:r w:rsidRPr="00242DB8">
              <w:rPr>
                <w:szCs w:val="24"/>
              </w:rPr>
              <w:t>l</w:t>
            </w:r>
            <w:r w:rsidRPr="00242DB8">
              <w:rPr>
                <w:szCs w:val="24"/>
              </w:rPr>
              <w:t xml:space="preserve">hed, hovedpine, </w:t>
            </w:r>
            <w:proofErr w:type="spellStart"/>
            <w:r w:rsidRPr="00242DB8">
              <w:rPr>
                <w:szCs w:val="24"/>
              </w:rPr>
              <w:t>somnolens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Øjne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Almindelig</w:t>
            </w:r>
            <w:r w:rsidRPr="00242DB8">
              <w:rPr>
                <w:szCs w:val="24"/>
              </w:rPr>
              <w:t xml:space="preserve">: </w:t>
            </w:r>
            <w:proofErr w:type="spellStart"/>
            <w:r w:rsidRPr="00242DB8">
              <w:rPr>
                <w:szCs w:val="24"/>
              </w:rPr>
              <w:t>Akkomodationsforstyrre</w:t>
            </w:r>
            <w:r w:rsidRPr="00242DB8">
              <w:rPr>
                <w:szCs w:val="24"/>
              </w:rPr>
              <w:t>l</w:t>
            </w:r>
            <w:r w:rsidRPr="00242DB8">
              <w:rPr>
                <w:szCs w:val="24"/>
              </w:rPr>
              <w:t>ser</w:t>
            </w:r>
            <w:proofErr w:type="spellEnd"/>
            <w:r w:rsidRPr="00242DB8">
              <w:rPr>
                <w:szCs w:val="24"/>
              </w:rPr>
              <w:t>, øjensmerter,</w:t>
            </w:r>
            <w:r>
              <w:rPr>
                <w:szCs w:val="24"/>
              </w:rPr>
              <w:t xml:space="preserve"> </w:t>
            </w:r>
            <w:r w:rsidRPr="00242DB8">
              <w:rPr>
                <w:szCs w:val="24"/>
              </w:rPr>
              <w:t xml:space="preserve">fotofobi, sløret syn </w:t>
            </w:r>
          </w:p>
          <w:p w:rsidR="00356D14" w:rsidRPr="00242DB8" w:rsidRDefault="00356D14" w:rsidP="00356D14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kendt:</w:t>
            </w:r>
            <w:r w:rsidRPr="00242DB8">
              <w:rPr>
                <w:szCs w:val="24"/>
              </w:rPr>
              <w:t xml:space="preserve"> Forlænget virkning af præpar</w:t>
            </w:r>
            <w:r w:rsidRPr="00242DB8">
              <w:rPr>
                <w:szCs w:val="24"/>
              </w:rPr>
              <w:t>a</w:t>
            </w:r>
            <w:r w:rsidRPr="00242DB8">
              <w:rPr>
                <w:szCs w:val="24"/>
              </w:rPr>
              <w:t>tet (</w:t>
            </w:r>
            <w:proofErr w:type="spellStart"/>
            <w:r w:rsidRPr="00242DB8">
              <w:rPr>
                <w:szCs w:val="24"/>
              </w:rPr>
              <w:t>mydriasis</w:t>
            </w:r>
            <w:proofErr w:type="spellEnd"/>
            <w:r w:rsidRPr="00242DB8">
              <w:rPr>
                <w:szCs w:val="24"/>
              </w:rPr>
              <w:t>), øjenirritation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okulær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hyperæmi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Hjerte</w:t>
            </w:r>
          </w:p>
        </w:tc>
        <w:tc>
          <w:tcPr>
            <w:tcW w:w="1843" w:type="dxa"/>
          </w:tcPr>
          <w:p w:rsidR="00356D14" w:rsidRPr="00242DB8" w:rsidDel="002039CB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Almindelig:</w:t>
            </w:r>
            <w:r w:rsidRPr="00242DB8">
              <w:rPr>
                <w:szCs w:val="24"/>
              </w:rPr>
              <w:t xml:space="preserve"> </w:t>
            </w:r>
            <w:proofErr w:type="spellStart"/>
            <w:r w:rsidRPr="00242DB8">
              <w:rPr>
                <w:szCs w:val="24"/>
              </w:rPr>
              <w:t>Takykardi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Mave-tarm-kanalen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 xml:space="preserve">Almindelig: </w:t>
            </w:r>
            <w:r w:rsidRPr="00242DB8">
              <w:rPr>
                <w:szCs w:val="24"/>
              </w:rPr>
              <w:t>Forstoppelse</w:t>
            </w:r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almindelig:</w:t>
            </w:r>
            <w:r w:rsidRPr="00242DB8">
              <w:rPr>
                <w:szCs w:val="24"/>
              </w:rPr>
              <w:t xml:space="preserve"> Mundtørhed</w:t>
            </w:r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kendt:</w:t>
            </w:r>
            <w:r w:rsidRPr="00242DB8">
              <w:rPr>
                <w:szCs w:val="24"/>
              </w:rPr>
              <w:t xml:space="preserve"> Opkastning, kvalme</w:t>
            </w:r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Hud og subkutane væv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 xml:space="preserve">Almindelig: </w:t>
            </w:r>
            <w:proofErr w:type="spellStart"/>
            <w:r w:rsidRPr="00242DB8">
              <w:rPr>
                <w:szCs w:val="24"/>
              </w:rPr>
              <w:t>Erytem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Nyrer og urinveje</w:t>
            </w:r>
          </w:p>
        </w:tc>
        <w:tc>
          <w:tcPr>
            <w:tcW w:w="1843" w:type="dxa"/>
          </w:tcPr>
          <w:p w:rsidR="00356D14" w:rsidRPr="00242DB8" w:rsidDel="002039CB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almindelig:</w:t>
            </w:r>
            <w:r w:rsidRPr="00242DB8">
              <w:rPr>
                <w:szCs w:val="24"/>
              </w:rPr>
              <w:t xml:space="preserve"> </w:t>
            </w:r>
            <w:proofErr w:type="spellStart"/>
            <w:r w:rsidRPr="00242DB8">
              <w:rPr>
                <w:szCs w:val="24"/>
              </w:rPr>
              <w:t>Dysuri</w:t>
            </w:r>
            <w:proofErr w:type="spellEnd"/>
          </w:p>
        </w:tc>
      </w:tr>
      <w:tr w:rsidR="00356D14" w:rsidRPr="00242DB8" w:rsidTr="00356D14">
        <w:tc>
          <w:tcPr>
            <w:tcW w:w="2802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 xml:space="preserve">Almene symptomer og </w:t>
            </w:r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szCs w:val="24"/>
              </w:rPr>
              <w:t>reaktioner på administrat</w:t>
            </w:r>
            <w:r w:rsidRPr="00242DB8">
              <w:rPr>
                <w:szCs w:val="24"/>
              </w:rPr>
              <w:t>i</w:t>
            </w:r>
            <w:r w:rsidRPr="00242DB8">
              <w:rPr>
                <w:szCs w:val="24"/>
              </w:rPr>
              <w:t>onsstedet</w:t>
            </w:r>
          </w:p>
        </w:tc>
        <w:tc>
          <w:tcPr>
            <w:tcW w:w="1843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359" w:type="dxa"/>
          </w:tcPr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Almindelig:</w:t>
            </w:r>
            <w:r w:rsidRPr="00242DB8">
              <w:rPr>
                <w:szCs w:val="24"/>
              </w:rPr>
              <w:t xml:space="preserve"> </w:t>
            </w:r>
            <w:proofErr w:type="spellStart"/>
            <w:r w:rsidRPr="00242DB8">
              <w:rPr>
                <w:szCs w:val="24"/>
              </w:rPr>
              <w:t>Pyreksi</w:t>
            </w:r>
            <w:proofErr w:type="spellEnd"/>
          </w:p>
          <w:p w:rsidR="00356D14" w:rsidRPr="00242DB8" w:rsidRDefault="00356D14" w:rsidP="0043016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2DB8">
              <w:rPr>
                <w:i/>
                <w:szCs w:val="24"/>
              </w:rPr>
              <w:t>Ikke kendt:</w:t>
            </w:r>
            <w:r w:rsidRPr="00242DB8">
              <w:rPr>
                <w:szCs w:val="24"/>
              </w:rPr>
              <w:t xml:space="preserve"> Gangforstyrrelser, træthed, tørre slimhinder</w:t>
            </w:r>
          </w:p>
        </w:tc>
      </w:tr>
    </w:tbl>
    <w:p w:rsidR="00DA0D70" w:rsidRPr="00242DB8" w:rsidRDefault="00DA0D70" w:rsidP="00DA0D70">
      <w:pPr>
        <w:autoSpaceDE w:val="0"/>
        <w:autoSpaceDN w:val="0"/>
        <w:adjustRightInd w:val="0"/>
        <w:rPr>
          <w:szCs w:val="24"/>
        </w:rPr>
      </w:pPr>
    </w:p>
    <w:p w:rsidR="00DA0D70" w:rsidRPr="006731AC" w:rsidRDefault="00DA0D70" w:rsidP="00DA0D70">
      <w:pPr>
        <w:autoSpaceDE w:val="0"/>
        <w:autoSpaceDN w:val="0"/>
        <w:adjustRightInd w:val="0"/>
        <w:ind w:firstLine="851"/>
        <w:rPr>
          <w:bCs/>
          <w:iCs/>
          <w:szCs w:val="24"/>
          <w:u w:val="single"/>
        </w:rPr>
      </w:pPr>
      <w:r w:rsidRPr="006731AC">
        <w:rPr>
          <w:bCs/>
          <w:iCs/>
          <w:szCs w:val="24"/>
          <w:u w:val="single"/>
        </w:rPr>
        <w:t>Beskrivelse</w:t>
      </w:r>
      <w:r w:rsidRPr="006731AC">
        <w:rPr>
          <w:szCs w:val="24"/>
          <w:u w:val="single"/>
        </w:rPr>
        <w:t xml:space="preserve"> af </w:t>
      </w:r>
      <w:r w:rsidRPr="006731AC">
        <w:rPr>
          <w:bCs/>
          <w:iCs/>
          <w:szCs w:val="24"/>
          <w:u w:val="single"/>
        </w:rPr>
        <w:t>udvalgte</w:t>
      </w:r>
      <w:r w:rsidRPr="006731AC">
        <w:rPr>
          <w:szCs w:val="24"/>
          <w:u w:val="single"/>
        </w:rPr>
        <w:t xml:space="preserve"> bivirkninger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Dette lægemiddel giver reaktioner svarende til andre </w:t>
      </w:r>
      <w:proofErr w:type="spellStart"/>
      <w:r w:rsidRPr="00242DB8">
        <w:rPr>
          <w:szCs w:val="24"/>
        </w:rPr>
        <w:t>antikolinerge</w:t>
      </w:r>
      <w:proofErr w:type="spellEnd"/>
      <w:r w:rsidRPr="00242DB8">
        <w:rPr>
          <w:szCs w:val="24"/>
        </w:rPr>
        <w:t xml:space="preserve"> lægemidler. Der kan f</w:t>
      </w:r>
      <w:r w:rsidRPr="00242DB8">
        <w:rPr>
          <w:szCs w:val="24"/>
        </w:rPr>
        <w:t>o</w:t>
      </w:r>
      <w:r w:rsidRPr="00242DB8">
        <w:rPr>
          <w:szCs w:val="24"/>
        </w:rPr>
        <w:t xml:space="preserve">rekomme manifestationer i centralnervesystemet som f.eks. </w:t>
      </w:r>
      <w:proofErr w:type="spellStart"/>
      <w:r w:rsidRPr="00242DB8">
        <w:rPr>
          <w:szCs w:val="24"/>
        </w:rPr>
        <w:t>ataksi</w:t>
      </w:r>
      <w:proofErr w:type="spellEnd"/>
      <w:r w:rsidRPr="00242DB8">
        <w:rPr>
          <w:szCs w:val="24"/>
        </w:rPr>
        <w:t>, usammenhængende t</w:t>
      </w:r>
      <w:r w:rsidRPr="00242DB8">
        <w:rPr>
          <w:szCs w:val="24"/>
        </w:rPr>
        <w:t>a</w:t>
      </w:r>
      <w:r w:rsidRPr="00242DB8">
        <w:rPr>
          <w:szCs w:val="24"/>
        </w:rPr>
        <w:t>le, rastløshed, hallucinationer, hype</w:t>
      </w:r>
      <w:r w:rsidRPr="00242DB8">
        <w:rPr>
          <w:szCs w:val="24"/>
        </w:rPr>
        <w:t>r</w:t>
      </w:r>
      <w:r w:rsidRPr="00242DB8">
        <w:rPr>
          <w:szCs w:val="24"/>
        </w:rPr>
        <w:t xml:space="preserve">aktivitet, kramper, desorientering med hensyn til tid og sted samt manglende genkendelse af personer. Andre toksiske manifestationer af </w:t>
      </w:r>
      <w:proofErr w:type="spellStart"/>
      <w:r w:rsidRPr="00242DB8">
        <w:rPr>
          <w:szCs w:val="24"/>
        </w:rPr>
        <w:t>antikol</w:t>
      </w:r>
      <w:r w:rsidRPr="00242DB8">
        <w:rPr>
          <w:szCs w:val="24"/>
        </w:rPr>
        <w:t>i</w:t>
      </w:r>
      <w:r w:rsidRPr="00242DB8">
        <w:rPr>
          <w:szCs w:val="24"/>
        </w:rPr>
        <w:t>nerge</w:t>
      </w:r>
      <w:proofErr w:type="spellEnd"/>
      <w:r w:rsidRPr="00242DB8">
        <w:rPr>
          <w:szCs w:val="24"/>
        </w:rPr>
        <w:t xml:space="preserve"> lægemidler er udslæt, </w:t>
      </w:r>
      <w:proofErr w:type="spellStart"/>
      <w:r w:rsidRPr="00242DB8">
        <w:rPr>
          <w:szCs w:val="24"/>
        </w:rPr>
        <w:t>abdominal</w:t>
      </w:r>
      <w:proofErr w:type="spellEnd"/>
      <w:r w:rsidRPr="00242DB8">
        <w:rPr>
          <w:szCs w:val="24"/>
        </w:rPr>
        <w:t xml:space="preserve"> </w:t>
      </w:r>
      <w:proofErr w:type="spellStart"/>
      <w:r w:rsidRPr="00242DB8">
        <w:rPr>
          <w:szCs w:val="24"/>
        </w:rPr>
        <w:t>distention</w:t>
      </w:r>
      <w:proofErr w:type="spellEnd"/>
      <w:r w:rsidRPr="00242DB8">
        <w:rPr>
          <w:szCs w:val="24"/>
        </w:rPr>
        <w:t xml:space="preserve"> hos børn, usædvanlig døsighed, </w:t>
      </w:r>
      <w:proofErr w:type="spellStart"/>
      <w:r w:rsidRPr="00242DB8">
        <w:rPr>
          <w:szCs w:val="24"/>
        </w:rPr>
        <w:t>takyka</w:t>
      </w:r>
      <w:r w:rsidRPr="00242DB8">
        <w:rPr>
          <w:szCs w:val="24"/>
        </w:rPr>
        <w:t>r</w:t>
      </w:r>
      <w:r w:rsidRPr="00242DB8">
        <w:rPr>
          <w:szCs w:val="24"/>
        </w:rPr>
        <w:t>di</w:t>
      </w:r>
      <w:proofErr w:type="spellEnd"/>
      <w:r w:rsidRPr="00242DB8">
        <w:rPr>
          <w:szCs w:val="24"/>
        </w:rPr>
        <w:t xml:space="preserve">, </w:t>
      </w:r>
      <w:proofErr w:type="spellStart"/>
      <w:r w:rsidRPr="00242DB8">
        <w:rPr>
          <w:szCs w:val="24"/>
        </w:rPr>
        <w:t>hyperpyreksi</w:t>
      </w:r>
      <w:proofErr w:type="spellEnd"/>
      <w:r w:rsidRPr="00242DB8">
        <w:rPr>
          <w:szCs w:val="24"/>
        </w:rPr>
        <w:t xml:space="preserve">, </w:t>
      </w:r>
      <w:proofErr w:type="spellStart"/>
      <w:r w:rsidRPr="00242DB8">
        <w:rPr>
          <w:szCs w:val="24"/>
        </w:rPr>
        <w:t>vasodilation</w:t>
      </w:r>
      <w:proofErr w:type="spellEnd"/>
      <w:r w:rsidRPr="00242DB8">
        <w:rPr>
          <w:szCs w:val="24"/>
        </w:rPr>
        <w:t xml:space="preserve">, urinretention, nedsat bevægelighed i mave-tarm-kanalen og nedsat sekretion i spyt- og svedkirtler, </w:t>
      </w:r>
      <w:proofErr w:type="spellStart"/>
      <w:r w:rsidRPr="00242DB8">
        <w:rPr>
          <w:szCs w:val="24"/>
        </w:rPr>
        <w:t>pharynx</w:t>
      </w:r>
      <w:proofErr w:type="spellEnd"/>
      <w:r w:rsidRPr="00242DB8">
        <w:rPr>
          <w:szCs w:val="24"/>
        </w:rPr>
        <w:t>, bronkier og næseveje. Alvorlige reaktioner manifesteres ved hypotension med hurtig progredierende respirationsdepression.</w:t>
      </w:r>
    </w:p>
    <w:p w:rsidR="00DA0D70" w:rsidRPr="00242DB8" w:rsidRDefault="00DA0D70" w:rsidP="00DA0D70">
      <w:pPr>
        <w:autoSpaceDE w:val="0"/>
        <w:autoSpaceDN w:val="0"/>
        <w:adjustRightInd w:val="0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kan øge det </w:t>
      </w:r>
      <w:proofErr w:type="spellStart"/>
      <w:r w:rsidRPr="00242DB8">
        <w:rPr>
          <w:szCs w:val="24"/>
        </w:rPr>
        <w:t>intraokulære</w:t>
      </w:r>
      <w:proofErr w:type="spellEnd"/>
      <w:r w:rsidRPr="00242DB8">
        <w:rPr>
          <w:szCs w:val="24"/>
        </w:rPr>
        <w:t xml:space="preserve"> tryk og fremkalde </w:t>
      </w:r>
      <w:proofErr w:type="spellStart"/>
      <w:r w:rsidRPr="00242DB8">
        <w:rPr>
          <w:szCs w:val="24"/>
        </w:rPr>
        <w:t>glaukomanfald</w:t>
      </w:r>
      <w:proofErr w:type="spellEnd"/>
      <w:r w:rsidRPr="00242DB8">
        <w:rPr>
          <w:szCs w:val="24"/>
        </w:rPr>
        <w:t xml:space="preserve"> hos patienter, der er prædisponerede for akut vinkellukning, især geriatriske patienter. (Se pkt. 4.4). 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Start af </w:t>
      </w:r>
      <w:proofErr w:type="spellStart"/>
      <w:r w:rsidRPr="00242DB8">
        <w:rPr>
          <w:szCs w:val="24"/>
        </w:rPr>
        <w:t>cyclopentolattoksicitet</w:t>
      </w:r>
      <w:proofErr w:type="spellEnd"/>
      <w:r w:rsidRPr="00242DB8">
        <w:rPr>
          <w:szCs w:val="24"/>
        </w:rPr>
        <w:t xml:space="preserve"> forekommer inden for 20 til 30 minutter efter drypning med lægemidler, og selvom symptomerne normalt er forbigående (og forsvinder i løbet af 4 til 6 timer), kan de vare i 12 til 24 t</w:t>
      </w:r>
      <w:r w:rsidRPr="00242DB8">
        <w:rPr>
          <w:szCs w:val="24"/>
        </w:rPr>
        <w:t>i</w:t>
      </w:r>
      <w:r w:rsidRPr="00242DB8">
        <w:rPr>
          <w:szCs w:val="24"/>
        </w:rPr>
        <w:t>mer.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6731AC" w:rsidRDefault="00DA0D70" w:rsidP="00DA0D70">
      <w:pPr>
        <w:autoSpaceDE w:val="0"/>
        <w:autoSpaceDN w:val="0"/>
        <w:adjustRightInd w:val="0"/>
        <w:ind w:firstLine="851"/>
        <w:rPr>
          <w:bCs/>
          <w:iCs/>
          <w:szCs w:val="24"/>
          <w:u w:val="single"/>
        </w:rPr>
      </w:pPr>
      <w:r w:rsidRPr="006731AC">
        <w:rPr>
          <w:bCs/>
          <w:iCs/>
          <w:szCs w:val="24"/>
          <w:u w:val="single"/>
        </w:rPr>
        <w:t>Pædiatrisk population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>Forhøjet risiko for systemisk toksicitet med denne stofgruppe er observeret hos for tidligt fødte børn, spædbørn, små børn eller børn med Downs syndrom, spastisk parese eller hje</w:t>
      </w:r>
      <w:r w:rsidRPr="00242DB8">
        <w:rPr>
          <w:szCs w:val="24"/>
        </w:rPr>
        <w:t>r</w:t>
      </w:r>
      <w:r w:rsidRPr="00242DB8">
        <w:rPr>
          <w:szCs w:val="24"/>
        </w:rPr>
        <w:t>neskader (se pkt. 4.4).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I forbindelse med brug af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er der registreret psykotiske reaktioner og adfærdsæ</w:t>
      </w:r>
      <w:r w:rsidRPr="00242DB8">
        <w:rPr>
          <w:szCs w:val="24"/>
        </w:rPr>
        <w:t>n</w:t>
      </w:r>
      <w:r w:rsidRPr="00242DB8">
        <w:rPr>
          <w:szCs w:val="24"/>
        </w:rPr>
        <w:t xml:space="preserve">dringer hos pædiatriske patienter. Reaktioner i centralnervesystemet har manifesteret sig svarende til ovennævnte. Kramper og akut psykose induceret af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er særligt fremtrædende hos børn.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firstLine="851"/>
        <w:rPr>
          <w:szCs w:val="24"/>
        </w:rPr>
      </w:pPr>
      <w:proofErr w:type="spellStart"/>
      <w:r w:rsidRPr="00242DB8">
        <w:rPr>
          <w:szCs w:val="24"/>
        </w:rPr>
        <w:t>Fødevareintolerans</w:t>
      </w:r>
      <w:proofErr w:type="spellEnd"/>
      <w:r w:rsidRPr="00242DB8">
        <w:rPr>
          <w:szCs w:val="24"/>
        </w:rPr>
        <w:t xml:space="preserve"> kan følge efter brug af dette produkt i børns øjne.</w:t>
      </w:r>
    </w:p>
    <w:p w:rsidR="00DA0D70" w:rsidRPr="00242DB8" w:rsidRDefault="00DA0D70" w:rsidP="00DA0D70">
      <w:pPr>
        <w:autoSpaceDE w:val="0"/>
        <w:autoSpaceDN w:val="0"/>
        <w:adjustRightInd w:val="0"/>
        <w:ind w:firstLine="851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 xml:space="preserve">Der er beskrevet en lokal eller generaliseret respons af allergisk type på </w:t>
      </w:r>
      <w:proofErr w:type="spellStart"/>
      <w:r w:rsidRPr="00242DB8">
        <w:rPr>
          <w:szCs w:val="24"/>
        </w:rPr>
        <w:t>cyclopentolat</w:t>
      </w:r>
      <w:proofErr w:type="spellEnd"/>
      <w:r w:rsidRPr="00242DB8">
        <w:rPr>
          <w:szCs w:val="24"/>
        </w:rPr>
        <w:t xml:space="preserve"> b</w:t>
      </w:r>
      <w:r w:rsidRPr="00242DB8">
        <w:rPr>
          <w:szCs w:val="24"/>
        </w:rPr>
        <w:t>e</w:t>
      </w:r>
      <w:r w:rsidRPr="00242DB8">
        <w:rPr>
          <w:szCs w:val="24"/>
        </w:rPr>
        <w:t xml:space="preserve">stående af </w:t>
      </w:r>
      <w:proofErr w:type="spellStart"/>
      <w:r w:rsidRPr="00242DB8">
        <w:rPr>
          <w:szCs w:val="24"/>
        </w:rPr>
        <w:t>urticaria</w:t>
      </w:r>
      <w:proofErr w:type="spellEnd"/>
      <w:r w:rsidRPr="00242DB8">
        <w:rPr>
          <w:szCs w:val="24"/>
        </w:rPr>
        <w:t xml:space="preserve"> hos børn.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6731AC" w:rsidRDefault="00DA0D70" w:rsidP="00DA0D70">
      <w:pPr>
        <w:autoSpaceDE w:val="0"/>
        <w:autoSpaceDN w:val="0"/>
        <w:adjustRightInd w:val="0"/>
        <w:ind w:left="851"/>
        <w:rPr>
          <w:szCs w:val="24"/>
          <w:u w:val="single"/>
        </w:rPr>
      </w:pPr>
      <w:r w:rsidRPr="006731AC">
        <w:rPr>
          <w:szCs w:val="24"/>
          <w:u w:val="single"/>
        </w:rPr>
        <w:t>Indberetning af formodede bivirkninger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>Når lægemidlet er godkendt, er indberetning af formodede bivirkninger vigtig. Det muli</w:t>
      </w:r>
      <w:r w:rsidRPr="00242DB8">
        <w:rPr>
          <w:szCs w:val="24"/>
        </w:rPr>
        <w:t>g</w:t>
      </w:r>
      <w:r w:rsidRPr="00242DB8">
        <w:rPr>
          <w:szCs w:val="24"/>
        </w:rPr>
        <w:t>gør løbende overvågning af benefit/</w:t>
      </w:r>
      <w:proofErr w:type="spellStart"/>
      <w:r w:rsidRPr="00242DB8">
        <w:rPr>
          <w:szCs w:val="24"/>
        </w:rPr>
        <w:t>risk</w:t>
      </w:r>
      <w:proofErr w:type="spellEnd"/>
      <w:r w:rsidRPr="00242DB8">
        <w:rPr>
          <w:szCs w:val="24"/>
        </w:rPr>
        <w:t xml:space="preserve">-forholdet for lægemidlet. </w:t>
      </w:r>
      <w:r w:rsidR="000A218C">
        <w:rPr>
          <w:szCs w:val="24"/>
        </w:rPr>
        <w:t>Sundhedspersoner</w:t>
      </w:r>
      <w:r w:rsidRPr="00242DB8">
        <w:rPr>
          <w:szCs w:val="24"/>
        </w:rPr>
        <w:t xml:space="preserve"> anmodes om at indberette alle formodede </w:t>
      </w:r>
      <w:r w:rsidR="00356D14" w:rsidRPr="00242DB8">
        <w:rPr>
          <w:szCs w:val="24"/>
        </w:rPr>
        <w:t>bivirkni</w:t>
      </w:r>
      <w:r w:rsidR="00356D14" w:rsidRPr="00242DB8">
        <w:rPr>
          <w:szCs w:val="24"/>
        </w:rPr>
        <w:t>n</w:t>
      </w:r>
      <w:r w:rsidR="00356D14" w:rsidRPr="00242DB8">
        <w:rPr>
          <w:szCs w:val="24"/>
        </w:rPr>
        <w:t>ger</w:t>
      </w:r>
      <w:r w:rsidR="00356D14">
        <w:rPr>
          <w:szCs w:val="24"/>
        </w:rPr>
        <w:t xml:space="preserve"> via: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</w:p>
    <w:p w:rsidR="00DA0D70" w:rsidRPr="00242DB8" w:rsidRDefault="00CC2589" w:rsidP="00DA0D70">
      <w:pPr>
        <w:autoSpaceDE w:val="0"/>
        <w:autoSpaceDN w:val="0"/>
        <w:adjustRightInd w:val="0"/>
        <w:ind w:left="851"/>
        <w:rPr>
          <w:szCs w:val="24"/>
        </w:rPr>
      </w:pPr>
      <w:r>
        <w:rPr>
          <w:szCs w:val="24"/>
        </w:rPr>
        <w:t>Lægemiddel</w:t>
      </w:r>
      <w:r w:rsidR="00DA0D70" w:rsidRPr="00242DB8">
        <w:rPr>
          <w:szCs w:val="24"/>
        </w:rPr>
        <w:t>styrelsen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>Axel Heides Gade 1</w:t>
      </w:r>
    </w:p>
    <w:p w:rsidR="00DA0D70" w:rsidRPr="00242DB8" w:rsidRDefault="00DA0D70" w:rsidP="00DA0D70">
      <w:pPr>
        <w:autoSpaceDE w:val="0"/>
        <w:autoSpaceDN w:val="0"/>
        <w:adjustRightInd w:val="0"/>
        <w:ind w:left="851"/>
        <w:rPr>
          <w:szCs w:val="24"/>
        </w:rPr>
      </w:pPr>
      <w:r w:rsidRPr="00242DB8">
        <w:rPr>
          <w:szCs w:val="24"/>
        </w:rPr>
        <w:t>DK-2300 København S</w:t>
      </w:r>
    </w:p>
    <w:p w:rsidR="00DA0D70" w:rsidRDefault="00DA0D70" w:rsidP="00DA0D70">
      <w:pPr>
        <w:autoSpaceDE w:val="0"/>
        <w:autoSpaceDN w:val="0"/>
        <w:adjustRightInd w:val="0"/>
        <w:ind w:left="851"/>
        <w:rPr>
          <w:szCs w:val="24"/>
          <w:lang w:val="en-US"/>
        </w:rPr>
      </w:pPr>
      <w:proofErr w:type="spellStart"/>
      <w:r w:rsidRPr="00DA0D70">
        <w:rPr>
          <w:szCs w:val="24"/>
          <w:lang w:val="en-US"/>
        </w:rPr>
        <w:t>Websted</w:t>
      </w:r>
      <w:proofErr w:type="spellEnd"/>
      <w:r w:rsidRPr="00DA0D70">
        <w:rPr>
          <w:szCs w:val="24"/>
          <w:lang w:val="en-US"/>
        </w:rPr>
        <w:t xml:space="preserve">: </w:t>
      </w:r>
      <w:hyperlink r:id="rId8" w:history="1">
        <w:r w:rsidR="000A218C" w:rsidRPr="008546C4">
          <w:rPr>
            <w:rStyle w:val="Hyperlink"/>
            <w:szCs w:val="24"/>
            <w:lang w:val="en-US"/>
          </w:rPr>
          <w:t>www.meldenbivirkning.dk</w:t>
        </w:r>
      </w:hyperlink>
    </w:p>
    <w:p w:rsidR="00DA0D70" w:rsidRPr="00DA0D70" w:rsidRDefault="00DA0D70" w:rsidP="00DA0D70">
      <w:pPr>
        <w:pStyle w:val="Sidehoved"/>
        <w:tabs>
          <w:tab w:val="clear" w:pos="4819"/>
          <w:tab w:val="clear" w:pos="9638"/>
          <w:tab w:val="left" w:pos="851"/>
        </w:tabs>
        <w:ind w:left="851"/>
        <w:rPr>
          <w:szCs w:val="24"/>
          <w:lang w:val="en-US"/>
        </w:rPr>
      </w:pPr>
    </w:p>
    <w:p w:rsidR="00DA0D70" w:rsidRPr="00DA0D70" w:rsidRDefault="00DA0D70" w:rsidP="00DA0D70">
      <w:pPr>
        <w:numPr>
          <w:ilvl w:val="1"/>
          <w:numId w:val="6"/>
        </w:numPr>
        <w:tabs>
          <w:tab w:val="clear" w:pos="360"/>
          <w:tab w:val="num" w:pos="851"/>
        </w:tabs>
        <w:ind w:left="851" w:hanging="851"/>
        <w:rPr>
          <w:b/>
          <w:szCs w:val="24"/>
        </w:rPr>
      </w:pPr>
      <w:r w:rsidRPr="00242DB8">
        <w:rPr>
          <w:b/>
          <w:szCs w:val="24"/>
        </w:rPr>
        <w:t>Overdosering</w:t>
      </w:r>
    </w:p>
    <w:p w:rsidR="00DA0D70" w:rsidRPr="00242DB8" w:rsidRDefault="00DA0D70" w:rsidP="00DA0D70">
      <w:pPr>
        <w:autoSpaceDE w:val="0"/>
        <w:autoSpaceDN w:val="0"/>
        <w:adjustRightInd w:val="0"/>
        <w:ind w:left="850"/>
        <w:rPr>
          <w:szCs w:val="24"/>
        </w:rPr>
      </w:pPr>
      <w:proofErr w:type="spellStart"/>
      <w:r w:rsidRPr="00242DB8">
        <w:rPr>
          <w:szCs w:val="24"/>
        </w:rPr>
        <w:t>Okulær</w:t>
      </w:r>
      <w:proofErr w:type="spellEnd"/>
      <w:r w:rsidRPr="00242DB8">
        <w:rPr>
          <w:szCs w:val="24"/>
        </w:rPr>
        <w:t xml:space="preserve"> overdosering med </w:t>
      </w:r>
      <w:proofErr w:type="spellStart"/>
      <w:r w:rsidRPr="00242DB8">
        <w:rPr>
          <w:szCs w:val="24"/>
        </w:rPr>
        <w:t>Cyclogyl</w:t>
      </w:r>
      <w:proofErr w:type="spellEnd"/>
      <w:r w:rsidRPr="00242DB8">
        <w:rPr>
          <w:szCs w:val="24"/>
        </w:rPr>
        <w:t xml:space="preserve"> kan skylles ud af øjet/øjnene med lunkent vand.</w:t>
      </w:r>
    </w:p>
    <w:p w:rsidR="00DA0D70" w:rsidRPr="00242DB8" w:rsidRDefault="00DA0D70" w:rsidP="00DA0D70">
      <w:pPr>
        <w:autoSpaceDE w:val="0"/>
        <w:autoSpaceDN w:val="0"/>
        <w:adjustRightInd w:val="0"/>
        <w:ind w:left="850"/>
        <w:rPr>
          <w:szCs w:val="24"/>
        </w:rPr>
      </w:pPr>
    </w:p>
    <w:p w:rsidR="00DA0D70" w:rsidRPr="00242DB8" w:rsidRDefault="00DA0D70" w:rsidP="00DA0D70">
      <w:pPr>
        <w:autoSpaceDE w:val="0"/>
        <w:autoSpaceDN w:val="0"/>
        <w:adjustRightInd w:val="0"/>
        <w:ind w:left="850"/>
        <w:rPr>
          <w:spacing w:val="-3"/>
          <w:szCs w:val="24"/>
        </w:rPr>
      </w:pPr>
      <w:r w:rsidRPr="00242DB8">
        <w:rPr>
          <w:szCs w:val="24"/>
        </w:rPr>
        <w:t xml:space="preserve">Systemisk toksicitet kan opstå efter </w:t>
      </w:r>
      <w:proofErr w:type="spellStart"/>
      <w:r w:rsidRPr="00242DB8">
        <w:rPr>
          <w:szCs w:val="24"/>
        </w:rPr>
        <w:t>topikal</w:t>
      </w:r>
      <w:proofErr w:type="spellEnd"/>
      <w:r w:rsidRPr="00242DB8">
        <w:rPr>
          <w:szCs w:val="24"/>
        </w:rPr>
        <w:t xml:space="preserve"> anvendelse, især hos børn. Det manifesterer sig ved rødmen og tørhed i huden (der kan forekomme udslæt hos børn), sløret syn, hurtig og uregelmæssig puls, feber, forsto</w:t>
      </w:r>
      <w:r w:rsidRPr="00242DB8">
        <w:rPr>
          <w:szCs w:val="24"/>
        </w:rPr>
        <w:t>p</w:t>
      </w:r>
      <w:r w:rsidRPr="00242DB8">
        <w:rPr>
          <w:szCs w:val="24"/>
        </w:rPr>
        <w:t xml:space="preserve">pelse, </w:t>
      </w:r>
      <w:proofErr w:type="spellStart"/>
      <w:r w:rsidRPr="00242DB8">
        <w:rPr>
          <w:szCs w:val="24"/>
        </w:rPr>
        <w:t>dysuri</w:t>
      </w:r>
      <w:proofErr w:type="spellEnd"/>
      <w:r w:rsidRPr="00242DB8">
        <w:rPr>
          <w:szCs w:val="24"/>
        </w:rPr>
        <w:t xml:space="preserve">, </w:t>
      </w:r>
      <w:proofErr w:type="spellStart"/>
      <w:r w:rsidRPr="00242DB8">
        <w:rPr>
          <w:szCs w:val="24"/>
        </w:rPr>
        <w:t>abdominal</w:t>
      </w:r>
      <w:proofErr w:type="spellEnd"/>
      <w:r w:rsidRPr="00242DB8">
        <w:rPr>
          <w:szCs w:val="24"/>
        </w:rPr>
        <w:t xml:space="preserve"> </w:t>
      </w:r>
      <w:proofErr w:type="spellStart"/>
      <w:r w:rsidRPr="00242DB8">
        <w:rPr>
          <w:szCs w:val="24"/>
        </w:rPr>
        <w:t>distension</w:t>
      </w:r>
      <w:proofErr w:type="spellEnd"/>
      <w:r w:rsidRPr="00242DB8">
        <w:rPr>
          <w:szCs w:val="24"/>
        </w:rPr>
        <w:t xml:space="preserve"> hos børn, kramper og hallucinationer samt tab af </w:t>
      </w:r>
      <w:proofErr w:type="spellStart"/>
      <w:r w:rsidRPr="00242DB8">
        <w:rPr>
          <w:szCs w:val="24"/>
        </w:rPr>
        <w:t>neuromuskulær</w:t>
      </w:r>
      <w:proofErr w:type="spellEnd"/>
      <w:r w:rsidRPr="00242DB8">
        <w:rPr>
          <w:szCs w:val="24"/>
        </w:rPr>
        <w:t xml:space="preserve"> koordination. </w:t>
      </w:r>
      <w:r w:rsidRPr="00242DB8">
        <w:rPr>
          <w:spacing w:val="-3"/>
          <w:szCs w:val="24"/>
        </w:rPr>
        <w:t xml:space="preserve">Når behandling med </w:t>
      </w:r>
      <w:proofErr w:type="spellStart"/>
      <w:r w:rsidRPr="00242DB8">
        <w:rPr>
          <w:spacing w:val="-3"/>
          <w:szCs w:val="24"/>
        </w:rPr>
        <w:t>Cyclogyl</w:t>
      </w:r>
      <w:proofErr w:type="spellEnd"/>
      <w:r w:rsidRPr="00242DB8">
        <w:rPr>
          <w:spacing w:val="-3"/>
          <w:szCs w:val="24"/>
        </w:rPr>
        <w:t xml:space="preserve"> a</w:t>
      </w:r>
      <w:r w:rsidRPr="00242DB8">
        <w:rPr>
          <w:spacing w:val="-3"/>
          <w:szCs w:val="24"/>
        </w:rPr>
        <w:t>f</w:t>
      </w:r>
      <w:r w:rsidRPr="00242DB8">
        <w:rPr>
          <w:spacing w:val="-3"/>
          <w:szCs w:val="24"/>
        </w:rPr>
        <w:t xml:space="preserve">brydes, forsvinder symptomerne normalt. I tilfælde af svær og livstruende forgiftning, kan brugen af </w:t>
      </w:r>
      <w:proofErr w:type="spellStart"/>
      <w:r w:rsidRPr="00242DB8">
        <w:rPr>
          <w:spacing w:val="-3"/>
          <w:szCs w:val="24"/>
        </w:rPr>
        <w:t>physostigmin</w:t>
      </w:r>
      <w:proofErr w:type="spellEnd"/>
      <w:r w:rsidRPr="00242DB8">
        <w:rPr>
          <w:spacing w:val="-3"/>
          <w:szCs w:val="24"/>
        </w:rPr>
        <w:t xml:space="preserve"> overvejes. </w:t>
      </w:r>
      <w:r w:rsidRPr="00242DB8">
        <w:rPr>
          <w:szCs w:val="24"/>
        </w:rPr>
        <w:t>Svær forgiftning kendetegnes ved depression af centra</w:t>
      </w:r>
      <w:r w:rsidRPr="00242DB8">
        <w:rPr>
          <w:szCs w:val="24"/>
        </w:rPr>
        <w:t>l</w:t>
      </w:r>
      <w:r w:rsidRPr="00242DB8">
        <w:rPr>
          <w:szCs w:val="24"/>
        </w:rPr>
        <w:t>nervesystemet, koma, kredsløbs- og åndedrætssvigt samt dødsfald. Behandling er sympt</w:t>
      </w:r>
      <w:r w:rsidRPr="00242DB8">
        <w:rPr>
          <w:szCs w:val="24"/>
        </w:rPr>
        <w:t>o</w:t>
      </w:r>
      <w:r w:rsidRPr="00242DB8">
        <w:rPr>
          <w:szCs w:val="24"/>
        </w:rPr>
        <w:t>matisk og understøttende. Hos spædbørn og småbørn skal kroppens overflade holdes fu</w:t>
      </w:r>
      <w:r w:rsidRPr="00242DB8">
        <w:rPr>
          <w:szCs w:val="24"/>
        </w:rPr>
        <w:t>g</w:t>
      </w:r>
      <w:r w:rsidRPr="00242DB8">
        <w:rPr>
          <w:szCs w:val="24"/>
        </w:rPr>
        <w:t>tig.</w:t>
      </w:r>
    </w:p>
    <w:p w:rsidR="008803CB" w:rsidRDefault="008803CB" w:rsidP="00DA0D70">
      <w:pPr>
        <w:tabs>
          <w:tab w:val="left" w:pos="0"/>
          <w:tab w:val="left" w:pos="851"/>
        </w:tabs>
        <w:spacing w:line="216" w:lineRule="auto"/>
        <w:ind w:left="850" w:hanging="850"/>
      </w:pPr>
    </w:p>
    <w:p w:rsidR="008803CB" w:rsidRDefault="008803CB" w:rsidP="00CC19D5">
      <w:pPr>
        <w:numPr>
          <w:ilvl w:val="1"/>
          <w:numId w:val="6"/>
        </w:numPr>
        <w:tabs>
          <w:tab w:val="left" w:pos="851"/>
        </w:tabs>
        <w:rPr>
          <w:b/>
        </w:rPr>
      </w:pPr>
      <w:r>
        <w:rPr>
          <w:b/>
        </w:rPr>
        <w:t>Udlevering</w:t>
      </w:r>
    </w:p>
    <w:p w:rsidR="008803CB" w:rsidRDefault="008803CB">
      <w:pPr>
        <w:tabs>
          <w:tab w:val="left" w:pos="851"/>
        </w:tabs>
        <w:ind w:left="851" w:hanging="851"/>
      </w:pPr>
      <w:r>
        <w:tab/>
        <w:t>B</w:t>
      </w:r>
    </w:p>
    <w:p w:rsidR="008803CB" w:rsidRDefault="008803CB">
      <w:pPr>
        <w:tabs>
          <w:tab w:val="left" w:pos="851"/>
        </w:tabs>
      </w:pPr>
    </w:p>
    <w:p w:rsidR="008803CB" w:rsidRDefault="008803CB">
      <w:pPr>
        <w:tabs>
          <w:tab w:val="left" w:pos="851"/>
        </w:tabs>
      </w:pPr>
    </w:p>
    <w:p w:rsidR="008803CB" w:rsidRDefault="008803CB" w:rsidP="00CC19D5">
      <w:pPr>
        <w:numPr>
          <w:ilvl w:val="0"/>
          <w:numId w:val="6"/>
        </w:numPr>
        <w:tabs>
          <w:tab w:val="clear" w:pos="360"/>
          <w:tab w:val="num" w:pos="851"/>
        </w:tabs>
        <w:ind w:left="851" w:hanging="851"/>
        <w:rPr>
          <w:b/>
        </w:rPr>
      </w:pPr>
      <w:r>
        <w:rPr>
          <w:b/>
        </w:rPr>
        <w:t>FARMAKOLOGISKE EGENSKABER</w:t>
      </w:r>
    </w:p>
    <w:p w:rsidR="008803CB" w:rsidRDefault="008803CB">
      <w:pPr>
        <w:tabs>
          <w:tab w:val="left" w:pos="851"/>
        </w:tabs>
      </w:pPr>
    </w:p>
    <w:p w:rsidR="008803CB" w:rsidRDefault="008803CB" w:rsidP="008803CB">
      <w:pPr>
        <w:numPr>
          <w:ilvl w:val="1"/>
          <w:numId w:val="2"/>
        </w:numPr>
        <w:tabs>
          <w:tab w:val="clear" w:pos="2159"/>
          <w:tab w:val="num" w:pos="851"/>
        </w:tabs>
        <w:ind w:left="851" w:hanging="851"/>
        <w:rPr>
          <w:b/>
        </w:rPr>
      </w:pPr>
      <w:r>
        <w:rPr>
          <w:b/>
        </w:rPr>
        <w:t>Farmakodynamiske egenskaber</w:t>
      </w:r>
    </w:p>
    <w:p w:rsidR="00356D14" w:rsidRDefault="00356D14" w:rsidP="00CC19D5">
      <w:pPr>
        <w:tabs>
          <w:tab w:val="left" w:pos="0"/>
          <w:tab w:val="left" w:pos="851"/>
        </w:tabs>
        <w:ind w:left="855"/>
        <w:jc w:val="both"/>
        <w:rPr>
          <w:spacing w:val="-3"/>
        </w:rPr>
      </w:pPr>
      <w:proofErr w:type="spellStart"/>
      <w:r>
        <w:rPr>
          <w:spacing w:val="-3"/>
        </w:rPr>
        <w:t>Farmakoterapeutisk</w:t>
      </w:r>
      <w:proofErr w:type="spellEnd"/>
      <w:r>
        <w:rPr>
          <w:spacing w:val="-3"/>
        </w:rPr>
        <w:t xml:space="preserve"> klassifikation:</w:t>
      </w:r>
      <w:r w:rsidRPr="00356D14">
        <w:rPr>
          <w:spacing w:val="-3"/>
        </w:rPr>
        <w:t xml:space="preserve"> </w:t>
      </w:r>
      <w:proofErr w:type="spellStart"/>
      <w:r w:rsidRPr="00E73EFE">
        <w:rPr>
          <w:spacing w:val="-3"/>
        </w:rPr>
        <w:t>Oftalmologika</w:t>
      </w:r>
      <w:proofErr w:type="spellEnd"/>
      <w:r w:rsidRPr="00E73EFE">
        <w:rPr>
          <w:spacing w:val="-3"/>
        </w:rPr>
        <w:t xml:space="preserve">, </w:t>
      </w:r>
      <w:proofErr w:type="spellStart"/>
      <w:r w:rsidRPr="00E73EFE">
        <w:rPr>
          <w:spacing w:val="-3"/>
        </w:rPr>
        <w:t>mydriatika</w:t>
      </w:r>
      <w:proofErr w:type="spellEnd"/>
      <w:r w:rsidRPr="00E73EFE">
        <w:rPr>
          <w:spacing w:val="-3"/>
        </w:rPr>
        <w:t xml:space="preserve"> og </w:t>
      </w:r>
      <w:proofErr w:type="spellStart"/>
      <w:r w:rsidRPr="00E73EFE">
        <w:rPr>
          <w:spacing w:val="-3"/>
        </w:rPr>
        <w:t>cycloplegika</w:t>
      </w:r>
      <w:proofErr w:type="spellEnd"/>
      <w:r w:rsidRPr="00E73EFE">
        <w:rPr>
          <w:spacing w:val="-3"/>
        </w:rPr>
        <w:t xml:space="preserve">, </w:t>
      </w:r>
      <w:proofErr w:type="spellStart"/>
      <w:r w:rsidRPr="00E73EFE">
        <w:rPr>
          <w:spacing w:val="-3"/>
        </w:rPr>
        <w:t>antikoliner</w:t>
      </w:r>
      <w:r>
        <w:rPr>
          <w:spacing w:val="-3"/>
        </w:rPr>
        <w:t>gika</w:t>
      </w:r>
      <w:proofErr w:type="spellEnd"/>
      <w:r>
        <w:rPr>
          <w:spacing w:val="-3"/>
        </w:rPr>
        <w:t xml:space="preserve">, ATC-kode: </w:t>
      </w:r>
      <w:r w:rsidRPr="00356D14">
        <w:rPr>
          <w:spacing w:val="-3"/>
        </w:rPr>
        <w:t>S01FA04</w:t>
      </w:r>
      <w:r>
        <w:rPr>
          <w:spacing w:val="-3"/>
        </w:rPr>
        <w:t>.</w:t>
      </w:r>
    </w:p>
    <w:p w:rsidR="00356D14" w:rsidRDefault="00356D14" w:rsidP="00CC19D5">
      <w:pPr>
        <w:tabs>
          <w:tab w:val="left" w:pos="0"/>
          <w:tab w:val="left" w:pos="851"/>
        </w:tabs>
        <w:ind w:left="855"/>
        <w:jc w:val="both"/>
        <w:rPr>
          <w:spacing w:val="-3"/>
        </w:rPr>
      </w:pPr>
    </w:p>
    <w:p w:rsidR="00CC19D5" w:rsidRDefault="00CC19D5" w:rsidP="00CC19D5">
      <w:pPr>
        <w:tabs>
          <w:tab w:val="left" w:pos="0"/>
          <w:tab w:val="left" w:pos="851"/>
        </w:tabs>
        <w:ind w:left="855"/>
        <w:jc w:val="both"/>
      </w:pPr>
      <w:proofErr w:type="spellStart"/>
      <w:r w:rsidRPr="003E18A2">
        <w:rPr>
          <w:spacing w:val="-3"/>
        </w:rPr>
        <w:t>Cyclopentolat</w:t>
      </w:r>
      <w:proofErr w:type="spellEnd"/>
      <w:r w:rsidRPr="00C67777">
        <w:rPr>
          <w:spacing w:val="-3"/>
        </w:rPr>
        <w:t xml:space="preserve"> er et hurtigt virkende </w:t>
      </w:r>
      <w:proofErr w:type="spellStart"/>
      <w:r w:rsidRPr="00C67777">
        <w:rPr>
          <w:spacing w:val="-3"/>
        </w:rPr>
        <w:t>mydriatikum</w:t>
      </w:r>
      <w:proofErr w:type="spellEnd"/>
      <w:r w:rsidRPr="00C67777">
        <w:rPr>
          <w:spacing w:val="-3"/>
        </w:rPr>
        <w:t xml:space="preserve"> og </w:t>
      </w:r>
      <w:proofErr w:type="spellStart"/>
      <w:r w:rsidRPr="00C67777">
        <w:rPr>
          <w:spacing w:val="-3"/>
        </w:rPr>
        <w:t>cycloplegium</w:t>
      </w:r>
      <w:proofErr w:type="spellEnd"/>
      <w:r w:rsidRPr="00C67777">
        <w:rPr>
          <w:spacing w:val="-3"/>
        </w:rPr>
        <w:t xml:space="preserve">. </w:t>
      </w:r>
      <w:proofErr w:type="spellStart"/>
      <w:r w:rsidRPr="00C67777">
        <w:rPr>
          <w:spacing w:val="-3"/>
        </w:rPr>
        <w:t>Cyclogyl</w:t>
      </w:r>
      <w:proofErr w:type="spellEnd"/>
      <w:r w:rsidRPr="00C67777">
        <w:rPr>
          <w:spacing w:val="-3"/>
        </w:rPr>
        <w:t xml:space="preserve"> giver en acce</w:t>
      </w:r>
      <w:r w:rsidRPr="00C67777">
        <w:rPr>
          <w:spacing w:val="-3"/>
        </w:rPr>
        <w:t>p</w:t>
      </w:r>
      <w:r w:rsidRPr="00C67777">
        <w:rPr>
          <w:spacing w:val="-3"/>
        </w:rPr>
        <w:t xml:space="preserve">tabel </w:t>
      </w:r>
      <w:proofErr w:type="spellStart"/>
      <w:r w:rsidRPr="00C67777">
        <w:rPr>
          <w:spacing w:val="-3"/>
        </w:rPr>
        <w:t>mydriasis</w:t>
      </w:r>
      <w:proofErr w:type="spellEnd"/>
      <w:r w:rsidRPr="00C67777">
        <w:rPr>
          <w:spacing w:val="-3"/>
        </w:rPr>
        <w:t xml:space="preserve"> </w:t>
      </w:r>
      <w:r w:rsidRPr="003E18A2">
        <w:rPr>
          <w:spacing w:val="-3"/>
        </w:rPr>
        <w:t xml:space="preserve">efter 10 minutter </w:t>
      </w:r>
      <w:r w:rsidRPr="00C67777">
        <w:rPr>
          <w:spacing w:val="-3"/>
        </w:rPr>
        <w:t xml:space="preserve">og har maksimal </w:t>
      </w:r>
      <w:proofErr w:type="spellStart"/>
      <w:r w:rsidRPr="00C67777">
        <w:rPr>
          <w:spacing w:val="-3"/>
        </w:rPr>
        <w:t>mydriatisk</w:t>
      </w:r>
      <w:proofErr w:type="spellEnd"/>
      <w:r w:rsidRPr="00C67777">
        <w:rPr>
          <w:spacing w:val="-3"/>
        </w:rPr>
        <w:t xml:space="preserve"> effekt</w:t>
      </w:r>
      <w:r w:rsidRPr="003E18A2">
        <w:rPr>
          <w:spacing w:val="-3"/>
        </w:rPr>
        <w:t xml:space="preserve"> efter 20 minutter.</w:t>
      </w:r>
      <w:r w:rsidRPr="00C67777">
        <w:rPr>
          <w:spacing w:val="-3"/>
        </w:rPr>
        <w:t xml:space="preserve"> Vir</w:t>
      </w:r>
      <w:r w:rsidRPr="00C67777">
        <w:rPr>
          <w:spacing w:val="-3"/>
        </w:rPr>
        <w:t>k</w:t>
      </w:r>
      <w:r w:rsidRPr="00C67777">
        <w:rPr>
          <w:spacing w:val="-3"/>
        </w:rPr>
        <w:t xml:space="preserve">ningen varer omkring 24 timer, </w:t>
      </w:r>
      <w:r w:rsidRPr="003E18A2">
        <w:rPr>
          <w:spacing w:val="-3"/>
        </w:rPr>
        <w:t>nogle gange</w:t>
      </w:r>
      <w:r w:rsidRPr="00C67777">
        <w:rPr>
          <w:spacing w:val="-3"/>
        </w:rPr>
        <w:t xml:space="preserve"> endda op til flere dage.</w:t>
      </w:r>
    </w:p>
    <w:p w:rsidR="008803CB" w:rsidRDefault="008803CB">
      <w:pPr>
        <w:tabs>
          <w:tab w:val="left" w:pos="851"/>
        </w:tabs>
      </w:pPr>
    </w:p>
    <w:p w:rsidR="008803CB" w:rsidRDefault="008803CB" w:rsidP="008803CB">
      <w:pPr>
        <w:numPr>
          <w:ilvl w:val="1"/>
          <w:numId w:val="3"/>
        </w:numPr>
        <w:rPr>
          <w:b/>
        </w:rPr>
      </w:pPr>
      <w:proofErr w:type="spellStart"/>
      <w:r>
        <w:rPr>
          <w:b/>
        </w:rPr>
        <w:t>Farmakokinetiske</w:t>
      </w:r>
      <w:proofErr w:type="spellEnd"/>
      <w:r>
        <w:rPr>
          <w:b/>
        </w:rPr>
        <w:t xml:space="preserve"> egenskaber</w:t>
      </w:r>
    </w:p>
    <w:p w:rsidR="00CC19D5" w:rsidRPr="003E18A2" w:rsidRDefault="00CC19D5" w:rsidP="00CC19D5">
      <w:pPr>
        <w:tabs>
          <w:tab w:val="left" w:pos="0"/>
          <w:tab w:val="left" w:pos="851"/>
        </w:tabs>
        <w:ind w:left="850" w:hanging="85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Pr="003E18A2">
        <w:rPr>
          <w:spacing w:val="-3"/>
        </w:rPr>
        <w:t>Cyclopentolat</w:t>
      </w:r>
      <w:proofErr w:type="spellEnd"/>
      <w:r w:rsidRPr="00C67777">
        <w:rPr>
          <w:spacing w:val="-3"/>
        </w:rPr>
        <w:t xml:space="preserve"> absorberes </w:t>
      </w:r>
      <w:r w:rsidRPr="003E18A2">
        <w:rPr>
          <w:spacing w:val="-3"/>
        </w:rPr>
        <w:t>systemisk</w:t>
      </w:r>
      <w:r w:rsidRPr="00C67777">
        <w:rPr>
          <w:spacing w:val="-3"/>
        </w:rPr>
        <w:t xml:space="preserve"> efter </w:t>
      </w:r>
      <w:r w:rsidRPr="003E18A2">
        <w:rPr>
          <w:spacing w:val="-3"/>
        </w:rPr>
        <w:t>lokal administration.</w:t>
      </w:r>
      <w:r w:rsidRPr="003E18A2">
        <w:rPr>
          <w:spacing w:val="-3"/>
        </w:rPr>
        <w:tab/>
      </w:r>
      <w:r w:rsidRPr="003E18A2">
        <w:rPr>
          <w:spacing w:val="-3"/>
        </w:rPr>
        <w:tab/>
      </w:r>
    </w:p>
    <w:p w:rsidR="00CC19D5" w:rsidRDefault="00CC19D5" w:rsidP="00CC19D5">
      <w:pPr>
        <w:widowControl w:val="0"/>
        <w:ind w:left="850"/>
      </w:pPr>
      <w:r w:rsidRPr="003E18A2">
        <w:t>Der</w:t>
      </w:r>
      <w:r w:rsidRPr="00C67777">
        <w:t xml:space="preserve"> er </w:t>
      </w:r>
      <w:r w:rsidRPr="003E18A2">
        <w:t xml:space="preserve">ikke udført kliniske </w:t>
      </w:r>
      <w:proofErr w:type="spellStart"/>
      <w:r w:rsidRPr="003E18A2">
        <w:t>farmokokinetiske</w:t>
      </w:r>
      <w:proofErr w:type="spellEnd"/>
      <w:r w:rsidRPr="003E18A2">
        <w:t xml:space="preserve"> studier med </w:t>
      </w:r>
      <w:proofErr w:type="spellStart"/>
      <w:r w:rsidRPr="003E18A2">
        <w:t>Cyclogyl</w:t>
      </w:r>
      <w:proofErr w:type="spellEnd"/>
      <w:r w:rsidRPr="003E18A2">
        <w:t xml:space="preserve"> 10 mg/ml øjendråber. Studier med andre </w:t>
      </w:r>
      <w:proofErr w:type="spellStart"/>
      <w:r w:rsidRPr="003E18A2">
        <w:t>cyclopentolathydrochlorid</w:t>
      </w:r>
      <w:proofErr w:type="spellEnd"/>
      <w:r w:rsidRPr="003E18A2">
        <w:t>-formuleringer har dog vist systemisk absor</w:t>
      </w:r>
      <w:r w:rsidRPr="003E18A2">
        <w:t>p</w:t>
      </w:r>
      <w:r w:rsidRPr="003E18A2">
        <w:t xml:space="preserve">tion </w:t>
      </w:r>
      <w:r w:rsidRPr="00C67777">
        <w:t xml:space="preserve">efter </w:t>
      </w:r>
      <w:proofErr w:type="spellStart"/>
      <w:r w:rsidRPr="003E18A2">
        <w:t>topikal</w:t>
      </w:r>
      <w:proofErr w:type="spellEnd"/>
      <w:r w:rsidRPr="003E18A2">
        <w:t xml:space="preserve"> </w:t>
      </w:r>
      <w:proofErr w:type="spellStart"/>
      <w:r w:rsidRPr="003E18A2">
        <w:t>okulær</w:t>
      </w:r>
      <w:proofErr w:type="spellEnd"/>
      <w:r w:rsidRPr="003E18A2">
        <w:t xml:space="preserve"> administration. Efter </w:t>
      </w:r>
      <w:proofErr w:type="spellStart"/>
      <w:r w:rsidRPr="003E18A2">
        <w:t>topikal</w:t>
      </w:r>
      <w:proofErr w:type="spellEnd"/>
      <w:r w:rsidRPr="003E18A2">
        <w:t xml:space="preserve"> </w:t>
      </w:r>
      <w:proofErr w:type="spellStart"/>
      <w:r w:rsidRPr="003E18A2">
        <w:t>okulær</w:t>
      </w:r>
      <w:proofErr w:type="spellEnd"/>
      <w:r w:rsidRPr="003E18A2">
        <w:t xml:space="preserve"> administration af 1 % (w/v) til sunde voksne frivillige (n=8) blev der nået en gennemsnitlig maksimal plasmakonce</w:t>
      </w:r>
      <w:r w:rsidRPr="003E18A2">
        <w:t>n</w:t>
      </w:r>
      <w:r w:rsidRPr="003E18A2">
        <w:t xml:space="preserve">tration på 2,8 ±1,3 </w:t>
      </w:r>
      <w:proofErr w:type="spellStart"/>
      <w:r w:rsidRPr="003E18A2">
        <w:t>ng</w:t>
      </w:r>
      <w:proofErr w:type="spellEnd"/>
      <w:r w:rsidRPr="003E18A2">
        <w:t xml:space="preserve">/ml 15 ±11 </w:t>
      </w:r>
      <w:r w:rsidRPr="00C67777">
        <w:t xml:space="preserve">minutter efter </w:t>
      </w:r>
      <w:r w:rsidRPr="003E18A2">
        <w:t xml:space="preserve">dosering. Plasmahalveringstiden var 112 ±23 minutter. Selvom den totale dosis </w:t>
      </w:r>
      <w:proofErr w:type="spellStart"/>
      <w:r w:rsidRPr="003E18A2">
        <w:t>cyclopentolathydrochlorid</w:t>
      </w:r>
      <w:proofErr w:type="spellEnd"/>
      <w:r w:rsidRPr="003E18A2">
        <w:t xml:space="preserve"> i </w:t>
      </w:r>
      <w:proofErr w:type="spellStart"/>
      <w:r w:rsidRPr="003E18A2">
        <w:t>Cyclogyl</w:t>
      </w:r>
      <w:proofErr w:type="spellEnd"/>
      <w:r w:rsidRPr="003E18A2">
        <w:t xml:space="preserve"> 10 mg/ml </w:t>
      </w:r>
      <w:r w:rsidRPr="003E18A2">
        <w:lastRenderedPageBreak/>
        <w:t>øjendråber er lavere, skal systemisk absorption forventes</w:t>
      </w:r>
      <w:r w:rsidRPr="00C67777">
        <w:t>.</w:t>
      </w:r>
    </w:p>
    <w:p w:rsidR="008803CB" w:rsidRDefault="008803CB">
      <w:pPr>
        <w:tabs>
          <w:tab w:val="left" w:pos="851"/>
        </w:tabs>
      </w:pPr>
    </w:p>
    <w:p w:rsidR="008803CB" w:rsidRDefault="00356D14" w:rsidP="008803CB">
      <w:pPr>
        <w:numPr>
          <w:ilvl w:val="1"/>
          <w:numId w:val="4"/>
        </w:numPr>
        <w:rPr>
          <w:b/>
        </w:rPr>
      </w:pPr>
      <w:r>
        <w:rPr>
          <w:b/>
        </w:rPr>
        <w:t>Non-</w:t>
      </w:r>
      <w:r w:rsidR="008803CB">
        <w:rPr>
          <w:b/>
        </w:rPr>
        <w:t>kliniske sikkerhedsdata</w:t>
      </w:r>
    </w:p>
    <w:p w:rsidR="00CC19D5" w:rsidRDefault="00CC19D5" w:rsidP="00CC19D5">
      <w:pPr>
        <w:tabs>
          <w:tab w:val="left" w:pos="0"/>
          <w:tab w:val="left" w:pos="851"/>
        </w:tabs>
        <w:ind w:left="850" w:hanging="850"/>
        <w:jc w:val="both"/>
        <w:rPr>
          <w:spacing w:val="-3"/>
        </w:rPr>
      </w:pPr>
      <w:r w:rsidRPr="003E18A2">
        <w:rPr>
          <w:spacing w:val="-3"/>
        </w:rPr>
        <w:tab/>
        <w:t xml:space="preserve">Der </w:t>
      </w:r>
      <w:r>
        <w:rPr>
          <w:spacing w:val="-3"/>
        </w:rPr>
        <w:t xml:space="preserve">foreligger ikke nogen opdateret </w:t>
      </w:r>
      <w:r w:rsidRPr="00C67777">
        <w:rPr>
          <w:spacing w:val="-3"/>
        </w:rPr>
        <w:t>dokumentation.</w:t>
      </w:r>
    </w:p>
    <w:p w:rsidR="008803CB" w:rsidRDefault="008803CB">
      <w:pPr>
        <w:tabs>
          <w:tab w:val="left" w:pos="851"/>
        </w:tabs>
      </w:pPr>
    </w:p>
    <w:p w:rsidR="003D4A70" w:rsidRDefault="003D4A70">
      <w:pPr>
        <w:tabs>
          <w:tab w:val="left" w:pos="851"/>
        </w:tabs>
      </w:pPr>
    </w:p>
    <w:p w:rsidR="008803CB" w:rsidRDefault="008803CB" w:rsidP="008803CB">
      <w:pPr>
        <w:numPr>
          <w:ilvl w:val="0"/>
          <w:numId w:val="3"/>
        </w:numPr>
        <w:rPr>
          <w:b/>
        </w:rPr>
      </w:pPr>
      <w:r>
        <w:rPr>
          <w:b/>
        </w:rPr>
        <w:t>FARMACEUTISKE OPLYSNINGER</w:t>
      </w:r>
    </w:p>
    <w:p w:rsidR="008803CB" w:rsidRDefault="008803CB">
      <w:pPr>
        <w:tabs>
          <w:tab w:val="left" w:pos="851"/>
        </w:tabs>
        <w:rPr>
          <w:b/>
        </w:rPr>
      </w:pPr>
    </w:p>
    <w:p w:rsidR="008803CB" w:rsidRDefault="008803CB" w:rsidP="008803CB">
      <w:pPr>
        <w:numPr>
          <w:ilvl w:val="1"/>
          <w:numId w:val="5"/>
        </w:numPr>
        <w:rPr>
          <w:b/>
        </w:rPr>
      </w:pPr>
      <w:r>
        <w:rPr>
          <w:b/>
        </w:rPr>
        <w:t>Hjælpestoffer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proofErr w:type="spellStart"/>
      <w:r w:rsidRPr="00242DB8">
        <w:rPr>
          <w:szCs w:val="24"/>
        </w:rPr>
        <w:t>Benzalkoniumchlorid</w:t>
      </w:r>
      <w:proofErr w:type="spellEnd"/>
      <w:r w:rsidRPr="00242DB8">
        <w:rPr>
          <w:szCs w:val="24"/>
        </w:rPr>
        <w:t xml:space="preserve">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r w:rsidRPr="00242DB8">
        <w:rPr>
          <w:szCs w:val="24"/>
        </w:rPr>
        <w:t xml:space="preserve">Borsyre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proofErr w:type="spellStart"/>
      <w:r w:rsidRPr="00242DB8">
        <w:rPr>
          <w:szCs w:val="24"/>
        </w:rPr>
        <w:t>Kaliumchlorid</w:t>
      </w:r>
      <w:proofErr w:type="spellEnd"/>
      <w:r w:rsidRPr="00242DB8">
        <w:rPr>
          <w:szCs w:val="24"/>
        </w:rPr>
        <w:t xml:space="preserve">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proofErr w:type="spellStart"/>
      <w:r w:rsidRPr="00242DB8">
        <w:rPr>
          <w:szCs w:val="24"/>
        </w:rPr>
        <w:t>Dinatr</w:t>
      </w:r>
      <w:r w:rsidRPr="00242DB8">
        <w:rPr>
          <w:szCs w:val="24"/>
        </w:rPr>
        <w:t>i</w:t>
      </w:r>
      <w:r w:rsidRPr="00242DB8">
        <w:rPr>
          <w:szCs w:val="24"/>
        </w:rPr>
        <w:t>umedetat</w:t>
      </w:r>
      <w:proofErr w:type="spellEnd"/>
      <w:r w:rsidRPr="00242DB8">
        <w:rPr>
          <w:szCs w:val="24"/>
        </w:rPr>
        <w:t xml:space="preserve">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r w:rsidRPr="00242DB8">
        <w:rPr>
          <w:szCs w:val="24"/>
        </w:rPr>
        <w:t xml:space="preserve">Saltsyre og/eller </w:t>
      </w:r>
      <w:proofErr w:type="spellStart"/>
      <w:r w:rsidRPr="00242DB8">
        <w:rPr>
          <w:szCs w:val="24"/>
        </w:rPr>
        <w:t>natriumcarbonat</w:t>
      </w:r>
      <w:proofErr w:type="spellEnd"/>
      <w:r w:rsidRPr="00242DB8">
        <w:rPr>
          <w:szCs w:val="24"/>
        </w:rPr>
        <w:t xml:space="preserve"> monohydrat (til justering af pH) </w:t>
      </w:r>
    </w:p>
    <w:p w:rsidR="00DA0D70" w:rsidRPr="00242DB8" w:rsidRDefault="00DA0D70" w:rsidP="00DA0D70">
      <w:pPr>
        <w:tabs>
          <w:tab w:val="left" w:pos="851"/>
        </w:tabs>
        <w:ind w:left="851"/>
        <w:rPr>
          <w:szCs w:val="24"/>
        </w:rPr>
      </w:pPr>
      <w:r w:rsidRPr="00242DB8">
        <w:rPr>
          <w:szCs w:val="24"/>
        </w:rPr>
        <w:t>Renset vand</w:t>
      </w:r>
    </w:p>
    <w:p w:rsidR="008803CB" w:rsidRDefault="008803CB">
      <w:pPr>
        <w:tabs>
          <w:tab w:val="left" w:pos="851"/>
        </w:tabs>
      </w:pPr>
    </w:p>
    <w:p w:rsidR="008803CB" w:rsidRDefault="008803CB" w:rsidP="008803CB">
      <w:pPr>
        <w:numPr>
          <w:ilvl w:val="1"/>
          <w:numId w:val="5"/>
        </w:numPr>
        <w:rPr>
          <w:b/>
        </w:rPr>
      </w:pPr>
      <w:r>
        <w:rPr>
          <w:b/>
        </w:rPr>
        <w:t>Uforligeligheder</w:t>
      </w:r>
    </w:p>
    <w:p w:rsidR="00CC19D5" w:rsidRDefault="00CC19D5" w:rsidP="00CC19D5">
      <w:pPr>
        <w:tabs>
          <w:tab w:val="left" w:pos="0"/>
          <w:tab w:val="left" w:pos="851"/>
        </w:tabs>
        <w:ind w:left="850" w:hanging="850"/>
        <w:jc w:val="both"/>
        <w:rPr>
          <w:spacing w:val="-3"/>
        </w:rPr>
      </w:pPr>
      <w:r w:rsidRPr="003E18A2">
        <w:rPr>
          <w:spacing w:val="-3"/>
        </w:rPr>
        <w:tab/>
      </w:r>
      <w:r w:rsidRPr="00C67777">
        <w:rPr>
          <w:spacing w:val="-3"/>
        </w:rPr>
        <w:t>Ikke relevant</w:t>
      </w:r>
    </w:p>
    <w:p w:rsidR="008803CB" w:rsidRDefault="008803CB">
      <w:pPr>
        <w:tabs>
          <w:tab w:val="left" w:pos="851"/>
        </w:tabs>
      </w:pPr>
    </w:p>
    <w:p w:rsidR="00DA0D70" w:rsidRPr="00DA0D70" w:rsidRDefault="008803CB" w:rsidP="00DA0D70">
      <w:pPr>
        <w:numPr>
          <w:ilvl w:val="1"/>
          <w:numId w:val="5"/>
        </w:numPr>
        <w:rPr>
          <w:b/>
        </w:rPr>
      </w:pPr>
      <w:r>
        <w:rPr>
          <w:b/>
        </w:rPr>
        <w:t>Opbevaringstid</w:t>
      </w:r>
      <w:r w:rsidR="0072356D" w:rsidRPr="00DA0D70">
        <w:rPr>
          <w:spacing w:val="-3"/>
        </w:rPr>
        <w:tab/>
      </w:r>
    </w:p>
    <w:p w:rsidR="00DA0D70" w:rsidRPr="00242DB8" w:rsidRDefault="008A6348" w:rsidP="00DA0D70">
      <w:pPr>
        <w:tabs>
          <w:tab w:val="left" w:pos="0"/>
          <w:tab w:val="left" w:pos="810"/>
          <w:tab w:val="left" w:pos="851"/>
        </w:tabs>
        <w:ind w:left="855"/>
        <w:jc w:val="both"/>
        <w:rPr>
          <w:spacing w:val="-3"/>
          <w:szCs w:val="24"/>
        </w:rPr>
      </w:pPr>
      <w:r>
        <w:rPr>
          <w:spacing w:val="-3"/>
          <w:szCs w:val="24"/>
        </w:rPr>
        <w:t>3</w:t>
      </w:r>
      <w:r w:rsidR="00DA0D70" w:rsidRPr="00242DB8">
        <w:rPr>
          <w:spacing w:val="-3"/>
          <w:szCs w:val="24"/>
        </w:rPr>
        <w:t xml:space="preserve"> år.</w:t>
      </w:r>
    </w:p>
    <w:p w:rsidR="008803CB" w:rsidRDefault="00DA0D70" w:rsidP="00DA0D70">
      <w:pPr>
        <w:tabs>
          <w:tab w:val="left" w:pos="0"/>
          <w:tab w:val="left" w:pos="851"/>
        </w:tabs>
        <w:ind w:left="850" w:hanging="850"/>
        <w:jc w:val="both"/>
        <w:rPr>
          <w:spacing w:val="-3"/>
          <w:szCs w:val="24"/>
        </w:rPr>
      </w:pPr>
      <w:r>
        <w:rPr>
          <w:spacing w:val="-3"/>
          <w:szCs w:val="24"/>
        </w:rPr>
        <w:tab/>
      </w:r>
      <w:r w:rsidRPr="00242DB8">
        <w:rPr>
          <w:spacing w:val="-3"/>
          <w:szCs w:val="24"/>
        </w:rPr>
        <w:t>Kasseres 4 uger efter åbning.</w:t>
      </w:r>
    </w:p>
    <w:p w:rsidR="00DA0D70" w:rsidRDefault="00DA0D70" w:rsidP="00DA0D70">
      <w:pPr>
        <w:tabs>
          <w:tab w:val="left" w:pos="0"/>
          <w:tab w:val="left" w:pos="851"/>
        </w:tabs>
        <w:ind w:left="850" w:hanging="850"/>
        <w:jc w:val="both"/>
      </w:pPr>
    </w:p>
    <w:p w:rsidR="008803CB" w:rsidRDefault="008803CB" w:rsidP="008803CB">
      <w:pPr>
        <w:numPr>
          <w:ilvl w:val="1"/>
          <w:numId w:val="5"/>
        </w:numPr>
        <w:rPr>
          <w:b/>
        </w:rPr>
      </w:pPr>
      <w:r>
        <w:rPr>
          <w:b/>
        </w:rPr>
        <w:t>Særlige opbevaringsforhold</w:t>
      </w:r>
    </w:p>
    <w:p w:rsidR="008803CB" w:rsidRPr="00CC2589" w:rsidRDefault="0072356D" w:rsidP="00CC2589">
      <w:pPr>
        <w:tabs>
          <w:tab w:val="left" w:pos="0"/>
          <w:tab w:val="left" w:pos="851"/>
        </w:tabs>
        <w:ind w:left="850" w:hanging="850"/>
        <w:rPr>
          <w:spacing w:val="-3"/>
        </w:rPr>
      </w:pPr>
      <w:r w:rsidRPr="003E18A2">
        <w:rPr>
          <w:spacing w:val="-3"/>
        </w:rPr>
        <w:tab/>
        <w:t>Dette lægemiddel kræver ingen særlige forholdsregler vedrørende opbevaringen.</w:t>
      </w:r>
    </w:p>
    <w:p w:rsidR="002B4870" w:rsidRDefault="002B4870">
      <w:pPr>
        <w:tabs>
          <w:tab w:val="left" w:pos="851"/>
        </w:tabs>
      </w:pPr>
    </w:p>
    <w:p w:rsidR="008803CB" w:rsidRDefault="0072356D" w:rsidP="008803CB">
      <w:pPr>
        <w:numPr>
          <w:ilvl w:val="1"/>
          <w:numId w:val="5"/>
        </w:numPr>
        <w:rPr>
          <w:b/>
        </w:rPr>
      </w:pPr>
      <w:r>
        <w:rPr>
          <w:b/>
        </w:rPr>
        <w:t>Emballagetype</w:t>
      </w:r>
      <w:r w:rsidR="008803CB">
        <w:rPr>
          <w:b/>
        </w:rPr>
        <w:t xml:space="preserve"> </w:t>
      </w:r>
      <w:r w:rsidR="00356D14">
        <w:rPr>
          <w:b/>
        </w:rPr>
        <w:t>og pakningsstørrelser</w:t>
      </w:r>
    </w:p>
    <w:p w:rsidR="0072356D" w:rsidRDefault="004650B5" w:rsidP="004650B5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5"/>
        <w:rPr>
          <w:spacing w:val="-3"/>
        </w:rPr>
      </w:pPr>
      <w:proofErr w:type="gramStart"/>
      <w:r>
        <w:rPr>
          <w:spacing w:val="-3"/>
        </w:rPr>
        <w:t>LDPE flaske</w:t>
      </w:r>
      <w:proofErr w:type="gramEnd"/>
      <w:r>
        <w:rPr>
          <w:spacing w:val="-3"/>
        </w:rPr>
        <w:t xml:space="preserve"> med LDPE dråbeindsats (</w:t>
      </w:r>
      <w:proofErr w:type="spellStart"/>
      <w:r>
        <w:rPr>
          <w:spacing w:val="-3"/>
        </w:rPr>
        <w:t>droptainer</w:t>
      </w:r>
      <w:proofErr w:type="spellEnd"/>
      <w:r>
        <w:rPr>
          <w:spacing w:val="-3"/>
        </w:rPr>
        <w:t>) og PP skruelåg.</w:t>
      </w:r>
    </w:p>
    <w:p w:rsidR="008803CB" w:rsidRDefault="008803CB">
      <w:pPr>
        <w:tabs>
          <w:tab w:val="left" w:pos="851"/>
        </w:tabs>
      </w:pPr>
    </w:p>
    <w:p w:rsidR="00DA0D70" w:rsidRPr="00DA0D70" w:rsidRDefault="008803CB" w:rsidP="00DA0D70">
      <w:pPr>
        <w:numPr>
          <w:ilvl w:val="1"/>
          <w:numId w:val="5"/>
        </w:numPr>
        <w:rPr>
          <w:b/>
        </w:rPr>
      </w:pPr>
      <w:r>
        <w:rPr>
          <w:b/>
        </w:rPr>
        <w:t xml:space="preserve">Regler for </w:t>
      </w:r>
      <w:r w:rsidR="00356D14">
        <w:rPr>
          <w:b/>
        </w:rPr>
        <w:t>bortskaffelse</w:t>
      </w:r>
      <w:r>
        <w:rPr>
          <w:b/>
        </w:rPr>
        <w:t xml:space="preserve"> og anden håndtering</w:t>
      </w:r>
    </w:p>
    <w:p w:rsidR="00DA0D70" w:rsidRPr="00242DB8" w:rsidRDefault="00DA0D70" w:rsidP="00DA0D70">
      <w:pPr>
        <w:tabs>
          <w:tab w:val="left" w:pos="0"/>
          <w:tab w:val="left" w:pos="851"/>
        </w:tabs>
        <w:ind w:left="855"/>
        <w:jc w:val="both"/>
        <w:rPr>
          <w:spacing w:val="-3"/>
          <w:szCs w:val="24"/>
        </w:rPr>
      </w:pPr>
      <w:r w:rsidRPr="00242DB8">
        <w:rPr>
          <w:spacing w:val="-3"/>
          <w:szCs w:val="24"/>
        </w:rPr>
        <w:t>Ingen særlige forholdsregler.</w:t>
      </w:r>
    </w:p>
    <w:p w:rsidR="00DA0D70" w:rsidRPr="00242DB8" w:rsidRDefault="00DA0D70" w:rsidP="00DA0D70">
      <w:pPr>
        <w:tabs>
          <w:tab w:val="left" w:pos="0"/>
          <w:tab w:val="left" w:pos="851"/>
          <w:tab w:val="left" w:pos="1466"/>
        </w:tabs>
        <w:ind w:left="850" w:hanging="850"/>
        <w:jc w:val="both"/>
        <w:rPr>
          <w:spacing w:val="-3"/>
          <w:szCs w:val="24"/>
        </w:rPr>
      </w:pPr>
      <w:r w:rsidRPr="00242DB8">
        <w:rPr>
          <w:spacing w:val="-3"/>
          <w:szCs w:val="24"/>
        </w:rPr>
        <w:tab/>
      </w:r>
    </w:p>
    <w:p w:rsidR="00DA0D70" w:rsidRPr="00242DB8" w:rsidRDefault="00DA0D70" w:rsidP="00DA0D70">
      <w:pPr>
        <w:ind w:left="851"/>
        <w:rPr>
          <w:szCs w:val="24"/>
        </w:rPr>
      </w:pPr>
      <w:r w:rsidRPr="00242DB8">
        <w:rPr>
          <w:szCs w:val="24"/>
        </w:rPr>
        <w:t>Ikke anvendte lægemidler samt affald heraf skal bortskaffes i henhold til l</w:t>
      </w:r>
      <w:r w:rsidRPr="00242DB8">
        <w:rPr>
          <w:szCs w:val="24"/>
        </w:rPr>
        <w:t>o</w:t>
      </w:r>
      <w:r w:rsidRPr="00242DB8">
        <w:rPr>
          <w:szCs w:val="24"/>
        </w:rPr>
        <w:t>kale retnings</w:t>
      </w:r>
      <w:r w:rsidRPr="00242DB8">
        <w:rPr>
          <w:szCs w:val="24"/>
        </w:rPr>
        <w:softHyphen/>
        <w:t>linjer.</w:t>
      </w:r>
    </w:p>
    <w:p w:rsidR="006E3F6B" w:rsidRDefault="006E3F6B" w:rsidP="00DA0D70">
      <w:pPr>
        <w:tabs>
          <w:tab w:val="left" w:pos="0"/>
          <w:tab w:val="left" w:pos="851"/>
        </w:tabs>
        <w:jc w:val="both"/>
      </w:pPr>
    </w:p>
    <w:p w:rsidR="008803CB" w:rsidRDefault="008803CB" w:rsidP="008803CB">
      <w:pPr>
        <w:tabs>
          <w:tab w:val="left" w:pos="851"/>
        </w:tabs>
        <w:rPr>
          <w:b/>
        </w:rPr>
      </w:pPr>
      <w:r>
        <w:rPr>
          <w:b/>
        </w:rPr>
        <w:t>7.</w:t>
      </w:r>
      <w:r>
        <w:rPr>
          <w:b/>
        </w:rPr>
        <w:tab/>
        <w:t>INDEHAVER AF MARKEDSFØRINGSTILLADELSEN</w:t>
      </w:r>
    </w:p>
    <w:p w:rsidR="00F35FB7" w:rsidRDefault="0072356D" w:rsidP="008A6348">
      <w:pPr>
        <w:tabs>
          <w:tab w:val="left" w:pos="0"/>
          <w:tab w:val="left" w:pos="851"/>
          <w:tab w:val="left" w:pos="1466"/>
        </w:tabs>
        <w:ind w:left="850" w:hanging="850"/>
        <w:jc w:val="both"/>
        <w:rPr>
          <w:spacing w:val="-3"/>
          <w:lang w:val="en-US"/>
        </w:rPr>
      </w:pPr>
      <w:r w:rsidRPr="00B762F0">
        <w:rPr>
          <w:spacing w:val="-3"/>
          <w:lang w:val="en-US"/>
        </w:rPr>
        <w:tab/>
      </w:r>
      <w:proofErr w:type="spellStart"/>
      <w:r w:rsidR="008A6348">
        <w:rPr>
          <w:spacing w:val="-3"/>
          <w:lang w:val="en-US"/>
        </w:rPr>
        <w:t>Orifarm</w:t>
      </w:r>
      <w:proofErr w:type="spellEnd"/>
      <w:r w:rsidR="008A6348">
        <w:rPr>
          <w:spacing w:val="-3"/>
          <w:lang w:val="en-US"/>
        </w:rPr>
        <w:t xml:space="preserve"> A/S</w:t>
      </w:r>
    </w:p>
    <w:p w:rsidR="008A6348" w:rsidRDefault="008A6348" w:rsidP="008A6348">
      <w:pPr>
        <w:tabs>
          <w:tab w:val="left" w:pos="0"/>
          <w:tab w:val="left" w:pos="851"/>
          <w:tab w:val="left" w:pos="1466"/>
        </w:tabs>
        <w:ind w:left="850" w:hanging="850"/>
        <w:jc w:val="both"/>
        <w:rPr>
          <w:spacing w:val="-3"/>
          <w:lang w:val="en-US"/>
        </w:rPr>
      </w:pPr>
      <w:r>
        <w:rPr>
          <w:spacing w:val="-3"/>
          <w:lang w:val="en-US"/>
        </w:rPr>
        <w:tab/>
      </w:r>
      <w:proofErr w:type="spellStart"/>
      <w:r>
        <w:rPr>
          <w:spacing w:val="-3"/>
          <w:lang w:val="en-US"/>
        </w:rPr>
        <w:t>Energivej</w:t>
      </w:r>
      <w:proofErr w:type="spellEnd"/>
      <w:r>
        <w:rPr>
          <w:spacing w:val="-3"/>
          <w:lang w:val="en-US"/>
        </w:rPr>
        <w:t xml:space="preserve"> 15</w:t>
      </w:r>
    </w:p>
    <w:p w:rsidR="008803CB" w:rsidRDefault="008A6348" w:rsidP="008A6348">
      <w:pPr>
        <w:tabs>
          <w:tab w:val="left" w:pos="0"/>
          <w:tab w:val="left" w:pos="851"/>
          <w:tab w:val="left" w:pos="1466"/>
        </w:tabs>
        <w:ind w:left="850" w:hanging="850"/>
        <w:jc w:val="both"/>
      </w:pPr>
      <w:r>
        <w:rPr>
          <w:spacing w:val="-3"/>
          <w:lang w:val="en-US"/>
        </w:rPr>
        <w:tab/>
        <w:t>5260 Odense S</w:t>
      </w:r>
    </w:p>
    <w:p w:rsidR="00DA0D70" w:rsidRDefault="00DA0D70">
      <w:pPr>
        <w:tabs>
          <w:tab w:val="left" w:pos="851"/>
        </w:tabs>
      </w:pPr>
    </w:p>
    <w:p w:rsidR="008803CB" w:rsidRDefault="008803CB" w:rsidP="008803CB">
      <w:pPr>
        <w:tabs>
          <w:tab w:val="left" w:pos="851"/>
        </w:tabs>
        <w:rPr>
          <w:b/>
        </w:rPr>
      </w:pPr>
      <w:r>
        <w:rPr>
          <w:b/>
        </w:rPr>
        <w:t>8.</w:t>
      </w:r>
      <w:r>
        <w:rPr>
          <w:b/>
        </w:rPr>
        <w:tab/>
        <w:t>MARKEDSFØRINGSTILLADELSESNUMMER (</w:t>
      </w:r>
      <w:r w:rsidR="00356D14">
        <w:rPr>
          <w:b/>
        </w:rPr>
        <w:t>-</w:t>
      </w:r>
      <w:bookmarkStart w:id="0" w:name="_GoBack"/>
      <w:bookmarkEnd w:id="0"/>
      <w:r>
        <w:rPr>
          <w:b/>
        </w:rPr>
        <w:t>NUMRE)</w:t>
      </w:r>
    </w:p>
    <w:p w:rsidR="008803CB" w:rsidRDefault="008803CB">
      <w:pPr>
        <w:tabs>
          <w:tab w:val="left" w:pos="851"/>
        </w:tabs>
        <w:ind w:left="851" w:hanging="851"/>
      </w:pPr>
      <w:r>
        <w:tab/>
      </w:r>
      <w:r w:rsidR="008A6348" w:rsidRPr="008A6348">
        <w:t>58625</w:t>
      </w:r>
    </w:p>
    <w:p w:rsidR="008803CB" w:rsidRDefault="008803CB">
      <w:pPr>
        <w:tabs>
          <w:tab w:val="left" w:pos="851"/>
        </w:tabs>
      </w:pPr>
    </w:p>
    <w:p w:rsidR="0072356D" w:rsidRDefault="0072356D" w:rsidP="0072356D">
      <w:pPr>
        <w:ind w:left="851" w:hanging="851"/>
      </w:pPr>
      <w:r w:rsidRPr="00C67777">
        <w:rPr>
          <w:b/>
        </w:rPr>
        <w:t>9.</w:t>
      </w:r>
      <w:r w:rsidRPr="00C67777">
        <w:rPr>
          <w:b/>
        </w:rPr>
        <w:tab/>
      </w:r>
      <w:r w:rsidRPr="00C67777">
        <w:rPr>
          <w:b/>
          <w:sz w:val="22"/>
        </w:rPr>
        <w:t>DATO FOR FØRSTE MARKEDSFØRINGSTILLADELSE</w:t>
      </w:r>
      <w:r w:rsidRPr="003E18A2">
        <w:rPr>
          <w:b/>
          <w:bCs/>
          <w:u w:val="single"/>
        </w:rPr>
        <w:t xml:space="preserve"> </w:t>
      </w:r>
    </w:p>
    <w:p w:rsidR="00DA0D70" w:rsidRPr="00242DB8" w:rsidRDefault="008A6348" w:rsidP="00DA0D70">
      <w:pPr>
        <w:ind w:left="851"/>
        <w:rPr>
          <w:szCs w:val="24"/>
        </w:rPr>
      </w:pPr>
      <w:r>
        <w:rPr>
          <w:szCs w:val="24"/>
        </w:rPr>
        <w:t>1</w:t>
      </w:r>
      <w:r w:rsidR="00C14447">
        <w:rPr>
          <w:szCs w:val="24"/>
        </w:rPr>
        <w:t>8</w:t>
      </w:r>
      <w:r>
        <w:rPr>
          <w:szCs w:val="24"/>
        </w:rPr>
        <w:t>. august 2017</w:t>
      </w:r>
    </w:p>
    <w:p w:rsidR="008803CB" w:rsidRDefault="008803CB" w:rsidP="00DA0D70">
      <w:pPr>
        <w:ind w:left="851" w:hanging="851"/>
      </w:pPr>
    </w:p>
    <w:p w:rsidR="008803CB" w:rsidRDefault="008803CB" w:rsidP="008803CB">
      <w:pPr>
        <w:tabs>
          <w:tab w:val="left" w:pos="851"/>
        </w:tabs>
        <w:rPr>
          <w:b/>
        </w:rPr>
      </w:pPr>
      <w:r>
        <w:rPr>
          <w:b/>
        </w:rPr>
        <w:t>10.</w:t>
      </w:r>
      <w:r>
        <w:rPr>
          <w:b/>
        </w:rPr>
        <w:tab/>
        <w:t>DATO FOR ÆNDRING AF TEKSTEN</w:t>
      </w:r>
    </w:p>
    <w:p w:rsidR="008803CB" w:rsidRDefault="008803CB">
      <w:pPr>
        <w:tabs>
          <w:tab w:val="left" w:pos="851"/>
        </w:tabs>
      </w:pPr>
      <w:r>
        <w:tab/>
      </w:r>
      <w:r w:rsidR="00356D14">
        <w:t>30. april 2025</w:t>
      </w:r>
    </w:p>
    <w:p w:rsidR="008803CB" w:rsidRDefault="008803CB">
      <w:pPr>
        <w:tabs>
          <w:tab w:val="left" w:leader="dot" w:pos="-144"/>
          <w:tab w:val="left" w:pos="1152"/>
          <w:tab w:val="left" w:leader="dot" w:pos="5184"/>
        </w:tabs>
        <w:suppressAutoHyphens/>
        <w:jc w:val="both"/>
        <w:rPr>
          <w:spacing w:val="-3"/>
          <w:lang w:val="nb-NO"/>
        </w:rPr>
      </w:pPr>
    </w:p>
    <w:sectPr w:rsidR="008803CB">
      <w:headerReference w:type="default" r:id="rId9"/>
      <w:footerReference w:type="default" r:id="rId10"/>
      <w:footerReference w:type="first" r:id="rId11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8E" w:rsidRDefault="00F8548E" w:rsidP="009D192B">
      <w:r>
        <w:separator/>
      </w:r>
    </w:p>
  </w:endnote>
  <w:endnote w:type="continuationSeparator" w:id="0">
    <w:p w:rsidR="00F8548E" w:rsidRDefault="00F8548E" w:rsidP="009D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51" w:rsidRDefault="000B5D51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0B5D51" w:rsidRDefault="000B5D51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0B5D51" w:rsidRDefault="000B5D5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Cyclogyl (Orifarm), øjendråber, opløsning 1 %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51" w:rsidRDefault="000B5D51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0B5D51" w:rsidRDefault="000B5D51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0B5D51" w:rsidRDefault="000B5D5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Cyclogyl (Orifarm), øjendråber, opløsning 1 %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C1444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8E" w:rsidRDefault="00F8548E" w:rsidP="009D192B">
      <w:r>
        <w:separator/>
      </w:r>
    </w:p>
  </w:footnote>
  <w:footnote w:type="continuationSeparator" w:id="0">
    <w:p w:rsidR="00F8548E" w:rsidRDefault="00F8548E" w:rsidP="009D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51" w:rsidRDefault="000B5D5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803D0F"/>
    <w:multiLevelType w:val="multilevel"/>
    <w:tmpl w:val="8A66D1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55542CAA"/>
    <w:multiLevelType w:val="multilevel"/>
    <w:tmpl w:val="55923700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34"/>
    <w:rsid w:val="00013D8E"/>
    <w:rsid w:val="00045269"/>
    <w:rsid w:val="000636FF"/>
    <w:rsid w:val="000A218C"/>
    <w:rsid w:val="000B5D51"/>
    <w:rsid w:val="000D3E38"/>
    <w:rsid w:val="001527E9"/>
    <w:rsid w:val="001E5861"/>
    <w:rsid w:val="001F0B3B"/>
    <w:rsid w:val="002154DC"/>
    <w:rsid w:val="002217B0"/>
    <w:rsid w:val="002A11FF"/>
    <w:rsid w:val="002B4870"/>
    <w:rsid w:val="002F54E8"/>
    <w:rsid w:val="003521EF"/>
    <w:rsid w:val="00356D14"/>
    <w:rsid w:val="00357BEC"/>
    <w:rsid w:val="003C72C7"/>
    <w:rsid w:val="003D4A70"/>
    <w:rsid w:val="003F14E7"/>
    <w:rsid w:val="004020EF"/>
    <w:rsid w:val="00434C19"/>
    <w:rsid w:val="004503B9"/>
    <w:rsid w:val="004516AD"/>
    <w:rsid w:val="004650B5"/>
    <w:rsid w:val="00465C6D"/>
    <w:rsid w:val="004678A4"/>
    <w:rsid w:val="004F5FA0"/>
    <w:rsid w:val="00542F8A"/>
    <w:rsid w:val="005E6C19"/>
    <w:rsid w:val="0060731F"/>
    <w:rsid w:val="00655B97"/>
    <w:rsid w:val="006735EC"/>
    <w:rsid w:val="00692336"/>
    <w:rsid w:val="006A0355"/>
    <w:rsid w:val="006A29BC"/>
    <w:rsid w:val="006D7BB2"/>
    <w:rsid w:val="006E3F6B"/>
    <w:rsid w:val="0072356D"/>
    <w:rsid w:val="007442C7"/>
    <w:rsid w:val="00754813"/>
    <w:rsid w:val="00784394"/>
    <w:rsid w:val="0081688E"/>
    <w:rsid w:val="00874145"/>
    <w:rsid w:val="008803CB"/>
    <w:rsid w:val="008A6348"/>
    <w:rsid w:val="0090726C"/>
    <w:rsid w:val="00936141"/>
    <w:rsid w:val="0094533A"/>
    <w:rsid w:val="009762DD"/>
    <w:rsid w:val="009876BA"/>
    <w:rsid w:val="009B74A5"/>
    <w:rsid w:val="009D192B"/>
    <w:rsid w:val="00A106BE"/>
    <w:rsid w:val="00A45565"/>
    <w:rsid w:val="00A548FA"/>
    <w:rsid w:val="00A60283"/>
    <w:rsid w:val="00A63DE8"/>
    <w:rsid w:val="00AF0318"/>
    <w:rsid w:val="00AF79E5"/>
    <w:rsid w:val="00B26897"/>
    <w:rsid w:val="00B64FE6"/>
    <w:rsid w:val="00B978D2"/>
    <w:rsid w:val="00BB46C1"/>
    <w:rsid w:val="00BD3906"/>
    <w:rsid w:val="00C07EDC"/>
    <w:rsid w:val="00C14447"/>
    <w:rsid w:val="00C24D3F"/>
    <w:rsid w:val="00C301DB"/>
    <w:rsid w:val="00C368EF"/>
    <w:rsid w:val="00C57BDB"/>
    <w:rsid w:val="00CB602E"/>
    <w:rsid w:val="00CC19D5"/>
    <w:rsid w:val="00CC2589"/>
    <w:rsid w:val="00D17D98"/>
    <w:rsid w:val="00D90567"/>
    <w:rsid w:val="00D91B7B"/>
    <w:rsid w:val="00DA0D70"/>
    <w:rsid w:val="00E871AE"/>
    <w:rsid w:val="00ED0F5A"/>
    <w:rsid w:val="00EE1183"/>
    <w:rsid w:val="00F35FB7"/>
    <w:rsid w:val="00F542BB"/>
    <w:rsid w:val="00F73849"/>
    <w:rsid w:val="00F8548E"/>
    <w:rsid w:val="00FB2591"/>
    <w:rsid w:val="00FC2B87"/>
    <w:rsid w:val="00FD1034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314A7D"/>
  <w15:chartTrackingRefBased/>
  <w15:docId w15:val="{63DDE098-3E03-44AB-B3D1-E435D9B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851"/>
      </w:tabs>
      <w:ind w:left="855"/>
      <w:outlineLvl w:val="0"/>
    </w:pPr>
    <w:rPr>
      <w:u w:val="single"/>
    </w:rPr>
  </w:style>
  <w:style w:type="paragraph" w:styleId="Overskrift2">
    <w:name w:val="heading 2"/>
    <w:basedOn w:val="Normal"/>
    <w:next w:val="Normal"/>
    <w:qFormat/>
    <w:pPr>
      <w:keepNext/>
      <w:tabs>
        <w:tab w:val="center" w:pos="4513"/>
      </w:tabs>
      <w:suppressAutoHyphens/>
      <w:jc w:val="center"/>
      <w:outlineLvl w:val="1"/>
    </w:pPr>
    <w:rPr>
      <w:b/>
      <w:spacing w:val="-3"/>
      <w:lang w:val="nb-NO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pPr>
      <w:jc w:val="center"/>
    </w:pPr>
    <w:rPr>
      <w:b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8803C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18C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0A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1507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s.a. Alcon-Couvreur n.v.</Company>
  <LinksUpToDate>false</LinksUpToDate>
  <CharactersWithSpaces>11712</CharactersWithSpaces>
  <SharedDoc>false</SharedDoc>
  <HLinks>
    <vt:vector size="6" baseType="variant"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http://www.meldenbivirkning.dk/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Aabo Würtz</dc:creator>
  <cp:keywords/>
  <dc:description>2024061002 _x000d_
Generel ensretning med DI SPC</dc:description>
  <cp:lastModifiedBy>Line Aaboe Würtz</cp:lastModifiedBy>
  <cp:revision>3</cp:revision>
  <cp:lastPrinted>2017-08-16T09:13:00Z</cp:lastPrinted>
  <dcterms:created xsi:type="dcterms:W3CDTF">2025-04-30T20:12:00Z</dcterms:created>
  <dcterms:modified xsi:type="dcterms:W3CDTF">2025-04-30T20:15:00Z</dcterms:modified>
  <cp:category/>
</cp:coreProperties>
</file>