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B7B" w:rsidRPr="008F49E1" w:rsidRDefault="00947B7B" w:rsidP="00947B7B">
      <w:pPr>
        <w:rPr>
          <w:sz w:val="24"/>
          <w:szCs w:val="24"/>
        </w:rPr>
      </w:pPr>
      <w:r w:rsidRPr="009260DE">
        <w:rPr>
          <w:noProof/>
          <w:sz w:val="24"/>
          <w:szCs w:val="24"/>
          <w:lang w:eastAsia="da-DK"/>
        </w:rPr>
        <w:drawing>
          <wp:anchor distT="0" distB="0" distL="114300" distR="114300" simplePos="0" relativeHeight="251659264" behindDoc="0" locked="0" layoutInCell="1" allowOverlap="1" wp14:anchorId="2DF95BF6" wp14:editId="5249C87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47B7B" w:rsidRPr="003052EF" w:rsidRDefault="00947B7B" w:rsidP="00947B7B">
      <w:pPr>
        <w:pStyle w:val="Titel"/>
        <w:tabs>
          <w:tab w:val="right" w:pos="9356"/>
        </w:tabs>
        <w:jc w:val="left"/>
        <w:rPr>
          <w:szCs w:val="24"/>
          <w:lang w:eastAsia="en-US"/>
        </w:rPr>
      </w:pPr>
      <w:r w:rsidRPr="003052EF">
        <w:rPr>
          <w:szCs w:val="24"/>
          <w:lang w:eastAsia="en-US"/>
        </w:rPr>
        <w:tab/>
      </w:r>
      <w:r w:rsidR="003052EF" w:rsidRPr="003052EF">
        <w:rPr>
          <w:szCs w:val="24"/>
          <w:lang w:eastAsia="en-US"/>
        </w:rPr>
        <w:t>12. juli</w:t>
      </w:r>
      <w:r w:rsidR="00480B42" w:rsidRPr="003052EF">
        <w:rPr>
          <w:szCs w:val="24"/>
        </w:rPr>
        <w:t xml:space="preserve"> 202</w:t>
      </w:r>
      <w:r w:rsidR="003052EF">
        <w:rPr>
          <w:szCs w:val="24"/>
        </w:rPr>
        <w:t>4</w:t>
      </w:r>
    </w:p>
    <w:p w:rsidR="00947B7B" w:rsidRPr="00C84483" w:rsidRDefault="00947B7B" w:rsidP="00947B7B">
      <w:pPr>
        <w:pStyle w:val="Titel"/>
        <w:tabs>
          <w:tab w:val="left" w:pos="8222"/>
        </w:tabs>
        <w:jc w:val="left"/>
        <w:rPr>
          <w:b w:val="0"/>
          <w:szCs w:val="24"/>
        </w:rPr>
      </w:pPr>
    </w:p>
    <w:p w:rsidR="00947B7B" w:rsidRPr="00C84483" w:rsidRDefault="00947B7B" w:rsidP="00947B7B">
      <w:pPr>
        <w:pStyle w:val="Titel"/>
        <w:jc w:val="left"/>
        <w:rPr>
          <w:b w:val="0"/>
          <w:szCs w:val="24"/>
        </w:rPr>
      </w:pPr>
    </w:p>
    <w:p w:rsidR="001A371E" w:rsidRDefault="001A371E" w:rsidP="0031147E">
      <w:pPr>
        <w:tabs>
          <w:tab w:val="center" w:pos="4819"/>
        </w:tabs>
        <w:rPr>
          <w:b/>
          <w:sz w:val="24"/>
          <w:szCs w:val="24"/>
        </w:rPr>
      </w:pPr>
    </w:p>
    <w:p w:rsidR="00947B7B" w:rsidRPr="00C84483" w:rsidRDefault="0031147E" w:rsidP="0031147E">
      <w:pPr>
        <w:tabs>
          <w:tab w:val="center" w:pos="4819"/>
        </w:tabs>
        <w:rPr>
          <w:b/>
          <w:sz w:val="24"/>
          <w:szCs w:val="24"/>
        </w:rPr>
      </w:pPr>
      <w:r>
        <w:rPr>
          <w:b/>
          <w:sz w:val="24"/>
          <w:szCs w:val="24"/>
        </w:rPr>
        <w:tab/>
      </w:r>
      <w:r w:rsidR="00947B7B" w:rsidRPr="00C84483">
        <w:rPr>
          <w:b/>
          <w:sz w:val="24"/>
          <w:szCs w:val="24"/>
        </w:rPr>
        <w:t>PRODUKTRESUMÉ</w:t>
      </w:r>
    </w:p>
    <w:p w:rsidR="00947B7B" w:rsidRPr="00C84483" w:rsidRDefault="00947B7B" w:rsidP="00947B7B">
      <w:pPr>
        <w:jc w:val="center"/>
        <w:rPr>
          <w:b/>
          <w:sz w:val="24"/>
          <w:szCs w:val="24"/>
        </w:rPr>
      </w:pPr>
    </w:p>
    <w:p w:rsidR="00947B7B" w:rsidRDefault="00947B7B" w:rsidP="00947B7B">
      <w:pPr>
        <w:jc w:val="center"/>
        <w:rPr>
          <w:b/>
          <w:sz w:val="24"/>
          <w:szCs w:val="24"/>
        </w:rPr>
      </w:pPr>
      <w:r w:rsidRPr="00C84483">
        <w:rPr>
          <w:b/>
          <w:sz w:val="24"/>
          <w:szCs w:val="24"/>
        </w:rPr>
        <w:t>for</w:t>
      </w:r>
    </w:p>
    <w:p w:rsidR="00947B7B" w:rsidRPr="00C84483" w:rsidRDefault="00947B7B" w:rsidP="00947B7B">
      <w:pPr>
        <w:jc w:val="center"/>
        <w:rPr>
          <w:b/>
          <w:sz w:val="24"/>
          <w:szCs w:val="24"/>
        </w:rPr>
      </w:pPr>
    </w:p>
    <w:p w:rsidR="00947B7B" w:rsidRPr="00C84483" w:rsidRDefault="00947B7B" w:rsidP="00947B7B">
      <w:pPr>
        <w:jc w:val="center"/>
        <w:rPr>
          <w:b/>
          <w:sz w:val="24"/>
          <w:szCs w:val="24"/>
        </w:rPr>
      </w:pPr>
      <w:proofErr w:type="spellStart"/>
      <w:r>
        <w:rPr>
          <w:b/>
          <w:sz w:val="24"/>
          <w:szCs w:val="24"/>
        </w:rPr>
        <w:t>Cytarabine</w:t>
      </w:r>
      <w:proofErr w:type="spellEnd"/>
      <w:r>
        <w:rPr>
          <w:b/>
          <w:sz w:val="24"/>
          <w:szCs w:val="24"/>
        </w:rPr>
        <w:t xml:space="preserve"> "</w:t>
      </w:r>
      <w:proofErr w:type="spellStart"/>
      <w:r>
        <w:rPr>
          <w:b/>
          <w:sz w:val="24"/>
          <w:szCs w:val="24"/>
        </w:rPr>
        <w:t>Accord</w:t>
      </w:r>
      <w:proofErr w:type="spellEnd"/>
      <w:r>
        <w:rPr>
          <w:b/>
          <w:sz w:val="24"/>
          <w:szCs w:val="24"/>
        </w:rPr>
        <w:t>", injektions-/infusionsvæske, opløsning 20 mg/ml</w:t>
      </w:r>
    </w:p>
    <w:p w:rsidR="00947B7B" w:rsidRPr="00C84483" w:rsidRDefault="00947B7B" w:rsidP="00947B7B">
      <w:pPr>
        <w:jc w:val="both"/>
        <w:rPr>
          <w:sz w:val="24"/>
          <w:szCs w:val="24"/>
        </w:rPr>
      </w:pPr>
    </w:p>
    <w:p w:rsidR="00947B7B" w:rsidRPr="009F56AD" w:rsidRDefault="00947B7B" w:rsidP="00947B7B">
      <w:pPr>
        <w:ind w:left="851" w:hanging="851"/>
        <w:jc w:val="both"/>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0.</w:t>
      </w:r>
      <w:r w:rsidRPr="009F56AD">
        <w:rPr>
          <w:b/>
          <w:sz w:val="24"/>
          <w:szCs w:val="24"/>
        </w:rPr>
        <w:tab/>
        <w:t>D.SP.NR.</w:t>
      </w:r>
    </w:p>
    <w:p w:rsidR="00947B7B" w:rsidRPr="009F56AD" w:rsidRDefault="00947B7B" w:rsidP="00947B7B">
      <w:pPr>
        <w:tabs>
          <w:tab w:val="left" w:pos="851"/>
        </w:tabs>
        <w:ind w:left="851" w:hanging="851"/>
        <w:rPr>
          <w:sz w:val="24"/>
          <w:szCs w:val="24"/>
        </w:rPr>
      </w:pPr>
      <w:r>
        <w:rPr>
          <w:sz w:val="24"/>
          <w:szCs w:val="24"/>
        </w:rPr>
        <w:tab/>
      </w:r>
      <w:r w:rsidRPr="009F56AD">
        <w:rPr>
          <w:sz w:val="24"/>
          <w:szCs w:val="24"/>
        </w:rPr>
        <w:t>28563</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1.</w:t>
      </w:r>
      <w:r w:rsidRPr="009F56AD">
        <w:rPr>
          <w:b/>
          <w:sz w:val="24"/>
          <w:szCs w:val="24"/>
        </w:rPr>
        <w:tab/>
        <w:t>LÆGEMIDLETS NAVN</w:t>
      </w:r>
    </w:p>
    <w:p w:rsidR="00947B7B" w:rsidRPr="009F56AD" w:rsidRDefault="00947B7B" w:rsidP="00947B7B">
      <w:pPr>
        <w:tabs>
          <w:tab w:val="left" w:pos="851"/>
        </w:tabs>
        <w:ind w:left="851" w:hanging="851"/>
        <w:rPr>
          <w:sz w:val="24"/>
          <w:szCs w:val="24"/>
        </w:rPr>
      </w:pPr>
      <w:r>
        <w:rPr>
          <w:sz w:val="24"/>
          <w:szCs w:val="24"/>
        </w:rPr>
        <w:tab/>
      </w:r>
      <w:proofErr w:type="spellStart"/>
      <w:r w:rsidRPr="009F56AD">
        <w:rPr>
          <w:sz w:val="24"/>
          <w:szCs w:val="24"/>
        </w:rPr>
        <w:t>Cytarabine</w:t>
      </w:r>
      <w:proofErr w:type="spellEnd"/>
      <w:r w:rsidRPr="009F56AD">
        <w:rPr>
          <w:sz w:val="24"/>
          <w:szCs w:val="24"/>
        </w:rPr>
        <w:t xml:space="preserve"> "</w:t>
      </w:r>
      <w:proofErr w:type="spellStart"/>
      <w:r w:rsidRPr="009F56AD">
        <w:rPr>
          <w:sz w:val="24"/>
          <w:szCs w:val="24"/>
        </w:rPr>
        <w:t>Accord</w:t>
      </w:r>
      <w:proofErr w:type="spellEnd"/>
      <w:r w:rsidRPr="009F56AD">
        <w:rPr>
          <w:sz w:val="24"/>
          <w:szCs w:val="24"/>
        </w:rPr>
        <w:t>"</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2.</w:t>
      </w:r>
      <w:r w:rsidRPr="009F56AD">
        <w:rPr>
          <w:b/>
          <w:sz w:val="24"/>
          <w:szCs w:val="24"/>
        </w:rPr>
        <w:tab/>
        <w:t>KVALITATIV OG KVANTITATIV SAMMENSÆTNING</w:t>
      </w:r>
    </w:p>
    <w:p w:rsidR="00947B7B" w:rsidRPr="009F56AD" w:rsidRDefault="00947B7B" w:rsidP="00947B7B">
      <w:pPr>
        <w:ind w:left="851"/>
        <w:rPr>
          <w:sz w:val="24"/>
          <w:szCs w:val="24"/>
          <w:lang w:eastAsia="en-GB"/>
        </w:rPr>
      </w:pPr>
      <w:r w:rsidRPr="009F56AD">
        <w:rPr>
          <w:sz w:val="24"/>
          <w:szCs w:val="24"/>
        </w:rPr>
        <w:t xml:space="preserve">Hver ml indeholder 20 mg </w:t>
      </w:r>
      <w:proofErr w:type="spellStart"/>
      <w:r w:rsidRPr="009F56AD">
        <w:rPr>
          <w:sz w:val="24"/>
          <w:szCs w:val="24"/>
        </w:rPr>
        <w:t>cytarabin</w:t>
      </w:r>
      <w:proofErr w:type="spellEnd"/>
      <w:r w:rsidRPr="009F56AD">
        <w:rPr>
          <w:sz w:val="24"/>
          <w:szCs w:val="24"/>
        </w:rPr>
        <w:t xml:space="preserve">. </w:t>
      </w:r>
    </w:p>
    <w:p w:rsidR="00947B7B" w:rsidRPr="009F56AD" w:rsidRDefault="00947B7B" w:rsidP="00947B7B">
      <w:pPr>
        <w:ind w:left="851"/>
        <w:rPr>
          <w:sz w:val="24"/>
          <w:szCs w:val="24"/>
        </w:rPr>
      </w:pPr>
    </w:p>
    <w:p w:rsidR="00947B7B" w:rsidRPr="009F56AD" w:rsidRDefault="00947B7B" w:rsidP="00947B7B">
      <w:pPr>
        <w:ind w:left="851"/>
        <w:rPr>
          <w:rFonts w:eastAsia="Calibri"/>
          <w:sz w:val="24"/>
          <w:szCs w:val="24"/>
        </w:rPr>
      </w:pPr>
      <w:r w:rsidRPr="009F56AD">
        <w:rPr>
          <w:sz w:val="24"/>
          <w:szCs w:val="24"/>
        </w:rPr>
        <w:t xml:space="preserve">Hvert hætteglas med 2 ml opløsning indeholder 40 mg </w:t>
      </w:r>
      <w:proofErr w:type="spellStart"/>
      <w:r w:rsidRPr="009F56AD">
        <w:rPr>
          <w:sz w:val="24"/>
          <w:szCs w:val="24"/>
        </w:rPr>
        <w:t>cytarabin</w:t>
      </w:r>
      <w:proofErr w:type="spellEnd"/>
      <w:r w:rsidRPr="009F56AD">
        <w:rPr>
          <w:sz w:val="24"/>
          <w:szCs w:val="24"/>
        </w:rPr>
        <w:t>.</w:t>
      </w:r>
    </w:p>
    <w:p w:rsidR="00947B7B" w:rsidRPr="009F56AD" w:rsidRDefault="00947B7B" w:rsidP="00947B7B">
      <w:pPr>
        <w:ind w:left="851"/>
        <w:rPr>
          <w:sz w:val="24"/>
          <w:szCs w:val="24"/>
        </w:rPr>
      </w:pPr>
      <w:r w:rsidRPr="009F56AD">
        <w:rPr>
          <w:sz w:val="24"/>
          <w:szCs w:val="24"/>
        </w:rPr>
        <w:t xml:space="preserve">Hvert hætteglas med 5 ml opløsning indeholder 100 mg </w:t>
      </w:r>
      <w:proofErr w:type="spellStart"/>
      <w:r w:rsidRPr="009F56AD">
        <w:rPr>
          <w:sz w:val="24"/>
          <w:szCs w:val="24"/>
        </w:rPr>
        <w:t>cytarabin</w:t>
      </w:r>
      <w:proofErr w:type="spellEnd"/>
      <w:r w:rsidRPr="009F56AD">
        <w:rPr>
          <w:sz w:val="24"/>
          <w:szCs w:val="24"/>
        </w:rPr>
        <w:t>.</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rPr>
      </w:pPr>
      <w:r w:rsidRPr="009F56AD">
        <w:rPr>
          <w:sz w:val="24"/>
          <w:szCs w:val="24"/>
          <w:u w:val="single"/>
        </w:rPr>
        <w:t>Hjælpestof, som behandleren skal være opmærksom på:</w:t>
      </w:r>
    </w:p>
    <w:p w:rsidR="00947B7B" w:rsidRPr="009F56AD" w:rsidRDefault="00947B7B" w:rsidP="00947B7B">
      <w:pPr>
        <w:ind w:left="851"/>
        <w:rPr>
          <w:sz w:val="24"/>
          <w:szCs w:val="24"/>
        </w:rPr>
      </w:pPr>
      <w:r w:rsidRPr="009F56AD">
        <w:rPr>
          <w:sz w:val="24"/>
          <w:szCs w:val="24"/>
        </w:rPr>
        <w:t>Hvert hætteglas indeholder &lt;1 mmol natrium.</w:t>
      </w:r>
    </w:p>
    <w:p w:rsidR="00947B7B" w:rsidRPr="009F56AD" w:rsidRDefault="00947B7B" w:rsidP="00947B7B">
      <w:pPr>
        <w:ind w:left="851"/>
        <w:rPr>
          <w:sz w:val="24"/>
          <w:szCs w:val="24"/>
        </w:rPr>
      </w:pPr>
    </w:p>
    <w:p w:rsidR="00947B7B" w:rsidRPr="009F56AD" w:rsidRDefault="00947B7B" w:rsidP="00947B7B">
      <w:pPr>
        <w:ind w:left="851"/>
        <w:rPr>
          <w:sz w:val="24"/>
          <w:szCs w:val="24"/>
        </w:rPr>
      </w:pPr>
      <w:r w:rsidRPr="009F56AD">
        <w:rPr>
          <w:sz w:val="24"/>
          <w:szCs w:val="24"/>
        </w:rPr>
        <w:t>Alle hjælpestoffer er anført under pkt. 6.1.</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3.</w:t>
      </w:r>
      <w:r w:rsidRPr="009F56AD">
        <w:rPr>
          <w:b/>
          <w:sz w:val="24"/>
          <w:szCs w:val="24"/>
        </w:rPr>
        <w:tab/>
        <w:t>LÆGEMIDDELFORM</w:t>
      </w:r>
    </w:p>
    <w:p w:rsidR="00947B7B" w:rsidRPr="009F56AD" w:rsidRDefault="00947B7B" w:rsidP="00947B7B">
      <w:pPr>
        <w:ind w:left="851"/>
        <w:rPr>
          <w:sz w:val="24"/>
          <w:szCs w:val="24"/>
          <w:lang w:eastAsia="en-GB"/>
        </w:rPr>
      </w:pPr>
      <w:r w:rsidRPr="009F56AD">
        <w:rPr>
          <w:sz w:val="24"/>
          <w:szCs w:val="24"/>
        </w:rPr>
        <w:t>Injekt</w:t>
      </w:r>
      <w:r>
        <w:rPr>
          <w:sz w:val="24"/>
          <w:szCs w:val="24"/>
        </w:rPr>
        <w:t>ions-/infusionsvæske, opløsning</w:t>
      </w:r>
    </w:p>
    <w:p w:rsidR="00947B7B" w:rsidRPr="009F56AD" w:rsidRDefault="00947B7B" w:rsidP="00947B7B">
      <w:pPr>
        <w:ind w:left="851"/>
        <w:rPr>
          <w:sz w:val="24"/>
          <w:szCs w:val="24"/>
        </w:rPr>
      </w:pPr>
    </w:p>
    <w:p w:rsidR="00947B7B" w:rsidRPr="009F56AD" w:rsidRDefault="00947B7B" w:rsidP="00947B7B">
      <w:pPr>
        <w:ind w:left="851"/>
        <w:rPr>
          <w:sz w:val="24"/>
          <w:szCs w:val="24"/>
        </w:rPr>
      </w:pPr>
      <w:r w:rsidRPr="009F56AD">
        <w:rPr>
          <w:sz w:val="24"/>
          <w:szCs w:val="24"/>
        </w:rPr>
        <w:t>Klar, farveløs opløsning, fri for synlige partikler.</w:t>
      </w:r>
    </w:p>
    <w:p w:rsidR="00947B7B" w:rsidRPr="009F56AD" w:rsidRDefault="00947B7B" w:rsidP="00947B7B">
      <w:pPr>
        <w:ind w:left="851"/>
        <w:rPr>
          <w:sz w:val="24"/>
          <w:szCs w:val="24"/>
        </w:rPr>
      </w:pPr>
    </w:p>
    <w:p w:rsidR="00947B7B" w:rsidRPr="00A819DC" w:rsidRDefault="00947B7B" w:rsidP="00947B7B">
      <w:pPr>
        <w:ind w:left="851"/>
        <w:rPr>
          <w:sz w:val="24"/>
          <w:szCs w:val="24"/>
          <w:lang w:val="nb-NO"/>
        </w:rPr>
      </w:pPr>
      <w:r w:rsidRPr="00A819DC">
        <w:rPr>
          <w:sz w:val="24"/>
          <w:szCs w:val="24"/>
          <w:lang w:val="nb-NO"/>
        </w:rPr>
        <w:t>pH: 7,0 til 9,5</w:t>
      </w:r>
    </w:p>
    <w:p w:rsidR="00947B7B" w:rsidRPr="00A819DC" w:rsidRDefault="00947B7B" w:rsidP="00947B7B">
      <w:pPr>
        <w:ind w:left="851"/>
        <w:rPr>
          <w:sz w:val="24"/>
          <w:szCs w:val="24"/>
          <w:lang w:val="nb-NO"/>
        </w:rPr>
      </w:pPr>
      <w:r w:rsidRPr="00A819DC">
        <w:rPr>
          <w:sz w:val="24"/>
          <w:szCs w:val="24"/>
          <w:lang w:val="nb-NO"/>
        </w:rPr>
        <w:t>Osmolaritet: Ca. 300 mOsmol/kg</w:t>
      </w:r>
    </w:p>
    <w:p w:rsidR="00947B7B" w:rsidRPr="00A819DC" w:rsidRDefault="00947B7B" w:rsidP="00947B7B">
      <w:pPr>
        <w:tabs>
          <w:tab w:val="left" w:pos="851"/>
        </w:tabs>
        <w:ind w:left="851" w:hanging="851"/>
        <w:rPr>
          <w:sz w:val="24"/>
          <w:szCs w:val="24"/>
          <w:lang w:val="nb-NO"/>
        </w:rPr>
      </w:pPr>
    </w:p>
    <w:p w:rsidR="00947B7B" w:rsidRPr="00A819DC" w:rsidRDefault="00947B7B" w:rsidP="00947B7B">
      <w:pPr>
        <w:tabs>
          <w:tab w:val="left" w:pos="851"/>
        </w:tabs>
        <w:ind w:left="851" w:hanging="851"/>
        <w:rPr>
          <w:sz w:val="24"/>
          <w:szCs w:val="24"/>
          <w:lang w:val="nb-NO"/>
        </w:rPr>
      </w:pPr>
    </w:p>
    <w:p w:rsidR="00947B7B" w:rsidRPr="00A819DC" w:rsidRDefault="00947B7B" w:rsidP="00947B7B">
      <w:pPr>
        <w:tabs>
          <w:tab w:val="left" w:pos="851"/>
        </w:tabs>
        <w:ind w:left="851" w:hanging="851"/>
        <w:rPr>
          <w:b/>
          <w:sz w:val="24"/>
          <w:szCs w:val="24"/>
          <w:lang w:val="nb-NO"/>
        </w:rPr>
      </w:pPr>
      <w:r w:rsidRPr="00A819DC">
        <w:rPr>
          <w:b/>
          <w:sz w:val="24"/>
          <w:szCs w:val="24"/>
          <w:lang w:val="nb-NO"/>
        </w:rPr>
        <w:t>4.</w:t>
      </w:r>
      <w:r w:rsidRPr="00A819DC">
        <w:rPr>
          <w:b/>
          <w:sz w:val="24"/>
          <w:szCs w:val="24"/>
          <w:lang w:val="nb-NO"/>
        </w:rPr>
        <w:tab/>
        <w:t>KLINISKE OPLYSNINGER</w:t>
      </w:r>
    </w:p>
    <w:p w:rsidR="00947B7B" w:rsidRPr="00A819DC" w:rsidRDefault="00947B7B" w:rsidP="00947B7B">
      <w:pPr>
        <w:tabs>
          <w:tab w:val="left" w:pos="851"/>
        </w:tabs>
        <w:ind w:left="851" w:hanging="851"/>
        <w:rPr>
          <w:b/>
          <w:sz w:val="24"/>
          <w:szCs w:val="24"/>
          <w:lang w:val="nb-NO"/>
        </w:rPr>
      </w:pPr>
    </w:p>
    <w:p w:rsidR="00947B7B" w:rsidRPr="00A819DC" w:rsidRDefault="00947B7B" w:rsidP="00947B7B">
      <w:pPr>
        <w:tabs>
          <w:tab w:val="left" w:pos="851"/>
        </w:tabs>
        <w:ind w:left="851" w:hanging="851"/>
        <w:rPr>
          <w:b/>
          <w:sz w:val="24"/>
          <w:szCs w:val="24"/>
          <w:u w:val="single"/>
          <w:lang w:val="nb-NO"/>
        </w:rPr>
      </w:pPr>
      <w:r w:rsidRPr="00A819DC">
        <w:rPr>
          <w:b/>
          <w:sz w:val="24"/>
          <w:szCs w:val="24"/>
          <w:lang w:val="nb-NO"/>
        </w:rPr>
        <w:t>4.1</w:t>
      </w:r>
      <w:r w:rsidRPr="00A819DC">
        <w:rPr>
          <w:b/>
          <w:sz w:val="24"/>
          <w:szCs w:val="24"/>
          <w:lang w:val="nb-NO"/>
        </w:rPr>
        <w:tab/>
        <w:t>Terapeutiske indikationer</w:t>
      </w:r>
    </w:p>
    <w:p w:rsidR="00947B7B" w:rsidRPr="00A819DC" w:rsidRDefault="00947B7B" w:rsidP="00947B7B">
      <w:pPr>
        <w:ind w:left="851"/>
        <w:rPr>
          <w:sz w:val="24"/>
          <w:szCs w:val="24"/>
          <w:highlight w:val="yellow"/>
          <w:lang w:val="nb-NO" w:eastAsia="en-GB"/>
        </w:rPr>
      </w:pPr>
      <w:r w:rsidRPr="00A819DC">
        <w:rPr>
          <w:sz w:val="24"/>
          <w:szCs w:val="24"/>
          <w:lang w:val="nb-NO"/>
        </w:rPr>
        <w:t xml:space="preserve">Til remissionsinduktion ved akut myeloid leukæmi hos voksne og andre akutte leukæmier hos voksne og børn, herunder profylakse og behandling af CNS-involvering (meningeal leukæmi). </w:t>
      </w:r>
    </w:p>
    <w:p w:rsidR="00947B7B" w:rsidRPr="00A819DC" w:rsidRDefault="00947B7B" w:rsidP="00947B7B">
      <w:pPr>
        <w:rPr>
          <w:sz w:val="24"/>
          <w:szCs w:val="24"/>
          <w:lang w:val="nb-NO"/>
        </w:rPr>
      </w:pPr>
      <w:r w:rsidRPr="00A819DC">
        <w:rPr>
          <w:sz w:val="24"/>
          <w:szCs w:val="24"/>
          <w:lang w:val="nb-NO"/>
        </w:rPr>
        <w:br w:type="page"/>
      </w:r>
    </w:p>
    <w:p w:rsidR="00947B7B" w:rsidRPr="00A819DC" w:rsidRDefault="00947B7B" w:rsidP="00947B7B">
      <w:pPr>
        <w:tabs>
          <w:tab w:val="left" w:pos="851"/>
        </w:tabs>
        <w:ind w:left="851" w:hanging="851"/>
        <w:rPr>
          <w:sz w:val="24"/>
          <w:szCs w:val="24"/>
          <w:lang w:val="nb-NO"/>
        </w:rPr>
      </w:pPr>
    </w:p>
    <w:p w:rsidR="00947B7B" w:rsidRPr="009F56AD" w:rsidRDefault="00947B7B" w:rsidP="00947B7B">
      <w:pPr>
        <w:tabs>
          <w:tab w:val="left" w:pos="851"/>
        </w:tabs>
        <w:ind w:left="851" w:hanging="851"/>
        <w:rPr>
          <w:b/>
          <w:sz w:val="24"/>
          <w:szCs w:val="24"/>
        </w:rPr>
      </w:pPr>
      <w:r w:rsidRPr="009F56AD">
        <w:rPr>
          <w:b/>
          <w:sz w:val="24"/>
          <w:szCs w:val="24"/>
        </w:rPr>
        <w:t>4.2</w:t>
      </w:r>
      <w:r w:rsidRPr="009F56AD">
        <w:rPr>
          <w:b/>
          <w:sz w:val="24"/>
          <w:szCs w:val="24"/>
        </w:rPr>
        <w:tab/>
        <w:t xml:space="preserve">Dosering og </w:t>
      </w:r>
      <w:r w:rsidR="003052EF">
        <w:rPr>
          <w:b/>
          <w:sz w:val="24"/>
          <w:szCs w:val="24"/>
        </w:rPr>
        <w:t>administration</w:t>
      </w:r>
    </w:p>
    <w:p w:rsidR="00947B7B" w:rsidRPr="009F56AD" w:rsidRDefault="00947B7B" w:rsidP="00947B7B">
      <w:pPr>
        <w:ind w:left="851"/>
        <w:rPr>
          <w:sz w:val="24"/>
          <w:szCs w:val="24"/>
          <w:lang w:eastAsia="en-GB"/>
        </w:rPr>
      </w:pPr>
      <w:proofErr w:type="spellStart"/>
      <w:r w:rsidRPr="009F56AD">
        <w:rPr>
          <w:sz w:val="24"/>
          <w:szCs w:val="24"/>
        </w:rPr>
        <w:t>Cytarabine</w:t>
      </w:r>
      <w:proofErr w:type="spellEnd"/>
      <w:r w:rsidRPr="009F56AD">
        <w:rPr>
          <w:sz w:val="24"/>
          <w:szCs w:val="24"/>
        </w:rPr>
        <w:t xml:space="preserve"> </w:t>
      </w:r>
      <w:r>
        <w:rPr>
          <w:sz w:val="24"/>
          <w:szCs w:val="24"/>
        </w:rPr>
        <w:t>"</w:t>
      </w:r>
      <w:proofErr w:type="spellStart"/>
      <w:r>
        <w:rPr>
          <w:sz w:val="24"/>
          <w:szCs w:val="24"/>
        </w:rPr>
        <w:t>Accord</w:t>
      </w:r>
      <w:proofErr w:type="spellEnd"/>
      <w:r>
        <w:rPr>
          <w:sz w:val="24"/>
          <w:szCs w:val="24"/>
        </w:rPr>
        <w:t>"</w:t>
      </w:r>
      <w:r w:rsidRPr="009F56AD">
        <w:rPr>
          <w:sz w:val="24"/>
          <w:szCs w:val="24"/>
        </w:rPr>
        <w:t xml:space="preserve"> er beregnet til intravenøs, intramuskulær, subkutan eller </w:t>
      </w:r>
      <w:proofErr w:type="spellStart"/>
      <w:r w:rsidRPr="009F56AD">
        <w:rPr>
          <w:sz w:val="24"/>
          <w:szCs w:val="24"/>
        </w:rPr>
        <w:t>intratekal</w:t>
      </w:r>
      <w:proofErr w:type="spellEnd"/>
      <w:r w:rsidRPr="009F56AD">
        <w:rPr>
          <w:sz w:val="24"/>
          <w:szCs w:val="24"/>
        </w:rPr>
        <w:t xml:space="preserve"> brug.</w:t>
      </w:r>
    </w:p>
    <w:p w:rsidR="00947B7B" w:rsidRPr="009F56AD" w:rsidRDefault="00947B7B" w:rsidP="00947B7B">
      <w:pPr>
        <w:ind w:left="851"/>
        <w:rPr>
          <w:sz w:val="24"/>
          <w:szCs w:val="24"/>
        </w:rPr>
      </w:pPr>
    </w:p>
    <w:p w:rsidR="00947B7B" w:rsidRPr="009F56AD" w:rsidRDefault="00947B7B" w:rsidP="00947B7B">
      <w:pPr>
        <w:ind w:left="851"/>
        <w:rPr>
          <w:sz w:val="24"/>
          <w:szCs w:val="24"/>
          <w:highlight w:val="yellow"/>
        </w:rPr>
      </w:pPr>
      <w:r w:rsidRPr="009F56AD">
        <w:rPr>
          <w:sz w:val="24"/>
          <w:szCs w:val="24"/>
        </w:rPr>
        <w:t xml:space="preserve">Subkutan injektion er generelt veltolereret og kan anbefales, når det anvendes til vedligeholdelsesbehandling. </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rPr>
      </w:pPr>
      <w:proofErr w:type="spellStart"/>
      <w:r w:rsidRPr="009F56AD">
        <w:rPr>
          <w:sz w:val="24"/>
          <w:szCs w:val="24"/>
        </w:rPr>
        <w:t>Cytarabin</w:t>
      </w:r>
      <w:proofErr w:type="spellEnd"/>
      <w:r w:rsidRPr="009F56AD">
        <w:rPr>
          <w:sz w:val="24"/>
          <w:szCs w:val="24"/>
        </w:rPr>
        <w:t xml:space="preserve"> </w:t>
      </w:r>
      <w:r>
        <w:rPr>
          <w:sz w:val="24"/>
          <w:szCs w:val="24"/>
        </w:rPr>
        <w:t>"</w:t>
      </w:r>
      <w:proofErr w:type="spellStart"/>
      <w:r>
        <w:rPr>
          <w:sz w:val="24"/>
          <w:szCs w:val="24"/>
        </w:rPr>
        <w:t>Accord</w:t>
      </w:r>
      <w:proofErr w:type="spellEnd"/>
      <w:r>
        <w:rPr>
          <w:sz w:val="24"/>
          <w:szCs w:val="24"/>
        </w:rPr>
        <w:t>"</w:t>
      </w:r>
      <w:r w:rsidRPr="009F56AD">
        <w:rPr>
          <w:sz w:val="24"/>
          <w:szCs w:val="24"/>
        </w:rPr>
        <w:t xml:space="preserve"> kan fortyndes med sterilt vand til injektionsvæsker, glukoseopløsning til intravenøs infusion eller </w:t>
      </w:r>
      <w:proofErr w:type="spellStart"/>
      <w:r w:rsidRPr="009F56AD">
        <w:rPr>
          <w:sz w:val="24"/>
          <w:szCs w:val="24"/>
        </w:rPr>
        <w:t>natriumchloridopløsning</w:t>
      </w:r>
      <w:proofErr w:type="spellEnd"/>
      <w:r w:rsidRPr="009F56AD">
        <w:rPr>
          <w:sz w:val="24"/>
          <w:szCs w:val="24"/>
        </w:rPr>
        <w:t xml:space="preserve"> til intravenøs infusion. </w:t>
      </w:r>
    </w:p>
    <w:p w:rsidR="00947B7B" w:rsidRPr="009F56AD" w:rsidRDefault="00947B7B" w:rsidP="00947B7B">
      <w:pPr>
        <w:ind w:left="851"/>
        <w:rPr>
          <w:sz w:val="24"/>
          <w:szCs w:val="24"/>
        </w:rPr>
      </w:pPr>
    </w:p>
    <w:p w:rsidR="00947B7B" w:rsidRPr="009F56AD" w:rsidRDefault="00947B7B" w:rsidP="00947B7B">
      <w:pPr>
        <w:ind w:left="851"/>
        <w:rPr>
          <w:rFonts w:eastAsia="Calibri"/>
          <w:sz w:val="24"/>
          <w:szCs w:val="24"/>
        </w:rPr>
      </w:pPr>
      <w:r w:rsidRPr="009F56AD">
        <w:rPr>
          <w:sz w:val="24"/>
          <w:szCs w:val="24"/>
        </w:rPr>
        <w:t xml:space="preserve">Behandling med </w:t>
      </w:r>
      <w:proofErr w:type="spellStart"/>
      <w:r w:rsidRPr="009F56AD">
        <w:rPr>
          <w:sz w:val="24"/>
          <w:szCs w:val="24"/>
        </w:rPr>
        <w:t>cytarabin</w:t>
      </w:r>
      <w:proofErr w:type="spellEnd"/>
      <w:r w:rsidRPr="009F56AD">
        <w:rPr>
          <w:sz w:val="24"/>
          <w:szCs w:val="24"/>
        </w:rPr>
        <w:t xml:space="preserve"> bør kun påbegyndes af eller ske i samråd med en læge med stor erfaring inden for behandling med </w:t>
      </w:r>
      <w:proofErr w:type="spellStart"/>
      <w:r w:rsidRPr="009F56AD">
        <w:rPr>
          <w:sz w:val="24"/>
          <w:szCs w:val="24"/>
        </w:rPr>
        <w:t>cytostatika</w:t>
      </w:r>
      <w:proofErr w:type="spellEnd"/>
      <w:r w:rsidRPr="009F56AD">
        <w:rPr>
          <w:sz w:val="24"/>
          <w:szCs w:val="24"/>
        </w:rPr>
        <w:t xml:space="preserve">. Der kan kun gives generelle anbefalinger, da akut leukæmi næsten udelukkende behandles med kombinationer af </w:t>
      </w:r>
      <w:proofErr w:type="spellStart"/>
      <w:r w:rsidRPr="009F56AD">
        <w:rPr>
          <w:sz w:val="24"/>
          <w:szCs w:val="24"/>
        </w:rPr>
        <w:t>cytostatika</w:t>
      </w:r>
      <w:proofErr w:type="spellEnd"/>
      <w:r w:rsidRPr="009F56AD">
        <w:rPr>
          <w:sz w:val="24"/>
          <w:szCs w:val="24"/>
        </w:rPr>
        <w:t xml:space="preserve">. </w:t>
      </w:r>
    </w:p>
    <w:p w:rsidR="00947B7B" w:rsidRPr="009F56AD" w:rsidRDefault="00947B7B" w:rsidP="00947B7B">
      <w:pPr>
        <w:ind w:left="851"/>
        <w:rPr>
          <w:sz w:val="24"/>
          <w:szCs w:val="24"/>
          <w:highlight w:val="yellow"/>
        </w:rPr>
      </w:pPr>
      <w:r w:rsidRPr="009F56AD">
        <w:rPr>
          <w:sz w:val="24"/>
          <w:szCs w:val="24"/>
        </w:rPr>
        <w:t>Dosisanbefalinger kan være i henhold til kropsvægt (mg/kg) eller i henhold til legemsoverflade (mg/m</w:t>
      </w:r>
      <w:r w:rsidRPr="009F56AD">
        <w:rPr>
          <w:sz w:val="24"/>
          <w:szCs w:val="24"/>
          <w:vertAlign w:val="superscript"/>
        </w:rPr>
        <w:t>2</w:t>
      </w:r>
      <w:r w:rsidRPr="009F56AD">
        <w:rPr>
          <w:sz w:val="24"/>
          <w:szCs w:val="24"/>
        </w:rPr>
        <w:t>). Dosisanbefalinger kan konverteres fra i henhold til legemsvægt til i henhold til legemsoverflade ved hjælp af nomogrammer.</w:t>
      </w:r>
    </w:p>
    <w:p w:rsidR="00947B7B" w:rsidRPr="009F56AD" w:rsidRDefault="00947B7B" w:rsidP="00947B7B">
      <w:pPr>
        <w:ind w:left="851"/>
        <w:rPr>
          <w:b/>
          <w:sz w:val="24"/>
          <w:szCs w:val="24"/>
        </w:rPr>
      </w:pPr>
    </w:p>
    <w:p w:rsidR="00947B7B" w:rsidRPr="009F56AD" w:rsidRDefault="00947B7B" w:rsidP="00947B7B">
      <w:pPr>
        <w:ind w:left="851"/>
        <w:rPr>
          <w:b/>
          <w:sz w:val="24"/>
          <w:szCs w:val="24"/>
        </w:rPr>
      </w:pPr>
      <w:r w:rsidRPr="009F56AD">
        <w:rPr>
          <w:b/>
          <w:sz w:val="24"/>
          <w:szCs w:val="24"/>
        </w:rPr>
        <w:t>Re</w:t>
      </w:r>
      <w:r>
        <w:rPr>
          <w:b/>
          <w:sz w:val="24"/>
          <w:szCs w:val="24"/>
        </w:rPr>
        <w:t>missionsinduktion</w:t>
      </w:r>
    </w:p>
    <w:p w:rsidR="00947B7B" w:rsidRPr="009F56AD" w:rsidRDefault="00947B7B" w:rsidP="00947B7B">
      <w:pPr>
        <w:ind w:left="851"/>
        <w:rPr>
          <w:sz w:val="24"/>
          <w:szCs w:val="24"/>
        </w:rPr>
      </w:pPr>
      <w:r w:rsidRPr="009F56AD">
        <w:rPr>
          <w:b/>
          <w:sz w:val="24"/>
          <w:szCs w:val="24"/>
        </w:rPr>
        <w:t>Kontinuerlig behandling:</w:t>
      </w:r>
      <w:r w:rsidRPr="009F56AD">
        <w:rPr>
          <w:sz w:val="24"/>
          <w:szCs w:val="24"/>
        </w:rPr>
        <w:t xml:space="preserve"> Den sædvanlige dosis ved leukæmi er 2 mg/kg/dag ved hurtig intravenøs injektion </w:t>
      </w:r>
      <w:r>
        <w:rPr>
          <w:sz w:val="24"/>
          <w:szCs w:val="24"/>
        </w:rPr>
        <w:t>daglig</w:t>
      </w:r>
      <w:r w:rsidRPr="009F56AD">
        <w:rPr>
          <w:sz w:val="24"/>
          <w:szCs w:val="24"/>
        </w:rPr>
        <w:t xml:space="preserve"> i 10 dage. Hvis der ikke ses terapeutisk respons eller toksicitet efter ti dage, kan dosis øges til 4 mg/kg/dag, indtil der ses en tydelig terapeutisk respons eller toksicitet. Næsten alle patienter kan opleve toksicitet med disse doser.</w:t>
      </w:r>
    </w:p>
    <w:p w:rsidR="00947B7B" w:rsidRPr="009F56AD" w:rsidRDefault="00947B7B" w:rsidP="00947B7B">
      <w:pPr>
        <w:ind w:left="851"/>
        <w:rPr>
          <w:sz w:val="24"/>
          <w:szCs w:val="24"/>
          <w:highlight w:val="yellow"/>
        </w:rPr>
      </w:pPr>
    </w:p>
    <w:p w:rsidR="00947B7B" w:rsidRPr="009F56AD" w:rsidRDefault="003052EF" w:rsidP="00947B7B">
      <w:pPr>
        <w:ind w:left="851"/>
        <w:rPr>
          <w:sz w:val="24"/>
          <w:szCs w:val="24"/>
        </w:rPr>
      </w:pPr>
      <w:r>
        <w:rPr>
          <w:sz w:val="24"/>
          <w:szCs w:val="24"/>
        </w:rPr>
        <w:t xml:space="preserve">Alternativt kan </w:t>
      </w:r>
      <w:r w:rsidR="00947B7B" w:rsidRPr="009F56AD">
        <w:rPr>
          <w:sz w:val="24"/>
          <w:szCs w:val="24"/>
        </w:rPr>
        <w:t xml:space="preserve">0,5 til 1 mg/kg/dag </w:t>
      </w:r>
      <w:proofErr w:type="spellStart"/>
      <w:r w:rsidR="00947B7B" w:rsidRPr="009F56AD">
        <w:rPr>
          <w:sz w:val="24"/>
          <w:szCs w:val="24"/>
        </w:rPr>
        <w:t>infunderes</w:t>
      </w:r>
      <w:proofErr w:type="spellEnd"/>
      <w:r w:rsidR="00947B7B" w:rsidRPr="009F56AD">
        <w:rPr>
          <w:sz w:val="24"/>
          <w:szCs w:val="24"/>
        </w:rPr>
        <w:t xml:space="preserve"> </w:t>
      </w:r>
      <w:r w:rsidR="00947B7B">
        <w:rPr>
          <w:sz w:val="24"/>
          <w:szCs w:val="24"/>
        </w:rPr>
        <w:t>daglig</w:t>
      </w:r>
      <w:r w:rsidR="00947B7B" w:rsidRPr="009F56AD">
        <w:rPr>
          <w:sz w:val="24"/>
          <w:szCs w:val="24"/>
        </w:rPr>
        <w:t xml:space="preserve"> i 1-24 timer i 10 dage og derefter med 2 mg/kg/dag indtil der observeres toksicitet. Fortsæt til der ses toksicitet eller indtil der sker remission. Resultater fra 1-times infusioner har været tilfredsstillende hos størstedelen af patienter.</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rPr>
      </w:pPr>
      <w:r w:rsidRPr="009F56AD">
        <w:rPr>
          <w:b/>
          <w:sz w:val="24"/>
          <w:szCs w:val="24"/>
        </w:rPr>
        <w:t>Intermitterende behandling:</w:t>
      </w:r>
      <w:r w:rsidRPr="009F56AD">
        <w:rPr>
          <w:sz w:val="24"/>
          <w:szCs w:val="24"/>
        </w:rPr>
        <w:t xml:space="preserve"> </w:t>
      </w:r>
      <w:proofErr w:type="spellStart"/>
      <w:r w:rsidRPr="009F56AD">
        <w:rPr>
          <w:sz w:val="24"/>
          <w:szCs w:val="24"/>
        </w:rPr>
        <w:t>Cytarabin</w:t>
      </w:r>
      <w:proofErr w:type="spellEnd"/>
      <w:r w:rsidRPr="009F56AD">
        <w:rPr>
          <w:sz w:val="24"/>
          <w:szCs w:val="24"/>
        </w:rPr>
        <w:t xml:space="preserve"> kan gives som intermitterende intravenøse doser på 3-5 mg/kg </w:t>
      </w:r>
      <w:r>
        <w:rPr>
          <w:sz w:val="24"/>
          <w:szCs w:val="24"/>
        </w:rPr>
        <w:t>daglig</w:t>
      </w:r>
      <w:r w:rsidRPr="009F56AD">
        <w:rPr>
          <w:sz w:val="24"/>
          <w:szCs w:val="24"/>
        </w:rPr>
        <w:t xml:space="preserve"> i fem på hinanden følgende dage. Dette behandlingsforløb kan gentages efter 2 til 9 dages hviletid og gentages, indtil der udvises terapeutisk respons eller toksicitet.</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rPr>
      </w:pPr>
      <w:r w:rsidRPr="009F56AD">
        <w:rPr>
          <w:sz w:val="24"/>
          <w:szCs w:val="24"/>
        </w:rPr>
        <w:t>Det første tegn på marvforbedringer er rapporteret til at forekomme 7 - 64 dage (gennemsnitligt 28 dage) efter behandlingens begyndelse.</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rPr>
      </w:pPr>
      <w:r w:rsidRPr="009F56AD">
        <w:rPr>
          <w:sz w:val="24"/>
          <w:szCs w:val="24"/>
        </w:rPr>
        <w:t xml:space="preserve">Hvis en patient hverken udviser toksicitet eller remission efter et rimeligt forsøg, kan forsigtig administration af højere dosis generelt være berettiget. Som hovedregel tolererer patienter højere doser bedre, når de gives som hurtig intravenøs injektion sammenlignet med langsom infusion. Denne forskel skyldes </w:t>
      </w:r>
      <w:proofErr w:type="spellStart"/>
      <w:r w:rsidRPr="009F56AD">
        <w:rPr>
          <w:sz w:val="24"/>
          <w:szCs w:val="24"/>
        </w:rPr>
        <w:t>cytarabins</w:t>
      </w:r>
      <w:proofErr w:type="spellEnd"/>
      <w:r w:rsidRPr="009F56AD">
        <w:rPr>
          <w:sz w:val="24"/>
          <w:szCs w:val="24"/>
        </w:rPr>
        <w:t xml:space="preserve"> hurtige metabolisme og dermed kortere virkningsvarighed af den høje dosis.</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rPr>
      </w:pPr>
      <w:proofErr w:type="spellStart"/>
      <w:r w:rsidRPr="009F56AD">
        <w:rPr>
          <w:sz w:val="24"/>
          <w:szCs w:val="24"/>
        </w:rPr>
        <w:t>Cytarabin</w:t>
      </w:r>
      <w:proofErr w:type="spellEnd"/>
      <w:r w:rsidRPr="009F56AD">
        <w:rPr>
          <w:sz w:val="24"/>
          <w:szCs w:val="24"/>
        </w:rPr>
        <w:t xml:space="preserve"> er blevet indgivet i doser af 100-200 mg/m</w:t>
      </w:r>
      <w:r w:rsidRPr="009F56AD">
        <w:rPr>
          <w:sz w:val="24"/>
          <w:szCs w:val="24"/>
          <w:vertAlign w:val="superscript"/>
        </w:rPr>
        <w:t>2</w:t>
      </w:r>
      <w:r w:rsidRPr="009F56AD">
        <w:rPr>
          <w:sz w:val="24"/>
          <w:szCs w:val="24"/>
        </w:rPr>
        <w:t xml:space="preserve">/24 timer ved kontinuerlig infusion i 5-7 dage alene eller i kombination med andre </w:t>
      </w:r>
      <w:proofErr w:type="spellStart"/>
      <w:r w:rsidRPr="009F56AD">
        <w:rPr>
          <w:sz w:val="24"/>
          <w:szCs w:val="24"/>
        </w:rPr>
        <w:t>cytostatika</w:t>
      </w:r>
      <w:proofErr w:type="spellEnd"/>
      <w:r w:rsidRPr="009F56AD">
        <w:rPr>
          <w:sz w:val="24"/>
          <w:szCs w:val="24"/>
        </w:rPr>
        <w:t xml:space="preserve"> inklusive for eksempel et </w:t>
      </w:r>
      <w:proofErr w:type="spellStart"/>
      <w:r w:rsidRPr="009F56AD">
        <w:rPr>
          <w:sz w:val="24"/>
          <w:szCs w:val="24"/>
        </w:rPr>
        <w:t>antracyklin</w:t>
      </w:r>
      <w:proofErr w:type="spellEnd"/>
      <w:r w:rsidRPr="009F56AD">
        <w:rPr>
          <w:sz w:val="24"/>
          <w:szCs w:val="24"/>
        </w:rPr>
        <w:t>. Yderligere forløb kan administreres med intervaller på 2-4 uger, indtil der opnås remission, eller der forekommer uacceptabel toksicitet.</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rPr>
      </w:pPr>
      <w:r w:rsidRPr="009F56AD">
        <w:rPr>
          <w:b/>
          <w:sz w:val="24"/>
          <w:szCs w:val="24"/>
        </w:rPr>
        <w:t>Vedligeholdelsesbehandling:</w:t>
      </w:r>
      <w:r w:rsidRPr="009F56AD">
        <w:rPr>
          <w:sz w:val="24"/>
          <w:szCs w:val="24"/>
        </w:rPr>
        <w:t xml:space="preserve"> For at opretholde remission kan doser på 1 mg/kg gives intravenøst eller subkutant en eller to gange om ugen.</w:t>
      </w:r>
    </w:p>
    <w:p w:rsidR="00947B7B" w:rsidRPr="009F56AD" w:rsidRDefault="00947B7B" w:rsidP="00947B7B">
      <w:pPr>
        <w:ind w:left="851"/>
        <w:rPr>
          <w:sz w:val="24"/>
          <w:szCs w:val="24"/>
        </w:rPr>
      </w:pPr>
    </w:p>
    <w:p w:rsidR="00947B7B" w:rsidRPr="009F56AD" w:rsidRDefault="00947B7B" w:rsidP="00947B7B">
      <w:pPr>
        <w:ind w:left="851"/>
        <w:rPr>
          <w:sz w:val="24"/>
          <w:szCs w:val="24"/>
        </w:rPr>
      </w:pPr>
      <w:proofErr w:type="spellStart"/>
      <w:r w:rsidRPr="009F56AD">
        <w:rPr>
          <w:sz w:val="24"/>
          <w:szCs w:val="24"/>
        </w:rPr>
        <w:lastRenderedPageBreak/>
        <w:t>Cytarabin</w:t>
      </w:r>
      <w:proofErr w:type="spellEnd"/>
      <w:r w:rsidRPr="009F56AD">
        <w:rPr>
          <w:sz w:val="24"/>
          <w:szCs w:val="24"/>
        </w:rPr>
        <w:t xml:space="preserve"> er også blevet administreret i doser på 100-200 mg/m</w:t>
      </w:r>
      <w:r w:rsidRPr="009F56AD">
        <w:rPr>
          <w:sz w:val="24"/>
          <w:szCs w:val="24"/>
          <w:vertAlign w:val="superscript"/>
        </w:rPr>
        <w:t>2</w:t>
      </w:r>
      <w:r w:rsidRPr="009F56AD">
        <w:rPr>
          <w:sz w:val="24"/>
          <w:szCs w:val="24"/>
        </w:rPr>
        <w:t xml:space="preserve"> som kontinuerlig infusion i 5 dage med månedlige intervaller som monoterapi eller i kombination med andre </w:t>
      </w:r>
      <w:proofErr w:type="spellStart"/>
      <w:r w:rsidRPr="009F56AD">
        <w:rPr>
          <w:sz w:val="24"/>
          <w:szCs w:val="24"/>
        </w:rPr>
        <w:t>cytostatika</w:t>
      </w:r>
      <w:proofErr w:type="spellEnd"/>
      <w:r w:rsidRPr="009F56AD">
        <w:rPr>
          <w:sz w:val="24"/>
          <w:szCs w:val="24"/>
        </w:rPr>
        <w:t>.</w:t>
      </w:r>
    </w:p>
    <w:p w:rsidR="00947B7B" w:rsidRPr="009F56AD" w:rsidRDefault="00947B7B" w:rsidP="00947B7B">
      <w:pPr>
        <w:ind w:left="851"/>
        <w:rPr>
          <w:sz w:val="24"/>
          <w:szCs w:val="24"/>
          <w:highlight w:val="yellow"/>
        </w:rPr>
      </w:pPr>
    </w:p>
    <w:p w:rsidR="00947B7B" w:rsidRPr="009F56AD" w:rsidRDefault="00947B7B" w:rsidP="00947B7B">
      <w:pPr>
        <w:ind w:left="851"/>
        <w:rPr>
          <w:b/>
          <w:sz w:val="24"/>
          <w:szCs w:val="24"/>
        </w:rPr>
      </w:pPr>
      <w:proofErr w:type="spellStart"/>
      <w:r w:rsidRPr="009F56AD">
        <w:rPr>
          <w:b/>
          <w:sz w:val="24"/>
          <w:szCs w:val="24"/>
        </w:rPr>
        <w:t>Intratekalt</w:t>
      </w:r>
      <w:proofErr w:type="spellEnd"/>
    </w:p>
    <w:p w:rsidR="00947B7B" w:rsidRPr="009F56AD" w:rsidRDefault="00947B7B" w:rsidP="00947B7B">
      <w:pPr>
        <w:ind w:left="851"/>
        <w:rPr>
          <w:sz w:val="24"/>
          <w:szCs w:val="24"/>
        </w:rPr>
      </w:pPr>
      <w:r w:rsidRPr="009F56AD">
        <w:rPr>
          <w:sz w:val="24"/>
          <w:szCs w:val="24"/>
        </w:rPr>
        <w:t>Der er blevet administreret doser på mellem 5 og 30 mg/m² BSA.</w:t>
      </w:r>
    </w:p>
    <w:p w:rsidR="00947B7B" w:rsidRPr="009F56AD" w:rsidRDefault="00947B7B" w:rsidP="00947B7B">
      <w:pPr>
        <w:ind w:left="851"/>
        <w:rPr>
          <w:sz w:val="24"/>
          <w:szCs w:val="24"/>
        </w:rPr>
      </w:pPr>
      <w:r w:rsidRPr="009F56AD">
        <w:rPr>
          <w:sz w:val="24"/>
          <w:szCs w:val="24"/>
        </w:rPr>
        <w:t xml:space="preserve">Til behandling af </w:t>
      </w:r>
      <w:proofErr w:type="spellStart"/>
      <w:r w:rsidRPr="009F56AD">
        <w:rPr>
          <w:sz w:val="24"/>
          <w:szCs w:val="24"/>
        </w:rPr>
        <w:t>meningeal</w:t>
      </w:r>
      <w:proofErr w:type="spellEnd"/>
      <w:r w:rsidRPr="009F56AD">
        <w:rPr>
          <w:sz w:val="24"/>
          <w:szCs w:val="24"/>
        </w:rPr>
        <w:t xml:space="preserve"> leukæmi gives en dosis på 30 mg/m² BSA en gang hver fjerde dag, indtil cerebrospinalvæsken er normal, efterfulgt af yderligere en dosis. Injektionen skal ske langsomt. Se pkt</w:t>
      </w:r>
      <w:r>
        <w:rPr>
          <w:sz w:val="24"/>
          <w:szCs w:val="24"/>
        </w:rPr>
        <w:t>.</w:t>
      </w:r>
      <w:r w:rsidRPr="009F56AD">
        <w:rPr>
          <w:sz w:val="24"/>
          <w:szCs w:val="24"/>
        </w:rPr>
        <w:t xml:space="preserve"> 4.8.</w:t>
      </w:r>
    </w:p>
    <w:p w:rsidR="00947B7B" w:rsidRPr="009F56AD" w:rsidRDefault="00947B7B" w:rsidP="00947B7B">
      <w:pPr>
        <w:ind w:left="851"/>
        <w:rPr>
          <w:b/>
          <w:sz w:val="24"/>
          <w:szCs w:val="24"/>
        </w:rPr>
      </w:pPr>
    </w:p>
    <w:p w:rsidR="00947B7B" w:rsidRPr="009F56AD" w:rsidRDefault="00947B7B" w:rsidP="00947B7B">
      <w:pPr>
        <w:ind w:left="851"/>
        <w:rPr>
          <w:rFonts w:eastAsia="Calibri"/>
          <w:b/>
          <w:bCs/>
          <w:sz w:val="24"/>
          <w:szCs w:val="24"/>
        </w:rPr>
      </w:pPr>
      <w:r>
        <w:rPr>
          <w:b/>
          <w:bCs/>
          <w:sz w:val="24"/>
          <w:szCs w:val="24"/>
        </w:rPr>
        <w:t>Høj dosering</w:t>
      </w:r>
    </w:p>
    <w:p w:rsidR="00947B7B" w:rsidRPr="009F56AD" w:rsidRDefault="00947B7B" w:rsidP="00947B7B">
      <w:pPr>
        <w:ind w:left="851"/>
        <w:rPr>
          <w:sz w:val="24"/>
          <w:szCs w:val="24"/>
          <w:highlight w:val="yellow"/>
        </w:rPr>
      </w:pPr>
      <w:proofErr w:type="spellStart"/>
      <w:r w:rsidRPr="009F56AD">
        <w:rPr>
          <w:sz w:val="24"/>
          <w:szCs w:val="24"/>
        </w:rPr>
        <w:t>Cytarabin</w:t>
      </w:r>
      <w:proofErr w:type="spellEnd"/>
      <w:r w:rsidRPr="009F56AD">
        <w:rPr>
          <w:sz w:val="24"/>
          <w:szCs w:val="24"/>
        </w:rPr>
        <w:t xml:space="preserve"> </w:t>
      </w:r>
      <w:r w:rsidRPr="009F56AD">
        <w:rPr>
          <w:b/>
          <w:bCs/>
          <w:sz w:val="24"/>
          <w:szCs w:val="24"/>
        </w:rPr>
        <w:t>2-3 g/m</w:t>
      </w:r>
      <w:r w:rsidRPr="009F56AD">
        <w:rPr>
          <w:b/>
          <w:bCs/>
          <w:sz w:val="24"/>
          <w:szCs w:val="24"/>
          <w:vertAlign w:val="superscript"/>
        </w:rPr>
        <w:t>2</w:t>
      </w:r>
      <w:r w:rsidRPr="009F56AD">
        <w:rPr>
          <w:sz w:val="24"/>
          <w:szCs w:val="24"/>
        </w:rPr>
        <w:t xml:space="preserve"> er administreret som monoterapi eller i kombination med andre </w:t>
      </w:r>
      <w:proofErr w:type="spellStart"/>
      <w:r w:rsidRPr="009F56AD">
        <w:rPr>
          <w:sz w:val="24"/>
          <w:szCs w:val="24"/>
        </w:rPr>
        <w:t>cytostatika</w:t>
      </w:r>
      <w:proofErr w:type="spellEnd"/>
      <w:r w:rsidRPr="009F56AD">
        <w:rPr>
          <w:sz w:val="24"/>
          <w:szCs w:val="24"/>
        </w:rPr>
        <w:t xml:space="preserve"> som en intravenøs infusion i 1-3 timer hver 12. time i 2-6 dage (i alt 12 doser pr. forløb) under streng medicinsk overvågning. En total behandlingsdosis på </w:t>
      </w:r>
      <w:r w:rsidRPr="009F56AD">
        <w:rPr>
          <w:b/>
          <w:bCs/>
          <w:sz w:val="24"/>
          <w:szCs w:val="24"/>
        </w:rPr>
        <w:t>36 g/m</w:t>
      </w:r>
      <w:r w:rsidRPr="009F56AD">
        <w:rPr>
          <w:b/>
          <w:bCs/>
          <w:sz w:val="24"/>
          <w:szCs w:val="24"/>
          <w:vertAlign w:val="superscript"/>
        </w:rPr>
        <w:t>2</w:t>
      </w:r>
      <w:r w:rsidRPr="009F56AD">
        <w:rPr>
          <w:sz w:val="24"/>
          <w:szCs w:val="24"/>
        </w:rPr>
        <w:t xml:space="preserve"> må ikke overskrides. Hyppigheden af behandlingsforløb afhænger af responsen af behandlingen og hæmatologisk og ikke-hæmatologisk toksicitet. Se også forsigtigheds</w:t>
      </w:r>
      <w:r>
        <w:rPr>
          <w:sz w:val="24"/>
          <w:szCs w:val="24"/>
        </w:rPr>
        <w:softHyphen/>
      </w:r>
      <w:r w:rsidRPr="009F56AD">
        <w:rPr>
          <w:sz w:val="24"/>
          <w:szCs w:val="24"/>
        </w:rPr>
        <w:t>regler om krav ved ophør af behandlingen (</w:t>
      </w:r>
      <w:r>
        <w:rPr>
          <w:sz w:val="24"/>
          <w:szCs w:val="24"/>
        </w:rPr>
        <w:t xml:space="preserve">se </w:t>
      </w:r>
      <w:r w:rsidRPr="009F56AD">
        <w:rPr>
          <w:sz w:val="24"/>
          <w:szCs w:val="24"/>
        </w:rPr>
        <w:t>pkt. 4.4).</w:t>
      </w:r>
      <w:r w:rsidRPr="009F56AD">
        <w:rPr>
          <w:b/>
          <w:sz w:val="24"/>
          <w:szCs w:val="24"/>
        </w:rPr>
        <w:t xml:space="preserve"> </w:t>
      </w:r>
    </w:p>
    <w:p w:rsidR="00947B7B" w:rsidRPr="009F56AD" w:rsidRDefault="00947B7B" w:rsidP="00947B7B">
      <w:pPr>
        <w:ind w:left="851"/>
        <w:rPr>
          <w:b/>
          <w:sz w:val="24"/>
          <w:szCs w:val="24"/>
        </w:rPr>
      </w:pPr>
    </w:p>
    <w:p w:rsidR="00947B7B" w:rsidRDefault="00947B7B" w:rsidP="00947B7B">
      <w:pPr>
        <w:ind w:left="851"/>
        <w:rPr>
          <w:sz w:val="24"/>
          <w:szCs w:val="24"/>
        </w:rPr>
      </w:pPr>
      <w:r w:rsidRPr="009F56AD">
        <w:rPr>
          <w:b/>
          <w:sz w:val="24"/>
          <w:szCs w:val="24"/>
        </w:rPr>
        <w:t>Pædiatriske patienter</w:t>
      </w:r>
    </w:p>
    <w:p w:rsidR="00947B7B" w:rsidRPr="009F56AD" w:rsidRDefault="00947B7B" w:rsidP="00947B7B">
      <w:pPr>
        <w:ind w:left="851"/>
        <w:rPr>
          <w:sz w:val="24"/>
          <w:szCs w:val="24"/>
        </w:rPr>
      </w:pPr>
      <w:r w:rsidRPr="009F56AD">
        <w:rPr>
          <w:sz w:val="24"/>
          <w:szCs w:val="24"/>
        </w:rPr>
        <w:t>Børn ser ud til at tolerere højere doser end voksne, og hvor dosisintervaller er angivet, skal børn have den højere dosis og voksne den lavere.</w:t>
      </w:r>
    </w:p>
    <w:p w:rsidR="00947B7B" w:rsidRPr="009F56AD" w:rsidRDefault="00947B7B" w:rsidP="00947B7B">
      <w:pPr>
        <w:ind w:left="851"/>
        <w:rPr>
          <w:sz w:val="24"/>
          <w:szCs w:val="24"/>
          <w:highlight w:val="yellow"/>
        </w:rPr>
      </w:pPr>
    </w:p>
    <w:p w:rsidR="00947B7B" w:rsidRPr="009F56AD" w:rsidRDefault="00947B7B" w:rsidP="00947B7B">
      <w:pPr>
        <w:ind w:left="851"/>
        <w:rPr>
          <w:rFonts w:eastAsia="Calibri"/>
          <w:b/>
          <w:bCs/>
          <w:sz w:val="24"/>
          <w:szCs w:val="24"/>
        </w:rPr>
      </w:pPr>
      <w:r w:rsidRPr="009F56AD">
        <w:rPr>
          <w:b/>
          <w:bCs/>
          <w:sz w:val="24"/>
          <w:szCs w:val="24"/>
        </w:rPr>
        <w:t>Patienter me</w:t>
      </w:r>
      <w:r>
        <w:rPr>
          <w:b/>
          <w:bCs/>
          <w:sz w:val="24"/>
          <w:szCs w:val="24"/>
        </w:rPr>
        <w:t>d nedsat lever- og nyrefunktion</w:t>
      </w:r>
    </w:p>
    <w:p w:rsidR="00947B7B" w:rsidRPr="009F56AD" w:rsidRDefault="00947B7B" w:rsidP="00947B7B">
      <w:pPr>
        <w:ind w:left="851"/>
        <w:rPr>
          <w:rFonts w:eastAsia="Calibri"/>
          <w:sz w:val="24"/>
          <w:szCs w:val="24"/>
        </w:rPr>
      </w:pPr>
      <w:r w:rsidRPr="009F56AD">
        <w:rPr>
          <w:sz w:val="24"/>
          <w:szCs w:val="24"/>
        </w:rPr>
        <w:t>Patienter med nedsat lever- eller nyrefunktion: Dosis skal reduceres.</w:t>
      </w:r>
    </w:p>
    <w:p w:rsidR="00947B7B" w:rsidRPr="009F56AD" w:rsidRDefault="00947B7B" w:rsidP="00947B7B">
      <w:pPr>
        <w:ind w:left="851"/>
        <w:rPr>
          <w:rFonts w:eastAsia="Calibri"/>
          <w:sz w:val="24"/>
          <w:szCs w:val="24"/>
        </w:rPr>
      </w:pPr>
    </w:p>
    <w:p w:rsidR="00947B7B" w:rsidRPr="009F56AD" w:rsidRDefault="00947B7B" w:rsidP="00947B7B">
      <w:pPr>
        <w:ind w:left="851"/>
        <w:rPr>
          <w:b/>
          <w:sz w:val="24"/>
          <w:szCs w:val="24"/>
          <w:lang w:eastAsia="en-GB"/>
        </w:rPr>
      </w:pPr>
      <w:proofErr w:type="spellStart"/>
      <w:r w:rsidRPr="009F56AD">
        <w:rPr>
          <w:sz w:val="24"/>
          <w:szCs w:val="24"/>
        </w:rPr>
        <w:t>Cytarabin</w:t>
      </w:r>
      <w:proofErr w:type="spellEnd"/>
      <w:r w:rsidRPr="009F56AD">
        <w:rPr>
          <w:sz w:val="24"/>
          <w:szCs w:val="24"/>
        </w:rPr>
        <w:t xml:space="preserve"> kan dialyseres. Derfor må </w:t>
      </w:r>
      <w:proofErr w:type="spellStart"/>
      <w:r w:rsidRPr="009F56AD">
        <w:rPr>
          <w:sz w:val="24"/>
          <w:szCs w:val="24"/>
        </w:rPr>
        <w:t>cytarabin</w:t>
      </w:r>
      <w:proofErr w:type="spellEnd"/>
      <w:r w:rsidRPr="009F56AD">
        <w:rPr>
          <w:sz w:val="24"/>
          <w:szCs w:val="24"/>
        </w:rPr>
        <w:t xml:space="preserve"> ikke indgives umiddelbart før eller efter en dialyse.</w:t>
      </w:r>
    </w:p>
    <w:p w:rsidR="00947B7B" w:rsidRPr="009F56AD" w:rsidRDefault="00947B7B" w:rsidP="00947B7B">
      <w:pPr>
        <w:ind w:left="851"/>
        <w:rPr>
          <w:b/>
          <w:sz w:val="24"/>
          <w:szCs w:val="24"/>
        </w:rPr>
      </w:pPr>
    </w:p>
    <w:p w:rsidR="00947B7B" w:rsidRPr="009F56AD" w:rsidRDefault="00947B7B" w:rsidP="00947B7B">
      <w:pPr>
        <w:ind w:left="851"/>
        <w:rPr>
          <w:rFonts w:eastAsia="Calibri"/>
          <w:sz w:val="24"/>
          <w:szCs w:val="24"/>
        </w:rPr>
      </w:pPr>
      <w:r w:rsidRPr="009F56AD">
        <w:rPr>
          <w:b/>
          <w:sz w:val="24"/>
          <w:szCs w:val="24"/>
        </w:rPr>
        <w:t>Ældre</w:t>
      </w:r>
    </w:p>
    <w:p w:rsidR="00947B7B" w:rsidRPr="009F56AD" w:rsidRDefault="00947B7B" w:rsidP="00947B7B">
      <w:pPr>
        <w:ind w:left="851"/>
        <w:rPr>
          <w:sz w:val="24"/>
          <w:szCs w:val="24"/>
        </w:rPr>
      </w:pPr>
      <w:r w:rsidRPr="009F56AD">
        <w:rPr>
          <w:sz w:val="24"/>
          <w:szCs w:val="24"/>
        </w:rPr>
        <w:t xml:space="preserve">Højdosisbehandling til patienter &gt; 60 år må kun administreres efter nøje vurdering af </w:t>
      </w:r>
      <w:proofErr w:type="spellStart"/>
      <w:r w:rsidRPr="009F56AD">
        <w:rPr>
          <w:sz w:val="24"/>
          <w:szCs w:val="24"/>
        </w:rPr>
        <w:t>risk</w:t>
      </w:r>
      <w:proofErr w:type="spellEnd"/>
      <w:r w:rsidRPr="009F56AD">
        <w:rPr>
          <w:sz w:val="24"/>
          <w:szCs w:val="24"/>
        </w:rPr>
        <w:t>/benefit. Der er ingen oplysninger, der tyder på, at en ændring af dosis er nødvendig hos ældre patienter. Ikke desto mindre tolererer den ældre patient ikke lægemiddel</w:t>
      </w:r>
      <w:r>
        <w:rPr>
          <w:sz w:val="24"/>
          <w:szCs w:val="24"/>
        </w:rPr>
        <w:softHyphen/>
      </w:r>
      <w:r w:rsidRPr="009F56AD">
        <w:rPr>
          <w:sz w:val="24"/>
          <w:szCs w:val="24"/>
        </w:rPr>
        <w:t xml:space="preserve">toksicitet så godt som den yngre patient, og der bør derfor gives særlig opmærksomhed til lægemiddelinduceret </w:t>
      </w:r>
      <w:proofErr w:type="spellStart"/>
      <w:r w:rsidRPr="009F56AD">
        <w:rPr>
          <w:sz w:val="24"/>
          <w:szCs w:val="24"/>
        </w:rPr>
        <w:t>leukopeni</w:t>
      </w:r>
      <w:proofErr w:type="spellEnd"/>
      <w:r w:rsidRPr="009F56AD">
        <w:rPr>
          <w:sz w:val="24"/>
          <w:szCs w:val="24"/>
        </w:rPr>
        <w:t xml:space="preserve">, </w:t>
      </w:r>
      <w:proofErr w:type="spellStart"/>
      <w:r w:rsidRPr="009F56AD">
        <w:rPr>
          <w:sz w:val="24"/>
          <w:szCs w:val="24"/>
        </w:rPr>
        <w:t>trombocytopeni</w:t>
      </w:r>
      <w:proofErr w:type="spellEnd"/>
      <w:r w:rsidRPr="009F56AD">
        <w:rPr>
          <w:sz w:val="24"/>
          <w:szCs w:val="24"/>
        </w:rPr>
        <w:t xml:space="preserve"> og anæmi med passende initiation af støttende terapi, når det er angivet.</w:t>
      </w:r>
    </w:p>
    <w:p w:rsidR="00947B7B" w:rsidRPr="009F56AD" w:rsidRDefault="00947B7B" w:rsidP="00947B7B">
      <w:pPr>
        <w:ind w:left="851"/>
        <w:rPr>
          <w:b/>
          <w:sz w:val="24"/>
          <w:szCs w:val="24"/>
        </w:rPr>
      </w:pPr>
    </w:p>
    <w:p w:rsidR="00947B7B" w:rsidRPr="009F56AD" w:rsidRDefault="00947B7B" w:rsidP="00947B7B">
      <w:pPr>
        <w:ind w:left="851"/>
        <w:rPr>
          <w:b/>
          <w:sz w:val="24"/>
          <w:szCs w:val="24"/>
        </w:rPr>
      </w:pPr>
      <w:r>
        <w:rPr>
          <w:b/>
          <w:sz w:val="24"/>
          <w:szCs w:val="24"/>
        </w:rPr>
        <w:t>Administration</w:t>
      </w:r>
    </w:p>
    <w:p w:rsidR="00947B7B" w:rsidRPr="009F56AD" w:rsidRDefault="00947B7B" w:rsidP="00947B7B">
      <w:pPr>
        <w:ind w:left="851"/>
        <w:rPr>
          <w:sz w:val="24"/>
          <w:szCs w:val="24"/>
          <w:highlight w:val="yellow"/>
        </w:rPr>
      </w:pPr>
      <w:r w:rsidRPr="009F56AD">
        <w:rPr>
          <w:sz w:val="24"/>
          <w:szCs w:val="24"/>
        </w:rPr>
        <w:t>For instruktioner om fortynding af lægemidlet før administration se pkt. 6.6.</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4.3</w:t>
      </w:r>
      <w:r w:rsidRPr="009F56AD">
        <w:rPr>
          <w:b/>
          <w:sz w:val="24"/>
          <w:szCs w:val="24"/>
        </w:rPr>
        <w:tab/>
        <w:t>Kontraindikationer</w:t>
      </w:r>
    </w:p>
    <w:p w:rsidR="00947B7B" w:rsidRPr="009F56AD" w:rsidRDefault="003052EF" w:rsidP="00947B7B">
      <w:pPr>
        <w:ind w:left="851"/>
        <w:rPr>
          <w:sz w:val="24"/>
          <w:szCs w:val="24"/>
          <w:lang w:eastAsia="en-GB"/>
        </w:rPr>
      </w:pPr>
      <w:r>
        <w:rPr>
          <w:sz w:val="24"/>
          <w:szCs w:val="24"/>
        </w:rPr>
        <w:t>O</w:t>
      </w:r>
      <w:r w:rsidR="00947B7B" w:rsidRPr="009F56AD">
        <w:rPr>
          <w:sz w:val="24"/>
          <w:szCs w:val="24"/>
        </w:rPr>
        <w:t xml:space="preserve">verfølsomhed over for </w:t>
      </w:r>
      <w:proofErr w:type="spellStart"/>
      <w:r w:rsidR="00947B7B" w:rsidRPr="009F56AD">
        <w:rPr>
          <w:sz w:val="24"/>
          <w:szCs w:val="24"/>
        </w:rPr>
        <w:t>cytarabin</w:t>
      </w:r>
      <w:proofErr w:type="spellEnd"/>
      <w:r w:rsidR="00947B7B" w:rsidRPr="009F56AD">
        <w:rPr>
          <w:sz w:val="24"/>
          <w:szCs w:val="24"/>
        </w:rPr>
        <w:t xml:space="preserve"> eller over for et eller flere af hjælpestofferne anført i pkt. 6.1. </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rPr>
      </w:pPr>
      <w:r w:rsidRPr="009F56AD">
        <w:rPr>
          <w:sz w:val="24"/>
          <w:szCs w:val="24"/>
        </w:rPr>
        <w:t xml:space="preserve">Anæmi, </w:t>
      </w:r>
      <w:proofErr w:type="spellStart"/>
      <w:r w:rsidRPr="009F56AD">
        <w:rPr>
          <w:sz w:val="24"/>
          <w:szCs w:val="24"/>
        </w:rPr>
        <w:t>leukopeni</w:t>
      </w:r>
      <w:proofErr w:type="spellEnd"/>
      <w:r w:rsidRPr="009F56AD">
        <w:rPr>
          <w:sz w:val="24"/>
          <w:szCs w:val="24"/>
        </w:rPr>
        <w:t xml:space="preserve"> og </w:t>
      </w:r>
      <w:proofErr w:type="spellStart"/>
      <w:r w:rsidRPr="009F56AD">
        <w:rPr>
          <w:sz w:val="24"/>
          <w:szCs w:val="24"/>
        </w:rPr>
        <w:t>thrombocytopeni</w:t>
      </w:r>
      <w:proofErr w:type="spellEnd"/>
      <w:r w:rsidRPr="009F56AD">
        <w:rPr>
          <w:sz w:val="24"/>
          <w:szCs w:val="24"/>
        </w:rPr>
        <w:t xml:space="preserve"> af non-malign ætiologi (f.eks. knoglemarvs-</w:t>
      </w:r>
      <w:proofErr w:type="spellStart"/>
      <w:r w:rsidRPr="009F56AD">
        <w:rPr>
          <w:sz w:val="24"/>
          <w:szCs w:val="24"/>
        </w:rPr>
        <w:t>aplasi</w:t>
      </w:r>
      <w:proofErr w:type="spellEnd"/>
      <w:r w:rsidRPr="009F56AD">
        <w:rPr>
          <w:sz w:val="24"/>
          <w:szCs w:val="24"/>
        </w:rPr>
        <w:t>), medmindre fordelene opvejer risikoen.</w:t>
      </w:r>
    </w:p>
    <w:p w:rsidR="00947B7B" w:rsidRPr="009F56AD" w:rsidRDefault="00947B7B" w:rsidP="00947B7B">
      <w:pPr>
        <w:ind w:left="851"/>
        <w:rPr>
          <w:sz w:val="24"/>
          <w:szCs w:val="24"/>
          <w:highlight w:val="yellow"/>
        </w:rPr>
      </w:pPr>
      <w:r w:rsidRPr="009F56AD">
        <w:rPr>
          <w:sz w:val="24"/>
          <w:szCs w:val="24"/>
          <w:highlight w:val="yellow"/>
        </w:rPr>
        <w:t xml:space="preserve"> </w:t>
      </w:r>
    </w:p>
    <w:p w:rsidR="00947B7B" w:rsidRPr="009F56AD" w:rsidRDefault="00947B7B" w:rsidP="00947B7B">
      <w:pPr>
        <w:ind w:left="851"/>
        <w:rPr>
          <w:sz w:val="24"/>
          <w:szCs w:val="24"/>
        </w:rPr>
      </w:pPr>
      <w:r w:rsidRPr="009F56AD">
        <w:rPr>
          <w:sz w:val="24"/>
          <w:szCs w:val="24"/>
        </w:rPr>
        <w:t xml:space="preserve">Degenerativ og toksisk </w:t>
      </w:r>
      <w:proofErr w:type="spellStart"/>
      <w:r w:rsidRPr="009F56AD">
        <w:rPr>
          <w:sz w:val="24"/>
          <w:szCs w:val="24"/>
        </w:rPr>
        <w:t>encephalopati</w:t>
      </w:r>
      <w:proofErr w:type="spellEnd"/>
      <w:r w:rsidRPr="009F56AD">
        <w:rPr>
          <w:sz w:val="24"/>
          <w:szCs w:val="24"/>
        </w:rPr>
        <w:t xml:space="preserve">, især efter brug af </w:t>
      </w:r>
      <w:proofErr w:type="spellStart"/>
      <w:r w:rsidRPr="009F56AD">
        <w:rPr>
          <w:sz w:val="24"/>
          <w:szCs w:val="24"/>
        </w:rPr>
        <w:t>methotrexat</w:t>
      </w:r>
      <w:proofErr w:type="spellEnd"/>
      <w:r w:rsidRPr="009F56AD">
        <w:rPr>
          <w:sz w:val="24"/>
          <w:szCs w:val="24"/>
        </w:rPr>
        <w:t xml:space="preserve"> eller behandling med ioniserende stråling.</w:t>
      </w:r>
    </w:p>
    <w:p w:rsidR="00947B7B" w:rsidRPr="009F56AD" w:rsidRDefault="00947B7B" w:rsidP="00947B7B">
      <w:pPr>
        <w:ind w:left="851"/>
        <w:rPr>
          <w:sz w:val="24"/>
          <w:szCs w:val="24"/>
          <w:highlight w:val="yellow"/>
        </w:rPr>
      </w:pPr>
      <w:r w:rsidRPr="009F56AD">
        <w:rPr>
          <w:sz w:val="24"/>
          <w:szCs w:val="24"/>
          <w:highlight w:val="yellow"/>
        </w:rPr>
        <w:t xml:space="preserve"> </w:t>
      </w:r>
    </w:p>
    <w:p w:rsidR="00947B7B" w:rsidRPr="009F56AD" w:rsidRDefault="00947B7B" w:rsidP="00947B7B">
      <w:pPr>
        <w:ind w:left="851"/>
        <w:rPr>
          <w:sz w:val="24"/>
          <w:szCs w:val="24"/>
        </w:rPr>
      </w:pPr>
      <w:r w:rsidRPr="009F56AD">
        <w:rPr>
          <w:sz w:val="24"/>
          <w:szCs w:val="24"/>
        </w:rPr>
        <w:t xml:space="preserve">Under graviditet bør </w:t>
      </w:r>
      <w:proofErr w:type="spellStart"/>
      <w:r w:rsidRPr="009F56AD">
        <w:rPr>
          <w:sz w:val="24"/>
          <w:szCs w:val="24"/>
        </w:rPr>
        <w:t>cytarabin</w:t>
      </w:r>
      <w:proofErr w:type="spellEnd"/>
      <w:r w:rsidRPr="009F56AD">
        <w:rPr>
          <w:sz w:val="24"/>
          <w:szCs w:val="24"/>
        </w:rPr>
        <w:t xml:space="preserve"> kun administreres under streng indikation, hvor fordelene ved lægemidlet til moderen skal opvejes mod mulige farer for fosteret (se pkt. 4.6).</w:t>
      </w:r>
    </w:p>
    <w:p w:rsidR="00947B7B" w:rsidRPr="009F56AD" w:rsidRDefault="00947B7B" w:rsidP="00947B7B">
      <w:pPr>
        <w:tabs>
          <w:tab w:val="left" w:pos="851"/>
        </w:tabs>
        <w:ind w:left="851" w:hanging="851"/>
        <w:rPr>
          <w:sz w:val="24"/>
          <w:szCs w:val="24"/>
        </w:rPr>
      </w:pPr>
    </w:p>
    <w:p w:rsidR="00947B7B" w:rsidRPr="003052EF" w:rsidRDefault="00947B7B" w:rsidP="003052EF">
      <w:pPr>
        <w:tabs>
          <w:tab w:val="left" w:pos="851"/>
        </w:tabs>
        <w:ind w:left="851" w:hanging="851"/>
        <w:rPr>
          <w:b/>
          <w:sz w:val="24"/>
          <w:szCs w:val="24"/>
        </w:rPr>
      </w:pPr>
      <w:r w:rsidRPr="009F56AD">
        <w:rPr>
          <w:b/>
          <w:sz w:val="24"/>
          <w:szCs w:val="24"/>
        </w:rPr>
        <w:t>4.4</w:t>
      </w:r>
      <w:r w:rsidRPr="009F56AD">
        <w:rPr>
          <w:b/>
          <w:sz w:val="24"/>
          <w:szCs w:val="24"/>
        </w:rPr>
        <w:tab/>
        <w:t>Særlige advarsler og forsigtighedsregler vedrørende brugen</w:t>
      </w:r>
      <w:r w:rsidRPr="009F56AD">
        <w:rPr>
          <w:sz w:val="24"/>
          <w:szCs w:val="24"/>
        </w:rPr>
        <w:t xml:space="preserve">   </w:t>
      </w:r>
    </w:p>
    <w:p w:rsidR="00947B7B" w:rsidRPr="009F56AD" w:rsidRDefault="00947B7B" w:rsidP="00947B7B">
      <w:pPr>
        <w:ind w:left="851"/>
        <w:rPr>
          <w:b/>
          <w:sz w:val="24"/>
          <w:szCs w:val="24"/>
        </w:rPr>
      </w:pPr>
      <w:r w:rsidRPr="009F56AD">
        <w:rPr>
          <w:sz w:val="24"/>
          <w:szCs w:val="24"/>
        </w:rPr>
        <w:t xml:space="preserve">Kun læger med erfaring i kræftkemoterapi bør anvende </w:t>
      </w:r>
      <w:proofErr w:type="spellStart"/>
      <w:r w:rsidRPr="009F56AD">
        <w:rPr>
          <w:sz w:val="24"/>
          <w:szCs w:val="24"/>
        </w:rPr>
        <w:t>cytarabin</w:t>
      </w:r>
      <w:proofErr w:type="spellEnd"/>
      <w:r w:rsidRPr="009F56AD">
        <w:rPr>
          <w:sz w:val="24"/>
          <w:szCs w:val="24"/>
        </w:rPr>
        <w:t>.</w:t>
      </w:r>
    </w:p>
    <w:p w:rsidR="003052EF" w:rsidRDefault="003052EF" w:rsidP="003052EF">
      <w:pPr>
        <w:ind w:left="851"/>
        <w:rPr>
          <w:sz w:val="24"/>
          <w:szCs w:val="24"/>
        </w:rPr>
      </w:pPr>
    </w:p>
    <w:p w:rsidR="003052EF" w:rsidRDefault="003052EF" w:rsidP="003052EF">
      <w:pPr>
        <w:ind w:left="851"/>
        <w:rPr>
          <w:sz w:val="24"/>
          <w:szCs w:val="24"/>
        </w:rPr>
      </w:pPr>
      <w:proofErr w:type="spellStart"/>
      <w:r>
        <w:rPr>
          <w:sz w:val="24"/>
          <w:szCs w:val="24"/>
        </w:rPr>
        <w:t>Cytarabin</w:t>
      </w:r>
      <w:proofErr w:type="spellEnd"/>
      <w:r>
        <w:rPr>
          <w:sz w:val="24"/>
          <w:szCs w:val="24"/>
        </w:rPr>
        <w:t xml:space="preserve"> må kun anvendes med stor forsigtighed til patienter, som for nylig har fået strålebehandling eller andre </w:t>
      </w:r>
      <w:proofErr w:type="spellStart"/>
      <w:r>
        <w:rPr>
          <w:sz w:val="24"/>
          <w:szCs w:val="24"/>
        </w:rPr>
        <w:t>cytotoksiske</w:t>
      </w:r>
      <w:proofErr w:type="spellEnd"/>
      <w:r>
        <w:rPr>
          <w:sz w:val="24"/>
          <w:szCs w:val="24"/>
        </w:rPr>
        <w:t xml:space="preserve"> stoffer.</w:t>
      </w:r>
    </w:p>
    <w:p w:rsidR="003052EF" w:rsidRDefault="003052EF" w:rsidP="003052EF">
      <w:pPr>
        <w:ind w:left="851"/>
        <w:rPr>
          <w:sz w:val="24"/>
          <w:szCs w:val="24"/>
        </w:rPr>
      </w:pPr>
    </w:p>
    <w:p w:rsidR="003052EF" w:rsidRDefault="003052EF" w:rsidP="003052EF">
      <w:pPr>
        <w:ind w:left="851"/>
        <w:rPr>
          <w:sz w:val="24"/>
          <w:szCs w:val="24"/>
        </w:rPr>
      </w:pPr>
      <w:proofErr w:type="spellStart"/>
      <w:r>
        <w:rPr>
          <w:sz w:val="24"/>
          <w:szCs w:val="24"/>
        </w:rPr>
        <w:t>Cytarabin</w:t>
      </w:r>
      <w:proofErr w:type="spellEnd"/>
      <w:r>
        <w:rPr>
          <w:sz w:val="24"/>
          <w:szCs w:val="24"/>
        </w:rPr>
        <w:t xml:space="preserve"> må kun anvendes med forsigtighed i henhold til anvisningerne fra en onkolog, som har faciliteterne til regelmæssig monitorering af kliniske, biokemiske og hæmatologiske virkninger under og efter administration.</w:t>
      </w:r>
    </w:p>
    <w:p w:rsidR="00947B7B" w:rsidRPr="009F56AD" w:rsidRDefault="00947B7B" w:rsidP="003052EF">
      <w:pPr>
        <w:rPr>
          <w:sz w:val="24"/>
          <w:szCs w:val="24"/>
          <w:highlight w:val="yellow"/>
        </w:rPr>
      </w:pPr>
    </w:p>
    <w:p w:rsidR="003052EF" w:rsidRDefault="003052EF" w:rsidP="003052EF">
      <w:pPr>
        <w:ind w:left="851"/>
        <w:rPr>
          <w:sz w:val="24"/>
          <w:szCs w:val="24"/>
        </w:rPr>
      </w:pPr>
      <w:proofErr w:type="spellStart"/>
      <w:r>
        <w:rPr>
          <w:sz w:val="24"/>
          <w:szCs w:val="24"/>
        </w:rPr>
        <w:t>Cytarabin</w:t>
      </w:r>
      <w:proofErr w:type="spellEnd"/>
      <w:r>
        <w:rPr>
          <w:sz w:val="24"/>
          <w:szCs w:val="24"/>
        </w:rPr>
        <w:t xml:space="preserve"> er en kraftig </w:t>
      </w:r>
      <w:proofErr w:type="spellStart"/>
      <w:r>
        <w:rPr>
          <w:sz w:val="24"/>
          <w:szCs w:val="24"/>
        </w:rPr>
        <w:t>knoglemarvssuppressant</w:t>
      </w:r>
      <w:proofErr w:type="spellEnd"/>
      <w:r>
        <w:rPr>
          <w:sz w:val="24"/>
          <w:szCs w:val="24"/>
        </w:rPr>
        <w:t xml:space="preserve">; sværhedsgraden afhænger af lægemidlets dosis og tidsplan for administration. Hos patienter med kendt lægemiddelinduceret knoglemarvssuppression bør behandlingen initieres forsigtigt. Patienter i behandling med dette lægemiddel skal monitoreres tæt og under induktionsterapi bør der foretages daglige undersøgelser af </w:t>
      </w:r>
      <w:proofErr w:type="spellStart"/>
      <w:r>
        <w:rPr>
          <w:sz w:val="24"/>
          <w:szCs w:val="24"/>
        </w:rPr>
        <w:t>leucocyt</w:t>
      </w:r>
      <w:proofErr w:type="spellEnd"/>
      <w:r>
        <w:rPr>
          <w:sz w:val="24"/>
          <w:szCs w:val="24"/>
        </w:rPr>
        <w:t xml:space="preserve">- og </w:t>
      </w:r>
      <w:proofErr w:type="spellStart"/>
      <w:r>
        <w:rPr>
          <w:sz w:val="24"/>
          <w:szCs w:val="24"/>
        </w:rPr>
        <w:t>trombocyttal</w:t>
      </w:r>
      <w:proofErr w:type="spellEnd"/>
      <w:r>
        <w:rPr>
          <w:sz w:val="24"/>
          <w:szCs w:val="24"/>
        </w:rPr>
        <w:t xml:space="preserve">. Regelmæssig undersøgelse af knoglemarven bør foretages efter at </w:t>
      </w:r>
      <w:proofErr w:type="spellStart"/>
      <w:r>
        <w:rPr>
          <w:sz w:val="24"/>
          <w:szCs w:val="24"/>
        </w:rPr>
        <w:t>blastceller</w:t>
      </w:r>
      <w:proofErr w:type="spellEnd"/>
      <w:r>
        <w:rPr>
          <w:sz w:val="24"/>
          <w:szCs w:val="24"/>
        </w:rPr>
        <w:t xml:space="preserve"> er fjernet fra det perifere blod. Der skal være faciliteter til rådighed som muliggør indgriben i tilfælde af komplikationer, der kan være dødelig knoglemarvssuppression (infektion, der stammer fra </w:t>
      </w:r>
      <w:proofErr w:type="spellStart"/>
      <w:r>
        <w:rPr>
          <w:sz w:val="24"/>
          <w:szCs w:val="24"/>
        </w:rPr>
        <w:t>granulocytopeni</w:t>
      </w:r>
      <w:proofErr w:type="spellEnd"/>
      <w:r>
        <w:rPr>
          <w:sz w:val="24"/>
          <w:szCs w:val="24"/>
        </w:rPr>
        <w:t xml:space="preserve"> og på anden måde svækket immunforsvar samt blødning pga. </w:t>
      </w:r>
      <w:proofErr w:type="spellStart"/>
      <w:r>
        <w:rPr>
          <w:sz w:val="24"/>
          <w:szCs w:val="24"/>
        </w:rPr>
        <w:t>trombocytopeni</w:t>
      </w:r>
      <w:proofErr w:type="spellEnd"/>
      <w:r>
        <w:rPr>
          <w:sz w:val="24"/>
          <w:szCs w:val="24"/>
        </w:rPr>
        <w:t>).</w:t>
      </w:r>
    </w:p>
    <w:p w:rsidR="003052EF" w:rsidRDefault="003052EF" w:rsidP="003052EF">
      <w:pPr>
        <w:ind w:left="851"/>
        <w:rPr>
          <w:sz w:val="24"/>
          <w:szCs w:val="24"/>
        </w:rPr>
      </w:pPr>
    </w:p>
    <w:p w:rsidR="00947B7B" w:rsidRDefault="003052EF" w:rsidP="003052EF">
      <w:pPr>
        <w:ind w:left="851"/>
        <w:rPr>
          <w:sz w:val="24"/>
          <w:szCs w:val="24"/>
        </w:rPr>
      </w:pPr>
      <w:r>
        <w:rPr>
          <w:sz w:val="24"/>
          <w:szCs w:val="24"/>
        </w:rPr>
        <w:t xml:space="preserve">Patienter, som får </w:t>
      </w:r>
      <w:proofErr w:type="spellStart"/>
      <w:r>
        <w:rPr>
          <w:sz w:val="24"/>
          <w:szCs w:val="24"/>
        </w:rPr>
        <w:t>cytarabin</w:t>
      </w:r>
      <w:proofErr w:type="spellEnd"/>
      <w:r>
        <w:rPr>
          <w:sz w:val="24"/>
          <w:szCs w:val="24"/>
        </w:rPr>
        <w:t xml:space="preserve">, skal monitoreres tæt. Der skal udføres hyppige </w:t>
      </w:r>
      <w:proofErr w:type="spellStart"/>
      <w:r>
        <w:rPr>
          <w:sz w:val="24"/>
          <w:szCs w:val="24"/>
        </w:rPr>
        <w:t>trombocyt</w:t>
      </w:r>
      <w:proofErr w:type="spellEnd"/>
      <w:r>
        <w:rPr>
          <w:sz w:val="24"/>
          <w:szCs w:val="24"/>
        </w:rPr>
        <w:t>- og leukocyttællinger. Behandlingen bør suspenderes eller modificeres, når lægemiddel-induceret marvdepression har resulteret i et blodpladetal på under 50.000 eller et polymorfkernetal på under 1000/mm</w:t>
      </w:r>
      <w:r>
        <w:rPr>
          <w:sz w:val="24"/>
          <w:szCs w:val="24"/>
          <w:vertAlign w:val="superscript"/>
        </w:rPr>
        <w:t>3</w:t>
      </w:r>
      <w:r>
        <w:rPr>
          <w:sz w:val="24"/>
          <w:szCs w:val="24"/>
        </w:rPr>
        <w:t>. Tællinger af blodlegemer i det perifere blod kan fortsætte med at falde efter ophør med lægemiddelstoffet og når de laveste værdier efter en lægemiddelfri periode på 12 til 24 dage. Hvis det er indiceret, kan behandlingen genoptages, når der er klare tegn på bedring af knoglemarven (vurderes efter undersøgelser af knoglemarven). Hos patienter, som først får lægemidlet, når de perifere blodværdier er "normale", kan sygdommen komme ud af kontrol.</w:t>
      </w:r>
    </w:p>
    <w:p w:rsidR="003052EF" w:rsidRPr="009F56AD" w:rsidRDefault="003052EF" w:rsidP="003052EF">
      <w:pPr>
        <w:ind w:left="851"/>
        <w:rPr>
          <w:sz w:val="24"/>
          <w:szCs w:val="24"/>
        </w:rPr>
      </w:pPr>
    </w:p>
    <w:p w:rsidR="00947B7B" w:rsidRPr="009F56AD" w:rsidRDefault="00947B7B" w:rsidP="00947B7B">
      <w:pPr>
        <w:ind w:left="851"/>
        <w:rPr>
          <w:sz w:val="24"/>
          <w:szCs w:val="24"/>
        </w:rPr>
      </w:pPr>
      <w:r w:rsidRPr="009F56AD">
        <w:rPr>
          <w:sz w:val="24"/>
          <w:szCs w:val="24"/>
        </w:rPr>
        <w:t>Efter 5 dages konstante infusioner eller akutte injektioner med 50 mg/m</w:t>
      </w:r>
      <w:r w:rsidRPr="009F56AD">
        <w:rPr>
          <w:sz w:val="24"/>
          <w:szCs w:val="24"/>
          <w:vertAlign w:val="superscript"/>
        </w:rPr>
        <w:t>2</w:t>
      </w:r>
      <w:r w:rsidRPr="009F56AD">
        <w:rPr>
          <w:sz w:val="24"/>
          <w:szCs w:val="24"/>
        </w:rPr>
        <w:t xml:space="preserve"> til 600 mg/m</w:t>
      </w:r>
      <w:r w:rsidRPr="009F56AD">
        <w:rPr>
          <w:sz w:val="24"/>
          <w:szCs w:val="24"/>
          <w:vertAlign w:val="superscript"/>
        </w:rPr>
        <w:t>2</w:t>
      </w:r>
      <w:r w:rsidRPr="009F56AD">
        <w:rPr>
          <w:sz w:val="24"/>
          <w:szCs w:val="24"/>
        </w:rPr>
        <w:t xml:space="preserve"> følger hæmningen af hvide blodlegemer et </w:t>
      </w:r>
      <w:proofErr w:type="spellStart"/>
      <w:r w:rsidRPr="009F56AD">
        <w:rPr>
          <w:sz w:val="24"/>
          <w:szCs w:val="24"/>
        </w:rPr>
        <w:t>bifasisk</w:t>
      </w:r>
      <w:proofErr w:type="spellEnd"/>
      <w:r w:rsidRPr="009F56AD">
        <w:rPr>
          <w:sz w:val="24"/>
          <w:szCs w:val="24"/>
        </w:rPr>
        <w:t xml:space="preserve"> forløb. Uanset udgangsniveau, dosis eller doseringsskema ses et fald, der starter inden for de første 24 timer med nadir ved dag 7-9. Dette efterfølges af en kortvarig stigning, der topper omkring dag 12. Et andet og dybere fald når nadir ved dag 15-24. Derefter er der en hurtig stigning til over baseline i de efterfølgende 10 dage. Hæmningen af </w:t>
      </w:r>
      <w:proofErr w:type="spellStart"/>
      <w:r w:rsidRPr="009F56AD">
        <w:rPr>
          <w:sz w:val="24"/>
          <w:szCs w:val="24"/>
        </w:rPr>
        <w:t>trombocytter</w:t>
      </w:r>
      <w:proofErr w:type="spellEnd"/>
      <w:r w:rsidRPr="009F56AD">
        <w:rPr>
          <w:sz w:val="24"/>
          <w:szCs w:val="24"/>
        </w:rPr>
        <w:t xml:space="preserve"> ses efter 5 dage med den største hæmning mellem dag 12 og 15. Derefter ses en hurtig stigning til over baseline de efterfølgende 10 dage.</w:t>
      </w:r>
    </w:p>
    <w:p w:rsidR="00947B7B" w:rsidRPr="009F56AD" w:rsidRDefault="00947B7B" w:rsidP="00947B7B">
      <w:pPr>
        <w:ind w:left="851"/>
        <w:rPr>
          <w:sz w:val="24"/>
          <w:szCs w:val="24"/>
        </w:rPr>
      </w:pPr>
    </w:p>
    <w:p w:rsidR="00947B7B" w:rsidRPr="009F56AD" w:rsidRDefault="00947B7B" w:rsidP="00947B7B">
      <w:pPr>
        <w:ind w:left="851"/>
        <w:rPr>
          <w:sz w:val="24"/>
          <w:szCs w:val="24"/>
        </w:rPr>
      </w:pPr>
      <w:r w:rsidRPr="009F56AD">
        <w:rPr>
          <w:sz w:val="24"/>
          <w:szCs w:val="24"/>
        </w:rPr>
        <w:t xml:space="preserve">Der er forekommet </w:t>
      </w:r>
      <w:proofErr w:type="spellStart"/>
      <w:r w:rsidRPr="009F56AD">
        <w:rPr>
          <w:sz w:val="24"/>
          <w:szCs w:val="24"/>
        </w:rPr>
        <w:t>anafylaktiske</w:t>
      </w:r>
      <w:proofErr w:type="spellEnd"/>
      <w:r w:rsidRPr="009F56AD">
        <w:rPr>
          <w:sz w:val="24"/>
          <w:szCs w:val="24"/>
        </w:rPr>
        <w:t xml:space="preserve"> reaktioner efter administration af </w:t>
      </w:r>
      <w:proofErr w:type="spellStart"/>
      <w:r w:rsidRPr="009F56AD">
        <w:rPr>
          <w:sz w:val="24"/>
          <w:szCs w:val="24"/>
        </w:rPr>
        <w:t>cytarabin</w:t>
      </w:r>
      <w:proofErr w:type="spellEnd"/>
      <w:r w:rsidRPr="009F56AD">
        <w:rPr>
          <w:sz w:val="24"/>
          <w:szCs w:val="24"/>
        </w:rPr>
        <w:t xml:space="preserve">. Der er indberettet et tilfælde af anafylaksi, som har resulteret i akut </w:t>
      </w:r>
      <w:proofErr w:type="spellStart"/>
      <w:r w:rsidRPr="009F56AD">
        <w:rPr>
          <w:sz w:val="24"/>
          <w:szCs w:val="24"/>
        </w:rPr>
        <w:t>kardiopulmonært</w:t>
      </w:r>
      <w:proofErr w:type="spellEnd"/>
      <w:r w:rsidRPr="009F56AD">
        <w:rPr>
          <w:sz w:val="24"/>
          <w:szCs w:val="24"/>
        </w:rPr>
        <w:t xml:space="preserve"> stop og påkrævet genoplivning. Dette forekom umiddelbart efter den intravenøse administration af </w:t>
      </w:r>
      <w:proofErr w:type="spellStart"/>
      <w:r w:rsidRPr="009F56AD">
        <w:rPr>
          <w:sz w:val="24"/>
          <w:szCs w:val="24"/>
        </w:rPr>
        <w:t>cytarabin</w:t>
      </w:r>
      <w:proofErr w:type="spellEnd"/>
      <w:r w:rsidRPr="009F56AD">
        <w:rPr>
          <w:sz w:val="24"/>
          <w:szCs w:val="24"/>
        </w:rPr>
        <w:t>.</w:t>
      </w:r>
    </w:p>
    <w:p w:rsidR="00947B7B" w:rsidRDefault="00947B7B" w:rsidP="00947B7B">
      <w:pPr>
        <w:ind w:left="851"/>
        <w:rPr>
          <w:sz w:val="24"/>
          <w:szCs w:val="24"/>
        </w:rPr>
      </w:pPr>
    </w:p>
    <w:p w:rsidR="003052EF" w:rsidRDefault="003052EF" w:rsidP="003052EF">
      <w:pPr>
        <w:ind w:left="851"/>
        <w:rPr>
          <w:sz w:val="24"/>
          <w:szCs w:val="24"/>
        </w:rPr>
      </w:pPr>
      <w:r>
        <w:rPr>
          <w:sz w:val="24"/>
          <w:szCs w:val="24"/>
        </w:rPr>
        <w:t xml:space="preserve">Periodiske kontroller af knoglemarv samt lever- og nyrefunktion bør foretages hos patienter, som får </w:t>
      </w:r>
      <w:proofErr w:type="spellStart"/>
      <w:r>
        <w:rPr>
          <w:sz w:val="24"/>
          <w:szCs w:val="24"/>
        </w:rPr>
        <w:t>cytarabin</w:t>
      </w:r>
      <w:proofErr w:type="spellEnd"/>
      <w:r>
        <w:rPr>
          <w:sz w:val="24"/>
          <w:szCs w:val="24"/>
        </w:rPr>
        <w:t>.</w:t>
      </w:r>
    </w:p>
    <w:p w:rsidR="003052EF" w:rsidRDefault="003052EF" w:rsidP="003052EF">
      <w:pPr>
        <w:ind w:left="851"/>
        <w:rPr>
          <w:sz w:val="24"/>
          <w:szCs w:val="24"/>
        </w:rPr>
      </w:pPr>
    </w:p>
    <w:p w:rsidR="003052EF" w:rsidRDefault="003052EF" w:rsidP="003052EF">
      <w:pPr>
        <w:ind w:left="851"/>
        <w:rPr>
          <w:sz w:val="24"/>
          <w:szCs w:val="24"/>
        </w:rPr>
      </w:pPr>
      <w:r>
        <w:rPr>
          <w:sz w:val="24"/>
          <w:szCs w:val="24"/>
        </w:rPr>
        <w:t xml:space="preserve">Den menneskelige lever afgifter tilsyneladende en væsentlig del af en indgivet dosis </w:t>
      </w:r>
      <w:proofErr w:type="spellStart"/>
      <w:r>
        <w:rPr>
          <w:sz w:val="24"/>
          <w:szCs w:val="24"/>
        </w:rPr>
        <w:t>cytarabin</w:t>
      </w:r>
      <w:proofErr w:type="spellEnd"/>
      <w:r>
        <w:rPr>
          <w:sz w:val="24"/>
          <w:szCs w:val="24"/>
        </w:rPr>
        <w:t xml:space="preserve">. Især patienter med nedsat nyre- eller leverfunktion kan have en højere risiko for CNS-toksicitet efter højdosisbehandling med </w:t>
      </w:r>
      <w:proofErr w:type="spellStart"/>
      <w:r>
        <w:rPr>
          <w:sz w:val="24"/>
          <w:szCs w:val="24"/>
        </w:rPr>
        <w:t>cytarabin</w:t>
      </w:r>
      <w:proofErr w:type="spellEnd"/>
      <w:r>
        <w:rPr>
          <w:sz w:val="24"/>
          <w:szCs w:val="24"/>
        </w:rPr>
        <w:t xml:space="preserve">. Brug lægemidlet med forsigtighed </w:t>
      </w:r>
      <w:r>
        <w:rPr>
          <w:sz w:val="24"/>
          <w:szCs w:val="24"/>
        </w:rPr>
        <w:lastRenderedPageBreak/>
        <w:t>og med nedsat dosis til patienter, hvis leverfunktion er dårlig. Det synes imidlertid ikke nødvendigt at reducere dosis hos patienter med nedsat nyrefunktion.</w:t>
      </w:r>
    </w:p>
    <w:p w:rsidR="003052EF" w:rsidRDefault="003052EF" w:rsidP="003052EF">
      <w:pPr>
        <w:ind w:left="851"/>
        <w:rPr>
          <w:sz w:val="24"/>
          <w:szCs w:val="24"/>
        </w:rPr>
      </w:pPr>
    </w:p>
    <w:p w:rsidR="003052EF" w:rsidRDefault="003052EF" w:rsidP="003052EF">
      <w:pPr>
        <w:ind w:left="851"/>
        <w:rPr>
          <w:sz w:val="24"/>
          <w:szCs w:val="24"/>
        </w:rPr>
      </w:pPr>
      <w:r>
        <w:rPr>
          <w:sz w:val="24"/>
          <w:szCs w:val="24"/>
        </w:rPr>
        <w:t xml:space="preserve">Samtidig granulocyttransfusion bør undgås, da der er rapporteret om alvorlig respiratorisk insufficiens. </w:t>
      </w:r>
    </w:p>
    <w:p w:rsidR="003052EF" w:rsidRDefault="003052EF" w:rsidP="003052EF">
      <w:pPr>
        <w:ind w:left="851"/>
        <w:rPr>
          <w:sz w:val="24"/>
          <w:szCs w:val="24"/>
        </w:rPr>
      </w:pPr>
    </w:p>
    <w:p w:rsidR="003052EF" w:rsidRDefault="003052EF" w:rsidP="003052EF">
      <w:pPr>
        <w:ind w:left="851"/>
        <w:rPr>
          <w:sz w:val="24"/>
          <w:szCs w:val="24"/>
        </w:rPr>
      </w:pPr>
      <w:r>
        <w:rPr>
          <w:sz w:val="24"/>
          <w:szCs w:val="24"/>
        </w:rPr>
        <w:t xml:space="preserve">Som med andre </w:t>
      </w:r>
      <w:proofErr w:type="spellStart"/>
      <w:r>
        <w:rPr>
          <w:sz w:val="24"/>
          <w:szCs w:val="24"/>
        </w:rPr>
        <w:t>cytotoksiske</w:t>
      </w:r>
      <w:proofErr w:type="spellEnd"/>
      <w:r>
        <w:rPr>
          <w:sz w:val="24"/>
          <w:szCs w:val="24"/>
        </w:rPr>
        <w:t xml:space="preserve"> lægemidler kan </w:t>
      </w:r>
      <w:proofErr w:type="spellStart"/>
      <w:r>
        <w:rPr>
          <w:sz w:val="24"/>
          <w:szCs w:val="24"/>
        </w:rPr>
        <w:t>cytarabin</w:t>
      </w:r>
      <w:proofErr w:type="spellEnd"/>
      <w:r>
        <w:rPr>
          <w:sz w:val="24"/>
          <w:szCs w:val="24"/>
        </w:rPr>
        <w:t xml:space="preserve"> inducere </w:t>
      </w:r>
      <w:proofErr w:type="spellStart"/>
      <w:r>
        <w:rPr>
          <w:sz w:val="24"/>
          <w:szCs w:val="24"/>
        </w:rPr>
        <w:t>hyperurikæmi</w:t>
      </w:r>
      <w:proofErr w:type="spellEnd"/>
      <w:r>
        <w:rPr>
          <w:sz w:val="24"/>
          <w:szCs w:val="24"/>
        </w:rPr>
        <w:t xml:space="preserve"> sekundært til hurtig lyse af neoplastiske celler. Lægen bør monitorere patientens urinsyreniveau i blodet og være parat til at anvende understøttende og farmakologiske foranstaltninger, som er nødvendige for at få kontrol over dette problem.</w:t>
      </w:r>
    </w:p>
    <w:p w:rsidR="003052EF" w:rsidRDefault="003052EF" w:rsidP="003052EF">
      <w:pPr>
        <w:ind w:left="851"/>
        <w:rPr>
          <w:sz w:val="24"/>
          <w:szCs w:val="24"/>
        </w:rPr>
      </w:pPr>
    </w:p>
    <w:p w:rsidR="003052EF" w:rsidRDefault="003052EF" w:rsidP="003052EF">
      <w:pPr>
        <w:ind w:left="851"/>
        <w:rPr>
          <w:sz w:val="24"/>
          <w:szCs w:val="24"/>
        </w:rPr>
      </w:pPr>
      <w:r>
        <w:rPr>
          <w:sz w:val="24"/>
          <w:szCs w:val="24"/>
        </w:rPr>
        <w:t>Når intravenøse doser gives hurtigt, får patienterne ofte kvalme og kan efterfølgende kaste op i flere timer. Dette problem har tendens til at være mindre alvorligt, når lægemidlet gives som infusion.</w:t>
      </w:r>
    </w:p>
    <w:p w:rsidR="003052EF" w:rsidRDefault="003052EF" w:rsidP="003052EF">
      <w:pPr>
        <w:ind w:left="851"/>
        <w:rPr>
          <w:sz w:val="24"/>
          <w:szCs w:val="24"/>
        </w:rPr>
      </w:pPr>
    </w:p>
    <w:p w:rsidR="003052EF" w:rsidRDefault="003052EF" w:rsidP="003052EF">
      <w:pPr>
        <w:ind w:left="851"/>
        <w:rPr>
          <w:sz w:val="24"/>
          <w:szCs w:val="24"/>
        </w:rPr>
      </w:pPr>
      <w:proofErr w:type="spellStart"/>
      <w:r>
        <w:rPr>
          <w:sz w:val="24"/>
          <w:szCs w:val="24"/>
        </w:rPr>
        <w:t>Cytarabin</w:t>
      </w:r>
      <w:proofErr w:type="spellEnd"/>
      <w:r>
        <w:rPr>
          <w:sz w:val="24"/>
          <w:szCs w:val="24"/>
        </w:rPr>
        <w:t xml:space="preserve"> har vist sig at være mutagent og </w:t>
      </w:r>
      <w:proofErr w:type="spellStart"/>
      <w:r>
        <w:rPr>
          <w:sz w:val="24"/>
          <w:szCs w:val="24"/>
        </w:rPr>
        <w:t>karcinogent</w:t>
      </w:r>
      <w:proofErr w:type="spellEnd"/>
      <w:r>
        <w:rPr>
          <w:sz w:val="24"/>
          <w:szCs w:val="24"/>
        </w:rPr>
        <w:t xml:space="preserve"> hos dyr. Muligheden for en lignende effekt skal tages i betragtning ved udformning af den længerevarende behandlingsplan for patienten.</w:t>
      </w:r>
    </w:p>
    <w:p w:rsidR="00947B7B" w:rsidRPr="009F56AD" w:rsidRDefault="00947B7B" w:rsidP="003052EF">
      <w:pPr>
        <w:rPr>
          <w:rFonts w:eastAsia="Calibri"/>
          <w:sz w:val="24"/>
          <w:szCs w:val="24"/>
        </w:rPr>
      </w:pPr>
    </w:p>
    <w:p w:rsidR="00947B7B" w:rsidRPr="009F56AD" w:rsidRDefault="00947B7B" w:rsidP="00947B7B">
      <w:pPr>
        <w:ind w:left="851"/>
        <w:rPr>
          <w:sz w:val="24"/>
          <w:szCs w:val="24"/>
          <w:lang w:eastAsia="en-GB"/>
        </w:rPr>
      </w:pPr>
      <w:r w:rsidRPr="009F56AD">
        <w:rPr>
          <w:sz w:val="24"/>
          <w:szCs w:val="24"/>
        </w:rPr>
        <w:t xml:space="preserve">Der er indberettet </w:t>
      </w:r>
      <w:proofErr w:type="spellStart"/>
      <w:r w:rsidRPr="009F56AD">
        <w:rPr>
          <w:sz w:val="24"/>
          <w:szCs w:val="24"/>
        </w:rPr>
        <w:t>abdominal</w:t>
      </w:r>
      <w:proofErr w:type="spellEnd"/>
      <w:r w:rsidRPr="009F56AD">
        <w:rPr>
          <w:sz w:val="24"/>
          <w:szCs w:val="24"/>
        </w:rPr>
        <w:t xml:space="preserve"> ømhed (</w:t>
      </w:r>
      <w:proofErr w:type="spellStart"/>
      <w:r w:rsidRPr="009F56AD">
        <w:rPr>
          <w:sz w:val="24"/>
          <w:szCs w:val="24"/>
        </w:rPr>
        <w:t>peritonitis</w:t>
      </w:r>
      <w:proofErr w:type="spellEnd"/>
      <w:r w:rsidRPr="009F56AD">
        <w:rPr>
          <w:sz w:val="24"/>
          <w:szCs w:val="24"/>
        </w:rPr>
        <w:t xml:space="preserve">) og </w:t>
      </w:r>
      <w:proofErr w:type="spellStart"/>
      <w:r w:rsidRPr="009F56AD">
        <w:rPr>
          <w:sz w:val="24"/>
          <w:szCs w:val="24"/>
        </w:rPr>
        <w:t>guaiac</w:t>
      </w:r>
      <w:proofErr w:type="spellEnd"/>
      <w:r w:rsidRPr="009F56AD">
        <w:rPr>
          <w:sz w:val="24"/>
          <w:szCs w:val="24"/>
        </w:rPr>
        <w:t>-</w:t>
      </w:r>
      <w:proofErr w:type="gramStart"/>
      <w:r w:rsidRPr="009F56AD">
        <w:rPr>
          <w:sz w:val="24"/>
          <w:szCs w:val="24"/>
        </w:rPr>
        <w:t>positiv colitis</w:t>
      </w:r>
      <w:proofErr w:type="gramEnd"/>
      <w:r w:rsidRPr="009F56AD">
        <w:rPr>
          <w:sz w:val="24"/>
          <w:szCs w:val="24"/>
        </w:rPr>
        <w:t xml:space="preserve"> med samtidig </w:t>
      </w:r>
      <w:proofErr w:type="spellStart"/>
      <w:r w:rsidRPr="009F56AD">
        <w:rPr>
          <w:sz w:val="24"/>
          <w:szCs w:val="24"/>
        </w:rPr>
        <w:t>neutropeni</w:t>
      </w:r>
      <w:proofErr w:type="spellEnd"/>
      <w:r w:rsidRPr="009F56AD">
        <w:rPr>
          <w:sz w:val="24"/>
          <w:szCs w:val="24"/>
        </w:rPr>
        <w:t xml:space="preserve"> og </w:t>
      </w:r>
      <w:proofErr w:type="spellStart"/>
      <w:r w:rsidRPr="009F56AD">
        <w:rPr>
          <w:sz w:val="24"/>
          <w:szCs w:val="24"/>
        </w:rPr>
        <w:t>thrombocytopeni</w:t>
      </w:r>
      <w:proofErr w:type="spellEnd"/>
      <w:r w:rsidRPr="009F56AD">
        <w:rPr>
          <w:sz w:val="24"/>
          <w:szCs w:val="24"/>
        </w:rPr>
        <w:t xml:space="preserve"> hos patienter, som er behandlet med konventionelle doser af </w:t>
      </w:r>
      <w:proofErr w:type="spellStart"/>
      <w:r w:rsidRPr="009F56AD">
        <w:rPr>
          <w:sz w:val="24"/>
          <w:szCs w:val="24"/>
        </w:rPr>
        <w:t>cytarabin</w:t>
      </w:r>
      <w:proofErr w:type="spellEnd"/>
      <w:r w:rsidRPr="009F56AD">
        <w:rPr>
          <w:sz w:val="24"/>
          <w:szCs w:val="24"/>
        </w:rPr>
        <w:t xml:space="preserve"> i kombination med andre lægemidler. Patienterne har responderet på ikke-operativ medicinsk behandling.</w:t>
      </w:r>
    </w:p>
    <w:p w:rsidR="00947B7B" w:rsidRPr="009F56AD" w:rsidRDefault="00947B7B" w:rsidP="00947B7B">
      <w:pPr>
        <w:ind w:left="851"/>
        <w:rPr>
          <w:sz w:val="24"/>
          <w:szCs w:val="24"/>
        </w:rPr>
      </w:pPr>
    </w:p>
    <w:p w:rsidR="00947B7B" w:rsidRPr="009F56AD" w:rsidRDefault="00947B7B" w:rsidP="00947B7B">
      <w:pPr>
        <w:ind w:left="851"/>
        <w:rPr>
          <w:sz w:val="24"/>
          <w:szCs w:val="24"/>
        </w:rPr>
      </w:pPr>
      <w:r w:rsidRPr="009F56AD">
        <w:rPr>
          <w:sz w:val="24"/>
          <w:szCs w:val="24"/>
        </w:rPr>
        <w:t xml:space="preserve">Der er indberettet om forsinket progressiv opadstigende paralyse resulterende i død hos børn med AML efter konventionelle doser af </w:t>
      </w:r>
      <w:proofErr w:type="spellStart"/>
      <w:r w:rsidRPr="009F56AD">
        <w:rPr>
          <w:sz w:val="24"/>
          <w:szCs w:val="24"/>
        </w:rPr>
        <w:t>intratekal</w:t>
      </w:r>
      <w:proofErr w:type="spellEnd"/>
      <w:r w:rsidRPr="009F56AD">
        <w:rPr>
          <w:sz w:val="24"/>
          <w:szCs w:val="24"/>
        </w:rPr>
        <w:t xml:space="preserve"> og intravenøs </w:t>
      </w:r>
      <w:proofErr w:type="spellStart"/>
      <w:r w:rsidRPr="009F56AD">
        <w:rPr>
          <w:sz w:val="24"/>
          <w:szCs w:val="24"/>
        </w:rPr>
        <w:t>cytarabin</w:t>
      </w:r>
      <w:proofErr w:type="spellEnd"/>
      <w:r w:rsidRPr="009F56AD">
        <w:rPr>
          <w:sz w:val="24"/>
          <w:szCs w:val="24"/>
        </w:rPr>
        <w:t xml:space="preserve"> i kombination med andre lægemidler.</w:t>
      </w:r>
    </w:p>
    <w:p w:rsidR="00947B7B" w:rsidRPr="009F56AD" w:rsidRDefault="00947B7B" w:rsidP="003052EF">
      <w:pPr>
        <w:rPr>
          <w:i/>
          <w:sz w:val="24"/>
          <w:szCs w:val="24"/>
        </w:rPr>
      </w:pPr>
    </w:p>
    <w:p w:rsidR="00947B7B" w:rsidRPr="009F56AD" w:rsidRDefault="00947B7B" w:rsidP="00947B7B">
      <w:pPr>
        <w:ind w:left="851"/>
        <w:rPr>
          <w:sz w:val="24"/>
          <w:szCs w:val="24"/>
          <w:highlight w:val="yellow"/>
        </w:rPr>
      </w:pPr>
      <w:proofErr w:type="spellStart"/>
      <w:r w:rsidRPr="009F56AD">
        <w:rPr>
          <w:i/>
          <w:sz w:val="24"/>
          <w:szCs w:val="24"/>
        </w:rPr>
        <w:t>Immunosuppressive</w:t>
      </w:r>
      <w:proofErr w:type="spellEnd"/>
      <w:r w:rsidRPr="009F56AD">
        <w:rPr>
          <w:i/>
          <w:sz w:val="24"/>
          <w:szCs w:val="24"/>
        </w:rPr>
        <w:t xml:space="preserve"> virkninger/øget modtagelighed for infektioner </w:t>
      </w:r>
    </w:p>
    <w:p w:rsidR="00947B7B" w:rsidRPr="009F56AD" w:rsidRDefault="00947B7B" w:rsidP="00947B7B">
      <w:pPr>
        <w:ind w:left="851"/>
        <w:rPr>
          <w:sz w:val="24"/>
          <w:szCs w:val="24"/>
        </w:rPr>
      </w:pPr>
      <w:r w:rsidRPr="009F56AD">
        <w:rPr>
          <w:sz w:val="24"/>
          <w:szCs w:val="24"/>
        </w:rPr>
        <w:t xml:space="preserve">Administration af levende eller levende svækkede vacciner til patienter, der er immunkompromitterede pga. kemoterapeutiske stoffer, herunder </w:t>
      </w:r>
      <w:proofErr w:type="spellStart"/>
      <w:r w:rsidRPr="009F56AD">
        <w:rPr>
          <w:sz w:val="24"/>
          <w:szCs w:val="24"/>
        </w:rPr>
        <w:t>cytarabin</w:t>
      </w:r>
      <w:proofErr w:type="spellEnd"/>
      <w:r w:rsidRPr="009F56AD">
        <w:rPr>
          <w:sz w:val="24"/>
          <w:szCs w:val="24"/>
        </w:rPr>
        <w:t xml:space="preserve">, kan medføre alvorlige eller fatale infektioner. Vaccination med en levende vaccine bør undgås hos patienter, der får </w:t>
      </w:r>
      <w:proofErr w:type="spellStart"/>
      <w:r w:rsidRPr="009F56AD">
        <w:rPr>
          <w:sz w:val="24"/>
          <w:szCs w:val="24"/>
        </w:rPr>
        <w:t>cytarabin</w:t>
      </w:r>
      <w:proofErr w:type="spellEnd"/>
      <w:r w:rsidRPr="009F56AD">
        <w:rPr>
          <w:sz w:val="24"/>
          <w:szCs w:val="24"/>
        </w:rPr>
        <w:t>. Dræbte eller inaktiverede vacciner kan administreres; dog kan responsen på sådanne vacciner være reduceret.</w:t>
      </w:r>
    </w:p>
    <w:p w:rsidR="00947B7B" w:rsidRPr="009F56AD" w:rsidRDefault="00947B7B" w:rsidP="00947B7B">
      <w:pPr>
        <w:ind w:left="851"/>
        <w:rPr>
          <w:i/>
          <w:sz w:val="24"/>
          <w:szCs w:val="24"/>
        </w:rPr>
      </w:pPr>
    </w:p>
    <w:p w:rsidR="00947B7B" w:rsidRPr="009F56AD" w:rsidRDefault="00947B7B" w:rsidP="00947B7B">
      <w:pPr>
        <w:ind w:left="851"/>
        <w:rPr>
          <w:i/>
          <w:sz w:val="24"/>
          <w:szCs w:val="24"/>
        </w:rPr>
      </w:pPr>
      <w:r>
        <w:rPr>
          <w:i/>
          <w:sz w:val="24"/>
          <w:szCs w:val="24"/>
        </w:rPr>
        <w:t>Højdosis</w:t>
      </w:r>
      <w:r w:rsidR="003052EF">
        <w:rPr>
          <w:i/>
          <w:sz w:val="24"/>
          <w:szCs w:val="24"/>
        </w:rPr>
        <w:t>behandling</w:t>
      </w:r>
    </w:p>
    <w:p w:rsidR="00947B7B" w:rsidRPr="009F56AD" w:rsidRDefault="00947B7B" w:rsidP="00947B7B">
      <w:pPr>
        <w:ind w:left="851"/>
        <w:rPr>
          <w:sz w:val="24"/>
          <w:szCs w:val="24"/>
        </w:rPr>
      </w:pPr>
      <w:r w:rsidRPr="009F56AD">
        <w:rPr>
          <w:sz w:val="24"/>
          <w:szCs w:val="24"/>
        </w:rPr>
        <w:t xml:space="preserve">Risikoen for CNS-toksicitet øges, hvis høje doser af </w:t>
      </w:r>
      <w:proofErr w:type="spellStart"/>
      <w:r w:rsidRPr="009F56AD">
        <w:rPr>
          <w:sz w:val="24"/>
          <w:szCs w:val="24"/>
        </w:rPr>
        <w:t>cytarabin</w:t>
      </w:r>
      <w:proofErr w:type="spellEnd"/>
      <w:r w:rsidRPr="009F56AD">
        <w:rPr>
          <w:sz w:val="24"/>
          <w:szCs w:val="24"/>
        </w:rPr>
        <w:t xml:space="preserve"> er givet i kombination med anden CNS-toksisk behandling såsom strålebehandling eller hos patienter, der tidligere har modtaget CNS-behandling som </w:t>
      </w:r>
      <w:proofErr w:type="spellStart"/>
      <w:r w:rsidRPr="009F56AD">
        <w:rPr>
          <w:sz w:val="24"/>
          <w:szCs w:val="24"/>
        </w:rPr>
        <w:t>intratekal</w:t>
      </w:r>
      <w:proofErr w:type="spellEnd"/>
      <w:r w:rsidRPr="009F56AD">
        <w:rPr>
          <w:sz w:val="24"/>
          <w:szCs w:val="24"/>
        </w:rPr>
        <w:t xml:space="preserve"> kemoterapi.</w:t>
      </w:r>
    </w:p>
    <w:p w:rsidR="00947B7B" w:rsidRPr="009F56AD" w:rsidRDefault="00947B7B" w:rsidP="00947B7B">
      <w:pPr>
        <w:ind w:left="851"/>
        <w:rPr>
          <w:sz w:val="24"/>
          <w:szCs w:val="24"/>
          <w:highlight w:val="yellow"/>
        </w:rPr>
      </w:pPr>
    </w:p>
    <w:p w:rsidR="003052EF" w:rsidRDefault="003052EF" w:rsidP="003052EF">
      <w:pPr>
        <w:ind w:left="851"/>
        <w:rPr>
          <w:sz w:val="24"/>
          <w:szCs w:val="24"/>
        </w:rPr>
      </w:pPr>
      <w:r>
        <w:rPr>
          <w:sz w:val="24"/>
          <w:szCs w:val="24"/>
        </w:rPr>
        <w:t xml:space="preserve">Der er forekommet perifer motorisk og sensorisk </w:t>
      </w:r>
      <w:proofErr w:type="spellStart"/>
      <w:r>
        <w:rPr>
          <w:sz w:val="24"/>
          <w:szCs w:val="24"/>
        </w:rPr>
        <w:t>neuropati</w:t>
      </w:r>
      <w:proofErr w:type="spellEnd"/>
      <w:r>
        <w:rPr>
          <w:sz w:val="24"/>
          <w:szCs w:val="24"/>
        </w:rPr>
        <w:t xml:space="preserve"> efter konsolidering med høje doser af </w:t>
      </w:r>
      <w:proofErr w:type="spellStart"/>
      <w:r>
        <w:rPr>
          <w:sz w:val="24"/>
          <w:szCs w:val="24"/>
        </w:rPr>
        <w:t>cytarabin</w:t>
      </w:r>
      <w:proofErr w:type="spellEnd"/>
      <w:r>
        <w:rPr>
          <w:sz w:val="24"/>
          <w:szCs w:val="24"/>
        </w:rPr>
        <w:t xml:space="preserve">, </w:t>
      </w:r>
      <w:proofErr w:type="spellStart"/>
      <w:r>
        <w:rPr>
          <w:sz w:val="24"/>
          <w:szCs w:val="24"/>
        </w:rPr>
        <w:t>daunorubicin</w:t>
      </w:r>
      <w:proofErr w:type="spellEnd"/>
      <w:r>
        <w:rPr>
          <w:sz w:val="24"/>
          <w:szCs w:val="24"/>
        </w:rPr>
        <w:t xml:space="preserve"> og </w:t>
      </w:r>
      <w:proofErr w:type="spellStart"/>
      <w:r>
        <w:rPr>
          <w:sz w:val="24"/>
          <w:szCs w:val="24"/>
        </w:rPr>
        <w:t>asparaginase</w:t>
      </w:r>
      <w:proofErr w:type="spellEnd"/>
      <w:r>
        <w:rPr>
          <w:sz w:val="24"/>
          <w:szCs w:val="24"/>
        </w:rPr>
        <w:t xml:space="preserve"> hos voksne patienter med akut ikke-</w:t>
      </w:r>
      <w:proofErr w:type="spellStart"/>
      <w:r>
        <w:rPr>
          <w:sz w:val="24"/>
          <w:szCs w:val="24"/>
        </w:rPr>
        <w:t>lymfocytisk</w:t>
      </w:r>
      <w:proofErr w:type="spellEnd"/>
      <w:r>
        <w:rPr>
          <w:sz w:val="24"/>
          <w:szCs w:val="24"/>
        </w:rPr>
        <w:t xml:space="preserve"> leukæmi.</w:t>
      </w:r>
    </w:p>
    <w:p w:rsidR="003052EF" w:rsidRDefault="003052EF" w:rsidP="003052EF">
      <w:pPr>
        <w:ind w:left="851"/>
        <w:rPr>
          <w:sz w:val="24"/>
          <w:szCs w:val="24"/>
        </w:rPr>
      </w:pPr>
    </w:p>
    <w:p w:rsidR="003052EF" w:rsidRDefault="003052EF" w:rsidP="003052EF">
      <w:pPr>
        <w:ind w:left="851"/>
        <w:rPr>
          <w:sz w:val="24"/>
          <w:szCs w:val="24"/>
        </w:rPr>
      </w:pPr>
      <w:r>
        <w:rPr>
          <w:sz w:val="24"/>
          <w:szCs w:val="24"/>
        </w:rPr>
        <w:t xml:space="preserve">Patienter, der behandles med store doser </w:t>
      </w:r>
      <w:proofErr w:type="spellStart"/>
      <w:r>
        <w:rPr>
          <w:sz w:val="24"/>
          <w:szCs w:val="24"/>
        </w:rPr>
        <w:t>cytarabin</w:t>
      </w:r>
      <w:proofErr w:type="spellEnd"/>
      <w:r>
        <w:rPr>
          <w:sz w:val="24"/>
          <w:szCs w:val="24"/>
        </w:rPr>
        <w:t xml:space="preserve">, skal observeres for </w:t>
      </w:r>
      <w:proofErr w:type="spellStart"/>
      <w:r>
        <w:rPr>
          <w:sz w:val="24"/>
          <w:szCs w:val="24"/>
        </w:rPr>
        <w:t>neuropati</w:t>
      </w:r>
      <w:proofErr w:type="spellEnd"/>
      <w:r>
        <w:rPr>
          <w:sz w:val="24"/>
          <w:szCs w:val="24"/>
        </w:rPr>
        <w:t>, idet ændringer i doseringsskemaet kan være nødvendige for at undgå irreversible neurologiske lidelser.</w:t>
      </w:r>
    </w:p>
    <w:p w:rsidR="003052EF" w:rsidRDefault="003052EF" w:rsidP="003052EF">
      <w:pPr>
        <w:ind w:left="851"/>
        <w:rPr>
          <w:sz w:val="24"/>
          <w:szCs w:val="24"/>
        </w:rPr>
      </w:pPr>
    </w:p>
    <w:p w:rsidR="003052EF" w:rsidRDefault="003052EF" w:rsidP="003052EF">
      <w:pPr>
        <w:ind w:left="851"/>
        <w:rPr>
          <w:sz w:val="24"/>
          <w:szCs w:val="24"/>
        </w:rPr>
      </w:pPr>
      <w:r>
        <w:rPr>
          <w:sz w:val="24"/>
          <w:szCs w:val="24"/>
        </w:rPr>
        <w:t xml:space="preserve">Alvorlig og til tider dødelig </w:t>
      </w:r>
      <w:proofErr w:type="spellStart"/>
      <w:r>
        <w:rPr>
          <w:sz w:val="24"/>
          <w:szCs w:val="24"/>
        </w:rPr>
        <w:t>pulmonal</w:t>
      </w:r>
      <w:proofErr w:type="spellEnd"/>
      <w:r>
        <w:rPr>
          <w:sz w:val="24"/>
          <w:szCs w:val="24"/>
        </w:rPr>
        <w:t xml:space="preserve"> toksicitet, akut lungesvigt (ARDS) og </w:t>
      </w:r>
      <w:proofErr w:type="spellStart"/>
      <w:r>
        <w:rPr>
          <w:sz w:val="24"/>
          <w:szCs w:val="24"/>
        </w:rPr>
        <w:t>pulmonalt</w:t>
      </w:r>
      <w:proofErr w:type="spellEnd"/>
      <w:r>
        <w:rPr>
          <w:sz w:val="24"/>
          <w:szCs w:val="24"/>
        </w:rPr>
        <w:t xml:space="preserve"> ødem er forekommet efter højdosisbehandling med </w:t>
      </w:r>
      <w:proofErr w:type="spellStart"/>
      <w:r>
        <w:rPr>
          <w:sz w:val="24"/>
          <w:szCs w:val="24"/>
        </w:rPr>
        <w:t>cytarabin</w:t>
      </w:r>
      <w:proofErr w:type="spellEnd"/>
      <w:r>
        <w:rPr>
          <w:sz w:val="24"/>
          <w:szCs w:val="24"/>
        </w:rPr>
        <w:t>.</w:t>
      </w:r>
    </w:p>
    <w:p w:rsidR="003052EF" w:rsidRDefault="003052EF" w:rsidP="003052EF">
      <w:pPr>
        <w:ind w:left="851"/>
        <w:rPr>
          <w:sz w:val="24"/>
          <w:szCs w:val="24"/>
          <w:highlight w:val="yellow"/>
        </w:rPr>
      </w:pPr>
    </w:p>
    <w:p w:rsidR="003052EF" w:rsidRDefault="003052EF" w:rsidP="003052EF">
      <w:pPr>
        <w:ind w:left="851"/>
        <w:rPr>
          <w:sz w:val="24"/>
          <w:szCs w:val="24"/>
        </w:rPr>
      </w:pPr>
      <w:r>
        <w:rPr>
          <w:sz w:val="24"/>
          <w:szCs w:val="24"/>
        </w:rPr>
        <w:lastRenderedPageBreak/>
        <w:t xml:space="preserve">Der er indberettet tilfælde af </w:t>
      </w:r>
      <w:proofErr w:type="spellStart"/>
      <w:r>
        <w:rPr>
          <w:sz w:val="24"/>
          <w:szCs w:val="24"/>
        </w:rPr>
        <w:t>kardiomyopati</w:t>
      </w:r>
      <w:proofErr w:type="spellEnd"/>
      <w:r>
        <w:rPr>
          <w:sz w:val="24"/>
          <w:szCs w:val="24"/>
        </w:rPr>
        <w:t xml:space="preserve"> med efterfølgende død efter eksperimentel højdosisbehandling med </w:t>
      </w:r>
      <w:proofErr w:type="spellStart"/>
      <w:r>
        <w:rPr>
          <w:sz w:val="24"/>
          <w:szCs w:val="24"/>
        </w:rPr>
        <w:t>cytarabin</w:t>
      </w:r>
      <w:proofErr w:type="spellEnd"/>
      <w:r>
        <w:rPr>
          <w:sz w:val="24"/>
          <w:szCs w:val="24"/>
        </w:rPr>
        <w:t xml:space="preserve"> i kombination med </w:t>
      </w:r>
      <w:proofErr w:type="spellStart"/>
      <w:r>
        <w:rPr>
          <w:sz w:val="24"/>
          <w:szCs w:val="24"/>
        </w:rPr>
        <w:t>cyklofosfamid</w:t>
      </w:r>
      <w:proofErr w:type="spellEnd"/>
      <w:r>
        <w:rPr>
          <w:sz w:val="24"/>
          <w:szCs w:val="24"/>
        </w:rPr>
        <w:t xml:space="preserve"> som forberedelse til knoglemarvstransplantation.</w:t>
      </w:r>
    </w:p>
    <w:p w:rsidR="003052EF" w:rsidRDefault="003052EF" w:rsidP="003052EF">
      <w:pPr>
        <w:ind w:left="851"/>
        <w:rPr>
          <w:sz w:val="24"/>
          <w:szCs w:val="24"/>
          <w:highlight w:val="yellow"/>
        </w:rPr>
      </w:pPr>
    </w:p>
    <w:p w:rsidR="003052EF" w:rsidRDefault="003052EF" w:rsidP="003052EF">
      <w:pPr>
        <w:ind w:left="851"/>
        <w:rPr>
          <w:i/>
          <w:iCs/>
          <w:sz w:val="24"/>
          <w:szCs w:val="24"/>
        </w:rPr>
      </w:pPr>
      <w:r>
        <w:rPr>
          <w:i/>
          <w:iCs/>
          <w:sz w:val="24"/>
          <w:szCs w:val="24"/>
        </w:rPr>
        <w:t>Pædiatrisk population</w:t>
      </w:r>
    </w:p>
    <w:p w:rsidR="003052EF" w:rsidRDefault="003052EF" w:rsidP="003052EF">
      <w:pPr>
        <w:ind w:left="851"/>
        <w:rPr>
          <w:sz w:val="24"/>
          <w:szCs w:val="24"/>
        </w:rPr>
      </w:pPr>
      <w:r>
        <w:rPr>
          <w:sz w:val="24"/>
          <w:szCs w:val="24"/>
        </w:rPr>
        <w:t>Sikkerheden hos børn er ikke fastlagt.</w:t>
      </w:r>
    </w:p>
    <w:p w:rsidR="00947B7B" w:rsidRPr="009F56AD" w:rsidRDefault="00947B7B" w:rsidP="00947B7B">
      <w:pPr>
        <w:ind w:left="851"/>
        <w:rPr>
          <w:sz w:val="24"/>
          <w:szCs w:val="24"/>
          <w:highlight w:val="yellow"/>
        </w:rPr>
      </w:pPr>
    </w:p>
    <w:p w:rsidR="00947B7B" w:rsidRPr="009F56AD" w:rsidRDefault="00947B7B" w:rsidP="00947B7B">
      <w:pPr>
        <w:ind w:left="851"/>
        <w:rPr>
          <w:b/>
          <w:sz w:val="24"/>
          <w:szCs w:val="24"/>
        </w:rPr>
      </w:pPr>
      <w:r w:rsidRPr="009F56AD">
        <w:rPr>
          <w:b/>
          <w:sz w:val="24"/>
          <w:szCs w:val="24"/>
        </w:rPr>
        <w:t>Natrium</w:t>
      </w:r>
    </w:p>
    <w:p w:rsidR="00947B7B" w:rsidRPr="009F56AD" w:rsidRDefault="00947B7B" w:rsidP="00947B7B">
      <w:pPr>
        <w:ind w:left="851"/>
        <w:rPr>
          <w:sz w:val="24"/>
          <w:szCs w:val="24"/>
          <w:highlight w:val="yellow"/>
        </w:rPr>
      </w:pPr>
      <w:r w:rsidRPr="009F56AD">
        <w:rPr>
          <w:sz w:val="24"/>
          <w:szCs w:val="24"/>
        </w:rPr>
        <w:t>Dette lægemiddel indeholder mindre end 1mmol (23 mg) natrium pr. 5 ml</w:t>
      </w:r>
      <w:r>
        <w:rPr>
          <w:sz w:val="24"/>
          <w:szCs w:val="24"/>
        </w:rPr>
        <w:t>, dvs. det er i det væsentlige "</w:t>
      </w:r>
      <w:r w:rsidRPr="009F56AD">
        <w:rPr>
          <w:sz w:val="24"/>
          <w:szCs w:val="24"/>
        </w:rPr>
        <w:t>natriumfrit</w:t>
      </w:r>
      <w:r>
        <w:rPr>
          <w:sz w:val="24"/>
          <w:szCs w:val="24"/>
        </w:rPr>
        <w:t>"</w:t>
      </w:r>
      <w:r w:rsidRPr="009F56AD">
        <w:rPr>
          <w:sz w:val="24"/>
          <w:szCs w:val="24"/>
        </w:rPr>
        <w:t xml:space="preserve">. </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4.5</w:t>
      </w:r>
      <w:r w:rsidRPr="009F56AD">
        <w:rPr>
          <w:b/>
          <w:sz w:val="24"/>
          <w:szCs w:val="24"/>
        </w:rPr>
        <w:tab/>
        <w:t>Interaktion med andre lægemidler og andre former for interaktion</w:t>
      </w:r>
    </w:p>
    <w:p w:rsidR="00947B7B" w:rsidRDefault="00947B7B" w:rsidP="00947B7B">
      <w:pPr>
        <w:ind w:left="851"/>
        <w:rPr>
          <w:sz w:val="24"/>
          <w:szCs w:val="24"/>
        </w:rPr>
      </w:pPr>
    </w:p>
    <w:p w:rsidR="00947B7B" w:rsidRPr="00122D03" w:rsidRDefault="00947B7B" w:rsidP="00947B7B">
      <w:pPr>
        <w:ind w:left="851"/>
        <w:rPr>
          <w:sz w:val="24"/>
          <w:szCs w:val="24"/>
          <w:u w:val="single"/>
          <w:lang w:eastAsia="en-GB"/>
        </w:rPr>
      </w:pPr>
      <w:proofErr w:type="spellStart"/>
      <w:r w:rsidRPr="00122D03">
        <w:rPr>
          <w:sz w:val="24"/>
          <w:szCs w:val="24"/>
          <w:u w:val="single"/>
        </w:rPr>
        <w:t>Digoxin</w:t>
      </w:r>
      <w:proofErr w:type="spellEnd"/>
    </w:p>
    <w:p w:rsidR="00947B7B" w:rsidRPr="009F56AD" w:rsidRDefault="00947B7B" w:rsidP="00947B7B">
      <w:pPr>
        <w:ind w:left="851"/>
        <w:rPr>
          <w:sz w:val="24"/>
          <w:szCs w:val="24"/>
          <w:highlight w:val="yellow"/>
        </w:rPr>
      </w:pPr>
      <w:r w:rsidRPr="009F56AD">
        <w:rPr>
          <w:sz w:val="24"/>
          <w:szCs w:val="24"/>
        </w:rPr>
        <w:t xml:space="preserve">Der er observeret reversibelt fald i </w:t>
      </w:r>
      <w:proofErr w:type="spellStart"/>
      <w:r w:rsidRPr="009F56AD">
        <w:rPr>
          <w:sz w:val="24"/>
          <w:szCs w:val="24"/>
        </w:rPr>
        <w:t>steady-state</w:t>
      </w:r>
      <w:proofErr w:type="spellEnd"/>
      <w:r w:rsidRPr="009F56AD">
        <w:rPr>
          <w:sz w:val="24"/>
          <w:szCs w:val="24"/>
        </w:rPr>
        <w:t xml:space="preserve"> plasmakoncentrationer af </w:t>
      </w:r>
      <w:proofErr w:type="spellStart"/>
      <w:r w:rsidRPr="009F56AD">
        <w:rPr>
          <w:sz w:val="24"/>
          <w:szCs w:val="24"/>
        </w:rPr>
        <w:t>digoxin</w:t>
      </w:r>
      <w:proofErr w:type="spellEnd"/>
      <w:r w:rsidRPr="009F56AD">
        <w:rPr>
          <w:sz w:val="24"/>
          <w:szCs w:val="24"/>
        </w:rPr>
        <w:t xml:space="preserve"> og </w:t>
      </w:r>
      <w:proofErr w:type="spellStart"/>
      <w:r w:rsidRPr="009F56AD">
        <w:rPr>
          <w:sz w:val="24"/>
          <w:szCs w:val="24"/>
        </w:rPr>
        <w:t>renal</w:t>
      </w:r>
      <w:proofErr w:type="spellEnd"/>
      <w:r w:rsidRPr="009F56AD">
        <w:rPr>
          <w:sz w:val="24"/>
          <w:szCs w:val="24"/>
        </w:rPr>
        <w:t xml:space="preserve"> udskillelse af glykosid hos patienter, som fik beta-</w:t>
      </w:r>
      <w:proofErr w:type="spellStart"/>
      <w:r w:rsidRPr="009F56AD">
        <w:rPr>
          <w:sz w:val="24"/>
          <w:szCs w:val="24"/>
        </w:rPr>
        <w:t>acetyldigoxin</w:t>
      </w:r>
      <w:proofErr w:type="spellEnd"/>
      <w:r w:rsidRPr="009F56AD">
        <w:rPr>
          <w:sz w:val="24"/>
          <w:szCs w:val="24"/>
        </w:rPr>
        <w:t xml:space="preserve"> og kemoterapeutiske regimer indeholdende </w:t>
      </w:r>
      <w:proofErr w:type="spellStart"/>
      <w:r w:rsidRPr="009F56AD">
        <w:rPr>
          <w:sz w:val="24"/>
          <w:szCs w:val="24"/>
        </w:rPr>
        <w:t>cyclophosphamid</w:t>
      </w:r>
      <w:proofErr w:type="spellEnd"/>
      <w:r w:rsidRPr="009F56AD">
        <w:rPr>
          <w:sz w:val="24"/>
          <w:szCs w:val="24"/>
        </w:rPr>
        <w:t xml:space="preserve">, </w:t>
      </w:r>
      <w:proofErr w:type="spellStart"/>
      <w:r w:rsidRPr="009F56AD">
        <w:rPr>
          <w:sz w:val="24"/>
          <w:szCs w:val="24"/>
        </w:rPr>
        <w:t>vincristin</w:t>
      </w:r>
      <w:proofErr w:type="spellEnd"/>
      <w:r w:rsidRPr="009F56AD">
        <w:rPr>
          <w:sz w:val="24"/>
          <w:szCs w:val="24"/>
        </w:rPr>
        <w:t xml:space="preserve"> og </w:t>
      </w:r>
      <w:proofErr w:type="spellStart"/>
      <w:r w:rsidRPr="009F56AD">
        <w:rPr>
          <w:sz w:val="24"/>
          <w:szCs w:val="24"/>
        </w:rPr>
        <w:t>prednison</w:t>
      </w:r>
      <w:proofErr w:type="spellEnd"/>
      <w:r w:rsidRPr="009F56AD">
        <w:rPr>
          <w:sz w:val="24"/>
          <w:szCs w:val="24"/>
        </w:rPr>
        <w:t xml:space="preserve"> med eller uden </w:t>
      </w:r>
      <w:proofErr w:type="spellStart"/>
      <w:r w:rsidRPr="009F56AD">
        <w:rPr>
          <w:sz w:val="24"/>
          <w:szCs w:val="24"/>
        </w:rPr>
        <w:t>cytarabin</w:t>
      </w:r>
      <w:proofErr w:type="spellEnd"/>
      <w:r w:rsidRPr="009F56AD">
        <w:rPr>
          <w:sz w:val="24"/>
          <w:szCs w:val="24"/>
        </w:rPr>
        <w:t xml:space="preserve"> eller </w:t>
      </w:r>
      <w:proofErr w:type="spellStart"/>
      <w:r w:rsidRPr="009F56AD">
        <w:rPr>
          <w:sz w:val="24"/>
          <w:szCs w:val="24"/>
        </w:rPr>
        <w:t>procarbazin</w:t>
      </w:r>
      <w:proofErr w:type="spellEnd"/>
      <w:r w:rsidRPr="009F56AD">
        <w:rPr>
          <w:sz w:val="24"/>
          <w:szCs w:val="24"/>
        </w:rPr>
        <w:t xml:space="preserve">. Begrænsede data tyder på, at omfanget af GI-absorptionen af </w:t>
      </w:r>
      <w:proofErr w:type="spellStart"/>
      <w:r w:rsidRPr="009F56AD">
        <w:rPr>
          <w:sz w:val="24"/>
          <w:szCs w:val="24"/>
        </w:rPr>
        <w:t>digitoxin</w:t>
      </w:r>
      <w:proofErr w:type="spellEnd"/>
      <w:r w:rsidRPr="009F56AD">
        <w:rPr>
          <w:sz w:val="24"/>
          <w:szCs w:val="24"/>
        </w:rPr>
        <w:t xml:space="preserve"> ikke påvirkes væsentligt af samtidig administration af kombinationskemoterapiregimer, der vides at reducere absorptionen af </w:t>
      </w:r>
      <w:proofErr w:type="spellStart"/>
      <w:r w:rsidRPr="009F56AD">
        <w:rPr>
          <w:sz w:val="24"/>
          <w:szCs w:val="24"/>
        </w:rPr>
        <w:t>digoxin</w:t>
      </w:r>
      <w:proofErr w:type="spellEnd"/>
      <w:r w:rsidRPr="009F56AD">
        <w:rPr>
          <w:sz w:val="24"/>
          <w:szCs w:val="24"/>
        </w:rPr>
        <w:t xml:space="preserve">. Monitorering af </w:t>
      </w:r>
      <w:proofErr w:type="spellStart"/>
      <w:r w:rsidRPr="009F56AD">
        <w:rPr>
          <w:sz w:val="24"/>
          <w:szCs w:val="24"/>
        </w:rPr>
        <w:t>digoxinniveauet</w:t>
      </w:r>
      <w:proofErr w:type="spellEnd"/>
      <w:r w:rsidRPr="009F56AD">
        <w:rPr>
          <w:sz w:val="24"/>
          <w:szCs w:val="24"/>
        </w:rPr>
        <w:t xml:space="preserve"> i plasma er derfor indiceret hos patienter, som får lignende kombinationskemoterapi. Brugen af </w:t>
      </w:r>
      <w:proofErr w:type="spellStart"/>
      <w:r w:rsidRPr="009F56AD">
        <w:rPr>
          <w:sz w:val="24"/>
          <w:szCs w:val="24"/>
        </w:rPr>
        <w:t>digitoxin</w:t>
      </w:r>
      <w:proofErr w:type="spellEnd"/>
      <w:r w:rsidRPr="009F56AD">
        <w:rPr>
          <w:sz w:val="24"/>
          <w:szCs w:val="24"/>
        </w:rPr>
        <w:t xml:space="preserve"> kan være et alternativ til sådanne patienter.</w:t>
      </w:r>
    </w:p>
    <w:p w:rsidR="00947B7B" w:rsidRPr="009F56AD" w:rsidRDefault="00947B7B" w:rsidP="00947B7B">
      <w:pPr>
        <w:ind w:left="851"/>
        <w:rPr>
          <w:sz w:val="24"/>
          <w:szCs w:val="24"/>
          <w:highlight w:val="yellow"/>
        </w:rPr>
      </w:pPr>
    </w:p>
    <w:p w:rsidR="00947B7B" w:rsidRPr="00122D03" w:rsidRDefault="00947B7B" w:rsidP="00947B7B">
      <w:pPr>
        <w:ind w:left="851"/>
        <w:rPr>
          <w:sz w:val="24"/>
          <w:szCs w:val="24"/>
          <w:u w:val="single"/>
        </w:rPr>
      </w:pPr>
      <w:r w:rsidRPr="00122D03">
        <w:rPr>
          <w:sz w:val="24"/>
          <w:szCs w:val="24"/>
          <w:u w:val="single"/>
        </w:rPr>
        <w:t>Gentamicin</w:t>
      </w:r>
    </w:p>
    <w:p w:rsidR="00947B7B" w:rsidRPr="009F56AD" w:rsidRDefault="00947B7B" w:rsidP="00947B7B">
      <w:pPr>
        <w:ind w:left="851"/>
        <w:rPr>
          <w:sz w:val="24"/>
          <w:szCs w:val="24"/>
        </w:rPr>
      </w:pPr>
      <w:r w:rsidRPr="009F56AD">
        <w:rPr>
          <w:sz w:val="24"/>
          <w:szCs w:val="24"/>
        </w:rPr>
        <w:t>Et</w:t>
      </w:r>
      <w:r w:rsidRPr="009F56AD">
        <w:rPr>
          <w:i/>
          <w:iCs/>
          <w:sz w:val="24"/>
          <w:szCs w:val="24"/>
        </w:rPr>
        <w:t xml:space="preserve"> in-</w:t>
      </w:r>
      <w:proofErr w:type="spellStart"/>
      <w:r w:rsidRPr="009F56AD">
        <w:rPr>
          <w:i/>
          <w:iCs/>
          <w:sz w:val="24"/>
          <w:szCs w:val="24"/>
        </w:rPr>
        <w:t>vitro</w:t>
      </w:r>
      <w:proofErr w:type="spellEnd"/>
      <w:r w:rsidRPr="009F56AD">
        <w:rPr>
          <w:sz w:val="24"/>
          <w:szCs w:val="24"/>
        </w:rPr>
        <w:t xml:space="preserve"> forsøg tyder på, at </w:t>
      </w:r>
      <w:proofErr w:type="spellStart"/>
      <w:r w:rsidRPr="009F56AD">
        <w:rPr>
          <w:sz w:val="24"/>
          <w:szCs w:val="24"/>
        </w:rPr>
        <w:t>cytarabin</w:t>
      </w:r>
      <w:proofErr w:type="spellEnd"/>
      <w:r w:rsidRPr="009F56AD">
        <w:rPr>
          <w:sz w:val="24"/>
          <w:szCs w:val="24"/>
        </w:rPr>
        <w:t xml:space="preserve"> kan </w:t>
      </w:r>
      <w:proofErr w:type="spellStart"/>
      <w:r w:rsidRPr="009F56AD">
        <w:rPr>
          <w:sz w:val="24"/>
          <w:szCs w:val="24"/>
        </w:rPr>
        <w:t>antagonisere</w:t>
      </w:r>
      <w:proofErr w:type="spellEnd"/>
      <w:r w:rsidRPr="009F56AD">
        <w:rPr>
          <w:sz w:val="24"/>
          <w:szCs w:val="24"/>
        </w:rPr>
        <w:t xml:space="preserve"> aktiviteten af </w:t>
      </w:r>
      <w:proofErr w:type="spellStart"/>
      <w:r w:rsidRPr="009F56AD">
        <w:rPr>
          <w:sz w:val="24"/>
          <w:szCs w:val="24"/>
        </w:rPr>
        <w:t>gentamycin</w:t>
      </w:r>
      <w:proofErr w:type="spellEnd"/>
      <w:r w:rsidRPr="009F56AD">
        <w:rPr>
          <w:sz w:val="24"/>
          <w:szCs w:val="24"/>
        </w:rPr>
        <w:t xml:space="preserve"> mod </w:t>
      </w:r>
      <w:proofErr w:type="spellStart"/>
      <w:r w:rsidRPr="009F56AD">
        <w:rPr>
          <w:i/>
          <w:iCs/>
          <w:sz w:val="24"/>
          <w:szCs w:val="24"/>
        </w:rPr>
        <w:t>Klebsiella</w:t>
      </w:r>
      <w:proofErr w:type="spellEnd"/>
      <w:r w:rsidRPr="009F56AD">
        <w:rPr>
          <w:i/>
          <w:iCs/>
          <w:sz w:val="24"/>
          <w:szCs w:val="24"/>
        </w:rPr>
        <w:t xml:space="preserve"> </w:t>
      </w:r>
      <w:proofErr w:type="spellStart"/>
      <w:r w:rsidRPr="009F56AD">
        <w:rPr>
          <w:i/>
          <w:iCs/>
          <w:sz w:val="24"/>
          <w:szCs w:val="24"/>
        </w:rPr>
        <w:t>pneumoniae</w:t>
      </w:r>
      <w:proofErr w:type="spellEnd"/>
      <w:r w:rsidRPr="009F56AD">
        <w:rPr>
          <w:sz w:val="24"/>
          <w:szCs w:val="24"/>
        </w:rPr>
        <w:t xml:space="preserve">. Hos patienter, som får </w:t>
      </w:r>
      <w:proofErr w:type="spellStart"/>
      <w:r w:rsidRPr="009F56AD">
        <w:rPr>
          <w:sz w:val="24"/>
          <w:szCs w:val="24"/>
        </w:rPr>
        <w:t>cytarabin</w:t>
      </w:r>
      <w:proofErr w:type="spellEnd"/>
      <w:r w:rsidRPr="009F56AD">
        <w:rPr>
          <w:sz w:val="24"/>
          <w:szCs w:val="24"/>
        </w:rPr>
        <w:t xml:space="preserve"> og bliver behandlet med gentamicin for en </w:t>
      </w:r>
      <w:r w:rsidRPr="00997ACA">
        <w:rPr>
          <w:i/>
          <w:sz w:val="24"/>
          <w:szCs w:val="24"/>
        </w:rPr>
        <w:t xml:space="preserve">K. </w:t>
      </w:r>
      <w:proofErr w:type="spellStart"/>
      <w:r w:rsidRPr="00997ACA">
        <w:rPr>
          <w:i/>
          <w:sz w:val="24"/>
          <w:szCs w:val="24"/>
        </w:rPr>
        <w:t>pneumoniae</w:t>
      </w:r>
      <w:proofErr w:type="spellEnd"/>
      <w:r w:rsidRPr="009F56AD">
        <w:rPr>
          <w:sz w:val="24"/>
          <w:szCs w:val="24"/>
        </w:rPr>
        <w:t>-infektion, kan mangel på hurtig terapeutisk respons indicere behovet for en reevaluering af den antibakterielle behandling.</w:t>
      </w:r>
    </w:p>
    <w:p w:rsidR="00947B7B" w:rsidRPr="009F56AD" w:rsidRDefault="00947B7B" w:rsidP="00947B7B">
      <w:pPr>
        <w:ind w:left="851"/>
        <w:rPr>
          <w:sz w:val="24"/>
          <w:szCs w:val="24"/>
          <w:highlight w:val="yellow"/>
        </w:rPr>
      </w:pPr>
    </w:p>
    <w:p w:rsidR="00947B7B" w:rsidRPr="00122D03" w:rsidRDefault="00947B7B" w:rsidP="00947B7B">
      <w:pPr>
        <w:ind w:left="851"/>
        <w:rPr>
          <w:i/>
          <w:sz w:val="24"/>
          <w:szCs w:val="24"/>
          <w:u w:val="single"/>
        </w:rPr>
      </w:pPr>
      <w:r w:rsidRPr="00122D03">
        <w:rPr>
          <w:sz w:val="24"/>
          <w:szCs w:val="24"/>
          <w:u w:val="single"/>
        </w:rPr>
        <w:t>5-fluorocytosin</w:t>
      </w:r>
    </w:p>
    <w:p w:rsidR="00947B7B" w:rsidRPr="009F56AD" w:rsidRDefault="00947B7B" w:rsidP="00947B7B">
      <w:pPr>
        <w:ind w:left="851"/>
        <w:rPr>
          <w:i/>
          <w:sz w:val="24"/>
          <w:szCs w:val="24"/>
        </w:rPr>
      </w:pPr>
      <w:r w:rsidRPr="009F56AD">
        <w:rPr>
          <w:sz w:val="24"/>
          <w:szCs w:val="24"/>
        </w:rPr>
        <w:t xml:space="preserve">5-fluorocytosin bør ikke administreres sammen med </w:t>
      </w:r>
      <w:proofErr w:type="spellStart"/>
      <w:r w:rsidRPr="009F56AD">
        <w:rPr>
          <w:sz w:val="24"/>
          <w:szCs w:val="24"/>
        </w:rPr>
        <w:t>cytarabin</w:t>
      </w:r>
      <w:proofErr w:type="spellEnd"/>
      <w:r w:rsidRPr="009F56AD">
        <w:rPr>
          <w:sz w:val="24"/>
          <w:szCs w:val="24"/>
        </w:rPr>
        <w:t xml:space="preserve">, da den terapeutiske effekt af 5-fluorocytosin har vist sig at udeblive ved sådan behandling. </w:t>
      </w:r>
    </w:p>
    <w:p w:rsidR="00947B7B" w:rsidRPr="009F56AD" w:rsidRDefault="00947B7B" w:rsidP="00947B7B">
      <w:pPr>
        <w:ind w:left="851"/>
        <w:rPr>
          <w:sz w:val="24"/>
          <w:szCs w:val="24"/>
          <w:highlight w:val="yellow"/>
        </w:rPr>
      </w:pPr>
    </w:p>
    <w:p w:rsidR="00947B7B" w:rsidRPr="00122D03" w:rsidRDefault="00947B7B" w:rsidP="00947B7B">
      <w:pPr>
        <w:ind w:left="851"/>
        <w:rPr>
          <w:sz w:val="24"/>
          <w:szCs w:val="24"/>
          <w:u w:val="single"/>
        </w:rPr>
      </w:pPr>
      <w:r w:rsidRPr="00122D03">
        <w:rPr>
          <w:sz w:val="24"/>
          <w:szCs w:val="24"/>
          <w:u w:val="single"/>
        </w:rPr>
        <w:t xml:space="preserve">Anvendelse af </w:t>
      </w:r>
      <w:proofErr w:type="spellStart"/>
      <w:r w:rsidRPr="00122D03">
        <w:rPr>
          <w:sz w:val="24"/>
          <w:szCs w:val="24"/>
          <w:u w:val="single"/>
        </w:rPr>
        <w:t>cytarabin</w:t>
      </w:r>
      <w:proofErr w:type="spellEnd"/>
      <w:r w:rsidRPr="00122D03">
        <w:rPr>
          <w:sz w:val="24"/>
          <w:szCs w:val="24"/>
          <w:u w:val="single"/>
        </w:rPr>
        <w:t xml:space="preserve"> alene eller i kombination med andre </w:t>
      </w:r>
      <w:proofErr w:type="spellStart"/>
      <w:r w:rsidRPr="00122D03">
        <w:rPr>
          <w:sz w:val="24"/>
          <w:szCs w:val="24"/>
          <w:u w:val="single"/>
        </w:rPr>
        <w:t>immunosuppressive</w:t>
      </w:r>
      <w:proofErr w:type="spellEnd"/>
      <w:r w:rsidRPr="00122D03">
        <w:rPr>
          <w:sz w:val="24"/>
          <w:szCs w:val="24"/>
          <w:u w:val="single"/>
        </w:rPr>
        <w:t xml:space="preserve"> stoffer</w:t>
      </w:r>
    </w:p>
    <w:p w:rsidR="00947B7B" w:rsidRDefault="00947B7B" w:rsidP="00947B7B">
      <w:pPr>
        <w:ind w:left="851"/>
        <w:rPr>
          <w:sz w:val="24"/>
          <w:szCs w:val="24"/>
        </w:rPr>
      </w:pPr>
      <w:r w:rsidRPr="009F56AD">
        <w:rPr>
          <w:sz w:val="24"/>
          <w:szCs w:val="24"/>
        </w:rPr>
        <w:t xml:space="preserve">På grund af </w:t>
      </w:r>
      <w:proofErr w:type="spellStart"/>
      <w:r w:rsidRPr="009F56AD">
        <w:rPr>
          <w:sz w:val="24"/>
          <w:szCs w:val="24"/>
        </w:rPr>
        <w:t>cytarabins</w:t>
      </w:r>
      <w:proofErr w:type="spellEnd"/>
      <w:r w:rsidRPr="009F56AD">
        <w:rPr>
          <w:sz w:val="24"/>
          <w:szCs w:val="24"/>
        </w:rPr>
        <w:t xml:space="preserve"> immunsuppressive virkning, kan der optræde virale, bakterielle, fungicide, parasitære eller </w:t>
      </w:r>
      <w:proofErr w:type="spellStart"/>
      <w:r w:rsidRPr="009F56AD">
        <w:rPr>
          <w:sz w:val="24"/>
          <w:szCs w:val="24"/>
        </w:rPr>
        <w:t>saprofytiske</w:t>
      </w:r>
      <w:proofErr w:type="spellEnd"/>
      <w:r w:rsidRPr="009F56AD">
        <w:rPr>
          <w:sz w:val="24"/>
          <w:szCs w:val="24"/>
        </w:rPr>
        <w:t xml:space="preserve"> infektioner i en hvilken som helst del af kroppen i forbindelse med brug af </w:t>
      </w:r>
      <w:proofErr w:type="spellStart"/>
      <w:r w:rsidRPr="009F56AD">
        <w:rPr>
          <w:sz w:val="24"/>
          <w:szCs w:val="24"/>
        </w:rPr>
        <w:t>cytarabin</w:t>
      </w:r>
      <w:proofErr w:type="spellEnd"/>
      <w:r w:rsidRPr="009F56AD">
        <w:rPr>
          <w:sz w:val="24"/>
          <w:szCs w:val="24"/>
        </w:rPr>
        <w:t xml:space="preserve"> alene eller i kombination med andre immunsuppressive lægemidler efter immunsuppressive doser, der påvirker cellulær eller </w:t>
      </w:r>
      <w:proofErr w:type="spellStart"/>
      <w:r w:rsidRPr="009F56AD">
        <w:rPr>
          <w:sz w:val="24"/>
          <w:szCs w:val="24"/>
        </w:rPr>
        <w:t>humoral</w:t>
      </w:r>
      <w:proofErr w:type="spellEnd"/>
      <w:r w:rsidRPr="009F56AD">
        <w:rPr>
          <w:sz w:val="24"/>
          <w:szCs w:val="24"/>
        </w:rPr>
        <w:t xml:space="preserve"> immunitet. Disse infektioner kan være milde, men også alvorlige og til tider fatale.</w:t>
      </w:r>
    </w:p>
    <w:p w:rsidR="003052EF" w:rsidRDefault="003052EF" w:rsidP="00947B7B">
      <w:pPr>
        <w:ind w:left="851"/>
        <w:rPr>
          <w:sz w:val="24"/>
          <w:szCs w:val="24"/>
        </w:rPr>
      </w:pPr>
    </w:p>
    <w:p w:rsidR="003052EF" w:rsidRDefault="003052EF" w:rsidP="003052EF">
      <w:pPr>
        <w:ind w:left="851"/>
        <w:rPr>
          <w:sz w:val="24"/>
          <w:szCs w:val="24"/>
        </w:rPr>
      </w:pPr>
      <w:proofErr w:type="spellStart"/>
      <w:r>
        <w:rPr>
          <w:sz w:val="24"/>
          <w:szCs w:val="24"/>
        </w:rPr>
        <w:t>Cytostatiske</w:t>
      </w:r>
      <w:proofErr w:type="spellEnd"/>
      <w:r>
        <w:rPr>
          <w:sz w:val="24"/>
          <w:szCs w:val="24"/>
        </w:rPr>
        <w:t xml:space="preserve"> antibiotika:</w:t>
      </w:r>
    </w:p>
    <w:p w:rsidR="003052EF" w:rsidRDefault="003052EF" w:rsidP="003052EF">
      <w:pPr>
        <w:ind w:left="851"/>
        <w:rPr>
          <w:sz w:val="24"/>
          <w:szCs w:val="24"/>
        </w:rPr>
      </w:pPr>
      <w:r>
        <w:rPr>
          <w:sz w:val="24"/>
          <w:szCs w:val="24"/>
        </w:rPr>
        <w:t xml:space="preserve">Der kan forekomme øget toksicitet efter samtidig brug af </w:t>
      </w:r>
      <w:proofErr w:type="spellStart"/>
      <w:r>
        <w:rPr>
          <w:sz w:val="24"/>
          <w:szCs w:val="24"/>
        </w:rPr>
        <w:t>cytarabin</w:t>
      </w:r>
      <w:proofErr w:type="spellEnd"/>
      <w:r>
        <w:rPr>
          <w:sz w:val="24"/>
          <w:szCs w:val="24"/>
        </w:rPr>
        <w:t xml:space="preserve"> og </w:t>
      </w:r>
      <w:proofErr w:type="spellStart"/>
      <w:r>
        <w:rPr>
          <w:sz w:val="24"/>
          <w:szCs w:val="24"/>
        </w:rPr>
        <w:t>idarubicin</w:t>
      </w:r>
      <w:proofErr w:type="spellEnd"/>
      <w:r>
        <w:rPr>
          <w:sz w:val="24"/>
          <w:szCs w:val="24"/>
        </w:rPr>
        <w:t>.</w:t>
      </w:r>
    </w:p>
    <w:p w:rsidR="003052EF" w:rsidRDefault="003052EF" w:rsidP="003052EF">
      <w:pPr>
        <w:ind w:left="851"/>
        <w:rPr>
          <w:sz w:val="24"/>
          <w:szCs w:val="24"/>
        </w:rPr>
      </w:pPr>
    </w:p>
    <w:p w:rsidR="003052EF" w:rsidRDefault="003052EF" w:rsidP="003052EF">
      <w:pPr>
        <w:ind w:left="851"/>
        <w:rPr>
          <w:sz w:val="24"/>
          <w:szCs w:val="24"/>
        </w:rPr>
      </w:pPr>
      <w:proofErr w:type="spellStart"/>
      <w:r>
        <w:rPr>
          <w:sz w:val="24"/>
          <w:szCs w:val="24"/>
        </w:rPr>
        <w:t>Methotrexat</w:t>
      </w:r>
      <w:proofErr w:type="spellEnd"/>
      <w:r>
        <w:rPr>
          <w:sz w:val="24"/>
          <w:szCs w:val="24"/>
        </w:rPr>
        <w:t>:</w:t>
      </w:r>
    </w:p>
    <w:p w:rsidR="003052EF" w:rsidRPr="009F56AD" w:rsidRDefault="003052EF" w:rsidP="003052EF">
      <w:pPr>
        <w:ind w:left="851"/>
        <w:rPr>
          <w:sz w:val="24"/>
          <w:szCs w:val="24"/>
        </w:rPr>
      </w:pPr>
      <w:r>
        <w:rPr>
          <w:sz w:val="24"/>
          <w:szCs w:val="24"/>
        </w:rPr>
        <w:t xml:space="preserve">Der er evidens for </w:t>
      </w:r>
      <w:proofErr w:type="spellStart"/>
      <w:r>
        <w:rPr>
          <w:sz w:val="24"/>
          <w:szCs w:val="24"/>
        </w:rPr>
        <w:t>farmakodynamisk</w:t>
      </w:r>
      <w:proofErr w:type="spellEnd"/>
      <w:r>
        <w:rPr>
          <w:sz w:val="24"/>
          <w:szCs w:val="24"/>
        </w:rPr>
        <w:t xml:space="preserve"> interaktion mellem </w:t>
      </w:r>
      <w:proofErr w:type="spellStart"/>
      <w:r>
        <w:rPr>
          <w:sz w:val="24"/>
          <w:szCs w:val="24"/>
        </w:rPr>
        <w:t>methotrexat</w:t>
      </w:r>
      <w:proofErr w:type="spellEnd"/>
      <w:r>
        <w:rPr>
          <w:sz w:val="24"/>
          <w:szCs w:val="24"/>
        </w:rPr>
        <w:t xml:space="preserve"> og </w:t>
      </w:r>
      <w:proofErr w:type="spellStart"/>
      <w:r>
        <w:rPr>
          <w:sz w:val="24"/>
          <w:szCs w:val="24"/>
        </w:rPr>
        <w:t>cytarabin</w:t>
      </w:r>
      <w:proofErr w:type="spellEnd"/>
      <w:r>
        <w:rPr>
          <w:sz w:val="24"/>
          <w:szCs w:val="24"/>
        </w:rPr>
        <w:t xml:space="preserve">, der medfører </w:t>
      </w:r>
      <w:proofErr w:type="spellStart"/>
      <w:r>
        <w:rPr>
          <w:sz w:val="24"/>
          <w:szCs w:val="24"/>
        </w:rPr>
        <w:t>encephalopati</w:t>
      </w:r>
      <w:proofErr w:type="spellEnd"/>
      <w:r>
        <w:rPr>
          <w:sz w:val="24"/>
          <w:szCs w:val="24"/>
        </w:rPr>
        <w:t>.</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4.6</w:t>
      </w:r>
      <w:r w:rsidRPr="009F56AD">
        <w:rPr>
          <w:b/>
          <w:sz w:val="24"/>
          <w:szCs w:val="24"/>
        </w:rPr>
        <w:tab/>
      </w:r>
      <w:r w:rsidR="003052EF">
        <w:rPr>
          <w:b/>
          <w:sz w:val="24"/>
          <w:szCs w:val="24"/>
        </w:rPr>
        <w:t>Fertilitet, g</w:t>
      </w:r>
      <w:r w:rsidRPr="009F56AD">
        <w:rPr>
          <w:b/>
          <w:sz w:val="24"/>
          <w:szCs w:val="24"/>
        </w:rPr>
        <w:t>raviditet og amning</w:t>
      </w:r>
    </w:p>
    <w:p w:rsidR="00947B7B" w:rsidRDefault="00947B7B" w:rsidP="00947B7B">
      <w:pPr>
        <w:ind w:left="851"/>
        <w:rPr>
          <w:sz w:val="24"/>
          <w:szCs w:val="24"/>
        </w:rPr>
      </w:pPr>
    </w:p>
    <w:p w:rsidR="003052EF" w:rsidRDefault="003052EF" w:rsidP="003052EF">
      <w:pPr>
        <w:ind w:left="851"/>
        <w:rPr>
          <w:sz w:val="24"/>
          <w:szCs w:val="24"/>
          <w:u w:val="single"/>
          <w:lang w:eastAsia="en-GB"/>
        </w:rPr>
      </w:pPr>
      <w:r>
        <w:rPr>
          <w:sz w:val="24"/>
          <w:szCs w:val="24"/>
          <w:u w:val="single"/>
        </w:rPr>
        <w:t>Kvinder i den fødedygtige alder/Prævention til mænd og kvinder</w:t>
      </w:r>
    </w:p>
    <w:p w:rsidR="003052EF" w:rsidRDefault="003052EF" w:rsidP="003052EF">
      <w:pPr>
        <w:ind w:left="851"/>
        <w:rPr>
          <w:b/>
          <w:sz w:val="24"/>
          <w:szCs w:val="24"/>
        </w:rPr>
      </w:pPr>
      <w:r>
        <w:rPr>
          <w:sz w:val="24"/>
          <w:szCs w:val="24"/>
        </w:rPr>
        <w:lastRenderedPageBreak/>
        <w:t xml:space="preserve">Kvinder skal anvende sikker prævention under behandlingen og i mindst 6 måneder efter behandlingen. Eftersom </w:t>
      </w:r>
      <w:proofErr w:type="spellStart"/>
      <w:r>
        <w:rPr>
          <w:sz w:val="24"/>
          <w:szCs w:val="24"/>
        </w:rPr>
        <w:t>cytarabin</w:t>
      </w:r>
      <w:proofErr w:type="spellEnd"/>
      <w:r>
        <w:rPr>
          <w:sz w:val="24"/>
          <w:szCs w:val="24"/>
        </w:rPr>
        <w:t xml:space="preserve"> har et mutagent potentiale, der kan fremkalde kromosomale skader i humane spermatozoer, bør mænd, der behandles med </w:t>
      </w:r>
      <w:proofErr w:type="spellStart"/>
      <w:r>
        <w:rPr>
          <w:sz w:val="24"/>
          <w:szCs w:val="24"/>
        </w:rPr>
        <w:t>cytarabin</w:t>
      </w:r>
      <w:proofErr w:type="spellEnd"/>
      <w:r>
        <w:rPr>
          <w:sz w:val="24"/>
          <w:szCs w:val="24"/>
        </w:rPr>
        <w:t xml:space="preserve">, og deres partner rådes til at anvende effektiv prævention under og i mindst 3 måneder efter behandlingen. </w:t>
      </w:r>
    </w:p>
    <w:p w:rsidR="003052EF" w:rsidRDefault="003052EF" w:rsidP="003052EF">
      <w:pPr>
        <w:ind w:left="851"/>
        <w:rPr>
          <w:b/>
          <w:sz w:val="24"/>
          <w:szCs w:val="24"/>
        </w:rPr>
      </w:pPr>
    </w:p>
    <w:p w:rsidR="003052EF" w:rsidRDefault="003052EF" w:rsidP="003052EF">
      <w:pPr>
        <w:ind w:left="851"/>
        <w:rPr>
          <w:b/>
          <w:sz w:val="24"/>
          <w:szCs w:val="24"/>
        </w:rPr>
      </w:pPr>
      <w:r>
        <w:rPr>
          <w:b/>
          <w:sz w:val="24"/>
          <w:szCs w:val="24"/>
        </w:rPr>
        <w:t xml:space="preserve">Fertilitet </w:t>
      </w:r>
    </w:p>
    <w:p w:rsidR="003052EF" w:rsidRDefault="003052EF" w:rsidP="003052EF">
      <w:pPr>
        <w:ind w:left="851"/>
        <w:rPr>
          <w:sz w:val="24"/>
          <w:szCs w:val="24"/>
        </w:rPr>
      </w:pPr>
      <w:r>
        <w:rPr>
          <w:sz w:val="24"/>
          <w:szCs w:val="24"/>
        </w:rPr>
        <w:t xml:space="preserve">Der er ikke udført fertilitetsstudier med henblik på at vurdere </w:t>
      </w:r>
      <w:proofErr w:type="spellStart"/>
      <w:r>
        <w:rPr>
          <w:sz w:val="24"/>
          <w:szCs w:val="24"/>
        </w:rPr>
        <w:t>cytarabins</w:t>
      </w:r>
      <w:proofErr w:type="spellEnd"/>
      <w:r>
        <w:rPr>
          <w:sz w:val="24"/>
          <w:szCs w:val="24"/>
        </w:rPr>
        <w:t xml:space="preserve"> reproduktions</w:t>
      </w:r>
      <w:r>
        <w:rPr>
          <w:sz w:val="24"/>
          <w:szCs w:val="24"/>
        </w:rPr>
        <w:softHyphen/>
        <w:t xml:space="preserve">toksicitet. </w:t>
      </w:r>
      <w:proofErr w:type="spellStart"/>
      <w:r>
        <w:rPr>
          <w:sz w:val="24"/>
          <w:szCs w:val="24"/>
        </w:rPr>
        <w:t>Gonadal</w:t>
      </w:r>
      <w:proofErr w:type="spellEnd"/>
      <w:r>
        <w:rPr>
          <w:sz w:val="24"/>
          <w:szCs w:val="24"/>
        </w:rPr>
        <w:t xml:space="preserve"> suppression resulterende i </w:t>
      </w:r>
      <w:proofErr w:type="spellStart"/>
      <w:r>
        <w:rPr>
          <w:sz w:val="24"/>
          <w:szCs w:val="24"/>
        </w:rPr>
        <w:t>amenoré</w:t>
      </w:r>
      <w:proofErr w:type="spellEnd"/>
      <w:r>
        <w:rPr>
          <w:sz w:val="24"/>
          <w:szCs w:val="24"/>
        </w:rPr>
        <w:t xml:space="preserve"> eller </w:t>
      </w:r>
      <w:proofErr w:type="spellStart"/>
      <w:r>
        <w:rPr>
          <w:sz w:val="24"/>
          <w:szCs w:val="24"/>
        </w:rPr>
        <w:t>azospermi</w:t>
      </w:r>
      <w:proofErr w:type="spellEnd"/>
      <w:r>
        <w:rPr>
          <w:sz w:val="24"/>
          <w:szCs w:val="24"/>
        </w:rPr>
        <w:t xml:space="preserve"> kan forekomme hos patienter, der er i </w:t>
      </w:r>
      <w:proofErr w:type="spellStart"/>
      <w:r>
        <w:rPr>
          <w:sz w:val="24"/>
          <w:szCs w:val="24"/>
        </w:rPr>
        <w:t>cytarabinbehandling</w:t>
      </w:r>
      <w:proofErr w:type="spellEnd"/>
      <w:r>
        <w:rPr>
          <w:sz w:val="24"/>
          <w:szCs w:val="24"/>
        </w:rPr>
        <w:t xml:space="preserve">, især i kombination med </w:t>
      </w:r>
      <w:proofErr w:type="spellStart"/>
      <w:r>
        <w:rPr>
          <w:sz w:val="24"/>
          <w:szCs w:val="24"/>
        </w:rPr>
        <w:t>alkylerende</w:t>
      </w:r>
      <w:proofErr w:type="spellEnd"/>
      <w:r>
        <w:rPr>
          <w:sz w:val="24"/>
          <w:szCs w:val="24"/>
        </w:rPr>
        <w:t xml:space="preserve"> stoffer. Generelt forekommer disse virkninger til at være relateret til dosis og behandlingslængde og kan være irreversible (se pkt. 4.8).</w:t>
      </w:r>
    </w:p>
    <w:p w:rsidR="00947B7B" w:rsidRPr="009F56AD" w:rsidRDefault="00947B7B" w:rsidP="00947B7B">
      <w:pPr>
        <w:ind w:left="851"/>
        <w:rPr>
          <w:b/>
          <w:sz w:val="24"/>
          <w:szCs w:val="24"/>
        </w:rPr>
      </w:pPr>
    </w:p>
    <w:p w:rsidR="00947B7B" w:rsidRPr="009F56AD" w:rsidRDefault="00947B7B" w:rsidP="00947B7B">
      <w:pPr>
        <w:ind w:left="851"/>
        <w:rPr>
          <w:b/>
          <w:sz w:val="24"/>
          <w:szCs w:val="24"/>
        </w:rPr>
      </w:pPr>
      <w:r w:rsidRPr="009F56AD">
        <w:rPr>
          <w:b/>
          <w:sz w:val="24"/>
          <w:szCs w:val="24"/>
        </w:rPr>
        <w:t>Graviditet</w:t>
      </w:r>
    </w:p>
    <w:p w:rsidR="00947B7B" w:rsidRPr="009F56AD" w:rsidRDefault="00947B7B" w:rsidP="00947B7B">
      <w:pPr>
        <w:ind w:left="851"/>
        <w:rPr>
          <w:sz w:val="24"/>
          <w:szCs w:val="24"/>
        </w:rPr>
      </w:pPr>
      <w:proofErr w:type="spellStart"/>
      <w:r w:rsidRPr="009F56AD">
        <w:rPr>
          <w:sz w:val="24"/>
          <w:szCs w:val="24"/>
        </w:rPr>
        <w:t>Cytarabin</w:t>
      </w:r>
      <w:proofErr w:type="spellEnd"/>
      <w:r w:rsidRPr="009F56AD">
        <w:rPr>
          <w:sz w:val="24"/>
          <w:szCs w:val="24"/>
        </w:rPr>
        <w:t xml:space="preserve"> er kendt for at være </w:t>
      </w:r>
      <w:proofErr w:type="spellStart"/>
      <w:r w:rsidRPr="009F56AD">
        <w:rPr>
          <w:sz w:val="24"/>
          <w:szCs w:val="24"/>
        </w:rPr>
        <w:t>teratogent</w:t>
      </w:r>
      <w:proofErr w:type="spellEnd"/>
      <w:r w:rsidRPr="009F56AD">
        <w:rPr>
          <w:sz w:val="24"/>
          <w:szCs w:val="24"/>
        </w:rPr>
        <w:t xml:space="preserve"> i visse dyrearter. Brug af </w:t>
      </w:r>
      <w:proofErr w:type="spellStart"/>
      <w:r w:rsidRPr="009F56AD">
        <w:rPr>
          <w:sz w:val="24"/>
          <w:szCs w:val="24"/>
        </w:rPr>
        <w:t>cytarabin</w:t>
      </w:r>
      <w:proofErr w:type="spellEnd"/>
      <w:r w:rsidRPr="009F56AD">
        <w:rPr>
          <w:sz w:val="24"/>
          <w:szCs w:val="24"/>
        </w:rPr>
        <w:t xml:space="preserve"> til kvinder, som er eller som kan blive gravide, bør udelukkende ske efter nøje vurdering af mulige fordele og risici.</w:t>
      </w:r>
    </w:p>
    <w:p w:rsidR="00947B7B" w:rsidRPr="009F56AD" w:rsidRDefault="00947B7B" w:rsidP="00947B7B">
      <w:pPr>
        <w:ind w:left="851"/>
        <w:rPr>
          <w:sz w:val="24"/>
          <w:szCs w:val="24"/>
        </w:rPr>
      </w:pPr>
    </w:p>
    <w:p w:rsidR="00947B7B" w:rsidRPr="009F56AD" w:rsidRDefault="00947B7B" w:rsidP="00947B7B">
      <w:pPr>
        <w:ind w:left="851"/>
        <w:rPr>
          <w:sz w:val="24"/>
          <w:szCs w:val="24"/>
          <w:highlight w:val="yellow"/>
        </w:rPr>
      </w:pPr>
      <w:r w:rsidRPr="009F56AD">
        <w:rPr>
          <w:sz w:val="24"/>
          <w:szCs w:val="24"/>
        </w:rPr>
        <w:t xml:space="preserve">På grund af risikoen for abnormiteter med </w:t>
      </w:r>
      <w:proofErr w:type="spellStart"/>
      <w:r w:rsidRPr="009F56AD">
        <w:rPr>
          <w:sz w:val="24"/>
          <w:szCs w:val="24"/>
        </w:rPr>
        <w:t>cytotoksisk</w:t>
      </w:r>
      <w:proofErr w:type="spellEnd"/>
      <w:r w:rsidRPr="009F56AD">
        <w:rPr>
          <w:sz w:val="24"/>
          <w:szCs w:val="24"/>
        </w:rPr>
        <w:t xml:space="preserve"> behandling, især i løbet af første trimester, bør en patient, der er eller som kan blive gravid, mens hun er på </w:t>
      </w:r>
      <w:proofErr w:type="spellStart"/>
      <w:r w:rsidRPr="009F56AD">
        <w:rPr>
          <w:sz w:val="24"/>
          <w:szCs w:val="24"/>
        </w:rPr>
        <w:t>cytarabin</w:t>
      </w:r>
      <w:proofErr w:type="spellEnd"/>
      <w:r w:rsidRPr="009F56AD">
        <w:rPr>
          <w:sz w:val="24"/>
          <w:szCs w:val="24"/>
        </w:rPr>
        <w:t xml:space="preserve">, oplyses om den potentielle risiko for fosteret og om det er hensigtsmæssigt at fortsætte graviditeten. Der er en definitiv, men væsentligt reduceret risiko, hvis behandlingen påbegyndes i andet eller tredje trimester. Selv om der er født normale spædbørn af patienter behandlet i alle tre </w:t>
      </w:r>
      <w:proofErr w:type="spellStart"/>
      <w:r w:rsidRPr="009F56AD">
        <w:rPr>
          <w:sz w:val="24"/>
          <w:szCs w:val="24"/>
        </w:rPr>
        <w:t>graviditetstrimestre</w:t>
      </w:r>
      <w:proofErr w:type="spellEnd"/>
      <w:r w:rsidRPr="009F56AD">
        <w:rPr>
          <w:sz w:val="24"/>
          <w:szCs w:val="24"/>
        </w:rPr>
        <w:t>, er opfølgning af sådanne spædbørn anbefalelsesværdig.</w:t>
      </w:r>
    </w:p>
    <w:p w:rsidR="00947B7B" w:rsidRPr="009F56AD" w:rsidRDefault="00947B7B" w:rsidP="00947B7B">
      <w:pPr>
        <w:ind w:left="851"/>
        <w:rPr>
          <w:sz w:val="24"/>
          <w:szCs w:val="24"/>
          <w:highlight w:val="yellow"/>
        </w:rPr>
      </w:pPr>
    </w:p>
    <w:p w:rsidR="00947B7B" w:rsidRPr="009F56AD" w:rsidRDefault="00947B7B" w:rsidP="00947B7B">
      <w:pPr>
        <w:ind w:left="851"/>
        <w:rPr>
          <w:b/>
          <w:sz w:val="24"/>
          <w:szCs w:val="24"/>
        </w:rPr>
      </w:pPr>
      <w:r w:rsidRPr="009F56AD">
        <w:rPr>
          <w:b/>
          <w:sz w:val="24"/>
          <w:szCs w:val="24"/>
        </w:rPr>
        <w:t>Amning</w:t>
      </w:r>
    </w:p>
    <w:p w:rsidR="00947B7B" w:rsidRPr="009F56AD" w:rsidRDefault="00947B7B" w:rsidP="00947B7B">
      <w:pPr>
        <w:ind w:left="851"/>
        <w:rPr>
          <w:sz w:val="24"/>
          <w:szCs w:val="24"/>
        </w:rPr>
      </w:pPr>
      <w:r w:rsidRPr="009F56AD">
        <w:rPr>
          <w:sz w:val="24"/>
          <w:szCs w:val="24"/>
        </w:rPr>
        <w:t xml:space="preserve">Det vides ikke om dette lægemiddel udskilles i modermælk. Da mange lægemidler udskilles i modermælk og på grund af muligheden for alvorlige bivirkninger hos ammende spædbørn pga. </w:t>
      </w:r>
      <w:proofErr w:type="spellStart"/>
      <w:r w:rsidRPr="009F56AD">
        <w:rPr>
          <w:sz w:val="24"/>
          <w:szCs w:val="24"/>
        </w:rPr>
        <w:t>cytarabin</w:t>
      </w:r>
      <w:proofErr w:type="spellEnd"/>
      <w:r w:rsidRPr="009F56AD">
        <w:rPr>
          <w:sz w:val="24"/>
          <w:szCs w:val="24"/>
        </w:rPr>
        <w:t>, bør det besluttes, om moderen vil stoppe med at amme eller at ophøre med lægemidlet, under hensyntagen til lægemidlets betydning for moderen.</w:t>
      </w:r>
    </w:p>
    <w:p w:rsidR="00947B7B" w:rsidRPr="009F56AD" w:rsidRDefault="00947B7B" w:rsidP="00947B7B">
      <w:pPr>
        <w:ind w:left="851"/>
        <w:rPr>
          <w:sz w:val="24"/>
          <w:szCs w:val="24"/>
          <w:highlight w:val="yellow"/>
        </w:rPr>
      </w:pPr>
      <w:r w:rsidRPr="009F56AD">
        <w:rPr>
          <w:sz w:val="24"/>
          <w:szCs w:val="24"/>
        </w:rPr>
        <w:t xml:space="preserve">Dette produkt bør normalt ikke gives til </w:t>
      </w:r>
      <w:r w:rsidR="003052EF">
        <w:rPr>
          <w:sz w:val="24"/>
          <w:szCs w:val="24"/>
        </w:rPr>
        <w:t xml:space="preserve">mødre, der </w:t>
      </w:r>
      <w:r w:rsidRPr="009F56AD">
        <w:rPr>
          <w:sz w:val="24"/>
          <w:szCs w:val="24"/>
        </w:rPr>
        <w:t>ammer.</w:t>
      </w:r>
    </w:p>
    <w:p w:rsidR="00947B7B" w:rsidRPr="009F56AD" w:rsidRDefault="00947B7B" w:rsidP="003052EF">
      <w:pPr>
        <w:tabs>
          <w:tab w:val="left" w:pos="851"/>
        </w:tabs>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4.7</w:t>
      </w:r>
      <w:r w:rsidRPr="009F56AD">
        <w:rPr>
          <w:b/>
          <w:sz w:val="24"/>
          <w:szCs w:val="24"/>
        </w:rPr>
        <w:tab/>
        <w:t xml:space="preserve">Virkning på evnen til at føre motorkøretøj </w:t>
      </w:r>
      <w:r w:rsidR="003052EF">
        <w:rPr>
          <w:b/>
          <w:sz w:val="24"/>
          <w:szCs w:val="24"/>
        </w:rPr>
        <w:t>og</w:t>
      </w:r>
      <w:r w:rsidRPr="009F56AD">
        <w:rPr>
          <w:b/>
          <w:sz w:val="24"/>
          <w:szCs w:val="24"/>
        </w:rPr>
        <w:t xml:space="preserve"> betjene maskiner</w:t>
      </w:r>
    </w:p>
    <w:p w:rsidR="00947B7B" w:rsidRPr="009F56AD" w:rsidRDefault="00947B7B" w:rsidP="00947B7B">
      <w:pPr>
        <w:ind w:left="851"/>
        <w:rPr>
          <w:sz w:val="24"/>
          <w:szCs w:val="24"/>
          <w:lang w:eastAsia="en-GB"/>
        </w:rPr>
      </w:pPr>
      <w:r w:rsidRPr="009F56AD">
        <w:rPr>
          <w:sz w:val="24"/>
          <w:szCs w:val="24"/>
        </w:rPr>
        <w:t>Ikke mærkning.</w:t>
      </w:r>
    </w:p>
    <w:p w:rsidR="00947B7B" w:rsidRPr="009F56AD" w:rsidRDefault="00947B7B" w:rsidP="00947B7B">
      <w:pPr>
        <w:ind w:left="851"/>
        <w:rPr>
          <w:sz w:val="24"/>
          <w:szCs w:val="24"/>
          <w:highlight w:val="yellow"/>
        </w:rPr>
      </w:pPr>
      <w:proofErr w:type="spellStart"/>
      <w:r w:rsidRPr="009F56AD">
        <w:rPr>
          <w:sz w:val="24"/>
          <w:szCs w:val="24"/>
        </w:rPr>
        <w:t>Cytarabin</w:t>
      </w:r>
      <w:proofErr w:type="spellEnd"/>
      <w:r w:rsidRPr="009F56AD">
        <w:rPr>
          <w:sz w:val="24"/>
          <w:szCs w:val="24"/>
        </w:rPr>
        <w:t xml:space="preserve"> </w:t>
      </w:r>
      <w:r w:rsidR="003052EF">
        <w:rPr>
          <w:sz w:val="24"/>
          <w:szCs w:val="24"/>
        </w:rPr>
        <w:t xml:space="preserve">påvirker ikke </w:t>
      </w:r>
      <w:r w:rsidRPr="009F56AD">
        <w:rPr>
          <w:sz w:val="24"/>
          <w:szCs w:val="24"/>
        </w:rPr>
        <w:t>evnen til at føre motorkøretøj eller betjene maskiner.</w:t>
      </w:r>
    </w:p>
    <w:p w:rsidR="00947B7B" w:rsidRPr="009F56AD" w:rsidRDefault="00947B7B" w:rsidP="00947B7B">
      <w:pPr>
        <w:ind w:left="851"/>
        <w:rPr>
          <w:sz w:val="24"/>
          <w:szCs w:val="24"/>
        </w:rPr>
      </w:pPr>
      <w:r w:rsidRPr="009F56AD">
        <w:rPr>
          <w:sz w:val="24"/>
          <w:szCs w:val="24"/>
        </w:rPr>
        <w:t>Dog kan patienter, som får kemoterapi, have nedsat evne til at føre motorkøretøj eller betjene maskiner, og de bør advares om muligheden og rådes til at undgå sådanne opgaver, hvis de føler sig påvirket.</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4.8</w:t>
      </w:r>
      <w:r w:rsidRPr="009F56AD">
        <w:rPr>
          <w:b/>
          <w:sz w:val="24"/>
          <w:szCs w:val="24"/>
        </w:rPr>
        <w:tab/>
        <w:t>Bivirkninger</w:t>
      </w:r>
    </w:p>
    <w:p w:rsidR="00947B7B" w:rsidRPr="009F56AD" w:rsidRDefault="00947B7B" w:rsidP="00947B7B">
      <w:pPr>
        <w:ind w:left="851"/>
        <w:rPr>
          <w:sz w:val="24"/>
          <w:szCs w:val="24"/>
          <w:lang w:eastAsia="en-GB"/>
        </w:rPr>
      </w:pPr>
      <w:r w:rsidRPr="009F56AD">
        <w:rPr>
          <w:sz w:val="24"/>
          <w:szCs w:val="24"/>
        </w:rPr>
        <w:t xml:space="preserve">De følgende bivirkninger er blevet rapporteret i forbindelse med </w:t>
      </w:r>
      <w:proofErr w:type="spellStart"/>
      <w:r w:rsidRPr="009F56AD">
        <w:rPr>
          <w:sz w:val="24"/>
          <w:szCs w:val="24"/>
        </w:rPr>
        <w:t>cytarabinbehandling</w:t>
      </w:r>
      <w:proofErr w:type="spellEnd"/>
      <w:r w:rsidRPr="009F56AD">
        <w:rPr>
          <w:sz w:val="24"/>
          <w:szCs w:val="24"/>
        </w:rPr>
        <w:t>. Hyppigheder er defineret ud fra følgende konvention:</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rPr>
      </w:pPr>
      <w:r w:rsidRPr="009F56AD">
        <w:rPr>
          <w:sz w:val="24"/>
          <w:szCs w:val="24"/>
        </w:rPr>
        <w:t>Meget almindelig (≥ 1/10), almindelig (≥ 1/100 til &lt; 1/10), ikke almindelig (≥ 1/1.000 til &lt; 1/100), sjælden (≥ 1/10.000 til &lt; 1/1.000), meget sjælden (&lt; 1/10.000), ikke kendt (kan ikke estimeres ud fra forhåndenværende data).</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rPr>
      </w:pPr>
      <w:r w:rsidRPr="009F56AD">
        <w:rPr>
          <w:sz w:val="24"/>
          <w:szCs w:val="24"/>
        </w:rPr>
        <w:t xml:space="preserve">De hyppigste bivirkninger omfatter kvalme, opkastning, diarré, feber, udslæt, anoreksi, oral og anal inflammation eller sårdannelse og </w:t>
      </w:r>
      <w:proofErr w:type="spellStart"/>
      <w:r w:rsidRPr="009F56AD">
        <w:rPr>
          <w:sz w:val="24"/>
          <w:szCs w:val="24"/>
        </w:rPr>
        <w:t>hepatisk</w:t>
      </w:r>
      <w:proofErr w:type="spellEnd"/>
      <w:r w:rsidRPr="009F56AD">
        <w:rPr>
          <w:sz w:val="24"/>
          <w:szCs w:val="24"/>
        </w:rPr>
        <w:t xml:space="preserve"> dysfunktion.</w:t>
      </w:r>
    </w:p>
    <w:p w:rsidR="00947B7B" w:rsidRPr="009F56AD" w:rsidRDefault="00947B7B" w:rsidP="00947B7B">
      <w:pPr>
        <w:ind w:left="851"/>
        <w:rPr>
          <w:sz w:val="24"/>
          <w:szCs w:val="24"/>
        </w:rPr>
      </w:pPr>
    </w:p>
    <w:p w:rsidR="00947B7B" w:rsidRPr="009F56AD" w:rsidRDefault="00947B7B" w:rsidP="00947B7B">
      <w:pPr>
        <w:ind w:left="851"/>
        <w:rPr>
          <w:sz w:val="24"/>
          <w:szCs w:val="24"/>
        </w:rPr>
      </w:pPr>
      <w:r w:rsidRPr="009F56AD">
        <w:rPr>
          <w:sz w:val="24"/>
          <w:szCs w:val="24"/>
        </w:rPr>
        <w:lastRenderedPageBreak/>
        <w:t xml:space="preserve">Blod- og lymfesystem: Da </w:t>
      </w:r>
      <w:proofErr w:type="spellStart"/>
      <w:r w:rsidRPr="009F56AD">
        <w:rPr>
          <w:sz w:val="24"/>
          <w:szCs w:val="24"/>
        </w:rPr>
        <w:t>cytarabin</w:t>
      </w:r>
      <w:proofErr w:type="spellEnd"/>
      <w:r w:rsidRPr="009F56AD">
        <w:rPr>
          <w:sz w:val="24"/>
          <w:szCs w:val="24"/>
        </w:rPr>
        <w:t xml:space="preserve"> er et </w:t>
      </w:r>
      <w:proofErr w:type="spellStart"/>
      <w:r w:rsidRPr="009F56AD">
        <w:rPr>
          <w:sz w:val="24"/>
          <w:szCs w:val="24"/>
        </w:rPr>
        <w:t>knoglemarvssuppresserende</w:t>
      </w:r>
      <w:proofErr w:type="spellEnd"/>
      <w:r w:rsidRPr="009F56AD">
        <w:rPr>
          <w:sz w:val="24"/>
          <w:szCs w:val="24"/>
        </w:rPr>
        <w:t xml:space="preserve"> middel, kan anæmi, </w:t>
      </w:r>
      <w:proofErr w:type="spellStart"/>
      <w:r w:rsidRPr="009F56AD">
        <w:rPr>
          <w:sz w:val="24"/>
          <w:szCs w:val="24"/>
        </w:rPr>
        <w:t>leukopeni</w:t>
      </w:r>
      <w:proofErr w:type="spellEnd"/>
      <w:r w:rsidRPr="009F56AD">
        <w:rPr>
          <w:sz w:val="24"/>
          <w:szCs w:val="24"/>
        </w:rPr>
        <w:t xml:space="preserve">, </w:t>
      </w:r>
      <w:proofErr w:type="spellStart"/>
      <w:r w:rsidRPr="009F56AD">
        <w:rPr>
          <w:sz w:val="24"/>
          <w:szCs w:val="24"/>
        </w:rPr>
        <w:t>trombocytopeni</w:t>
      </w:r>
      <w:proofErr w:type="spellEnd"/>
      <w:r w:rsidRPr="009F56AD">
        <w:rPr>
          <w:sz w:val="24"/>
          <w:szCs w:val="24"/>
        </w:rPr>
        <w:t xml:space="preserve">, </w:t>
      </w:r>
      <w:proofErr w:type="spellStart"/>
      <w:r w:rsidRPr="009F56AD">
        <w:rPr>
          <w:sz w:val="24"/>
          <w:szCs w:val="24"/>
        </w:rPr>
        <w:t>megaloblastose</w:t>
      </w:r>
      <w:proofErr w:type="spellEnd"/>
      <w:r w:rsidRPr="009F56AD">
        <w:rPr>
          <w:sz w:val="24"/>
          <w:szCs w:val="24"/>
        </w:rPr>
        <w:t xml:space="preserve"> og reducerede </w:t>
      </w:r>
      <w:proofErr w:type="spellStart"/>
      <w:r w:rsidRPr="009F56AD">
        <w:rPr>
          <w:sz w:val="24"/>
          <w:szCs w:val="24"/>
        </w:rPr>
        <w:t>retikulocytter</w:t>
      </w:r>
      <w:proofErr w:type="spellEnd"/>
      <w:r w:rsidRPr="009F56AD">
        <w:rPr>
          <w:sz w:val="24"/>
          <w:szCs w:val="24"/>
        </w:rPr>
        <w:t xml:space="preserve"> forventes som følge af administrationen. Sværhedsgraden af disse bivirkninger afhænger af dosis og tidsplan. Der kan forventes cellulære ændringer i knoglemarvens morfologi og perifere udslæt.</w:t>
      </w:r>
    </w:p>
    <w:p w:rsidR="00947B7B" w:rsidRPr="009F56AD" w:rsidRDefault="00947B7B" w:rsidP="00947B7B">
      <w:pPr>
        <w:pStyle w:val="NormalWeb"/>
        <w:tabs>
          <w:tab w:val="left" w:pos="567"/>
        </w:tabs>
        <w:spacing w:before="0" w:beforeAutospacing="0" w:after="0" w:afterAutospacing="0"/>
        <w:ind w:left="851" w:hanging="851"/>
        <w:rPr>
          <w:highlight w:val="yellow"/>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962"/>
      </w:tblGrid>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sz w:val="24"/>
                <w:szCs w:val="24"/>
              </w:rPr>
              <w:t>Infektioner og parasitære sygdomme</w:t>
            </w:r>
          </w:p>
        </w:tc>
        <w:tc>
          <w:tcPr>
            <w:tcW w:w="2823" w:type="pct"/>
            <w:tcBorders>
              <w:top w:val="single" w:sz="4" w:space="0" w:color="auto"/>
              <w:left w:val="single" w:sz="4" w:space="0" w:color="auto"/>
              <w:bottom w:val="single" w:sz="4" w:space="0" w:color="auto"/>
              <w:right w:val="single" w:sz="4" w:space="0" w:color="auto"/>
            </w:tcBorders>
          </w:tcPr>
          <w:p w:rsidR="00457B7B" w:rsidRPr="00122D03" w:rsidRDefault="00457B7B" w:rsidP="00E46B66">
            <w:pPr>
              <w:rPr>
                <w:i/>
                <w:sz w:val="24"/>
                <w:szCs w:val="24"/>
                <w:u w:val="single"/>
              </w:rPr>
            </w:pPr>
            <w:r w:rsidRPr="00122D03">
              <w:rPr>
                <w:i/>
                <w:sz w:val="24"/>
                <w:szCs w:val="24"/>
                <w:u w:val="single"/>
              </w:rPr>
              <w:t xml:space="preserve">Ikke almindelig: </w:t>
            </w:r>
          </w:p>
          <w:p w:rsidR="00457B7B" w:rsidRPr="00122D03" w:rsidRDefault="00457B7B" w:rsidP="00E46B66">
            <w:pPr>
              <w:rPr>
                <w:sz w:val="24"/>
                <w:szCs w:val="24"/>
              </w:rPr>
            </w:pPr>
            <w:r w:rsidRPr="00122D03">
              <w:rPr>
                <w:sz w:val="24"/>
                <w:szCs w:val="24"/>
              </w:rPr>
              <w:t>Sepsis (</w:t>
            </w:r>
            <w:proofErr w:type="spellStart"/>
            <w:r w:rsidRPr="00122D03">
              <w:rPr>
                <w:sz w:val="24"/>
                <w:szCs w:val="24"/>
              </w:rPr>
              <w:t>immunosuppression</w:t>
            </w:r>
            <w:proofErr w:type="spellEnd"/>
            <w:r w:rsidRPr="00122D03">
              <w:rPr>
                <w:sz w:val="24"/>
                <w:szCs w:val="24"/>
              </w:rPr>
              <w:t>), cellulitis på injektionsstedet</w:t>
            </w:r>
          </w:p>
          <w:p w:rsidR="00457B7B" w:rsidRPr="00122D03" w:rsidRDefault="00457B7B" w:rsidP="00E46B66">
            <w:pPr>
              <w:rPr>
                <w:sz w:val="24"/>
                <w:szCs w:val="24"/>
              </w:rPr>
            </w:pPr>
          </w:p>
          <w:p w:rsidR="00457B7B" w:rsidRPr="00122D03" w:rsidRDefault="00457B7B" w:rsidP="00E46B66">
            <w:pPr>
              <w:rPr>
                <w:i/>
                <w:sz w:val="24"/>
                <w:szCs w:val="24"/>
                <w:u w:val="single"/>
              </w:rPr>
            </w:pPr>
            <w:r w:rsidRPr="00122D03">
              <w:rPr>
                <w:i/>
                <w:sz w:val="24"/>
                <w:szCs w:val="24"/>
                <w:u w:val="single"/>
              </w:rPr>
              <w:t>Ikke kendt:</w:t>
            </w:r>
          </w:p>
          <w:p w:rsidR="00457B7B" w:rsidRPr="00122D03" w:rsidRDefault="00457B7B" w:rsidP="00E46B66">
            <w:pPr>
              <w:rPr>
                <w:sz w:val="24"/>
                <w:szCs w:val="24"/>
              </w:rPr>
            </w:pPr>
            <w:r w:rsidRPr="00122D03">
              <w:rPr>
                <w:sz w:val="24"/>
                <w:szCs w:val="24"/>
              </w:rPr>
              <w:t>Pneumoni, leverabsces</w:t>
            </w:r>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sz w:val="24"/>
                <w:szCs w:val="24"/>
              </w:rPr>
              <w:t>Immunsystemet</w:t>
            </w:r>
          </w:p>
        </w:tc>
        <w:tc>
          <w:tcPr>
            <w:tcW w:w="2823"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i/>
                <w:sz w:val="24"/>
                <w:szCs w:val="24"/>
                <w:u w:val="single"/>
              </w:rPr>
            </w:pPr>
            <w:r w:rsidRPr="00122D03">
              <w:rPr>
                <w:i/>
                <w:sz w:val="24"/>
                <w:szCs w:val="24"/>
                <w:u w:val="single"/>
              </w:rPr>
              <w:t>Ikke kendt:</w:t>
            </w:r>
          </w:p>
          <w:p w:rsidR="00457B7B" w:rsidRPr="00122D03" w:rsidRDefault="00457B7B" w:rsidP="00E46B66">
            <w:pPr>
              <w:rPr>
                <w:sz w:val="24"/>
                <w:szCs w:val="24"/>
              </w:rPr>
            </w:pPr>
            <w:r w:rsidRPr="00122D03">
              <w:rPr>
                <w:sz w:val="24"/>
                <w:szCs w:val="24"/>
              </w:rPr>
              <w:t>Anafylaksi, allergisk ødem</w:t>
            </w:r>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sz w:val="24"/>
                <w:szCs w:val="24"/>
              </w:rPr>
              <w:t>Benigne, maligne og uspecificerede tumorer (inkl. cyster og polypper)</w:t>
            </w:r>
          </w:p>
        </w:tc>
        <w:tc>
          <w:tcPr>
            <w:tcW w:w="2823"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i/>
                <w:sz w:val="24"/>
                <w:szCs w:val="24"/>
                <w:u w:val="single"/>
              </w:rPr>
            </w:pPr>
            <w:r w:rsidRPr="00122D03">
              <w:rPr>
                <w:i/>
                <w:sz w:val="24"/>
                <w:szCs w:val="24"/>
                <w:u w:val="single"/>
              </w:rPr>
              <w:t xml:space="preserve">Ikke almindelig: </w:t>
            </w:r>
          </w:p>
          <w:p w:rsidR="00457B7B" w:rsidRPr="00122D03" w:rsidRDefault="00457B7B" w:rsidP="00E46B66">
            <w:pPr>
              <w:rPr>
                <w:i/>
                <w:sz w:val="24"/>
                <w:szCs w:val="24"/>
                <w:u w:val="single"/>
              </w:rPr>
            </w:pPr>
            <w:proofErr w:type="spellStart"/>
            <w:r w:rsidRPr="00122D03">
              <w:rPr>
                <w:sz w:val="24"/>
                <w:szCs w:val="24"/>
              </w:rPr>
              <w:t>Lentigo</w:t>
            </w:r>
            <w:proofErr w:type="spellEnd"/>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sz w:val="24"/>
                <w:szCs w:val="24"/>
              </w:rPr>
              <w:t>Blod- og lymfesystem</w:t>
            </w:r>
          </w:p>
        </w:tc>
        <w:tc>
          <w:tcPr>
            <w:tcW w:w="2823"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rFonts w:eastAsia="Calibri"/>
                <w:i/>
                <w:iCs/>
                <w:sz w:val="24"/>
                <w:szCs w:val="24"/>
                <w:u w:val="single"/>
              </w:rPr>
            </w:pPr>
            <w:r w:rsidRPr="00122D03">
              <w:rPr>
                <w:i/>
                <w:iCs/>
                <w:sz w:val="24"/>
                <w:szCs w:val="24"/>
                <w:u w:val="single"/>
              </w:rPr>
              <w:t xml:space="preserve">Almindelig: </w:t>
            </w:r>
          </w:p>
          <w:p w:rsidR="00457B7B" w:rsidRDefault="00457B7B" w:rsidP="00E46B66">
            <w:pPr>
              <w:rPr>
                <w:sz w:val="24"/>
                <w:szCs w:val="24"/>
              </w:rPr>
            </w:pPr>
            <w:proofErr w:type="spellStart"/>
            <w:r w:rsidRPr="00122D03">
              <w:rPr>
                <w:sz w:val="24"/>
                <w:szCs w:val="24"/>
              </w:rPr>
              <w:t>Trombocytopeni</w:t>
            </w:r>
            <w:proofErr w:type="spellEnd"/>
            <w:r w:rsidRPr="00122D03">
              <w:rPr>
                <w:sz w:val="24"/>
                <w:szCs w:val="24"/>
              </w:rPr>
              <w:t xml:space="preserve">, anæmi, </w:t>
            </w:r>
            <w:proofErr w:type="spellStart"/>
            <w:r w:rsidRPr="00122D03">
              <w:rPr>
                <w:sz w:val="24"/>
                <w:szCs w:val="24"/>
              </w:rPr>
              <w:t>megaloblastær</w:t>
            </w:r>
            <w:proofErr w:type="spellEnd"/>
            <w:r w:rsidRPr="00122D03">
              <w:rPr>
                <w:sz w:val="24"/>
                <w:szCs w:val="24"/>
              </w:rPr>
              <w:t xml:space="preserve"> anæmi, </w:t>
            </w:r>
            <w:proofErr w:type="spellStart"/>
            <w:r w:rsidRPr="00122D03">
              <w:rPr>
                <w:sz w:val="24"/>
                <w:szCs w:val="24"/>
              </w:rPr>
              <w:t>leukopeni</w:t>
            </w:r>
            <w:proofErr w:type="spellEnd"/>
          </w:p>
          <w:p w:rsidR="003052EF" w:rsidRDefault="003052EF" w:rsidP="00E46B66">
            <w:pPr>
              <w:rPr>
                <w:sz w:val="24"/>
                <w:szCs w:val="24"/>
              </w:rPr>
            </w:pPr>
          </w:p>
          <w:p w:rsidR="003052EF" w:rsidRDefault="003052EF" w:rsidP="003052EF">
            <w:pPr>
              <w:rPr>
                <w:i/>
                <w:iCs/>
                <w:sz w:val="24"/>
                <w:szCs w:val="24"/>
                <w:u w:val="single"/>
              </w:rPr>
            </w:pPr>
            <w:r>
              <w:rPr>
                <w:i/>
                <w:iCs/>
                <w:sz w:val="24"/>
                <w:szCs w:val="24"/>
                <w:u w:val="single"/>
              </w:rPr>
              <w:t>Ikke kendt:</w:t>
            </w:r>
          </w:p>
          <w:p w:rsidR="003052EF" w:rsidRPr="00122D03" w:rsidRDefault="003052EF" w:rsidP="003052EF">
            <w:pPr>
              <w:rPr>
                <w:sz w:val="24"/>
                <w:szCs w:val="24"/>
              </w:rPr>
            </w:pPr>
            <w:proofErr w:type="spellStart"/>
            <w:r>
              <w:rPr>
                <w:sz w:val="24"/>
                <w:szCs w:val="24"/>
              </w:rPr>
              <w:t>Neutropeni</w:t>
            </w:r>
            <w:proofErr w:type="spellEnd"/>
            <w:r>
              <w:rPr>
                <w:sz w:val="24"/>
                <w:szCs w:val="24"/>
              </w:rPr>
              <w:t xml:space="preserve">, febril </w:t>
            </w:r>
            <w:proofErr w:type="spellStart"/>
            <w:r>
              <w:rPr>
                <w:sz w:val="24"/>
                <w:szCs w:val="24"/>
              </w:rPr>
              <w:t>neutropeni</w:t>
            </w:r>
            <w:proofErr w:type="spellEnd"/>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sz w:val="24"/>
                <w:szCs w:val="24"/>
              </w:rPr>
              <w:t>Metabolisme og ernæring</w:t>
            </w:r>
          </w:p>
        </w:tc>
        <w:tc>
          <w:tcPr>
            <w:tcW w:w="2823"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i/>
                <w:sz w:val="24"/>
                <w:szCs w:val="24"/>
              </w:rPr>
            </w:pPr>
            <w:r w:rsidRPr="00122D03">
              <w:rPr>
                <w:i/>
                <w:sz w:val="24"/>
                <w:szCs w:val="24"/>
                <w:u w:val="single"/>
              </w:rPr>
              <w:t>Almindelig:</w:t>
            </w:r>
            <w:r w:rsidRPr="00122D03">
              <w:rPr>
                <w:i/>
                <w:sz w:val="24"/>
                <w:szCs w:val="24"/>
              </w:rPr>
              <w:t xml:space="preserve"> </w:t>
            </w:r>
          </w:p>
          <w:p w:rsidR="00457B7B" w:rsidRPr="00122D03" w:rsidRDefault="00457B7B" w:rsidP="00E46B66">
            <w:pPr>
              <w:rPr>
                <w:sz w:val="24"/>
                <w:szCs w:val="24"/>
              </w:rPr>
            </w:pPr>
            <w:r w:rsidRPr="00122D03">
              <w:rPr>
                <w:sz w:val="24"/>
                <w:szCs w:val="24"/>
              </w:rPr>
              <w:t xml:space="preserve">Anoreksi, </w:t>
            </w:r>
            <w:proofErr w:type="spellStart"/>
            <w:r w:rsidRPr="00122D03">
              <w:rPr>
                <w:sz w:val="24"/>
                <w:szCs w:val="24"/>
              </w:rPr>
              <w:t>hyperurikæmi</w:t>
            </w:r>
            <w:proofErr w:type="spellEnd"/>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sz w:val="24"/>
                <w:szCs w:val="24"/>
              </w:rPr>
              <w:t>Nervesystemet</w:t>
            </w:r>
          </w:p>
        </w:tc>
        <w:tc>
          <w:tcPr>
            <w:tcW w:w="2823" w:type="pct"/>
            <w:tcBorders>
              <w:top w:val="single" w:sz="4" w:space="0" w:color="auto"/>
              <w:left w:val="single" w:sz="4" w:space="0" w:color="auto"/>
              <w:bottom w:val="single" w:sz="4" w:space="0" w:color="auto"/>
              <w:right w:val="single" w:sz="4" w:space="0" w:color="auto"/>
            </w:tcBorders>
          </w:tcPr>
          <w:p w:rsidR="00457B7B" w:rsidRPr="00122D03" w:rsidRDefault="00457B7B" w:rsidP="00E46B66">
            <w:pPr>
              <w:rPr>
                <w:i/>
                <w:sz w:val="24"/>
                <w:szCs w:val="24"/>
                <w:u w:val="single"/>
              </w:rPr>
            </w:pPr>
            <w:r w:rsidRPr="00122D03">
              <w:rPr>
                <w:i/>
                <w:sz w:val="24"/>
                <w:szCs w:val="24"/>
                <w:u w:val="single"/>
              </w:rPr>
              <w:t xml:space="preserve">Almindelig: </w:t>
            </w:r>
          </w:p>
          <w:p w:rsidR="00457B7B" w:rsidRPr="00122D03" w:rsidRDefault="00457B7B" w:rsidP="00E46B66">
            <w:pPr>
              <w:rPr>
                <w:sz w:val="24"/>
                <w:szCs w:val="24"/>
              </w:rPr>
            </w:pPr>
            <w:r w:rsidRPr="00122D03">
              <w:rPr>
                <w:sz w:val="24"/>
                <w:szCs w:val="24"/>
              </w:rPr>
              <w:t xml:space="preserve">Ved høje doser: </w:t>
            </w:r>
            <w:proofErr w:type="spellStart"/>
            <w:r w:rsidRPr="00122D03">
              <w:rPr>
                <w:sz w:val="24"/>
                <w:szCs w:val="24"/>
              </w:rPr>
              <w:t>cerebellar</w:t>
            </w:r>
            <w:proofErr w:type="spellEnd"/>
            <w:r w:rsidRPr="00122D03">
              <w:rPr>
                <w:sz w:val="24"/>
                <w:szCs w:val="24"/>
              </w:rPr>
              <w:t xml:space="preserve"> eller cerebral påvirkning med nedsat bevidsthedsniveau, </w:t>
            </w:r>
            <w:proofErr w:type="spellStart"/>
            <w:r w:rsidRPr="00122D03">
              <w:rPr>
                <w:sz w:val="24"/>
                <w:szCs w:val="24"/>
              </w:rPr>
              <w:t>dysartri</w:t>
            </w:r>
            <w:proofErr w:type="spellEnd"/>
            <w:r w:rsidRPr="00122D03">
              <w:rPr>
                <w:sz w:val="24"/>
                <w:szCs w:val="24"/>
              </w:rPr>
              <w:t>, nystagmus</w:t>
            </w:r>
          </w:p>
          <w:p w:rsidR="00457B7B" w:rsidRPr="00122D03" w:rsidRDefault="00457B7B" w:rsidP="00E46B66">
            <w:pPr>
              <w:rPr>
                <w:sz w:val="24"/>
                <w:szCs w:val="24"/>
                <w:u w:val="single"/>
              </w:rPr>
            </w:pPr>
          </w:p>
          <w:p w:rsidR="00457B7B" w:rsidRPr="00122D03" w:rsidRDefault="00457B7B" w:rsidP="00E46B66">
            <w:pPr>
              <w:rPr>
                <w:i/>
                <w:sz w:val="24"/>
                <w:szCs w:val="24"/>
                <w:u w:val="single"/>
              </w:rPr>
            </w:pPr>
            <w:r w:rsidRPr="00122D03">
              <w:rPr>
                <w:i/>
                <w:sz w:val="24"/>
                <w:szCs w:val="24"/>
                <w:u w:val="single"/>
              </w:rPr>
              <w:t xml:space="preserve">Ikke almindelig: </w:t>
            </w:r>
          </w:p>
          <w:p w:rsidR="00457B7B" w:rsidRPr="00122D03" w:rsidRDefault="00457B7B" w:rsidP="00E46B66">
            <w:pPr>
              <w:rPr>
                <w:sz w:val="24"/>
                <w:szCs w:val="24"/>
              </w:rPr>
            </w:pPr>
            <w:r w:rsidRPr="00122D03">
              <w:rPr>
                <w:sz w:val="24"/>
                <w:szCs w:val="24"/>
              </w:rPr>
              <w:t xml:space="preserve">Hovedpine, perifer </w:t>
            </w:r>
            <w:proofErr w:type="spellStart"/>
            <w:r w:rsidRPr="00122D03">
              <w:rPr>
                <w:sz w:val="24"/>
                <w:szCs w:val="24"/>
              </w:rPr>
              <w:t>neuropati</w:t>
            </w:r>
            <w:proofErr w:type="spellEnd"/>
            <w:r w:rsidRPr="00122D03">
              <w:rPr>
                <w:sz w:val="24"/>
                <w:szCs w:val="24"/>
              </w:rPr>
              <w:t xml:space="preserve"> og </w:t>
            </w:r>
            <w:proofErr w:type="spellStart"/>
            <w:r w:rsidRPr="00122D03">
              <w:rPr>
                <w:sz w:val="24"/>
                <w:szCs w:val="24"/>
              </w:rPr>
              <w:t>paraplegi</w:t>
            </w:r>
            <w:proofErr w:type="spellEnd"/>
            <w:r w:rsidRPr="00122D03">
              <w:rPr>
                <w:sz w:val="24"/>
                <w:szCs w:val="24"/>
              </w:rPr>
              <w:t xml:space="preserve"> ved </w:t>
            </w:r>
            <w:proofErr w:type="spellStart"/>
            <w:r w:rsidRPr="00122D03">
              <w:rPr>
                <w:sz w:val="24"/>
                <w:szCs w:val="24"/>
              </w:rPr>
              <w:t>intratekal</w:t>
            </w:r>
            <w:proofErr w:type="spellEnd"/>
            <w:r w:rsidRPr="00122D03">
              <w:rPr>
                <w:sz w:val="24"/>
                <w:szCs w:val="24"/>
              </w:rPr>
              <w:t xml:space="preserve"> administration</w:t>
            </w:r>
          </w:p>
          <w:p w:rsidR="00457B7B" w:rsidRPr="00122D03" w:rsidRDefault="00457B7B" w:rsidP="00E46B66">
            <w:pPr>
              <w:rPr>
                <w:sz w:val="24"/>
                <w:szCs w:val="24"/>
              </w:rPr>
            </w:pPr>
          </w:p>
          <w:p w:rsidR="00457B7B" w:rsidRPr="00122D03" w:rsidRDefault="00457B7B" w:rsidP="00E46B66">
            <w:pPr>
              <w:rPr>
                <w:i/>
                <w:sz w:val="24"/>
                <w:szCs w:val="24"/>
                <w:u w:val="single"/>
              </w:rPr>
            </w:pPr>
            <w:r w:rsidRPr="00122D03">
              <w:rPr>
                <w:i/>
                <w:sz w:val="24"/>
                <w:szCs w:val="24"/>
                <w:u w:val="single"/>
              </w:rPr>
              <w:t>Ikke kendt:</w:t>
            </w:r>
          </w:p>
          <w:p w:rsidR="00457B7B" w:rsidRPr="00122D03" w:rsidRDefault="00457B7B" w:rsidP="00E46B66">
            <w:pPr>
              <w:rPr>
                <w:sz w:val="24"/>
                <w:szCs w:val="24"/>
                <w:u w:val="single"/>
              </w:rPr>
            </w:pPr>
            <w:r w:rsidRPr="00122D03">
              <w:rPr>
                <w:sz w:val="24"/>
                <w:szCs w:val="24"/>
              </w:rPr>
              <w:t xml:space="preserve">Svimmelhed, </w:t>
            </w:r>
            <w:proofErr w:type="spellStart"/>
            <w:r w:rsidRPr="00122D03">
              <w:rPr>
                <w:sz w:val="24"/>
                <w:szCs w:val="24"/>
              </w:rPr>
              <w:t>neurit</w:t>
            </w:r>
            <w:proofErr w:type="spellEnd"/>
            <w:r w:rsidRPr="00122D03">
              <w:rPr>
                <w:sz w:val="24"/>
                <w:szCs w:val="24"/>
              </w:rPr>
              <w:t>, neural toksicitet</w:t>
            </w:r>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sz w:val="24"/>
                <w:szCs w:val="24"/>
              </w:rPr>
              <w:t>Øjne</w:t>
            </w:r>
          </w:p>
        </w:tc>
        <w:tc>
          <w:tcPr>
            <w:tcW w:w="2823"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rFonts w:eastAsia="Calibri"/>
                <w:i/>
                <w:iCs/>
                <w:sz w:val="24"/>
                <w:szCs w:val="24"/>
                <w:u w:val="single"/>
              </w:rPr>
            </w:pPr>
            <w:r w:rsidRPr="00122D03">
              <w:rPr>
                <w:i/>
                <w:iCs/>
                <w:sz w:val="24"/>
                <w:szCs w:val="24"/>
                <w:u w:val="single"/>
              </w:rPr>
              <w:t xml:space="preserve">Almindelig: </w:t>
            </w:r>
          </w:p>
          <w:p w:rsidR="00457B7B" w:rsidRPr="00122D03" w:rsidRDefault="00457B7B" w:rsidP="00E46B66">
            <w:pPr>
              <w:rPr>
                <w:sz w:val="24"/>
                <w:szCs w:val="24"/>
              </w:rPr>
            </w:pPr>
            <w:r w:rsidRPr="00122D03">
              <w:rPr>
                <w:sz w:val="24"/>
                <w:szCs w:val="24"/>
              </w:rPr>
              <w:t xml:space="preserve">Reversibel </w:t>
            </w:r>
            <w:proofErr w:type="spellStart"/>
            <w:r w:rsidRPr="00122D03">
              <w:rPr>
                <w:sz w:val="24"/>
                <w:szCs w:val="24"/>
              </w:rPr>
              <w:t>hæmoragisk</w:t>
            </w:r>
            <w:proofErr w:type="spellEnd"/>
            <w:r w:rsidRPr="00122D03">
              <w:rPr>
                <w:sz w:val="24"/>
                <w:szCs w:val="24"/>
              </w:rPr>
              <w:t xml:space="preserve"> </w:t>
            </w:r>
            <w:proofErr w:type="spellStart"/>
            <w:r w:rsidRPr="00122D03">
              <w:rPr>
                <w:sz w:val="24"/>
                <w:szCs w:val="24"/>
              </w:rPr>
              <w:t>konjunktivit</w:t>
            </w:r>
            <w:proofErr w:type="spellEnd"/>
            <w:r w:rsidRPr="00122D03">
              <w:rPr>
                <w:sz w:val="24"/>
                <w:szCs w:val="24"/>
              </w:rPr>
              <w:t xml:space="preserve"> (fotofobi, </w:t>
            </w:r>
            <w:proofErr w:type="spellStart"/>
            <w:r w:rsidRPr="00122D03">
              <w:rPr>
                <w:sz w:val="24"/>
                <w:szCs w:val="24"/>
              </w:rPr>
              <w:t>brænden</w:t>
            </w:r>
            <w:proofErr w:type="spellEnd"/>
            <w:r w:rsidRPr="00122D03">
              <w:rPr>
                <w:sz w:val="24"/>
                <w:szCs w:val="24"/>
              </w:rPr>
              <w:t xml:space="preserve">, synsforstyrrelser, øget tåresekretion), </w:t>
            </w:r>
            <w:proofErr w:type="spellStart"/>
            <w:r w:rsidRPr="00122D03">
              <w:rPr>
                <w:sz w:val="24"/>
                <w:szCs w:val="24"/>
              </w:rPr>
              <w:t>keratitis</w:t>
            </w:r>
            <w:proofErr w:type="spellEnd"/>
            <w:r w:rsidRPr="00122D03">
              <w:rPr>
                <w:sz w:val="24"/>
                <w:szCs w:val="24"/>
              </w:rPr>
              <w:t xml:space="preserve">, </w:t>
            </w:r>
            <w:proofErr w:type="spellStart"/>
            <w:r w:rsidRPr="00122D03">
              <w:rPr>
                <w:sz w:val="24"/>
                <w:szCs w:val="24"/>
              </w:rPr>
              <w:t>konjunktivitis</w:t>
            </w:r>
            <w:proofErr w:type="spellEnd"/>
            <w:r w:rsidRPr="00122D03">
              <w:rPr>
                <w:sz w:val="24"/>
                <w:szCs w:val="24"/>
              </w:rPr>
              <w:t xml:space="preserve"> (kan forekomme med udslæt)</w:t>
            </w:r>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sz w:val="24"/>
                <w:szCs w:val="24"/>
              </w:rPr>
              <w:t>Hjerte</w:t>
            </w:r>
          </w:p>
        </w:tc>
        <w:tc>
          <w:tcPr>
            <w:tcW w:w="2823" w:type="pct"/>
            <w:tcBorders>
              <w:top w:val="single" w:sz="4" w:space="0" w:color="auto"/>
              <w:left w:val="single" w:sz="4" w:space="0" w:color="auto"/>
              <w:bottom w:val="single" w:sz="4" w:space="0" w:color="auto"/>
              <w:right w:val="single" w:sz="4" w:space="0" w:color="auto"/>
            </w:tcBorders>
          </w:tcPr>
          <w:p w:rsidR="00457B7B" w:rsidRPr="00122D03" w:rsidRDefault="00457B7B" w:rsidP="00E46B66">
            <w:pPr>
              <w:rPr>
                <w:i/>
                <w:sz w:val="24"/>
                <w:szCs w:val="24"/>
                <w:u w:val="single"/>
              </w:rPr>
            </w:pPr>
            <w:r w:rsidRPr="00122D03">
              <w:rPr>
                <w:i/>
                <w:sz w:val="24"/>
                <w:szCs w:val="24"/>
                <w:u w:val="single"/>
              </w:rPr>
              <w:t xml:space="preserve">Ikke almindelig: </w:t>
            </w:r>
          </w:p>
          <w:p w:rsidR="00457B7B" w:rsidRDefault="00457B7B" w:rsidP="00E46B66">
            <w:pPr>
              <w:rPr>
                <w:sz w:val="24"/>
                <w:szCs w:val="24"/>
              </w:rPr>
            </w:pPr>
            <w:proofErr w:type="spellStart"/>
            <w:r w:rsidRPr="00122D03">
              <w:rPr>
                <w:sz w:val="24"/>
                <w:szCs w:val="24"/>
              </w:rPr>
              <w:t>Pericarditis</w:t>
            </w:r>
            <w:proofErr w:type="spellEnd"/>
          </w:p>
          <w:p w:rsidR="003052EF" w:rsidRDefault="003052EF" w:rsidP="00E46B66">
            <w:pPr>
              <w:rPr>
                <w:sz w:val="24"/>
                <w:szCs w:val="24"/>
              </w:rPr>
            </w:pPr>
          </w:p>
          <w:p w:rsidR="003052EF" w:rsidRDefault="003052EF" w:rsidP="003052EF">
            <w:pPr>
              <w:rPr>
                <w:iCs/>
                <w:sz w:val="24"/>
                <w:szCs w:val="24"/>
                <w:u w:val="single"/>
              </w:rPr>
            </w:pPr>
            <w:r>
              <w:rPr>
                <w:i/>
                <w:sz w:val="24"/>
                <w:szCs w:val="24"/>
              </w:rPr>
              <w:t>Meget sjælden:</w:t>
            </w:r>
          </w:p>
          <w:p w:rsidR="003052EF" w:rsidRPr="003052EF" w:rsidRDefault="003052EF" w:rsidP="00E46B66">
            <w:pPr>
              <w:rPr>
                <w:iCs/>
                <w:sz w:val="24"/>
                <w:szCs w:val="24"/>
                <w:u w:val="single"/>
              </w:rPr>
            </w:pPr>
            <w:proofErr w:type="spellStart"/>
            <w:r>
              <w:rPr>
                <w:iCs/>
                <w:sz w:val="24"/>
                <w:szCs w:val="24"/>
                <w:u w:val="single"/>
              </w:rPr>
              <w:t>Arytmi</w:t>
            </w:r>
            <w:proofErr w:type="spellEnd"/>
          </w:p>
          <w:p w:rsidR="00457B7B" w:rsidRPr="00122D03" w:rsidRDefault="00457B7B" w:rsidP="00E46B66">
            <w:pPr>
              <w:rPr>
                <w:i/>
                <w:sz w:val="24"/>
                <w:szCs w:val="24"/>
              </w:rPr>
            </w:pPr>
          </w:p>
          <w:p w:rsidR="00457B7B" w:rsidRPr="00122D03" w:rsidRDefault="00457B7B" w:rsidP="00E46B66">
            <w:pPr>
              <w:rPr>
                <w:i/>
                <w:sz w:val="24"/>
                <w:szCs w:val="24"/>
                <w:u w:val="single"/>
              </w:rPr>
            </w:pPr>
            <w:r>
              <w:rPr>
                <w:i/>
                <w:sz w:val="24"/>
                <w:szCs w:val="24"/>
                <w:u w:val="single"/>
              </w:rPr>
              <w:t>Ikke kendt</w:t>
            </w:r>
            <w:r w:rsidRPr="00122D03">
              <w:rPr>
                <w:i/>
                <w:sz w:val="24"/>
                <w:szCs w:val="24"/>
                <w:u w:val="single"/>
              </w:rPr>
              <w:t xml:space="preserve">: </w:t>
            </w:r>
          </w:p>
          <w:p w:rsidR="00457B7B" w:rsidRPr="00122D03" w:rsidRDefault="00457B7B" w:rsidP="00E46B66">
            <w:pPr>
              <w:rPr>
                <w:sz w:val="24"/>
                <w:szCs w:val="24"/>
              </w:rPr>
            </w:pPr>
            <w:r w:rsidRPr="00122D03">
              <w:rPr>
                <w:sz w:val="24"/>
                <w:szCs w:val="24"/>
              </w:rPr>
              <w:t>Sinusbradykardi</w:t>
            </w:r>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proofErr w:type="spellStart"/>
            <w:r w:rsidRPr="00122D03">
              <w:rPr>
                <w:b/>
                <w:sz w:val="24"/>
                <w:szCs w:val="24"/>
              </w:rPr>
              <w:t>Vaskulære</w:t>
            </w:r>
            <w:proofErr w:type="spellEnd"/>
            <w:r w:rsidRPr="00122D03">
              <w:rPr>
                <w:b/>
                <w:sz w:val="24"/>
                <w:szCs w:val="24"/>
              </w:rPr>
              <w:t xml:space="preserve"> sygdomme</w:t>
            </w:r>
          </w:p>
        </w:tc>
        <w:tc>
          <w:tcPr>
            <w:tcW w:w="2823"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i/>
                <w:sz w:val="24"/>
                <w:szCs w:val="24"/>
                <w:u w:val="single"/>
              </w:rPr>
            </w:pPr>
            <w:r w:rsidRPr="00122D03">
              <w:rPr>
                <w:i/>
                <w:sz w:val="24"/>
                <w:szCs w:val="24"/>
                <w:u w:val="single"/>
              </w:rPr>
              <w:t>Ikke kendt:</w:t>
            </w:r>
          </w:p>
          <w:p w:rsidR="00457B7B" w:rsidRPr="00122D03" w:rsidRDefault="00457B7B" w:rsidP="00E46B66">
            <w:pPr>
              <w:rPr>
                <w:i/>
                <w:sz w:val="24"/>
                <w:szCs w:val="24"/>
                <w:u w:val="single"/>
              </w:rPr>
            </w:pPr>
            <w:proofErr w:type="spellStart"/>
            <w:r w:rsidRPr="00122D03">
              <w:rPr>
                <w:sz w:val="24"/>
                <w:szCs w:val="24"/>
              </w:rPr>
              <w:t>Tromboflebitis</w:t>
            </w:r>
            <w:proofErr w:type="spellEnd"/>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sz w:val="24"/>
                <w:szCs w:val="24"/>
              </w:rPr>
              <w:t xml:space="preserve">Luftveje, thorax og </w:t>
            </w:r>
            <w:proofErr w:type="spellStart"/>
            <w:r w:rsidRPr="00122D03">
              <w:rPr>
                <w:b/>
                <w:sz w:val="24"/>
                <w:szCs w:val="24"/>
              </w:rPr>
              <w:t>mediastinum</w:t>
            </w:r>
            <w:proofErr w:type="spellEnd"/>
          </w:p>
        </w:tc>
        <w:tc>
          <w:tcPr>
            <w:tcW w:w="2823"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i/>
                <w:sz w:val="24"/>
                <w:szCs w:val="24"/>
                <w:u w:val="single"/>
              </w:rPr>
            </w:pPr>
            <w:r w:rsidRPr="00122D03">
              <w:rPr>
                <w:i/>
                <w:sz w:val="24"/>
                <w:szCs w:val="24"/>
                <w:u w:val="single"/>
              </w:rPr>
              <w:t xml:space="preserve">Ikke almindelig: </w:t>
            </w:r>
          </w:p>
          <w:p w:rsidR="00457B7B" w:rsidRPr="00122D03" w:rsidRDefault="00457B7B" w:rsidP="00E46B66">
            <w:pPr>
              <w:rPr>
                <w:sz w:val="24"/>
                <w:szCs w:val="24"/>
              </w:rPr>
            </w:pPr>
            <w:r w:rsidRPr="00122D03">
              <w:rPr>
                <w:sz w:val="24"/>
                <w:szCs w:val="24"/>
              </w:rPr>
              <w:lastRenderedPageBreak/>
              <w:t>Dyspnø, ondt i halsen</w:t>
            </w:r>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bCs/>
                <w:sz w:val="24"/>
                <w:szCs w:val="24"/>
              </w:rPr>
              <w:lastRenderedPageBreak/>
              <w:t>Mave-tarm</w:t>
            </w:r>
            <w:r w:rsidR="003052EF">
              <w:rPr>
                <w:b/>
                <w:bCs/>
                <w:sz w:val="24"/>
                <w:szCs w:val="24"/>
              </w:rPr>
              <w:t>-</w:t>
            </w:r>
            <w:r w:rsidRPr="00122D03">
              <w:rPr>
                <w:b/>
                <w:bCs/>
                <w:sz w:val="24"/>
                <w:szCs w:val="24"/>
              </w:rPr>
              <w:t>kanalen</w:t>
            </w:r>
          </w:p>
        </w:tc>
        <w:tc>
          <w:tcPr>
            <w:tcW w:w="2823" w:type="pct"/>
            <w:tcBorders>
              <w:top w:val="single" w:sz="4" w:space="0" w:color="auto"/>
              <w:left w:val="single" w:sz="4" w:space="0" w:color="auto"/>
              <w:bottom w:val="single" w:sz="4" w:space="0" w:color="auto"/>
              <w:right w:val="single" w:sz="4" w:space="0" w:color="auto"/>
            </w:tcBorders>
          </w:tcPr>
          <w:p w:rsidR="00457B7B" w:rsidRPr="00122D03" w:rsidRDefault="00457B7B" w:rsidP="00E46B66">
            <w:pPr>
              <w:rPr>
                <w:rFonts w:eastAsia="Calibri"/>
                <w:i/>
                <w:iCs/>
                <w:sz w:val="24"/>
                <w:szCs w:val="24"/>
                <w:u w:val="single"/>
              </w:rPr>
            </w:pPr>
            <w:r w:rsidRPr="00122D03">
              <w:rPr>
                <w:i/>
                <w:iCs/>
                <w:sz w:val="24"/>
                <w:szCs w:val="24"/>
                <w:u w:val="single"/>
              </w:rPr>
              <w:t xml:space="preserve">Almindelig: </w:t>
            </w:r>
          </w:p>
          <w:p w:rsidR="00457B7B" w:rsidRPr="00122D03" w:rsidRDefault="00457B7B" w:rsidP="00E46B66">
            <w:pPr>
              <w:rPr>
                <w:rFonts w:eastAsia="Calibri"/>
                <w:sz w:val="24"/>
                <w:szCs w:val="24"/>
              </w:rPr>
            </w:pPr>
            <w:proofErr w:type="spellStart"/>
            <w:r w:rsidRPr="00122D03">
              <w:rPr>
                <w:sz w:val="24"/>
                <w:szCs w:val="24"/>
              </w:rPr>
              <w:t>Dysfagi</w:t>
            </w:r>
            <w:proofErr w:type="spellEnd"/>
            <w:r w:rsidRPr="00122D03">
              <w:rPr>
                <w:sz w:val="24"/>
                <w:szCs w:val="24"/>
              </w:rPr>
              <w:t xml:space="preserve">, kvalme, opkastning, diarré, oral og anal inflammation eller </w:t>
            </w:r>
            <w:proofErr w:type="spellStart"/>
            <w:r w:rsidRPr="00122D03">
              <w:rPr>
                <w:sz w:val="24"/>
                <w:szCs w:val="24"/>
              </w:rPr>
              <w:t>ulceration</w:t>
            </w:r>
            <w:proofErr w:type="spellEnd"/>
            <w:r w:rsidRPr="00122D03">
              <w:rPr>
                <w:sz w:val="24"/>
                <w:szCs w:val="24"/>
              </w:rPr>
              <w:t>, mavesmerter</w:t>
            </w:r>
          </w:p>
          <w:p w:rsidR="00457B7B" w:rsidRPr="00122D03" w:rsidRDefault="00457B7B" w:rsidP="00E46B66">
            <w:pPr>
              <w:rPr>
                <w:rFonts w:eastAsia="Calibri"/>
                <w:i/>
                <w:iCs/>
                <w:sz w:val="24"/>
                <w:szCs w:val="24"/>
              </w:rPr>
            </w:pPr>
          </w:p>
          <w:p w:rsidR="00457B7B" w:rsidRPr="00122D03" w:rsidRDefault="00457B7B" w:rsidP="00E46B66">
            <w:pPr>
              <w:rPr>
                <w:rFonts w:eastAsia="Calibri"/>
                <w:i/>
                <w:iCs/>
                <w:sz w:val="24"/>
                <w:szCs w:val="24"/>
                <w:u w:val="single"/>
                <w:lang w:eastAsia="en-GB"/>
              </w:rPr>
            </w:pPr>
            <w:r w:rsidRPr="00122D03">
              <w:rPr>
                <w:i/>
                <w:iCs/>
                <w:sz w:val="24"/>
                <w:szCs w:val="24"/>
                <w:u w:val="single"/>
              </w:rPr>
              <w:t xml:space="preserve">Ikke almindelig: </w:t>
            </w:r>
          </w:p>
          <w:p w:rsidR="00457B7B" w:rsidRPr="00122D03" w:rsidRDefault="00457B7B" w:rsidP="00E46B66">
            <w:pPr>
              <w:rPr>
                <w:rFonts w:eastAsia="Calibri"/>
                <w:sz w:val="24"/>
                <w:szCs w:val="24"/>
              </w:rPr>
            </w:pPr>
            <w:proofErr w:type="spellStart"/>
            <w:r w:rsidRPr="00122D03">
              <w:rPr>
                <w:sz w:val="24"/>
                <w:szCs w:val="24"/>
              </w:rPr>
              <w:t>Øsofagitis</w:t>
            </w:r>
            <w:proofErr w:type="spellEnd"/>
            <w:r w:rsidRPr="00122D03">
              <w:rPr>
                <w:sz w:val="24"/>
                <w:szCs w:val="24"/>
              </w:rPr>
              <w:t xml:space="preserve">, </w:t>
            </w:r>
            <w:proofErr w:type="spellStart"/>
            <w:r w:rsidRPr="00122D03">
              <w:rPr>
                <w:sz w:val="24"/>
                <w:szCs w:val="24"/>
              </w:rPr>
              <w:t>øsofageal</w:t>
            </w:r>
            <w:proofErr w:type="spellEnd"/>
            <w:r w:rsidRPr="00122D03">
              <w:rPr>
                <w:sz w:val="24"/>
                <w:szCs w:val="24"/>
              </w:rPr>
              <w:t xml:space="preserve"> </w:t>
            </w:r>
            <w:proofErr w:type="spellStart"/>
            <w:r w:rsidRPr="00122D03">
              <w:rPr>
                <w:sz w:val="24"/>
                <w:szCs w:val="24"/>
              </w:rPr>
              <w:t>ulceration</w:t>
            </w:r>
            <w:proofErr w:type="spellEnd"/>
            <w:r w:rsidRPr="00122D03">
              <w:rPr>
                <w:sz w:val="24"/>
                <w:szCs w:val="24"/>
              </w:rPr>
              <w:t xml:space="preserve">, </w:t>
            </w:r>
            <w:proofErr w:type="spellStart"/>
            <w:r w:rsidRPr="00122D03">
              <w:rPr>
                <w:sz w:val="24"/>
                <w:szCs w:val="24"/>
              </w:rPr>
              <w:t>pneumatosis</w:t>
            </w:r>
            <w:proofErr w:type="spellEnd"/>
            <w:r w:rsidRPr="00122D03">
              <w:rPr>
                <w:sz w:val="24"/>
                <w:szCs w:val="24"/>
              </w:rPr>
              <w:t xml:space="preserve"> </w:t>
            </w:r>
            <w:proofErr w:type="spellStart"/>
            <w:r w:rsidRPr="00122D03">
              <w:rPr>
                <w:sz w:val="24"/>
                <w:szCs w:val="24"/>
              </w:rPr>
              <w:t>cystoides</w:t>
            </w:r>
            <w:proofErr w:type="spellEnd"/>
            <w:r w:rsidRPr="00122D03">
              <w:rPr>
                <w:sz w:val="24"/>
                <w:szCs w:val="24"/>
              </w:rPr>
              <w:t xml:space="preserve"> </w:t>
            </w:r>
            <w:proofErr w:type="spellStart"/>
            <w:r w:rsidRPr="00122D03">
              <w:rPr>
                <w:sz w:val="24"/>
                <w:szCs w:val="24"/>
              </w:rPr>
              <w:t>intestinalis</w:t>
            </w:r>
            <w:proofErr w:type="spellEnd"/>
            <w:r w:rsidRPr="00122D03">
              <w:rPr>
                <w:sz w:val="24"/>
                <w:szCs w:val="24"/>
              </w:rPr>
              <w:t xml:space="preserve">, </w:t>
            </w:r>
            <w:proofErr w:type="spellStart"/>
            <w:r w:rsidRPr="00122D03">
              <w:rPr>
                <w:sz w:val="24"/>
                <w:szCs w:val="24"/>
              </w:rPr>
              <w:t>nekrotiserende</w:t>
            </w:r>
            <w:proofErr w:type="spellEnd"/>
            <w:r w:rsidRPr="00122D03">
              <w:rPr>
                <w:sz w:val="24"/>
                <w:szCs w:val="24"/>
              </w:rPr>
              <w:t xml:space="preserve"> </w:t>
            </w:r>
            <w:proofErr w:type="spellStart"/>
            <w:r w:rsidRPr="00122D03">
              <w:rPr>
                <w:sz w:val="24"/>
                <w:szCs w:val="24"/>
              </w:rPr>
              <w:t>kolitis</w:t>
            </w:r>
            <w:proofErr w:type="spellEnd"/>
            <w:r w:rsidRPr="00122D03">
              <w:rPr>
                <w:sz w:val="24"/>
                <w:szCs w:val="24"/>
              </w:rPr>
              <w:t xml:space="preserve">, </w:t>
            </w:r>
            <w:proofErr w:type="spellStart"/>
            <w:r w:rsidRPr="00122D03">
              <w:rPr>
                <w:sz w:val="24"/>
                <w:szCs w:val="24"/>
              </w:rPr>
              <w:t>peritonitis</w:t>
            </w:r>
            <w:proofErr w:type="spellEnd"/>
          </w:p>
          <w:p w:rsidR="00457B7B" w:rsidRPr="00122D03" w:rsidRDefault="00457B7B" w:rsidP="00E46B66">
            <w:pPr>
              <w:rPr>
                <w:rFonts w:eastAsia="Calibri"/>
                <w:sz w:val="24"/>
                <w:szCs w:val="24"/>
              </w:rPr>
            </w:pPr>
          </w:p>
          <w:p w:rsidR="00457B7B" w:rsidRPr="00122D03" w:rsidRDefault="00457B7B" w:rsidP="00E46B66">
            <w:pPr>
              <w:rPr>
                <w:i/>
                <w:sz w:val="24"/>
                <w:szCs w:val="24"/>
                <w:u w:val="single"/>
                <w:lang w:eastAsia="en-GB"/>
              </w:rPr>
            </w:pPr>
            <w:r w:rsidRPr="00122D03">
              <w:rPr>
                <w:i/>
                <w:sz w:val="24"/>
                <w:szCs w:val="24"/>
                <w:u w:val="single"/>
              </w:rPr>
              <w:t>Ikke kendt:</w:t>
            </w:r>
          </w:p>
          <w:p w:rsidR="00457B7B" w:rsidRPr="00122D03" w:rsidRDefault="00457B7B" w:rsidP="00E46B66">
            <w:pPr>
              <w:rPr>
                <w:sz w:val="24"/>
                <w:szCs w:val="24"/>
              </w:rPr>
            </w:pPr>
            <w:proofErr w:type="spellStart"/>
            <w:r w:rsidRPr="00122D03">
              <w:rPr>
                <w:sz w:val="24"/>
                <w:szCs w:val="24"/>
              </w:rPr>
              <w:t>Pancreatit</w:t>
            </w:r>
            <w:proofErr w:type="spellEnd"/>
            <w:r w:rsidRPr="00122D03">
              <w:rPr>
                <w:sz w:val="24"/>
                <w:szCs w:val="24"/>
              </w:rPr>
              <w:t xml:space="preserve">, </w:t>
            </w:r>
            <w:proofErr w:type="spellStart"/>
            <w:r w:rsidRPr="00122D03">
              <w:rPr>
                <w:sz w:val="24"/>
                <w:szCs w:val="24"/>
              </w:rPr>
              <w:t>gastrointestinal</w:t>
            </w:r>
            <w:proofErr w:type="spellEnd"/>
            <w:r w:rsidRPr="00122D03">
              <w:rPr>
                <w:sz w:val="24"/>
                <w:szCs w:val="24"/>
              </w:rPr>
              <w:t xml:space="preserve"> nekrose</w:t>
            </w:r>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bCs/>
                <w:sz w:val="24"/>
                <w:szCs w:val="24"/>
              </w:rPr>
              <w:t>Lever og galdeveje</w:t>
            </w:r>
          </w:p>
        </w:tc>
        <w:tc>
          <w:tcPr>
            <w:tcW w:w="2823" w:type="pct"/>
            <w:tcBorders>
              <w:top w:val="single" w:sz="4" w:space="0" w:color="auto"/>
              <w:left w:val="single" w:sz="4" w:space="0" w:color="auto"/>
              <w:bottom w:val="single" w:sz="4" w:space="0" w:color="auto"/>
              <w:right w:val="single" w:sz="4" w:space="0" w:color="auto"/>
            </w:tcBorders>
          </w:tcPr>
          <w:p w:rsidR="00457B7B" w:rsidRPr="00122D03" w:rsidRDefault="00457B7B" w:rsidP="00E46B66">
            <w:pPr>
              <w:rPr>
                <w:rFonts w:eastAsia="Calibri"/>
                <w:i/>
                <w:iCs/>
                <w:sz w:val="24"/>
                <w:szCs w:val="24"/>
                <w:u w:val="single"/>
              </w:rPr>
            </w:pPr>
            <w:r w:rsidRPr="00122D03">
              <w:rPr>
                <w:i/>
                <w:iCs/>
                <w:sz w:val="24"/>
                <w:szCs w:val="24"/>
                <w:u w:val="single"/>
              </w:rPr>
              <w:t xml:space="preserve">Almindelig: </w:t>
            </w:r>
          </w:p>
          <w:p w:rsidR="00457B7B" w:rsidRPr="00122D03" w:rsidRDefault="00457B7B" w:rsidP="00E46B66">
            <w:pPr>
              <w:rPr>
                <w:rFonts w:eastAsia="Calibri"/>
                <w:sz w:val="24"/>
                <w:szCs w:val="24"/>
              </w:rPr>
            </w:pPr>
            <w:r w:rsidRPr="00122D03">
              <w:rPr>
                <w:sz w:val="24"/>
                <w:szCs w:val="24"/>
              </w:rPr>
              <w:t>Reversible påvirkninger af leveren med øgede enzymniveauer</w:t>
            </w:r>
          </w:p>
          <w:p w:rsidR="00457B7B" w:rsidRPr="00122D03" w:rsidRDefault="00457B7B" w:rsidP="00E46B66">
            <w:pPr>
              <w:rPr>
                <w:rFonts w:eastAsia="Calibri"/>
                <w:sz w:val="24"/>
                <w:szCs w:val="24"/>
              </w:rPr>
            </w:pPr>
          </w:p>
          <w:p w:rsidR="00457B7B" w:rsidRPr="00122D03" w:rsidRDefault="00457B7B" w:rsidP="00E46B66">
            <w:pPr>
              <w:rPr>
                <w:i/>
                <w:sz w:val="24"/>
                <w:szCs w:val="24"/>
                <w:u w:val="single"/>
                <w:lang w:eastAsia="en-GB"/>
              </w:rPr>
            </w:pPr>
            <w:r w:rsidRPr="00122D03">
              <w:rPr>
                <w:i/>
                <w:sz w:val="24"/>
                <w:szCs w:val="24"/>
                <w:u w:val="single"/>
              </w:rPr>
              <w:t>Ikke kendt:</w:t>
            </w:r>
          </w:p>
          <w:p w:rsidR="00457B7B" w:rsidRPr="00122D03" w:rsidRDefault="00457B7B" w:rsidP="00E46B66">
            <w:pPr>
              <w:rPr>
                <w:sz w:val="24"/>
                <w:szCs w:val="24"/>
              </w:rPr>
            </w:pPr>
            <w:proofErr w:type="spellStart"/>
            <w:r w:rsidRPr="00122D03">
              <w:rPr>
                <w:sz w:val="24"/>
                <w:szCs w:val="24"/>
              </w:rPr>
              <w:t>Hepatisk</w:t>
            </w:r>
            <w:proofErr w:type="spellEnd"/>
            <w:r w:rsidRPr="00122D03">
              <w:rPr>
                <w:sz w:val="24"/>
                <w:szCs w:val="24"/>
              </w:rPr>
              <w:t xml:space="preserve"> dysfunktion, gulsot</w:t>
            </w:r>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bCs/>
                <w:sz w:val="24"/>
                <w:szCs w:val="24"/>
              </w:rPr>
              <w:t>Hud og subkutane væv</w:t>
            </w:r>
          </w:p>
        </w:tc>
        <w:tc>
          <w:tcPr>
            <w:tcW w:w="2823" w:type="pct"/>
            <w:tcBorders>
              <w:top w:val="single" w:sz="4" w:space="0" w:color="auto"/>
              <w:left w:val="single" w:sz="4" w:space="0" w:color="auto"/>
              <w:bottom w:val="single" w:sz="4" w:space="0" w:color="auto"/>
              <w:right w:val="single" w:sz="4" w:space="0" w:color="auto"/>
            </w:tcBorders>
          </w:tcPr>
          <w:p w:rsidR="00457B7B" w:rsidRPr="00122D03" w:rsidRDefault="00457B7B" w:rsidP="00E46B66">
            <w:pPr>
              <w:rPr>
                <w:rFonts w:eastAsia="Calibri"/>
                <w:i/>
                <w:iCs/>
                <w:sz w:val="24"/>
                <w:szCs w:val="24"/>
                <w:u w:val="single"/>
              </w:rPr>
            </w:pPr>
            <w:r w:rsidRPr="00122D03">
              <w:rPr>
                <w:i/>
                <w:iCs/>
                <w:sz w:val="24"/>
                <w:szCs w:val="24"/>
                <w:u w:val="single"/>
              </w:rPr>
              <w:t xml:space="preserve">Almindelig: </w:t>
            </w:r>
          </w:p>
          <w:p w:rsidR="00457B7B" w:rsidRPr="00122D03" w:rsidRDefault="00457B7B" w:rsidP="00E46B66">
            <w:pPr>
              <w:rPr>
                <w:rFonts w:eastAsia="Calibri"/>
                <w:sz w:val="24"/>
                <w:szCs w:val="24"/>
              </w:rPr>
            </w:pPr>
            <w:r w:rsidRPr="00122D03">
              <w:rPr>
                <w:sz w:val="24"/>
                <w:szCs w:val="24"/>
              </w:rPr>
              <w:t xml:space="preserve">Reversible uønskede virkninger på huden såsom </w:t>
            </w:r>
            <w:proofErr w:type="spellStart"/>
            <w:r w:rsidRPr="00122D03">
              <w:rPr>
                <w:sz w:val="24"/>
                <w:szCs w:val="24"/>
              </w:rPr>
              <w:t>erytem</w:t>
            </w:r>
            <w:proofErr w:type="spellEnd"/>
            <w:r w:rsidRPr="00122D03">
              <w:rPr>
                <w:sz w:val="24"/>
                <w:szCs w:val="24"/>
              </w:rPr>
              <w:t xml:space="preserve">, </w:t>
            </w:r>
            <w:proofErr w:type="spellStart"/>
            <w:r w:rsidRPr="00122D03">
              <w:rPr>
                <w:sz w:val="24"/>
                <w:szCs w:val="24"/>
              </w:rPr>
              <w:t>bulløs</w:t>
            </w:r>
            <w:proofErr w:type="spellEnd"/>
            <w:r w:rsidRPr="00122D03">
              <w:rPr>
                <w:sz w:val="24"/>
                <w:szCs w:val="24"/>
              </w:rPr>
              <w:t xml:space="preserve"> </w:t>
            </w:r>
            <w:proofErr w:type="spellStart"/>
            <w:r w:rsidRPr="00122D03">
              <w:rPr>
                <w:sz w:val="24"/>
                <w:szCs w:val="24"/>
              </w:rPr>
              <w:t>dermatitis</w:t>
            </w:r>
            <w:proofErr w:type="spellEnd"/>
            <w:r w:rsidRPr="00122D03">
              <w:rPr>
                <w:sz w:val="24"/>
                <w:szCs w:val="24"/>
              </w:rPr>
              <w:t xml:space="preserve">, </w:t>
            </w:r>
            <w:proofErr w:type="spellStart"/>
            <w:r w:rsidRPr="00122D03">
              <w:rPr>
                <w:sz w:val="24"/>
                <w:szCs w:val="24"/>
              </w:rPr>
              <w:t>urticaria</w:t>
            </w:r>
            <w:proofErr w:type="spellEnd"/>
            <w:r w:rsidRPr="00122D03">
              <w:rPr>
                <w:sz w:val="24"/>
                <w:szCs w:val="24"/>
              </w:rPr>
              <w:t xml:space="preserve">, </w:t>
            </w:r>
            <w:proofErr w:type="spellStart"/>
            <w:r w:rsidRPr="00122D03">
              <w:rPr>
                <w:sz w:val="24"/>
                <w:szCs w:val="24"/>
              </w:rPr>
              <w:t>vasculitis</w:t>
            </w:r>
            <w:proofErr w:type="spellEnd"/>
            <w:r w:rsidRPr="00122D03">
              <w:rPr>
                <w:sz w:val="24"/>
                <w:szCs w:val="24"/>
              </w:rPr>
              <w:t xml:space="preserve">, </w:t>
            </w:r>
            <w:proofErr w:type="spellStart"/>
            <w:r w:rsidRPr="00122D03">
              <w:rPr>
                <w:sz w:val="24"/>
                <w:szCs w:val="24"/>
              </w:rPr>
              <w:t>alopeci</w:t>
            </w:r>
            <w:proofErr w:type="spellEnd"/>
            <w:r w:rsidRPr="00122D03">
              <w:rPr>
                <w:sz w:val="24"/>
                <w:szCs w:val="24"/>
              </w:rPr>
              <w:t xml:space="preserve"> </w:t>
            </w:r>
            <w:r w:rsidR="006F2B3A">
              <w:rPr>
                <w:sz w:val="24"/>
                <w:szCs w:val="24"/>
              </w:rPr>
              <w:t>(højdosisbehandling)</w:t>
            </w:r>
          </w:p>
          <w:p w:rsidR="00457B7B" w:rsidRPr="00122D03" w:rsidRDefault="00457B7B" w:rsidP="00E46B66">
            <w:pPr>
              <w:rPr>
                <w:rFonts w:eastAsia="Calibri"/>
                <w:i/>
                <w:iCs/>
                <w:sz w:val="24"/>
                <w:szCs w:val="24"/>
              </w:rPr>
            </w:pPr>
          </w:p>
          <w:p w:rsidR="00457B7B" w:rsidRPr="00122D03" w:rsidRDefault="00457B7B" w:rsidP="00E46B66">
            <w:pPr>
              <w:rPr>
                <w:rFonts w:eastAsia="Calibri"/>
                <w:i/>
                <w:iCs/>
                <w:sz w:val="24"/>
                <w:szCs w:val="24"/>
                <w:u w:val="single"/>
                <w:lang w:eastAsia="en-GB"/>
              </w:rPr>
            </w:pPr>
            <w:r w:rsidRPr="00122D03">
              <w:rPr>
                <w:i/>
                <w:iCs/>
                <w:sz w:val="24"/>
                <w:szCs w:val="24"/>
                <w:u w:val="single"/>
              </w:rPr>
              <w:t xml:space="preserve">Ikke almindelig: </w:t>
            </w:r>
          </w:p>
          <w:p w:rsidR="00457B7B" w:rsidRPr="00122D03" w:rsidRDefault="00457B7B" w:rsidP="00E46B66">
            <w:pPr>
              <w:rPr>
                <w:rFonts w:eastAsia="Calibri"/>
                <w:sz w:val="24"/>
                <w:szCs w:val="24"/>
              </w:rPr>
            </w:pPr>
            <w:proofErr w:type="spellStart"/>
            <w:r w:rsidRPr="00122D03">
              <w:rPr>
                <w:sz w:val="24"/>
                <w:szCs w:val="24"/>
              </w:rPr>
              <w:t>Hudulceration</w:t>
            </w:r>
            <w:proofErr w:type="spellEnd"/>
            <w:r w:rsidRPr="00122D03">
              <w:rPr>
                <w:sz w:val="24"/>
                <w:szCs w:val="24"/>
              </w:rPr>
              <w:t xml:space="preserve">, </w:t>
            </w:r>
            <w:proofErr w:type="spellStart"/>
            <w:r w:rsidRPr="00122D03">
              <w:rPr>
                <w:sz w:val="24"/>
                <w:szCs w:val="24"/>
              </w:rPr>
              <w:t>pruritus</w:t>
            </w:r>
            <w:proofErr w:type="spellEnd"/>
          </w:p>
          <w:p w:rsidR="00457B7B" w:rsidRPr="00122D03" w:rsidRDefault="00457B7B" w:rsidP="00E46B66">
            <w:pPr>
              <w:rPr>
                <w:rFonts w:eastAsia="Calibri"/>
                <w:i/>
                <w:iCs/>
                <w:sz w:val="24"/>
                <w:szCs w:val="24"/>
              </w:rPr>
            </w:pPr>
          </w:p>
          <w:p w:rsidR="00457B7B" w:rsidRPr="00122D03" w:rsidRDefault="00457B7B" w:rsidP="00E46B66">
            <w:pPr>
              <w:rPr>
                <w:rFonts w:eastAsia="Calibri"/>
                <w:i/>
                <w:iCs/>
                <w:sz w:val="24"/>
                <w:szCs w:val="24"/>
                <w:u w:val="single"/>
                <w:lang w:eastAsia="en-GB"/>
              </w:rPr>
            </w:pPr>
            <w:r w:rsidRPr="00122D03">
              <w:rPr>
                <w:i/>
                <w:iCs/>
                <w:sz w:val="24"/>
                <w:szCs w:val="24"/>
                <w:u w:val="single"/>
              </w:rPr>
              <w:t xml:space="preserve">Meget sjælden: </w:t>
            </w:r>
          </w:p>
          <w:p w:rsidR="00457B7B" w:rsidRPr="00122D03" w:rsidRDefault="00457B7B" w:rsidP="00E46B66">
            <w:pPr>
              <w:rPr>
                <w:rFonts w:eastAsia="Calibri"/>
                <w:sz w:val="24"/>
                <w:szCs w:val="24"/>
              </w:rPr>
            </w:pPr>
            <w:proofErr w:type="spellStart"/>
            <w:r w:rsidRPr="00122D03">
              <w:rPr>
                <w:sz w:val="24"/>
                <w:szCs w:val="24"/>
              </w:rPr>
              <w:t>Neutrofil</w:t>
            </w:r>
            <w:proofErr w:type="spellEnd"/>
            <w:r w:rsidRPr="00122D03">
              <w:rPr>
                <w:sz w:val="24"/>
                <w:szCs w:val="24"/>
              </w:rPr>
              <w:t xml:space="preserve"> </w:t>
            </w:r>
            <w:proofErr w:type="spellStart"/>
            <w:r w:rsidRPr="00122D03">
              <w:rPr>
                <w:sz w:val="24"/>
                <w:szCs w:val="24"/>
              </w:rPr>
              <w:t>ekkrin</w:t>
            </w:r>
            <w:proofErr w:type="spellEnd"/>
            <w:r w:rsidRPr="00122D03">
              <w:rPr>
                <w:sz w:val="24"/>
                <w:szCs w:val="24"/>
              </w:rPr>
              <w:t xml:space="preserve"> </w:t>
            </w:r>
            <w:proofErr w:type="spellStart"/>
            <w:r w:rsidRPr="00122D03">
              <w:rPr>
                <w:sz w:val="24"/>
                <w:szCs w:val="24"/>
              </w:rPr>
              <w:t>hidradenitis</w:t>
            </w:r>
            <w:proofErr w:type="spellEnd"/>
          </w:p>
          <w:p w:rsidR="00457B7B" w:rsidRPr="00122D03" w:rsidRDefault="00457B7B" w:rsidP="00E46B66">
            <w:pPr>
              <w:rPr>
                <w:rFonts w:eastAsia="Calibri"/>
                <w:sz w:val="24"/>
                <w:szCs w:val="24"/>
              </w:rPr>
            </w:pPr>
          </w:p>
          <w:p w:rsidR="00457B7B" w:rsidRPr="00122D03" w:rsidRDefault="00457B7B" w:rsidP="00E46B66">
            <w:pPr>
              <w:rPr>
                <w:i/>
                <w:sz w:val="24"/>
                <w:szCs w:val="24"/>
                <w:u w:val="single"/>
                <w:lang w:eastAsia="en-GB"/>
              </w:rPr>
            </w:pPr>
            <w:r w:rsidRPr="00122D03">
              <w:rPr>
                <w:i/>
                <w:sz w:val="24"/>
                <w:szCs w:val="24"/>
                <w:u w:val="single"/>
              </w:rPr>
              <w:t>Ikke kendt:</w:t>
            </w:r>
          </w:p>
          <w:p w:rsidR="00457B7B" w:rsidRPr="00122D03" w:rsidRDefault="00457B7B" w:rsidP="00E46B66">
            <w:pPr>
              <w:rPr>
                <w:sz w:val="24"/>
                <w:szCs w:val="24"/>
              </w:rPr>
            </w:pPr>
            <w:r w:rsidRPr="00122D03">
              <w:rPr>
                <w:sz w:val="24"/>
                <w:szCs w:val="24"/>
              </w:rPr>
              <w:t>Fregner, udslæt</w:t>
            </w:r>
            <w:r>
              <w:rPr>
                <w:sz w:val="24"/>
                <w:szCs w:val="24"/>
              </w:rPr>
              <w:t xml:space="preserve">, </w:t>
            </w:r>
            <w:proofErr w:type="spellStart"/>
            <w:r>
              <w:rPr>
                <w:sz w:val="24"/>
                <w:szCs w:val="24"/>
              </w:rPr>
              <w:t>palmoplantar</w:t>
            </w:r>
            <w:proofErr w:type="spellEnd"/>
            <w:r>
              <w:rPr>
                <w:sz w:val="24"/>
                <w:szCs w:val="24"/>
              </w:rPr>
              <w:t xml:space="preserve"> </w:t>
            </w:r>
            <w:proofErr w:type="spellStart"/>
            <w:r w:rsidRPr="00D4770F">
              <w:rPr>
                <w:sz w:val="24"/>
                <w:szCs w:val="24"/>
              </w:rPr>
              <w:t>erytrodysæstesi</w:t>
            </w:r>
            <w:proofErr w:type="spellEnd"/>
            <w:r w:rsidRPr="00D4770F">
              <w:rPr>
                <w:sz w:val="24"/>
                <w:szCs w:val="24"/>
              </w:rPr>
              <w:t>-syndrom</w:t>
            </w:r>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rFonts w:eastAsia="Calibri"/>
                <w:b/>
                <w:bCs/>
                <w:sz w:val="24"/>
                <w:szCs w:val="24"/>
              </w:rPr>
            </w:pPr>
            <w:r w:rsidRPr="00122D03">
              <w:rPr>
                <w:b/>
                <w:sz w:val="24"/>
                <w:szCs w:val="24"/>
              </w:rPr>
              <w:t>Knogler, led, muskler og bindevæv</w:t>
            </w:r>
          </w:p>
        </w:tc>
        <w:tc>
          <w:tcPr>
            <w:tcW w:w="2823"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i/>
                <w:sz w:val="24"/>
                <w:szCs w:val="24"/>
                <w:u w:val="single"/>
              </w:rPr>
            </w:pPr>
            <w:r w:rsidRPr="00122D03">
              <w:rPr>
                <w:i/>
                <w:sz w:val="24"/>
                <w:szCs w:val="24"/>
                <w:u w:val="single"/>
              </w:rPr>
              <w:t xml:space="preserve">Ikke almindelig: </w:t>
            </w:r>
          </w:p>
          <w:p w:rsidR="00457B7B" w:rsidRPr="00122D03" w:rsidRDefault="00457B7B" w:rsidP="00E46B66">
            <w:pPr>
              <w:rPr>
                <w:sz w:val="24"/>
                <w:szCs w:val="24"/>
              </w:rPr>
            </w:pPr>
            <w:r w:rsidRPr="00122D03">
              <w:rPr>
                <w:sz w:val="24"/>
                <w:szCs w:val="24"/>
              </w:rPr>
              <w:t xml:space="preserve">Myalgi, </w:t>
            </w:r>
            <w:proofErr w:type="spellStart"/>
            <w:r w:rsidRPr="00122D03">
              <w:rPr>
                <w:sz w:val="24"/>
                <w:szCs w:val="24"/>
              </w:rPr>
              <w:t>arthralgi</w:t>
            </w:r>
            <w:proofErr w:type="spellEnd"/>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rFonts w:eastAsia="Calibri"/>
                <w:b/>
                <w:bCs/>
                <w:sz w:val="24"/>
                <w:szCs w:val="24"/>
              </w:rPr>
            </w:pPr>
            <w:r w:rsidRPr="00122D03">
              <w:rPr>
                <w:b/>
                <w:sz w:val="24"/>
                <w:szCs w:val="24"/>
              </w:rPr>
              <w:t>Nyrer og urinveje</w:t>
            </w:r>
          </w:p>
        </w:tc>
        <w:tc>
          <w:tcPr>
            <w:tcW w:w="2823"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i/>
                <w:sz w:val="24"/>
                <w:szCs w:val="24"/>
                <w:u w:val="single"/>
              </w:rPr>
            </w:pPr>
            <w:r w:rsidRPr="00122D03">
              <w:rPr>
                <w:i/>
                <w:sz w:val="24"/>
                <w:szCs w:val="24"/>
                <w:u w:val="single"/>
              </w:rPr>
              <w:t xml:space="preserve">Almindelig: </w:t>
            </w:r>
          </w:p>
          <w:p w:rsidR="00457B7B" w:rsidRPr="00122D03" w:rsidRDefault="00457B7B" w:rsidP="00E46B66">
            <w:pPr>
              <w:rPr>
                <w:sz w:val="24"/>
                <w:szCs w:val="24"/>
              </w:rPr>
            </w:pPr>
            <w:r w:rsidRPr="00122D03">
              <w:rPr>
                <w:sz w:val="24"/>
                <w:szCs w:val="24"/>
              </w:rPr>
              <w:t>Nedsat nyrefunktion, urinretention</w:t>
            </w:r>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rFonts w:eastAsia="Calibri"/>
                <w:b/>
                <w:bCs/>
                <w:sz w:val="24"/>
                <w:szCs w:val="24"/>
              </w:rPr>
            </w:pPr>
            <w:r w:rsidRPr="00122D03">
              <w:rPr>
                <w:b/>
                <w:sz w:val="24"/>
                <w:szCs w:val="24"/>
              </w:rPr>
              <w:t>Almene symptomer og reaktioner på administrationsstedet</w:t>
            </w:r>
          </w:p>
        </w:tc>
        <w:tc>
          <w:tcPr>
            <w:tcW w:w="2823" w:type="pct"/>
            <w:tcBorders>
              <w:top w:val="single" w:sz="4" w:space="0" w:color="auto"/>
              <w:left w:val="single" w:sz="4" w:space="0" w:color="auto"/>
              <w:bottom w:val="single" w:sz="4" w:space="0" w:color="auto"/>
              <w:right w:val="single" w:sz="4" w:space="0" w:color="auto"/>
            </w:tcBorders>
          </w:tcPr>
          <w:p w:rsidR="00457B7B" w:rsidRPr="00122D03" w:rsidRDefault="00457B7B" w:rsidP="00E46B66">
            <w:pPr>
              <w:rPr>
                <w:rFonts w:eastAsia="Calibri"/>
                <w:i/>
                <w:iCs/>
                <w:sz w:val="24"/>
                <w:szCs w:val="24"/>
                <w:u w:val="single"/>
              </w:rPr>
            </w:pPr>
            <w:r w:rsidRPr="00122D03">
              <w:rPr>
                <w:i/>
                <w:iCs/>
                <w:sz w:val="24"/>
                <w:szCs w:val="24"/>
                <w:u w:val="single"/>
              </w:rPr>
              <w:t xml:space="preserve">Almindelig: </w:t>
            </w:r>
          </w:p>
          <w:p w:rsidR="00457B7B" w:rsidRPr="00122D03" w:rsidRDefault="00457B7B" w:rsidP="00E46B66">
            <w:pPr>
              <w:rPr>
                <w:rFonts w:eastAsia="Calibri"/>
                <w:sz w:val="24"/>
                <w:szCs w:val="24"/>
              </w:rPr>
            </w:pPr>
            <w:r w:rsidRPr="00122D03">
              <w:rPr>
                <w:sz w:val="24"/>
                <w:szCs w:val="24"/>
              </w:rPr>
              <w:t xml:space="preserve">Feber, </w:t>
            </w:r>
            <w:proofErr w:type="spellStart"/>
            <w:r w:rsidRPr="00122D03">
              <w:rPr>
                <w:sz w:val="24"/>
                <w:szCs w:val="24"/>
              </w:rPr>
              <w:t>tromboflebitis</w:t>
            </w:r>
            <w:proofErr w:type="spellEnd"/>
            <w:r w:rsidRPr="00122D03">
              <w:rPr>
                <w:sz w:val="24"/>
                <w:szCs w:val="24"/>
              </w:rPr>
              <w:t xml:space="preserve"> på injektionsstedet</w:t>
            </w:r>
          </w:p>
          <w:p w:rsidR="00457B7B" w:rsidRPr="00122D03" w:rsidRDefault="00457B7B" w:rsidP="00E46B66">
            <w:pPr>
              <w:rPr>
                <w:rFonts w:eastAsia="Calibri"/>
                <w:sz w:val="24"/>
                <w:szCs w:val="24"/>
              </w:rPr>
            </w:pPr>
          </w:p>
          <w:p w:rsidR="00457B7B" w:rsidRPr="00122D03" w:rsidRDefault="00457B7B" w:rsidP="00E46B66">
            <w:pPr>
              <w:rPr>
                <w:i/>
                <w:sz w:val="24"/>
                <w:szCs w:val="24"/>
                <w:u w:val="single"/>
                <w:lang w:eastAsia="en-GB"/>
              </w:rPr>
            </w:pPr>
            <w:r w:rsidRPr="00122D03">
              <w:rPr>
                <w:i/>
                <w:sz w:val="24"/>
                <w:szCs w:val="24"/>
                <w:u w:val="single"/>
              </w:rPr>
              <w:t>Ikke kendt:</w:t>
            </w:r>
          </w:p>
          <w:p w:rsidR="00457B7B" w:rsidRPr="00122D03" w:rsidRDefault="00457B7B" w:rsidP="00E46B66">
            <w:pPr>
              <w:rPr>
                <w:sz w:val="24"/>
                <w:szCs w:val="24"/>
              </w:rPr>
            </w:pPr>
            <w:r w:rsidRPr="00122D03">
              <w:rPr>
                <w:sz w:val="24"/>
                <w:szCs w:val="24"/>
              </w:rPr>
              <w:t>Brystsmerter og reaktion på injektionsstedet (smerte og betændelse på de subkutane injektionssteder)</w:t>
            </w:r>
          </w:p>
        </w:tc>
      </w:tr>
      <w:tr w:rsidR="00457B7B" w:rsidRPr="00122D03" w:rsidTr="00E46B66">
        <w:tc>
          <w:tcPr>
            <w:tcW w:w="2177"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b/>
                <w:sz w:val="24"/>
                <w:szCs w:val="24"/>
              </w:rPr>
            </w:pPr>
            <w:r w:rsidRPr="00122D03">
              <w:rPr>
                <w:b/>
                <w:sz w:val="24"/>
                <w:szCs w:val="24"/>
              </w:rPr>
              <w:t>Undersøgelser</w:t>
            </w:r>
          </w:p>
        </w:tc>
        <w:tc>
          <w:tcPr>
            <w:tcW w:w="2823" w:type="pct"/>
            <w:tcBorders>
              <w:top w:val="single" w:sz="4" w:space="0" w:color="auto"/>
              <w:left w:val="single" w:sz="4" w:space="0" w:color="auto"/>
              <w:bottom w:val="single" w:sz="4" w:space="0" w:color="auto"/>
              <w:right w:val="single" w:sz="4" w:space="0" w:color="auto"/>
            </w:tcBorders>
            <w:hideMark/>
          </w:tcPr>
          <w:p w:rsidR="00457B7B" w:rsidRPr="00122D03" w:rsidRDefault="00457B7B" w:rsidP="00E46B66">
            <w:pPr>
              <w:rPr>
                <w:rFonts w:eastAsia="Calibri"/>
                <w:i/>
                <w:iCs/>
                <w:sz w:val="24"/>
                <w:szCs w:val="24"/>
              </w:rPr>
            </w:pPr>
            <w:r w:rsidRPr="00122D03">
              <w:rPr>
                <w:i/>
                <w:iCs/>
                <w:sz w:val="24"/>
                <w:szCs w:val="24"/>
              </w:rPr>
              <w:t>Ikke kendt:</w:t>
            </w:r>
          </w:p>
          <w:p w:rsidR="00457B7B" w:rsidRPr="00122D03" w:rsidRDefault="00457B7B" w:rsidP="00E46B66">
            <w:pPr>
              <w:rPr>
                <w:rFonts w:eastAsia="Calibri"/>
                <w:i/>
                <w:iCs/>
                <w:sz w:val="24"/>
                <w:szCs w:val="24"/>
              </w:rPr>
            </w:pPr>
            <w:r w:rsidRPr="00122D03">
              <w:rPr>
                <w:sz w:val="24"/>
                <w:szCs w:val="24"/>
              </w:rPr>
              <w:t xml:space="preserve">Reducerede </w:t>
            </w:r>
            <w:proofErr w:type="spellStart"/>
            <w:r w:rsidRPr="00122D03">
              <w:rPr>
                <w:sz w:val="24"/>
                <w:szCs w:val="24"/>
              </w:rPr>
              <w:t>retikulocytter</w:t>
            </w:r>
            <w:proofErr w:type="spellEnd"/>
            <w:r w:rsidRPr="00122D03">
              <w:rPr>
                <w:sz w:val="24"/>
                <w:szCs w:val="24"/>
              </w:rPr>
              <w:t>, cellulære ændringer i knoglemarvens morfologi og perifere udslæt</w:t>
            </w:r>
          </w:p>
        </w:tc>
      </w:tr>
    </w:tbl>
    <w:p w:rsidR="00947B7B" w:rsidRPr="009F56AD" w:rsidRDefault="00947B7B" w:rsidP="00947B7B">
      <w:pPr>
        <w:pStyle w:val="NormalWeb"/>
        <w:tabs>
          <w:tab w:val="left" w:pos="567"/>
        </w:tabs>
        <w:spacing w:before="0" w:beforeAutospacing="0" w:after="0" w:afterAutospacing="0"/>
        <w:ind w:left="851" w:hanging="851"/>
      </w:pPr>
    </w:p>
    <w:p w:rsidR="00947B7B" w:rsidRPr="00A819DC" w:rsidRDefault="00947B7B" w:rsidP="00947B7B">
      <w:pPr>
        <w:ind w:left="851"/>
        <w:rPr>
          <w:rFonts w:eastAsia="Calibri"/>
          <w:b/>
          <w:i/>
          <w:sz w:val="24"/>
          <w:szCs w:val="24"/>
          <w:lang w:val="sv-SE"/>
        </w:rPr>
      </w:pPr>
      <w:proofErr w:type="spellStart"/>
      <w:r w:rsidRPr="00A819DC">
        <w:rPr>
          <w:b/>
          <w:i/>
          <w:sz w:val="24"/>
          <w:szCs w:val="24"/>
          <w:lang w:val="sv-SE"/>
        </w:rPr>
        <w:t>Cytarabin</w:t>
      </w:r>
      <w:proofErr w:type="spellEnd"/>
      <w:r w:rsidRPr="00A819DC">
        <w:rPr>
          <w:b/>
          <w:i/>
          <w:sz w:val="24"/>
          <w:szCs w:val="24"/>
          <w:lang w:val="sv-SE"/>
        </w:rPr>
        <w:t xml:space="preserve"> (Ara-C) syndrom: (immunallergisk effekt)</w:t>
      </w:r>
    </w:p>
    <w:p w:rsidR="00947B7B" w:rsidRPr="009F56AD" w:rsidRDefault="00947B7B" w:rsidP="00947B7B">
      <w:pPr>
        <w:ind w:left="851"/>
        <w:rPr>
          <w:rFonts w:eastAsia="Calibri"/>
          <w:sz w:val="24"/>
          <w:szCs w:val="24"/>
        </w:rPr>
      </w:pPr>
      <w:r w:rsidRPr="009F56AD">
        <w:rPr>
          <w:sz w:val="24"/>
          <w:szCs w:val="24"/>
        </w:rPr>
        <w:t xml:space="preserve">Feber, myalgi, knoglesmerter, lejlighedsvise brystsmerter, </w:t>
      </w:r>
      <w:proofErr w:type="spellStart"/>
      <w:r w:rsidRPr="009F56AD">
        <w:rPr>
          <w:sz w:val="24"/>
          <w:szCs w:val="24"/>
        </w:rPr>
        <w:t>eksantem</w:t>
      </w:r>
      <w:proofErr w:type="spellEnd"/>
      <w:r w:rsidRPr="009F56AD">
        <w:rPr>
          <w:sz w:val="24"/>
          <w:szCs w:val="24"/>
        </w:rPr>
        <w:t xml:space="preserve">, </w:t>
      </w:r>
      <w:proofErr w:type="spellStart"/>
      <w:r w:rsidRPr="009F56AD">
        <w:rPr>
          <w:sz w:val="24"/>
          <w:szCs w:val="24"/>
        </w:rPr>
        <w:t>konjunktivitis</w:t>
      </w:r>
      <w:proofErr w:type="spellEnd"/>
      <w:r w:rsidRPr="009F56AD">
        <w:rPr>
          <w:sz w:val="24"/>
          <w:szCs w:val="24"/>
        </w:rPr>
        <w:t xml:space="preserve"> og kvalme kan forekomme 6-12 timer efter behandlingsstart. </w:t>
      </w:r>
      <w:proofErr w:type="spellStart"/>
      <w:r w:rsidRPr="009F56AD">
        <w:rPr>
          <w:sz w:val="24"/>
          <w:szCs w:val="24"/>
        </w:rPr>
        <w:t>Kortikosteroider</w:t>
      </w:r>
      <w:proofErr w:type="spellEnd"/>
      <w:r w:rsidRPr="009F56AD">
        <w:rPr>
          <w:sz w:val="24"/>
          <w:szCs w:val="24"/>
        </w:rPr>
        <w:t xml:space="preserve"> kan overvejes </w:t>
      </w:r>
      <w:r w:rsidRPr="009F56AD">
        <w:rPr>
          <w:sz w:val="24"/>
          <w:szCs w:val="24"/>
        </w:rPr>
        <w:lastRenderedPageBreak/>
        <w:t xml:space="preserve">som profylakse og behandling. Hvis de er effektive, kan behandlingen med </w:t>
      </w:r>
      <w:proofErr w:type="spellStart"/>
      <w:r w:rsidRPr="009F56AD">
        <w:rPr>
          <w:sz w:val="24"/>
          <w:szCs w:val="24"/>
        </w:rPr>
        <w:t>cytarabin</w:t>
      </w:r>
      <w:proofErr w:type="spellEnd"/>
      <w:r w:rsidRPr="009F56AD">
        <w:rPr>
          <w:sz w:val="24"/>
          <w:szCs w:val="24"/>
        </w:rPr>
        <w:t xml:space="preserve"> fortsættes.</w:t>
      </w:r>
    </w:p>
    <w:p w:rsidR="00947B7B" w:rsidRPr="009F56AD" w:rsidRDefault="00947B7B" w:rsidP="00947B7B">
      <w:pPr>
        <w:ind w:left="851"/>
        <w:rPr>
          <w:rFonts w:eastAsia="Calibri"/>
          <w:sz w:val="24"/>
          <w:szCs w:val="24"/>
        </w:rPr>
      </w:pPr>
    </w:p>
    <w:p w:rsidR="00947B7B" w:rsidRPr="00122D03" w:rsidRDefault="00947B7B" w:rsidP="00947B7B">
      <w:pPr>
        <w:ind w:left="851"/>
        <w:rPr>
          <w:rFonts w:eastAsia="Calibri"/>
          <w:b/>
          <w:sz w:val="24"/>
          <w:szCs w:val="24"/>
          <w:lang w:eastAsia="en-GB"/>
        </w:rPr>
      </w:pPr>
      <w:r w:rsidRPr="00122D03">
        <w:rPr>
          <w:b/>
          <w:sz w:val="24"/>
          <w:szCs w:val="24"/>
        </w:rPr>
        <w:t xml:space="preserve">Efter </w:t>
      </w:r>
      <w:proofErr w:type="spellStart"/>
      <w:r w:rsidRPr="00122D03">
        <w:rPr>
          <w:b/>
          <w:sz w:val="24"/>
          <w:szCs w:val="24"/>
        </w:rPr>
        <w:t>intratekal</w:t>
      </w:r>
      <w:proofErr w:type="spellEnd"/>
      <w:r w:rsidRPr="00122D03">
        <w:rPr>
          <w:b/>
          <w:sz w:val="24"/>
          <w:szCs w:val="24"/>
        </w:rPr>
        <w:t xml:space="preserve"> brug</w:t>
      </w:r>
    </w:p>
    <w:p w:rsidR="00947B7B" w:rsidRPr="00122D03" w:rsidRDefault="00947B7B" w:rsidP="00947B7B">
      <w:pPr>
        <w:ind w:left="851"/>
        <w:rPr>
          <w:rFonts w:eastAsia="Calibri"/>
          <w:b/>
          <w:i/>
          <w:sz w:val="24"/>
          <w:szCs w:val="24"/>
        </w:rPr>
      </w:pPr>
      <w:r w:rsidRPr="00122D03">
        <w:rPr>
          <w:b/>
          <w:i/>
          <w:sz w:val="24"/>
          <w:szCs w:val="24"/>
        </w:rPr>
        <w:t>Nervesystemet</w:t>
      </w:r>
    </w:p>
    <w:p w:rsidR="00947B7B" w:rsidRPr="009F56AD" w:rsidRDefault="00947B7B" w:rsidP="00947B7B">
      <w:pPr>
        <w:ind w:left="851"/>
        <w:rPr>
          <w:rFonts w:eastAsia="Calibri"/>
          <w:sz w:val="24"/>
          <w:szCs w:val="24"/>
        </w:rPr>
      </w:pPr>
      <w:r w:rsidRPr="009F56AD">
        <w:rPr>
          <w:sz w:val="24"/>
          <w:szCs w:val="24"/>
        </w:rPr>
        <w:t xml:space="preserve">Risikoen for CNS-toksicitet stiger, hvis </w:t>
      </w:r>
      <w:proofErr w:type="spellStart"/>
      <w:r w:rsidRPr="009F56AD">
        <w:rPr>
          <w:sz w:val="24"/>
          <w:szCs w:val="24"/>
        </w:rPr>
        <w:t>cytarabinbehandling</w:t>
      </w:r>
      <w:proofErr w:type="spellEnd"/>
      <w:r w:rsidRPr="009F56AD">
        <w:rPr>
          <w:sz w:val="24"/>
          <w:szCs w:val="24"/>
        </w:rPr>
        <w:t xml:space="preserve"> - givet som høje </w:t>
      </w:r>
      <w:proofErr w:type="spellStart"/>
      <w:r w:rsidRPr="009F56AD">
        <w:rPr>
          <w:sz w:val="24"/>
          <w:szCs w:val="24"/>
        </w:rPr>
        <w:t>i.v</w:t>
      </w:r>
      <w:proofErr w:type="spellEnd"/>
      <w:r w:rsidRPr="009F56AD">
        <w:rPr>
          <w:sz w:val="24"/>
          <w:szCs w:val="24"/>
        </w:rPr>
        <w:t xml:space="preserve">.-doser eller </w:t>
      </w:r>
      <w:proofErr w:type="spellStart"/>
      <w:r w:rsidRPr="009F56AD">
        <w:rPr>
          <w:sz w:val="24"/>
          <w:szCs w:val="24"/>
        </w:rPr>
        <w:t>intratekalt</w:t>
      </w:r>
      <w:proofErr w:type="spellEnd"/>
      <w:r w:rsidRPr="009F56AD">
        <w:rPr>
          <w:sz w:val="24"/>
          <w:szCs w:val="24"/>
        </w:rPr>
        <w:t xml:space="preserve"> - kombineres med andre CNS-toksiske behandlinger, såsom strålebehandling, højdosis eller </w:t>
      </w:r>
      <w:proofErr w:type="spellStart"/>
      <w:r w:rsidRPr="009F56AD">
        <w:rPr>
          <w:sz w:val="24"/>
          <w:szCs w:val="24"/>
        </w:rPr>
        <w:t>intratekal</w:t>
      </w:r>
      <w:proofErr w:type="spellEnd"/>
      <w:r w:rsidRPr="009F56AD">
        <w:rPr>
          <w:sz w:val="24"/>
          <w:szCs w:val="24"/>
        </w:rPr>
        <w:t xml:space="preserve"> </w:t>
      </w:r>
      <w:proofErr w:type="spellStart"/>
      <w:r w:rsidRPr="009F56AD">
        <w:rPr>
          <w:sz w:val="24"/>
          <w:szCs w:val="24"/>
        </w:rPr>
        <w:t>methotrexat</w:t>
      </w:r>
      <w:proofErr w:type="spellEnd"/>
      <w:r w:rsidRPr="009F56AD">
        <w:rPr>
          <w:sz w:val="24"/>
          <w:szCs w:val="24"/>
        </w:rPr>
        <w:t xml:space="preserve"> eller hvis givet </w:t>
      </w:r>
      <w:proofErr w:type="spellStart"/>
      <w:r w:rsidRPr="009F56AD">
        <w:rPr>
          <w:sz w:val="24"/>
          <w:szCs w:val="24"/>
        </w:rPr>
        <w:t>intratekalt</w:t>
      </w:r>
      <w:proofErr w:type="spellEnd"/>
      <w:r w:rsidRPr="009F56AD">
        <w:rPr>
          <w:sz w:val="24"/>
          <w:szCs w:val="24"/>
        </w:rPr>
        <w:t xml:space="preserve"> i korte intervaller eller i doser på mere end 30 mg/m</w:t>
      </w:r>
      <w:r w:rsidRPr="009F56AD">
        <w:rPr>
          <w:sz w:val="24"/>
          <w:szCs w:val="24"/>
          <w:vertAlign w:val="superscript"/>
        </w:rPr>
        <w:t>2</w:t>
      </w:r>
      <w:r w:rsidRPr="009F56AD">
        <w:rPr>
          <w:sz w:val="24"/>
          <w:szCs w:val="24"/>
        </w:rPr>
        <w:t>.</w:t>
      </w:r>
    </w:p>
    <w:p w:rsidR="00947B7B" w:rsidRPr="009F56AD" w:rsidRDefault="00947B7B" w:rsidP="00947B7B">
      <w:pPr>
        <w:ind w:left="851"/>
        <w:rPr>
          <w:rFonts w:eastAsia="Calibri"/>
          <w:sz w:val="24"/>
          <w:szCs w:val="24"/>
        </w:rPr>
      </w:pPr>
      <w:r w:rsidRPr="009F56AD">
        <w:rPr>
          <w:sz w:val="24"/>
          <w:szCs w:val="24"/>
        </w:rPr>
        <w:t xml:space="preserve">Efter </w:t>
      </w:r>
      <w:proofErr w:type="spellStart"/>
      <w:r w:rsidRPr="009F56AD">
        <w:rPr>
          <w:sz w:val="24"/>
          <w:szCs w:val="24"/>
        </w:rPr>
        <w:t>intratekal</w:t>
      </w:r>
      <w:proofErr w:type="spellEnd"/>
      <w:r w:rsidRPr="009F56AD">
        <w:rPr>
          <w:sz w:val="24"/>
          <w:szCs w:val="24"/>
        </w:rPr>
        <w:t xml:space="preserve"> behandling er der indberettet </w:t>
      </w:r>
      <w:proofErr w:type="spellStart"/>
      <w:r w:rsidRPr="009F56AD">
        <w:rPr>
          <w:sz w:val="24"/>
          <w:szCs w:val="24"/>
        </w:rPr>
        <w:t>nekrotiserende</w:t>
      </w:r>
      <w:proofErr w:type="spellEnd"/>
      <w:r w:rsidRPr="009F56AD">
        <w:rPr>
          <w:sz w:val="24"/>
          <w:szCs w:val="24"/>
        </w:rPr>
        <w:t xml:space="preserve"> </w:t>
      </w:r>
      <w:proofErr w:type="spellStart"/>
      <w:r w:rsidRPr="009F56AD">
        <w:rPr>
          <w:sz w:val="24"/>
          <w:szCs w:val="24"/>
        </w:rPr>
        <w:t>leukopenalopati</w:t>
      </w:r>
      <w:proofErr w:type="spellEnd"/>
      <w:r w:rsidRPr="009F56AD">
        <w:rPr>
          <w:sz w:val="24"/>
          <w:szCs w:val="24"/>
        </w:rPr>
        <w:t xml:space="preserve">, knoglemarvsdepression, </w:t>
      </w:r>
      <w:proofErr w:type="spellStart"/>
      <w:r w:rsidRPr="009F56AD">
        <w:rPr>
          <w:sz w:val="24"/>
          <w:szCs w:val="24"/>
        </w:rPr>
        <w:t>myelopati</w:t>
      </w:r>
      <w:proofErr w:type="spellEnd"/>
      <w:r w:rsidRPr="009F56AD">
        <w:rPr>
          <w:sz w:val="24"/>
          <w:szCs w:val="24"/>
        </w:rPr>
        <w:t xml:space="preserve"> der resulterer i </w:t>
      </w:r>
      <w:proofErr w:type="spellStart"/>
      <w:r w:rsidRPr="009F56AD">
        <w:rPr>
          <w:sz w:val="24"/>
          <w:szCs w:val="24"/>
        </w:rPr>
        <w:t>para</w:t>
      </w:r>
      <w:proofErr w:type="spellEnd"/>
      <w:r w:rsidRPr="009F56AD">
        <w:rPr>
          <w:sz w:val="24"/>
          <w:szCs w:val="24"/>
        </w:rPr>
        <w:t xml:space="preserve">- eller </w:t>
      </w:r>
      <w:proofErr w:type="spellStart"/>
      <w:r w:rsidRPr="009F56AD">
        <w:rPr>
          <w:sz w:val="24"/>
          <w:szCs w:val="24"/>
        </w:rPr>
        <w:t>kvadriplegi</w:t>
      </w:r>
      <w:proofErr w:type="spellEnd"/>
      <w:r w:rsidRPr="009F56AD">
        <w:rPr>
          <w:sz w:val="24"/>
          <w:szCs w:val="24"/>
        </w:rPr>
        <w:t xml:space="preserve">, lammelse og andre isolerede </w:t>
      </w:r>
      <w:proofErr w:type="spellStart"/>
      <w:r w:rsidRPr="009F56AD">
        <w:rPr>
          <w:sz w:val="24"/>
          <w:szCs w:val="24"/>
        </w:rPr>
        <w:t>neurotoksiciteter</w:t>
      </w:r>
      <w:proofErr w:type="spellEnd"/>
      <w:r w:rsidRPr="009F56AD">
        <w:rPr>
          <w:sz w:val="24"/>
          <w:szCs w:val="24"/>
        </w:rPr>
        <w:t>.</w:t>
      </w:r>
    </w:p>
    <w:p w:rsidR="00947B7B" w:rsidRPr="009F56AD" w:rsidRDefault="00947B7B" w:rsidP="00947B7B">
      <w:pPr>
        <w:ind w:left="851"/>
        <w:rPr>
          <w:rFonts w:eastAsia="Calibri"/>
          <w:sz w:val="24"/>
          <w:szCs w:val="24"/>
        </w:rPr>
      </w:pPr>
    </w:p>
    <w:p w:rsidR="00947B7B" w:rsidRPr="00122D03" w:rsidRDefault="00947B7B" w:rsidP="00947B7B">
      <w:pPr>
        <w:ind w:left="851"/>
        <w:rPr>
          <w:rFonts w:eastAsia="Calibri"/>
          <w:b/>
          <w:i/>
          <w:sz w:val="24"/>
          <w:szCs w:val="24"/>
          <w:lang w:eastAsia="en-GB"/>
        </w:rPr>
      </w:pPr>
      <w:r w:rsidRPr="00122D03">
        <w:rPr>
          <w:b/>
          <w:i/>
          <w:sz w:val="24"/>
          <w:szCs w:val="24"/>
        </w:rPr>
        <w:t>Øjne</w:t>
      </w:r>
    </w:p>
    <w:p w:rsidR="00947B7B" w:rsidRPr="009F56AD" w:rsidRDefault="00947B7B" w:rsidP="00947B7B">
      <w:pPr>
        <w:ind w:left="851"/>
        <w:rPr>
          <w:rFonts w:eastAsia="Calibri"/>
          <w:sz w:val="24"/>
          <w:szCs w:val="24"/>
        </w:rPr>
      </w:pPr>
      <w:r w:rsidRPr="009F56AD">
        <w:rPr>
          <w:sz w:val="24"/>
          <w:szCs w:val="24"/>
        </w:rPr>
        <w:t>Blindhed.</w:t>
      </w:r>
    </w:p>
    <w:p w:rsidR="00947B7B" w:rsidRPr="009F56AD" w:rsidRDefault="00947B7B" w:rsidP="00947B7B">
      <w:pPr>
        <w:ind w:left="851"/>
        <w:rPr>
          <w:rFonts w:eastAsia="Calibri"/>
          <w:sz w:val="24"/>
          <w:szCs w:val="24"/>
        </w:rPr>
      </w:pPr>
    </w:p>
    <w:p w:rsidR="00947B7B" w:rsidRPr="00122D03" w:rsidRDefault="00947B7B" w:rsidP="00947B7B">
      <w:pPr>
        <w:ind w:left="851"/>
        <w:rPr>
          <w:rFonts w:eastAsia="Calibri"/>
          <w:b/>
          <w:i/>
          <w:sz w:val="24"/>
          <w:szCs w:val="24"/>
          <w:lang w:eastAsia="en-GB"/>
        </w:rPr>
      </w:pPr>
      <w:proofErr w:type="spellStart"/>
      <w:r w:rsidRPr="00122D03">
        <w:rPr>
          <w:b/>
          <w:i/>
          <w:sz w:val="24"/>
          <w:szCs w:val="24"/>
        </w:rPr>
        <w:t>Mave-tarmkanalen</w:t>
      </w:r>
      <w:proofErr w:type="spellEnd"/>
    </w:p>
    <w:p w:rsidR="00947B7B" w:rsidRPr="009F56AD" w:rsidRDefault="00947B7B" w:rsidP="00947B7B">
      <w:pPr>
        <w:ind w:left="851"/>
        <w:rPr>
          <w:rFonts w:eastAsia="Calibri"/>
          <w:sz w:val="24"/>
          <w:szCs w:val="24"/>
        </w:rPr>
      </w:pPr>
      <w:r w:rsidRPr="009F56AD">
        <w:rPr>
          <w:sz w:val="24"/>
          <w:szCs w:val="24"/>
        </w:rPr>
        <w:t>Kvalme, opkastning.</w:t>
      </w:r>
    </w:p>
    <w:p w:rsidR="00947B7B" w:rsidRPr="009F56AD" w:rsidRDefault="00947B7B" w:rsidP="00947B7B">
      <w:pPr>
        <w:ind w:left="851"/>
        <w:rPr>
          <w:rFonts w:eastAsia="Calibri"/>
          <w:sz w:val="24"/>
          <w:szCs w:val="24"/>
        </w:rPr>
      </w:pPr>
    </w:p>
    <w:p w:rsidR="00947B7B" w:rsidRPr="00122D03" w:rsidRDefault="00947B7B" w:rsidP="00947B7B">
      <w:pPr>
        <w:ind w:left="851"/>
        <w:rPr>
          <w:rFonts w:eastAsia="Calibri"/>
          <w:b/>
          <w:i/>
          <w:sz w:val="24"/>
          <w:szCs w:val="24"/>
          <w:lang w:eastAsia="en-GB"/>
        </w:rPr>
      </w:pPr>
      <w:r w:rsidRPr="00122D03">
        <w:rPr>
          <w:b/>
          <w:i/>
          <w:sz w:val="24"/>
          <w:szCs w:val="24"/>
        </w:rPr>
        <w:t>Almene symptomer og reaktioner på administrationsstedet</w:t>
      </w:r>
    </w:p>
    <w:p w:rsidR="00947B7B" w:rsidRPr="009F56AD" w:rsidRDefault="00947B7B" w:rsidP="00947B7B">
      <w:pPr>
        <w:ind w:left="851"/>
        <w:rPr>
          <w:rFonts w:eastAsia="Calibri"/>
          <w:sz w:val="24"/>
          <w:szCs w:val="24"/>
        </w:rPr>
      </w:pPr>
      <w:r w:rsidRPr="009F56AD">
        <w:rPr>
          <w:sz w:val="24"/>
          <w:szCs w:val="24"/>
        </w:rPr>
        <w:t xml:space="preserve">Hovedpine, feber og/eller symptomer på en </w:t>
      </w:r>
      <w:proofErr w:type="spellStart"/>
      <w:r w:rsidRPr="009F56AD">
        <w:rPr>
          <w:sz w:val="24"/>
          <w:szCs w:val="24"/>
        </w:rPr>
        <w:t>arachnoiditis</w:t>
      </w:r>
      <w:proofErr w:type="spellEnd"/>
      <w:r w:rsidRPr="009F56AD">
        <w:rPr>
          <w:sz w:val="24"/>
          <w:szCs w:val="24"/>
        </w:rPr>
        <w:t>.</w:t>
      </w:r>
    </w:p>
    <w:p w:rsidR="00947B7B" w:rsidRPr="009F56AD" w:rsidRDefault="00947B7B" w:rsidP="00947B7B">
      <w:pPr>
        <w:ind w:left="851"/>
        <w:rPr>
          <w:rFonts w:eastAsia="Calibri"/>
          <w:sz w:val="24"/>
          <w:szCs w:val="24"/>
        </w:rPr>
      </w:pPr>
    </w:p>
    <w:p w:rsidR="00947B7B" w:rsidRDefault="00947B7B" w:rsidP="00947B7B">
      <w:pPr>
        <w:ind w:left="851"/>
        <w:rPr>
          <w:b/>
          <w:i/>
          <w:sz w:val="24"/>
          <w:szCs w:val="24"/>
        </w:rPr>
      </w:pPr>
      <w:r w:rsidRPr="00122D03">
        <w:rPr>
          <w:b/>
          <w:i/>
          <w:sz w:val="24"/>
          <w:szCs w:val="24"/>
        </w:rPr>
        <w:t xml:space="preserve">Ud over de bivirkninger, der forekommer ved konventionelle doser, inkluderer bivirkninger som følge af højdosisbehandling med </w:t>
      </w:r>
      <w:proofErr w:type="spellStart"/>
      <w:r w:rsidRPr="00122D03">
        <w:rPr>
          <w:b/>
          <w:i/>
          <w:sz w:val="24"/>
          <w:szCs w:val="24"/>
        </w:rPr>
        <w:t>cytarabin</w:t>
      </w:r>
      <w:proofErr w:type="spellEnd"/>
      <w:r w:rsidRPr="00122D03">
        <w:rPr>
          <w:b/>
          <w:i/>
          <w:sz w:val="24"/>
          <w:szCs w:val="24"/>
        </w:rPr>
        <w:t>:</w:t>
      </w:r>
    </w:p>
    <w:p w:rsidR="006F2B3A" w:rsidRDefault="006F2B3A" w:rsidP="00947B7B">
      <w:pPr>
        <w:ind w:left="851"/>
        <w:rPr>
          <w:rFonts w:eastAsia="Calibri"/>
          <w:b/>
          <w:i/>
          <w:sz w:val="24"/>
          <w:szCs w:val="24"/>
          <w:lang w:eastAsia="en-GB"/>
        </w:rPr>
      </w:pPr>
    </w:p>
    <w:p w:rsidR="006F2B3A" w:rsidRPr="006F2B3A" w:rsidRDefault="006F2B3A" w:rsidP="006F2B3A">
      <w:pPr>
        <w:ind w:left="851"/>
        <w:rPr>
          <w:sz w:val="24"/>
          <w:szCs w:val="24"/>
          <w:highlight w:val="yellow"/>
        </w:rPr>
      </w:pPr>
      <w:r>
        <w:rPr>
          <w:sz w:val="24"/>
          <w:szCs w:val="24"/>
        </w:rPr>
        <w:t xml:space="preserve">Der er rapporteret svær og undertiden dødelig CNS-, mave-tarm- og </w:t>
      </w:r>
      <w:proofErr w:type="spellStart"/>
      <w:r>
        <w:rPr>
          <w:sz w:val="24"/>
          <w:szCs w:val="24"/>
        </w:rPr>
        <w:t>pulmonal</w:t>
      </w:r>
      <w:proofErr w:type="spellEnd"/>
      <w:r>
        <w:rPr>
          <w:sz w:val="24"/>
          <w:szCs w:val="24"/>
        </w:rPr>
        <w:t xml:space="preserve"> toksicitet (andet end hvad der ses ved konventionelle behandlingsregimer med </w:t>
      </w:r>
      <w:proofErr w:type="spellStart"/>
      <w:r>
        <w:rPr>
          <w:sz w:val="24"/>
          <w:szCs w:val="24"/>
        </w:rPr>
        <w:t>cytarabin</w:t>
      </w:r>
      <w:proofErr w:type="spellEnd"/>
      <w:r>
        <w:rPr>
          <w:sz w:val="24"/>
          <w:szCs w:val="24"/>
        </w:rPr>
        <w:t xml:space="preserve">) efter eksperimentelle doseringsplaner for </w:t>
      </w:r>
      <w:proofErr w:type="spellStart"/>
      <w:r>
        <w:rPr>
          <w:sz w:val="24"/>
          <w:szCs w:val="24"/>
        </w:rPr>
        <w:t>cytarabin</w:t>
      </w:r>
      <w:proofErr w:type="spellEnd"/>
      <w:r>
        <w:rPr>
          <w:sz w:val="24"/>
          <w:szCs w:val="24"/>
        </w:rPr>
        <w:t xml:space="preserve">. Disse reaktioner omfatter reversibel </w:t>
      </w:r>
      <w:proofErr w:type="spellStart"/>
      <w:r>
        <w:rPr>
          <w:sz w:val="24"/>
          <w:szCs w:val="24"/>
        </w:rPr>
        <w:t>korneal</w:t>
      </w:r>
      <w:proofErr w:type="spellEnd"/>
      <w:r>
        <w:rPr>
          <w:sz w:val="24"/>
          <w:szCs w:val="24"/>
        </w:rPr>
        <w:t xml:space="preserve"> toksicitet, cerebral og </w:t>
      </w:r>
      <w:proofErr w:type="spellStart"/>
      <w:r>
        <w:rPr>
          <w:sz w:val="24"/>
          <w:szCs w:val="24"/>
        </w:rPr>
        <w:t>cerebellar</w:t>
      </w:r>
      <w:proofErr w:type="spellEnd"/>
      <w:r>
        <w:rPr>
          <w:sz w:val="24"/>
          <w:szCs w:val="24"/>
        </w:rPr>
        <w:t xml:space="preserve"> dysfunktion, normalt reversibel, </w:t>
      </w:r>
      <w:proofErr w:type="spellStart"/>
      <w:r>
        <w:rPr>
          <w:sz w:val="24"/>
          <w:szCs w:val="24"/>
        </w:rPr>
        <w:t>somnolens</w:t>
      </w:r>
      <w:proofErr w:type="spellEnd"/>
      <w:r>
        <w:rPr>
          <w:sz w:val="24"/>
          <w:szCs w:val="24"/>
        </w:rPr>
        <w:t xml:space="preserve">, krampeanfald, alvorlige mave-tarm-sår, herunder </w:t>
      </w:r>
      <w:proofErr w:type="spellStart"/>
      <w:r>
        <w:rPr>
          <w:sz w:val="24"/>
          <w:szCs w:val="24"/>
        </w:rPr>
        <w:t>pneumatosis</w:t>
      </w:r>
      <w:proofErr w:type="spellEnd"/>
      <w:r>
        <w:rPr>
          <w:sz w:val="24"/>
          <w:szCs w:val="24"/>
        </w:rPr>
        <w:t xml:space="preserve"> </w:t>
      </w:r>
      <w:proofErr w:type="spellStart"/>
      <w:r>
        <w:rPr>
          <w:sz w:val="24"/>
          <w:szCs w:val="24"/>
        </w:rPr>
        <w:t>cysteroides</w:t>
      </w:r>
      <w:proofErr w:type="spellEnd"/>
      <w:r>
        <w:rPr>
          <w:sz w:val="24"/>
          <w:szCs w:val="24"/>
        </w:rPr>
        <w:t xml:space="preserve"> </w:t>
      </w:r>
      <w:proofErr w:type="spellStart"/>
      <w:r>
        <w:rPr>
          <w:sz w:val="24"/>
          <w:szCs w:val="24"/>
        </w:rPr>
        <w:t>intestinalis</w:t>
      </w:r>
      <w:proofErr w:type="spellEnd"/>
      <w:r>
        <w:rPr>
          <w:sz w:val="24"/>
          <w:szCs w:val="24"/>
        </w:rPr>
        <w:t xml:space="preserve">, der medfører </w:t>
      </w:r>
      <w:proofErr w:type="spellStart"/>
      <w:r>
        <w:rPr>
          <w:sz w:val="24"/>
          <w:szCs w:val="24"/>
        </w:rPr>
        <w:t>peritonitis</w:t>
      </w:r>
      <w:proofErr w:type="spellEnd"/>
      <w:r>
        <w:rPr>
          <w:sz w:val="24"/>
          <w:szCs w:val="24"/>
        </w:rPr>
        <w:t xml:space="preserve">, samt sepsis, leverabsces og </w:t>
      </w:r>
      <w:proofErr w:type="spellStart"/>
      <w:r>
        <w:rPr>
          <w:sz w:val="24"/>
          <w:szCs w:val="24"/>
        </w:rPr>
        <w:t>pulmonalt</w:t>
      </w:r>
      <w:proofErr w:type="spellEnd"/>
      <w:r>
        <w:rPr>
          <w:sz w:val="24"/>
          <w:szCs w:val="24"/>
        </w:rPr>
        <w:t xml:space="preserve"> ødem.</w:t>
      </w:r>
    </w:p>
    <w:p w:rsidR="00947B7B" w:rsidRPr="009F56AD" w:rsidRDefault="00947B7B" w:rsidP="00947B7B">
      <w:pPr>
        <w:ind w:left="851"/>
        <w:rPr>
          <w:sz w:val="24"/>
          <w:szCs w:val="24"/>
          <w:highlight w:val="yellow"/>
        </w:rPr>
      </w:pPr>
    </w:p>
    <w:p w:rsidR="00947B7B" w:rsidRPr="00122D03" w:rsidRDefault="00947B7B" w:rsidP="00947B7B">
      <w:pPr>
        <w:ind w:left="851"/>
        <w:rPr>
          <w:b/>
          <w:i/>
          <w:sz w:val="24"/>
          <w:szCs w:val="24"/>
        </w:rPr>
      </w:pPr>
      <w:r w:rsidRPr="00122D03">
        <w:rPr>
          <w:b/>
          <w:i/>
          <w:sz w:val="24"/>
          <w:szCs w:val="24"/>
        </w:rPr>
        <w:t>Inf</w:t>
      </w:r>
      <w:r>
        <w:rPr>
          <w:b/>
          <w:i/>
          <w:sz w:val="24"/>
          <w:szCs w:val="24"/>
        </w:rPr>
        <w:t>ektioner og parasitære sygdomme</w:t>
      </w:r>
    </w:p>
    <w:p w:rsidR="00947B7B" w:rsidRPr="009F56AD" w:rsidRDefault="00947B7B" w:rsidP="00947B7B">
      <w:pPr>
        <w:ind w:left="851"/>
        <w:rPr>
          <w:sz w:val="24"/>
          <w:szCs w:val="24"/>
        </w:rPr>
      </w:pPr>
      <w:r w:rsidRPr="009F56AD">
        <w:rPr>
          <w:sz w:val="24"/>
          <w:szCs w:val="24"/>
        </w:rPr>
        <w:t>Sepsis, leverabsces</w:t>
      </w:r>
    </w:p>
    <w:p w:rsidR="00947B7B" w:rsidRPr="009F56AD" w:rsidRDefault="00947B7B" w:rsidP="00947B7B">
      <w:pPr>
        <w:ind w:left="851"/>
        <w:rPr>
          <w:sz w:val="24"/>
          <w:szCs w:val="24"/>
        </w:rPr>
      </w:pPr>
    </w:p>
    <w:p w:rsidR="00947B7B" w:rsidRPr="00122D03" w:rsidRDefault="006F2B3A" w:rsidP="006F2B3A">
      <w:pPr>
        <w:ind w:left="851"/>
        <w:rPr>
          <w:b/>
          <w:i/>
          <w:sz w:val="24"/>
          <w:szCs w:val="24"/>
          <w:highlight w:val="yellow"/>
        </w:rPr>
      </w:pPr>
      <w:r>
        <w:rPr>
          <w:b/>
          <w:bCs/>
          <w:i/>
          <w:iCs/>
          <w:sz w:val="24"/>
          <w:szCs w:val="24"/>
        </w:rPr>
        <w:t>Blod og lymfesystem</w:t>
      </w:r>
    </w:p>
    <w:p w:rsidR="00947B7B" w:rsidRPr="009F56AD" w:rsidRDefault="00947B7B" w:rsidP="00947B7B">
      <w:pPr>
        <w:ind w:left="851"/>
        <w:rPr>
          <w:rFonts w:eastAsia="Calibri"/>
          <w:sz w:val="24"/>
          <w:szCs w:val="24"/>
        </w:rPr>
      </w:pPr>
      <w:r w:rsidRPr="009F56AD">
        <w:rPr>
          <w:sz w:val="24"/>
          <w:szCs w:val="24"/>
        </w:rPr>
        <w:t xml:space="preserve">Ses som dyb </w:t>
      </w:r>
      <w:proofErr w:type="spellStart"/>
      <w:r w:rsidRPr="009F56AD">
        <w:rPr>
          <w:sz w:val="24"/>
          <w:szCs w:val="24"/>
        </w:rPr>
        <w:t>pancytopeni</w:t>
      </w:r>
      <w:proofErr w:type="spellEnd"/>
      <w:r w:rsidRPr="009F56AD">
        <w:rPr>
          <w:sz w:val="24"/>
          <w:szCs w:val="24"/>
        </w:rPr>
        <w:t>, der kan vare 15-25 dage sammen med alvorligere knoglemarvs-</w:t>
      </w:r>
      <w:proofErr w:type="spellStart"/>
      <w:r w:rsidRPr="009F56AD">
        <w:rPr>
          <w:sz w:val="24"/>
          <w:szCs w:val="24"/>
        </w:rPr>
        <w:t>aplasi</w:t>
      </w:r>
      <w:proofErr w:type="spellEnd"/>
      <w:r w:rsidRPr="009F56AD">
        <w:rPr>
          <w:sz w:val="24"/>
          <w:szCs w:val="24"/>
        </w:rPr>
        <w:t>, end der ses ved konventionelle doser.</w:t>
      </w:r>
    </w:p>
    <w:p w:rsidR="00947B7B" w:rsidRPr="009F56AD" w:rsidRDefault="00947B7B" w:rsidP="00947B7B">
      <w:pPr>
        <w:ind w:left="851"/>
        <w:rPr>
          <w:sz w:val="24"/>
          <w:szCs w:val="24"/>
          <w:highlight w:val="yellow"/>
        </w:rPr>
      </w:pPr>
    </w:p>
    <w:p w:rsidR="00947B7B" w:rsidRPr="00122D03" w:rsidRDefault="00947B7B" w:rsidP="00947B7B">
      <w:pPr>
        <w:ind w:left="851"/>
        <w:rPr>
          <w:b/>
          <w:i/>
          <w:sz w:val="24"/>
          <w:szCs w:val="24"/>
        </w:rPr>
      </w:pPr>
      <w:r>
        <w:rPr>
          <w:b/>
          <w:i/>
          <w:sz w:val="24"/>
          <w:szCs w:val="24"/>
        </w:rPr>
        <w:t>Nervesystemet</w:t>
      </w:r>
    </w:p>
    <w:p w:rsidR="00947B7B" w:rsidRPr="009F56AD" w:rsidRDefault="00947B7B" w:rsidP="00947B7B">
      <w:pPr>
        <w:ind w:left="851"/>
        <w:rPr>
          <w:sz w:val="24"/>
          <w:szCs w:val="24"/>
        </w:rPr>
      </w:pPr>
      <w:r w:rsidRPr="009F56AD">
        <w:rPr>
          <w:sz w:val="24"/>
          <w:szCs w:val="24"/>
        </w:rPr>
        <w:t xml:space="preserve">Efter behandling med høje doser </w:t>
      </w:r>
      <w:proofErr w:type="spellStart"/>
      <w:r w:rsidRPr="009F56AD">
        <w:rPr>
          <w:sz w:val="24"/>
          <w:szCs w:val="24"/>
        </w:rPr>
        <w:t>cytarabin</w:t>
      </w:r>
      <w:proofErr w:type="spellEnd"/>
      <w:r w:rsidRPr="009F56AD">
        <w:rPr>
          <w:sz w:val="24"/>
          <w:szCs w:val="24"/>
        </w:rPr>
        <w:t xml:space="preserve"> ses der symptomer på cerebral eller </w:t>
      </w:r>
      <w:proofErr w:type="spellStart"/>
      <w:r w:rsidRPr="009F56AD">
        <w:rPr>
          <w:sz w:val="24"/>
          <w:szCs w:val="24"/>
        </w:rPr>
        <w:t>cerebellar</w:t>
      </w:r>
      <w:proofErr w:type="spellEnd"/>
      <w:r w:rsidRPr="009F56AD">
        <w:rPr>
          <w:sz w:val="24"/>
          <w:szCs w:val="24"/>
        </w:rPr>
        <w:t xml:space="preserve"> påvirkning såsom personlighedsforandringer, nedsat reaktionsevne, </w:t>
      </w:r>
      <w:proofErr w:type="spellStart"/>
      <w:r w:rsidRPr="009F56AD">
        <w:rPr>
          <w:sz w:val="24"/>
          <w:szCs w:val="24"/>
        </w:rPr>
        <w:t>dysartri</w:t>
      </w:r>
      <w:proofErr w:type="spellEnd"/>
      <w:r w:rsidRPr="009F56AD">
        <w:rPr>
          <w:sz w:val="24"/>
          <w:szCs w:val="24"/>
        </w:rPr>
        <w:t xml:space="preserve">, </w:t>
      </w:r>
      <w:proofErr w:type="spellStart"/>
      <w:r w:rsidRPr="009F56AD">
        <w:rPr>
          <w:sz w:val="24"/>
          <w:szCs w:val="24"/>
        </w:rPr>
        <w:t>ataksi</w:t>
      </w:r>
      <w:proofErr w:type="spellEnd"/>
      <w:r w:rsidRPr="009F56AD">
        <w:rPr>
          <w:sz w:val="24"/>
          <w:szCs w:val="24"/>
        </w:rPr>
        <w:t xml:space="preserve">, </w:t>
      </w:r>
      <w:proofErr w:type="spellStart"/>
      <w:r w:rsidRPr="009F56AD">
        <w:rPr>
          <w:sz w:val="24"/>
          <w:szCs w:val="24"/>
        </w:rPr>
        <w:t>tremor</w:t>
      </w:r>
      <w:proofErr w:type="spellEnd"/>
      <w:r w:rsidRPr="009F56AD">
        <w:rPr>
          <w:sz w:val="24"/>
          <w:szCs w:val="24"/>
        </w:rPr>
        <w:t xml:space="preserve">, nystagmus, hovedpine, forvirring, </w:t>
      </w:r>
      <w:proofErr w:type="spellStart"/>
      <w:r w:rsidRPr="009F56AD">
        <w:rPr>
          <w:sz w:val="24"/>
          <w:szCs w:val="24"/>
        </w:rPr>
        <w:t>somnolens</w:t>
      </w:r>
      <w:proofErr w:type="spellEnd"/>
      <w:r w:rsidRPr="009F56AD">
        <w:rPr>
          <w:sz w:val="24"/>
          <w:szCs w:val="24"/>
        </w:rPr>
        <w:t xml:space="preserve">, svimmelhed, koma, kramper, perifere motoriske og sensoriske </w:t>
      </w:r>
      <w:proofErr w:type="spellStart"/>
      <w:r w:rsidRPr="009F56AD">
        <w:rPr>
          <w:sz w:val="24"/>
          <w:szCs w:val="24"/>
        </w:rPr>
        <w:t>neuropatier</w:t>
      </w:r>
      <w:proofErr w:type="spellEnd"/>
      <w:r w:rsidRPr="009F56AD">
        <w:rPr>
          <w:sz w:val="24"/>
          <w:szCs w:val="24"/>
        </w:rPr>
        <w:t xml:space="preserve"> hos 8-37 % af de behandlede patienter. Forekomsten hos ældre (&gt;55 år) kan være endnu højere. Andre prædisponerende faktorer er nedsat lever- og nyrefunktion, tidligere CNS-behandling (f.eks. strålebehandling) og alkoholmisbrug. CNS-forstyrrelser er i de fleste tilfælde reversible.</w:t>
      </w:r>
    </w:p>
    <w:p w:rsidR="00947B7B" w:rsidRPr="009F56AD" w:rsidRDefault="00947B7B" w:rsidP="00947B7B">
      <w:pPr>
        <w:ind w:left="851"/>
        <w:rPr>
          <w:sz w:val="24"/>
          <w:szCs w:val="24"/>
        </w:rPr>
      </w:pPr>
    </w:p>
    <w:p w:rsidR="00947B7B" w:rsidRPr="009F56AD" w:rsidRDefault="00947B7B" w:rsidP="00947B7B">
      <w:pPr>
        <w:ind w:left="851"/>
        <w:rPr>
          <w:sz w:val="24"/>
          <w:szCs w:val="24"/>
        </w:rPr>
      </w:pPr>
      <w:r w:rsidRPr="009F56AD">
        <w:rPr>
          <w:sz w:val="24"/>
          <w:szCs w:val="24"/>
        </w:rPr>
        <w:t xml:space="preserve">Risikoen for CNS-toksicitet stiger, hvis </w:t>
      </w:r>
      <w:proofErr w:type="spellStart"/>
      <w:r w:rsidRPr="009F56AD">
        <w:rPr>
          <w:sz w:val="24"/>
          <w:szCs w:val="24"/>
        </w:rPr>
        <w:t>cytarabinbehandling</w:t>
      </w:r>
      <w:proofErr w:type="spellEnd"/>
      <w:r w:rsidRPr="009F56AD">
        <w:rPr>
          <w:sz w:val="24"/>
          <w:szCs w:val="24"/>
        </w:rPr>
        <w:t xml:space="preserve"> - givet som høje </w:t>
      </w:r>
      <w:proofErr w:type="spellStart"/>
      <w:r w:rsidRPr="009F56AD">
        <w:rPr>
          <w:sz w:val="24"/>
          <w:szCs w:val="24"/>
        </w:rPr>
        <w:t>i.v</w:t>
      </w:r>
      <w:proofErr w:type="spellEnd"/>
      <w:r w:rsidRPr="009F56AD">
        <w:rPr>
          <w:sz w:val="24"/>
          <w:szCs w:val="24"/>
        </w:rPr>
        <w:t xml:space="preserve">.-doser - kombineres med andre CNS-toksiske behandlinger, såsom strålebehandling eller højdosisbehandling med </w:t>
      </w:r>
      <w:proofErr w:type="spellStart"/>
      <w:r w:rsidRPr="009F56AD">
        <w:rPr>
          <w:sz w:val="24"/>
          <w:szCs w:val="24"/>
        </w:rPr>
        <w:t>cytotoksisk</w:t>
      </w:r>
      <w:proofErr w:type="spellEnd"/>
      <w:r w:rsidRPr="009F56AD">
        <w:rPr>
          <w:sz w:val="24"/>
          <w:szCs w:val="24"/>
        </w:rPr>
        <w:t xml:space="preserve"> stof.</w:t>
      </w:r>
    </w:p>
    <w:p w:rsidR="00947B7B" w:rsidRPr="009F56AD" w:rsidRDefault="00947B7B" w:rsidP="00947B7B">
      <w:pPr>
        <w:ind w:left="851"/>
        <w:rPr>
          <w:sz w:val="24"/>
          <w:szCs w:val="24"/>
          <w:highlight w:val="yellow"/>
        </w:rPr>
      </w:pPr>
    </w:p>
    <w:p w:rsidR="00947B7B" w:rsidRPr="00122D03" w:rsidRDefault="00947B7B" w:rsidP="00947B7B">
      <w:pPr>
        <w:ind w:left="851"/>
        <w:rPr>
          <w:b/>
          <w:i/>
          <w:sz w:val="24"/>
          <w:szCs w:val="24"/>
        </w:rPr>
      </w:pPr>
      <w:proofErr w:type="spellStart"/>
      <w:r w:rsidRPr="00122D03">
        <w:rPr>
          <w:b/>
          <w:i/>
          <w:sz w:val="24"/>
          <w:szCs w:val="24"/>
        </w:rPr>
        <w:t>Corneal</w:t>
      </w:r>
      <w:proofErr w:type="spellEnd"/>
      <w:r w:rsidRPr="00122D03">
        <w:rPr>
          <w:b/>
          <w:i/>
          <w:sz w:val="24"/>
          <w:szCs w:val="24"/>
        </w:rPr>
        <w:t xml:space="preserve"> og </w:t>
      </w:r>
      <w:proofErr w:type="spellStart"/>
      <w:r w:rsidRPr="00122D03">
        <w:rPr>
          <w:b/>
          <w:i/>
          <w:sz w:val="24"/>
          <w:szCs w:val="24"/>
        </w:rPr>
        <w:t>conjunktival</w:t>
      </w:r>
      <w:proofErr w:type="spellEnd"/>
      <w:r w:rsidRPr="00122D03">
        <w:rPr>
          <w:b/>
          <w:i/>
          <w:sz w:val="24"/>
          <w:szCs w:val="24"/>
        </w:rPr>
        <w:t xml:space="preserve"> toksicitet:</w:t>
      </w:r>
    </w:p>
    <w:p w:rsidR="00947B7B" w:rsidRDefault="00947B7B" w:rsidP="006F2B3A">
      <w:pPr>
        <w:ind w:left="851"/>
        <w:rPr>
          <w:sz w:val="24"/>
          <w:szCs w:val="24"/>
        </w:rPr>
      </w:pPr>
      <w:r w:rsidRPr="009F56AD">
        <w:rPr>
          <w:sz w:val="24"/>
          <w:szCs w:val="24"/>
        </w:rPr>
        <w:t xml:space="preserve">Der er beskrevet reversibel læsion af </w:t>
      </w:r>
      <w:proofErr w:type="spellStart"/>
      <w:r w:rsidRPr="009F56AD">
        <w:rPr>
          <w:sz w:val="24"/>
          <w:szCs w:val="24"/>
        </w:rPr>
        <w:t>cornea</w:t>
      </w:r>
      <w:proofErr w:type="spellEnd"/>
      <w:r w:rsidRPr="009F56AD">
        <w:rPr>
          <w:sz w:val="24"/>
          <w:szCs w:val="24"/>
        </w:rPr>
        <w:t xml:space="preserve"> og </w:t>
      </w:r>
      <w:proofErr w:type="spellStart"/>
      <w:r w:rsidRPr="009F56AD">
        <w:rPr>
          <w:sz w:val="24"/>
          <w:szCs w:val="24"/>
        </w:rPr>
        <w:t>hæmorrhagisk</w:t>
      </w:r>
      <w:proofErr w:type="spellEnd"/>
      <w:r w:rsidRPr="009F56AD">
        <w:rPr>
          <w:sz w:val="24"/>
          <w:szCs w:val="24"/>
        </w:rPr>
        <w:t xml:space="preserve"> </w:t>
      </w:r>
      <w:proofErr w:type="spellStart"/>
      <w:r w:rsidRPr="009F56AD">
        <w:rPr>
          <w:sz w:val="24"/>
          <w:szCs w:val="24"/>
        </w:rPr>
        <w:t>conjunktivitis</w:t>
      </w:r>
      <w:proofErr w:type="spellEnd"/>
      <w:r w:rsidRPr="009F56AD">
        <w:rPr>
          <w:sz w:val="24"/>
          <w:szCs w:val="24"/>
        </w:rPr>
        <w:t xml:space="preserve">. Disse fænomener kan forebygges eller mindskes med installation af øjendråber med </w:t>
      </w:r>
      <w:proofErr w:type="spellStart"/>
      <w:r w:rsidRPr="009F56AD">
        <w:rPr>
          <w:sz w:val="24"/>
          <w:szCs w:val="24"/>
        </w:rPr>
        <w:t>kortikosteroid</w:t>
      </w:r>
      <w:proofErr w:type="spellEnd"/>
      <w:r w:rsidRPr="009F56AD">
        <w:rPr>
          <w:sz w:val="24"/>
          <w:szCs w:val="24"/>
        </w:rPr>
        <w:t>.</w:t>
      </w:r>
    </w:p>
    <w:p w:rsidR="00947B7B" w:rsidRPr="009F56AD" w:rsidRDefault="00947B7B" w:rsidP="00947B7B">
      <w:pPr>
        <w:ind w:left="851"/>
        <w:rPr>
          <w:sz w:val="24"/>
          <w:szCs w:val="24"/>
        </w:rPr>
      </w:pPr>
    </w:p>
    <w:p w:rsidR="00947B7B" w:rsidRPr="00122D03" w:rsidRDefault="00947B7B" w:rsidP="00947B7B">
      <w:pPr>
        <w:ind w:left="851"/>
        <w:rPr>
          <w:b/>
          <w:i/>
          <w:sz w:val="24"/>
          <w:szCs w:val="24"/>
        </w:rPr>
      </w:pPr>
      <w:r>
        <w:rPr>
          <w:b/>
          <w:i/>
          <w:sz w:val="24"/>
          <w:szCs w:val="24"/>
        </w:rPr>
        <w:t xml:space="preserve">Luftveje, thorax og </w:t>
      </w:r>
      <w:proofErr w:type="spellStart"/>
      <w:r>
        <w:rPr>
          <w:b/>
          <w:i/>
          <w:sz w:val="24"/>
          <w:szCs w:val="24"/>
        </w:rPr>
        <w:t>mediastinum</w:t>
      </w:r>
      <w:proofErr w:type="spellEnd"/>
    </w:p>
    <w:p w:rsidR="00947B7B" w:rsidRPr="009F56AD" w:rsidRDefault="00947B7B" w:rsidP="00947B7B">
      <w:pPr>
        <w:ind w:left="851"/>
        <w:rPr>
          <w:sz w:val="24"/>
          <w:szCs w:val="24"/>
        </w:rPr>
      </w:pPr>
      <w:r w:rsidRPr="009F56AD">
        <w:rPr>
          <w:sz w:val="24"/>
          <w:szCs w:val="24"/>
        </w:rPr>
        <w:t>Der kan udvikles de samme kliniske tegn som ved lungeødemer/ARDS, særligt i forbindelse med højdosisbehandling. Denne reaktion skyldes sandsynligvis en beskadigelse af alveolekapillærerne. Det er vanskeligt at vurdere hyppigheden (angivet som 10-26 % i forskellige publikationer), idet patienterne oftest har haft recidiv, hvor andre faktorer kan være medvirkende til reaktion.</w:t>
      </w:r>
    </w:p>
    <w:p w:rsidR="00947B7B" w:rsidRPr="009F56AD" w:rsidRDefault="00947B7B" w:rsidP="00947B7B">
      <w:pPr>
        <w:ind w:left="851"/>
        <w:rPr>
          <w:sz w:val="24"/>
          <w:szCs w:val="24"/>
        </w:rPr>
      </w:pPr>
    </w:p>
    <w:p w:rsidR="00947B7B" w:rsidRPr="009F56AD" w:rsidRDefault="00947B7B" w:rsidP="00947B7B">
      <w:pPr>
        <w:ind w:left="851"/>
        <w:rPr>
          <w:sz w:val="24"/>
          <w:szCs w:val="24"/>
        </w:rPr>
      </w:pPr>
      <w:r w:rsidRPr="009F56AD">
        <w:rPr>
          <w:sz w:val="24"/>
          <w:szCs w:val="24"/>
        </w:rPr>
        <w:t xml:space="preserve">Der er indberettet en diffus </w:t>
      </w:r>
      <w:proofErr w:type="spellStart"/>
      <w:r w:rsidRPr="009F56AD">
        <w:rPr>
          <w:sz w:val="24"/>
          <w:szCs w:val="24"/>
        </w:rPr>
        <w:t>interstitiel</w:t>
      </w:r>
      <w:proofErr w:type="spellEnd"/>
      <w:r w:rsidRPr="009F56AD">
        <w:rPr>
          <w:sz w:val="24"/>
          <w:szCs w:val="24"/>
        </w:rPr>
        <w:t xml:space="preserve"> pneumonitis uden klar årsag, der kan have været relateret til </w:t>
      </w:r>
      <w:proofErr w:type="spellStart"/>
      <w:r w:rsidRPr="009F56AD">
        <w:rPr>
          <w:sz w:val="24"/>
          <w:szCs w:val="24"/>
        </w:rPr>
        <w:t>cytarabin</w:t>
      </w:r>
      <w:proofErr w:type="spellEnd"/>
      <w:r w:rsidRPr="009F56AD">
        <w:rPr>
          <w:sz w:val="24"/>
          <w:szCs w:val="24"/>
        </w:rPr>
        <w:t xml:space="preserve">, hos patienter behandlet med eksperimentelle mellemdoser af </w:t>
      </w:r>
      <w:proofErr w:type="spellStart"/>
      <w:r w:rsidRPr="009F56AD">
        <w:rPr>
          <w:sz w:val="24"/>
          <w:szCs w:val="24"/>
        </w:rPr>
        <w:t>cytarabin</w:t>
      </w:r>
      <w:proofErr w:type="spellEnd"/>
      <w:r w:rsidRPr="009F56AD">
        <w:rPr>
          <w:sz w:val="24"/>
          <w:szCs w:val="24"/>
        </w:rPr>
        <w:t xml:space="preserve"> (1 g/m</w:t>
      </w:r>
      <w:r w:rsidRPr="009F56AD">
        <w:rPr>
          <w:sz w:val="24"/>
          <w:szCs w:val="24"/>
          <w:vertAlign w:val="superscript"/>
        </w:rPr>
        <w:t>2</w:t>
      </w:r>
      <w:r w:rsidRPr="009F56AD">
        <w:rPr>
          <w:sz w:val="24"/>
          <w:szCs w:val="24"/>
        </w:rPr>
        <w:t>) med og uden andre kemoterapeutiske midler (</w:t>
      </w:r>
      <w:proofErr w:type="spellStart"/>
      <w:r w:rsidRPr="009F56AD">
        <w:rPr>
          <w:sz w:val="24"/>
          <w:szCs w:val="24"/>
        </w:rPr>
        <w:t>meta</w:t>
      </w:r>
      <w:proofErr w:type="spellEnd"/>
      <w:r w:rsidRPr="009F56AD">
        <w:rPr>
          <w:sz w:val="24"/>
          <w:szCs w:val="24"/>
        </w:rPr>
        <w:t xml:space="preserve">-AMSA, </w:t>
      </w:r>
      <w:proofErr w:type="spellStart"/>
      <w:r w:rsidRPr="009F56AD">
        <w:rPr>
          <w:sz w:val="24"/>
          <w:szCs w:val="24"/>
        </w:rPr>
        <w:t>daunorubicin</w:t>
      </w:r>
      <w:proofErr w:type="spellEnd"/>
      <w:r w:rsidRPr="009F56AD">
        <w:rPr>
          <w:sz w:val="24"/>
          <w:szCs w:val="24"/>
        </w:rPr>
        <w:t>, VP-16).</w:t>
      </w:r>
    </w:p>
    <w:p w:rsidR="00947B7B" w:rsidRPr="009F56AD" w:rsidRDefault="00947B7B" w:rsidP="00947B7B">
      <w:pPr>
        <w:ind w:left="851"/>
        <w:rPr>
          <w:sz w:val="24"/>
          <w:szCs w:val="24"/>
        </w:rPr>
      </w:pPr>
    </w:p>
    <w:p w:rsidR="00947B7B" w:rsidRPr="009F56AD" w:rsidRDefault="00947B7B" w:rsidP="00947B7B">
      <w:pPr>
        <w:ind w:left="851"/>
        <w:rPr>
          <w:sz w:val="24"/>
          <w:szCs w:val="24"/>
        </w:rPr>
      </w:pPr>
      <w:r w:rsidRPr="009F56AD">
        <w:rPr>
          <w:sz w:val="24"/>
          <w:szCs w:val="24"/>
        </w:rPr>
        <w:t xml:space="preserve">Der er indberettet et syndrom med pludseligt åndedrætsbesvær, der hurtigt udvikler sig til lungeødem og en radiografisk udtalt </w:t>
      </w:r>
      <w:proofErr w:type="spellStart"/>
      <w:r w:rsidRPr="009F56AD">
        <w:rPr>
          <w:sz w:val="24"/>
          <w:szCs w:val="24"/>
        </w:rPr>
        <w:t>kardiomegali</w:t>
      </w:r>
      <w:proofErr w:type="spellEnd"/>
      <w:r w:rsidRPr="009F56AD">
        <w:rPr>
          <w:sz w:val="24"/>
          <w:szCs w:val="24"/>
        </w:rPr>
        <w:t xml:space="preserve"> efter eksperimentel højdosisbehandling med </w:t>
      </w:r>
      <w:proofErr w:type="spellStart"/>
      <w:r w:rsidRPr="009F56AD">
        <w:rPr>
          <w:sz w:val="24"/>
          <w:szCs w:val="24"/>
        </w:rPr>
        <w:t>cytarabin</w:t>
      </w:r>
      <w:proofErr w:type="spellEnd"/>
      <w:r w:rsidRPr="009F56AD">
        <w:rPr>
          <w:sz w:val="24"/>
          <w:szCs w:val="24"/>
        </w:rPr>
        <w:t xml:space="preserve"> anvendt til behandling af recidiv leukæmi; Der er indberettet fatalt udfald.</w:t>
      </w:r>
    </w:p>
    <w:p w:rsidR="00947B7B" w:rsidRPr="009F56AD" w:rsidRDefault="00947B7B" w:rsidP="00947B7B">
      <w:pPr>
        <w:ind w:left="851"/>
        <w:rPr>
          <w:sz w:val="24"/>
          <w:szCs w:val="24"/>
        </w:rPr>
      </w:pPr>
    </w:p>
    <w:p w:rsidR="00947B7B" w:rsidRPr="00122D03" w:rsidRDefault="00947B7B" w:rsidP="00947B7B">
      <w:pPr>
        <w:ind w:left="851"/>
        <w:rPr>
          <w:b/>
          <w:i/>
          <w:sz w:val="24"/>
          <w:szCs w:val="24"/>
        </w:rPr>
      </w:pPr>
      <w:proofErr w:type="spellStart"/>
      <w:r>
        <w:rPr>
          <w:b/>
          <w:i/>
          <w:sz w:val="24"/>
          <w:szCs w:val="24"/>
        </w:rPr>
        <w:t>Mave-tarmkanalen</w:t>
      </w:r>
      <w:proofErr w:type="spellEnd"/>
    </w:p>
    <w:p w:rsidR="00947B7B" w:rsidRPr="009F56AD" w:rsidRDefault="00947B7B" w:rsidP="00947B7B">
      <w:pPr>
        <w:ind w:left="851"/>
        <w:rPr>
          <w:sz w:val="24"/>
          <w:szCs w:val="24"/>
        </w:rPr>
      </w:pPr>
      <w:proofErr w:type="spellStart"/>
      <w:r w:rsidRPr="009F56AD">
        <w:rPr>
          <w:sz w:val="24"/>
          <w:szCs w:val="24"/>
        </w:rPr>
        <w:t>Gastrointestinal</w:t>
      </w:r>
      <w:proofErr w:type="spellEnd"/>
      <w:r w:rsidRPr="009F56AD">
        <w:rPr>
          <w:sz w:val="24"/>
          <w:szCs w:val="24"/>
        </w:rPr>
        <w:t xml:space="preserve"> nekrose, </w:t>
      </w:r>
      <w:proofErr w:type="spellStart"/>
      <w:r w:rsidRPr="009F56AD">
        <w:rPr>
          <w:sz w:val="24"/>
          <w:szCs w:val="24"/>
        </w:rPr>
        <w:t>nekrotiserende</w:t>
      </w:r>
      <w:proofErr w:type="spellEnd"/>
      <w:r w:rsidRPr="009F56AD">
        <w:rPr>
          <w:sz w:val="24"/>
          <w:szCs w:val="24"/>
        </w:rPr>
        <w:t xml:space="preserve"> colitis, </w:t>
      </w:r>
      <w:proofErr w:type="spellStart"/>
      <w:r w:rsidRPr="009F56AD">
        <w:rPr>
          <w:sz w:val="24"/>
          <w:szCs w:val="24"/>
        </w:rPr>
        <w:t>gastrointestinal</w:t>
      </w:r>
      <w:proofErr w:type="spellEnd"/>
      <w:r w:rsidRPr="009F56AD">
        <w:rPr>
          <w:sz w:val="24"/>
          <w:szCs w:val="24"/>
        </w:rPr>
        <w:t xml:space="preserve"> </w:t>
      </w:r>
      <w:proofErr w:type="spellStart"/>
      <w:r w:rsidRPr="009F56AD">
        <w:rPr>
          <w:sz w:val="24"/>
          <w:szCs w:val="24"/>
        </w:rPr>
        <w:t>ulceration</w:t>
      </w:r>
      <w:proofErr w:type="spellEnd"/>
      <w:r w:rsidRPr="009F56AD">
        <w:rPr>
          <w:sz w:val="24"/>
          <w:szCs w:val="24"/>
        </w:rPr>
        <w:t xml:space="preserve"> (herunder </w:t>
      </w:r>
      <w:proofErr w:type="spellStart"/>
      <w:r w:rsidRPr="009F56AD">
        <w:rPr>
          <w:sz w:val="24"/>
          <w:szCs w:val="24"/>
        </w:rPr>
        <w:t>pneumatose</w:t>
      </w:r>
      <w:proofErr w:type="spellEnd"/>
      <w:r w:rsidRPr="009F56AD">
        <w:rPr>
          <w:sz w:val="24"/>
          <w:szCs w:val="24"/>
        </w:rPr>
        <w:t xml:space="preserve"> </w:t>
      </w:r>
      <w:proofErr w:type="spellStart"/>
      <w:r w:rsidRPr="009F56AD">
        <w:rPr>
          <w:sz w:val="24"/>
          <w:szCs w:val="24"/>
        </w:rPr>
        <w:t>cystoider</w:t>
      </w:r>
      <w:proofErr w:type="spellEnd"/>
      <w:r w:rsidRPr="009F56AD">
        <w:rPr>
          <w:sz w:val="24"/>
          <w:szCs w:val="24"/>
        </w:rPr>
        <w:t xml:space="preserve"> </w:t>
      </w:r>
      <w:proofErr w:type="spellStart"/>
      <w:r w:rsidRPr="009F56AD">
        <w:rPr>
          <w:sz w:val="24"/>
          <w:szCs w:val="24"/>
        </w:rPr>
        <w:t>intestinalis</w:t>
      </w:r>
      <w:proofErr w:type="spellEnd"/>
      <w:r w:rsidRPr="009F56AD">
        <w:rPr>
          <w:sz w:val="24"/>
          <w:szCs w:val="24"/>
        </w:rPr>
        <w:t xml:space="preserve">, der fører til </w:t>
      </w:r>
      <w:proofErr w:type="spellStart"/>
      <w:r w:rsidRPr="009F56AD">
        <w:rPr>
          <w:sz w:val="24"/>
          <w:szCs w:val="24"/>
        </w:rPr>
        <w:t>peritonitis</w:t>
      </w:r>
      <w:proofErr w:type="spellEnd"/>
      <w:r w:rsidRPr="009F56AD">
        <w:rPr>
          <w:sz w:val="24"/>
          <w:szCs w:val="24"/>
        </w:rPr>
        <w:t>).</w:t>
      </w:r>
    </w:p>
    <w:p w:rsidR="00947B7B" w:rsidRPr="009F56AD" w:rsidRDefault="00947B7B" w:rsidP="00947B7B">
      <w:pPr>
        <w:ind w:left="851"/>
        <w:rPr>
          <w:sz w:val="24"/>
          <w:szCs w:val="24"/>
        </w:rPr>
      </w:pPr>
      <w:r w:rsidRPr="009F56AD">
        <w:rPr>
          <w:sz w:val="24"/>
          <w:szCs w:val="24"/>
        </w:rPr>
        <w:t xml:space="preserve">Især ved behandling med høje doser </w:t>
      </w:r>
      <w:proofErr w:type="spellStart"/>
      <w:r w:rsidRPr="009F56AD">
        <w:rPr>
          <w:sz w:val="24"/>
          <w:szCs w:val="24"/>
        </w:rPr>
        <w:t>cytarabin</w:t>
      </w:r>
      <w:proofErr w:type="spellEnd"/>
      <w:r w:rsidRPr="009F56AD">
        <w:rPr>
          <w:sz w:val="24"/>
          <w:szCs w:val="24"/>
        </w:rPr>
        <w:t xml:space="preserve"> kan der opstå mere alvorlige reaktioner ud over de almindelige symptomer. Der er indberettet </w:t>
      </w:r>
      <w:proofErr w:type="spellStart"/>
      <w:r w:rsidRPr="009F56AD">
        <w:rPr>
          <w:sz w:val="24"/>
          <w:szCs w:val="24"/>
        </w:rPr>
        <w:t>intestinal</w:t>
      </w:r>
      <w:proofErr w:type="spellEnd"/>
      <w:r w:rsidRPr="009F56AD">
        <w:rPr>
          <w:sz w:val="24"/>
          <w:szCs w:val="24"/>
        </w:rPr>
        <w:t xml:space="preserve"> perforation eller nekrose ledsaget af </w:t>
      </w:r>
      <w:proofErr w:type="spellStart"/>
      <w:r w:rsidRPr="009F56AD">
        <w:rPr>
          <w:sz w:val="24"/>
          <w:szCs w:val="24"/>
        </w:rPr>
        <w:t>ileus</w:t>
      </w:r>
      <w:proofErr w:type="spellEnd"/>
      <w:r w:rsidRPr="009F56AD">
        <w:rPr>
          <w:sz w:val="24"/>
          <w:szCs w:val="24"/>
        </w:rPr>
        <w:t xml:space="preserve"> og </w:t>
      </w:r>
      <w:proofErr w:type="spellStart"/>
      <w:r w:rsidRPr="009F56AD">
        <w:rPr>
          <w:sz w:val="24"/>
          <w:szCs w:val="24"/>
        </w:rPr>
        <w:t>peritonitis</w:t>
      </w:r>
      <w:proofErr w:type="spellEnd"/>
      <w:r w:rsidRPr="009F56AD">
        <w:rPr>
          <w:sz w:val="24"/>
          <w:szCs w:val="24"/>
        </w:rPr>
        <w:t xml:space="preserve">. </w:t>
      </w:r>
    </w:p>
    <w:p w:rsidR="00947B7B" w:rsidRPr="009F56AD" w:rsidRDefault="00947B7B" w:rsidP="00947B7B">
      <w:pPr>
        <w:ind w:left="851"/>
        <w:rPr>
          <w:sz w:val="24"/>
          <w:szCs w:val="24"/>
          <w:highlight w:val="yellow"/>
        </w:rPr>
      </w:pPr>
    </w:p>
    <w:p w:rsidR="00947B7B" w:rsidRPr="00122D03" w:rsidRDefault="00947B7B" w:rsidP="00947B7B">
      <w:pPr>
        <w:ind w:left="851"/>
        <w:rPr>
          <w:b/>
          <w:i/>
          <w:sz w:val="24"/>
          <w:szCs w:val="24"/>
        </w:rPr>
      </w:pPr>
      <w:r>
        <w:rPr>
          <w:b/>
          <w:i/>
          <w:sz w:val="24"/>
          <w:szCs w:val="24"/>
        </w:rPr>
        <w:t>Lever og galdeveje</w:t>
      </w:r>
    </w:p>
    <w:p w:rsidR="00947B7B" w:rsidRPr="009F56AD" w:rsidRDefault="00947B7B" w:rsidP="00947B7B">
      <w:pPr>
        <w:ind w:left="851"/>
        <w:rPr>
          <w:sz w:val="24"/>
          <w:szCs w:val="24"/>
        </w:rPr>
      </w:pPr>
      <w:r w:rsidRPr="009F56AD">
        <w:rPr>
          <w:sz w:val="24"/>
          <w:szCs w:val="24"/>
        </w:rPr>
        <w:t xml:space="preserve">Der er observeret leverskader med øget </w:t>
      </w:r>
      <w:proofErr w:type="spellStart"/>
      <w:r w:rsidRPr="009F56AD">
        <w:rPr>
          <w:sz w:val="24"/>
          <w:szCs w:val="24"/>
        </w:rPr>
        <w:t>hyperbilirubinæmi</w:t>
      </w:r>
      <w:proofErr w:type="spellEnd"/>
      <w:r w:rsidRPr="009F56AD">
        <w:rPr>
          <w:sz w:val="24"/>
          <w:szCs w:val="24"/>
        </w:rPr>
        <w:t xml:space="preserve"> </w:t>
      </w:r>
      <w:proofErr w:type="spellStart"/>
      <w:r w:rsidRPr="009F56AD">
        <w:rPr>
          <w:sz w:val="24"/>
          <w:szCs w:val="24"/>
        </w:rPr>
        <w:t>hepatomegali</w:t>
      </w:r>
      <w:proofErr w:type="spellEnd"/>
      <w:r w:rsidRPr="009F56AD">
        <w:rPr>
          <w:sz w:val="24"/>
          <w:szCs w:val="24"/>
        </w:rPr>
        <w:t xml:space="preserve">, </w:t>
      </w:r>
      <w:proofErr w:type="spellStart"/>
      <w:r w:rsidRPr="009F56AD">
        <w:rPr>
          <w:sz w:val="24"/>
          <w:szCs w:val="24"/>
        </w:rPr>
        <w:t>Budd</w:t>
      </w:r>
      <w:proofErr w:type="spellEnd"/>
      <w:r w:rsidRPr="009F56AD">
        <w:rPr>
          <w:sz w:val="24"/>
          <w:szCs w:val="24"/>
        </w:rPr>
        <w:t>-</w:t>
      </w:r>
      <w:proofErr w:type="spellStart"/>
      <w:r w:rsidRPr="009F56AD">
        <w:rPr>
          <w:sz w:val="24"/>
          <w:szCs w:val="24"/>
        </w:rPr>
        <w:t>Chiari</w:t>
      </w:r>
      <w:proofErr w:type="spellEnd"/>
      <w:r w:rsidRPr="009F56AD">
        <w:rPr>
          <w:sz w:val="24"/>
          <w:szCs w:val="24"/>
        </w:rPr>
        <w:t>-syndrom (</w:t>
      </w:r>
      <w:proofErr w:type="spellStart"/>
      <w:r w:rsidRPr="009F56AD">
        <w:rPr>
          <w:sz w:val="24"/>
          <w:szCs w:val="24"/>
        </w:rPr>
        <w:t>hepatisk</w:t>
      </w:r>
      <w:proofErr w:type="spellEnd"/>
      <w:r w:rsidRPr="009F56AD">
        <w:rPr>
          <w:sz w:val="24"/>
          <w:szCs w:val="24"/>
        </w:rPr>
        <w:t xml:space="preserve"> venøs trombose) og </w:t>
      </w:r>
      <w:proofErr w:type="spellStart"/>
      <w:r w:rsidRPr="009F56AD">
        <w:rPr>
          <w:sz w:val="24"/>
          <w:szCs w:val="24"/>
        </w:rPr>
        <w:t>pankreatitis</w:t>
      </w:r>
      <w:proofErr w:type="spellEnd"/>
      <w:r w:rsidRPr="009F56AD">
        <w:rPr>
          <w:sz w:val="24"/>
          <w:szCs w:val="24"/>
        </w:rPr>
        <w:t xml:space="preserve"> efter højdosisbehandling.</w:t>
      </w:r>
    </w:p>
    <w:p w:rsidR="00947B7B" w:rsidRPr="009F56AD" w:rsidRDefault="00947B7B" w:rsidP="00947B7B">
      <w:pPr>
        <w:ind w:left="851"/>
        <w:rPr>
          <w:sz w:val="24"/>
          <w:szCs w:val="24"/>
        </w:rPr>
      </w:pPr>
    </w:p>
    <w:p w:rsidR="00947B7B" w:rsidRPr="00122D03" w:rsidRDefault="00947B7B" w:rsidP="00947B7B">
      <w:pPr>
        <w:ind w:left="851"/>
        <w:rPr>
          <w:b/>
          <w:i/>
          <w:sz w:val="24"/>
          <w:szCs w:val="24"/>
        </w:rPr>
      </w:pPr>
      <w:r>
        <w:rPr>
          <w:b/>
          <w:i/>
          <w:sz w:val="24"/>
          <w:szCs w:val="24"/>
        </w:rPr>
        <w:t>Hud og subkutane væv</w:t>
      </w:r>
    </w:p>
    <w:p w:rsidR="00947B7B" w:rsidRPr="009F56AD" w:rsidRDefault="00947B7B" w:rsidP="00947B7B">
      <w:pPr>
        <w:ind w:left="851"/>
        <w:rPr>
          <w:sz w:val="24"/>
          <w:szCs w:val="24"/>
        </w:rPr>
      </w:pPr>
      <w:r w:rsidRPr="009F56AD">
        <w:rPr>
          <w:sz w:val="24"/>
          <w:szCs w:val="24"/>
        </w:rPr>
        <w:t xml:space="preserve">Hududslæt, der medfører afskalning, </w:t>
      </w:r>
      <w:proofErr w:type="spellStart"/>
      <w:r w:rsidRPr="009F56AD">
        <w:rPr>
          <w:sz w:val="24"/>
          <w:szCs w:val="24"/>
        </w:rPr>
        <w:t>alopeci</w:t>
      </w:r>
      <w:proofErr w:type="spellEnd"/>
      <w:r w:rsidRPr="009F56AD">
        <w:rPr>
          <w:sz w:val="24"/>
          <w:szCs w:val="24"/>
        </w:rPr>
        <w:t>.</w:t>
      </w:r>
    </w:p>
    <w:p w:rsidR="00947B7B" w:rsidRPr="009F56AD" w:rsidRDefault="00947B7B" w:rsidP="00947B7B">
      <w:pPr>
        <w:ind w:left="851"/>
        <w:rPr>
          <w:sz w:val="24"/>
          <w:szCs w:val="24"/>
        </w:rPr>
      </w:pPr>
    </w:p>
    <w:p w:rsidR="00947B7B" w:rsidRPr="00122D03" w:rsidRDefault="00947B7B" w:rsidP="00947B7B">
      <w:pPr>
        <w:ind w:left="851"/>
        <w:rPr>
          <w:b/>
          <w:i/>
          <w:sz w:val="24"/>
          <w:szCs w:val="24"/>
        </w:rPr>
      </w:pPr>
      <w:r>
        <w:rPr>
          <w:b/>
          <w:i/>
          <w:sz w:val="24"/>
          <w:szCs w:val="24"/>
        </w:rPr>
        <w:t>Øvrige</w:t>
      </w:r>
    </w:p>
    <w:p w:rsidR="00947B7B" w:rsidRPr="009F56AD" w:rsidRDefault="00947B7B" w:rsidP="00947B7B">
      <w:pPr>
        <w:ind w:left="851"/>
        <w:rPr>
          <w:sz w:val="24"/>
          <w:szCs w:val="24"/>
        </w:rPr>
      </w:pPr>
      <w:r w:rsidRPr="009F56AD">
        <w:rPr>
          <w:sz w:val="24"/>
          <w:szCs w:val="24"/>
        </w:rPr>
        <w:t xml:space="preserve">Der er indberettet </w:t>
      </w:r>
      <w:proofErr w:type="spellStart"/>
      <w:r w:rsidRPr="009F56AD">
        <w:rPr>
          <w:sz w:val="24"/>
          <w:szCs w:val="24"/>
        </w:rPr>
        <w:t>kardiomyopati</w:t>
      </w:r>
      <w:proofErr w:type="spellEnd"/>
      <w:r w:rsidRPr="009F56AD">
        <w:rPr>
          <w:sz w:val="24"/>
          <w:szCs w:val="24"/>
        </w:rPr>
        <w:t xml:space="preserve"> med efterfølgende død og </w:t>
      </w:r>
      <w:proofErr w:type="spellStart"/>
      <w:r w:rsidRPr="009F56AD">
        <w:rPr>
          <w:sz w:val="24"/>
          <w:szCs w:val="24"/>
        </w:rPr>
        <w:t>rhabdomyolyse</w:t>
      </w:r>
      <w:proofErr w:type="spellEnd"/>
      <w:r w:rsidRPr="009F56AD">
        <w:rPr>
          <w:sz w:val="24"/>
          <w:szCs w:val="24"/>
        </w:rPr>
        <w:t xml:space="preserve"> efter </w:t>
      </w:r>
      <w:proofErr w:type="spellStart"/>
      <w:r w:rsidRPr="009F56AD">
        <w:rPr>
          <w:sz w:val="24"/>
          <w:szCs w:val="24"/>
        </w:rPr>
        <w:t>cytarabinbehandling</w:t>
      </w:r>
      <w:proofErr w:type="spellEnd"/>
      <w:r w:rsidRPr="009F56AD">
        <w:rPr>
          <w:sz w:val="24"/>
          <w:szCs w:val="24"/>
        </w:rPr>
        <w:t xml:space="preserve">. Der er indberettet et tilfælde af anafylaksi, som resulterede i </w:t>
      </w:r>
      <w:proofErr w:type="spellStart"/>
      <w:r w:rsidRPr="009F56AD">
        <w:rPr>
          <w:sz w:val="24"/>
          <w:szCs w:val="24"/>
        </w:rPr>
        <w:t>kardiopulmonært</w:t>
      </w:r>
      <w:proofErr w:type="spellEnd"/>
      <w:r w:rsidRPr="009F56AD">
        <w:rPr>
          <w:sz w:val="24"/>
          <w:szCs w:val="24"/>
        </w:rPr>
        <w:t xml:space="preserve"> stop og påkrævet genoplivning. Dette indtrådte umiddelbart efter intravenøs administration af </w:t>
      </w:r>
      <w:proofErr w:type="spellStart"/>
      <w:r w:rsidRPr="009F56AD">
        <w:rPr>
          <w:sz w:val="24"/>
          <w:szCs w:val="24"/>
        </w:rPr>
        <w:t>cytarabin</w:t>
      </w:r>
      <w:proofErr w:type="spellEnd"/>
      <w:r w:rsidRPr="009F56AD">
        <w:rPr>
          <w:sz w:val="24"/>
          <w:szCs w:val="24"/>
        </w:rPr>
        <w:t xml:space="preserve">. </w:t>
      </w:r>
    </w:p>
    <w:p w:rsidR="00947B7B" w:rsidRPr="009F56AD" w:rsidRDefault="00947B7B" w:rsidP="00947B7B">
      <w:pPr>
        <w:ind w:left="851"/>
        <w:rPr>
          <w:sz w:val="24"/>
          <w:szCs w:val="24"/>
        </w:rPr>
      </w:pPr>
    </w:p>
    <w:p w:rsidR="00947B7B" w:rsidRPr="009F56AD" w:rsidRDefault="00947B7B" w:rsidP="00947B7B">
      <w:pPr>
        <w:ind w:left="851"/>
        <w:rPr>
          <w:sz w:val="24"/>
          <w:szCs w:val="24"/>
          <w:highlight w:val="yellow"/>
        </w:rPr>
      </w:pPr>
      <w:r w:rsidRPr="009F56AD">
        <w:rPr>
          <w:sz w:val="24"/>
          <w:szCs w:val="24"/>
        </w:rPr>
        <w:t xml:space="preserve">De </w:t>
      </w:r>
      <w:proofErr w:type="spellStart"/>
      <w:r w:rsidRPr="009F56AD">
        <w:rPr>
          <w:sz w:val="24"/>
          <w:szCs w:val="24"/>
        </w:rPr>
        <w:t>gastrointestinale</w:t>
      </w:r>
      <w:proofErr w:type="spellEnd"/>
      <w:r w:rsidRPr="009F56AD">
        <w:rPr>
          <w:sz w:val="24"/>
          <w:szCs w:val="24"/>
        </w:rPr>
        <w:t xml:space="preserve"> bivirkninger reduceres, hvis </w:t>
      </w:r>
      <w:proofErr w:type="spellStart"/>
      <w:r w:rsidRPr="009F56AD">
        <w:rPr>
          <w:sz w:val="24"/>
          <w:szCs w:val="24"/>
        </w:rPr>
        <w:t>cytarabin</w:t>
      </w:r>
      <w:proofErr w:type="spellEnd"/>
      <w:r w:rsidRPr="009F56AD">
        <w:rPr>
          <w:sz w:val="24"/>
          <w:szCs w:val="24"/>
        </w:rPr>
        <w:t xml:space="preserve"> administreres via infusion. Det anbefales at anvende </w:t>
      </w:r>
      <w:proofErr w:type="spellStart"/>
      <w:r w:rsidRPr="009F56AD">
        <w:rPr>
          <w:sz w:val="24"/>
          <w:szCs w:val="24"/>
        </w:rPr>
        <w:t>lokaltvirkende</w:t>
      </w:r>
      <w:proofErr w:type="spellEnd"/>
      <w:r w:rsidRPr="009F56AD">
        <w:rPr>
          <w:sz w:val="24"/>
          <w:szCs w:val="24"/>
        </w:rPr>
        <w:t xml:space="preserve"> </w:t>
      </w:r>
      <w:proofErr w:type="spellStart"/>
      <w:r w:rsidRPr="009F56AD">
        <w:rPr>
          <w:sz w:val="24"/>
          <w:szCs w:val="24"/>
        </w:rPr>
        <w:t>glukokortikoider</w:t>
      </w:r>
      <w:proofErr w:type="spellEnd"/>
      <w:r w:rsidRPr="009F56AD">
        <w:rPr>
          <w:sz w:val="24"/>
          <w:szCs w:val="24"/>
        </w:rPr>
        <w:t xml:space="preserve"> til profylakse af </w:t>
      </w:r>
      <w:proofErr w:type="spellStart"/>
      <w:r w:rsidRPr="009F56AD">
        <w:rPr>
          <w:sz w:val="24"/>
          <w:szCs w:val="24"/>
        </w:rPr>
        <w:t>hæmoragisk</w:t>
      </w:r>
      <w:proofErr w:type="spellEnd"/>
      <w:r w:rsidRPr="009F56AD">
        <w:rPr>
          <w:sz w:val="24"/>
          <w:szCs w:val="24"/>
        </w:rPr>
        <w:t xml:space="preserve"> </w:t>
      </w:r>
      <w:proofErr w:type="spellStart"/>
      <w:r w:rsidRPr="009F56AD">
        <w:rPr>
          <w:sz w:val="24"/>
          <w:szCs w:val="24"/>
        </w:rPr>
        <w:t>konjunktivitis</w:t>
      </w:r>
      <w:proofErr w:type="spellEnd"/>
      <w:r w:rsidRPr="009F56AD">
        <w:rPr>
          <w:sz w:val="24"/>
          <w:szCs w:val="24"/>
        </w:rPr>
        <w:t>.</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highlight w:val="yellow"/>
        </w:rPr>
      </w:pPr>
      <w:proofErr w:type="spellStart"/>
      <w:r w:rsidRPr="009F56AD">
        <w:rPr>
          <w:sz w:val="24"/>
          <w:szCs w:val="24"/>
        </w:rPr>
        <w:t>Amenoré</w:t>
      </w:r>
      <w:proofErr w:type="spellEnd"/>
      <w:r w:rsidRPr="009F56AD">
        <w:rPr>
          <w:sz w:val="24"/>
          <w:szCs w:val="24"/>
        </w:rPr>
        <w:t xml:space="preserve"> og </w:t>
      </w:r>
      <w:proofErr w:type="spellStart"/>
      <w:r w:rsidRPr="009F56AD">
        <w:rPr>
          <w:sz w:val="24"/>
          <w:szCs w:val="24"/>
        </w:rPr>
        <w:t>azoospermi</w:t>
      </w:r>
      <w:proofErr w:type="spellEnd"/>
      <w:r w:rsidRPr="009F56AD">
        <w:rPr>
          <w:sz w:val="24"/>
          <w:szCs w:val="24"/>
        </w:rPr>
        <w:t xml:space="preserve"> (se pkt. 4.6).</w:t>
      </w:r>
    </w:p>
    <w:p w:rsidR="00947B7B" w:rsidRPr="009F56AD" w:rsidRDefault="00947B7B" w:rsidP="00947B7B">
      <w:pPr>
        <w:ind w:left="851"/>
        <w:rPr>
          <w:sz w:val="24"/>
          <w:szCs w:val="24"/>
          <w:highlight w:val="yellow"/>
        </w:rPr>
      </w:pPr>
    </w:p>
    <w:p w:rsidR="00947B7B" w:rsidRPr="006F2B3A" w:rsidRDefault="00947B7B" w:rsidP="006F2B3A">
      <w:pPr>
        <w:ind w:left="851"/>
        <w:rPr>
          <w:sz w:val="24"/>
          <w:szCs w:val="24"/>
        </w:rPr>
      </w:pPr>
      <w:r w:rsidRPr="009F56AD">
        <w:rPr>
          <w:sz w:val="24"/>
          <w:szCs w:val="24"/>
        </w:rPr>
        <w:t xml:space="preserve">Virale, bakterielle, fungicide, parasitære eller </w:t>
      </w:r>
      <w:proofErr w:type="spellStart"/>
      <w:r w:rsidRPr="009F56AD">
        <w:rPr>
          <w:sz w:val="24"/>
          <w:szCs w:val="24"/>
        </w:rPr>
        <w:t>saprofytiske</w:t>
      </w:r>
      <w:proofErr w:type="spellEnd"/>
      <w:r w:rsidRPr="009F56AD">
        <w:rPr>
          <w:sz w:val="24"/>
          <w:szCs w:val="24"/>
        </w:rPr>
        <w:t xml:space="preserve"> infektioner i en hvilken som helst del af kroppen kan sættes i forbindelse med brug af </w:t>
      </w:r>
      <w:proofErr w:type="spellStart"/>
      <w:r w:rsidRPr="009F56AD">
        <w:rPr>
          <w:sz w:val="24"/>
          <w:szCs w:val="24"/>
        </w:rPr>
        <w:t>cytarabin</w:t>
      </w:r>
      <w:proofErr w:type="spellEnd"/>
      <w:r w:rsidRPr="009F56AD">
        <w:rPr>
          <w:sz w:val="24"/>
          <w:szCs w:val="24"/>
        </w:rPr>
        <w:t xml:space="preserve"> alene eller i kombination med andre immunsuppressive lægemidler efter immunsuppressive doser, der </w:t>
      </w:r>
      <w:r w:rsidRPr="009F56AD">
        <w:rPr>
          <w:sz w:val="24"/>
          <w:szCs w:val="24"/>
        </w:rPr>
        <w:lastRenderedPageBreak/>
        <w:t xml:space="preserve">påvirker cellulær eller </w:t>
      </w:r>
      <w:proofErr w:type="spellStart"/>
      <w:r w:rsidRPr="009F56AD">
        <w:rPr>
          <w:sz w:val="24"/>
          <w:szCs w:val="24"/>
        </w:rPr>
        <w:t>humoral</w:t>
      </w:r>
      <w:proofErr w:type="spellEnd"/>
      <w:r w:rsidRPr="009F56AD">
        <w:rPr>
          <w:sz w:val="24"/>
          <w:szCs w:val="24"/>
        </w:rPr>
        <w:t xml:space="preserve"> immunitet. Disse infektioner kan være milde, men også alvorlige og til tider fatale. </w:t>
      </w:r>
    </w:p>
    <w:p w:rsidR="00947B7B" w:rsidRPr="009F56AD" w:rsidRDefault="00947B7B" w:rsidP="00947B7B">
      <w:pPr>
        <w:ind w:left="851"/>
        <w:rPr>
          <w:sz w:val="24"/>
          <w:szCs w:val="24"/>
          <w:u w:val="single"/>
        </w:rPr>
      </w:pPr>
    </w:p>
    <w:p w:rsidR="00457B7B" w:rsidRPr="009F56AD" w:rsidRDefault="00457B7B" w:rsidP="00457B7B">
      <w:pPr>
        <w:ind w:left="851"/>
        <w:rPr>
          <w:sz w:val="24"/>
          <w:szCs w:val="24"/>
          <w:u w:val="single"/>
        </w:rPr>
      </w:pPr>
      <w:r w:rsidRPr="009F56AD">
        <w:rPr>
          <w:sz w:val="24"/>
          <w:szCs w:val="24"/>
          <w:u w:val="single"/>
        </w:rPr>
        <w:t>Indberetning af formodede bivirkninger</w:t>
      </w:r>
    </w:p>
    <w:p w:rsidR="00457B7B" w:rsidRPr="009F56AD" w:rsidRDefault="00457B7B" w:rsidP="00457B7B">
      <w:pPr>
        <w:ind w:left="851"/>
        <w:rPr>
          <w:sz w:val="24"/>
          <w:szCs w:val="24"/>
        </w:rPr>
      </w:pPr>
      <w:r w:rsidRPr="009F56AD">
        <w:rPr>
          <w:sz w:val="24"/>
          <w:szCs w:val="24"/>
        </w:rPr>
        <w:t>Når lægemidlet er godkendt, er indberetning af formodede bivirkninger vigtig. Det muliggør løbende overvågning af benefit/</w:t>
      </w:r>
      <w:proofErr w:type="spellStart"/>
      <w:r w:rsidRPr="009F56AD">
        <w:rPr>
          <w:sz w:val="24"/>
          <w:szCs w:val="24"/>
        </w:rPr>
        <w:t>risk</w:t>
      </w:r>
      <w:proofErr w:type="spellEnd"/>
      <w:r w:rsidRPr="009F56AD">
        <w:rPr>
          <w:sz w:val="24"/>
          <w:szCs w:val="24"/>
        </w:rPr>
        <w:t xml:space="preserve">-forholdet for lægemidlet. </w:t>
      </w:r>
      <w:r>
        <w:rPr>
          <w:sz w:val="24"/>
          <w:szCs w:val="24"/>
        </w:rPr>
        <w:t>Sundhedspersoner</w:t>
      </w:r>
      <w:r w:rsidRPr="009F56AD">
        <w:rPr>
          <w:sz w:val="24"/>
          <w:szCs w:val="24"/>
        </w:rPr>
        <w:t xml:space="preserve"> anmodes om at indberette alle formodede bivirkninger via</w:t>
      </w:r>
    </w:p>
    <w:p w:rsidR="00457B7B" w:rsidRPr="009F56AD" w:rsidRDefault="00457B7B" w:rsidP="00457B7B">
      <w:pPr>
        <w:ind w:left="851"/>
        <w:rPr>
          <w:sz w:val="24"/>
          <w:szCs w:val="24"/>
        </w:rPr>
      </w:pPr>
    </w:p>
    <w:p w:rsidR="00457B7B" w:rsidRPr="009F56AD" w:rsidRDefault="00457B7B" w:rsidP="00457B7B">
      <w:pPr>
        <w:ind w:left="851"/>
        <w:rPr>
          <w:sz w:val="24"/>
          <w:szCs w:val="24"/>
        </w:rPr>
      </w:pPr>
      <w:r w:rsidRPr="009F56AD">
        <w:rPr>
          <w:sz w:val="24"/>
          <w:szCs w:val="24"/>
        </w:rPr>
        <w:t>Lægemiddelstyrelsen</w:t>
      </w:r>
    </w:p>
    <w:p w:rsidR="00457B7B" w:rsidRPr="009F56AD" w:rsidRDefault="00457B7B" w:rsidP="00457B7B">
      <w:pPr>
        <w:ind w:left="851"/>
        <w:rPr>
          <w:sz w:val="24"/>
          <w:szCs w:val="24"/>
        </w:rPr>
      </w:pPr>
      <w:r w:rsidRPr="009F56AD">
        <w:rPr>
          <w:sz w:val="24"/>
          <w:szCs w:val="24"/>
        </w:rPr>
        <w:t>Axel Heides Gade 1</w:t>
      </w:r>
    </w:p>
    <w:p w:rsidR="00457B7B" w:rsidRPr="009F56AD" w:rsidRDefault="00457B7B" w:rsidP="00457B7B">
      <w:pPr>
        <w:ind w:left="851"/>
        <w:rPr>
          <w:sz w:val="24"/>
          <w:szCs w:val="24"/>
        </w:rPr>
      </w:pPr>
      <w:r w:rsidRPr="009F56AD">
        <w:rPr>
          <w:sz w:val="24"/>
          <w:szCs w:val="24"/>
        </w:rPr>
        <w:t>DK-2300 København S</w:t>
      </w:r>
    </w:p>
    <w:p w:rsidR="00457B7B" w:rsidRPr="00E46B66" w:rsidRDefault="00457B7B" w:rsidP="00457B7B">
      <w:pPr>
        <w:ind w:left="851"/>
        <w:rPr>
          <w:sz w:val="24"/>
          <w:szCs w:val="24"/>
        </w:rPr>
      </w:pPr>
      <w:r w:rsidRPr="00E46B66">
        <w:rPr>
          <w:sz w:val="24"/>
          <w:szCs w:val="24"/>
        </w:rPr>
        <w:t xml:space="preserve">Websted: </w:t>
      </w:r>
      <w:hyperlink r:id="rId8" w:history="1">
        <w:r w:rsidRPr="00E46B66">
          <w:rPr>
            <w:rStyle w:val="Hyperlink"/>
            <w:sz w:val="24"/>
            <w:szCs w:val="24"/>
          </w:rPr>
          <w:t>www.meldenbivirkning.dk</w:t>
        </w:r>
      </w:hyperlink>
      <w:r w:rsidRPr="00E46B66">
        <w:rPr>
          <w:sz w:val="24"/>
          <w:szCs w:val="24"/>
        </w:rPr>
        <w:t xml:space="preserve"> </w:t>
      </w:r>
    </w:p>
    <w:p w:rsidR="00947B7B" w:rsidRPr="000A2309" w:rsidRDefault="00947B7B" w:rsidP="00947B7B">
      <w:pPr>
        <w:pStyle w:val="Sidehoved"/>
        <w:tabs>
          <w:tab w:val="left" w:pos="851"/>
        </w:tabs>
        <w:ind w:left="851" w:hanging="851"/>
        <w:rPr>
          <w:szCs w:val="24"/>
        </w:rPr>
      </w:pPr>
    </w:p>
    <w:p w:rsidR="00947B7B" w:rsidRPr="009F56AD" w:rsidRDefault="00947B7B" w:rsidP="00947B7B">
      <w:pPr>
        <w:tabs>
          <w:tab w:val="left" w:pos="851"/>
        </w:tabs>
        <w:ind w:left="851" w:hanging="851"/>
        <w:rPr>
          <w:b/>
          <w:sz w:val="24"/>
          <w:szCs w:val="24"/>
        </w:rPr>
      </w:pPr>
      <w:r w:rsidRPr="009F56AD">
        <w:rPr>
          <w:b/>
          <w:sz w:val="24"/>
          <w:szCs w:val="24"/>
        </w:rPr>
        <w:t>4.9</w:t>
      </w:r>
      <w:r w:rsidRPr="009F56AD">
        <w:rPr>
          <w:b/>
          <w:sz w:val="24"/>
          <w:szCs w:val="24"/>
        </w:rPr>
        <w:tab/>
        <w:t>Overdosering</w:t>
      </w:r>
    </w:p>
    <w:p w:rsidR="00947B7B" w:rsidRPr="009F56AD" w:rsidRDefault="00947B7B" w:rsidP="00947B7B">
      <w:pPr>
        <w:ind w:left="851"/>
        <w:rPr>
          <w:sz w:val="24"/>
          <w:szCs w:val="24"/>
          <w:lang w:eastAsia="en-GB"/>
        </w:rPr>
      </w:pPr>
      <w:r w:rsidRPr="009F56AD">
        <w:rPr>
          <w:sz w:val="24"/>
          <w:szCs w:val="24"/>
        </w:rPr>
        <w:t xml:space="preserve">Der er ingen specifik </w:t>
      </w:r>
      <w:proofErr w:type="spellStart"/>
      <w:r w:rsidRPr="009F56AD">
        <w:rPr>
          <w:sz w:val="24"/>
          <w:szCs w:val="24"/>
        </w:rPr>
        <w:t>antidot</w:t>
      </w:r>
      <w:proofErr w:type="spellEnd"/>
      <w:r w:rsidRPr="009F56AD">
        <w:rPr>
          <w:sz w:val="24"/>
          <w:szCs w:val="24"/>
        </w:rPr>
        <w:t xml:space="preserve"> mod </w:t>
      </w:r>
      <w:proofErr w:type="spellStart"/>
      <w:r w:rsidRPr="009F56AD">
        <w:rPr>
          <w:sz w:val="24"/>
          <w:szCs w:val="24"/>
        </w:rPr>
        <w:t>cytarabinoverdosering</w:t>
      </w:r>
      <w:proofErr w:type="spellEnd"/>
      <w:r w:rsidRPr="009F56AD">
        <w:rPr>
          <w:sz w:val="24"/>
          <w:szCs w:val="24"/>
        </w:rPr>
        <w:t xml:space="preserve">. </w:t>
      </w:r>
      <w:proofErr w:type="spellStart"/>
      <w:r w:rsidRPr="009F56AD">
        <w:rPr>
          <w:sz w:val="24"/>
          <w:szCs w:val="24"/>
        </w:rPr>
        <w:t>Seponering</w:t>
      </w:r>
      <w:proofErr w:type="spellEnd"/>
      <w:r w:rsidRPr="009F56AD">
        <w:rPr>
          <w:sz w:val="24"/>
          <w:szCs w:val="24"/>
        </w:rPr>
        <w:t xml:space="preserve"> af behandlingen efterfulgt af behandling af knoglemarvsdepression inklusive transfusion af helblod eller </w:t>
      </w:r>
      <w:proofErr w:type="spellStart"/>
      <w:r w:rsidRPr="009F56AD">
        <w:rPr>
          <w:sz w:val="24"/>
          <w:szCs w:val="24"/>
        </w:rPr>
        <w:t>trombocytter</w:t>
      </w:r>
      <w:proofErr w:type="spellEnd"/>
      <w:r w:rsidRPr="009F56AD">
        <w:rPr>
          <w:sz w:val="24"/>
          <w:szCs w:val="24"/>
        </w:rPr>
        <w:t xml:space="preserve"> og antibiotika efter behov. </w:t>
      </w:r>
    </w:p>
    <w:p w:rsidR="00947B7B" w:rsidRPr="009F56AD" w:rsidRDefault="00947B7B" w:rsidP="00947B7B">
      <w:pPr>
        <w:ind w:left="851"/>
        <w:rPr>
          <w:sz w:val="24"/>
          <w:szCs w:val="24"/>
          <w:highlight w:val="yellow"/>
        </w:rPr>
      </w:pPr>
    </w:p>
    <w:p w:rsidR="00947B7B" w:rsidRPr="009F56AD" w:rsidRDefault="00947B7B" w:rsidP="00947B7B">
      <w:pPr>
        <w:ind w:left="851"/>
        <w:rPr>
          <w:sz w:val="24"/>
          <w:szCs w:val="24"/>
        </w:rPr>
      </w:pPr>
      <w:r w:rsidRPr="009F56AD">
        <w:rPr>
          <w:sz w:val="24"/>
          <w:szCs w:val="24"/>
        </w:rPr>
        <w:t>Tolv doser af 4,5 g/m</w:t>
      </w:r>
      <w:r w:rsidRPr="009F56AD">
        <w:rPr>
          <w:sz w:val="24"/>
          <w:szCs w:val="24"/>
          <w:vertAlign w:val="superscript"/>
        </w:rPr>
        <w:t>2</w:t>
      </w:r>
      <w:r w:rsidRPr="009F56AD">
        <w:rPr>
          <w:sz w:val="24"/>
          <w:szCs w:val="24"/>
        </w:rPr>
        <w:t xml:space="preserve"> ved intrav</w:t>
      </w:r>
      <w:r>
        <w:rPr>
          <w:sz w:val="24"/>
          <w:szCs w:val="24"/>
        </w:rPr>
        <w:t>e</w:t>
      </w:r>
      <w:r w:rsidRPr="009F56AD">
        <w:rPr>
          <w:sz w:val="24"/>
          <w:szCs w:val="24"/>
        </w:rPr>
        <w:t xml:space="preserve">nøs infusion over 1 time hver 12. time inducerer reversibel og fatal toksicitet i centralnervesystemet. </w:t>
      </w:r>
    </w:p>
    <w:p w:rsidR="00947B7B" w:rsidRPr="009F56AD" w:rsidRDefault="00947B7B" w:rsidP="00947B7B">
      <w:pPr>
        <w:ind w:left="851"/>
        <w:rPr>
          <w:sz w:val="24"/>
          <w:szCs w:val="24"/>
        </w:rPr>
      </w:pPr>
    </w:p>
    <w:p w:rsidR="00947B7B" w:rsidRPr="009F56AD" w:rsidRDefault="00947B7B" w:rsidP="00947B7B">
      <w:pPr>
        <w:ind w:left="851"/>
        <w:rPr>
          <w:sz w:val="24"/>
          <w:szCs w:val="24"/>
        </w:rPr>
      </w:pPr>
      <w:r w:rsidRPr="009F56AD">
        <w:rPr>
          <w:sz w:val="24"/>
          <w:szCs w:val="24"/>
        </w:rPr>
        <w:t xml:space="preserve">I tilfælde af </w:t>
      </w:r>
      <w:proofErr w:type="spellStart"/>
      <w:r w:rsidRPr="009F56AD">
        <w:rPr>
          <w:sz w:val="24"/>
          <w:szCs w:val="24"/>
        </w:rPr>
        <w:t>intratekal</w:t>
      </w:r>
      <w:proofErr w:type="spellEnd"/>
      <w:r w:rsidRPr="009F56AD">
        <w:rPr>
          <w:sz w:val="24"/>
          <w:szCs w:val="24"/>
        </w:rPr>
        <w:t xml:space="preserve"> overdosering: væske bør straks erstattes af isotonisk saltopløsning.</w:t>
      </w:r>
    </w:p>
    <w:p w:rsidR="00947B7B" w:rsidRPr="009F56AD" w:rsidRDefault="00947B7B" w:rsidP="00947B7B">
      <w:pPr>
        <w:ind w:left="851"/>
        <w:rPr>
          <w:sz w:val="24"/>
          <w:szCs w:val="24"/>
        </w:rPr>
      </w:pPr>
    </w:p>
    <w:p w:rsidR="00947B7B" w:rsidRPr="009F56AD" w:rsidRDefault="00947B7B" w:rsidP="00947B7B">
      <w:pPr>
        <w:ind w:left="851"/>
        <w:rPr>
          <w:sz w:val="24"/>
          <w:szCs w:val="24"/>
        </w:rPr>
      </w:pPr>
      <w:proofErr w:type="spellStart"/>
      <w:r w:rsidRPr="009F56AD">
        <w:rPr>
          <w:sz w:val="24"/>
          <w:szCs w:val="24"/>
        </w:rPr>
        <w:t>Cytarabin</w:t>
      </w:r>
      <w:proofErr w:type="spellEnd"/>
      <w:r w:rsidRPr="009F56AD">
        <w:rPr>
          <w:sz w:val="24"/>
          <w:szCs w:val="24"/>
        </w:rPr>
        <w:t xml:space="preserve"> kan fjernes ved hæmodialyse.</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4.10</w:t>
      </w:r>
      <w:r w:rsidRPr="009F56AD">
        <w:rPr>
          <w:b/>
          <w:sz w:val="24"/>
          <w:szCs w:val="24"/>
        </w:rPr>
        <w:tab/>
        <w:t>Udlevering</w:t>
      </w:r>
    </w:p>
    <w:p w:rsidR="00947B7B" w:rsidRPr="009F56AD" w:rsidRDefault="00947B7B" w:rsidP="00947B7B">
      <w:pPr>
        <w:tabs>
          <w:tab w:val="left" w:pos="851"/>
        </w:tabs>
        <w:ind w:left="851" w:hanging="851"/>
        <w:rPr>
          <w:sz w:val="24"/>
          <w:szCs w:val="24"/>
        </w:rPr>
      </w:pPr>
      <w:r>
        <w:rPr>
          <w:sz w:val="24"/>
          <w:szCs w:val="24"/>
        </w:rPr>
        <w:tab/>
        <w:t>A</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5.</w:t>
      </w:r>
      <w:r w:rsidRPr="009F56AD">
        <w:rPr>
          <w:b/>
          <w:sz w:val="24"/>
          <w:szCs w:val="24"/>
        </w:rPr>
        <w:tab/>
        <w:t>FARMAKOLOGISKE EGENSKABER</w:t>
      </w:r>
    </w:p>
    <w:p w:rsidR="00947B7B" w:rsidRPr="009F56AD" w:rsidRDefault="00947B7B" w:rsidP="006F2B3A">
      <w:pPr>
        <w:tabs>
          <w:tab w:val="left" w:pos="851"/>
        </w:tabs>
        <w:rPr>
          <w:sz w:val="24"/>
          <w:szCs w:val="24"/>
        </w:rPr>
      </w:pPr>
    </w:p>
    <w:p w:rsidR="00947B7B" w:rsidRDefault="00947B7B" w:rsidP="00947B7B">
      <w:pPr>
        <w:tabs>
          <w:tab w:val="num" w:pos="851"/>
        </w:tabs>
        <w:ind w:left="851" w:hanging="851"/>
        <w:rPr>
          <w:b/>
          <w:sz w:val="24"/>
          <w:szCs w:val="24"/>
        </w:rPr>
      </w:pPr>
      <w:r w:rsidRPr="009F56AD">
        <w:rPr>
          <w:b/>
          <w:sz w:val="24"/>
          <w:szCs w:val="24"/>
        </w:rPr>
        <w:t>5.1</w:t>
      </w:r>
      <w:r w:rsidRPr="009F56AD">
        <w:rPr>
          <w:b/>
          <w:sz w:val="24"/>
          <w:szCs w:val="24"/>
        </w:rPr>
        <w:tab/>
      </w:r>
      <w:proofErr w:type="spellStart"/>
      <w:r w:rsidRPr="009F56AD">
        <w:rPr>
          <w:b/>
          <w:sz w:val="24"/>
          <w:szCs w:val="24"/>
        </w:rPr>
        <w:t>Farmakodynamiske</w:t>
      </w:r>
      <w:proofErr w:type="spellEnd"/>
      <w:r w:rsidRPr="009F56AD">
        <w:rPr>
          <w:b/>
          <w:sz w:val="24"/>
          <w:szCs w:val="24"/>
        </w:rPr>
        <w:t xml:space="preserve"> egenskaber</w:t>
      </w:r>
    </w:p>
    <w:p w:rsidR="006F2B3A" w:rsidRPr="009F56AD" w:rsidRDefault="006F2B3A" w:rsidP="00947B7B">
      <w:pPr>
        <w:tabs>
          <w:tab w:val="num" w:pos="851"/>
        </w:tabs>
        <w:ind w:left="851" w:hanging="851"/>
        <w:rPr>
          <w:b/>
          <w:sz w:val="24"/>
          <w:szCs w:val="24"/>
        </w:rPr>
      </w:pPr>
      <w:r>
        <w:rPr>
          <w:b/>
          <w:sz w:val="24"/>
          <w:szCs w:val="24"/>
        </w:rPr>
        <w:tab/>
      </w:r>
      <w:proofErr w:type="spellStart"/>
      <w:r w:rsidRPr="006F2B3A">
        <w:rPr>
          <w:sz w:val="24"/>
          <w:szCs w:val="24"/>
        </w:rPr>
        <w:t>Farmakoterapeutisk</w:t>
      </w:r>
      <w:proofErr w:type="spellEnd"/>
      <w:r w:rsidRPr="006F2B3A">
        <w:rPr>
          <w:sz w:val="24"/>
          <w:szCs w:val="24"/>
        </w:rPr>
        <w:t xml:space="preserve"> klassifikation:</w:t>
      </w:r>
      <w:r>
        <w:rPr>
          <w:b/>
          <w:sz w:val="24"/>
          <w:szCs w:val="24"/>
        </w:rPr>
        <w:t xml:space="preserve"> </w:t>
      </w:r>
      <w:proofErr w:type="spellStart"/>
      <w:r>
        <w:rPr>
          <w:sz w:val="24"/>
          <w:szCs w:val="24"/>
        </w:rPr>
        <w:t>A</w:t>
      </w:r>
      <w:r w:rsidRPr="004B1D5A">
        <w:rPr>
          <w:sz w:val="24"/>
          <w:szCs w:val="24"/>
        </w:rPr>
        <w:t>ntineoplastiske</w:t>
      </w:r>
      <w:proofErr w:type="spellEnd"/>
      <w:r w:rsidRPr="004B1D5A">
        <w:rPr>
          <w:sz w:val="24"/>
          <w:szCs w:val="24"/>
        </w:rPr>
        <w:t xml:space="preserve"> midler, antimetabolitter, </w:t>
      </w:r>
      <w:proofErr w:type="spellStart"/>
      <w:r w:rsidRPr="004B1D5A">
        <w:rPr>
          <w:sz w:val="24"/>
          <w:szCs w:val="24"/>
        </w:rPr>
        <w:t>pyrimidin-analoger</w:t>
      </w:r>
      <w:proofErr w:type="spellEnd"/>
      <w:r>
        <w:rPr>
          <w:sz w:val="24"/>
          <w:szCs w:val="24"/>
        </w:rPr>
        <w:t xml:space="preserve">, </w:t>
      </w:r>
      <w:r w:rsidRPr="004B1D5A">
        <w:rPr>
          <w:sz w:val="24"/>
          <w:szCs w:val="24"/>
        </w:rPr>
        <w:t>ATC-kode: L01BC01</w:t>
      </w:r>
      <w:r>
        <w:rPr>
          <w:sz w:val="24"/>
          <w:szCs w:val="24"/>
        </w:rPr>
        <w:t>.</w:t>
      </w:r>
    </w:p>
    <w:p w:rsidR="00947B7B" w:rsidRDefault="00947B7B" w:rsidP="00947B7B">
      <w:pPr>
        <w:ind w:left="851"/>
        <w:rPr>
          <w:sz w:val="24"/>
          <w:szCs w:val="24"/>
        </w:rPr>
      </w:pPr>
    </w:p>
    <w:p w:rsidR="00947B7B" w:rsidRPr="00122D03" w:rsidRDefault="00947B7B" w:rsidP="00947B7B">
      <w:pPr>
        <w:ind w:left="851"/>
        <w:rPr>
          <w:rFonts w:eastAsia="Calibri"/>
          <w:b/>
          <w:sz w:val="24"/>
          <w:szCs w:val="24"/>
          <w:u w:val="single"/>
          <w:lang w:eastAsia="en-GB"/>
        </w:rPr>
      </w:pPr>
      <w:r w:rsidRPr="00122D03">
        <w:rPr>
          <w:b/>
          <w:sz w:val="24"/>
          <w:szCs w:val="24"/>
          <w:u w:val="single"/>
        </w:rPr>
        <w:t>Virkningsmekanisme</w:t>
      </w:r>
    </w:p>
    <w:p w:rsidR="00947B7B" w:rsidRPr="004B1D5A" w:rsidRDefault="00947B7B" w:rsidP="00947B7B">
      <w:pPr>
        <w:ind w:left="851"/>
        <w:rPr>
          <w:sz w:val="24"/>
          <w:szCs w:val="24"/>
          <w:highlight w:val="yellow"/>
        </w:rPr>
      </w:pPr>
      <w:proofErr w:type="spellStart"/>
      <w:r w:rsidRPr="004B1D5A">
        <w:rPr>
          <w:sz w:val="24"/>
          <w:szCs w:val="24"/>
        </w:rPr>
        <w:t>Cytarabin</w:t>
      </w:r>
      <w:proofErr w:type="spellEnd"/>
      <w:r w:rsidRPr="004B1D5A">
        <w:rPr>
          <w:sz w:val="24"/>
          <w:szCs w:val="24"/>
        </w:rPr>
        <w:t xml:space="preserve">, der er en </w:t>
      </w:r>
      <w:proofErr w:type="spellStart"/>
      <w:r w:rsidRPr="004B1D5A">
        <w:rPr>
          <w:sz w:val="24"/>
          <w:szCs w:val="24"/>
        </w:rPr>
        <w:t>pyrimidinnukleosidanalog</w:t>
      </w:r>
      <w:proofErr w:type="spellEnd"/>
      <w:r w:rsidRPr="004B1D5A">
        <w:rPr>
          <w:sz w:val="24"/>
          <w:szCs w:val="24"/>
        </w:rPr>
        <w:t xml:space="preserve">, er et </w:t>
      </w:r>
      <w:proofErr w:type="spellStart"/>
      <w:r w:rsidRPr="004B1D5A">
        <w:rPr>
          <w:sz w:val="24"/>
          <w:szCs w:val="24"/>
        </w:rPr>
        <w:t>antineoplastisk</w:t>
      </w:r>
      <w:proofErr w:type="spellEnd"/>
      <w:r w:rsidRPr="004B1D5A">
        <w:rPr>
          <w:sz w:val="24"/>
          <w:szCs w:val="24"/>
        </w:rPr>
        <w:t xml:space="preserve"> middel, der hæmmer syntesen af deoxyribonukleinsyre specifikt i S-fasen af cellecyklus. Det har også antivirale og </w:t>
      </w:r>
      <w:proofErr w:type="spellStart"/>
      <w:r w:rsidRPr="004B1D5A">
        <w:rPr>
          <w:sz w:val="24"/>
          <w:szCs w:val="24"/>
        </w:rPr>
        <w:t>immunosuppressive</w:t>
      </w:r>
      <w:proofErr w:type="spellEnd"/>
      <w:r w:rsidRPr="004B1D5A">
        <w:rPr>
          <w:sz w:val="24"/>
          <w:szCs w:val="24"/>
        </w:rPr>
        <w:t xml:space="preserve"> egenskaber. Detaljerede studier af den </w:t>
      </w:r>
      <w:proofErr w:type="spellStart"/>
      <w:r w:rsidRPr="004B1D5A">
        <w:rPr>
          <w:sz w:val="24"/>
          <w:szCs w:val="24"/>
        </w:rPr>
        <w:t>cytotoksiske</w:t>
      </w:r>
      <w:proofErr w:type="spellEnd"/>
      <w:r w:rsidRPr="004B1D5A">
        <w:rPr>
          <w:sz w:val="24"/>
          <w:szCs w:val="24"/>
        </w:rPr>
        <w:t xml:space="preserve"> mekanisme in </w:t>
      </w:r>
      <w:proofErr w:type="spellStart"/>
      <w:r w:rsidRPr="004B1D5A">
        <w:rPr>
          <w:sz w:val="24"/>
          <w:szCs w:val="24"/>
        </w:rPr>
        <w:t>vitro</w:t>
      </w:r>
      <w:proofErr w:type="spellEnd"/>
      <w:r w:rsidRPr="004B1D5A">
        <w:rPr>
          <w:sz w:val="24"/>
          <w:szCs w:val="24"/>
        </w:rPr>
        <w:t xml:space="preserve"> tyder på, at </w:t>
      </w:r>
      <w:proofErr w:type="spellStart"/>
      <w:r w:rsidRPr="004B1D5A">
        <w:rPr>
          <w:sz w:val="24"/>
          <w:szCs w:val="24"/>
        </w:rPr>
        <w:t>cytarabins</w:t>
      </w:r>
      <w:proofErr w:type="spellEnd"/>
      <w:r w:rsidRPr="004B1D5A">
        <w:rPr>
          <w:sz w:val="24"/>
          <w:szCs w:val="24"/>
        </w:rPr>
        <w:t xml:space="preserve"> primære virkning er hæmning af </w:t>
      </w:r>
      <w:proofErr w:type="spellStart"/>
      <w:r w:rsidRPr="004B1D5A">
        <w:rPr>
          <w:sz w:val="24"/>
          <w:szCs w:val="24"/>
        </w:rPr>
        <w:t>deoxycytidinsyntesen</w:t>
      </w:r>
      <w:proofErr w:type="spellEnd"/>
      <w:r w:rsidRPr="004B1D5A">
        <w:rPr>
          <w:sz w:val="24"/>
          <w:szCs w:val="24"/>
        </w:rPr>
        <w:t xml:space="preserve"> via dets aktive </w:t>
      </w:r>
      <w:proofErr w:type="spellStart"/>
      <w:r w:rsidRPr="004B1D5A">
        <w:rPr>
          <w:sz w:val="24"/>
          <w:szCs w:val="24"/>
        </w:rPr>
        <w:t>triphosphat</w:t>
      </w:r>
      <w:proofErr w:type="spellEnd"/>
      <w:r w:rsidRPr="004B1D5A">
        <w:rPr>
          <w:sz w:val="24"/>
          <w:szCs w:val="24"/>
        </w:rPr>
        <w:t xml:space="preserve">-metabolit </w:t>
      </w:r>
      <w:proofErr w:type="spellStart"/>
      <w:r w:rsidRPr="004B1D5A">
        <w:rPr>
          <w:sz w:val="24"/>
          <w:szCs w:val="24"/>
        </w:rPr>
        <w:t>arabinofuranosyl-cytosintriphosphat</w:t>
      </w:r>
      <w:proofErr w:type="spellEnd"/>
      <w:r w:rsidRPr="004B1D5A">
        <w:rPr>
          <w:sz w:val="24"/>
          <w:szCs w:val="24"/>
        </w:rPr>
        <w:t xml:space="preserve"> ARA-CTP, selvom hæmning af </w:t>
      </w:r>
      <w:proofErr w:type="spellStart"/>
      <w:r w:rsidRPr="004B1D5A">
        <w:rPr>
          <w:sz w:val="24"/>
          <w:szCs w:val="24"/>
        </w:rPr>
        <w:t>cytidylkinasen</w:t>
      </w:r>
      <w:proofErr w:type="spellEnd"/>
      <w:r w:rsidRPr="004B1D5A">
        <w:rPr>
          <w:sz w:val="24"/>
          <w:szCs w:val="24"/>
        </w:rPr>
        <w:t xml:space="preserve"> og inkorporeringen af stoffet i </w:t>
      </w:r>
      <w:proofErr w:type="spellStart"/>
      <w:r w:rsidRPr="004B1D5A">
        <w:rPr>
          <w:sz w:val="24"/>
          <w:szCs w:val="24"/>
        </w:rPr>
        <w:t>nukleidsyrer</w:t>
      </w:r>
      <w:proofErr w:type="spellEnd"/>
      <w:r w:rsidRPr="004B1D5A">
        <w:rPr>
          <w:sz w:val="24"/>
          <w:szCs w:val="24"/>
        </w:rPr>
        <w:t xml:space="preserve"> også kan spille en rolle i dets </w:t>
      </w:r>
      <w:proofErr w:type="spellStart"/>
      <w:r w:rsidRPr="004B1D5A">
        <w:rPr>
          <w:sz w:val="24"/>
          <w:szCs w:val="24"/>
        </w:rPr>
        <w:t>cytostatiske</w:t>
      </w:r>
      <w:proofErr w:type="spellEnd"/>
      <w:r w:rsidRPr="004B1D5A">
        <w:rPr>
          <w:sz w:val="24"/>
          <w:szCs w:val="24"/>
        </w:rPr>
        <w:t xml:space="preserve"> og celledræbende virkninger.</w:t>
      </w:r>
    </w:p>
    <w:p w:rsidR="00947B7B" w:rsidRPr="004B1D5A" w:rsidRDefault="00947B7B" w:rsidP="00947B7B">
      <w:pPr>
        <w:ind w:left="851"/>
        <w:rPr>
          <w:sz w:val="24"/>
          <w:szCs w:val="24"/>
          <w:highlight w:val="yellow"/>
        </w:rPr>
      </w:pPr>
    </w:p>
    <w:p w:rsidR="00947B7B" w:rsidRPr="004B1D5A" w:rsidRDefault="00947B7B" w:rsidP="00947B7B">
      <w:pPr>
        <w:ind w:left="851"/>
        <w:rPr>
          <w:rFonts w:eastAsia="Calibri"/>
          <w:sz w:val="24"/>
          <w:szCs w:val="24"/>
        </w:rPr>
      </w:pPr>
      <w:proofErr w:type="spellStart"/>
      <w:r w:rsidRPr="004B1D5A">
        <w:rPr>
          <w:sz w:val="24"/>
          <w:szCs w:val="24"/>
        </w:rPr>
        <w:t>Cytarabin</w:t>
      </w:r>
      <w:proofErr w:type="spellEnd"/>
      <w:r w:rsidRPr="004B1D5A">
        <w:rPr>
          <w:sz w:val="24"/>
          <w:szCs w:val="24"/>
        </w:rPr>
        <w:t xml:space="preserve"> i </w:t>
      </w:r>
      <w:proofErr w:type="spellStart"/>
      <w:r w:rsidRPr="004B1D5A">
        <w:rPr>
          <w:sz w:val="24"/>
          <w:szCs w:val="24"/>
        </w:rPr>
        <w:t>højdosisregimener</w:t>
      </w:r>
      <w:proofErr w:type="spellEnd"/>
      <w:r w:rsidRPr="004B1D5A">
        <w:rPr>
          <w:sz w:val="24"/>
          <w:szCs w:val="24"/>
        </w:rPr>
        <w:t xml:space="preserve"> kan overvinde resistens hos leukæmiske celler, der ikke længere responderer på konventionelle doser. Adskillige mekanismer forekommer at være involveret i denne resistens:</w:t>
      </w:r>
    </w:p>
    <w:p w:rsidR="00947B7B" w:rsidRPr="004B1D5A" w:rsidRDefault="00947B7B" w:rsidP="00947B7B">
      <w:pPr>
        <w:ind w:left="851"/>
        <w:rPr>
          <w:rFonts w:eastAsia="Calibri"/>
          <w:sz w:val="24"/>
          <w:szCs w:val="24"/>
        </w:rPr>
      </w:pPr>
      <w:r w:rsidRPr="004B1D5A">
        <w:rPr>
          <w:sz w:val="24"/>
          <w:szCs w:val="24"/>
        </w:rPr>
        <w:t>Forøgelse af mængden af substrat</w:t>
      </w:r>
    </w:p>
    <w:p w:rsidR="00947B7B" w:rsidRPr="004B1D5A" w:rsidRDefault="00947B7B" w:rsidP="00947B7B">
      <w:pPr>
        <w:ind w:left="851"/>
        <w:rPr>
          <w:sz w:val="24"/>
          <w:szCs w:val="24"/>
        </w:rPr>
      </w:pPr>
      <w:r w:rsidRPr="004B1D5A">
        <w:rPr>
          <w:sz w:val="24"/>
          <w:szCs w:val="24"/>
        </w:rPr>
        <w:t>Forøget intracellulær pool af ARA-CTP, da der er en positiv korrelation mellem intracellulær retention af ARA-CTP og procentdelen af celler i S-fasen.</w:t>
      </w:r>
    </w:p>
    <w:p w:rsidR="00947B7B" w:rsidRDefault="00947B7B" w:rsidP="00947B7B">
      <w:pPr>
        <w:tabs>
          <w:tab w:val="left" w:pos="851"/>
        </w:tabs>
        <w:ind w:left="851" w:hanging="851"/>
        <w:rPr>
          <w:sz w:val="24"/>
          <w:szCs w:val="24"/>
        </w:rPr>
      </w:pPr>
    </w:p>
    <w:p w:rsidR="00C2382D" w:rsidRPr="009F56AD" w:rsidRDefault="00C2382D"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5.2</w:t>
      </w:r>
      <w:r w:rsidRPr="009F56AD">
        <w:rPr>
          <w:b/>
          <w:sz w:val="24"/>
          <w:szCs w:val="24"/>
        </w:rPr>
        <w:tab/>
      </w:r>
      <w:proofErr w:type="spellStart"/>
      <w:r w:rsidRPr="009F56AD">
        <w:rPr>
          <w:b/>
          <w:sz w:val="24"/>
          <w:szCs w:val="24"/>
        </w:rPr>
        <w:t>Farmakokinetiske</w:t>
      </w:r>
      <w:proofErr w:type="spellEnd"/>
      <w:r w:rsidRPr="009F56AD">
        <w:rPr>
          <w:b/>
          <w:sz w:val="24"/>
          <w:szCs w:val="24"/>
        </w:rPr>
        <w:t xml:space="preserve"> egenskaber</w:t>
      </w:r>
    </w:p>
    <w:p w:rsidR="00947B7B" w:rsidRDefault="00947B7B" w:rsidP="00947B7B">
      <w:pPr>
        <w:ind w:left="851"/>
        <w:rPr>
          <w:sz w:val="24"/>
          <w:szCs w:val="24"/>
        </w:rPr>
      </w:pPr>
    </w:p>
    <w:p w:rsidR="00947B7B" w:rsidRPr="00122D03" w:rsidRDefault="00947B7B" w:rsidP="00947B7B">
      <w:pPr>
        <w:ind w:left="851"/>
        <w:rPr>
          <w:i/>
          <w:sz w:val="24"/>
          <w:szCs w:val="24"/>
          <w:lang w:eastAsia="en-GB"/>
        </w:rPr>
      </w:pPr>
      <w:r w:rsidRPr="00122D03">
        <w:rPr>
          <w:i/>
          <w:sz w:val="24"/>
          <w:szCs w:val="24"/>
        </w:rPr>
        <w:t>Intravenøs administration</w:t>
      </w:r>
    </w:p>
    <w:p w:rsidR="00947B7B" w:rsidRPr="004B1D5A" w:rsidRDefault="00947B7B" w:rsidP="00947B7B">
      <w:pPr>
        <w:ind w:left="851"/>
        <w:rPr>
          <w:rFonts w:eastAsia="Calibri"/>
          <w:sz w:val="24"/>
          <w:szCs w:val="24"/>
        </w:rPr>
      </w:pPr>
      <w:r w:rsidRPr="004B1D5A">
        <w:rPr>
          <w:sz w:val="24"/>
          <w:szCs w:val="24"/>
          <w:u w:val="single"/>
        </w:rPr>
        <w:t>Biotransformation</w:t>
      </w:r>
    </w:p>
    <w:p w:rsidR="00947B7B" w:rsidRPr="004B1D5A" w:rsidRDefault="00947B7B" w:rsidP="00947B7B">
      <w:pPr>
        <w:ind w:left="851"/>
        <w:rPr>
          <w:rFonts w:eastAsia="Calibri"/>
          <w:sz w:val="24"/>
          <w:szCs w:val="24"/>
        </w:rPr>
      </w:pPr>
      <w:proofErr w:type="spellStart"/>
      <w:r w:rsidRPr="004B1D5A">
        <w:rPr>
          <w:sz w:val="24"/>
          <w:szCs w:val="24"/>
        </w:rPr>
        <w:t>Cytarabin</w:t>
      </w:r>
      <w:proofErr w:type="spellEnd"/>
      <w:r w:rsidRPr="004B1D5A">
        <w:rPr>
          <w:sz w:val="24"/>
          <w:szCs w:val="24"/>
        </w:rPr>
        <w:t xml:space="preserve"> </w:t>
      </w:r>
      <w:proofErr w:type="spellStart"/>
      <w:r w:rsidRPr="004B1D5A">
        <w:rPr>
          <w:sz w:val="24"/>
          <w:szCs w:val="24"/>
        </w:rPr>
        <w:t>deamineres</w:t>
      </w:r>
      <w:proofErr w:type="spellEnd"/>
      <w:r w:rsidRPr="004B1D5A">
        <w:rPr>
          <w:sz w:val="24"/>
          <w:szCs w:val="24"/>
        </w:rPr>
        <w:t xml:space="preserve"> til </w:t>
      </w:r>
      <w:proofErr w:type="spellStart"/>
      <w:r w:rsidRPr="004B1D5A">
        <w:rPr>
          <w:sz w:val="24"/>
          <w:szCs w:val="24"/>
        </w:rPr>
        <w:t>arabinofuranosyluracil</w:t>
      </w:r>
      <w:proofErr w:type="spellEnd"/>
      <w:r w:rsidRPr="004B1D5A">
        <w:rPr>
          <w:sz w:val="24"/>
          <w:szCs w:val="24"/>
        </w:rPr>
        <w:t xml:space="preserve"> i leveren og nyrerne. </w:t>
      </w:r>
      <w:proofErr w:type="spellStart"/>
      <w:r w:rsidRPr="004B1D5A">
        <w:rPr>
          <w:sz w:val="24"/>
          <w:szCs w:val="24"/>
        </w:rPr>
        <w:t>Cytarabin</w:t>
      </w:r>
      <w:proofErr w:type="spellEnd"/>
      <w:r w:rsidRPr="004B1D5A">
        <w:rPr>
          <w:sz w:val="24"/>
          <w:szCs w:val="24"/>
        </w:rPr>
        <w:t xml:space="preserve"> </w:t>
      </w:r>
      <w:proofErr w:type="spellStart"/>
      <w:r w:rsidRPr="004B1D5A">
        <w:rPr>
          <w:sz w:val="24"/>
          <w:szCs w:val="24"/>
        </w:rPr>
        <w:t>metaboliseres</w:t>
      </w:r>
      <w:proofErr w:type="spellEnd"/>
      <w:r w:rsidRPr="004B1D5A">
        <w:rPr>
          <w:sz w:val="24"/>
          <w:szCs w:val="24"/>
        </w:rPr>
        <w:t xml:space="preserve"> tilsyneladende hurtigt, primært via leveren og måske via nyrerne.</w:t>
      </w:r>
    </w:p>
    <w:p w:rsidR="00947B7B" w:rsidRPr="004B1D5A" w:rsidRDefault="00947B7B" w:rsidP="00947B7B">
      <w:pPr>
        <w:ind w:left="851"/>
        <w:rPr>
          <w:rFonts w:eastAsia="Calibri"/>
          <w:sz w:val="24"/>
          <w:szCs w:val="24"/>
        </w:rPr>
      </w:pPr>
    </w:p>
    <w:p w:rsidR="00947B7B" w:rsidRPr="004B1D5A" w:rsidRDefault="00947B7B" w:rsidP="00947B7B">
      <w:pPr>
        <w:ind w:left="851"/>
        <w:rPr>
          <w:rFonts w:eastAsia="Calibri"/>
          <w:sz w:val="24"/>
          <w:szCs w:val="24"/>
          <w:u w:val="single"/>
          <w:lang w:eastAsia="en-GB"/>
        </w:rPr>
      </w:pPr>
      <w:r w:rsidRPr="004B1D5A">
        <w:rPr>
          <w:sz w:val="24"/>
          <w:szCs w:val="24"/>
          <w:u w:val="single"/>
        </w:rPr>
        <w:t>Elimination</w:t>
      </w:r>
    </w:p>
    <w:p w:rsidR="00947B7B" w:rsidRPr="004B1D5A" w:rsidRDefault="00947B7B" w:rsidP="00947B7B">
      <w:pPr>
        <w:ind w:left="851"/>
        <w:rPr>
          <w:rFonts w:eastAsia="Calibri"/>
          <w:sz w:val="24"/>
          <w:szCs w:val="24"/>
        </w:rPr>
      </w:pPr>
      <w:r w:rsidRPr="004B1D5A">
        <w:rPr>
          <w:sz w:val="24"/>
          <w:szCs w:val="24"/>
        </w:rPr>
        <w:t xml:space="preserve">Efter intravenøs administration hos mennesker bliver kun omkring 5,8 % af den administrerede dosis udskilt </w:t>
      </w:r>
      <w:proofErr w:type="spellStart"/>
      <w:r w:rsidRPr="004B1D5A">
        <w:rPr>
          <w:sz w:val="24"/>
          <w:szCs w:val="24"/>
        </w:rPr>
        <w:t>uomdannet</w:t>
      </w:r>
      <w:proofErr w:type="spellEnd"/>
      <w:r w:rsidRPr="004B1D5A">
        <w:rPr>
          <w:sz w:val="24"/>
          <w:szCs w:val="24"/>
        </w:rPr>
        <w:t xml:space="preserve"> i urinen i løbet af 12-24 timer, 90 % af dosis udskilles som det inaktive </w:t>
      </w:r>
      <w:proofErr w:type="spellStart"/>
      <w:r w:rsidRPr="004B1D5A">
        <w:rPr>
          <w:sz w:val="24"/>
          <w:szCs w:val="24"/>
        </w:rPr>
        <w:t>deaminerede</w:t>
      </w:r>
      <w:proofErr w:type="spellEnd"/>
      <w:r w:rsidRPr="004B1D5A">
        <w:rPr>
          <w:sz w:val="24"/>
          <w:szCs w:val="24"/>
        </w:rPr>
        <w:t xml:space="preserve"> produkt </w:t>
      </w:r>
      <w:proofErr w:type="spellStart"/>
      <w:r w:rsidRPr="004B1D5A">
        <w:rPr>
          <w:sz w:val="24"/>
          <w:szCs w:val="24"/>
        </w:rPr>
        <w:t>arabinofuranosyluracil</w:t>
      </w:r>
      <w:proofErr w:type="spellEnd"/>
      <w:r w:rsidRPr="004B1D5A">
        <w:rPr>
          <w:sz w:val="24"/>
          <w:szCs w:val="24"/>
        </w:rPr>
        <w:t xml:space="preserve"> (ARA-U). Efter høje intravenøse enkeltdoser falder blodniveauerne til </w:t>
      </w:r>
      <w:proofErr w:type="spellStart"/>
      <w:r w:rsidRPr="004B1D5A">
        <w:rPr>
          <w:sz w:val="24"/>
          <w:szCs w:val="24"/>
        </w:rPr>
        <w:t>umålbare</w:t>
      </w:r>
      <w:proofErr w:type="spellEnd"/>
      <w:r w:rsidRPr="004B1D5A">
        <w:rPr>
          <w:sz w:val="24"/>
          <w:szCs w:val="24"/>
        </w:rPr>
        <w:t xml:space="preserve"> niveauer inden for 15 minutter hos de fleste patienter. Hos nogen patienter kan der allerede 5 minutter efter injektionen ikke påvises cirkulerende lægemiddel. Lægemiddelstoffets halveringstid er 10 minutter.</w:t>
      </w:r>
    </w:p>
    <w:p w:rsidR="00947B7B" w:rsidRPr="004B1D5A" w:rsidRDefault="00947B7B" w:rsidP="00947B7B">
      <w:pPr>
        <w:ind w:left="851"/>
        <w:rPr>
          <w:rFonts w:eastAsia="Calibri"/>
          <w:sz w:val="24"/>
          <w:szCs w:val="24"/>
        </w:rPr>
      </w:pPr>
    </w:p>
    <w:p w:rsidR="00947B7B" w:rsidRPr="004B1D5A" w:rsidRDefault="00947B7B" w:rsidP="00947B7B">
      <w:pPr>
        <w:ind w:left="851"/>
        <w:rPr>
          <w:rFonts w:eastAsia="Calibri"/>
          <w:sz w:val="24"/>
          <w:szCs w:val="24"/>
          <w:lang w:eastAsia="en-GB"/>
        </w:rPr>
      </w:pPr>
      <w:proofErr w:type="spellStart"/>
      <w:r w:rsidRPr="004B1D5A">
        <w:rPr>
          <w:sz w:val="24"/>
          <w:szCs w:val="24"/>
        </w:rPr>
        <w:t>Cytarabin</w:t>
      </w:r>
      <w:proofErr w:type="spellEnd"/>
      <w:r w:rsidRPr="004B1D5A">
        <w:rPr>
          <w:sz w:val="24"/>
          <w:szCs w:val="24"/>
        </w:rPr>
        <w:t xml:space="preserve"> i højdosis når et maksimalt plasmaniveau, der er 200 gange højere end det, som er observeret med et konventionelt </w:t>
      </w:r>
      <w:proofErr w:type="spellStart"/>
      <w:r w:rsidRPr="004B1D5A">
        <w:rPr>
          <w:sz w:val="24"/>
          <w:szCs w:val="24"/>
        </w:rPr>
        <w:t>dosisregimen</w:t>
      </w:r>
      <w:proofErr w:type="spellEnd"/>
      <w:r w:rsidRPr="004B1D5A">
        <w:rPr>
          <w:sz w:val="24"/>
          <w:szCs w:val="24"/>
        </w:rPr>
        <w:t xml:space="preserve">. Det maksimale plasmaniveau af den inaktive metabolit ARA-U ved </w:t>
      </w:r>
      <w:proofErr w:type="spellStart"/>
      <w:r w:rsidRPr="004B1D5A">
        <w:rPr>
          <w:sz w:val="24"/>
          <w:szCs w:val="24"/>
        </w:rPr>
        <w:t>højdosisregimen</w:t>
      </w:r>
      <w:proofErr w:type="spellEnd"/>
      <w:r w:rsidRPr="004B1D5A">
        <w:rPr>
          <w:sz w:val="24"/>
          <w:szCs w:val="24"/>
        </w:rPr>
        <w:t xml:space="preserve"> er observeret efter kun 15 minutter. Den </w:t>
      </w:r>
      <w:proofErr w:type="spellStart"/>
      <w:r w:rsidRPr="004B1D5A">
        <w:rPr>
          <w:sz w:val="24"/>
          <w:szCs w:val="24"/>
        </w:rPr>
        <w:t>renale</w:t>
      </w:r>
      <w:proofErr w:type="spellEnd"/>
      <w:r w:rsidRPr="004B1D5A">
        <w:rPr>
          <w:sz w:val="24"/>
          <w:szCs w:val="24"/>
        </w:rPr>
        <w:t xml:space="preserve"> </w:t>
      </w:r>
      <w:proofErr w:type="spellStart"/>
      <w:r w:rsidRPr="004B1D5A">
        <w:rPr>
          <w:sz w:val="24"/>
          <w:szCs w:val="24"/>
        </w:rPr>
        <w:t>clearance</w:t>
      </w:r>
      <w:proofErr w:type="spellEnd"/>
      <w:r w:rsidRPr="004B1D5A">
        <w:rPr>
          <w:sz w:val="24"/>
          <w:szCs w:val="24"/>
        </w:rPr>
        <w:t xml:space="preserve"> er langsommere ved </w:t>
      </w:r>
      <w:proofErr w:type="spellStart"/>
      <w:r w:rsidRPr="004B1D5A">
        <w:rPr>
          <w:sz w:val="24"/>
          <w:szCs w:val="24"/>
        </w:rPr>
        <w:t>cytarabin</w:t>
      </w:r>
      <w:proofErr w:type="spellEnd"/>
      <w:r w:rsidRPr="004B1D5A">
        <w:rPr>
          <w:sz w:val="24"/>
          <w:szCs w:val="24"/>
        </w:rPr>
        <w:t xml:space="preserve"> i højdosis end med konventionelle doser af </w:t>
      </w:r>
      <w:proofErr w:type="spellStart"/>
      <w:r w:rsidRPr="004B1D5A">
        <w:rPr>
          <w:sz w:val="24"/>
          <w:szCs w:val="24"/>
        </w:rPr>
        <w:t>cytarabin</w:t>
      </w:r>
      <w:proofErr w:type="spellEnd"/>
      <w:r w:rsidRPr="004B1D5A">
        <w:rPr>
          <w:sz w:val="24"/>
          <w:szCs w:val="24"/>
        </w:rPr>
        <w:t>. Efter højdosis på 1-3 g/m</w:t>
      </w:r>
      <w:r w:rsidRPr="004B1D5A">
        <w:rPr>
          <w:sz w:val="24"/>
          <w:szCs w:val="24"/>
          <w:vertAlign w:val="superscript"/>
        </w:rPr>
        <w:t>2</w:t>
      </w:r>
      <w:r w:rsidRPr="004B1D5A">
        <w:rPr>
          <w:sz w:val="24"/>
          <w:szCs w:val="24"/>
        </w:rPr>
        <w:t xml:space="preserve"> </w:t>
      </w:r>
      <w:proofErr w:type="spellStart"/>
      <w:r w:rsidRPr="004B1D5A">
        <w:rPr>
          <w:sz w:val="24"/>
          <w:szCs w:val="24"/>
        </w:rPr>
        <w:t>cytarabin</w:t>
      </w:r>
      <w:proofErr w:type="spellEnd"/>
      <w:r w:rsidRPr="004B1D5A">
        <w:rPr>
          <w:sz w:val="24"/>
          <w:szCs w:val="24"/>
        </w:rPr>
        <w:t xml:space="preserve"> som intravenøs infusion er der opnået niveauer i cerebrospinalvæsken på omkring 100-300 nanogram/ml.</w:t>
      </w:r>
    </w:p>
    <w:p w:rsidR="00947B7B" w:rsidRPr="004B1D5A" w:rsidRDefault="00947B7B" w:rsidP="00947B7B">
      <w:pPr>
        <w:ind w:left="851"/>
        <w:rPr>
          <w:rFonts w:eastAsia="Calibri"/>
          <w:sz w:val="24"/>
          <w:szCs w:val="24"/>
        </w:rPr>
      </w:pPr>
    </w:p>
    <w:p w:rsidR="00947B7B" w:rsidRPr="00122D03" w:rsidRDefault="00947B7B" w:rsidP="00947B7B">
      <w:pPr>
        <w:ind w:left="851"/>
        <w:rPr>
          <w:i/>
          <w:sz w:val="24"/>
          <w:szCs w:val="24"/>
          <w:lang w:eastAsia="en-GB"/>
        </w:rPr>
      </w:pPr>
      <w:r w:rsidRPr="00122D03">
        <w:rPr>
          <w:i/>
          <w:sz w:val="24"/>
          <w:szCs w:val="24"/>
        </w:rPr>
        <w:t>Subkutan administration</w:t>
      </w:r>
    </w:p>
    <w:p w:rsidR="00947B7B" w:rsidRPr="004B1D5A" w:rsidRDefault="00947B7B" w:rsidP="00947B7B">
      <w:pPr>
        <w:ind w:left="851"/>
        <w:rPr>
          <w:rFonts w:eastAsia="Calibri"/>
          <w:sz w:val="24"/>
          <w:szCs w:val="24"/>
        </w:rPr>
      </w:pPr>
      <w:r w:rsidRPr="004B1D5A">
        <w:rPr>
          <w:sz w:val="24"/>
          <w:szCs w:val="24"/>
          <w:u w:val="single"/>
        </w:rPr>
        <w:t>Absorption</w:t>
      </w:r>
    </w:p>
    <w:p w:rsidR="00947B7B" w:rsidRPr="004B1D5A" w:rsidRDefault="00947B7B" w:rsidP="00947B7B">
      <w:pPr>
        <w:ind w:left="851"/>
        <w:rPr>
          <w:rFonts w:eastAsia="Calibri"/>
          <w:sz w:val="24"/>
          <w:szCs w:val="24"/>
        </w:rPr>
      </w:pPr>
      <w:r w:rsidRPr="004B1D5A">
        <w:rPr>
          <w:sz w:val="24"/>
          <w:szCs w:val="24"/>
        </w:rPr>
        <w:t>Det maksimale plasmaniveau opnås omkring 20-60 minutter efter subkutan applikation. Ved sammenlignelige doser er disse signifikant lavere end de plasmaniveauer, der opnås efter intravenøs administration.</w:t>
      </w:r>
    </w:p>
    <w:p w:rsidR="00947B7B" w:rsidRPr="004B1D5A" w:rsidRDefault="00947B7B" w:rsidP="00947B7B">
      <w:pPr>
        <w:ind w:left="851"/>
        <w:rPr>
          <w:rFonts w:eastAsia="Calibri"/>
          <w:sz w:val="24"/>
          <w:szCs w:val="24"/>
        </w:rPr>
      </w:pPr>
    </w:p>
    <w:p w:rsidR="00947B7B" w:rsidRPr="00122D03" w:rsidRDefault="00947B7B" w:rsidP="00947B7B">
      <w:pPr>
        <w:ind w:left="851"/>
        <w:rPr>
          <w:i/>
          <w:sz w:val="24"/>
          <w:szCs w:val="24"/>
          <w:lang w:eastAsia="en-GB"/>
        </w:rPr>
      </w:pPr>
      <w:proofErr w:type="spellStart"/>
      <w:r w:rsidRPr="00122D03">
        <w:rPr>
          <w:i/>
          <w:sz w:val="24"/>
          <w:szCs w:val="24"/>
        </w:rPr>
        <w:t>Intratekal</w:t>
      </w:r>
      <w:proofErr w:type="spellEnd"/>
      <w:r w:rsidRPr="00122D03">
        <w:rPr>
          <w:i/>
          <w:sz w:val="24"/>
          <w:szCs w:val="24"/>
        </w:rPr>
        <w:t xml:space="preserve"> administration</w:t>
      </w:r>
    </w:p>
    <w:p w:rsidR="00947B7B" w:rsidRPr="004B1D5A" w:rsidRDefault="00947B7B" w:rsidP="00947B7B">
      <w:pPr>
        <w:ind w:left="851"/>
        <w:rPr>
          <w:rFonts w:eastAsia="Calibri"/>
          <w:sz w:val="24"/>
          <w:szCs w:val="24"/>
        </w:rPr>
      </w:pPr>
      <w:r w:rsidRPr="004B1D5A">
        <w:rPr>
          <w:sz w:val="24"/>
          <w:szCs w:val="24"/>
          <w:u w:val="single"/>
        </w:rPr>
        <w:t>Absorption</w:t>
      </w:r>
    </w:p>
    <w:p w:rsidR="00947B7B" w:rsidRPr="004B1D5A" w:rsidRDefault="00947B7B" w:rsidP="00947B7B">
      <w:pPr>
        <w:ind w:left="851"/>
        <w:rPr>
          <w:sz w:val="24"/>
          <w:szCs w:val="24"/>
        </w:rPr>
      </w:pPr>
      <w:proofErr w:type="spellStart"/>
      <w:r w:rsidRPr="004B1D5A">
        <w:rPr>
          <w:sz w:val="24"/>
          <w:szCs w:val="24"/>
        </w:rPr>
        <w:t>Cytarabin</w:t>
      </w:r>
      <w:proofErr w:type="spellEnd"/>
      <w:r w:rsidRPr="004B1D5A">
        <w:rPr>
          <w:sz w:val="24"/>
          <w:szCs w:val="24"/>
        </w:rPr>
        <w:t xml:space="preserve"> bør indgives </w:t>
      </w:r>
      <w:proofErr w:type="spellStart"/>
      <w:r w:rsidRPr="004B1D5A">
        <w:rPr>
          <w:sz w:val="24"/>
          <w:szCs w:val="24"/>
        </w:rPr>
        <w:t>intratekalt</w:t>
      </w:r>
      <w:proofErr w:type="spellEnd"/>
      <w:r w:rsidRPr="004B1D5A">
        <w:rPr>
          <w:sz w:val="24"/>
          <w:szCs w:val="24"/>
        </w:rPr>
        <w:t xml:space="preserve"> som profylakse og når CNS-leukæmi behandles, da </w:t>
      </w:r>
      <w:proofErr w:type="spellStart"/>
      <w:r w:rsidRPr="004B1D5A">
        <w:rPr>
          <w:sz w:val="24"/>
          <w:szCs w:val="24"/>
        </w:rPr>
        <w:t>cytarabin</w:t>
      </w:r>
      <w:proofErr w:type="spellEnd"/>
      <w:r w:rsidRPr="004B1D5A">
        <w:rPr>
          <w:sz w:val="24"/>
          <w:szCs w:val="24"/>
        </w:rPr>
        <w:t xml:space="preserve"> administreret den intravenøse vej kun krydser blod-hjernebarrieren i begrænset omfang. </w:t>
      </w:r>
      <w:proofErr w:type="spellStart"/>
      <w:r w:rsidRPr="004B1D5A">
        <w:rPr>
          <w:sz w:val="24"/>
          <w:szCs w:val="24"/>
        </w:rPr>
        <w:t>Intratekal</w:t>
      </w:r>
      <w:proofErr w:type="spellEnd"/>
      <w:r w:rsidRPr="004B1D5A">
        <w:rPr>
          <w:sz w:val="24"/>
          <w:szCs w:val="24"/>
        </w:rPr>
        <w:t xml:space="preserve"> administration af </w:t>
      </w:r>
      <w:proofErr w:type="spellStart"/>
      <w:r w:rsidRPr="004B1D5A">
        <w:rPr>
          <w:sz w:val="24"/>
          <w:szCs w:val="24"/>
        </w:rPr>
        <w:t>cytarabin</w:t>
      </w:r>
      <w:proofErr w:type="spellEnd"/>
      <w:r w:rsidRPr="004B1D5A">
        <w:rPr>
          <w:sz w:val="24"/>
          <w:szCs w:val="24"/>
        </w:rPr>
        <w:t xml:space="preserve"> resulterer i meget lave plasmakoncen</w:t>
      </w:r>
      <w:r>
        <w:rPr>
          <w:sz w:val="24"/>
          <w:szCs w:val="24"/>
        </w:rPr>
        <w:softHyphen/>
      </w:r>
      <w:r w:rsidRPr="004B1D5A">
        <w:rPr>
          <w:sz w:val="24"/>
          <w:szCs w:val="24"/>
        </w:rPr>
        <w:t>trationer.</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5.3</w:t>
      </w:r>
      <w:r w:rsidRPr="009F56AD">
        <w:rPr>
          <w:b/>
          <w:sz w:val="24"/>
          <w:szCs w:val="24"/>
        </w:rPr>
        <w:tab/>
      </w:r>
      <w:r w:rsidR="006F2B3A">
        <w:rPr>
          <w:b/>
          <w:sz w:val="24"/>
          <w:szCs w:val="24"/>
        </w:rPr>
        <w:t>Non-</w:t>
      </w:r>
      <w:r w:rsidRPr="009F56AD">
        <w:rPr>
          <w:b/>
          <w:sz w:val="24"/>
          <w:szCs w:val="24"/>
        </w:rPr>
        <w:t>kliniske sikkerhedsdata</w:t>
      </w:r>
    </w:p>
    <w:p w:rsidR="00947B7B" w:rsidRPr="004B1D5A" w:rsidRDefault="00947B7B" w:rsidP="00947B7B">
      <w:pPr>
        <w:ind w:left="851"/>
        <w:rPr>
          <w:sz w:val="24"/>
          <w:szCs w:val="24"/>
        </w:rPr>
      </w:pPr>
      <w:proofErr w:type="spellStart"/>
      <w:r w:rsidRPr="004B1D5A">
        <w:rPr>
          <w:sz w:val="24"/>
          <w:szCs w:val="24"/>
        </w:rPr>
        <w:t>Cytarabin</w:t>
      </w:r>
      <w:proofErr w:type="spellEnd"/>
      <w:r w:rsidRPr="004B1D5A">
        <w:rPr>
          <w:sz w:val="24"/>
          <w:szCs w:val="24"/>
        </w:rPr>
        <w:t xml:space="preserve"> er embryotoksisk og </w:t>
      </w:r>
      <w:proofErr w:type="spellStart"/>
      <w:r w:rsidRPr="004B1D5A">
        <w:rPr>
          <w:sz w:val="24"/>
          <w:szCs w:val="24"/>
        </w:rPr>
        <w:t>teratogent</w:t>
      </w:r>
      <w:proofErr w:type="spellEnd"/>
      <w:r w:rsidRPr="004B1D5A">
        <w:rPr>
          <w:sz w:val="24"/>
          <w:szCs w:val="24"/>
        </w:rPr>
        <w:t xml:space="preserve">, når det gives til gnavere under </w:t>
      </w:r>
      <w:proofErr w:type="spellStart"/>
      <w:r w:rsidRPr="004B1D5A">
        <w:rPr>
          <w:sz w:val="24"/>
          <w:szCs w:val="24"/>
        </w:rPr>
        <w:t>organogenese</w:t>
      </w:r>
      <w:proofErr w:type="spellEnd"/>
      <w:r w:rsidRPr="004B1D5A">
        <w:rPr>
          <w:sz w:val="24"/>
          <w:szCs w:val="24"/>
        </w:rPr>
        <w:t xml:space="preserve"> ved klinisk relevante doser. Der er indberetninger om, at </w:t>
      </w:r>
      <w:proofErr w:type="spellStart"/>
      <w:r w:rsidRPr="004B1D5A">
        <w:rPr>
          <w:sz w:val="24"/>
          <w:szCs w:val="24"/>
        </w:rPr>
        <w:t>cytarabin</w:t>
      </w:r>
      <w:proofErr w:type="spellEnd"/>
      <w:r w:rsidRPr="004B1D5A">
        <w:rPr>
          <w:sz w:val="24"/>
          <w:szCs w:val="24"/>
        </w:rPr>
        <w:t xml:space="preserve"> forårsager udviklingstoksicitet, herunder skade på den udviklende hjerne, når det indgives i den peri- og </w:t>
      </w:r>
      <w:proofErr w:type="spellStart"/>
      <w:r w:rsidRPr="004B1D5A">
        <w:rPr>
          <w:sz w:val="24"/>
          <w:szCs w:val="24"/>
        </w:rPr>
        <w:t>postnatale</w:t>
      </w:r>
      <w:proofErr w:type="spellEnd"/>
      <w:r w:rsidRPr="004B1D5A">
        <w:rPr>
          <w:sz w:val="24"/>
          <w:szCs w:val="24"/>
        </w:rPr>
        <w:t xml:space="preserve"> periode. Der er ingen data fra fertilitetsstudier, men </w:t>
      </w:r>
      <w:proofErr w:type="spellStart"/>
      <w:r w:rsidRPr="004B1D5A">
        <w:rPr>
          <w:sz w:val="24"/>
          <w:szCs w:val="24"/>
        </w:rPr>
        <w:t>abnormaliteter</w:t>
      </w:r>
      <w:proofErr w:type="spellEnd"/>
      <w:r w:rsidRPr="004B1D5A">
        <w:rPr>
          <w:sz w:val="24"/>
          <w:szCs w:val="24"/>
        </w:rPr>
        <w:t xml:space="preserve"> i</w:t>
      </w:r>
      <w:r>
        <w:rPr>
          <w:sz w:val="24"/>
          <w:szCs w:val="24"/>
        </w:rPr>
        <w:t xml:space="preserve"> </w:t>
      </w:r>
      <w:r w:rsidRPr="004B1D5A">
        <w:rPr>
          <w:sz w:val="24"/>
          <w:szCs w:val="24"/>
        </w:rPr>
        <w:t xml:space="preserve">sædcellehoveder er set i mus efter behandling med </w:t>
      </w:r>
      <w:proofErr w:type="spellStart"/>
      <w:r w:rsidRPr="004B1D5A">
        <w:rPr>
          <w:sz w:val="24"/>
          <w:szCs w:val="24"/>
        </w:rPr>
        <w:t>cytarabin</w:t>
      </w:r>
      <w:proofErr w:type="spellEnd"/>
      <w:r w:rsidRPr="004B1D5A">
        <w:rPr>
          <w:sz w:val="24"/>
          <w:szCs w:val="24"/>
        </w:rPr>
        <w:t>.</w:t>
      </w:r>
    </w:p>
    <w:p w:rsidR="00947B7B" w:rsidRPr="004B1D5A" w:rsidRDefault="00947B7B" w:rsidP="00947B7B">
      <w:pPr>
        <w:ind w:left="851"/>
        <w:rPr>
          <w:sz w:val="24"/>
          <w:szCs w:val="24"/>
        </w:rPr>
      </w:pPr>
    </w:p>
    <w:p w:rsidR="00947B7B" w:rsidRDefault="00947B7B" w:rsidP="006F2B3A">
      <w:pPr>
        <w:ind w:left="851"/>
        <w:rPr>
          <w:sz w:val="24"/>
          <w:szCs w:val="24"/>
        </w:rPr>
      </w:pPr>
      <w:proofErr w:type="spellStart"/>
      <w:r w:rsidRPr="004B1D5A">
        <w:rPr>
          <w:sz w:val="24"/>
          <w:szCs w:val="24"/>
        </w:rPr>
        <w:t>Cytarabin</w:t>
      </w:r>
      <w:proofErr w:type="spellEnd"/>
      <w:r w:rsidRPr="004B1D5A">
        <w:rPr>
          <w:sz w:val="24"/>
          <w:szCs w:val="24"/>
        </w:rPr>
        <w:t xml:space="preserve"> er mutagent og </w:t>
      </w:r>
      <w:proofErr w:type="spellStart"/>
      <w:r w:rsidRPr="004B1D5A">
        <w:rPr>
          <w:sz w:val="24"/>
          <w:szCs w:val="24"/>
        </w:rPr>
        <w:t>klastogent</w:t>
      </w:r>
      <w:proofErr w:type="spellEnd"/>
      <w:r w:rsidRPr="004B1D5A">
        <w:rPr>
          <w:sz w:val="24"/>
          <w:szCs w:val="24"/>
        </w:rPr>
        <w:t xml:space="preserve"> og producerer malign transformation af gnaverceller in </w:t>
      </w:r>
      <w:proofErr w:type="spellStart"/>
      <w:r w:rsidRPr="004B1D5A">
        <w:rPr>
          <w:sz w:val="24"/>
          <w:szCs w:val="24"/>
        </w:rPr>
        <w:t>vitro</w:t>
      </w:r>
      <w:proofErr w:type="spellEnd"/>
      <w:r w:rsidRPr="004B1D5A">
        <w:rPr>
          <w:sz w:val="24"/>
          <w:szCs w:val="24"/>
        </w:rPr>
        <w:t>.</w:t>
      </w:r>
    </w:p>
    <w:p w:rsidR="006F2B3A" w:rsidRDefault="006F2B3A" w:rsidP="006F2B3A">
      <w:pPr>
        <w:ind w:left="851"/>
        <w:rPr>
          <w:sz w:val="24"/>
          <w:szCs w:val="24"/>
        </w:rPr>
      </w:pP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6.</w:t>
      </w:r>
      <w:r w:rsidRPr="009F56AD">
        <w:rPr>
          <w:b/>
          <w:sz w:val="24"/>
          <w:szCs w:val="24"/>
        </w:rPr>
        <w:tab/>
        <w:t>FARMACEUTISKE OPLYSNINGER</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6.1</w:t>
      </w:r>
      <w:r w:rsidRPr="009F56AD">
        <w:rPr>
          <w:b/>
          <w:sz w:val="24"/>
          <w:szCs w:val="24"/>
        </w:rPr>
        <w:tab/>
        <w:t>Hjælpestoffer</w:t>
      </w:r>
    </w:p>
    <w:p w:rsidR="00947B7B" w:rsidRPr="004B1D5A" w:rsidRDefault="00947B7B" w:rsidP="00947B7B">
      <w:pPr>
        <w:ind w:left="851"/>
        <w:rPr>
          <w:sz w:val="24"/>
          <w:szCs w:val="24"/>
          <w:lang w:eastAsia="en-GB"/>
        </w:rPr>
      </w:pPr>
      <w:proofErr w:type="spellStart"/>
      <w:r w:rsidRPr="004B1D5A">
        <w:rPr>
          <w:sz w:val="24"/>
          <w:szCs w:val="24"/>
        </w:rPr>
        <w:lastRenderedPageBreak/>
        <w:t>Natriumchlorid</w:t>
      </w:r>
      <w:proofErr w:type="spellEnd"/>
    </w:p>
    <w:p w:rsidR="00947B7B" w:rsidRPr="004B1D5A" w:rsidRDefault="00947B7B" w:rsidP="00947B7B">
      <w:pPr>
        <w:ind w:left="851"/>
        <w:rPr>
          <w:sz w:val="24"/>
          <w:szCs w:val="24"/>
        </w:rPr>
      </w:pPr>
      <w:r w:rsidRPr="004B1D5A">
        <w:rPr>
          <w:sz w:val="24"/>
          <w:szCs w:val="24"/>
        </w:rPr>
        <w:t>Natriumhydroxid (til pH-justering)</w:t>
      </w:r>
    </w:p>
    <w:p w:rsidR="00947B7B" w:rsidRPr="004B1D5A" w:rsidRDefault="00947B7B" w:rsidP="00947B7B">
      <w:pPr>
        <w:ind w:left="851"/>
        <w:rPr>
          <w:sz w:val="24"/>
          <w:szCs w:val="24"/>
        </w:rPr>
      </w:pPr>
      <w:r w:rsidRPr="004B1D5A">
        <w:rPr>
          <w:sz w:val="24"/>
          <w:szCs w:val="24"/>
        </w:rPr>
        <w:t>Saltsyre, koncentreret (til pH-justering)</w:t>
      </w:r>
    </w:p>
    <w:p w:rsidR="00947B7B" w:rsidRPr="004B1D5A" w:rsidRDefault="00947B7B" w:rsidP="00947B7B">
      <w:pPr>
        <w:ind w:left="851"/>
        <w:rPr>
          <w:sz w:val="24"/>
          <w:szCs w:val="24"/>
        </w:rPr>
      </w:pPr>
      <w:r w:rsidRPr="004B1D5A">
        <w:rPr>
          <w:sz w:val="24"/>
          <w:szCs w:val="24"/>
        </w:rPr>
        <w:t xml:space="preserve">Vand til injektionsvæsker </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6.2</w:t>
      </w:r>
      <w:r w:rsidRPr="009F56AD">
        <w:rPr>
          <w:b/>
          <w:sz w:val="24"/>
          <w:szCs w:val="24"/>
        </w:rPr>
        <w:tab/>
        <w:t>Uforligeligheder</w:t>
      </w:r>
    </w:p>
    <w:p w:rsidR="00947B7B" w:rsidRPr="004B1D5A" w:rsidRDefault="00947B7B" w:rsidP="00947B7B">
      <w:pPr>
        <w:ind w:left="851"/>
        <w:rPr>
          <w:sz w:val="24"/>
          <w:szCs w:val="24"/>
          <w:lang w:eastAsia="en-GB"/>
        </w:rPr>
      </w:pPr>
      <w:r w:rsidRPr="004B1D5A">
        <w:rPr>
          <w:sz w:val="24"/>
          <w:szCs w:val="24"/>
        </w:rPr>
        <w:t xml:space="preserve">Opløsninger af </w:t>
      </w:r>
      <w:proofErr w:type="spellStart"/>
      <w:r w:rsidRPr="004B1D5A">
        <w:rPr>
          <w:sz w:val="24"/>
          <w:szCs w:val="24"/>
        </w:rPr>
        <w:t>cytarabin</w:t>
      </w:r>
      <w:proofErr w:type="spellEnd"/>
      <w:r w:rsidRPr="004B1D5A">
        <w:rPr>
          <w:sz w:val="24"/>
          <w:szCs w:val="24"/>
        </w:rPr>
        <w:t xml:space="preserve"> er rapporteret at være uforenelige m</w:t>
      </w:r>
      <w:r>
        <w:rPr>
          <w:sz w:val="24"/>
          <w:szCs w:val="24"/>
        </w:rPr>
        <w:t>ed forskellige lægemidler som f</w:t>
      </w:r>
      <w:r w:rsidRPr="004B1D5A">
        <w:rPr>
          <w:sz w:val="24"/>
          <w:szCs w:val="24"/>
        </w:rPr>
        <w:t>.</w:t>
      </w:r>
      <w:r>
        <w:rPr>
          <w:sz w:val="24"/>
          <w:szCs w:val="24"/>
        </w:rPr>
        <w:t>eks.</w:t>
      </w:r>
      <w:r w:rsidRPr="004B1D5A">
        <w:rPr>
          <w:sz w:val="24"/>
          <w:szCs w:val="24"/>
        </w:rPr>
        <w:t xml:space="preserve"> </w:t>
      </w:r>
      <w:proofErr w:type="spellStart"/>
      <w:r w:rsidRPr="004B1D5A">
        <w:rPr>
          <w:sz w:val="24"/>
          <w:szCs w:val="24"/>
        </w:rPr>
        <w:t>carbenicillinnatrium</w:t>
      </w:r>
      <w:proofErr w:type="spellEnd"/>
      <w:r w:rsidRPr="004B1D5A">
        <w:rPr>
          <w:sz w:val="24"/>
          <w:szCs w:val="24"/>
        </w:rPr>
        <w:t xml:space="preserve">, </w:t>
      </w:r>
      <w:proofErr w:type="spellStart"/>
      <w:r w:rsidRPr="004B1D5A">
        <w:rPr>
          <w:sz w:val="24"/>
          <w:szCs w:val="24"/>
        </w:rPr>
        <w:t>cefalotinnatrium</w:t>
      </w:r>
      <w:proofErr w:type="spellEnd"/>
      <w:r w:rsidRPr="004B1D5A">
        <w:rPr>
          <w:sz w:val="24"/>
          <w:szCs w:val="24"/>
        </w:rPr>
        <w:t xml:space="preserve">, </w:t>
      </w:r>
      <w:proofErr w:type="spellStart"/>
      <w:r w:rsidRPr="004B1D5A">
        <w:rPr>
          <w:sz w:val="24"/>
          <w:szCs w:val="24"/>
        </w:rPr>
        <w:t>fluorouracil</w:t>
      </w:r>
      <w:proofErr w:type="spellEnd"/>
      <w:r w:rsidRPr="004B1D5A">
        <w:rPr>
          <w:sz w:val="24"/>
          <w:szCs w:val="24"/>
        </w:rPr>
        <w:t xml:space="preserve">, gentamicinsulfat, </w:t>
      </w:r>
      <w:proofErr w:type="spellStart"/>
      <w:r w:rsidRPr="004B1D5A">
        <w:rPr>
          <w:sz w:val="24"/>
          <w:szCs w:val="24"/>
        </w:rPr>
        <w:t>heparinnatrium</w:t>
      </w:r>
      <w:proofErr w:type="spellEnd"/>
      <w:r w:rsidRPr="004B1D5A">
        <w:rPr>
          <w:sz w:val="24"/>
          <w:szCs w:val="24"/>
        </w:rPr>
        <w:t xml:space="preserve">, </w:t>
      </w:r>
      <w:proofErr w:type="spellStart"/>
      <w:r w:rsidRPr="004B1D5A">
        <w:rPr>
          <w:sz w:val="24"/>
          <w:szCs w:val="24"/>
        </w:rPr>
        <w:t>hydrokortison-natriumsuccinat</w:t>
      </w:r>
      <w:proofErr w:type="spellEnd"/>
      <w:r w:rsidRPr="004B1D5A">
        <w:rPr>
          <w:sz w:val="24"/>
          <w:szCs w:val="24"/>
        </w:rPr>
        <w:t xml:space="preserve">, almindelig insulin, </w:t>
      </w:r>
      <w:proofErr w:type="spellStart"/>
      <w:r w:rsidRPr="004B1D5A">
        <w:rPr>
          <w:sz w:val="24"/>
          <w:szCs w:val="24"/>
        </w:rPr>
        <w:t>methyl-prednisolonsuccinat</w:t>
      </w:r>
      <w:proofErr w:type="spellEnd"/>
      <w:r w:rsidRPr="004B1D5A">
        <w:rPr>
          <w:sz w:val="24"/>
          <w:szCs w:val="24"/>
        </w:rPr>
        <w:t xml:space="preserve">, </w:t>
      </w:r>
      <w:proofErr w:type="spellStart"/>
      <w:r w:rsidRPr="004B1D5A">
        <w:rPr>
          <w:sz w:val="24"/>
          <w:szCs w:val="24"/>
        </w:rPr>
        <w:t>nafcillinnatrium</w:t>
      </w:r>
      <w:proofErr w:type="spellEnd"/>
      <w:r w:rsidRPr="004B1D5A">
        <w:rPr>
          <w:sz w:val="24"/>
          <w:szCs w:val="24"/>
        </w:rPr>
        <w:t xml:space="preserve">, </w:t>
      </w:r>
      <w:proofErr w:type="spellStart"/>
      <w:r w:rsidRPr="004B1D5A">
        <w:rPr>
          <w:sz w:val="24"/>
          <w:szCs w:val="24"/>
        </w:rPr>
        <w:t>oxacillinnatrium</w:t>
      </w:r>
      <w:proofErr w:type="spellEnd"/>
      <w:r w:rsidRPr="004B1D5A">
        <w:rPr>
          <w:sz w:val="24"/>
          <w:szCs w:val="24"/>
        </w:rPr>
        <w:t>, penicillin G-natrium (</w:t>
      </w:r>
      <w:proofErr w:type="spellStart"/>
      <w:r w:rsidRPr="004B1D5A">
        <w:rPr>
          <w:sz w:val="24"/>
          <w:szCs w:val="24"/>
        </w:rPr>
        <w:t>benzylpenicillin</w:t>
      </w:r>
      <w:proofErr w:type="spellEnd"/>
      <w:r w:rsidRPr="004B1D5A">
        <w:rPr>
          <w:sz w:val="24"/>
          <w:szCs w:val="24"/>
        </w:rPr>
        <w:t xml:space="preserve">), </w:t>
      </w:r>
      <w:proofErr w:type="spellStart"/>
      <w:r w:rsidRPr="004B1D5A">
        <w:rPr>
          <w:sz w:val="24"/>
          <w:szCs w:val="24"/>
        </w:rPr>
        <w:t>methotrexat</w:t>
      </w:r>
      <w:proofErr w:type="spellEnd"/>
      <w:r w:rsidRPr="004B1D5A">
        <w:rPr>
          <w:sz w:val="24"/>
          <w:szCs w:val="24"/>
        </w:rPr>
        <w:t xml:space="preserve">, </w:t>
      </w:r>
      <w:proofErr w:type="spellStart"/>
      <w:r w:rsidRPr="004B1D5A">
        <w:rPr>
          <w:sz w:val="24"/>
          <w:szCs w:val="24"/>
        </w:rPr>
        <w:t>prednisolonsuccinat</w:t>
      </w:r>
      <w:proofErr w:type="spellEnd"/>
      <w:r w:rsidRPr="004B1D5A">
        <w:rPr>
          <w:sz w:val="24"/>
          <w:szCs w:val="24"/>
        </w:rPr>
        <w:t xml:space="preserve">. </w:t>
      </w:r>
    </w:p>
    <w:p w:rsidR="00947B7B" w:rsidRPr="004B1D5A" w:rsidRDefault="00947B7B" w:rsidP="00947B7B">
      <w:pPr>
        <w:ind w:left="851"/>
        <w:rPr>
          <w:sz w:val="24"/>
          <w:szCs w:val="24"/>
        </w:rPr>
      </w:pPr>
    </w:p>
    <w:p w:rsidR="00947B7B" w:rsidRPr="004B1D5A" w:rsidRDefault="00947B7B" w:rsidP="00947B7B">
      <w:pPr>
        <w:ind w:left="851"/>
        <w:rPr>
          <w:sz w:val="24"/>
          <w:szCs w:val="24"/>
        </w:rPr>
      </w:pPr>
      <w:r w:rsidRPr="004B1D5A">
        <w:rPr>
          <w:sz w:val="24"/>
          <w:szCs w:val="24"/>
        </w:rPr>
        <w:t>Uforligeligheden afhænger dog af adskillige faktorer (f.eks. koncentrationerne af lægemidlet, det specifikke fortyndingsmiddel, den endelige pH, temperatur). Specialiserede referencer skal konsulteres for specifik information om forligelighed.</w:t>
      </w:r>
    </w:p>
    <w:p w:rsidR="00947B7B" w:rsidRPr="004B1D5A" w:rsidRDefault="00947B7B" w:rsidP="00947B7B">
      <w:pPr>
        <w:ind w:left="851"/>
        <w:rPr>
          <w:sz w:val="24"/>
          <w:szCs w:val="24"/>
        </w:rPr>
      </w:pPr>
    </w:p>
    <w:p w:rsidR="006F2B3A" w:rsidRDefault="006F2B3A" w:rsidP="006F2B3A">
      <w:pPr>
        <w:ind w:left="851"/>
        <w:rPr>
          <w:sz w:val="24"/>
          <w:szCs w:val="24"/>
        </w:rPr>
      </w:pPr>
      <w:r>
        <w:rPr>
          <w:sz w:val="24"/>
          <w:szCs w:val="24"/>
        </w:rPr>
        <w:t>Dette lægemiddel må ikke blandes med andre lægemidler end dem, der er anført under pkt. 6.6.</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6.3</w:t>
      </w:r>
      <w:r w:rsidRPr="009F56AD">
        <w:rPr>
          <w:b/>
          <w:sz w:val="24"/>
          <w:szCs w:val="24"/>
        </w:rPr>
        <w:tab/>
        <w:t>Opbevaringstid</w:t>
      </w:r>
    </w:p>
    <w:p w:rsidR="00947B7B" w:rsidRPr="004B1D5A" w:rsidRDefault="00947B7B" w:rsidP="00947B7B">
      <w:pPr>
        <w:ind w:left="851"/>
        <w:rPr>
          <w:sz w:val="24"/>
          <w:szCs w:val="24"/>
          <w:lang w:eastAsia="en-GB"/>
        </w:rPr>
      </w:pPr>
      <w:r w:rsidRPr="004B1D5A">
        <w:rPr>
          <w:sz w:val="24"/>
          <w:szCs w:val="24"/>
        </w:rPr>
        <w:t xml:space="preserve">Før brug: </w:t>
      </w:r>
      <w:r w:rsidR="00CA4695">
        <w:rPr>
          <w:sz w:val="24"/>
          <w:szCs w:val="24"/>
        </w:rPr>
        <w:t>3</w:t>
      </w:r>
      <w:r w:rsidRPr="004B1D5A">
        <w:rPr>
          <w:sz w:val="24"/>
          <w:szCs w:val="24"/>
        </w:rPr>
        <w:t xml:space="preserve"> år.</w:t>
      </w:r>
    </w:p>
    <w:p w:rsidR="00947B7B" w:rsidRPr="004B1D5A" w:rsidRDefault="00947B7B" w:rsidP="00947B7B">
      <w:pPr>
        <w:ind w:left="851"/>
        <w:rPr>
          <w:sz w:val="24"/>
          <w:szCs w:val="24"/>
          <w:highlight w:val="yellow"/>
        </w:rPr>
      </w:pPr>
    </w:p>
    <w:p w:rsidR="00947B7B" w:rsidRPr="004B1D5A" w:rsidRDefault="00947B7B" w:rsidP="00947B7B">
      <w:pPr>
        <w:ind w:left="851"/>
        <w:rPr>
          <w:sz w:val="24"/>
          <w:szCs w:val="24"/>
        </w:rPr>
      </w:pPr>
      <w:r w:rsidRPr="004B1D5A">
        <w:rPr>
          <w:sz w:val="24"/>
          <w:szCs w:val="24"/>
        </w:rPr>
        <w:t>I brug: Kemisk og fysisk stabilitet under brug har vist sig ved 0,04 mg/ml, 0,1 mg/ml, 1,0 mg/ml og 4,0 mg/ml koncentration. Produktet er stabilt i 8 dage ved under 25 °C.</w:t>
      </w:r>
    </w:p>
    <w:p w:rsidR="00947B7B" w:rsidRPr="004B1D5A" w:rsidRDefault="00947B7B" w:rsidP="00947B7B">
      <w:pPr>
        <w:ind w:left="851"/>
        <w:rPr>
          <w:sz w:val="24"/>
          <w:szCs w:val="24"/>
          <w:highlight w:val="yellow"/>
        </w:rPr>
      </w:pPr>
    </w:p>
    <w:p w:rsidR="00947B7B" w:rsidRPr="004B1D5A" w:rsidRDefault="00947B7B" w:rsidP="00947B7B">
      <w:pPr>
        <w:ind w:left="851"/>
        <w:rPr>
          <w:sz w:val="24"/>
          <w:szCs w:val="24"/>
        </w:rPr>
      </w:pPr>
      <w:r w:rsidRPr="004B1D5A">
        <w:rPr>
          <w:sz w:val="24"/>
          <w:szCs w:val="24"/>
        </w:rPr>
        <w:t xml:space="preserve">Fra et mikrobiologisk synspunkt skal produktet anvendes straks, medmindre metoden til fortynding udelukker risikoen for mikrobiel kontaminering. Hvis opløsningen ikke anvendes straks, er opbevaringstid og -betingelser brugerens ansvar. </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6.4</w:t>
      </w:r>
      <w:r w:rsidRPr="009F56AD">
        <w:rPr>
          <w:b/>
          <w:sz w:val="24"/>
          <w:szCs w:val="24"/>
        </w:rPr>
        <w:tab/>
        <w:t>Særlige opbevaringsforhold</w:t>
      </w:r>
    </w:p>
    <w:p w:rsidR="00947B7B" w:rsidRPr="004B1D5A" w:rsidRDefault="00947B7B" w:rsidP="00947B7B">
      <w:pPr>
        <w:ind w:left="851"/>
        <w:rPr>
          <w:sz w:val="24"/>
          <w:szCs w:val="24"/>
          <w:lang w:eastAsia="en-GB"/>
        </w:rPr>
      </w:pPr>
      <w:r w:rsidRPr="004B1D5A">
        <w:rPr>
          <w:sz w:val="24"/>
          <w:szCs w:val="24"/>
        </w:rPr>
        <w:t xml:space="preserve">Må ikke opbevares ved temperaturer over 25 °C. Må ikke opbevares i køleskab eller nedfryses. </w:t>
      </w:r>
    </w:p>
    <w:p w:rsidR="00947B7B" w:rsidRPr="004B1D5A" w:rsidRDefault="00947B7B" w:rsidP="00947B7B">
      <w:pPr>
        <w:ind w:left="851"/>
        <w:rPr>
          <w:sz w:val="24"/>
          <w:szCs w:val="24"/>
        </w:rPr>
      </w:pPr>
    </w:p>
    <w:p w:rsidR="00947B7B" w:rsidRPr="004B1D5A" w:rsidRDefault="00947B7B" w:rsidP="00947B7B">
      <w:pPr>
        <w:ind w:left="851"/>
        <w:rPr>
          <w:sz w:val="24"/>
          <w:szCs w:val="24"/>
        </w:rPr>
      </w:pPr>
      <w:r w:rsidRPr="004B1D5A">
        <w:rPr>
          <w:sz w:val="24"/>
          <w:szCs w:val="24"/>
        </w:rPr>
        <w:t xml:space="preserve">Se pkt. 6.3 for oplysninger om opbevaringsforhold efter fortynding af lægemidlet.  </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6.5</w:t>
      </w:r>
      <w:r w:rsidRPr="009F56AD">
        <w:rPr>
          <w:b/>
          <w:sz w:val="24"/>
          <w:szCs w:val="24"/>
        </w:rPr>
        <w:tab/>
        <w:t>Emballagetype og pakningsstørrelser</w:t>
      </w:r>
    </w:p>
    <w:p w:rsidR="00947B7B" w:rsidRPr="004B1D5A" w:rsidRDefault="00947B7B" w:rsidP="00947B7B">
      <w:pPr>
        <w:ind w:left="851"/>
        <w:rPr>
          <w:sz w:val="24"/>
          <w:szCs w:val="24"/>
          <w:lang w:eastAsia="en-GB"/>
        </w:rPr>
      </w:pPr>
      <w:r w:rsidRPr="004B1D5A">
        <w:rPr>
          <w:sz w:val="24"/>
          <w:szCs w:val="24"/>
        </w:rPr>
        <w:t xml:space="preserve">2 ml: Klart hætteglas med butylgummiprop og blå aftagelig aluminiumkapsel. </w:t>
      </w:r>
    </w:p>
    <w:p w:rsidR="00947B7B" w:rsidRPr="004B1D5A" w:rsidRDefault="00947B7B" w:rsidP="00947B7B">
      <w:pPr>
        <w:ind w:left="851"/>
        <w:rPr>
          <w:sz w:val="24"/>
          <w:szCs w:val="24"/>
        </w:rPr>
      </w:pPr>
      <w:r w:rsidRPr="004B1D5A">
        <w:rPr>
          <w:sz w:val="24"/>
          <w:szCs w:val="24"/>
        </w:rPr>
        <w:t>5 ml: Klart hætteglas med butylgummiprop og rød aftagelig aluminiumkapsel.</w:t>
      </w:r>
    </w:p>
    <w:p w:rsidR="00947B7B" w:rsidRPr="004B1D5A" w:rsidRDefault="00947B7B" w:rsidP="00947B7B">
      <w:pPr>
        <w:ind w:left="851"/>
        <w:rPr>
          <w:sz w:val="24"/>
          <w:szCs w:val="24"/>
        </w:rPr>
      </w:pPr>
    </w:p>
    <w:p w:rsidR="00947B7B" w:rsidRPr="004B1D5A" w:rsidRDefault="00947B7B" w:rsidP="00947B7B">
      <w:pPr>
        <w:ind w:left="851"/>
        <w:rPr>
          <w:sz w:val="24"/>
          <w:szCs w:val="24"/>
        </w:rPr>
      </w:pPr>
      <w:r w:rsidRPr="004B1D5A">
        <w:rPr>
          <w:sz w:val="24"/>
          <w:szCs w:val="24"/>
        </w:rPr>
        <w:t xml:space="preserve">Hætteglas er pakket med overfladisk plastikbeklædning sammen med ikke-PVC-base.  </w:t>
      </w:r>
    </w:p>
    <w:p w:rsidR="00947B7B" w:rsidRPr="004B1D5A" w:rsidRDefault="00947B7B" w:rsidP="00947B7B">
      <w:pPr>
        <w:ind w:left="851"/>
        <w:rPr>
          <w:sz w:val="24"/>
          <w:szCs w:val="24"/>
        </w:rPr>
      </w:pPr>
    </w:p>
    <w:p w:rsidR="00947B7B" w:rsidRPr="004B1D5A" w:rsidRDefault="00947B7B" w:rsidP="00947B7B">
      <w:pPr>
        <w:ind w:left="851"/>
        <w:rPr>
          <w:sz w:val="24"/>
          <w:szCs w:val="24"/>
        </w:rPr>
      </w:pPr>
      <w:r w:rsidRPr="004B1D5A">
        <w:rPr>
          <w:sz w:val="24"/>
          <w:szCs w:val="24"/>
        </w:rPr>
        <w:t xml:space="preserve">Pakningsstørrelser: </w:t>
      </w:r>
    </w:p>
    <w:p w:rsidR="00947B7B" w:rsidRPr="004B1D5A" w:rsidRDefault="00947B7B" w:rsidP="00947B7B">
      <w:pPr>
        <w:ind w:left="851"/>
        <w:rPr>
          <w:sz w:val="24"/>
          <w:szCs w:val="24"/>
        </w:rPr>
      </w:pPr>
      <w:r w:rsidRPr="004B1D5A">
        <w:rPr>
          <w:sz w:val="24"/>
          <w:szCs w:val="24"/>
        </w:rPr>
        <w:t>2 ml: 1 hætteglas, 5 hætteglas og 25 hætteglas</w:t>
      </w:r>
    </w:p>
    <w:p w:rsidR="00947B7B" w:rsidRPr="004B1D5A" w:rsidRDefault="00947B7B" w:rsidP="00947B7B">
      <w:pPr>
        <w:ind w:left="851"/>
        <w:rPr>
          <w:sz w:val="24"/>
          <w:szCs w:val="24"/>
        </w:rPr>
      </w:pPr>
      <w:r w:rsidRPr="004B1D5A">
        <w:rPr>
          <w:sz w:val="24"/>
          <w:szCs w:val="24"/>
        </w:rPr>
        <w:t>5 ml: 1 hætteglas, 5 hætteglas og 25 hætteglas</w:t>
      </w:r>
    </w:p>
    <w:p w:rsidR="00947B7B" w:rsidRPr="004B1D5A" w:rsidRDefault="00947B7B" w:rsidP="00947B7B">
      <w:pPr>
        <w:ind w:left="851"/>
        <w:rPr>
          <w:sz w:val="24"/>
          <w:szCs w:val="24"/>
          <w:highlight w:val="yellow"/>
        </w:rPr>
      </w:pPr>
    </w:p>
    <w:p w:rsidR="00947B7B" w:rsidRPr="004B1D5A" w:rsidRDefault="00947B7B" w:rsidP="00947B7B">
      <w:pPr>
        <w:ind w:left="851"/>
        <w:rPr>
          <w:sz w:val="24"/>
          <w:szCs w:val="24"/>
        </w:rPr>
      </w:pPr>
      <w:r w:rsidRPr="004B1D5A">
        <w:rPr>
          <w:sz w:val="24"/>
          <w:szCs w:val="24"/>
        </w:rPr>
        <w:t>Ikke alle pakningsstørrelser er nødvendigvis markedsført.</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6.6</w:t>
      </w:r>
      <w:r w:rsidRPr="009F56AD">
        <w:rPr>
          <w:b/>
          <w:sz w:val="24"/>
          <w:szCs w:val="24"/>
        </w:rPr>
        <w:tab/>
        <w:t xml:space="preserve">Regler for </w:t>
      </w:r>
      <w:r w:rsidR="006F2B3A">
        <w:rPr>
          <w:b/>
          <w:sz w:val="24"/>
          <w:szCs w:val="24"/>
        </w:rPr>
        <w:t>bortskaffelse</w:t>
      </w:r>
      <w:r w:rsidRPr="009F56AD">
        <w:rPr>
          <w:b/>
          <w:sz w:val="24"/>
          <w:szCs w:val="24"/>
        </w:rPr>
        <w:t xml:space="preserve"> og anden håndtering</w:t>
      </w:r>
    </w:p>
    <w:p w:rsidR="00947B7B" w:rsidRDefault="00947B7B" w:rsidP="00947B7B">
      <w:pPr>
        <w:ind w:left="851"/>
        <w:rPr>
          <w:sz w:val="24"/>
          <w:szCs w:val="24"/>
        </w:rPr>
      </w:pPr>
      <w:r w:rsidRPr="004B1D5A">
        <w:rPr>
          <w:sz w:val="24"/>
          <w:szCs w:val="24"/>
        </w:rPr>
        <w:t>Kun til engangsbrug. Eventuelt ubrugt opløsning skal kasseres.</w:t>
      </w:r>
    </w:p>
    <w:p w:rsidR="006F2B3A" w:rsidRPr="004B1D5A" w:rsidRDefault="006F2B3A" w:rsidP="00947B7B">
      <w:pPr>
        <w:ind w:left="851"/>
        <w:rPr>
          <w:sz w:val="24"/>
          <w:szCs w:val="24"/>
          <w:lang w:eastAsia="en-GB"/>
        </w:rPr>
      </w:pPr>
    </w:p>
    <w:p w:rsidR="00947B7B" w:rsidRDefault="00947B7B" w:rsidP="00947B7B">
      <w:pPr>
        <w:ind w:left="851"/>
        <w:rPr>
          <w:sz w:val="24"/>
          <w:szCs w:val="24"/>
        </w:rPr>
      </w:pPr>
      <w:proofErr w:type="spellStart"/>
      <w:r w:rsidRPr="004B1D5A">
        <w:rPr>
          <w:sz w:val="24"/>
          <w:szCs w:val="24"/>
        </w:rPr>
        <w:lastRenderedPageBreak/>
        <w:t>Cytarabine</w:t>
      </w:r>
      <w:proofErr w:type="spellEnd"/>
      <w:r w:rsidRPr="004B1D5A">
        <w:rPr>
          <w:sz w:val="24"/>
          <w:szCs w:val="24"/>
        </w:rPr>
        <w:t xml:space="preserve"> </w:t>
      </w:r>
      <w:r>
        <w:rPr>
          <w:sz w:val="24"/>
          <w:szCs w:val="24"/>
        </w:rPr>
        <w:t>"</w:t>
      </w:r>
      <w:proofErr w:type="spellStart"/>
      <w:r>
        <w:rPr>
          <w:sz w:val="24"/>
          <w:szCs w:val="24"/>
        </w:rPr>
        <w:t>Accord</w:t>
      </w:r>
      <w:proofErr w:type="spellEnd"/>
      <w:r>
        <w:rPr>
          <w:sz w:val="24"/>
          <w:szCs w:val="24"/>
        </w:rPr>
        <w:t>"</w:t>
      </w:r>
      <w:r w:rsidRPr="004B1D5A">
        <w:rPr>
          <w:sz w:val="24"/>
          <w:szCs w:val="24"/>
        </w:rPr>
        <w:t xml:space="preserve"> er beregnet til intravenøs, intramuskulær, subkutan eller </w:t>
      </w:r>
      <w:proofErr w:type="spellStart"/>
      <w:r w:rsidRPr="004B1D5A">
        <w:rPr>
          <w:sz w:val="24"/>
          <w:szCs w:val="24"/>
        </w:rPr>
        <w:t>intratekal</w:t>
      </w:r>
      <w:proofErr w:type="spellEnd"/>
      <w:r w:rsidRPr="004B1D5A">
        <w:rPr>
          <w:sz w:val="24"/>
          <w:szCs w:val="24"/>
        </w:rPr>
        <w:t xml:space="preserve"> brug. </w:t>
      </w:r>
    </w:p>
    <w:p w:rsidR="006F2B3A" w:rsidRPr="004B1D5A" w:rsidRDefault="006F2B3A" w:rsidP="00947B7B">
      <w:pPr>
        <w:ind w:left="851"/>
        <w:rPr>
          <w:sz w:val="24"/>
          <w:szCs w:val="24"/>
        </w:rPr>
      </w:pPr>
    </w:p>
    <w:p w:rsidR="00947B7B" w:rsidRDefault="00947B7B" w:rsidP="00947B7B">
      <w:pPr>
        <w:ind w:left="851"/>
        <w:rPr>
          <w:sz w:val="24"/>
          <w:szCs w:val="24"/>
        </w:rPr>
      </w:pPr>
      <w:r w:rsidRPr="004B1D5A">
        <w:rPr>
          <w:sz w:val="24"/>
          <w:szCs w:val="24"/>
        </w:rPr>
        <w:t>Den fortyndede opløsning skal være klar, farveløs og fri for synlige partikler. Parenterale lægemidler bør inspiceres visuelt for partikler og misfarvning før administration, når opløsning og beholder tillader det.</w:t>
      </w:r>
    </w:p>
    <w:p w:rsidR="006F2B3A" w:rsidRPr="004B1D5A" w:rsidRDefault="006F2B3A" w:rsidP="00947B7B">
      <w:pPr>
        <w:ind w:left="851"/>
        <w:rPr>
          <w:sz w:val="24"/>
          <w:szCs w:val="24"/>
        </w:rPr>
      </w:pPr>
    </w:p>
    <w:p w:rsidR="00947B7B" w:rsidRDefault="00947B7B" w:rsidP="00947B7B">
      <w:pPr>
        <w:ind w:left="851"/>
        <w:rPr>
          <w:sz w:val="24"/>
          <w:szCs w:val="24"/>
        </w:rPr>
      </w:pPr>
      <w:r w:rsidRPr="004B1D5A">
        <w:rPr>
          <w:sz w:val="24"/>
          <w:szCs w:val="24"/>
        </w:rPr>
        <w:t xml:space="preserve">Hvis opløsningen forekommer misfarvet eller indeholder synlige partikler, skal den kasseres. </w:t>
      </w:r>
      <w:proofErr w:type="spellStart"/>
      <w:r w:rsidRPr="004B1D5A">
        <w:rPr>
          <w:sz w:val="24"/>
          <w:szCs w:val="24"/>
        </w:rPr>
        <w:t>Cytarabine</w:t>
      </w:r>
      <w:proofErr w:type="spellEnd"/>
      <w:r w:rsidRPr="004B1D5A">
        <w:rPr>
          <w:sz w:val="24"/>
          <w:szCs w:val="24"/>
        </w:rPr>
        <w:t xml:space="preserve"> </w:t>
      </w:r>
      <w:r>
        <w:rPr>
          <w:sz w:val="24"/>
          <w:szCs w:val="24"/>
        </w:rPr>
        <w:t>"</w:t>
      </w:r>
      <w:proofErr w:type="spellStart"/>
      <w:r>
        <w:rPr>
          <w:sz w:val="24"/>
          <w:szCs w:val="24"/>
        </w:rPr>
        <w:t>Accord</w:t>
      </w:r>
      <w:proofErr w:type="spellEnd"/>
      <w:r>
        <w:rPr>
          <w:sz w:val="24"/>
          <w:szCs w:val="24"/>
        </w:rPr>
        <w:t>"</w:t>
      </w:r>
      <w:r w:rsidRPr="004B1D5A">
        <w:rPr>
          <w:sz w:val="24"/>
          <w:szCs w:val="24"/>
        </w:rPr>
        <w:t xml:space="preserve"> kan fortyndes med sterilt vand til injektionsvæsker, 5 % w/v </w:t>
      </w:r>
      <w:proofErr w:type="spellStart"/>
      <w:r w:rsidRPr="004B1D5A">
        <w:rPr>
          <w:sz w:val="24"/>
          <w:szCs w:val="24"/>
        </w:rPr>
        <w:t>dextrose</w:t>
      </w:r>
      <w:proofErr w:type="spellEnd"/>
      <w:r w:rsidRPr="004B1D5A">
        <w:rPr>
          <w:sz w:val="24"/>
          <w:szCs w:val="24"/>
        </w:rPr>
        <w:t xml:space="preserve"> eller 0,9 % w/v </w:t>
      </w:r>
      <w:proofErr w:type="spellStart"/>
      <w:r w:rsidRPr="004B1D5A">
        <w:rPr>
          <w:sz w:val="24"/>
          <w:szCs w:val="24"/>
        </w:rPr>
        <w:t>natriumchlorid</w:t>
      </w:r>
      <w:proofErr w:type="spellEnd"/>
      <w:r w:rsidRPr="004B1D5A">
        <w:rPr>
          <w:sz w:val="24"/>
          <w:szCs w:val="24"/>
        </w:rPr>
        <w:t>.</w:t>
      </w:r>
    </w:p>
    <w:p w:rsidR="006F2B3A" w:rsidRPr="004B1D5A" w:rsidRDefault="006F2B3A" w:rsidP="00947B7B">
      <w:pPr>
        <w:ind w:left="851"/>
        <w:rPr>
          <w:sz w:val="24"/>
          <w:szCs w:val="24"/>
        </w:rPr>
      </w:pPr>
    </w:p>
    <w:p w:rsidR="00947B7B" w:rsidRPr="004B1D5A" w:rsidRDefault="00947B7B" w:rsidP="00947B7B">
      <w:pPr>
        <w:ind w:left="851"/>
        <w:rPr>
          <w:sz w:val="24"/>
          <w:szCs w:val="24"/>
        </w:rPr>
      </w:pPr>
      <w:r w:rsidRPr="004B1D5A">
        <w:rPr>
          <w:sz w:val="24"/>
          <w:szCs w:val="24"/>
        </w:rPr>
        <w:t xml:space="preserve">Hvis </w:t>
      </w:r>
      <w:proofErr w:type="spellStart"/>
      <w:r w:rsidRPr="004B1D5A">
        <w:rPr>
          <w:sz w:val="24"/>
          <w:szCs w:val="24"/>
        </w:rPr>
        <w:t>cytarabin</w:t>
      </w:r>
      <w:proofErr w:type="spellEnd"/>
      <w:r w:rsidRPr="004B1D5A">
        <w:rPr>
          <w:sz w:val="24"/>
          <w:szCs w:val="24"/>
        </w:rPr>
        <w:t xml:space="preserve"> kommer i kontakt med huden, skal det udsatte område skylles med rigelige mængder vand og dernæst vaskes grundigt med sæbe og vand. Hvis opløsningen kommer i øjnene, skylles forsigtigt med store mængder vand, hvorefter en øjenlæge omgående kontaktes.</w:t>
      </w:r>
    </w:p>
    <w:p w:rsidR="00947B7B" w:rsidRPr="004B1D5A" w:rsidRDefault="00947B7B" w:rsidP="00947B7B">
      <w:pPr>
        <w:ind w:left="851"/>
        <w:rPr>
          <w:sz w:val="24"/>
          <w:szCs w:val="24"/>
        </w:rPr>
      </w:pPr>
    </w:p>
    <w:p w:rsidR="00947B7B" w:rsidRPr="004B1D5A" w:rsidRDefault="00947B7B" w:rsidP="00947B7B">
      <w:pPr>
        <w:ind w:left="851"/>
        <w:rPr>
          <w:sz w:val="24"/>
          <w:szCs w:val="24"/>
        </w:rPr>
      </w:pPr>
      <w:r w:rsidRPr="004B1D5A">
        <w:rPr>
          <w:sz w:val="24"/>
          <w:szCs w:val="24"/>
        </w:rPr>
        <w:t>Gravide medarbejdere skal udelukkes fra at arbejde med dette lægemiddel.</w:t>
      </w:r>
    </w:p>
    <w:p w:rsidR="00947B7B" w:rsidRPr="00ED49F8" w:rsidRDefault="00947B7B" w:rsidP="00947B7B">
      <w:pPr>
        <w:ind w:left="851"/>
        <w:rPr>
          <w:sz w:val="24"/>
          <w:szCs w:val="24"/>
        </w:rPr>
      </w:pPr>
    </w:p>
    <w:p w:rsidR="00947B7B" w:rsidRPr="004B1D5A" w:rsidRDefault="00947B7B" w:rsidP="00947B7B">
      <w:pPr>
        <w:ind w:left="851"/>
        <w:rPr>
          <w:b/>
          <w:sz w:val="24"/>
          <w:szCs w:val="24"/>
          <w:u w:val="single"/>
        </w:rPr>
      </w:pPr>
      <w:r w:rsidRPr="004B1D5A">
        <w:rPr>
          <w:b/>
          <w:sz w:val="24"/>
          <w:szCs w:val="24"/>
          <w:u w:val="single"/>
        </w:rPr>
        <w:t xml:space="preserve">Retningslinjer for håndtering af </w:t>
      </w:r>
      <w:proofErr w:type="spellStart"/>
      <w:r w:rsidRPr="004B1D5A">
        <w:rPr>
          <w:b/>
          <w:sz w:val="24"/>
          <w:szCs w:val="24"/>
          <w:u w:val="single"/>
        </w:rPr>
        <w:t>cytostatika</w:t>
      </w:r>
      <w:proofErr w:type="spellEnd"/>
    </w:p>
    <w:p w:rsidR="00947B7B" w:rsidRPr="004B1D5A" w:rsidRDefault="00947B7B" w:rsidP="00947B7B">
      <w:pPr>
        <w:ind w:left="851"/>
        <w:rPr>
          <w:b/>
          <w:sz w:val="24"/>
          <w:szCs w:val="24"/>
        </w:rPr>
      </w:pPr>
      <w:r w:rsidRPr="004B1D5A">
        <w:rPr>
          <w:b/>
          <w:sz w:val="24"/>
          <w:szCs w:val="24"/>
        </w:rPr>
        <w:t>Administration</w:t>
      </w:r>
    </w:p>
    <w:p w:rsidR="00947B7B" w:rsidRPr="004B1D5A" w:rsidRDefault="00947B7B" w:rsidP="00947B7B">
      <w:pPr>
        <w:ind w:left="851"/>
        <w:rPr>
          <w:sz w:val="24"/>
          <w:szCs w:val="24"/>
        </w:rPr>
      </w:pPr>
      <w:r w:rsidRPr="004B1D5A">
        <w:rPr>
          <w:sz w:val="24"/>
          <w:szCs w:val="24"/>
        </w:rPr>
        <w:t>Bør kun indgives af eller under overvågning af en kvalificeret læge, der har erfaring med anvendelse af kemoterapeutika til cancerbehandling.</w:t>
      </w:r>
    </w:p>
    <w:p w:rsidR="00947B7B" w:rsidRPr="004B1D5A" w:rsidRDefault="00947B7B" w:rsidP="00947B7B">
      <w:pPr>
        <w:ind w:left="851"/>
        <w:rPr>
          <w:sz w:val="24"/>
          <w:szCs w:val="24"/>
          <w:highlight w:val="yellow"/>
        </w:rPr>
      </w:pPr>
    </w:p>
    <w:p w:rsidR="00947B7B" w:rsidRPr="004B1D5A" w:rsidRDefault="00947B7B" w:rsidP="00947B7B">
      <w:pPr>
        <w:ind w:left="851"/>
        <w:rPr>
          <w:rFonts w:eastAsia="Calibri"/>
          <w:b/>
          <w:bCs/>
          <w:sz w:val="24"/>
          <w:szCs w:val="24"/>
        </w:rPr>
      </w:pPr>
      <w:r w:rsidRPr="004B1D5A">
        <w:rPr>
          <w:b/>
          <w:bCs/>
          <w:sz w:val="24"/>
          <w:szCs w:val="24"/>
        </w:rPr>
        <w:t>Klargøring (retningslinjer)</w:t>
      </w:r>
    </w:p>
    <w:p w:rsidR="00947B7B" w:rsidRPr="00ED49F8" w:rsidRDefault="00947B7B" w:rsidP="00947B7B">
      <w:pPr>
        <w:pStyle w:val="Listeafsnit"/>
        <w:numPr>
          <w:ilvl w:val="0"/>
          <w:numId w:val="6"/>
        </w:numPr>
        <w:ind w:left="1276" w:hanging="425"/>
        <w:rPr>
          <w:rFonts w:eastAsia="Calibri"/>
        </w:rPr>
      </w:pPr>
      <w:r w:rsidRPr="00ED49F8">
        <w:t>Kemoterapeutika må kun klargøres til administration af sundhedspersonale, som er uddannet i sikker brug af præparatet.</w:t>
      </w:r>
    </w:p>
    <w:p w:rsidR="00947B7B" w:rsidRPr="00ED49F8" w:rsidRDefault="00947B7B" w:rsidP="00947B7B">
      <w:pPr>
        <w:pStyle w:val="Listeafsnit"/>
        <w:numPr>
          <w:ilvl w:val="0"/>
          <w:numId w:val="6"/>
        </w:numPr>
        <w:ind w:left="1276" w:hanging="425"/>
        <w:rPr>
          <w:rFonts w:eastAsia="Calibri"/>
        </w:rPr>
      </w:pPr>
      <w:r w:rsidRPr="00ED49F8">
        <w:t>Procedurer som fortynding og overførsel af præparatet til sprøjter må kun udføres i det dertil indrettede område.</w:t>
      </w:r>
    </w:p>
    <w:p w:rsidR="00947B7B" w:rsidRPr="00ED49F8" w:rsidRDefault="00947B7B" w:rsidP="00947B7B">
      <w:pPr>
        <w:pStyle w:val="Listeafsnit"/>
        <w:numPr>
          <w:ilvl w:val="0"/>
          <w:numId w:val="6"/>
        </w:numPr>
        <w:ind w:left="1276" w:hanging="425"/>
        <w:rPr>
          <w:rFonts w:eastAsia="Calibri"/>
        </w:rPr>
      </w:pPr>
      <w:r w:rsidRPr="00ED49F8">
        <w:t>Sundhedspersonalet, som udfører disse procedurer, skal være passende beskyttet med sikkerhedsbeklædning, handsker og øjenværn.</w:t>
      </w:r>
    </w:p>
    <w:p w:rsidR="00947B7B" w:rsidRPr="00ED49F8" w:rsidRDefault="00947B7B" w:rsidP="00947B7B">
      <w:pPr>
        <w:pStyle w:val="Listeafsnit"/>
        <w:numPr>
          <w:ilvl w:val="0"/>
          <w:numId w:val="6"/>
        </w:numPr>
        <w:ind w:left="1276" w:hanging="425"/>
        <w:rPr>
          <w:rFonts w:eastAsia="Calibri"/>
        </w:rPr>
      </w:pPr>
      <w:r w:rsidRPr="00ED49F8">
        <w:t>Gravide medarbejdere må ikke håndtere kemoterapeutika.</w:t>
      </w:r>
    </w:p>
    <w:p w:rsidR="00947B7B" w:rsidRPr="004B1D5A" w:rsidRDefault="00947B7B" w:rsidP="00947B7B">
      <w:pPr>
        <w:ind w:left="851"/>
        <w:rPr>
          <w:rFonts w:eastAsia="Calibri"/>
          <w:sz w:val="24"/>
          <w:szCs w:val="24"/>
        </w:rPr>
      </w:pPr>
    </w:p>
    <w:p w:rsidR="00947B7B" w:rsidRPr="004B1D5A" w:rsidRDefault="00947B7B" w:rsidP="00947B7B">
      <w:pPr>
        <w:ind w:left="851"/>
        <w:rPr>
          <w:rFonts w:eastAsia="Calibri"/>
          <w:b/>
          <w:bCs/>
          <w:sz w:val="24"/>
          <w:szCs w:val="24"/>
          <w:lang w:eastAsia="en-GB"/>
        </w:rPr>
      </w:pPr>
      <w:r w:rsidRPr="004B1D5A">
        <w:rPr>
          <w:b/>
          <w:bCs/>
          <w:sz w:val="24"/>
          <w:szCs w:val="24"/>
        </w:rPr>
        <w:t>Kontaminering</w:t>
      </w:r>
    </w:p>
    <w:p w:rsidR="00947B7B" w:rsidRPr="004B1D5A" w:rsidRDefault="00947B7B" w:rsidP="00947B7B">
      <w:pPr>
        <w:ind w:left="1276" w:hanging="425"/>
        <w:rPr>
          <w:rFonts w:eastAsia="Calibri"/>
          <w:sz w:val="24"/>
          <w:szCs w:val="24"/>
        </w:rPr>
      </w:pPr>
      <w:r w:rsidRPr="004B1D5A">
        <w:rPr>
          <w:b/>
          <w:bCs/>
          <w:sz w:val="24"/>
          <w:szCs w:val="24"/>
        </w:rPr>
        <w:t>(a)</w:t>
      </w:r>
      <w:r w:rsidRPr="004B1D5A">
        <w:rPr>
          <w:sz w:val="24"/>
          <w:szCs w:val="24"/>
        </w:rPr>
        <w:t xml:space="preserve"> </w:t>
      </w:r>
      <w:r w:rsidRPr="004B1D5A">
        <w:rPr>
          <w:sz w:val="24"/>
          <w:szCs w:val="24"/>
        </w:rPr>
        <w:tab/>
        <w:t>Hvis stoffet kommer i kontakt med huden eller øjnene, skal det berørte området vaskes med rigelige mængder vand eller normal saltvandsopløsning. En mild creme kan anvendes til at behandle forbigående svien i huden. Der skal søges lægehjælp, hvis øjnene er påvirket.</w:t>
      </w:r>
    </w:p>
    <w:p w:rsidR="00947B7B" w:rsidRPr="004B1D5A" w:rsidRDefault="00947B7B" w:rsidP="00947B7B">
      <w:pPr>
        <w:ind w:left="1276" w:hanging="425"/>
        <w:rPr>
          <w:rFonts w:eastAsia="Calibri"/>
          <w:sz w:val="24"/>
          <w:szCs w:val="24"/>
        </w:rPr>
      </w:pPr>
      <w:r w:rsidRPr="004B1D5A">
        <w:rPr>
          <w:b/>
          <w:bCs/>
          <w:sz w:val="24"/>
          <w:szCs w:val="24"/>
        </w:rPr>
        <w:t xml:space="preserve">(b) </w:t>
      </w:r>
      <w:r w:rsidRPr="004B1D5A">
        <w:rPr>
          <w:b/>
          <w:bCs/>
          <w:sz w:val="24"/>
          <w:szCs w:val="24"/>
        </w:rPr>
        <w:tab/>
      </w:r>
      <w:r w:rsidRPr="004B1D5A">
        <w:rPr>
          <w:sz w:val="24"/>
          <w:szCs w:val="24"/>
        </w:rPr>
        <w:t>I tilfælde af spild skal medarbejdere tage handsker på og opsamle det spildte materiale med en svamp, der opbevares i området med henblik herpå. Skyl området to gange med vand. Læg alle opløsninger og svampe i en plastpose og forsegl den.</w:t>
      </w:r>
    </w:p>
    <w:p w:rsidR="00947B7B" w:rsidRPr="004B1D5A" w:rsidRDefault="00947B7B" w:rsidP="00947B7B">
      <w:pPr>
        <w:ind w:left="851"/>
        <w:rPr>
          <w:sz w:val="24"/>
          <w:szCs w:val="24"/>
          <w:highlight w:val="yellow"/>
        </w:rPr>
      </w:pPr>
    </w:p>
    <w:p w:rsidR="00947B7B" w:rsidRPr="004B1D5A" w:rsidRDefault="00947B7B" w:rsidP="00947B7B">
      <w:pPr>
        <w:ind w:left="851"/>
        <w:rPr>
          <w:rFonts w:eastAsia="Calibri"/>
          <w:b/>
          <w:bCs/>
          <w:sz w:val="24"/>
          <w:szCs w:val="24"/>
        </w:rPr>
      </w:pPr>
      <w:r w:rsidRPr="004B1D5A">
        <w:rPr>
          <w:b/>
          <w:bCs/>
          <w:sz w:val="24"/>
          <w:szCs w:val="24"/>
        </w:rPr>
        <w:t>Bortskaffelse</w:t>
      </w:r>
    </w:p>
    <w:p w:rsidR="00947B7B" w:rsidRPr="004B1D5A" w:rsidRDefault="00947B7B" w:rsidP="00947B7B">
      <w:pPr>
        <w:ind w:left="851"/>
        <w:rPr>
          <w:rFonts w:eastAsia="Calibri"/>
          <w:sz w:val="24"/>
          <w:szCs w:val="24"/>
        </w:rPr>
      </w:pPr>
      <w:r w:rsidRPr="004B1D5A">
        <w:rPr>
          <w:sz w:val="24"/>
          <w:szCs w:val="24"/>
        </w:rPr>
        <w:t>Destruktion: produktet placeres i en affaldspose til højrisikoprodukter (</w:t>
      </w:r>
      <w:proofErr w:type="spellStart"/>
      <w:r w:rsidRPr="004B1D5A">
        <w:rPr>
          <w:sz w:val="24"/>
          <w:szCs w:val="24"/>
        </w:rPr>
        <w:t>cytotoksiske</w:t>
      </w:r>
      <w:proofErr w:type="spellEnd"/>
      <w:r w:rsidRPr="004B1D5A">
        <w:rPr>
          <w:sz w:val="24"/>
          <w:szCs w:val="24"/>
        </w:rPr>
        <w:t xml:space="preserve"> produkter) og brændes ved 1100 °C. I tilfælde af spild: begræns adgangen til det berørte område og bær passende beskyttelse, herunder handsker og sikkerhedsbriller. Begræns spredning af produktet og rengør området med absorberende papir/materiale. Spild kan også behandles med 5 % </w:t>
      </w:r>
      <w:proofErr w:type="spellStart"/>
      <w:r w:rsidRPr="004B1D5A">
        <w:rPr>
          <w:sz w:val="24"/>
          <w:szCs w:val="24"/>
        </w:rPr>
        <w:t>natriumhypochlorit</w:t>
      </w:r>
      <w:proofErr w:type="spellEnd"/>
      <w:r w:rsidRPr="004B1D5A">
        <w:rPr>
          <w:sz w:val="24"/>
          <w:szCs w:val="24"/>
        </w:rPr>
        <w:t xml:space="preserve">. Spildområdet skal vaskes med rigelige mængder vand. Læg det kontaminerede materiale i en spildsikker affaldspose til </w:t>
      </w:r>
      <w:proofErr w:type="spellStart"/>
      <w:r w:rsidRPr="004B1D5A">
        <w:rPr>
          <w:sz w:val="24"/>
          <w:szCs w:val="24"/>
        </w:rPr>
        <w:t>cytotoksiske</w:t>
      </w:r>
      <w:proofErr w:type="spellEnd"/>
      <w:r w:rsidRPr="004B1D5A">
        <w:rPr>
          <w:sz w:val="24"/>
          <w:szCs w:val="24"/>
        </w:rPr>
        <w:t xml:space="preserve"> produkter og brænd det ved 1100 °C.</w:t>
      </w:r>
    </w:p>
    <w:p w:rsidR="00947B7B" w:rsidRPr="004B1D5A" w:rsidRDefault="00947B7B" w:rsidP="00947B7B">
      <w:pPr>
        <w:ind w:left="851"/>
        <w:rPr>
          <w:rFonts w:eastAsia="Calibri"/>
          <w:sz w:val="24"/>
          <w:szCs w:val="24"/>
        </w:rPr>
      </w:pPr>
    </w:p>
    <w:p w:rsidR="00947B7B" w:rsidRPr="004B1D5A" w:rsidRDefault="00947B7B" w:rsidP="00947B7B">
      <w:pPr>
        <w:ind w:left="851"/>
        <w:rPr>
          <w:sz w:val="24"/>
          <w:szCs w:val="24"/>
          <w:lang w:eastAsia="en-GB"/>
        </w:rPr>
      </w:pPr>
      <w:r w:rsidRPr="004B1D5A">
        <w:rPr>
          <w:sz w:val="24"/>
          <w:szCs w:val="24"/>
        </w:rPr>
        <w:lastRenderedPageBreak/>
        <w:t>Ikke anvendt lægemiddel samt affald heraf skal bortskaffes i henhold til lokale retningslinjer.</w:t>
      </w:r>
    </w:p>
    <w:p w:rsidR="00947B7B" w:rsidRPr="009F56AD" w:rsidRDefault="00947B7B" w:rsidP="00947B7B">
      <w:pPr>
        <w:tabs>
          <w:tab w:val="left" w:pos="851"/>
        </w:tabs>
        <w:ind w:left="851" w:hanging="851"/>
        <w:jc w:val="both"/>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7.</w:t>
      </w:r>
      <w:r w:rsidRPr="009F56AD">
        <w:rPr>
          <w:b/>
          <w:sz w:val="24"/>
          <w:szCs w:val="24"/>
        </w:rPr>
        <w:tab/>
        <w:t>INDEHAVER AF MARKEDSFØRINGSTILLADELSEN</w:t>
      </w:r>
    </w:p>
    <w:p w:rsidR="00C2382D" w:rsidRPr="00512BE1" w:rsidRDefault="00C2382D" w:rsidP="00C2382D">
      <w:pPr>
        <w:ind w:left="851"/>
        <w:rPr>
          <w:sz w:val="24"/>
          <w:szCs w:val="24"/>
        </w:rPr>
      </w:pPr>
      <w:proofErr w:type="spellStart"/>
      <w:r w:rsidRPr="00512BE1">
        <w:rPr>
          <w:sz w:val="24"/>
          <w:szCs w:val="24"/>
        </w:rPr>
        <w:t>Accord</w:t>
      </w:r>
      <w:proofErr w:type="spellEnd"/>
      <w:r w:rsidRPr="00512BE1">
        <w:rPr>
          <w:sz w:val="24"/>
          <w:szCs w:val="24"/>
        </w:rPr>
        <w:t xml:space="preserve"> Healthcare B.V.</w:t>
      </w:r>
    </w:p>
    <w:p w:rsidR="00C2382D" w:rsidRPr="00512BE1" w:rsidRDefault="00C2382D" w:rsidP="00C2382D">
      <w:pPr>
        <w:ind w:left="851"/>
        <w:rPr>
          <w:sz w:val="24"/>
          <w:szCs w:val="24"/>
        </w:rPr>
      </w:pPr>
      <w:proofErr w:type="spellStart"/>
      <w:r w:rsidRPr="00512BE1">
        <w:rPr>
          <w:sz w:val="24"/>
          <w:szCs w:val="24"/>
        </w:rPr>
        <w:t>Winthontlaan</w:t>
      </w:r>
      <w:proofErr w:type="spellEnd"/>
      <w:r w:rsidRPr="00512BE1">
        <w:rPr>
          <w:sz w:val="24"/>
          <w:szCs w:val="24"/>
        </w:rPr>
        <w:t xml:space="preserve"> 200</w:t>
      </w:r>
    </w:p>
    <w:p w:rsidR="00C2382D" w:rsidRPr="00C2382D" w:rsidRDefault="00C2382D" w:rsidP="00C2382D">
      <w:pPr>
        <w:ind w:left="851"/>
        <w:rPr>
          <w:sz w:val="24"/>
          <w:szCs w:val="24"/>
        </w:rPr>
      </w:pPr>
      <w:r w:rsidRPr="00C2382D">
        <w:rPr>
          <w:sz w:val="24"/>
          <w:szCs w:val="24"/>
        </w:rPr>
        <w:t>3526KV Utrecht</w:t>
      </w:r>
    </w:p>
    <w:p w:rsidR="00947B7B" w:rsidRPr="004B1D5A" w:rsidRDefault="00C2382D" w:rsidP="00C2382D">
      <w:pPr>
        <w:ind w:left="851"/>
        <w:rPr>
          <w:sz w:val="24"/>
          <w:szCs w:val="24"/>
        </w:rPr>
      </w:pPr>
      <w:r w:rsidRPr="00C2382D">
        <w:rPr>
          <w:sz w:val="24"/>
          <w:szCs w:val="24"/>
        </w:rPr>
        <w:t>Holland</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8.</w:t>
      </w:r>
      <w:r w:rsidRPr="009F56AD">
        <w:rPr>
          <w:b/>
          <w:sz w:val="24"/>
          <w:szCs w:val="24"/>
        </w:rPr>
        <w:tab/>
        <w:t>MARKEDSFØRINGSTILLADELSESNUMMER (</w:t>
      </w:r>
      <w:r w:rsidR="006F2B3A">
        <w:rPr>
          <w:b/>
          <w:sz w:val="24"/>
          <w:szCs w:val="24"/>
        </w:rPr>
        <w:t>-</w:t>
      </w:r>
      <w:r w:rsidRPr="009F56AD">
        <w:rPr>
          <w:b/>
          <w:sz w:val="24"/>
          <w:szCs w:val="24"/>
        </w:rPr>
        <w:t>NUMRE)</w:t>
      </w:r>
    </w:p>
    <w:p w:rsidR="00947B7B" w:rsidRPr="009F56AD" w:rsidRDefault="00947B7B" w:rsidP="00947B7B">
      <w:pPr>
        <w:tabs>
          <w:tab w:val="left" w:pos="851"/>
        </w:tabs>
        <w:ind w:left="851" w:hanging="851"/>
        <w:rPr>
          <w:sz w:val="24"/>
          <w:szCs w:val="24"/>
        </w:rPr>
      </w:pPr>
      <w:r>
        <w:rPr>
          <w:sz w:val="24"/>
          <w:szCs w:val="24"/>
        </w:rPr>
        <w:tab/>
      </w:r>
      <w:r w:rsidRPr="009F56AD">
        <w:rPr>
          <w:sz w:val="24"/>
          <w:szCs w:val="24"/>
        </w:rPr>
        <w:t>59065</w:t>
      </w:r>
    </w:p>
    <w:p w:rsidR="00947B7B" w:rsidRPr="009F56AD" w:rsidRDefault="00947B7B" w:rsidP="00947B7B">
      <w:pPr>
        <w:tabs>
          <w:tab w:val="left" w:pos="851"/>
        </w:tabs>
        <w:ind w:left="851" w:hanging="851"/>
        <w:jc w:val="both"/>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9.</w:t>
      </w:r>
      <w:r w:rsidRPr="009F56AD">
        <w:rPr>
          <w:b/>
          <w:sz w:val="24"/>
          <w:szCs w:val="24"/>
        </w:rPr>
        <w:tab/>
        <w:t>DATO FOR FØRSTE MARKEDSFØRINGSTILLADELSE</w:t>
      </w:r>
    </w:p>
    <w:p w:rsidR="00947B7B" w:rsidRPr="009F56AD" w:rsidRDefault="00947B7B" w:rsidP="00947B7B">
      <w:pPr>
        <w:tabs>
          <w:tab w:val="left" w:pos="851"/>
        </w:tabs>
        <w:ind w:left="851" w:hanging="851"/>
        <w:rPr>
          <w:sz w:val="24"/>
          <w:szCs w:val="24"/>
        </w:rPr>
      </w:pPr>
      <w:r>
        <w:rPr>
          <w:sz w:val="24"/>
          <w:szCs w:val="24"/>
        </w:rPr>
        <w:tab/>
      </w:r>
      <w:r w:rsidRPr="009F56AD">
        <w:rPr>
          <w:sz w:val="24"/>
          <w:szCs w:val="24"/>
        </w:rPr>
        <w:t>28. januar 2013</w:t>
      </w:r>
    </w:p>
    <w:p w:rsidR="00947B7B" w:rsidRPr="009F56AD" w:rsidRDefault="00947B7B" w:rsidP="00947B7B">
      <w:pPr>
        <w:tabs>
          <w:tab w:val="left" w:pos="851"/>
        </w:tabs>
        <w:ind w:left="851" w:hanging="851"/>
        <w:rPr>
          <w:sz w:val="24"/>
          <w:szCs w:val="24"/>
        </w:rPr>
      </w:pPr>
    </w:p>
    <w:p w:rsidR="00947B7B" w:rsidRPr="009F56AD" w:rsidRDefault="00947B7B" w:rsidP="00947B7B">
      <w:pPr>
        <w:tabs>
          <w:tab w:val="left" w:pos="851"/>
        </w:tabs>
        <w:ind w:left="851" w:hanging="851"/>
        <w:rPr>
          <w:b/>
          <w:sz w:val="24"/>
          <w:szCs w:val="24"/>
        </w:rPr>
      </w:pPr>
      <w:r w:rsidRPr="009F56AD">
        <w:rPr>
          <w:b/>
          <w:sz w:val="24"/>
          <w:szCs w:val="24"/>
        </w:rPr>
        <w:t>10.</w:t>
      </w:r>
      <w:r w:rsidRPr="009F56AD">
        <w:rPr>
          <w:b/>
          <w:sz w:val="24"/>
          <w:szCs w:val="24"/>
        </w:rPr>
        <w:tab/>
        <w:t>DATO FOR ÆNDRING AF TEKSTEN</w:t>
      </w:r>
    </w:p>
    <w:p w:rsidR="00947B7B" w:rsidRPr="009F56AD" w:rsidRDefault="00947B7B" w:rsidP="00947B7B">
      <w:pPr>
        <w:tabs>
          <w:tab w:val="left" w:pos="851"/>
        </w:tabs>
        <w:ind w:left="851" w:hanging="851"/>
        <w:rPr>
          <w:sz w:val="24"/>
          <w:szCs w:val="24"/>
        </w:rPr>
      </w:pPr>
      <w:r>
        <w:rPr>
          <w:sz w:val="24"/>
          <w:szCs w:val="24"/>
        </w:rPr>
        <w:tab/>
      </w:r>
      <w:r w:rsidR="006F2B3A">
        <w:rPr>
          <w:sz w:val="24"/>
          <w:szCs w:val="24"/>
        </w:rPr>
        <w:t>12</w:t>
      </w:r>
      <w:r w:rsidR="00480B42">
        <w:rPr>
          <w:sz w:val="24"/>
          <w:szCs w:val="24"/>
        </w:rPr>
        <w:t xml:space="preserve">. </w:t>
      </w:r>
      <w:r w:rsidR="006F2B3A">
        <w:rPr>
          <w:sz w:val="24"/>
          <w:szCs w:val="24"/>
        </w:rPr>
        <w:t>juli</w:t>
      </w:r>
      <w:r w:rsidR="00480B42">
        <w:rPr>
          <w:sz w:val="24"/>
          <w:szCs w:val="24"/>
        </w:rPr>
        <w:t xml:space="preserve"> 202</w:t>
      </w:r>
      <w:r w:rsidR="006F2B3A">
        <w:rPr>
          <w:sz w:val="24"/>
          <w:szCs w:val="24"/>
        </w:rPr>
        <w:t>4</w:t>
      </w:r>
      <w:bookmarkStart w:id="0" w:name="_GoBack"/>
      <w:bookmarkEnd w:id="0"/>
    </w:p>
    <w:p w:rsidR="00947B7B" w:rsidRPr="005A3B24" w:rsidRDefault="00947B7B" w:rsidP="00947B7B"/>
    <w:p w:rsidR="00947B7B" w:rsidRPr="00FB099C" w:rsidRDefault="00947B7B" w:rsidP="00947B7B"/>
    <w:p w:rsidR="009260DE" w:rsidRPr="00947B7B" w:rsidRDefault="009260DE" w:rsidP="00947B7B"/>
    <w:sectPr w:rsidR="009260DE" w:rsidRPr="00947B7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B7B" w:rsidRDefault="00947B7B">
      <w:r>
        <w:separator/>
      </w:r>
    </w:p>
  </w:endnote>
  <w:endnote w:type="continuationSeparator" w:id="0">
    <w:p w:rsidR="00947B7B" w:rsidRDefault="0094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37ABA">
      <w:rPr>
        <w:i/>
        <w:noProof/>
        <w:sz w:val="18"/>
        <w:szCs w:val="18"/>
      </w:rPr>
      <w:t>Cytarabine Accord, injektions--infusionsvæske, opløsning 20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B7B" w:rsidRDefault="00947B7B">
      <w:r>
        <w:separator/>
      </w:r>
    </w:p>
  </w:footnote>
  <w:footnote w:type="continuationSeparator" w:id="0">
    <w:p w:rsidR="00947B7B" w:rsidRDefault="00947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11529D2"/>
    <w:multiLevelType w:val="hybridMultilevel"/>
    <w:tmpl w:val="0C683A7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7B"/>
    <w:rsid w:val="000259B9"/>
    <w:rsid w:val="00041491"/>
    <w:rsid w:val="00050D16"/>
    <w:rsid w:val="00057411"/>
    <w:rsid w:val="00074F2A"/>
    <w:rsid w:val="000A1CA8"/>
    <w:rsid w:val="000A2309"/>
    <w:rsid w:val="000A466B"/>
    <w:rsid w:val="000B058C"/>
    <w:rsid w:val="000E4EE6"/>
    <w:rsid w:val="001010EE"/>
    <w:rsid w:val="001454E2"/>
    <w:rsid w:val="001A371E"/>
    <w:rsid w:val="00206CE8"/>
    <w:rsid w:val="0021526C"/>
    <w:rsid w:val="00237ABA"/>
    <w:rsid w:val="0025197D"/>
    <w:rsid w:val="00283A2B"/>
    <w:rsid w:val="002B30AD"/>
    <w:rsid w:val="002C2C01"/>
    <w:rsid w:val="003052EF"/>
    <w:rsid w:val="0031147E"/>
    <w:rsid w:val="003A29AE"/>
    <w:rsid w:val="003A32D7"/>
    <w:rsid w:val="003B4074"/>
    <w:rsid w:val="003C769A"/>
    <w:rsid w:val="003F1838"/>
    <w:rsid w:val="0045746C"/>
    <w:rsid w:val="00457B7B"/>
    <w:rsid w:val="00480B42"/>
    <w:rsid w:val="0049104B"/>
    <w:rsid w:val="004E3B12"/>
    <w:rsid w:val="00512BE1"/>
    <w:rsid w:val="00532310"/>
    <w:rsid w:val="00560ECC"/>
    <w:rsid w:val="00565F0F"/>
    <w:rsid w:val="00594A86"/>
    <w:rsid w:val="00596D86"/>
    <w:rsid w:val="00637F5A"/>
    <w:rsid w:val="006560B1"/>
    <w:rsid w:val="006756DD"/>
    <w:rsid w:val="006E5F26"/>
    <w:rsid w:val="006F2B3A"/>
    <w:rsid w:val="00737275"/>
    <w:rsid w:val="00740EEC"/>
    <w:rsid w:val="0078011A"/>
    <w:rsid w:val="00782AF4"/>
    <w:rsid w:val="00790EE7"/>
    <w:rsid w:val="007B130D"/>
    <w:rsid w:val="007B6649"/>
    <w:rsid w:val="0081546F"/>
    <w:rsid w:val="0082576E"/>
    <w:rsid w:val="00907F75"/>
    <w:rsid w:val="009260DE"/>
    <w:rsid w:val="0093258A"/>
    <w:rsid w:val="00947B7B"/>
    <w:rsid w:val="009C7BA3"/>
    <w:rsid w:val="009D1F5A"/>
    <w:rsid w:val="00A819DC"/>
    <w:rsid w:val="00B003BF"/>
    <w:rsid w:val="00B373D7"/>
    <w:rsid w:val="00C2382D"/>
    <w:rsid w:val="00C36276"/>
    <w:rsid w:val="00C42586"/>
    <w:rsid w:val="00C60CCD"/>
    <w:rsid w:val="00C84483"/>
    <w:rsid w:val="00C95551"/>
    <w:rsid w:val="00CA4695"/>
    <w:rsid w:val="00CB20D7"/>
    <w:rsid w:val="00CB5068"/>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B4916"/>
  <w15:chartTrackingRefBased/>
  <w15:docId w15:val="{A6875D10-83D1-4D5C-9AD3-4383FBAA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947B7B"/>
    <w:pPr>
      <w:spacing w:before="100" w:beforeAutospacing="1" w:after="100" w:afterAutospacing="1"/>
    </w:pPr>
    <w:rPr>
      <w:sz w:val="24"/>
      <w:szCs w:val="24"/>
      <w:lang w:eastAsia="en-GB"/>
    </w:rPr>
  </w:style>
  <w:style w:type="paragraph" w:styleId="Listeafsnit">
    <w:name w:val="List Paragraph"/>
    <w:basedOn w:val="Normal"/>
    <w:uiPriority w:val="34"/>
    <w:qFormat/>
    <w:rsid w:val="00947B7B"/>
    <w:pPr>
      <w:ind w:left="720"/>
      <w:contextualSpacing/>
    </w:pPr>
    <w:rPr>
      <w:sz w:val="24"/>
      <w:szCs w:val="24"/>
      <w:lang w:eastAsia="en-GB"/>
    </w:rPr>
  </w:style>
  <w:style w:type="character" w:styleId="Hyperlink">
    <w:name w:val="Hyperlink"/>
    <w:uiPriority w:val="99"/>
    <w:semiHidden/>
    <w:unhideWhenUsed/>
    <w:rsid w:val="00947B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4484">
      <w:bodyDiv w:val="1"/>
      <w:marLeft w:val="0"/>
      <w:marRight w:val="0"/>
      <w:marTop w:val="0"/>
      <w:marBottom w:val="0"/>
      <w:divBdr>
        <w:top w:val="none" w:sz="0" w:space="0" w:color="auto"/>
        <w:left w:val="none" w:sz="0" w:space="0" w:color="auto"/>
        <w:bottom w:val="none" w:sz="0" w:space="0" w:color="auto"/>
        <w:right w:val="none" w:sz="0" w:space="0" w:color="auto"/>
      </w:divBdr>
    </w:div>
    <w:div w:id="11915527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109810">
      <w:bodyDiv w:val="1"/>
      <w:marLeft w:val="0"/>
      <w:marRight w:val="0"/>
      <w:marTop w:val="0"/>
      <w:marBottom w:val="0"/>
      <w:divBdr>
        <w:top w:val="none" w:sz="0" w:space="0" w:color="auto"/>
        <w:left w:val="none" w:sz="0" w:space="0" w:color="auto"/>
        <w:bottom w:val="none" w:sz="0" w:space="0" w:color="auto"/>
        <w:right w:val="none" w:sz="0" w:space="0" w:color="auto"/>
      </w:divBdr>
    </w:div>
    <w:div w:id="312687411">
      <w:bodyDiv w:val="1"/>
      <w:marLeft w:val="0"/>
      <w:marRight w:val="0"/>
      <w:marTop w:val="0"/>
      <w:marBottom w:val="0"/>
      <w:divBdr>
        <w:top w:val="none" w:sz="0" w:space="0" w:color="auto"/>
        <w:left w:val="none" w:sz="0" w:space="0" w:color="auto"/>
        <w:bottom w:val="none" w:sz="0" w:space="0" w:color="auto"/>
        <w:right w:val="none" w:sz="0" w:space="0" w:color="auto"/>
      </w:divBdr>
    </w:div>
    <w:div w:id="456875386">
      <w:bodyDiv w:val="1"/>
      <w:marLeft w:val="0"/>
      <w:marRight w:val="0"/>
      <w:marTop w:val="0"/>
      <w:marBottom w:val="0"/>
      <w:divBdr>
        <w:top w:val="none" w:sz="0" w:space="0" w:color="auto"/>
        <w:left w:val="none" w:sz="0" w:space="0" w:color="auto"/>
        <w:bottom w:val="none" w:sz="0" w:space="0" w:color="auto"/>
        <w:right w:val="none" w:sz="0" w:space="0" w:color="auto"/>
      </w:divBdr>
    </w:div>
    <w:div w:id="523205742">
      <w:bodyDiv w:val="1"/>
      <w:marLeft w:val="0"/>
      <w:marRight w:val="0"/>
      <w:marTop w:val="0"/>
      <w:marBottom w:val="0"/>
      <w:divBdr>
        <w:top w:val="none" w:sz="0" w:space="0" w:color="auto"/>
        <w:left w:val="none" w:sz="0" w:space="0" w:color="auto"/>
        <w:bottom w:val="none" w:sz="0" w:space="0" w:color="auto"/>
        <w:right w:val="none" w:sz="0" w:space="0" w:color="auto"/>
      </w:divBdr>
    </w:div>
    <w:div w:id="922644676">
      <w:bodyDiv w:val="1"/>
      <w:marLeft w:val="0"/>
      <w:marRight w:val="0"/>
      <w:marTop w:val="0"/>
      <w:marBottom w:val="0"/>
      <w:divBdr>
        <w:top w:val="none" w:sz="0" w:space="0" w:color="auto"/>
        <w:left w:val="none" w:sz="0" w:space="0" w:color="auto"/>
        <w:bottom w:val="none" w:sz="0" w:space="0" w:color="auto"/>
        <w:right w:val="none" w:sz="0" w:space="0" w:color="auto"/>
      </w:divBdr>
    </w:div>
    <w:div w:id="993333327">
      <w:bodyDiv w:val="1"/>
      <w:marLeft w:val="0"/>
      <w:marRight w:val="0"/>
      <w:marTop w:val="0"/>
      <w:marBottom w:val="0"/>
      <w:divBdr>
        <w:top w:val="none" w:sz="0" w:space="0" w:color="auto"/>
        <w:left w:val="none" w:sz="0" w:space="0" w:color="auto"/>
        <w:bottom w:val="none" w:sz="0" w:space="0" w:color="auto"/>
        <w:right w:val="none" w:sz="0" w:space="0" w:color="auto"/>
      </w:divBdr>
    </w:div>
    <w:div w:id="1004624528">
      <w:bodyDiv w:val="1"/>
      <w:marLeft w:val="0"/>
      <w:marRight w:val="0"/>
      <w:marTop w:val="0"/>
      <w:marBottom w:val="0"/>
      <w:divBdr>
        <w:top w:val="none" w:sz="0" w:space="0" w:color="auto"/>
        <w:left w:val="none" w:sz="0" w:space="0" w:color="auto"/>
        <w:bottom w:val="none" w:sz="0" w:space="0" w:color="auto"/>
        <w:right w:val="none" w:sz="0" w:space="0" w:color="auto"/>
      </w:divBdr>
    </w:div>
    <w:div w:id="1902667120">
      <w:bodyDiv w:val="1"/>
      <w:marLeft w:val="0"/>
      <w:marRight w:val="0"/>
      <w:marTop w:val="0"/>
      <w:marBottom w:val="0"/>
      <w:divBdr>
        <w:top w:val="none" w:sz="0" w:space="0" w:color="auto"/>
        <w:left w:val="none" w:sz="0" w:space="0" w:color="auto"/>
        <w:bottom w:val="none" w:sz="0" w:space="0" w:color="auto"/>
        <w:right w:val="none" w:sz="0" w:space="0" w:color="auto"/>
      </w:divBdr>
    </w:div>
    <w:div w:id="2115705974">
      <w:bodyDiv w:val="1"/>
      <w:marLeft w:val="0"/>
      <w:marRight w:val="0"/>
      <w:marTop w:val="0"/>
      <w:marBottom w:val="0"/>
      <w:divBdr>
        <w:top w:val="none" w:sz="0" w:space="0" w:color="auto"/>
        <w:left w:val="none" w:sz="0" w:space="0" w:color="auto"/>
        <w:bottom w:val="none" w:sz="0" w:space="0" w:color="auto"/>
        <w:right w:val="none" w:sz="0" w:space="0" w:color="auto"/>
      </w:divBdr>
    </w:div>
    <w:div w:id="21423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4572</Words>
  <Characters>30619</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2023074173_x000d_
Pkt. 4.2, 4.3, 4.4, 4.5, 4.6, 4.7, 4.8, 6.2 og overskrifter iht. QRD</dc:description>
  <cp:lastModifiedBy>Victoria Alexsandra Ringgaard</cp:lastModifiedBy>
  <cp:revision>3</cp:revision>
  <cp:lastPrinted>2012-08-22T08:53:00Z</cp:lastPrinted>
  <dcterms:created xsi:type="dcterms:W3CDTF">2024-07-10T11:55:00Z</dcterms:created>
  <dcterms:modified xsi:type="dcterms:W3CDTF">2024-07-10T12:10:00Z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