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B6EC52" w14:textId="77777777" w:rsidR="009260DE" w:rsidRPr="004714C6" w:rsidRDefault="0021526C" w:rsidP="009260DE">
      <w:pPr>
        <w:rPr>
          <w:sz w:val="24"/>
          <w:szCs w:val="24"/>
        </w:rPr>
      </w:pPr>
      <w:bookmarkStart w:id="0" w:name="_GoBack"/>
      <w:bookmarkEnd w:id="0"/>
      <w:r w:rsidRPr="004714C6">
        <w:rPr>
          <w:noProof/>
          <w:sz w:val="24"/>
          <w:szCs w:val="24"/>
          <w:lang w:eastAsia="da-DK"/>
        </w:rPr>
        <w:drawing>
          <wp:anchor distT="0" distB="0" distL="114300" distR="114300" simplePos="0" relativeHeight="251658240" behindDoc="0" locked="0" layoutInCell="1" allowOverlap="1" wp14:anchorId="5831F57C" wp14:editId="0FA37EA6">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4714C6">
        <w:rPr>
          <w:sz w:val="24"/>
          <w:szCs w:val="24"/>
        </w:rPr>
        <w:br w:type="textWrapping" w:clear="all"/>
      </w:r>
    </w:p>
    <w:p w14:paraId="34A47751" w14:textId="0866A625" w:rsidR="00DB2DAE" w:rsidRPr="00DB2DAE" w:rsidRDefault="009260DE" w:rsidP="009260DE">
      <w:pPr>
        <w:pStyle w:val="Titel"/>
        <w:tabs>
          <w:tab w:val="right" w:pos="9356"/>
        </w:tabs>
        <w:jc w:val="left"/>
        <w:rPr>
          <w:szCs w:val="24"/>
        </w:rPr>
      </w:pPr>
      <w:r w:rsidRPr="004714C6">
        <w:rPr>
          <w:b w:val="0"/>
          <w:szCs w:val="24"/>
          <w:lang w:eastAsia="en-US"/>
        </w:rPr>
        <w:tab/>
      </w:r>
      <w:r w:rsidR="00DB2DAE">
        <w:rPr>
          <w:szCs w:val="24"/>
        </w:rPr>
        <w:t>25. november 2024</w:t>
      </w:r>
    </w:p>
    <w:p w14:paraId="7FD063C1" w14:textId="77777777" w:rsidR="009260DE" w:rsidRPr="004714C6" w:rsidRDefault="009260DE" w:rsidP="009260DE">
      <w:pPr>
        <w:pStyle w:val="Titel"/>
        <w:tabs>
          <w:tab w:val="left" w:pos="8222"/>
        </w:tabs>
        <w:jc w:val="left"/>
        <w:rPr>
          <w:b w:val="0"/>
          <w:szCs w:val="24"/>
        </w:rPr>
      </w:pPr>
    </w:p>
    <w:p w14:paraId="788FD706" w14:textId="77777777" w:rsidR="009260DE" w:rsidRPr="004714C6" w:rsidRDefault="009260DE" w:rsidP="009260DE">
      <w:pPr>
        <w:pStyle w:val="Titel"/>
        <w:jc w:val="left"/>
        <w:rPr>
          <w:b w:val="0"/>
          <w:szCs w:val="24"/>
        </w:rPr>
      </w:pPr>
    </w:p>
    <w:p w14:paraId="41390162" w14:textId="77777777" w:rsidR="009260DE" w:rsidRPr="004714C6" w:rsidRDefault="009260DE" w:rsidP="009260DE">
      <w:pPr>
        <w:pStyle w:val="Titel"/>
        <w:jc w:val="left"/>
        <w:rPr>
          <w:b w:val="0"/>
          <w:szCs w:val="24"/>
        </w:rPr>
      </w:pPr>
    </w:p>
    <w:p w14:paraId="42F6DE59" w14:textId="77777777" w:rsidR="009260DE" w:rsidRPr="004714C6" w:rsidRDefault="009260DE" w:rsidP="009260DE">
      <w:pPr>
        <w:jc w:val="center"/>
        <w:rPr>
          <w:b/>
          <w:sz w:val="24"/>
          <w:szCs w:val="24"/>
        </w:rPr>
      </w:pPr>
      <w:r w:rsidRPr="004714C6">
        <w:rPr>
          <w:b/>
          <w:sz w:val="24"/>
          <w:szCs w:val="24"/>
        </w:rPr>
        <w:t>PRODUKTRESUMÉ</w:t>
      </w:r>
    </w:p>
    <w:p w14:paraId="13BCDCB1" w14:textId="77777777" w:rsidR="009260DE" w:rsidRPr="004714C6" w:rsidRDefault="009260DE" w:rsidP="009260DE">
      <w:pPr>
        <w:jc w:val="center"/>
        <w:rPr>
          <w:b/>
          <w:sz w:val="24"/>
          <w:szCs w:val="24"/>
        </w:rPr>
      </w:pPr>
    </w:p>
    <w:p w14:paraId="4F6B3C67" w14:textId="77777777" w:rsidR="009260DE" w:rsidRPr="004714C6" w:rsidRDefault="009260DE" w:rsidP="009260DE">
      <w:pPr>
        <w:jc w:val="center"/>
        <w:rPr>
          <w:b/>
          <w:sz w:val="24"/>
          <w:szCs w:val="24"/>
        </w:rPr>
      </w:pPr>
      <w:r w:rsidRPr="004714C6">
        <w:rPr>
          <w:b/>
          <w:sz w:val="24"/>
          <w:szCs w:val="24"/>
        </w:rPr>
        <w:t>for</w:t>
      </w:r>
    </w:p>
    <w:p w14:paraId="5FF92DE8" w14:textId="77777777" w:rsidR="000B058C" w:rsidRPr="004714C6" w:rsidRDefault="000B058C" w:rsidP="009260DE">
      <w:pPr>
        <w:jc w:val="center"/>
        <w:rPr>
          <w:b/>
          <w:sz w:val="24"/>
          <w:szCs w:val="24"/>
        </w:rPr>
      </w:pPr>
    </w:p>
    <w:p w14:paraId="75630C19" w14:textId="476A4FA1" w:rsidR="009260DE" w:rsidRPr="004714C6" w:rsidRDefault="009156D1" w:rsidP="009260DE">
      <w:pPr>
        <w:jc w:val="center"/>
        <w:rPr>
          <w:b/>
          <w:sz w:val="24"/>
          <w:szCs w:val="24"/>
        </w:rPr>
      </w:pPr>
      <w:r w:rsidRPr="004714C6">
        <w:rPr>
          <w:b/>
          <w:sz w:val="24"/>
          <w:szCs w:val="24"/>
        </w:rPr>
        <w:t xml:space="preserve">Dabigatran etexilate </w:t>
      </w:r>
      <w:r w:rsidR="00647CA7" w:rsidRPr="004714C6">
        <w:rPr>
          <w:b/>
          <w:sz w:val="24"/>
          <w:szCs w:val="24"/>
        </w:rPr>
        <w:t>"</w:t>
      </w:r>
      <w:r w:rsidRPr="004714C6">
        <w:rPr>
          <w:b/>
          <w:sz w:val="24"/>
          <w:szCs w:val="24"/>
        </w:rPr>
        <w:t xml:space="preserve">Medical Valley", hårde kapsler </w:t>
      </w:r>
      <w:r w:rsidR="00890051" w:rsidRPr="004714C6">
        <w:rPr>
          <w:b/>
          <w:sz w:val="24"/>
          <w:szCs w:val="24"/>
        </w:rPr>
        <w:t>110</w:t>
      </w:r>
      <w:r w:rsidRPr="004714C6">
        <w:rPr>
          <w:b/>
          <w:sz w:val="24"/>
          <w:szCs w:val="24"/>
        </w:rPr>
        <w:t xml:space="preserve"> mg</w:t>
      </w:r>
    </w:p>
    <w:p w14:paraId="73D40DB8" w14:textId="77777777" w:rsidR="009260DE" w:rsidRPr="004714C6" w:rsidRDefault="009260DE" w:rsidP="009260DE">
      <w:pPr>
        <w:jc w:val="both"/>
        <w:rPr>
          <w:sz w:val="24"/>
          <w:szCs w:val="24"/>
        </w:rPr>
      </w:pPr>
    </w:p>
    <w:p w14:paraId="291F48C0" w14:textId="77777777" w:rsidR="009260DE" w:rsidRPr="004714C6" w:rsidRDefault="009260DE" w:rsidP="009260DE">
      <w:pPr>
        <w:jc w:val="both"/>
        <w:rPr>
          <w:sz w:val="24"/>
          <w:szCs w:val="24"/>
        </w:rPr>
      </w:pPr>
    </w:p>
    <w:p w14:paraId="3036BFCC" w14:textId="77777777" w:rsidR="009260DE" w:rsidRPr="004714C6" w:rsidRDefault="009260DE" w:rsidP="009260DE">
      <w:pPr>
        <w:tabs>
          <w:tab w:val="left" w:pos="851"/>
        </w:tabs>
        <w:ind w:left="851" w:hanging="851"/>
        <w:rPr>
          <w:b/>
          <w:sz w:val="24"/>
          <w:szCs w:val="24"/>
        </w:rPr>
      </w:pPr>
      <w:r w:rsidRPr="004714C6">
        <w:rPr>
          <w:b/>
          <w:sz w:val="24"/>
          <w:szCs w:val="24"/>
        </w:rPr>
        <w:t>0.</w:t>
      </w:r>
      <w:r w:rsidRPr="004714C6">
        <w:rPr>
          <w:b/>
          <w:sz w:val="24"/>
          <w:szCs w:val="24"/>
        </w:rPr>
        <w:tab/>
        <w:t>D.SP.NR.</w:t>
      </w:r>
    </w:p>
    <w:p w14:paraId="3F68CAFA" w14:textId="21804B4C" w:rsidR="009260DE" w:rsidRPr="004714C6" w:rsidRDefault="009156D1" w:rsidP="009260DE">
      <w:pPr>
        <w:tabs>
          <w:tab w:val="left" w:pos="851"/>
        </w:tabs>
        <w:ind w:left="851"/>
        <w:rPr>
          <w:sz w:val="24"/>
          <w:szCs w:val="24"/>
        </w:rPr>
      </w:pPr>
      <w:r w:rsidRPr="004714C6">
        <w:rPr>
          <w:sz w:val="24"/>
          <w:szCs w:val="24"/>
        </w:rPr>
        <w:t>32748</w:t>
      </w:r>
    </w:p>
    <w:p w14:paraId="323FB8CE" w14:textId="77777777" w:rsidR="009260DE" w:rsidRPr="004714C6" w:rsidRDefault="009260DE" w:rsidP="009260DE">
      <w:pPr>
        <w:tabs>
          <w:tab w:val="left" w:pos="851"/>
        </w:tabs>
        <w:ind w:left="851"/>
        <w:rPr>
          <w:sz w:val="24"/>
          <w:szCs w:val="24"/>
        </w:rPr>
      </w:pPr>
    </w:p>
    <w:p w14:paraId="51A18476" w14:textId="77777777" w:rsidR="009260DE" w:rsidRPr="004714C6" w:rsidRDefault="009260DE" w:rsidP="009260DE">
      <w:pPr>
        <w:tabs>
          <w:tab w:val="left" w:pos="851"/>
        </w:tabs>
        <w:ind w:left="851" w:hanging="851"/>
        <w:rPr>
          <w:b/>
          <w:sz w:val="24"/>
          <w:szCs w:val="24"/>
        </w:rPr>
      </w:pPr>
      <w:r w:rsidRPr="004714C6">
        <w:rPr>
          <w:b/>
          <w:sz w:val="24"/>
          <w:szCs w:val="24"/>
        </w:rPr>
        <w:t>1.</w:t>
      </w:r>
      <w:r w:rsidRPr="004714C6">
        <w:rPr>
          <w:b/>
          <w:sz w:val="24"/>
          <w:szCs w:val="24"/>
        </w:rPr>
        <w:tab/>
        <w:t>LÆGEMIDLETS NAVN</w:t>
      </w:r>
    </w:p>
    <w:p w14:paraId="3C63839A" w14:textId="6F22CD48" w:rsidR="009260DE" w:rsidRPr="004714C6" w:rsidRDefault="009156D1" w:rsidP="009260DE">
      <w:pPr>
        <w:tabs>
          <w:tab w:val="left" w:pos="851"/>
        </w:tabs>
        <w:ind w:left="851"/>
        <w:rPr>
          <w:sz w:val="24"/>
          <w:szCs w:val="24"/>
        </w:rPr>
      </w:pPr>
      <w:r w:rsidRPr="004714C6">
        <w:rPr>
          <w:sz w:val="24"/>
          <w:szCs w:val="24"/>
        </w:rPr>
        <w:t xml:space="preserve">Dabigatran etexilate </w:t>
      </w:r>
      <w:r w:rsidR="0072235D" w:rsidRPr="004714C6">
        <w:rPr>
          <w:sz w:val="24"/>
          <w:szCs w:val="24"/>
        </w:rPr>
        <w:t>"</w:t>
      </w:r>
      <w:r w:rsidRPr="004714C6">
        <w:rPr>
          <w:sz w:val="24"/>
          <w:szCs w:val="24"/>
        </w:rPr>
        <w:t>Medical Valley"</w:t>
      </w:r>
    </w:p>
    <w:p w14:paraId="50BC7187" w14:textId="77777777" w:rsidR="009260DE" w:rsidRPr="004714C6" w:rsidRDefault="009260DE" w:rsidP="009260DE">
      <w:pPr>
        <w:tabs>
          <w:tab w:val="left" w:pos="851"/>
        </w:tabs>
        <w:ind w:left="851"/>
        <w:rPr>
          <w:sz w:val="24"/>
          <w:szCs w:val="24"/>
        </w:rPr>
      </w:pPr>
    </w:p>
    <w:p w14:paraId="685C25ED" w14:textId="77777777" w:rsidR="009260DE" w:rsidRPr="004714C6" w:rsidRDefault="009260DE" w:rsidP="009260DE">
      <w:pPr>
        <w:tabs>
          <w:tab w:val="left" w:pos="851"/>
        </w:tabs>
        <w:ind w:left="851" w:hanging="851"/>
        <w:rPr>
          <w:b/>
          <w:sz w:val="24"/>
          <w:szCs w:val="24"/>
        </w:rPr>
      </w:pPr>
      <w:r w:rsidRPr="004714C6">
        <w:rPr>
          <w:b/>
          <w:sz w:val="24"/>
          <w:szCs w:val="24"/>
        </w:rPr>
        <w:t>2.</w:t>
      </w:r>
      <w:r w:rsidRPr="004714C6">
        <w:rPr>
          <w:b/>
          <w:sz w:val="24"/>
          <w:szCs w:val="24"/>
        </w:rPr>
        <w:tab/>
        <w:t>KVALITATIV OG KVANTITATIV SAMMENSÆTNING</w:t>
      </w:r>
    </w:p>
    <w:p w14:paraId="2464F68E" w14:textId="77777777" w:rsidR="00A76826" w:rsidRPr="004714C6" w:rsidRDefault="00A76826" w:rsidP="00647CA7">
      <w:pPr>
        <w:ind w:left="851"/>
        <w:rPr>
          <w:sz w:val="24"/>
          <w:szCs w:val="24"/>
        </w:rPr>
      </w:pPr>
      <w:r w:rsidRPr="004714C6">
        <w:rPr>
          <w:sz w:val="24"/>
          <w:szCs w:val="24"/>
        </w:rPr>
        <w:t>Hver kapsel indeholder dabigatranetexilatmesilat svarende til 110 mg dabigatranetexilat</w:t>
      </w:r>
    </w:p>
    <w:p w14:paraId="50536101" w14:textId="77777777" w:rsidR="00A76826" w:rsidRPr="004714C6" w:rsidRDefault="00A76826" w:rsidP="00647CA7">
      <w:pPr>
        <w:ind w:left="851"/>
        <w:rPr>
          <w:sz w:val="24"/>
          <w:szCs w:val="24"/>
        </w:rPr>
      </w:pPr>
    </w:p>
    <w:p w14:paraId="29BD3EC7" w14:textId="77777777" w:rsidR="00A76826" w:rsidRPr="004714C6" w:rsidRDefault="00A76826" w:rsidP="00647CA7">
      <w:pPr>
        <w:ind w:left="851"/>
        <w:rPr>
          <w:iCs/>
          <w:sz w:val="24"/>
          <w:szCs w:val="24"/>
        </w:rPr>
      </w:pPr>
      <w:bookmarkStart w:id="1" w:name="_Hlk153782584"/>
      <w:r w:rsidRPr="004714C6">
        <w:rPr>
          <w:iCs/>
          <w:sz w:val="24"/>
          <w:szCs w:val="24"/>
        </w:rPr>
        <w:t>Alle hjælpestoffer er anført under pkt. 6.1.</w:t>
      </w:r>
      <w:bookmarkEnd w:id="1"/>
    </w:p>
    <w:p w14:paraId="3FA7576A" w14:textId="77777777" w:rsidR="009260DE" w:rsidRPr="004714C6" w:rsidRDefault="009260DE" w:rsidP="009260DE">
      <w:pPr>
        <w:tabs>
          <w:tab w:val="left" w:pos="851"/>
        </w:tabs>
        <w:ind w:left="851"/>
        <w:rPr>
          <w:sz w:val="24"/>
          <w:szCs w:val="24"/>
        </w:rPr>
      </w:pPr>
    </w:p>
    <w:p w14:paraId="11D15FF7" w14:textId="77777777" w:rsidR="009260DE" w:rsidRPr="004714C6" w:rsidRDefault="009260DE" w:rsidP="009260DE">
      <w:pPr>
        <w:tabs>
          <w:tab w:val="left" w:pos="851"/>
        </w:tabs>
        <w:ind w:left="851" w:hanging="851"/>
        <w:rPr>
          <w:b/>
          <w:sz w:val="24"/>
          <w:szCs w:val="24"/>
        </w:rPr>
      </w:pPr>
      <w:r w:rsidRPr="004714C6">
        <w:rPr>
          <w:b/>
          <w:sz w:val="24"/>
          <w:szCs w:val="24"/>
        </w:rPr>
        <w:t>3.</w:t>
      </w:r>
      <w:r w:rsidRPr="004714C6">
        <w:rPr>
          <w:b/>
          <w:sz w:val="24"/>
          <w:szCs w:val="24"/>
        </w:rPr>
        <w:tab/>
        <w:t>LÆGEMIDDELFORM</w:t>
      </w:r>
    </w:p>
    <w:p w14:paraId="4AF43CB1" w14:textId="285F1280" w:rsidR="00A76826" w:rsidRPr="004714C6" w:rsidRDefault="00A76826" w:rsidP="00647CA7">
      <w:pPr>
        <w:ind w:left="851"/>
        <w:rPr>
          <w:sz w:val="24"/>
          <w:szCs w:val="24"/>
        </w:rPr>
      </w:pPr>
      <w:r w:rsidRPr="004714C6">
        <w:rPr>
          <w:sz w:val="24"/>
          <w:szCs w:val="24"/>
        </w:rPr>
        <w:t>Hård</w:t>
      </w:r>
      <w:r w:rsidR="0072235D" w:rsidRPr="004714C6">
        <w:rPr>
          <w:sz w:val="24"/>
          <w:szCs w:val="24"/>
        </w:rPr>
        <w:t>e</w:t>
      </w:r>
      <w:r w:rsidRPr="004714C6">
        <w:rPr>
          <w:sz w:val="24"/>
          <w:szCs w:val="24"/>
        </w:rPr>
        <w:t xml:space="preserve"> kaps</w:t>
      </w:r>
      <w:r w:rsidR="0072235D" w:rsidRPr="004714C6">
        <w:rPr>
          <w:sz w:val="24"/>
          <w:szCs w:val="24"/>
        </w:rPr>
        <w:t>ler</w:t>
      </w:r>
    </w:p>
    <w:p w14:paraId="16C9398E" w14:textId="77777777" w:rsidR="00A76826" w:rsidRPr="004714C6" w:rsidRDefault="00A76826" w:rsidP="00647CA7">
      <w:pPr>
        <w:ind w:left="851"/>
        <w:rPr>
          <w:sz w:val="24"/>
          <w:szCs w:val="24"/>
        </w:rPr>
      </w:pPr>
    </w:p>
    <w:p w14:paraId="7D76D391" w14:textId="06943406" w:rsidR="00A76826" w:rsidRPr="004714C6" w:rsidRDefault="00A76826" w:rsidP="00647CA7">
      <w:pPr>
        <w:ind w:left="851"/>
        <w:rPr>
          <w:sz w:val="24"/>
          <w:szCs w:val="24"/>
        </w:rPr>
      </w:pPr>
      <w:r w:rsidRPr="004714C6">
        <w:rPr>
          <w:iCs/>
          <w:sz w:val="24"/>
          <w:szCs w:val="24"/>
        </w:rPr>
        <w:t xml:space="preserve">Dabigatran etexilate </w:t>
      </w:r>
      <w:r w:rsidR="0072235D" w:rsidRPr="004714C6">
        <w:rPr>
          <w:iCs/>
          <w:sz w:val="24"/>
          <w:szCs w:val="24"/>
        </w:rPr>
        <w:t>"Medical Valley"</w:t>
      </w:r>
      <w:r w:rsidRPr="004714C6">
        <w:rPr>
          <w:iCs/>
          <w:sz w:val="24"/>
          <w:szCs w:val="24"/>
        </w:rPr>
        <w:t xml:space="preserve"> 110 mg hårde kapsler: Kapsler på ca. </w:t>
      </w:r>
      <w:r w:rsidRPr="004714C6">
        <w:rPr>
          <w:color w:val="000000"/>
          <w:sz w:val="24"/>
          <w:szCs w:val="24"/>
        </w:rPr>
        <w:t xml:space="preserve">19 mm </w:t>
      </w:r>
      <w:r w:rsidRPr="004714C6">
        <w:rPr>
          <w:sz w:val="24"/>
          <w:szCs w:val="24"/>
        </w:rPr>
        <w:t>med en lyseblå,</w:t>
      </w:r>
      <w:r w:rsidR="0072235D" w:rsidRPr="004714C6">
        <w:rPr>
          <w:sz w:val="24"/>
          <w:szCs w:val="24"/>
        </w:rPr>
        <w:t xml:space="preserve"> </w:t>
      </w:r>
      <w:r w:rsidRPr="004714C6">
        <w:rPr>
          <w:sz w:val="24"/>
          <w:szCs w:val="24"/>
        </w:rPr>
        <w:t>uigennemsigtig hætte og en lyseblå, uigennemsigtig krop i størrelse ’1’, fyldt med offwhite til gullige pellets.</w:t>
      </w:r>
    </w:p>
    <w:p w14:paraId="52B7682E" w14:textId="77777777" w:rsidR="009260DE" w:rsidRPr="004714C6" w:rsidRDefault="009260DE" w:rsidP="009260DE">
      <w:pPr>
        <w:tabs>
          <w:tab w:val="left" w:pos="851"/>
        </w:tabs>
        <w:ind w:left="851"/>
        <w:rPr>
          <w:sz w:val="24"/>
          <w:szCs w:val="24"/>
        </w:rPr>
      </w:pPr>
    </w:p>
    <w:p w14:paraId="61247FA8" w14:textId="77777777" w:rsidR="009260DE" w:rsidRPr="004714C6" w:rsidRDefault="009260DE" w:rsidP="009260DE">
      <w:pPr>
        <w:tabs>
          <w:tab w:val="left" w:pos="851"/>
        </w:tabs>
        <w:ind w:left="851"/>
        <w:rPr>
          <w:sz w:val="24"/>
          <w:szCs w:val="24"/>
        </w:rPr>
      </w:pPr>
    </w:p>
    <w:p w14:paraId="50422CCB" w14:textId="77777777" w:rsidR="009260DE" w:rsidRPr="004714C6" w:rsidRDefault="009260DE" w:rsidP="009260DE">
      <w:pPr>
        <w:tabs>
          <w:tab w:val="left" w:pos="851"/>
        </w:tabs>
        <w:ind w:left="851" w:hanging="851"/>
        <w:rPr>
          <w:b/>
          <w:sz w:val="24"/>
          <w:szCs w:val="24"/>
        </w:rPr>
      </w:pPr>
      <w:r w:rsidRPr="004714C6">
        <w:rPr>
          <w:b/>
          <w:sz w:val="24"/>
          <w:szCs w:val="24"/>
        </w:rPr>
        <w:t>4.</w:t>
      </w:r>
      <w:r w:rsidRPr="004714C6">
        <w:rPr>
          <w:b/>
          <w:sz w:val="24"/>
          <w:szCs w:val="24"/>
        </w:rPr>
        <w:tab/>
        <w:t>KLINISKE OPLYSNINGER</w:t>
      </w:r>
    </w:p>
    <w:p w14:paraId="15BD3CA5" w14:textId="77777777" w:rsidR="009260DE" w:rsidRPr="004714C6" w:rsidRDefault="009260DE" w:rsidP="009260DE">
      <w:pPr>
        <w:tabs>
          <w:tab w:val="left" w:pos="851"/>
        </w:tabs>
        <w:ind w:left="851"/>
        <w:rPr>
          <w:b/>
          <w:sz w:val="24"/>
          <w:szCs w:val="24"/>
        </w:rPr>
      </w:pPr>
    </w:p>
    <w:p w14:paraId="17CC31B4" w14:textId="77777777" w:rsidR="009260DE" w:rsidRPr="004714C6" w:rsidRDefault="009260DE" w:rsidP="009260DE">
      <w:pPr>
        <w:tabs>
          <w:tab w:val="left" w:pos="851"/>
        </w:tabs>
        <w:ind w:left="851" w:hanging="851"/>
        <w:rPr>
          <w:b/>
          <w:sz w:val="24"/>
          <w:szCs w:val="24"/>
          <w:u w:val="single"/>
        </w:rPr>
      </w:pPr>
      <w:r w:rsidRPr="004714C6">
        <w:rPr>
          <w:b/>
          <w:sz w:val="24"/>
          <w:szCs w:val="24"/>
        </w:rPr>
        <w:t>4.1</w:t>
      </w:r>
      <w:r w:rsidRPr="004714C6">
        <w:rPr>
          <w:b/>
          <w:sz w:val="24"/>
          <w:szCs w:val="24"/>
        </w:rPr>
        <w:tab/>
        <w:t>Terapeutiske indikationer</w:t>
      </w:r>
    </w:p>
    <w:p w14:paraId="1FADD331" w14:textId="77777777" w:rsidR="00A76826" w:rsidRPr="004714C6" w:rsidRDefault="00A76826" w:rsidP="00647CA7">
      <w:pPr>
        <w:widowControl w:val="0"/>
        <w:autoSpaceDE w:val="0"/>
        <w:autoSpaceDN w:val="0"/>
        <w:adjustRightInd w:val="0"/>
        <w:ind w:left="851" w:right="231"/>
        <w:rPr>
          <w:color w:val="000000"/>
          <w:sz w:val="24"/>
          <w:szCs w:val="24"/>
        </w:rPr>
      </w:pPr>
      <w:r w:rsidRPr="004714C6">
        <w:rPr>
          <w:color w:val="000000"/>
          <w:sz w:val="24"/>
          <w:szCs w:val="24"/>
        </w:rPr>
        <w:t>Primær forebyggelse af venøs tromboemboli (VTE) hos voksne patienter efter elektiv total hofte</w:t>
      </w:r>
      <w:r w:rsidRPr="004714C6">
        <w:rPr>
          <w:color w:val="000000"/>
          <w:sz w:val="24"/>
          <w:szCs w:val="24"/>
        </w:rPr>
        <w:noBreakHyphen/>
        <w:t xml:space="preserve"> eller knæalloplastik.</w:t>
      </w:r>
    </w:p>
    <w:p w14:paraId="6A8BB08D" w14:textId="77777777" w:rsidR="00A76826" w:rsidRPr="004714C6" w:rsidRDefault="00A76826" w:rsidP="00647CA7">
      <w:pPr>
        <w:widowControl w:val="0"/>
        <w:autoSpaceDE w:val="0"/>
        <w:autoSpaceDN w:val="0"/>
        <w:adjustRightInd w:val="0"/>
        <w:ind w:left="851" w:right="231"/>
        <w:rPr>
          <w:color w:val="000000"/>
          <w:sz w:val="24"/>
          <w:szCs w:val="24"/>
        </w:rPr>
      </w:pPr>
    </w:p>
    <w:p w14:paraId="0C010271" w14:textId="77777777" w:rsidR="00A76826" w:rsidRPr="004714C6" w:rsidRDefault="00A76826" w:rsidP="00647CA7">
      <w:pPr>
        <w:widowControl w:val="0"/>
        <w:autoSpaceDE w:val="0"/>
        <w:autoSpaceDN w:val="0"/>
        <w:adjustRightInd w:val="0"/>
        <w:ind w:left="851" w:right="-20"/>
        <w:rPr>
          <w:color w:val="000000"/>
          <w:sz w:val="24"/>
          <w:szCs w:val="24"/>
        </w:rPr>
      </w:pPr>
      <w:r w:rsidRPr="004714C6">
        <w:rPr>
          <w:color w:val="000000"/>
          <w:sz w:val="24"/>
          <w:szCs w:val="24"/>
        </w:rPr>
        <w:t xml:space="preserve">Forebyggelse af apopleksi og systemisk emboli hos voksne patienter med </w:t>
      </w:r>
      <w:r w:rsidRPr="004714C6">
        <w:rPr>
          <w:color w:val="000000"/>
          <w:spacing w:val="-4"/>
          <w:sz w:val="24"/>
          <w:szCs w:val="24"/>
        </w:rPr>
        <w:t xml:space="preserve">non-valvulær </w:t>
      </w:r>
      <w:r w:rsidRPr="004714C6">
        <w:rPr>
          <w:color w:val="000000"/>
          <w:sz w:val="24"/>
          <w:szCs w:val="24"/>
        </w:rPr>
        <w:t xml:space="preserve">atrieflimren (NVAF) og med en eller flere risikofaktorer, såsom tidligere apopleksi eller transitorisk cerebral iskæmi </w:t>
      </w:r>
      <w:r w:rsidRPr="004714C6">
        <w:rPr>
          <w:color w:val="000000"/>
          <w:spacing w:val="-3"/>
          <w:sz w:val="24"/>
          <w:szCs w:val="24"/>
        </w:rPr>
        <w:t>(</w:t>
      </w:r>
      <w:r w:rsidRPr="004714C6">
        <w:rPr>
          <w:color w:val="000000"/>
          <w:spacing w:val="-4"/>
          <w:sz w:val="24"/>
          <w:szCs w:val="24"/>
        </w:rPr>
        <w:t>TCI</w:t>
      </w:r>
      <w:r w:rsidRPr="004714C6">
        <w:rPr>
          <w:color w:val="000000"/>
          <w:spacing w:val="-2"/>
          <w:sz w:val="24"/>
          <w:szCs w:val="24"/>
        </w:rPr>
        <w:t>)</w:t>
      </w:r>
      <w:r w:rsidRPr="004714C6">
        <w:rPr>
          <w:color w:val="000000"/>
          <w:sz w:val="24"/>
          <w:szCs w:val="24"/>
        </w:rPr>
        <w:t xml:space="preserve">, alder ≥ 75 år, hjertesvigt </w:t>
      </w:r>
      <w:r w:rsidRPr="004714C6">
        <w:rPr>
          <w:color w:val="000000"/>
          <w:spacing w:val="1"/>
          <w:sz w:val="24"/>
          <w:szCs w:val="24"/>
        </w:rPr>
        <w:t>(</w:t>
      </w:r>
      <w:r w:rsidRPr="004714C6">
        <w:rPr>
          <w:color w:val="000000"/>
          <w:sz w:val="24"/>
          <w:szCs w:val="24"/>
        </w:rPr>
        <w:t>NYHA-klasse ≥</w:t>
      </w:r>
      <w:r w:rsidRPr="004714C6">
        <w:rPr>
          <w:color w:val="000000"/>
          <w:spacing w:val="-2"/>
          <w:sz w:val="24"/>
          <w:szCs w:val="24"/>
        </w:rPr>
        <w:t> II)</w:t>
      </w:r>
      <w:r w:rsidRPr="004714C6">
        <w:rPr>
          <w:color w:val="000000"/>
          <w:sz w:val="24"/>
          <w:szCs w:val="24"/>
        </w:rPr>
        <w:t>, diabetes mellitus eller hypertension.</w:t>
      </w:r>
    </w:p>
    <w:p w14:paraId="1DC76E23" w14:textId="77777777" w:rsidR="00A76826" w:rsidRPr="004714C6" w:rsidRDefault="00A76826" w:rsidP="00647CA7">
      <w:pPr>
        <w:widowControl w:val="0"/>
        <w:autoSpaceDE w:val="0"/>
        <w:autoSpaceDN w:val="0"/>
        <w:adjustRightInd w:val="0"/>
        <w:spacing w:before="13" w:line="240" w:lineRule="exact"/>
        <w:ind w:left="851"/>
        <w:rPr>
          <w:color w:val="000000"/>
          <w:sz w:val="24"/>
          <w:szCs w:val="24"/>
        </w:rPr>
      </w:pPr>
    </w:p>
    <w:p w14:paraId="06D8FA54" w14:textId="77777777" w:rsidR="00A76826" w:rsidRPr="004714C6" w:rsidRDefault="00A76826" w:rsidP="00647CA7">
      <w:pPr>
        <w:widowControl w:val="0"/>
        <w:autoSpaceDE w:val="0"/>
        <w:autoSpaceDN w:val="0"/>
        <w:adjustRightInd w:val="0"/>
        <w:ind w:left="851" w:right="-20"/>
        <w:rPr>
          <w:color w:val="000000"/>
          <w:sz w:val="24"/>
          <w:szCs w:val="24"/>
        </w:rPr>
      </w:pPr>
      <w:r w:rsidRPr="004714C6">
        <w:rPr>
          <w:color w:val="000000"/>
          <w:sz w:val="24"/>
          <w:szCs w:val="24"/>
        </w:rPr>
        <w:t xml:space="preserve">Behandling af dyb venetrombose (DVT) og lungeemboli (LE) samt forebyggelse af </w:t>
      </w:r>
      <w:r w:rsidRPr="004714C6">
        <w:rPr>
          <w:color w:val="000000"/>
          <w:spacing w:val="-1"/>
          <w:sz w:val="24"/>
          <w:szCs w:val="24"/>
        </w:rPr>
        <w:t xml:space="preserve">recidiverende </w:t>
      </w:r>
      <w:r w:rsidRPr="004714C6">
        <w:rPr>
          <w:color w:val="000000"/>
          <w:sz w:val="24"/>
          <w:szCs w:val="24"/>
        </w:rPr>
        <w:t>DVT og LE hos voksne.</w:t>
      </w:r>
    </w:p>
    <w:p w14:paraId="4D08122D" w14:textId="77777777" w:rsidR="00A76826" w:rsidRPr="004714C6" w:rsidRDefault="00A76826" w:rsidP="00647CA7">
      <w:pPr>
        <w:widowControl w:val="0"/>
        <w:autoSpaceDE w:val="0"/>
        <w:autoSpaceDN w:val="0"/>
        <w:adjustRightInd w:val="0"/>
        <w:spacing w:before="1"/>
        <w:ind w:left="851" w:right="-20"/>
        <w:rPr>
          <w:color w:val="000000"/>
          <w:sz w:val="24"/>
          <w:szCs w:val="24"/>
        </w:rPr>
      </w:pPr>
    </w:p>
    <w:p w14:paraId="49AE21E3" w14:textId="77777777" w:rsidR="00A76826" w:rsidRPr="004714C6" w:rsidRDefault="00A76826" w:rsidP="00647CA7">
      <w:pPr>
        <w:ind w:left="851"/>
        <w:rPr>
          <w:sz w:val="24"/>
          <w:szCs w:val="24"/>
        </w:rPr>
      </w:pPr>
      <w:r w:rsidRPr="004714C6">
        <w:rPr>
          <w:sz w:val="24"/>
          <w:szCs w:val="24"/>
        </w:rPr>
        <w:t xml:space="preserve">Behandling af VTE og forebyggelse af </w:t>
      </w:r>
      <w:r w:rsidRPr="004714C6">
        <w:rPr>
          <w:color w:val="000000"/>
          <w:spacing w:val="-1"/>
          <w:sz w:val="24"/>
          <w:szCs w:val="24"/>
        </w:rPr>
        <w:t>recidiverende</w:t>
      </w:r>
      <w:r w:rsidRPr="004714C6">
        <w:rPr>
          <w:sz w:val="24"/>
          <w:szCs w:val="24"/>
        </w:rPr>
        <w:t xml:space="preserve"> VTE hos pædiatriske patienter fra det tidspunkt, hvor barnet er i stand til at synke blød mad, til under 18 år.</w:t>
      </w:r>
    </w:p>
    <w:p w14:paraId="3856DDA1" w14:textId="77777777" w:rsidR="00A76826" w:rsidRPr="004714C6" w:rsidRDefault="00A76826" w:rsidP="00647CA7">
      <w:pPr>
        <w:ind w:left="851"/>
        <w:rPr>
          <w:sz w:val="24"/>
          <w:szCs w:val="24"/>
        </w:rPr>
      </w:pPr>
    </w:p>
    <w:p w14:paraId="77812CFF" w14:textId="77777777" w:rsidR="00A76826" w:rsidRPr="004714C6" w:rsidRDefault="00A76826" w:rsidP="00647CA7">
      <w:pPr>
        <w:ind w:left="851"/>
        <w:rPr>
          <w:sz w:val="24"/>
          <w:szCs w:val="24"/>
        </w:rPr>
      </w:pPr>
      <w:r w:rsidRPr="004714C6">
        <w:rPr>
          <w:sz w:val="24"/>
          <w:szCs w:val="24"/>
        </w:rPr>
        <w:t>For aldersrelevante doseringsformer, se pkt. 4.2.</w:t>
      </w:r>
    </w:p>
    <w:p w14:paraId="5B120625" w14:textId="77777777" w:rsidR="009260DE" w:rsidRPr="004714C6" w:rsidRDefault="009260DE" w:rsidP="009260DE">
      <w:pPr>
        <w:tabs>
          <w:tab w:val="left" w:pos="851"/>
        </w:tabs>
        <w:ind w:left="851"/>
        <w:rPr>
          <w:sz w:val="24"/>
          <w:szCs w:val="24"/>
        </w:rPr>
      </w:pPr>
    </w:p>
    <w:p w14:paraId="5D82ADCE" w14:textId="77777777" w:rsidR="009260DE" w:rsidRPr="004714C6" w:rsidRDefault="009260DE" w:rsidP="009260DE">
      <w:pPr>
        <w:tabs>
          <w:tab w:val="left" w:pos="851"/>
        </w:tabs>
        <w:ind w:left="851" w:hanging="851"/>
        <w:rPr>
          <w:b/>
          <w:sz w:val="24"/>
          <w:szCs w:val="24"/>
        </w:rPr>
      </w:pPr>
      <w:r w:rsidRPr="004714C6">
        <w:rPr>
          <w:b/>
          <w:sz w:val="24"/>
          <w:szCs w:val="24"/>
        </w:rPr>
        <w:t>4.2</w:t>
      </w:r>
      <w:r w:rsidRPr="004714C6">
        <w:rPr>
          <w:b/>
          <w:sz w:val="24"/>
          <w:szCs w:val="24"/>
        </w:rPr>
        <w:tab/>
        <w:t xml:space="preserve">Dosering og </w:t>
      </w:r>
      <w:r w:rsidR="002C1EC0" w:rsidRPr="004714C6">
        <w:rPr>
          <w:b/>
          <w:sz w:val="24"/>
          <w:szCs w:val="24"/>
        </w:rPr>
        <w:t>administration</w:t>
      </w:r>
    </w:p>
    <w:p w14:paraId="13D1AA7E" w14:textId="77777777" w:rsidR="0072235D" w:rsidRPr="004714C6" w:rsidRDefault="0072235D" w:rsidP="00647CA7">
      <w:pPr>
        <w:ind w:left="851"/>
        <w:rPr>
          <w:noProof/>
          <w:sz w:val="24"/>
          <w:szCs w:val="24"/>
          <w:u w:val="single"/>
        </w:rPr>
      </w:pPr>
    </w:p>
    <w:p w14:paraId="79056E8F" w14:textId="656FF9DE" w:rsidR="00A76826" w:rsidRPr="004714C6" w:rsidRDefault="00A76826" w:rsidP="00647CA7">
      <w:pPr>
        <w:ind w:left="851"/>
        <w:rPr>
          <w:noProof/>
          <w:sz w:val="24"/>
          <w:szCs w:val="24"/>
          <w:u w:val="single"/>
        </w:rPr>
      </w:pPr>
      <w:r w:rsidRPr="004714C6">
        <w:rPr>
          <w:noProof/>
          <w:sz w:val="24"/>
          <w:szCs w:val="24"/>
          <w:u w:val="single"/>
        </w:rPr>
        <w:t>Dosering</w:t>
      </w:r>
    </w:p>
    <w:p w14:paraId="606F5BE8" w14:textId="77777777" w:rsidR="00A76826" w:rsidRPr="004714C6" w:rsidRDefault="00A76826" w:rsidP="00647CA7">
      <w:pPr>
        <w:ind w:left="851"/>
        <w:rPr>
          <w:noProof/>
          <w:sz w:val="24"/>
          <w:szCs w:val="24"/>
        </w:rPr>
      </w:pPr>
    </w:p>
    <w:p w14:paraId="2B25CC24" w14:textId="72D3E0C3" w:rsidR="00A76826" w:rsidRPr="004714C6" w:rsidRDefault="00A76826" w:rsidP="00647CA7">
      <w:pPr>
        <w:ind w:left="851"/>
        <w:rPr>
          <w:noProof/>
          <w:sz w:val="24"/>
          <w:szCs w:val="24"/>
        </w:rPr>
      </w:pPr>
      <w:r w:rsidRPr="004714C6">
        <w:rPr>
          <w:sz w:val="24"/>
          <w:szCs w:val="24"/>
        </w:rPr>
        <w:t xml:space="preserve">Dabigatran etexilate </w:t>
      </w:r>
      <w:r w:rsidR="0072235D" w:rsidRPr="004714C6">
        <w:rPr>
          <w:sz w:val="24"/>
          <w:szCs w:val="24"/>
        </w:rPr>
        <w:t>"Medical Valley"</w:t>
      </w:r>
      <w:r w:rsidRPr="004714C6">
        <w:rPr>
          <w:sz w:val="24"/>
          <w:szCs w:val="24"/>
        </w:rPr>
        <w:t xml:space="preserve"> kapsler kan anvendes til voksne og pædiatriske patienter på 8 år eller derover, som er i stand til at sluge kapslerne hele. Den dosis, der er angivet i den relevante doseringstabel for en formulering, skal ordineres baseret på barnets alder og vægt.</w:t>
      </w:r>
    </w:p>
    <w:p w14:paraId="64155A64" w14:textId="77777777" w:rsidR="00A76826" w:rsidRPr="004714C6" w:rsidRDefault="00A76826" w:rsidP="00647CA7">
      <w:pPr>
        <w:ind w:left="851"/>
        <w:rPr>
          <w:sz w:val="24"/>
          <w:szCs w:val="24"/>
        </w:rPr>
      </w:pPr>
    </w:p>
    <w:p w14:paraId="22399BF3" w14:textId="77777777" w:rsidR="00A76826" w:rsidRPr="004714C6" w:rsidRDefault="00A76826" w:rsidP="0072235D">
      <w:pPr>
        <w:ind w:left="851"/>
        <w:rPr>
          <w:sz w:val="24"/>
          <w:szCs w:val="24"/>
        </w:rPr>
      </w:pPr>
      <w:r w:rsidRPr="004714C6">
        <w:rPr>
          <w:sz w:val="24"/>
          <w:szCs w:val="24"/>
        </w:rPr>
        <w:t>For doser der ikke er anvendelige med dette lægemiddel, findes der andre dosis- og farmaceutiske former.</w:t>
      </w:r>
    </w:p>
    <w:p w14:paraId="17208927" w14:textId="77777777" w:rsidR="00A76826" w:rsidRPr="004714C6" w:rsidRDefault="00A76826" w:rsidP="0072235D">
      <w:pPr>
        <w:ind w:left="851"/>
        <w:rPr>
          <w:sz w:val="24"/>
          <w:szCs w:val="24"/>
        </w:rPr>
      </w:pPr>
    </w:p>
    <w:p w14:paraId="563A68C5" w14:textId="77777777" w:rsidR="00A76826" w:rsidRPr="004714C6" w:rsidRDefault="00A76826" w:rsidP="0072235D">
      <w:pPr>
        <w:ind w:left="851"/>
        <w:rPr>
          <w:sz w:val="24"/>
          <w:szCs w:val="24"/>
        </w:rPr>
      </w:pPr>
      <w:r w:rsidRPr="004714C6">
        <w:rPr>
          <w:sz w:val="24"/>
          <w:szCs w:val="24"/>
        </w:rPr>
        <w:t>Ved skift mellem formuleringer, kan det være nødvendigt at justere den ordinerede dosis. Den dosis, der er angivet i den relevante doseringstabel for en formulering, skal ordineres baseret på barnets vægt og alder.</w:t>
      </w:r>
    </w:p>
    <w:p w14:paraId="19D231F9" w14:textId="77777777" w:rsidR="00A76826" w:rsidRPr="004714C6" w:rsidRDefault="00A76826" w:rsidP="00647CA7">
      <w:pPr>
        <w:ind w:left="851"/>
        <w:rPr>
          <w:noProof/>
          <w:sz w:val="24"/>
          <w:szCs w:val="24"/>
        </w:rPr>
      </w:pPr>
    </w:p>
    <w:p w14:paraId="2FD3E038" w14:textId="77777777" w:rsidR="00A76826" w:rsidRPr="004714C6" w:rsidRDefault="00A76826" w:rsidP="00647CA7">
      <w:pPr>
        <w:ind w:left="851"/>
        <w:rPr>
          <w:i/>
          <w:iCs/>
          <w:sz w:val="24"/>
          <w:szCs w:val="24"/>
        </w:rPr>
      </w:pPr>
      <w:r w:rsidRPr="004714C6">
        <w:rPr>
          <w:i/>
          <w:iCs/>
          <w:sz w:val="24"/>
          <w:szCs w:val="24"/>
        </w:rPr>
        <w:t>Primær forebyggelse af VTE ved ortopædkirurgi</w:t>
      </w:r>
    </w:p>
    <w:p w14:paraId="6E4D981C" w14:textId="77777777" w:rsidR="00A76826" w:rsidRPr="004714C6" w:rsidRDefault="00A76826" w:rsidP="00647CA7">
      <w:pPr>
        <w:ind w:left="851"/>
        <w:rPr>
          <w:i/>
          <w:iCs/>
          <w:sz w:val="24"/>
          <w:szCs w:val="24"/>
        </w:rPr>
      </w:pPr>
    </w:p>
    <w:p w14:paraId="31D16D39" w14:textId="77777777" w:rsidR="00A76826" w:rsidRPr="004714C6" w:rsidRDefault="00A76826" w:rsidP="00647CA7">
      <w:pPr>
        <w:ind w:left="851"/>
        <w:rPr>
          <w:noProof/>
          <w:sz w:val="24"/>
          <w:szCs w:val="24"/>
        </w:rPr>
      </w:pPr>
      <w:r w:rsidRPr="004714C6">
        <w:rPr>
          <w:color w:val="000000"/>
          <w:sz w:val="24"/>
          <w:szCs w:val="24"/>
        </w:rPr>
        <w:t>De anbefalede doser af dabigatranetexilat og behandlingsvarigheden for primær forebyggelse af VTE ved ortopædkirurgi er vist i tabel 1.</w:t>
      </w:r>
    </w:p>
    <w:p w14:paraId="4A57F1B5" w14:textId="77777777" w:rsidR="00A76826" w:rsidRPr="004714C6" w:rsidRDefault="00A76826" w:rsidP="00647CA7">
      <w:pPr>
        <w:ind w:left="851"/>
        <w:rPr>
          <w:iCs/>
          <w:noProof/>
          <w:sz w:val="24"/>
          <w:szCs w:val="24"/>
        </w:rPr>
      </w:pPr>
    </w:p>
    <w:p w14:paraId="2AE089F7" w14:textId="77777777" w:rsidR="00A76826" w:rsidRPr="004714C6" w:rsidRDefault="00A76826" w:rsidP="00A76826">
      <w:pPr>
        <w:keepNext/>
        <w:ind w:left="1440" w:right="162" w:hanging="1440"/>
        <w:rPr>
          <w:b/>
          <w:bCs/>
          <w:sz w:val="24"/>
          <w:szCs w:val="24"/>
        </w:rPr>
      </w:pPr>
      <w:r w:rsidRPr="004714C6">
        <w:rPr>
          <w:b/>
          <w:bCs/>
          <w:sz w:val="24"/>
          <w:szCs w:val="24"/>
        </w:rPr>
        <w:t>Tabel 1:</w:t>
      </w:r>
      <w:r w:rsidRPr="004714C6">
        <w:rPr>
          <w:b/>
          <w:bCs/>
          <w:sz w:val="24"/>
          <w:szCs w:val="24"/>
        </w:rPr>
        <w:tab/>
        <w:t>Dosisanbefalinger og behandlingsvarighed for primær forebyggelse af VTE ved ortopædkirurgi</w:t>
      </w:r>
    </w:p>
    <w:p w14:paraId="0319A113" w14:textId="77777777" w:rsidR="00A76826" w:rsidRPr="004714C6" w:rsidRDefault="00A76826" w:rsidP="00A76826">
      <w:pPr>
        <w:keepNext/>
        <w:widowControl w:val="0"/>
        <w:autoSpaceDE w:val="0"/>
        <w:autoSpaceDN w:val="0"/>
        <w:adjustRightInd w:val="0"/>
        <w:spacing w:line="252" w:lineRule="exact"/>
        <w:ind w:right="-96"/>
        <w:rPr>
          <w:color w:val="000000"/>
          <w:sz w:val="24"/>
          <w:szCs w:val="24"/>
        </w:rPr>
      </w:pPr>
    </w:p>
    <w:tbl>
      <w:tblPr>
        <w:tblW w:w="5000" w:type="pct"/>
        <w:tblCellMar>
          <w:left w:w="0" w:type="dxa"/>
          <w:right w:w="0" w:type="dxa"/>
        </w:tblCellMar>
        <w:tblLook w:val="04A0" w:firstRow="1" w:lastRow="0" w:firstColumn="1" w:lastColumn="0" w:noHBand="0" w:noVBand="1"/>
      </w:tblPr>
      <w:tblGrid>
        <w:gridCol w:w="2448"/>
        <w:gridCol w:w="2171"/>
        <w:gridCol w:w="2648"/>
        <w:gridCol w:w="2361"/>
      </w:tblGrid>
      <w:tr w:rsidR="00A76826" w:rsidRPr="004714C6" w14:paraId="29608F4A" w14:textId="77777777" w:rsidTr="0072235D">
        <w:trPr>
          <w:trHeight w:val="20"/>
        </w:trPr>
        <w:tc>
          <w:tcPr>
            <w:tcW w:w="1802" w:type="pct"/>
            <w:tcBorders>
              <w:top w:val="single" w:sz="4" w:space="0" w:color="000000"/>
              <w:left w:val="single" w:sz="4" w:space="0" w:color="000000"/>
              <w:bottom w:val="single" w:sz="4" w:space="0" w:color="000000"/>
              <w:right w:val="single" w:sz="4" w:space="0" w:color="000000"/>
            </w:tcBorders>
          </w:tcPr>
          <w:p w14:paraId="09450F4D" w14:textId="77777777" w:rsidR="00A76826" w:rsidRPr="004714C6" w:rsidRDefault="00A76826" w:rsidP="0072235D">
            <w:pPr>
              <w:widowControl w:val="0"/>
              <w:autoSpaceDE w:val="0"/>
              <w:autoSpaceDN w:val="0"/>
              <w:adjustRightInd w:val="0"/>
              <w:ind w:left="174" w:right="138"/>
              <w:rPr>
                <w:kern w:val="2"/>
                <w:sz w:val="24"/>
                <w:szCs w:val="24"/>
                <w14:ligatures w14:val="standardContextual"/>
              </w:rPr>
            </w:pPr>
          </w:p>
        </w:tc>
        <w:tc>
          <w:tcPr>
            <w:tcW w:w="1066" w:type="pct"/>
            <w:tcBorders>
              <w:top w:val="single" w:sz="4" w:space="0" w:color="000000"/>
              <w:left w:val="single" w:sz="4" w:space="0" w:color="000000"/>
              <w:bottom w:val="single" w:sz="4" w:space="0" w:color="000000"/>
              <w:right w:val="single" w:sz="4" w:space="0" w:color="000000"/>
            </w:tcBorders>
            <w:hideMark/>
          </w:tcPr>
          <w:p w14:paraId="3968B5B2" w14:textId="77777777" w:rsidR="00A76826" w:rsidRPr="004714C6" w:rsidRDefault="00A76826" w:rsidP="0072235D">
            <w:pPr>
              <w:widowControl w:val="0"/>
              <w:autoSpaceDE w:val="0"/>
              <w:autoSpaceDN w:val="0"/>
              <w:adjustRightInd w:val="0"/>
              <w:ind w:left="100" w:right="104"/>
              <w:rPr>
                <w:kern w:val="2"/>
                <w:sz w:val="24"/>
                <w:szCs w:val="24"/>
                <w14:ligatures w14:val="standardContextual"/>
              </w:rPr>
            </w:pPr>
            <w:r w:rsidRPr="004714C6">
              <w:rPr>
                <w:b/>
                <w:bCs/>
                <w:kern w:val="2"/>
                <w:sz w:val="24"/>
                <w:szCs w:val="24"/>
                <w14:ligatures w14:val="standardContextual"/>
              </w:rPr>
              <w:t>Påbegyndelse af behandlingen på operationsdagen 1</w:t>
            </w:r>
            <w:r w:rsidRPr="004714C6">
              <w:rPr>
                <w:b/>
                <w:bCs/>
                <w:kern w:val="2"/>
                <w:sz w:val="24"/>
                <w:szCs w:val="24"/>
                <w14:ligatures w14:val="standardContextual"/>
              </w:rPr>
              <w:noBreakHyphen/>
              <w:t>4 timer efter operationen er udført</w:t>
            </w:r>
          </w:p>
        </w:tc>
        <w:tc>
          <w:tcPr>
            <w:tcW w:w="1066" w:type="pct"/>
            <w:tcBorders>
              <w:top w:val="single" w:sz="4" w:space="0" w:color="000000"/>
              <w:left w:val="single" w:sz="4" w:space="0" w:color="000000"/>
              <w:bottom w:val="single" w:sz="4" w:space="0" w:color="000000"/>
              <w:right w:val="single" w:sz="4" w:space="0" w:color="000000"/>
            </w:tcBorders>
            <w:hideMark/>
          </w:tcPr>
          <w:p w14:paraId="010F4B65" w14:textId="77777777" w:rsidR="00A76826" w:rsidRPr="004714C6" w:rsidRDefault="00A76826" w:rsidP="0072235D">
            <w:pPr>
              <w:widowControl w:val="0"/>
              <w:autoSpaceDE w:val="0"/>
              <w:autoSpaceDN w:val="0"/>
              <w:adjustRightInd w:val="0"/>
              <w:ind w:left="100" w:right="299"/>
              <w:rPr>
                <w:kern w:val="2"/>
                <w:sz w:val="24"/>
                <w:szCs w:val="24"/>
                <w14:ligatures w14:val="standardContextual"/>
              </w:rPr>
            </w:pPr>
            <w:r w:rsidRPr="004714C6">
              <w:rPr>
                <w:b/>
                <w:bCs/>
                <w:kern w:val="2"/>
                <w:sz w:val="24"/>
                <w:szCs w:val="24"/>
                <w14:ligatures w14:val="standardContextual"/>
              </w:rPr>
              <w:t>Vedligeholdelsesdosis, der starter den første dag efter operationen</w:t>
            </w:r>
          </w:p>
        </w:tc>
        <w:tc>
          <w:tcPr>
            <w:tcW w:w="1066" w:type="pct"/>
            <w:tcBorders>
              <w:top w:val="single" w:sz="4" w:space="0" w:color="000000"/>
              <w:left w:val="single" w:sz="4" w:space="0" w:color="000000"/>
              <w:bottom w:val="single" w:sz="4" w:space="0" w:color="000000"/>
              <w:right w:val="single" w:sz="4" w:space="0" w:color="000000"/>
            </w:tcBorders>
            <w:hideMark/>
          </w:tcPr>
          <w:p w14:paraId="42CC0ECC" w14:textId="77777777" w:rsidR="00A76826" w:rsidRPr="004714C6" w:rsidRDefault="00A76826" w:rsidP="0072235D">
            <w:pPr>
              <w:widowControl w:val="0"/>
              <w:autoSpaceDE w:val="0"/>
              <w:autoSpaceDN w:val="0"/>
              <w:adjustRightInd w:val="0"/>
              <w:ind w:left="102" w:right="102"/>
              <w:rPr>
                <w:kern w:val="2"/>
                <w:sz w:val="24"/>
                <w:szCs w:val="24"/>
                <w14:ligatures w14:val="standardContextual"/>
              </w:rPr>
            </w:pPr>
            <w:r w:rsidRPr="004714C6">
              <w:rPr>
                <w:b/>
                <w:bCs/>
                <w:kern w:val="2"/>
                <w:sz w:val="24"/>
                <w:szCs w:val="24"/>
                <w14:ligatures w14:val="standardContextual"/>
              </w:rPr>
              <w:t>Varighed af vedligeholdelsesdosis</w:t>
            </w:r>
          </w:p>
        </w:tc>
      </w:tr>
      <w:tr w:rsidR="00A76826" w:rsidRPr="004714C6" w14:paraId="5E8AD3A4" w14:textId="77777777" w:rsidTr="0072235D">
        <w:trPr>
          <w:trHeight w:val="20"/>
        </w:trPr>
        <w:tc>
          <w:tcPr>
            <w:tcW w:w="1802" w:type="pct"/>
            <w:tcBorders>
              <w:top w:val="single" w:sz="4" w:space="0" w:color="000000"/>
              <w:left w:val="single" w:sz="4" w:space="0" w:color="000000"/>
              <w:bottom w:val="single" w:sz="4" w:space="0" w:color="000000"/>
              <w:right w:val="single" w:sz="4" w:space="0" w:color="000000"/>
            </w:tcBorders>
            <w:hideMark/>
          </w:tcPr>
          <w:p w14:paraId="7865CD64" w14:textId="77777777" w:rsidR="00A76826" w:rsidRPr="004714C6" w:rsidRDefault="00A76826" w:rsidP="0072235D">
            <w:pPr>
              <w:widowControl w:val="0"/>
              <w:autoSpaceDE w:val="0"/>
              <w:autoSpaceDN w:val="0"/>
              <w:adjustRightInd w:val="0"/>
              <w:ind w:left="174" w:right="138"/>
              <w:rPr>
                <w:kern w:val="2"/>
                <w:sz w:val="24"/>
                <w:szCs w:val="24"/>
                <w14:ligatures w14:val="standardContextual"/>
              </w:rPr>
            </w:pPr>
            <w:r w:rsidRPr="004714C6">
              <w:rPr>
                <w:kern w:val="2"/>
                <w:sz w:val="24"/>
                <w:szCs w:val="24"/>
                <w14:ligatures w14:val="standardContextual"/>
              </w:rPr>
              <w:t>Patienter efter elektiv knæalloplastik</w:t>
            </w: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14:paraId="7485686A" w14:textId="77777777" w:rsidR="00A76826" w:rsidRPr="004714C6" w:rsidRDefault="00A76826" w:rsidP="0072235D">
            <w:pPr>
              <w:widowControl w:val="0"/>
              <w:autoSpaceDE w:val="0"/>
              <w:autoSpaceDN w:val="0"/>
              <w:adjustRightInd w:val="0"/>
              <w:ind w:left="100" w:right="234"/>
              <w:rPr>
                <w:kern w:val="2"/>
                <w:sz w:val="24"/>
                <w:szCs w:val="24"/>
                <w14:ligatures w14:val="standardContextual"/>
              </w:rPr>
            </w:pPr>
            <w:r w:rsidRPr="004714C6">
              <w:rPr>
                <w:kern w:val="2"/>
                <w:sz w:val="24"/>
                <w:szCs w:val="24"/>
                <w14:ligatures w14:val="standardContextual"/>
              </w:rPr>
              <w:t xml:space="preserve">én kapsel med 110 mg </w:t>
            </w:r>
            <w:r w:rsidRPr="004714C6">
              <w:rPr>
                <w:color w:val="000000"/>
                <w:kern w:val="2"/>
                <w:sz w:val="24"/>
                <w:szCs w:val="24"/>
                <w14:ligatures w14:val="standardContextual"/>
              </w:rPr>
              <w:t>dabigatranetexilat</w:t>
            </w: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14:paraId="3D03AAB6" w14:textId="77777777" w:rsidR="00A76826" w:rsidRPr="004714C6" w:rsidRDefault="00A76826" w:rsidP="0072235D">
            <w:pPr>
              <w:widowControl w:val="0"/>
              <w:autoSpaceDE w:val="0"/>
              <w:autoSpaceDN w:val="0"/>
              <w:adjustRightInd w:val="0"/>
              <w:ind w:left="100" w:right="80"/>
              <w:rPr>
                <w:kern w:val="2"/>
                <w:sz w:val="24"/>
                <w:szCs w:val="24"/>
                <w14:ligatures w14:val="standardContextual"/>
              </w:rPr>
            </w:pPr>
            <w:r w:rsidRPr="004714C6">
              <w:rPr>
                <w:kern w:val="2"/>
                <w:sz w:val="24"/>
                <w:szCs w:val="24"/>
                <w14:ligatures w14:val="standardContextual"/>
              </w:rPr>
              <w:t xml:space="preserve">220 mg </w:t>
            </w:r>
            <w:r w:rsidRPr="004714C6">
              <w:rPr>
                <w:color w:val="000000"/>
                <w:kern w:val="2"/>
                <w:sz w:val="24"/>
                <w:szCs w:val="24"/>
                <w14:ligatures w14:val="standardContextual"/>
              </w:rPr>
              <w:t xml:space="preserve">dabigatranetexilat </w:t>
            </w:r>
            <w:r w:rsidRPr="004714C6">
              <w:rPr>
                <w:kern w:val="2"/>
                <w:sz w:val="24"/>
                <w:szCs w:val="24"/>
                <w14:ligatures w14:val="standardContextual"/>
              </w:rPr>
              <w:t>én gang dagligt i form af 2 kapsler a 110 </w:t>
            </w:r>
            <w:r w:rsidRPr="004714C6">
              <w:rPr>
                <w:spacing w:val="-1"/>
                <w:kern w:val="2"/>
                <w:sz w:val="24"/>
                <w:szCs w:val="24"/>
                <w14:ligatures w14:val="standardContextual"/>
              </w:rPr>
              <w:t>mg</w:t>
            </w:r>
          </w:p>
        </w:tc>
        <w:tc>
          <w:tcPr>
            <w:tcW w:w="1066" w:type="pct"/>
            <w:tcBorders>
              <w:top w:val="single" w:sz="4" w:space="0" w:color="000000"/>
              <w:left w:val="single" w:sz="4" w:space="0" w:color="000000"/>
              <w:bottom w:val="single" w:sz="4" w:space="0" w:color="000000"/>
              <w:right w:val="single" w:sz="4" w:space="0" w:color="000000"/>
            </w:tcBorders>
            <w:vAlign w:val="center"/>
            <w:hideMark/>
          </w:tcPr>
          <w:p w14:paraId="50B8D9DD" w14:textId="77777777" w:rsidR="00A76826" w:rsidRPr="004714C6" w:rsidRDefault="00A76826" w:rsidP="0072235D">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10 dage</w:t>
            </w:r>
          </w:p>
        </w:tc>
      </w:tr>
      <w:tr w:rsidR="00A76826" w:rsidRPr="004714C6" w14:paraId="7900187D" w14:textId="77777777" w:rsidTr="0072235D">
        <w:trPr>
          <w:trHeight w:val="20"/>
        </w:trPr>
        <w:tc>
          <w:tcPr>
            <w:tcW w:w="1802" w:type="pct"/>
            <w:tcBorders>
              <w:top w:val="single" w:sz="4" w:space="0" w:color="000000"/>
              <w:left w:val="single" w:sz="4" w:space="0" w:color="000000"/>
              <w:bottom w:val="single" w:sz="4" w:space="0" w:color="000000"/>
              <w:right w:val="single" w:sz="4" w:space="0" w:color="000000"/>
            </w:tcBorders>
            <w:hideMark/>
          </w:tcPr>
          <w:p w14:paraId="0EE62B0C" w14:textId="77777777" w:rsidR="00A76826" w:rsidRPr="004714C6" w:rsidRDefault="00A76826" w:rsidP="0072235D">
            <w:pPr>
              <w:widowControl w:val="0"/>
              <w:autoSpaceDE w:val="0"/>
              <w:autoSpaceDN w:val="0"/>
              <w:adjustRightInd w:val="0"/>
              <w:ind w:left="174" w:right="138"/>
              <w:rPr>
                <w:kern w:val="2"/>
                <w:sz w:val="24"/>
                <w:szCs w:val="24"/>
                <w14:ligatures w14:val="standardContextual"/>
              </w:rPr>
            </w:pPr>
            <w:r w:rsidRPr="004714C6">
              <w:rPr>
                <w:kern w:val="2"/>
                <w:sz w:val="24"/>
                <w:szCs w:val="24"/>
                <w14:ligatures w14:val="standardContextual"/>
              </w:rPr>
              <w:t>Patienter efter elektiv hoftealloplastik</w:t>
            </w:r>
          </w:p>
        </w:tc>
        <w:tc>
          <w:tcPr>
            <w:tcW w:w="1066" w:type="pct"/>
            <w:vMerge/>
            <w:tcBorders>
              <w:top w:val="single" w:sz="4" w:space="0" w:color="000000"/>
              <w:left w:val="single" w:sz="4" w:space="0" w:color="000000"/>
              <w:bottom w:val="single" w:sz="4" w:space="0" w:color="000000"/>
              <w:right w:val="single" w:sz="4" w:space="0" w:color="000000"/>
            </w:tcBorders>
            <w:vAlign w:val="center"/>
            <w:hideMark/>
          </w:tcPr>
          <w:p w14:paraId="2F0E377D" w14:textId="77777777" w:rsidR="00A76826" w:rsidRPr="004714C6" w:rsidRDefault="00A76826" w:rsidP="0072235D">
            <w:pPr>
              <w:rPr>
                <w:kern w:val="2"/>
                <w:sz w:val="24"/>
                <w:szCs w:val="24"/>
                <w14:ligatures w14:val="standardContextual"/>
              </w:rPr>
            </w:pPr>
          </w:p>
        </w:tc>
        <w:tc>
          <w:tcPr>
            <w:tcW w:w="1066" w:type="pct"/>
            <w:vMerge/>
            <w:tcBorders>
              <w:top w:val="single" w:sz="4" w:space="0" w:color="000000"/>
              <w:left w:val="single" w:sz="4" w:space="0" w:color="000000"/>
              <w:bottom w:val="single" w:sz="4" w:space="0" w:color="000000"/>
              <w:right w:val="single" w:sz="4" w:space="0" w:color="000000"/>
            </w:tcBorders>
            <w:vAlign w:val="center"/>
            <w:hideMark/>
          </w:tcPr>
          <w:p w14:paraId="4F737EDD" w14:textId="77777777" w:rsidR="00A76826" w:rsidRPr="004714C6" w:rsidRDefault="00A76826" w:rsidP="0072235D">
            <w:pPr>
              <w:rPr>
                <w:kern w:val="2"/>
                <w:sz w:val="24"/>
                <w:szCs w:val="24"/>
                <w14:ligatures w14:val="standardContextual"/>
              </w:rPr>
            </w:pPr>
          </w:p>
        </w:tc>
        <w:tc>
          <w:tcPr>
            <w:tcW w:w="1066" w:type="pct"/>
            <w:tcBorders>
              <w:top w:val="single" w:sz="4" w:space="0" w:color="000000"/>
              <w:left w:val="single" w:sz="4" w:space="0" w:color="000000"/>
              <w:bottom w:val="single" w:sz="4" w:space="0" w:color="000000"/>
              <w:right w:val="single" w:sz="4" w:space="0" w:color="000000"/>
            </w:tcBorders>
            <w:vAlign w:val="center"/>
            <w:hideMark/>
          </w:tcPr>
          <w:p w14:paraId="1CD6D6EE" w14:textId="77777777" w:rsidR="00A76826" w:rsidRPr="004714C6" w:rsidRDefault="00A76826" w:rsidP="0072235D">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28</w:t>
            </w:r>
            <w:r w:rsidRPr="004714C6">
              <w:rPr>
                <w:kern w:val="2"/>
                <w:sz w:val="24"/>
                <w:szCs w:val="24"/>
                <w14:ligatures w14:val="standardContextual"/>
              </w:rPr>
              <w:noBreakHyphen/>
              <w:t>35 dage</w:t>
            </w:r>
          </w:p>
        </w:tc>
      </w:tr>
      <w:tr w:rsidR="00A76826" w:rsidRPr="004714C6" w14:paraId="61BA0C92" w14:textId="77777777" w:rsidTr="0072235D">
        <w:trPr>
          <w:trHeight w:val="20"/>
        </w:trPr>
        <w:tc>
          <w:tcPr>
            <w:tcW w:w="1802" w:type="pct"/>
            <w:tcBorders>
              <w:top w:val="single" w:sz="4" w:space="0" w:color="000000"/>
              <w:left w:val="single" w:sz="4" w:space="0" w:color="000000"/>
              <w:bottom w:val="single" w:sz="4" w:space="0" w:color="000000"/>
              <w:right w:val="single" w:sz="4" w:space="0" w:color="000000"/>
            </w:tcBorders>
            <w:hideMark/>
          </w:tcPr>
          <w:p w14:paraId="13B85DD0" w14:textId="77777777" w:rsidR="00A76826" w:rsidRPr="004714C6" w:rsidRDefault="00A76826" w:rsidP="0072235D">
            <w:pPr>
              <w:widowControl w:val="0"/>
              <w:autoSpaceDE w:val="0"/>
              <w:autoSpaceDN w:val="0"/>
              <w:adjustRightInd w:val="0"/>
              <w:ind w:left="174" w:right="138"/>
              <w:rPr>
                <w:kern w:val="2"/>
                <w:sz w:val="24"/>
                <w:szCs w:val="24"/>
                <w14:ligatures w14:val="standardContextual"/>
              </w:rPr>
            </w:pPr>
            <w:r w:rsidRPr="004714C6">
              <w:rPr>
                <w:kern w:val="2"/>
                <w:sz w:val="24"/>
                <w:szCs w:val="24"/>
                <w14:ligatures w14:val="standardContextual"/>
              </w:rPr>
              <w:t>Anbefalet dosisreduktion</w:t>
            </w:r>
          </w:p>
        </w:tc>
        <w:tc>
          <w:tcPr>
            <w:tcW w:w="1066" w:type="pct"/>
            <w:tcBorders>
              <w:top w:val="single" w:sz="4" w:space="0" w:color="000000"/>
              <w:left w:val="single" w:sz="4" w:space="0" w:color="000000"/>
              <w:bottom w:val="single" w:sz="4" w:space="0" w:color="000000"/>
              <w:right w:val="single" w:sz="4" w:space="0" w:color="000000"/>
            </w:tcBorders>
            <w:vAlign w:val="center"/>
          </w:tcPr>
          <w:p w14:paraId="22F3A558" w14:textId="77777777" w:rsidR="00A76826" w:rsidRPr="004714C6" w:rsidRDefault="00A76826" w:rsidP="0072235D">
            <w:pPr>
              <w:widowControl w:val="0"/>
              <w:autoSpaceDE w:val="0"/>
              <w:autoSpaceDN w:val="0"/>
              <w:adjustRightInd w:val="0"/>
              <w:rPr>
                <w:kern w:val="2"/>
                <w:sz w:val="24"/>
                <w:szCs w:val="24"/>
                <w14:ligatures w14:val="standardContextual"/>
              </w:rPr>
            </w:pPr>
          </w:p>
        </w:tc>
        <w:tc>
          <w:tcPr>
            <w:tcW w:w="1066" w:type="pct"/>
            <w:tcBorders>
              <w:top w:val="single" w:sz="4" w:space="0" w:color="000000"/>
              <w:left w:val="single" w:sz="4" w:space="0" w:color="000000"/>
              <w:bottom w:val="single" w:sz="4" w:space="0" w:color="000000"/>
              <w:right w:val="single" w:sz="4" w:space="0" w:color="000000"/>
            </w:tcBorders>
            <w:vAlign w:val="center"/>
          </w:tcPr>
          <w:p w14:paraId="781ADDF5" w14:textId="77777777" w:rsidR="00A76826" w:rsidRPr="004714C6" w:rsidRDefault="00A76826" w:rsidP="0072235D">
            <w:pPr>
              <w:widowControl w:val="0"/>
              <w:autoSpaceDE w:val="0"/>
              <w:autoSpaceDN w:val="0"/>
              <w:adjustRightInd w:val="0"/>
              <w:rPr>
                <w:kern w:val="2"/>
                <w:sz w:val="24"/>
                <w:szCs w:val="24"/>
                <w14:ligatures w14:val="standardContextual"/>
              </w:rPr>
            </w:pPr>
          </w:p>
        </w:tc>
        <w:tc>
          <w:tcPr>
            <w:tcW w:w="1066" w:type="pct"/>
            <w:tcBorders>
              <w:top w:val="single" w:sz="4" w:space="0" w:color="000000"/>
              <w:left w:val="single" w:sz="4" w:space="0" w:color="000000"/>
              <w:bottom w:val="single" w:sz="4" w:space="0" w:color="000000"/>
              <w:right w:val="single" w:sz="4" w:space="0" w:color="000000"/>
            </w:tcBorders>
            <w:vAlign w:val="center"/>
          </w:tcPr>
          <w:p w14:paraId="39C1FAAA" w14:textId="77777777" w:rsidR="00A76826" w:rsidRPr="004714C6" w:rsidRDefault="00A76826" w:rsidP="0072235D">
            <w:pPr>
              <w:widowControl w:val="0"/>
              <w:autoSpaceDE w:val="0"/>
              <w:autoSpaceDN w:val="0"/>
              <w:adjustRightInd w:val="0"/>
              <w:rPr>
                <w:kern w:val="2"/>
                <w:sz w:val="24"/>
                <w:szCs w:val="24"/>
                <w14:ligatures w14:val="standardContextual"/>
              </w:rPr>
            </w:pPr>
          </w:p>
        </w:tc>
      </w:tr>
      <w:tr w:rsidR="00A76826" w:rsidRPr="004714C6" w14:paraId="7BDFD4E5" w14:textId="77777777" w:rsidTr="0072235D">
        <w:trPr>
          <w:trHeight w:val="20"/>
        </w:trPr>
        <w:tc>
          <w:tcPr>
            <w:tcW w:w="1802" w:type="pct"/>
            <w:tcBorders>
              <w:top w:val="single" w:sz="4" w:space="0" w:color="000000"/>
              <w:left w:val="single" w:sz="4" w:space="0" w:color="000000"/>
              <w:bottom w:val="single" w:sz="4" w:space="0" w:color="000000"/>
              <w:right w:val="single" w:sz="4" w:space="0" w:color="000000"/>
            </w:tcBorders>
            <w:hideMark/>
          </w:tcPr>
          <w:p w14:paraId="39811B73" w14:textId="77777777" w:rsidR="00A76826" w:rsidRPr="004714C6" w:rsidRDefault="00A76826" w:rsidP="0072235D">
            <w:pPr>
              <w:widowControl w:val="0"/>
              <w:autoSpaceDE w:val="0"/>
              <w:autoSpaceDN w:val="0"/>
              <w:adjustRightInd w:val="0"/>
              <w:ind w:left="174" w:right="138"/>
              <w:rPr>
                <w:kern w:val="2"/>
                <w:sz w:val="24"/>
                <w:szCs w:val="24"/>
                <w14:ligatures w14:val="standardContextual"/>
              </w:rPr>
            </w:pPr>
            <w:r w:rsidRPr="004714C6">
              <w:rPr>
                <w:kern w:val="2"/>
                <w:sz w:val="24"/>
                <w:szCs w:val="24"/>
                <w14:ligatures w14:val="standardContextual"/>
              </w:rPr>
              <w:t>Patienter med moderat nedsat nyrefunktion (kreatininclearance (CrCL 30</w:t>
            </w:r>
            <w:r w:rsidRPr="004714C6">
              <w:rPr>
                <w:spacing w:val="-4"/>
                <w:kern w:val="2"/>
                <w:sz w:val="24"/>
                <w:szCs w:val="24"/>
                <w14:ligatures w14:val="standardContextual"/>
              </w:rPr>
              <w:noBreakHyphen/>
            </w:r>
            <w:r w:rsidRPr="004714C6">
              <w:rPr>
                <w:kern w:val="2"/>
                <w:sz w:val="24"/>
                <w:szCs w:val="24"/>
                <w14:ligatures w14:val="standardContextual"/>
              </w:rPr>
              <w:t>50 </w:t>
            </w:r>
            <w:r w:rsidRPr="004714C6">
              <w:rPr>
                <w:spacing w:val="3"/>
                <w:kern w:val="2"/>
                <w:sz w:val="24"/>
                <w:szCs w:val="24"/>
                <w14:ligatures w14:val="standardContextual"/>
              </w:rPr>
              <w:t>ml/min</w:t>
            </w:r>
            <w:r w:rsidRPr="004714C6">
              <w:rPr>
                <w:kern w:val="2"/>
                <w:sz w:val="24"/>
                <w:szCs w:val="24"/>
                <w14:ligatures w14:val="standardContextual"/>
              </w:rPr>
              <w:t>)</w:t>
            </w: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14:paraId="2906DF86" w14:textId="77777777" w:rsidR="00A76826" w:rsidRPr="004714C6" w:rsidRDefault="00A76826" w:rsidP="0072235D">
            <w:pPr>
              <w:widowControl w:val="0"/>
              <w:autoSpaceDE w:val="0"/>
              <w:autoSpaceDN w:val="0"/>
              <w:adjustRightInd w:val="0"/>
              <w:ind w:left="100" w:right="341"/>
              <w:rPr>
                <w:kern w:val="2"/>
                <w:sz w:val="24"/>
                <w:szCs w:val="24"/>
                <w14:ligatures w14:val="standardContextual"/>
              </w:rPr>
            </w:pPr>
            <w:r w:rsidRPr="004714C6">
              <w:rPr>
                <w:kern w:val="2"/>
                <w:sz w:val="24"/>
                <w:szCs w:val="24"/>
                <w14:ligatures w14:val="standardContextual"/>
              </w:rPr>
              <w:t xml:space="preserve">én kapsel med 75 mg </w:t>
            </w:r>
            <w:r w:rsidRPr="004714C6">
              <w:rPr>
                <w:color w:val="000000"/>
                <w:kern w:val="2"/>
                <w:sz w:val="24"/>
                <w:szCs w:val="24"/>
                <w14:ligatures w14:val="standardContextual"/>
              </w:rPr>
              <w:t>dabigatranetexilat</w:t>
            </w: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14:paraId="07B9DBDE" w14:textId="77777777" w:rsidR="00A76826" w:rsidRPr="004714C6" w:rsidRDefault="00A76826" w:rsidP="0072235D">
            <w:pPr>
              <w:widowControl w:val="0"/>
              <w:autoSpaceDE w:val="0"/>
              <w:autoSpaceDN w:val="0"/>
              <w:adjustRightInd w:val="0"/>
              <w:ind w:left="100" w:right="80"/>
              <w:rPr>
                <w:kern w:val="2"/>
                <w:sz w:val="24"/>
                <w:szCs w:val="24"/>
                <w14:ligatures w14:val="standardContextual"/>
              </w:rPr>
            </w:pPr>
            <w:r w:rsidRPr="004714C6">
              <w:rPr>
                <w:kern w:val="2"/>
                <w:sz w:val="24"/>
                <w:szCs w:val="24"/>
                <w14:ligatures w14:val="standardContextual"/>
              </w:rPr>
              <w:t xml:space="preserve">150 mg </w:t>
            </w:r>
            <w:r w:rsidRPr="004714C6">
              <w:rPr>
                <w:color w:val="000000"/>
                <w:kern w:val="2"/>
                <w:sz w:val="24"/>
                <w:szCs w:val="24"/>
                <w14:ligatures w14:val="standardContextual"/>
              </w:rPr>
              <w:t xml:space="preserve">dabigatranetexilat </w:t>
            </w:r>
            <w:r w:rsidRPr="004714C6">
              <w:rPr>
                <w:kern w:val="2"/>
                <w:sz w:val="24"/>
                <w:szCs w:val="24"/>
                <w14:ligatures w14:val="standardContextual"/>
              </w:rPr>
              <w:t>én gang dagligt i form af 2 kapsler a 75 </w:t>
            </w:r>
            <w:r w:rsidRPr="004714C6">
              <w:rPr>
                <w:spacing w:val="-1"/>
                <w:kern w:val="2"/>
                <w:sz w:val="24"/>
                <w:szCs w:val="24"/>
                <w14:ligatures w14:val="standardContextual"/>
              </w:rPr>
              <w:t>mg</w:t>
            </w:r>
          </w:p>
        </w:tc>
        <w:tc>
          <w:tcPr>
            <w:tcW w:w="1066" w:type="pct"/>
            <w:vMerge w:val="restart"/>
            <w:tcBorders>
              <w:top w:val="single" w:sz="4" w:space="0" w:color="000000"/>
              <w:left w:val="single" w:sz="4" w:space="0" w:color="000000"/>
              <w:bottom w:val="single" w:sz="4" w:space="0" w:color="000000"/>
              <w:right w:val="single" w:sz="4" w:space="0" w:color="000000"/>
            </w:tcBorders>
            <w:vAlign w:val="center"/>
            <w:hideMark/>
          </w:tcPr>
          <w:p w14:paraId="0034925E" w14:textId="77777777" w:rsidR="00A76826" w:rsidRPr="004714C6" w:rsidRDefault="00A76826" w:rsidP="0072235D">
            <w:pPr>
              <w:widowControl w:val="0"/>
              <w:autoSpaceDE w:val="0"/>
              <w:autoSpaceDN w:val="0"/>
              <w:adjustRightInd w:val="0"/>
              <w:ind w:left="102" w:right="229"/>
              <w:rPr>
                <w:kern w:val="2"/>
                <w:sz w:val="24"/>
                <w:szCs w:val="24"/>
                <w14:ligatures w14:val="standardContextual"/>
              </w:rPr>
            </w:pPr>
            <w:r w:rsidRPr="004714C6">
              <w:rPr>
                <w:kern w:val="2"/>
                <w:sz w:val="24"/>
                <w:szCs w:val="24"/>
                <w14:ligatures w14:val="standardContextual"/>
              </w:rPr>
              <w:t>10 dage (knæalloplastik) eller 28</w:t>
            </w:r>
            <w:r w:rsidRPr="004714C6">
              <w:rPr>
                <w:spacing w:val="-4"/>
                <w:kern w:val="2"/>
                <w:sz w:val="24"/>
                <w:szCs w:val="24"/>
                <w14:ligatures w14:val="standardContextual"/>
              </w:rPr>
              <w:noBreakHyphen/>
            </w:r>
            <w:r w:rsidRPr="004714C6">
              <w:rPr>
                <w:kern w:val="2"/>
                <w:sz w:val="24"/>
                <w:szCs w:val="24"/>
                <w14:ligatures w14:val="standardContextual"/>
              </w:rPr>
              <w:t>35 dage (hoftealloplastik)</w:t>
            </w:r>
          </w:p>
        </w:tc>
      </w:tr>
      <w:tr w:rsidR="00A76826" w:rsidRPr="004714C6" w14:paraId="2D0F48AD" w14:textId="77777777" w:rsidTr="0072235D">
        <w:trPr>
          <w:trHeight w:val="20"/>
        </w:trPr>
        <w:tc>
          <w:tcPr>
            <w:tcW w:w="1802" w:type="pct"/>
            <w:tcBorders>
              <w:top w:val="single" w:sz="4" w:space="0" w:color="000000"/>
              <w:left w:val="single" w:sz="4" w:space="0" w:color="000000"/>
              <w:bottom w:val="single" w:sz="4" w:space="0" w:color="000000"/>
              <w:right w:val="single" w:sz="4" w:space="0" w:color="000000"/>
            </w:tcBorders>
            <w:hideMark/>
          </w:tcPr>
          <w:p w14:paraId="54F75099" w14:textId="77777777" w:rsidR="00A76826" w:rsidRPr="004714C6" w:rsidRDefault="00A76826" w:rsidP="0072235D">
            <w:pPr>
              <w:widowControl w:val="0"/>
              <w:autoSpaceDE w:val="0"/>
              <w:autoSpaceDN w:val="0"/>
              <w:adjustRightInd w:val="0"/>
              <w:ind w:left="174" w:right="138"/>
              <w:rPr>
                <w:kern w:val="2"/>
                <w:sz w:val="24"/>
                <w:szCs w:val="24"/>
                <w14:ligatures w14:val="standardContextual"/>
              </w:rPr>
            </w:pPr>
            <w:r w:rsidRPr="004714C6">
              <w:rPr>
                <w:kern w:val="2"/>
                <w:sz w:val="24"/>
                <w:szCs w:val="24"/>
                <w14:ligatures w14:val="standardContextual"/>
              </w:rPr>
              <w:t>Patienter i samtidig behandling med</w:t>
            </w:r>
            <w:r w:rsidRPr="004714C6">
              <w:rPr>
                <w:spacing w:val="1"/>
                <w:kern w:val="2"/>
                <w:sz w:val="24"/>
                <w:szCs w:val="24"/>
                <w14:ligatures w14:val="standardContextual"/>
              </w:rPr>
              <w:t xml:space="preserve"> verapamil*</w:t>
            </w:r>
            <w:r w:rsidRPr="004714C6">
              <w:rPr>
                <w:kern w:val="2"/>
                <w:sz w:val="24"/>
                <w:szCs w:val="24"/>
                <w14:ligatures w14:val="standardContextual"/>
              </w:rPr>
              <w:t>, amiodaron, kinidin</w:t>
            </w:r>
          </w:p>
        </w:tc>
        <w:tc>
          <w:tcPr>
            <w:tcW w:w="1066" w:type="pct"/>
            <w:vMerge/>
            <w:tcBorders>
              <w:top w:val="single" w:sz="4" w:space="0" w:color="000000"/>
              <w:left w:val="single" w:sz="4" w:space="0" w:color="000000"/>
              <w:bottom w:val="single" w:sz="4" w:space="0" w:color="000000"/>
              <w:right w:val="single" w:sz="4" w:space="0" w:color="000000"/>
            </w:tcBorders>
            <w:vAlign w:val="center"/>
            <w:hideMark/>
          </w:tcPr>
          <w:p w14:paraId="2EDBEC1A" w14:textId="77777777" w:rsidR="00A76826" w:rsidRPr="004714C6" w:rsidRDefault="00A76826" w:rsidP="0072235D">
            <w:pPr>
              <w:rPr>
                <w:kern w:val="2"/>
                <w:sz w:val="24"/>
                <w:szCs w:val="24"/>
                <w14:ligatures w14:val="standardContextual"/>
              </w:rPr>
            </w:pPr>
          </w:p>
        </w:tc>
        <w:tc>
          <w:tcPr>
            <w:tcW w:w="1066" w:type="pct"/>
            <w:vMerge/>
            <w:tcBorders>
              <w:top w:val="single" w:sz="4" w:space="0" w:color="000000"/>
              <w:left w:val="single" w:sz="4" w:space="0" w:color="000000"/>
              <w:bottom w:val="single" w:sz="4" w:space="0" w:color="000000"/>
              <w:right w:val="single" w:sz="4" w:space="0" w:color="000000"/>
            </w:tcBorders>
            <w:vAlign w:val="center"/>
            <w:hideMark/>
          </w:tcPr>
          <w:p w14:paraId="45FD7836" w14:textId="77777777" w:rsidR="00A76826" w:rsidRPr="004714C6" w:rsidRDefault="00A76826" w:rsidP="0072235D">
            <w:pPr>
              <w:rPr>
                <w:kern w:val="2"/>
                <w:sz w:val="24"/>
                <w:szCs w:val="24"/>
                <w14:ligatures w14:val="standardContextual"/>
              </w:rPr>
            </w:pPr>
          </w:p>
        </w:tc>
        <w:tc>
          <w:tcPr>
            <w:tcW w:w="1066" w:type="pct"/>
            <w:vMerge/>
            <w:tcBorders>
              <w:top w:val="single" w:sz="4" w:space="0" w:color="000000"/>
              <w:left w:val="single" w:sz="4" w:space="0" w:color="000000"/>
              <w:bottom w:val="single" w:sz="4" w:space="0" w:color="000000"/>
              <w:right w:val="single" w:sz="4" w:space="0" w:color="000000"/>
            </w:tcBorders>
            <w:vAlign w:val="center"/>
            <w:hideMark/>
          </w:tcPr>
          <w:p w14:paraId="27F9967F" w14:textId="77777777" w:rsidR="00A76826" w:rsidRPr="004714C6" w:rsidRDefault="00A76826" w:rsidP="0072235D">
            <w:pPr>
              <w:rPr>
                <w:kern w:val="2"/>
                <w:sz w:val="24"/>
                <w:szCs w:val="24"/>
                <w14:ligatures w14:val="standardContextual"/>
              </w:rPr>
            </w:pPr>
          </w:p>
        </w:tc>
      </w:tr>
      <w:tr w:rsidR="00A76826" w:rsidRPr="004714C6" w14:paraId="20C41F8D" w14:textId="77777777" w:rsidTr="0072235D">
        <w:trPr>
          <w:trHeight w:val="20"/>
        </w:trPr>
        <w:tc>
          <w:tcPr>
            <w:tcW w:w="1802" w:type="pct"/>
            <w:tcBorders>
              <w:top w:val="single" w:sz="4" w:space="0" w:color="000000"/>
              <w:left w:val="single" w:sz="4" w:space="0" w:color="000000"/>
              <w:bottom w:val="single" w:sz="4" w:space="0" w:color="000000"/>
              <w:right w:val="single" w:sz="4" w:space="0" w:color="000000"/>
            </w:tcBorders>
            <w:hideMark/>
          </w:tcPr>
          <w:p w14:paraId="3E63D3B7" w14:textId="77777777" w:rsidR="00A76826" w:rsidRPr="004714C6" w:rsidRDefault="00A76826" w:rsidP="0072235D">
            <w:pPr>
              <w:widowControl w:val="0"/>
              <w:autoSpaceDE w:val="0"/>
              <w:autoSpaceDN w:val="0"/>
              <w:adjustRightInd w:val="0"/>
              <w:ind w:left="174" w:right="138"/>
              <w:rPr>
                <w:kern w:val="2"/>
                <w:sz w:val="24"/>
                <w:szCs w:val="24"/>
                <w14:ligatures w14:val="standardContextual"/>
              </w:rPr>
            </w:pPr>
            <w:r w:rsidRPr="004714C6">
              <w:rPr>
                <w:kern w:val="2"/>
                <w:sz w:val="24"/>
                <w:szCs w:val="24"/>
                <w14:ligatures w14:val="standardContextual"/>
              </w:rPr>
              <w:t>Patienter på 75 år eller derover</w:t>
            </w:r>
          </w:p>
        </w:tc>
        <w:tc>
          <w:tcPr>
            <w:tcW w:w="1066" w:type="pct"/>
            <w:vMerge/>
            <w:tcBorders>
              <w:top w:val="single" w:sz="4" w:space="0" w:color="000000"/>
              <w:left w:val="single" w:sz="4" w:space="0" w:color="000000"/>
              <w:bottom w:val="single" w:sz="4" w:space="0" w:color="000000"/>
              <w:right w:val="single" w:sz="4" w:space="0" w:color="000000"/>
            </w:tcBorders>
            <w:vAlign w:val="center"/>
            <w:hideMark/>
          </w:tcPr>
          <w:p w14:paraId="16BDD62B" w14:textId="77777777" w:rsidR="00A76826" w:rsidRPr="004714C6" w:rsidRDefault="00A76826" w:rsidP="0072235D">
            <w:pPr>
              <w:rPr>
                <w:kern w:val="2"/>
                <w:sz w:val="24"/>
                <w:szCs w:val="24"/>
                <w14:ligatures w14:val="standardContextual"/>
              </w:rPr>
            </w:pPr>
          </w:p>
        </w:tc>
        <w:tc>
          <w:tcPr>
            <w:tcW w:w="1066" w:type="pct"/>
            <w:vMerge/>
            <w:tcBorders>
              <w:top w:val="single" w:sz="4" w:space="0" w:color="000000"/>
              <w:left w:val="single" w:sz="4" w:space="0" w:color="000000"/>
              <w:bottom w:val="single" w:sz="4" w:space="0" w:color="000000"/>
              <w:right w:val="single" w:sz="4" w:space="0" w:color="000000"/>
            </w:tcBorders>
            <w:vAlign w:val="center"/>
            <w:hideMark/>
          </w:tcPr>
          <w:p w14:paraId="0BCDFC6D" w14:textId="77777777" w:rsidR="00A76826" w:rsidRPr="004714C6" w:rsidRDefault="00A76826" w:rsidP="0072235D">
            <w:pPr>
              <w:rPr>
                <w:kern w:val="2"/>
                <w:sz w:val="24"/>
                <w:szCs w:val="24"/>
                <w14:ligatures w14:val="standardContextual"/>
              </w:rPr>
            </w:pPr>
          </w:p>
        </w:tc>
        <w:tc>
          <w:tcPr>
            <w:tcW w:w="1066" w:type="pct"/>
            <w:vMerge/>
            <w:tcBorders>
              <w:top w:val="single" w:sz="4" w:space="0" w:color="000000"/>
              <w:left w:val="single" w:sz="4" w:space="0" w:color="000000"/>
              <w:bottom w:val="single" w:sz="4" w:space="0" w:color="000000"/>
              <w:right w:val="single" w:sz="4" w:space="0" w:color="000000"/>
            </w:tcBorders>
            <w:vAlign w:val="center"/>
            <w:hideMark/>
          </w:tcPr>
          <w:p w14:paraId="78599C0A" w14:textId="77777777" w:rsidR="00A76826" w:rsidRPr="004714C6" w:rsidRDefault="00A76826" w:rsidP="0072235D">
            <w:pPr>
              <w:rPr>
                <w:kern w:val="2"/>
                <w:sz w:val="24"/>
                <w:szCs w:val="24"/>
                <w14:ligatures w14:val="standardContextual"/>
              </w:rPr>
            </w:pPr>
          </w:p>
        </w:tc>
      </w:tr>
    </w:tbl>
    <w:p w14:paraId="21C8FFB4" w14:textId="77777777" w:rsidR="00A76826" w:rsidRPr="004714C6" w:rsidRDefault="00A76826" w:rsidP="00647CA7">
      <w:pPr>
        <w:rPr>
          <w:sz w:val="24"/>
          <w:szCs w:val="24"/>
        </w:rPr>
      </w:pPr>
      <w:r w:rsidRPr="004714C6">
        <w:rPr>
          <w:sz w:val="24"/>
          <w:szCs w:val="24"/>
        </w:rPr>
        <w:lastRenderedPageBreak/>
        <w:t>*For patienter med moderat nedsat nyrefunktion, som samtidig behandles med verapamil, se Særlige populationer.</w:t>
      </w:r>
    </w:p>
    <w:p w14:paraId="37064F6B" w14:textId="77777777" w:rsidR="00A76826" w:rsidRPr="004714C6" w:rsidRDefault="00A76826" w:rsidP="00647CA7">
      <w:pPr>
        <w:rPr>
          <w:sz w:val="24"/>
          <w:szCs w:val="24"/>
        </w:rPr>
      </w:pPr>
    </w:p>
    <w:p w14:paraId="08218A1A" w14:textId="77777777" w:rsidR="00A76826" w:rsidRPr="004714C6" w:rsidRDefault="00A76826" w:rsidP="00647CA7">
      <w:pPr>
        <w:ind w:left="851"/>
        <w:rPr>
          <w:sz w:val="24"/>
          <w:szCs w:val="24"/>
        </w:rPr>
      </w:pPr>
      <w:r w:rsidRPr="004714C6">
        <w:rPr>
          <w:sz w:val="24"/>
          <w:szCs w:val="24"/>
        </w:rPr>
        <w:t>Ved begge typer operationer skal behandlingens start udsættes, hvis hæmostase ikke er sikret. Hvis behandlingen ikke påbegyndes på operationsdagen, skal dosis fra første behandlingsdag påbegyndes med 2 kapsler én gang dagligt.</w:t>
      </w:r>
    </w:p>
    <w:p w14:paraId="09BBACD7" w14:textId="77777777" w:rsidR="00A76826" w:rsidRPr="004714C6" w:rsidRDefault="00A76826" w:rsidP="00647CA7">
      <w:pPr>
        <w:ind w:left="851"/>
        <w:rPr>
          <w:sz w:val="24"/>
          <w:szCs w:val="24"/>
        </w:rPr>
      </w:pPr>
    </w:p>
    <w:p w14:paraId="7FE259B7" w14:textId="77777777" w:rsidR="00A76826" w:rsidRPr="004714C6" w:rsidRDefault="00A76826" w:rsidP="00647CA7">
      <w:pPr>
        <w:ind w:left="851"/>
        <w:rPr>
          <w:sz w:val="24"/>
          <w:szCs w:val="24"/>
        </w:rPr>
      </w:pPr>
      <w:r w:rsidRPr="004714C6">
        <w:rPr>
          <w:i/>
          <w:iCs/>
          <w:position w:val="-1"/>
          <w:sz w:val="24"/>
          <w:szCs w:val="24"/>
        </w:rPr>
        <w:t xml:space="preserve">Vurdering af nyrefunktionen før og under behandling med </w:t>
      </w:r>
      <w:r w:rsidRPr="004714C6">
        <w:rPr>
          <w:i/>
          <w:iCs/>
          <w:color w:val="000000"/>
          <w:sz w:val="24"/>
          <w:szCs w:val="24"/>
        </w:rPr>
        <w:t>dabigatranetexilat</w:t>
      </w:r>
    </w:p>
    <w:p w14:paraId="2998C8BA" w14:textId="77777777" w:rsidR="00A76826" w:rsidRPr="004714C6" w:rsidRDefault="00A76826" w:rsidP="00647CA7">
      <w:pPr>
        <w:ind w:left="851"/>
        <w:rPr>
          <w:sz w:val="24"/>
          <w:szCs w:val="24"/>
        </w:rPr>
      </w:pPr>
    </w:p>
    <w:p w14:paraId="65595C2A" w14:textId="77777777" w:rsidR="00A76826" w:rsidRPr="004714C6" w:rsidRDefault="00A76826" w:rsidP="00647CA7">
      <w:pPr>
        <w:ind w:left="851"/>
        <w:rPr>
          <w:sz w:val="24"/>
          <w:szCs w:val="24"/>
        </w:rPr>
      </w:pPr>
      <w:r w:rsidRPr="004714C6">
        <w:rPr>
          <w:sz w:val="24"/>
          <w:szCs w:val="24"/>
        </w:rPr>
        <w:t>Alle patienter og især ældre (&gt; 75 år), da nedsat nyrefunktion kan forekomme hyppigt i denne aldersgruppe:</w:t>
      </w:r>
    </w:p>
    <w:p w14:paraId="303193DF" w14:textId="77777777" w:rsidR="00A76826" w:rsidRPr="004714C6" w:rsidRDefault="00A76826" w:rsidP="0072235D">
      <w:pPr>
        <w:pStyle w:val="Listeafsnit"/>
        <w:numPr>
          <w:ilvl w:val="0"/>
          <w:numId w:val="12"/>
        </w:numPr>
        <w:tabs>
          <w:tab w:val="clear" w:pos="567"/>
        </w:tabs>
        <w:ind w:left="1276" w:hanging="425"/>
        <w:rPr>
          <w:sz w:val="24"/>
          <w:szCs w:val="24"/>
          <w:lang w:val="da-DK"/>
        </w:rPr>
      </w:pPr>
      <w:r w:rsidRPr="004714C6">
        <w:rPr>
          <w:sz w:val="24"/>
          <w:szCs w:val="24"/>
          <w:lang w:val="da-DK"/>
        </w:rPr>
        <w:t xml:space="preserve">Før påbegyndelse af behandling med </w:t>
      </w:r>
      <w:r w:rsidRPr="004714C6">
        <w:rPr>
          <w:color w:val="000000"/>
          <w:sz w:val="24"/>
          <w:szCs w:val="24"/>
          <w:lang w:val="da-DK"/>
        </w:rPr>
        <w:t>dabigatranetexilat</w:t>
      </w:r>
      <w:r w:rsidRPr="004714C6">
        <w:rPr>
          <w:sz w:val="24"/>
          <w:szCs w:val="24"/>
          <w:lang w:val="da-DK"/>
        </w:rPr>
        <w:t xml:space="preserve"> bør nyrefunktionen vurderes ved beregning af kreatininclearance (</w:t>
      </w:r>
      <w:r w:rsidRPr="004714C6">
        <w:rPr>
          <w:spacing w:val="-1"/>
          <w:sz w:val="24"/>
          <w:szCs w:val="24"/>
          <w:lang w:val="da-DK"/>
        </w:rPr>
        <w:t>CrCL</w:t>
      </w:r>
      <w:r w:rsidRPr="004714C6">
        <w:rPr>
          <w:sz w:val="24"/>
          <w:szCs w:val="24"/>
          <w:lang w:val="da-DK"/>
        </w:rPr>
        <w:t>) for at ekskludere patienter med svært nedsat nyrefunktion (dvs. CrCL &lt; 30 </w:t>
      </w:r>
      <w:r w:rsidRPr="004714C6">
        <w:rPr>
          <w:spacing w:val="-1"/>
          <w:sz w:val="24"/>
          <w:szCs w:val="24"/>
          <w:lang w:val="da-DK"/>
        </w:rPr>
        <w:t>ml/min</w:t>
      </w:r>
      <w:r w:rsidRPr="004714C6">
        <w:rPr>
          <w:sz w:val="24"/>
          <w:szCs w:val="24"/>
          <w:lang w:val="da-DK"/>
        </w:rPr>
        <w:t>) (se pkt. 4.3, 4.4 og 5.2).</w:t>
      </w:r>
    </w:p>
    <w:p w14:paraId="790298F7" w14:textId="77777777" w:rsidR="00A76826" w:rsidRPr="004714C6" w:rsidRDefault="00A76826" w:rsidP="0072235D">
      <w:pPr>
        <w:pStyle w:val="Listeafsnit"/>
        <w:numPr>
          <w:ilvl w:val="0"/>
          <w:numId w:val="12"/>
        </w:numPr>
        <w:tabs>
          <w:tab w:val="clear" w:pos="567"/>
        </w:tabs>
        <w:ind w:left="1276" w:hanging="425"/>
        <w:rPr>
          <w:sz w:val="24"/>
          <w:szCs w:val="24"/>
          <w:lang w:val="da-DK"/>
        </w:rPr>
      </w:pPr>
      <w:r w:rsidRPr="004714C6">
        <w:rPr>
          <w:sz w:val="24"/>
          <w:szCs w:val="24"/>
          <w:lang w:val="da-DK"/>
        </w:rPr>
        <w:t xml:space="preserve">Under behandlingen bør nyrefunktionen også vurderes, hvis der er mistanke om fald i nyrefunktionen (f.eks. hypovolæmi, dehydrering og i tilfælde af samtidig behandling med visse </w:t>
      </w:r>
      <w:r w:rsidRPr="004714C6">
        <w:rPr>
          <w:spacing w:val="-2"/>
          <w:sz w:val="24"/>
          <w:szCs w:val="24"/>
          <w:lang w:val="da-DK"/>
        </w:rPr>
        <w:t>lægemidler</w:t>
      </w:r>
      <w:r w:rsidRPr="004714C6">
        <w:rPr>
          <w:spacing w:val="1"/>
          <w:sz w:val="24"/>
          <w:szCs w:val="24"/>
          <w:lang w:val="da-DK"/>
        </w:rPr>
        <w:t>).</w:t>
      </w:r>
    </w:p>
    <w:p w14:paraId="73B33C74" w14:textId="77777777" w:rsidR="00A76826" w:rsidRPr="004714C6" w:rsidRDefault="00A76826" w:rsidP="00647CA7">
      <w:pPr>
        <w:widowControl w:val="0"/>
        <w:autoSpaceDE w:val="0"/>
        <w:autoSpaceDN w:val="0"/>
        <w:adjustRightInd w:val="0"/>
        <w:ind w:left="851" w:right="162"/>
        <w:rPr>
          <w:sz w:val="24"/>
          <w:szCs w:val="24"/>
        </w:rPr>
      </w:pPr>
    </w:p>
    <w:p w14:paraId="3E2330BE"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Metoden, der skal anvendes til at estimere nyrefunktionen (CrCL i ml/min), er Cockcroft-Gault-metoden.</w:t>
      </w:r>
    </w:p>
    <w:p w14:paraId="6711B393" w14:textId="77777777" w:rsidR="00A76826" w:rsidRPr="004714C6" w:rsidRDefault="00A76826" w:rsidP="00647CA7">
      <w:pPr>
        <w:widowControl w:val="0"/>
        <w:autoSpaceDE w:val="0"/>
        <w:autoSpaceDN w:val="0"/>
        <w:adjustRightInd w:val="0"/>
        <w:ind w:left="851" w:right="162"/>
        <w:rPr>
          <w:sz w:val="24"/>
          <w:szCs w:val="24"/>
        </w:rPr>
      </w:pPr>
    </w:p>
    <w:p w14:paraId="2D230457" w14:textId="77777777" w:rsidR="00A76826" w:rsidRPr="004714C6" w:rsidRDefault="00A76826" w:rsidP="00647CA7">
      <w:pPr>
        <w:widowControl w:val="0"/>
        <w:autoSpaceDE w:val="0"/>
        <w:autoSpaceDN w:val="0"/>
        <w:adjustRightInd w:val="0"/>
        <w:ind w:left="851" w:right="162"/>
        <w:rPr>
          <w:i/>
          <w:iCs/>
          <w:sz w:val="24"/>
          <w:szCs w:val="24"/>
        </w:rPr>
      </w:pPr>
      <w:r w:rsidRPr="004714C6">
        <w:rPr>
          <w:i/>
          <w:iCs/>
          <w:sz w:val="24"/>
          <w:szCs w:val="24"/>
        </w:rPr>
        <w:t>Glemt dosis</w:t>
      </w:r>
    </w:p>
    <w:p w14:paraId="336A53B3" w14:textId="77777777" w:rsidR="00A76826" w:rsidRPr="004714C6" w:rsidRDefault="00A76826" w:rsidP="00647CA7">
      <w:pPr>
        <w:widowControl w:val="0"/>
        <w:autoSpaceDE w:val="0"/>
        <w:autoSpaceDN w:val="0"/>
        <w:adjustRightInd w:val="0"/>
        <w:ind w:left="851" w:right="162"/>
        <w:rPr>
          <w:sz w:val="24"/>
          <w:szCs w:val="24"/>
        </w:rPr>
      </w:pPr>
    </w:p>
    <w:p w14:paraId="1119C88E"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Det anbefales at fortsætte med de resterende daglige doser dabigatranetexilat på samme tidspunkt næste dag.</w:t>
      </w:r>
    </w:p>
    <w:p w14:paraId="252FB0DA" w14:textId="77777777" w:rsidR="00A76826" w:rsidRPr="004714C6" w:rsidRDefault="00A76826" w:rsidP="00647CA7">
      <w:pPr>
        <w:widowControl w:val="0"/>
        <w:autoSpaceDE w:val="0"/>
        <w:autoSpaceDN w:val="0"/>
        <w:adjustRightInd w:val="0"/>
        <w:ind w:left="851" w:right="162"/>
        <w:rPr>
          <w:sz w:val="24"/>
          <w:szCs w:val="24"/>
        </w:rPr>
      </w:pPr>
    </w:p>
    <w:p w14:paraId="31A056B1"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Der må ikke tages dobbeltdosis som erstatning for glemte, enkelte doser.</w:t>
      </w:r>
    </w:p>
    <w:p w14:paraId="6F2A8051" w14:textId="77777777" w:rsidR="00A76826" w:rsidRPr="004714C6" w:rsidRDefault="00A76826" w:rsidP="00647CA7">
      <w:pPr>
        <w:widowControl w:val="0"/>
        <w:autoSpaceDE w:val="0"/>
        <w:autoSpaceDN w:val="0"/>
        <w:adjustRightInd w:val="0"/>
        <w:ind w:left="851" w:right="162"/>
        <w:rPr>
          <w:sz w:val="24"/>
          <w:szCs w:val="24"/>
        </w:rPr>
      </w:pPr>
    </w:p>
    <w:p w14:paraId="4C899039" w14:textId="77777777" w:rsidR="00A76826" w:rsidRPr="004714C6" w:rsidRDefault="00A76826" w:rsidP="00647CA7">
      <w:pPr>
        <w:widowControl w:val="0"/>
        <w:autoSpaceDE w:val="0"/>
        <w:autoSpaceDN w:val="0"/>
        <w:adjustRightInd w:val="0"/>
        <w:ind w:left="851" w:right="162"/>
        <w:rPr>
          <w:i/>
          <w:iCs/>
          <w:sz w:val="24"/>
          <w:szCs w:val="24"/>
        </w:rPr>
      </w:pPr>
      <w:r w:rsidRPr="004714C6">
        <w:rPr>
          <w:i/>
          <w:iCs/>
          <w:sz w:val="24"/>
          <w:szCs w:val="24"/>
        </w:rPr>
        <w:t>Seponering af dabigatranetexilat</w:t>
      </w:r>
    </w:p>
    <w:p w14:paraId="546EAAA8" w14:textId="77777777" w:rsidR="00A76826" w:rsidRPr="004714C6" w:rsidRDefault="00A76826" w:rsidP="00647CA7">
      <w:pPr>
        <w:widowControl w:val="0"/>
        <w:autoSpaceDE w:val="0"/>
        <w:autoSpaceDN w:val="0"/>
        <w:adjustRightInd w:val="0"/>
        <w:ind w:left="851" w:right="162"/>
        <w:rPr>
          <w:sz w:val="24"/>
          <w:szCs w:val="24"/>
        </w:rPr>
      </w:pPr>
    </w:p>
    <w:p w14:paraId="3495C19A"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Behandlingen med dabigatranetexilat må ikke seponeres uden medicinsk rådgivning. Patienterne skal instrueres i at kontakte den behandlende læge, hvis de udvikler gastrointestinale symptomer, såsom dyspepsi (se pkt. 4.8).</w:t>
      </w:r>
    </w:p>
    <w:p w14:paraId="7031113A" w14:textId="77777777" w:rsidR="00A76826" w:rsidRPr="004714C6" w:rsidRDefault="00A76826" w:rsidP="00647CA7">
      <w:pPr>
        <w:widowControl w:val="0"/>
        <w:autoSpaceDE w:val="0"/>
        <w:autoSpaceDN w:val="0"/>
        <w:adjustRightInd w:val="0"/>
        <w:ind w:left="851" w:right="162"/>
        <w:rPr>
          <w:sz w:val="24"/>
          <w:szCs w:val="24"/>
        </w:rPr>
      </w:pPr>
    </w:p>
    <w:p w14:paraId="256EC792" w14:textId="77777777" w:rsidR="00A76826" w:rsidRPr="004714C6" w:rsidRDefault="00A76826" w:rsidP="00647CA7">
      <w:pPr>
        <w:widowControl w:val="0"/>
        <w:autoSpaceDE w:val="0"/>
        <w:autoSpaceDN w:val="0"/>
        <w:adjustRightInd w:val="0"/>
        <w:ind w:left="851" w:right="162"/>
        <w:rPr>
          <w:i/>
          <w:iCs/>
          <w:sz w:val="24"/>
          <w:szCs w:val="24"/>
        </w:rPr>
      </w:pPr>
      <w:r w:rsidRPr="004714C6">
        <w:rPr>
          <w:i/>
          <w:iCs/>
          <w:sz w:val="24"/>
          <w:szCs w:val="24"/>
        </w:rPr>
        <w:t>Behandlingsskift</w:t>
      </w:r>
    </w:p>
    <w:p w14:paraId="25EAFC4A" w14:textId="77777777" w:rsidR="00A76826" w:rsidRPr="004714C6" w:rsidRDefault="00A76826" w:rsidP="00647CA7">
      <w:pPr>
        <w:widowControl w:val="0"/>
        <w:autoSpaceDE w:val="0"/>
        <w:autoSpaceDN w:val="0"/>
        <w:adjustRightInd w:val="0"/>
        <w:ind w:left="851" w:right="162"/>
        <w:rPr>
          <w:sz w:val="24"/>
          <w:szCs w:val="24"/>
        </w:rPr>
      </w:pPr>
    </w:p>
    <w:p w14:paraId="42DD6AF7"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Fra behandling med dabigatranetexilat til parenteral antikoagulans:</w:t>
      </w:r>
    </w:p>
    <w:p w14:paraId="435D5587"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Det anbefales at vente 24 timer efter den sidste dosis, før der skiftes fra dabigatranetexilat til en parenteral antikoagulans (se pkt. 4.5).</w:t>
      </w:r>
    </w:p>
    <w:p w14:paraId="6EA7070A" w14:textId="77777777" w:rsidR="00A76826" w:rsidRPr="004714C6" w:rsidRDefault="00A76826" w:rsidP="00647CA7">
      <w:pPr>
        <w:widowControl w:val="0"/>
        <w:autoSpaceDE w:val="0"/>
        <w:autoSpaceDN w:val="0"/>
        <w:adjustRightInd w:val="0"/>
        <w:ind w:left="851" w:right="162"/>
        <w:rPr>
          <w:sz w:val="24"/>
          <w:szCs w:val="24"/>
        </w:rPr>
      </w:pPr>
    </w:p>
    <w:p w14:paraId="18C5F329"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Fra parenteral antikoagulans til dabigatranetexilat:</w:t>
      </w:r>
    </w:p>
    <w:p w14:paraId="7D0E2E5A"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Den parenterale antikoagulans bør seponeres, og dabigatranetexilat bør startes 0</w:t>
      </w:r>
      <w:r w:rsidRPr="004714C6">
        <w:rPr>
          <w:sz w:val="24"/>
          <w:szCs w:val="24"/>
        </w:rPr>
        <w:noBreakHyphen/>
        <w:t>2 timer før det planlagte tidspunkt for næste dosis af den anden behandling, eller samtidig med seponering ved kontinuerlig behandling (f.eks. intravenøs ufraktioneret heparin (UFH)) (se pkt. 4.5).</w:t>
      </w:r>
    </w:p>
    <w:p w14:paraId="24153752" w14:textId="77777777" w:rsidR="00A76826" w:rsidRPr="004714C6" w:rsidRDefault="00A76826" w:rsidP="00647CA7">
      <w:pPr>
        <w:widowControl w:val="0"/>
        <w:autoSpaceDE w:val="0"/>
        <w:autoSpaceDN w:val="0"/>
        <w:adjustRightInd w:val="0"/>
        <w:ind w:left="851" w:right="162"/>
        <w:rPr>
          <w:sz w:val="24"/>
          <w:szCs w:val="24"/>
        </w:rPr>
      </w:pPr>
    </w:p>
    <w:p w14:paraId="5CF80BBF" w14:textId="77777777" w:rsidR="00A76826" w:rsidRPr="004714C6" w:rsidRDefault="00A76826" w:rsidP="00647CA7">
      <w:pPr>
        <w:widowControl w:val="0"/>
        <w:autoSpaceDE w:val="0"/>
        <w:autoSpaceDN w:val="0"/>
        <w:adjustRightInd w:val="0"/>
        <w:spacing w:line="249" w:lineRule="exact"/>
        <w:ind w:left="851" w:right="106"/>
        <w:rPr>
          <w:sz w:val="24"/>
          <w:szCs w:val="24"/>
          <w:u w:val="single"/>
        </w:rPr>
      </w:pPr>
      <w:r w:rsidRPr="004714C6">
        <w:rPr>
          <w:position w:val="-1"/>
          <w:sz w:val="24"/>
          <w:szCs w:val="24"/>
          <w:u w:val="single"/>
        </w:rPr>
        <w:t>Særlige populationer</w:t>
      </w:r>
    </w:p>
    <w:p w14:paraId="32E778C0" w14:textId="77777777" w:rsidR="00A76826" w:rsidRPr="004714C6" w:rsidRDefault="00A76826" w:rsidP="00647CA7">
      <w:pPr>
        <w:widowControl w:val="0"/>
        <w:autoSpaceDE w:val="0"/>
        <w:autoSpaceDN w:val="0"/>
        <w:adjustRightInd w:val="0"/>
        <w:ind w:left="851" w:right="162"/>
        <w:rPr>
          <w:sz w:val="24"/>
          <w:szCs w:val="24"/>
        </w:rPr>
      </w:pPr>
    </w:p>
    <w:p w14:paraId="751039D5" w14:textId="77777777" w:rsidR="00A76826" w:rsidRPr="004714C6" w:rsidRDefault="00A76826" w:rsidP="00647CA7">
      <w:pPr>
        <w:widowControl w:val="0"/>
        <w:autoSpaceDE w:val="0"/>
        <w:autoSpaceDN w:val="0"/>
        <w:adjustRightInd w:val="0"/>
        <w:ind w:left="851" w:right="162"/>
        <w:rPr>
          <w:i/>
          <w:iCs/>
          <w:sz w:val="24"/>
          <w:szCs w:val="24"/>
        </w:rPr>
      </w:pPr>
      <w:r w:rsidRPr="004714C6">
        <w:rPr>
          <w:i/>
          <w:iCs/>
          <w:sz w:val="24"/>
          <w:szCs w:val="24"/>
        </w:rPr>
        <w:t>Nedsat nyrefunktion</w:t>
      </w:r>
    </w:p>
    <w:p w14:paraId="0A87A9A7" w14:textId="77777777" w:rsidR="00A76826" w:rsidRPr="004714C6" w:rsidRDefault="00A76826" w:rsidP="00647CA7">
      <w:pPr>
        <w:widowControl w:val="0"/>
        <w:autoSpaceDE w:val="0"/>
        <w:autoSpaceDN w:val="0"/>
        <w:adjustRightInd w:val="0"/>
        <w:ind w:left="851" w:right="162"/>
        <w:rPr>
          <w:sz w:val="24"/>
          <w:szCs w:val="24"/>
        </w:rPr>
      </w:pPr>
    </w:p>
    <w:p w14:paraId="11841628"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Behandling med dabigatranetexilat er kontraindiceret hos patienter med svært nedsat nyrefunktion (CrCL &lt; 30 ml/min) (se pkt. 4.3).</w:t>
      </w:r>
    </w:p>
    <w:p w14:paraId="1352AFA3" w14:textId="77777777" w:rsidR="00A76826" w:rsidRPr="004714C6" w:rsidRDefault="00A76826" w:rsidP="00647CA7">
      <w:pPr>
        <w:widowControl w:val="0"/>
        <w:autoSpaceDE w:val="0"/>
        <w:autoSpaceDN w:val="0"/>
        <w:adjustRightInd w:val="0"/>
        <w:ind w:left="851" w:right="162"/>
        <w:rPr>
          <w:sz w:val="24"/>
          <w:szCs w:val="24"/>
        </w:rPr>
      </w:pPr>
    </w:p>
    <w:p w14:paraId="6628AF0B"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Der anbefales en dosisreduktion hos patienter med moderat nedsat nyrefunktion (CrCL 30</w:t>
      </w:r>
      <w:r w:rsidRPr="004714C6">
        <w:rPr>
          <w:sz w:val="24"/>
          <w:szCs w:val="24"/>
        </w:rPr>
        <w:noBreakHyphen/>
        <w:t>50 ml/min) (se tabel 1 ovenfor og pkt. 4.4 og 5.1).</w:t>
      </w:r>
    </w:p>
    <w:p w14:paraId="41D026FE" w14:textId="77777777" w:rsidR="00A76826" w:rsidRPr="004714C6" w:rsidRDefault="00A76826" w:rsidP="00647CA7">
      <w:pPr>
        <w:widowControl w:val="0"/>
        <w:autoSpaceDE w:val="0"/>
        <w:autoSpaceDN w:val="0"/>
        <w:adjustRightInd w:val="0"/>
        <w:ind w:left="851" w:right="162"/>
        <w:rPr>
          <w:sz w:val="24"/>
          <w:szCs w:val="24"/>
        </w:rPr>
      </w:pPr>
    </w:p>
    <w:p w14:paraId="6974AAA0" w14:textId="77777777" w:rsidR="00A76826" w:rsidRPr="004714C6" w:rsidRDefault="00A76826" w:rsidP="00647CA7">
      <w:pPr>
        <w:widowControl w:val="0"/>
        <w:autoSpaceDE w:val="0"/>
        <w:autoSpaceDN w:val="0"/>
        <w:adjustRightInd w:val="0"/>
        <w:ind w:left="851" w:right="162"/>
        <w:rPr>
          <w:i/>
          <w:iCs/>
          <w:sz w:val="24"/>
          <w:szCs w:val="24"/>
        </w:rPr>
      </w:pPr>
      <w:r w:rsidRPr="004714C6">
        <w:rPr>
          <w:i/>
          <w:iCs/>
          <w:sz w:val="24"/>
          <w:szCs w:val="24"/>
        </w:rPr>
        <w:t>Samtidig behandling med dabigatranetexilat og svage til moderate P-glykoprotein (P-</w:t>
      </w:r>
      <w:proofErr w:type="gramStart"/>
      <w:r w:rsidRPr="004714C6">
        <w:rPr>
          <w:i/>
          <w:iCs/>
          <w:sz w:val="24"/>
          <w:szCs w:val="24"/>
        </w:rPr>
        <w:t>gp)-</w:t>
      </w:r>
      <w:proofErr w:type="gramEnd"/>
      <w:r w:rsidRPr="004714C6">
        <w:rPr>
          <w:i/>
          <w:iCs/>
          <w:sz w:val="24"/>
          <w:szCs w:val="24"/>
        </w:rPr>
        <w:t>inhibitorer, dvs. amiodaron, kinidin eller verapamil</w:t>
      </w:r>
    </w:p>
    <w:p w14:paraId="3BC2997C" w14:textId="77777777" w:rsidR="00A76826" w:rsidRPr="004714C6" w:rsidRDefault="00A76826" w:rsidP="00647CA7">
      <w:pPr>
        <w:widowControl w:val="0"/>
        <w:autoSpaceDE w:val="0"/>
        <w:autoSpaceDN w:val="0"/>
        <w:adjustRightInd w:val="0"/>
        <w:ind w:left="851" w:right="162"/>
        <w:rPr>
          <w:sz w:val="24"/>
          <w:szCs w:val="24"/>
        </w:rPr>
      </w:pPr>
    </w:p>
    <w:p w14:paraId="33871053"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Dosis skal reduceres som indikeret i tabel 1 (se også pkt. 4.4 og 4.5). I sådanne tilfælde skal dabigatranetexilat og disse lægemidler tages samtidigt.</w:t>
      </w:r>
    </w:p>
    <w:p w14:paraId="5F8A17AB" w14:textId="77777777" w:rsidR="00A76826" w:rsidRPr="004714C6" w:rsidRDefault="00A76826" w:rsidP="00647CA7">
      <w:pPr>
        <w:widowControl w:val="0"/>
        <w:autoSpaceDE w:val="0"/>
        <w:autoSpaceDN w:val="0"/>
        <w:adjustRightInd w:val="0"/>
        <w:ind w:left="851" w:right="162"/>
        <w:rPr>
          <w:sz w:val="24"/>
          <w:szCs w:val="24"/>
        </w:rPr>
      </w:pPr>
    </w:p>
    <w:p w14:paraId="4FBADAF4"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Dosisreduktion af dabigatranetexilat til 75 mg dagligt bør overvejes til patienter med moderat nedsat nyrefunktion, som samtidig behandles med verapamil (se pkt. 4.4 og 4.5).</w:t>
      </w:r>
    </w:p>
    <w:p w14:paraId="4E6EA8B1" w14:textId="77777777" w:rsidR="00A76826" w:rsidRPr="004714C6" w:rsidRDefault="00A76826" w:rsidP="00647CA7">
      <w:pPr>
        <w:widowControl w:val="0"/>
        <w:autoSpaceDE w:val="0"/>
        <w:autoSpaceDN w:val="0"/>
        <w:adjustRightInd w:val="0"/>
        <w:ind w:left="851" w:right="162"/>
        <w:rPr>
          <w:sz w:val="24"/>
          <w:szCs w:val="24"/>
        </w:rPr>
      </w:pPr>
    </w:p>
    <w:p w14:paraId="064A7747" w14:textId="77777777" w:rsidR="00A76826" w:rsidRPr="004714C6" w:rsidRDefault="00A76826" w:rsidP="0072235D">
      <w:pPr>
        <w:ind w:left="851"/>
        <w:rPr>
          <w:i/>
          <w:sz w:val="24"/>
          <w:szCs w:val="24"/>
        </w:rPr>
      </w:pPr>
      <w:r w:rsidRPr="004714C6">
        <w:rPr>
          <w:i/>
          <w:sz w:val="24"/>
          <w:szCs w:val="24"/>
        </w:rPr>
        <w:t>Ældre</w:t>
      </w:r>
    </w:p>
    <w:p w14:paraId="71CEA4A0" w14:textId="77777777" w:rsidR="00A76826" w:rsidRPr="004714C6" w:rsidRDefault="00A76826" w:rsidP="0072235D">
      <w:pPr>
        <w:ind w:left="851"/>
        <w:rPr>
          <w:sz w:val="24"/>
          <w:szCs w:val="24"/>
        </w:rPr>
      </w:pPr>
    </w:p>
    <w:p w14:paraId="1F8E730E" w14:textId="77777777" w:rsidR="00A76826" w:rsidRPr="004714C6" w:rsidRDefault="00A76826" w:rsidP="0072235D">
      <w:pPr>
        <w:ind w:left="851"/>
        <w:rPr>
          <w:sz w:val="24"/>
          <w:szCs w:val="24"/>
        </w:rPr>
      </w:pPr>
      <w:r w:rsidRPr="004714C6">
        <w:rPr>
          <w:sz w:val="24"/>
          <w:szCs w:val="24"/>
        </w:rPr>
        <w:t>Der anbefales en dosisreduktion til ældre patienter &gt; 75 år (se tabel 1 ovenfor og pkt. 4.4 og 5.1).</w:t>
      </w:r>
    </w:p>
    <w:p w14:paraId="36E0AD56" w14:textId="77777777" w:rsidR="00A76826" w:rsidRPr="004714C6" w:rsidRDefault="00A76826" w:rsidP="00647CA7">
      <w:pPr>
        <w:widowControl w:val="0"/>
        <w:autoSpaceDE w:val="0"/>
        <w:autoSpaceDN w:val="0"/>
        <w:adjustRightInd w:val="0"/>
        <w:ind w:left="851" w:right="162"/>
        <w:rPr>
          <w:sz w:val="24"/>
          <w:szCs w:val="24"/>
        </w:rPr>
      </w:pPr>
    </w:p>
    <w:p w14:paraId="6466A07F" w14:textId="77777777" w:rsidR="00A76826" w:rsidRPr="004714C6" w:rsidRDefault="00A76826" w:rsidP="00647CA7">
      <w:pPr>
        <w:widowControl w:val="0"/>
        <w:autoSpaceDE w:val="0"/>
        <w:autoSpaceDN w:val="0"/>
        <w:adjustRightInd w:val="0"/>
        <w:ind w:left="851" w:right="162"/>
        <w:rPr>
          <w:i/>
          <w:iCs/>
          <w:sz w:val="24"/>
          <w:szCs w:val="24"/>
        </w:rPr>
      </w:pPr>
      <w:r w:rsidRPr="004714C6">
        <w:rPr>
          <w:i/>
          <w:iCs/>
          <w:sz w:val="24"/>
          <w:szCs w:val="24"/>
        </w:rPr>
        <w:t>Vægt</w:t>
      </w:r>
    </w:p>
    <w:p w14:paraId="50280353" w14:textId="77777777" w:rsidR="00A76826" w:rsidRPr="004714C6" w:rsidRDefault="00A76826" w:rsidP="00647CA7">
      <w:pPr>
        <w:widowControl w:val="0"/>
        <w:autoSpaceDE w:val="0"/>
        <w:autoSpaceDN w:val="0"/>
        <w:adjustRightInd w:val="0"/>
        <w:ind w:left="851" w:right="162"/>
        <w:rPr>
          <w:sz w:val="24"/>
          <w:szCs w:val="24"/>
        </w:rPr>
      </w:pPr>
    </w:p>
    <w:p w14:paraId="2A14632A"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Der er meget begrænset klinisk erfaring mht. behandling med den anbefalede dosering hos patienter med en vægt på &lt; 50 kg eller &gt; 110 kg. I henhold til de tilgængelige kliniske og kinetiske data er det ikke nødvendigt med en dosisjustering (se pkt. 5.2), men tæt klinisk overvågning anbefales (se pkt. 4.4).</w:t>
      </w:r>
    </w:p>
    <w:p w14:paraId="6B2D1E31" w14:textId="77777777" w:rsidR="00A76826" w:rsidRPr="004714C6" w:rsidRDefault="00A76826" w:rsidP="00647CA7">
      <w:pPr>
        <w:widowControl w:val="0"/>
        <w:autoSpaceDE w:val="0"/>
        <w:autoSpaceDN w:val="0"/>
        <w:adjustRightInd w:val="0"/>
        <w:ind w:left="851" w:right="162"/>
        <w:rPr>
          <w:sz w:val="24"/>
          <w:szCs w:val="24"/>
        </w:rPr>
      </w:pPr>
    </w:p>
    <w:p w14:paraId="3CEC3922" w14:textId="77777777" w:rsidR="00A76826" w:rsidRPr="004714C6" w:rsidRDefault="00A76826" w:rsidP="00647CA7">
      <w:pPr>
        <w:widowControl w:val="0"/>
        <w:autoSpaceDE w:val="0"/>
        <w:autoSpaceDN w:val="0"/>
        <w:adjustRightInd w:val="0"/>
        <w:ind w:left="851" w:right="162"/>
        <w:rPr>
          <w:i/>
          <w:iCs/>
          <w:sz w:val="24"/>
          <w:szCs w:val="24"/>
        </w:rPr>
      </w:pPr>
      <w:r w:rsidRPr="004714C6">
        <w:rPr>
          <w:i/>
          <w:iCs/>
          <w:sz w:val="24"/>
          <w:szCs w:val="24"/>
        </w:rPr>
        <w:t>Køn</w:t>
      </w:r>
    </w:p>
    <w:p w14:paraId="4D58A697" w14:textId="77777777" w:rsidR="00A76826" w:rsidRPr="004714C6" w:rsidRDefault="00A76826" w:rsidP="00647CA7">
      <w:pPr>
        <w:widowControl w:val="0"/>
        <w:autoSpaceDE w:val="0"/>
        <w:autoSpaceDN w:val="0"/>
        <w:adjustRightInd w:val="0"/>
        <w:ind w:left="851" w:right="162"/>
        <w:rPr>
          <w:sz w:val="24"/>
          <w:szCs w:val="24"/>
        </w:rPr>
      </w:pPr>
    </w:p>
    <w:p w14:paraId="5CFBD581"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Dosisjustering er ikke nødvendig (se pkt. 5.2).</w:t>
      </w:r>
    </w:p>
    <w:p w14:paraId="443AB039" w14:textId="77777777" w:rsidR="00A76826" w:rsidRPr="004714C6" w:rsidRDefault="00A76826" w:rsidP="00647CA7">
      <w:pPr>
        <w:widowControl w:val="0"/>
        <w:autoSpaceDE w:val="0"/>
        <w:autoSpaceDN w:val="0"/>
        <w:adjustRightInd w:val="0"/>
        <w:ind w:left="851" w:right="162"/>
        <w:rPr>
          <w:sz w:val="24"/>
          <w:szCs w:val="24"/>
        </w:rPr>
      </w:pPr>
    </w:p>
    <w:p w14:paraId="1A8745F0" w14:textId="77777777" w:rsidR="00A76826" w:rsidRPr="004714C6" w:rsidRDefault="00A76826" w:rsidP="00647CA7">
      <w:pPr>
        <w:widowControl w:val="0"/>
        <w:autoSpaceDE w:val="0"/>
        <w:autoSpaceDN w:val="0"/>
        <w:adjustRightInd w:val="0"/>
        <w:ind w:left="851" w:right="162"/>
        <w:rPr>
          <w:i/>
          <w:iCs/>
          <w:sz w:val="24"/>
          <w:szCs w:val="24"/>
        </w:rPr>
      </w:pPr>
      <w:r w:rsidRPr="004714C6">
        <w:rPr>
          <w:i/>
          <w:iCs/>
          <w:sz w:val="24"/>
          <w:szCs w:val="24"/>
        </w:rPr>
        <w:t>Pædiatrisk population</w:t>
      </w:r>
    </w:p>
    <w:p w14:paraId="5292C9C0" w14:textId="77777777" w:rsidR="00A76826" w:rsidRPr="004714C6" w:rsidRDefault="00A76826" w:rsidP="00647CA7">
      <w:pPr>
        <w:widowControl w:val="0"/>
        <w:autoSpaceDE w:val="0"/>
        <w:autoSpaceDN w:val="0"/>
        <w:adjustRightInd w:val="0"/>
        <w:ind w:left="851" w:right="162"/>
        <w:rPr>
          <w:sz w:val="24"/>
          <w:szCs w:val="24"/>
        </w:rPr>
      </w:pPr>
    </w:p>
    <w:p w14:paraId="6452A21D" w14:textId="77777777" w:rsidR="00A76826" w:rsidRPr="004714C6" w:rsidRDefault="00A76826" w:rsidP="00647CA7">
      <w:pPr>
        <w:widowControl w:val="0"/>
        <w:autoSpaceDE w:val="0"/>
        <w:autoSpaceDN w:val="0"/>
        <w:adjustRightInd w:val="0"/>
        <w:ind w:left="851" w:right="162"/>
        <w:rPr>
          <w:sz w:val="24"/>
          <w:szCs w:val="24"/>
        </w:rPr>
      </w:pPr>
      <w:r w:rsidRPr="004714C6">
        <w:rPr>
          <w:sz w:val="24"/>
          <w:szCs w:val="24"/>
        </w:rPr>
        <w:t>Det er ikke relevant at anvende dabigatranetexilat hos den pædiatriske population til indikationen primær forebyggelse af VTE efter elektiv hofte</w:t>
      </w:r>
      <w:r w:rsidRPr="004714C6">
        <w:rPr>
          <w:sz w:val="24"/>
          <w:szCs w:val="24"/>
        </w:rPr>
        <w:noBreakHyphen/>
        <w:t xml:space="preserve"> eller knæalloplastik.</w:t>
      </w:r>
    </w:p>
    <w:p w14:paraId="51222ACB" w14:textId="77777777" w:rsidR="00A76826" w:rsidRPr="004714C6" w:rsidRDefault="00A76826" w:rsidP="00647CA7">
      <w:pPr>
        <w:widowControl w:val="0"/>
        <w:autoSpaceDE w:val="0"/>
        <w:autoSpaceDN w:val="0"/>
        <w:adjustRightInd w:val="0"/>
        <w:ind w:left="851" w:right="162"/>
        <w:rPr>
          <w:sz w:val="24"/>
          <w:szCs w:val="24"/>
        </w:rPr>
      </w:pPr>
    </w:p>
    <w:p w14:paraId="26D09C0B" w14:textId="77777777" w:rsidR="00A76826" w:rsidRPr="004714C6" w:rsidRDefault="00A76826" w:rsidP="00647CA7">
      <w:pPr>
        <w:ind w:left="851" w:right="106"/>
        <w:rPr>
          <w:sz w:val="24"/>
          <w:szCs w:val="24"/>
          <w:u w:val="single"/>
        </w:rPr>
      </w:pPr>
      <w:r w:rsidRPr="004714C6">
        <w:rPr>
          <w:sz w:val="24"/>
          <w:szCs w:val="24"/>
          <w:u w:val="single"/>
        </w:rPr>
        <w:t>Forebyggelse af apopleksi og systemisk emboli hos voksne patienter med NVAF med en eller flere risikofaktorer (SPAF – </w:t>
      </w:r>
      <w:r w:rsidRPr="004714C6">
        <w:rPr>
          <w:i/>
          <w:iCs/>
          <w:sz w:val="24"/>
          <w:szCs w:val="24"/>
          <w:u w:val="single"/>
        </w:rPr>
        <w:t>stroke prevention in atrial fibrillation</w:t>
      </w:r>
      <w:r w:rsidRPr="004714C6">
        <w:rPr>
          <w:sz w:val="24"/>
          <w:szCs w:val="24"/>
          <w:u w:val="single"/>
        </w:rPr>
        <w:t>)</w:t>
      </w:r>
    </w:p>
    <w:p w14:paraId="2BFF13DC" w14:textId="77777777" w:rsidR="00A76826" w:rsidRPr="004714C6" w:rsidRDefault="00A76826" w:rsidP="00647CA7">
      <w:pPr>
        <w:ind w:left="851" w:right="106"/>
        <w:rPr>
          <w:sz w:val="24"/>
          <w:szCs w:val="24"/>
          <w:u w:val="single"/>
        </w:rPr>
      </w:pPr>
      <w:r w:rsidRPr="004714C6">
        <w:rPr>
          <w:sz w:val="24"/>
          <w:szCs w:val="24"/>
          <w:u w:val="single"/>
        </w:rPr>
        <w:t>Behandling af DVT og LE samt forebyggelse af recidiverende DVT og LE hos voksne (DVT/LE)</w:t>
      </w:r>
    </w:p>
    <w:p w14:paraId="73A9ABCC" w14:textId="77777777" w:rsidR="00A76826" w:rsidRPr="004714C6" w:rsidRDefault="00A76826" w:rsidP="00647CA7">
      <w:pPr>
        <w:widowControl w:val="0"/>
        <w:autoSpaceDE w:val="0"/>
        <w:autoSpaceDN w:val="0"/>
        <w:adjustRightInd w:val="0"/>
        <w:spacing w:before="13" w:line="200" w:lineRule="exact"/>
        <w:ind w:left="851" w:right="106"/>
        <w:rPr>
          <w:sz w:val="24"/>
          <w:szCs w:val="24"/>
        </w:rPr>
      </w:pPr>
    </w:p>
    <w:p w14:paraId="4F3098E2" w14:textId="77777777" w:rsidR="00A76826" w:rsidRPr="004714C6" w:rsidRDefault="00A76826" w:rsidP="00647CA7">
      <w:pPr>
        <w:widowControl w:val="0"/>
        <w:autoSpaceDE w:val="0"/>
        <w:autoSpaceDN w:val="0"/>
        <w:adjustRightInd w:val="0"/>
        <w:spacing w:before="32"/>
        <w:ind w:left="851" w:right="106"/>
        <w:rPr>
          <w:sz w:val="24"/>
          <w:szCs w:val="24"/>
        </w:rPr>
      </w:pPr>
      <w:r w:rsidRPr="004714C6">
        <w:rPr>
          <w:sz w:val="24"/>
          <w:szCs w:val="24"/>
        </w:rPr>
        <w:t xml:space="preserve">De anbefalede doser af </w:t>
      </w:r>
      <w:r w:rsidRPr="004714C6">
        <w:rPr>
          <w:color w:val="000000"/>
          <w:sz w:val="24"/>
          <w:szCs w:val="24"/>
        </w:rPr>
        <w:t xml:space="preserve">dabigatranetexilat </w:t>
      </w:r>
      <w:r w:rsidRPr="004714C6">
        <w:rPr>
          <w:sz w:val="24"/>
          <w:szCs w:val="24"/>
        </w:rPr>
        <w:t>for indikationerne SPAF, DVT og LE vises i tabel 2.</w:t>
      </w:r>
    </w:p>
    <w:p w14:paraId="166605F9" w14:textId="77777777" w:rsidR="00A76826" w:rsidRPr="004714C6" w:rsidRDefault="00A76826" w:rsidP="00647CA7">
      <w:pPr>
        <w:widowControl w:val="0"/>
        <w:autoSpaceDE w:val="0"/>
        <w:autoSpaceDN w:val="0"/>
        <w:adjustRightInd w:val="0"/>
        <w:spacing w:before="32"/>
        <w:ind w:left="851" w:right="-20"/>
        <w:rPr>
          <w:sz w:val="24"/>
          <w:szCs w:val="24"/>
        </w:rPr>
      </w:pPr>
    </w:p>
    <w:p w14:paraId="62FFDC33" w14:textId="77777777" w:rsidR="00A76826" w:rsidRPr="004714C6" w:rsidRDefault="00A76826" w:rsidP="00A76826">
      <w:pPr>
        <w:keepNext/>
        <w:widowControl w:val="0"/>
        <w:autoSpaceDE w:val="0"/>
        <w:autoSpaceDN w:val="0"/>
        <w:adjustRightInd w:val="0"/>
        <w:spacing w:before="32"/>
        <w:ind w:right="-20"/>
        <w:rPr>
          <w:sz w:val="24"/>
          <w:szCs w:val="24"/>
        </w:rPr>
      </w:pPr>
      <w:r w:rsidRPr="004714C6">
        <w:rPr>
          <w:b/>
          <w:bCs/>
          <w:position w:val="-1"/>
          <w:sz w:val="24"/>
          <w:szCs w:val="24"/>
        </w:rPr>
        <w:t>Tabel </w:t>
      </w:r>
      <w:r w:rsidRPr="004714C6">
        <w:rPr>
          <w:b/>
          <w:bCs/>
          <w:spacing w:val="-2"/>
          <w:position w:val="-1"/>
          <w:sz w:val="24"/>
          <w:szCs w:val="24"/>
        </w:rPr>
        <w:t>2</w:t>
      </w:r>
      <w:r w:rsidRPr="004714C6">
        <w:rPr>
          <w:b/>
          <w:bCs/>
          <w:position w:val="-1"/>
          <w:sz w:val="24"/>
          <w:szCs w:val="24"/>
        </w:rPr>
        <w:t>:</w:t>
      </w:r>
      <w:r w:rsidRPr="004714C6">
        <w:rPr>
          <w:b/>
          <w:bCs/>
          <w:position w:val="-1"/>
          <w:sz w:val="24"/>
          <w:szCs w:val="24"/>
        </w:rPr>
        <w:tab/>
        <w:t>Dosisanbefalinger for SPAF, DVT og LE</w:t>
      </w:r>
    </w:p>
    <w:p w14:paraId="0CAF79F4" w14:textId="77777777" w:rsidR="00A76826" w:rsidRPr="004714C6" w:rsidRDefault="00A76826" w:rsidP="00A76826">
      <w:pPr>
        <w:keepNext/>
        <w:widowControl w:val="0"/>
        <w:autoSpaceDE w:val="0"/>
        <w:autoSpaceDN w:val="0"/>
        <w:adjustRightInd w:val="0"/>
        <w:spacing w:before="18" w:line="240" w:lineRule="exact"/>
        <w:rPr>
          <w:sz w:val="24"/>
          <w:szCs w:val="24"/>
        </w:rPr>
      </w:pPr>
    </w:p>
    <w:tbl>
      <w:tblPr>
        <w:tblW w:w="5000" w:type="pct"/>
        <w:tblCellMar>
          <w:left w:w="0" w:type="dxa"/>
          <w:right w:w="0" w:type="dxa"/>
        </w:tblCellMar>
        <w:tblLook w:val="04A0" w:firstRow="1" w:lastRow="0" w:firstColumn="1" w:lastColumn="0" w:noHBand="0" w:noVBand="1"/>
      </w:tblPr>
      <w:tblGrid>
        <w:gridCol w:w="4263"/>
        <w:gridCol w:w="5365"/>
      </w:tblGrid>
      <w:tr w:rsidR="00A76826" w:rsidRPr="004714C6" w14:paraId="622EE99C" w14:textId="77777777" w:rsidTr="00647CA7">
        <w:trPr>
          <w:trHeight w:hRule="exact" w:val="382"/>
        </w:trPr>
        <w:tc>
          <w:tcPr>
            <w:tcW w:w="2214" w:type="pct"/>
            <w:tcBorders>
              <w:top w:val="single" w:sz="4" w:space="0" w:color="000000"/>
              <w:left w:val="single" w:sz="4" w:space="0" w:color="000000"/>
              <w:bottom w:val="single" w:sz="4" w:space="0" w:color="000000"/>
              <w:right w:val="single" w:sz="4" w:space="0" w:color="000000"/>
            </w:tcBorders>
            <w:vAlign w:val="center"/>
          </w:tcPr>
          <w:p w14:paraId="42E64EEC" w14:textId="77777777" w:rsidR="00A76826" w:rsidRPr="004714C6" w:rsidRDefault="00A76826" w:rsidP="0072235D">
            <w:pPr>
              <w:widowControl w:val="0"/>
              <w:autoSpaceDE w:val="0"/>
              <w:autoSpaceDN w:val="0"/>
              <w:adjustRightInd w:val="0"/>
              <w:rPr>
                <w:kern w:val="2"/>
                <w:sz w:val="24"/>
                <w:szCs w:val="24"/>
                <w14:ligatures w14:val="standardContextual"/>
              </w:rPr>
            </w:pPr>
          </w:p>
        </w:tc>
        <w:tc>
          <w:tcPr>
            <w:tcW w:w="2786" w:type="pct"/>
            <w:tcBorders>
              <w:top w:val="single" w:sz="4" w:space="0" w:color="000000"/>
              <w:left w:val="single" w:sz="4" w:space="0" w:color="000000"/>
              <w:bottom w:val="single" w:sz="4" w:space="0" w:color="000000"/>
              <w:right w:val="single" w:sz="4" w:space="0" w:color="000000"/>
            </w:tcBorders>
            <w:vAlign w:val="center"/>
            <w:hideMark/>
          </w:tcPr>
          <w:p w14:paraId="186E7FF0" w14:textId="77777777" w:rsidR="00A76826" w:rsidRPr="004714C6" w:rsidRDefault="00A76826" w:rsidP="0072235D">
            <w:pPr>
              <w:widowControl w:val="0"/>
              <w:autoSpaceDE w:val="0"/>
              <w:autoSpaceDN w:val="0"/>
              <w:adjustRightInd w:val="0"/>
              <w:ind w:left="102" w:right="-20"/>
              <w:rPr>
                <w:kern w:val="2"/>
                <w:sz w:val="24"/>
                <w:szCs w:val="24"/>
                <w14:ligatures w14:val="standardContextual"/>
              </w:rPr>
            </w:pPr>
            <w:r w:rsidRPr="004714C6">
              <w:rPr>
                <w:b/>
                <w:bCs/>
                <w:kern w:val="2"/>
                <w:sz w:val="24"/>
                <w:szCs w:val="24"/>
                <w14:ligatures w14:val="standardContextual"/>
              </w:rPr>
              <w:t>Dosisanbefaling</w:t>
            </w:r>
          </w:p>
        </w:tc>
      </w:tr>
      <w:tr w:rsidR="00A76826" w:rsidRPr="004714C6" w14:paraId="1B12EB8E" w14:textId="77777777" w:rsidTr="00647CA7">
        <w:trPr>
          <w:trHeight w:hRule="exact" w:val="1095"/>
        </w:trPr>
        <w:tc>
          <w:tcPr>
            <w:tcW w:w="2214" w:type="pct"/>
            <w:tcBorders>
              <w:top w:val="single" w:sz="4" w:space="0" w:color="000000"/>
              <w:left w:val="single" w:sz="4" w:space="0" w:color="000000"/>
              <w:bottom w:val="single" w:sz="4" w:space="0" w:color="000000"/>
              <w:right w:val="single" w:sz="4" w:space="0" w:color="000000"/>
            </w:tcBorders>
            <w:hideMark/>
          </w:tcPr>
          <w:p w14:paraId="3CC4F431" w14:textId="77777777" w:rsidR="00A76826" w:rsidRPr="004714C6" w:rsidRDefault="00A76826" w:rsidP="0072235D">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Forebyggelse af apopleksi og systemisk emboli hos voksne patienter med NVAF med en eller flere risikofaktorer (SPAF</w:t>
            </w:r>
            <w:r w:rsidRPr="004714C6">
              <w:rPr>
                <w:i/>
                <w:kern w:val="2"/>
                <w:sz w:val="24"/>
                <w:szCs w:val="24"/>
                <w14:ligatures w14:val="standardContextual"/>
              </w:rPr>
              <w:t xml:space="preserve"> – stroke</w:t>
            </w:r>
            <w:r w:rsidRPr="004714C6">
              <w:rPr>
                <w:i/>
                <w:spacing w:val="-9"/>
                <w:kern w:val="2"/>
                <w:sz w:val="24"/>
                <w:szCs w:val="24"/>
                <w14:ligatures w14:val="standardContextual"/>
              </w:rPr>
              <w:t xml:space="preserve"> </w:t>
            </w:r>
            <w:r w:rsidRPr="004714C6">
              <w:rPr>
                <w:i/>
                <w:kern w:val="2"/>
                <w:sz w:val="24"/>
                <w:szCs w:val="24"/>
                <w14:ligatures w14:val="standardContextual"/>
              </w:rPr>
              <w:t>prevention</w:t>
            </w:r>
            <w:r w:rsidRPr="004714C6">
              <w:rPr>
                <w:i/>
                <w:spacing w:val="-6"/>
                <w:kern w:val="2"/>
                <w:sz w:val="24"/>
                <w:szCs w:val="24"/>
                <w14:ligatures w14:val="standardContextual"/>
              </w:rPr>
              <w:t xml:space="preserve"> </w:t>
            </w:r>
            <w:r w:rsidRPr="004714C6">
              <w:rPr>
                <w:i/>
                <w:kern w:val="2"/>
                <w:sz w:val="24"/>
                <w:szCs w:val="24"/>
                <w14:ligatures w14:val="standardContextual"/>
              </w:rPr>
              <w:t>in</w:t>
            </w:r>
            <w:r w:rsidRPr="004714C6">
              <w:rPr>
                <w:i/>
                <w:spacing w:val="-6"/>
                <w:kern w:val="2"/>
                <w:sz w:val="24"/>
                <w:szCs w:val="24"/>
                <w14:ligatures w14:val="standardContextual"/>
              </w:rPr>
              <w:t xml:space="preserve"> </w:t>
            </w:r>
            <w:r w:rsidRPr="004714C6">
              <w:rPr>
                <w:i/>
                <w:kern w:val="2"/>
                <w:sz w:val="24"/>
                <w:szCs w:val="24"/>
                <w14:ligatures w14:val="standardContextual"/>
              </w:rPr>
              <w:t>atrial</w:t>
            </w:r>
            <w:r w:rsidRPr="004714C6">
              <w:rPr>
                <w:i/>
                <w:spacing w:val="-7"/>
                <w:kern w:val="2"/>
                <w:sz w:val="24"/>
                <w:szCs w:val="24"/>
                <w14:ligatures w14:val="standardContextual"/>
              </w:rPr>
              <w:t xml:space="preserve"> </w:t>
            </w:r>
            <w:r w:rsidRPr="004714C6">
              <w:rPr>
                <w:i/>
                <w:spacing w:val="-2"/>
                <w:kern w:val="2"/>
                <w:sz w:val="24"/>
                <w:szCs w:val="24"/>
                <w14:ligatures w14:val="standardContextual"/>
              </w:rPr>
              <w:t>fibrillation</w:t>
            </w:r>
            <w:r w:rsidRPr="004714C6">
              <w:rPr>
                <w:kern w:val="2"/>
                <w:sz w:val="24"/>
                <w:szCs w:val="24"/>
                <w14:ligatures w14:val="standardContextual"/>
              </w:rPr>
              <w:t>)</w:t>
            </w:r>
          </w:p>
        </w:tc>
        <w:tc>
          <w:tcPr>
            <w:tcW w:w="2786" w:type="pct"/>
            <w:tcBorders>
              <w:top w:val="single" w:sz="4" w:space="0" w:color="000000"/>
              <w:left w:val="single" w:sz="4" w:space="0" w:color="000000"/>
              <w:bottom w:val="single" w:sz="4" w:space="0" w:color="000000"/>
              <w:right w:val="single" w:sz="4" w:space="0" w:color="000000"/>
            </w:tcBorders>
            <w:vAlign w:val="center"/>
            <w:hideMark/>
          </w:tcPr>
          <w:p w14:paraId="6AD8D291" w14:textId="77777777" w:rsidR="00A76826" w:rsidRPr="004714C6" w:rsidRDefault="00A76826" w:rsidP="0072235D">
            <w:pPr>
              <w:widowControl w:val="0"/>
              <w:autoSpaceDE w:val="0"/>
              <w:autoSpaceDN w:val="0"/>
              <w:adjustRightInd w:val="0"/>
              <w:ind w:left="102" w:right="375"/>
              <w:rPr>
                <w:kern w:val="2"/>
                <w:sz w:val="24"/>
                <w:szCs w:val="24"/>
                <w14:ligatures w14:val="standardContextual"/>
              </w:rPr>
            </w:pPr>
            <w:r w:rsidRPr="004714C6">
              <w:rPr>
                <w:kern w:val="2"/>
                <w:sz w:val="24"/>
                <w:szCs w:val="24"/>
                <w14:ligatures w14:val="standardContextual"/>
              </w:rPr>
              <w:t xml:space="preserve">300 mg </w:t>
            </w:r>
            <w:r w:rsidRPr="004714C6">
              <w:rPr>
                <w:color w:val="000000"/>
                <w:kern w:val="2"/>
                <w:sz w:val="24"/>
                <w:szCs w:val="24"/>
                <w14:ligatures w14:val="standardContextual"/>
              </w:rPr>
              <w:t>dabigatranetexilat</w:t>
            </w:r>
            <w:r w:rsidRPr="004714C6">
              <w:rPr>
                <w:kern w:val="2"/>
                <w:sz w:val="24"/>
                <w:szCs w:val="24"/>
                <w14:ligatures w14:val="standardContextual"/>
              </w:rPr>
              <w:t xml:space="preserve"> som 1 kapsel a 150 mg 2 gange dagligt</w:t>
            </w:r>
          </w:p>
        </w:tc>
      </w:tr>
      <w:tr w:rsidR="00A76826" w:rsidRPr="004714C6" w14:paraId="5E53A159" w14:textId="77777777" w:rsidTr="00647CA7">
        <w:trPr>
          <w:trHeight w:hRule="exact" w:val="855"/>
        </w:trPr>
        <w:tc>
          <w:tcPr>
            <w:tcW w:w="2214" w:type="pct"/>
            <w:tcBorders>
              <w:top w:val="single" w:sz="4" w:space="0" w:color="000000"/>
              <w:left w:val="single" w:sz="4" w:space="0" w:color="000000"/>
              <w:bottom w:val="single" w:sz="4" w:space="0" w:color="000000"/>
              <w:right w:val="single" w:sz="4" w:space="0" w:color="000000"/>
            </w:tcBorders>
            <w:hideMark/>
          </w:tcPr>
          <w:p w14:paraId="3FE36933" w14:textId="77777777" w:rsidR="00A76826" w:rsidRPr="004714C6" w:rsidRDefault="00A76826" w:rsidP="0072235D">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lastRenderedPageBreak/>
              <w:t>Behandling af DVT og LE samt forebyggelse af recidiverende DVT og LE hos voksne (DVT/LE)</w:t>
            </w:r>
          </w:p>
        </w:tc>
        <w:tc>
          <w:tcPr>
            <w:tcW w:w="2786" w:type="pct"/>
            <w:tcBorders>
              <w:top w:val="single" w:sz="4" w:space="0" w:color="000000"/>
              <w:left w:val="single" w:sz="4" w:space="0" w:color="000000"/>
              <w:bottom w:val="single" w:sz="4" w:space="0" w:color="000000"/>
              <w:right w:val="single" w:sz="4" w:space="0" w:color="000000"/>
            </w:tcBorders>
            <w:vAlign w:val="center"/>
            <w:hideMark/>
          </w:tcPr>
          <w:p w14:paraId="12478F5D" w14:textId="77777777" w:rsidR="00A76826" w:rsidRPr="004714C6" w:rsidRDefault="00A76826" w:rsidP="0072235D">
            <w:pPr>
              <w:widowControl w:val="0"/>
              <w:autoSpaceDE w:val="0"/>
              <w:autoSpaceDN w:val="0"/>
              <w:adjustRightInd w:val="0"/>
              <w:ind w:left="102" w:right="376"/>
              <w:rPr>
                <w:kern w:val="2"/>
                <w:sz w:val="24"/>
                <w:szCs w:val="24"/>
                <w14:ligatures w14:val="standardContextual"/>
              </w:rPr>
            </w:pPr>
            <w:r w:rsidRPr="004714C6">
              <w:rPr>
                <w:kern w:val="2"/>
                <w:sz w:val="24"/>
                <w:szCs w:val="24"/>
                <w14:ligatures w14:val="standardContextual"/>
              </w:rPr>
              <w:t xml:space="preserve">300 mg </w:t>
            </w:r>
            <w:r w:rsidRPr="004714C6">
              <w:rPr>
                <w:color w:val="000000"/>
                <w:kern w:val="2"/>
                <w:sz w:val="24"/>
                <w:szCs w:val="24"/>
                <w14:ligatures w14:val="standardContextual"/>
              </w:rPr>
              <w:t>dabigatranetexilat</w:t>
            </w:r>
            <w:r w:rsidRPr="004714C6">
              <w:rPr>
                <w:kern w:val="2"/>
                <w:sz w:val="24"/>
                <w:szCs w:val="24"/>
                <w14:ligatures w14:val="standardContextual"/>
              </w:rPr>
              <w:t xml:space="preserve"> som 1 kapsel a 150 mg 2 gange dagligt efter forudgående parenteral antikoagulansbehandling i mindst 5 </w:t>
            </w:r>
            <w:r w:rsidRPr="004714C6">
              <w:rPr>
                <w:spacing w:val="-1"/>
                <w:kern w:val="2"/>
                <w:sz w:val="24"/>
                <w:szCs w:val="24"/>
                <w14:ligatures w14:val="standardContextual"/>
              </w:rPr>
              <w:t>dage</w:t>
            </w:r>
          </w:p>
        </w:tc>
      </w:tr>
      <w:tr w:rsidR="00A76826" w:rsidRPr="00DB2DAE" w14:paraId="608AE0EB" w14:textId="77777777" w:rsidTr="00647CA7">
        <w:trPr>
          <w:trHeight w:hRule="exact" w:val="343"/>
        </w:trPr>
        <w:tc>
          <w:tcPr>
            <w:tcW w:w="2214" w:type="pct"/>
            <w:tcBorders>
              <w:top w:val="single" w:sz="4" w:space="0" w:color="000000"/>
              <w:left w:val="single" w:sz="4" w:space="0" w:color="000000"/>
              <w:bottom w:val="single" w:sz="4" w:space="0" w:color="000000"/>
              <w:right w:val="single" w:sz="4" w:space="0" w:color="000000"/>
            </w:tcBorders>
            <w:hideMark/>
          </w:tcPr>
          <w:p w14:paraId="4961C6DF" w14:textId="77777777" w:rsidR="00A76826" w:rsidRPr="00DB2DAE" w:rsidRDefault="00A76826" w:rsidP="0072235D">
            <w:pPr>
              <w:rPr>
                <w:b/>
                <w:bCs/>
                <w:i/>
                <w:iCs/>
                <w:kern w:val="2"/>
                <w:sz w:val="24"/>
                <w:szCs w:val="24"/>
                <w14:ligatures w14:val="standardContextual"/>
              </w:rPr>
            </w:pPr>
            <w:r w:rsidRPr="00DB2DAE">
              <w:rPr>
                <w:b/>
                <w:bCs/>
                <w:i/>
                <w:iCs/>
                <w:kern w:val="2"/>
                <w:sz w:val="24"/>
                <w:szCs w:val="24"/>
                <w14:ligatures w14:val="standardContextual"/>
              </w:rPr>
              <w:t>Anbefalet dosisreduktion</w:t>
            </w:r>
          </w:p>
        </w:tc>
        <w:tc>
          <w:tcPr>
            <w:tcW w:w="2786" w:type="pct"/>
            <w:tcBorders>
              <w:top w:val="single" w:sz="4" w:space="0" w:color="000000"/>
              <w:left w:val="single" w:sz="4" w:space="0" w:color="000000"/>
              <w:bottom w:val="single" w:sz="4" w:space="0" w:color="000000"/>
              <w:right w:val="single" w:sz="4" w:space="0" w:color="000000"/>
            </w:tcBorders>
            <w:vAlign w:val="center"/>
          </w:tcPr>
          <w:p w14:paraId="4717364C" w14:textId="77777777" w:rsidR="00A76826" w:rsidRPr="00DB2DAE" w:rsidRDefault="00A76826" w:rsidP="0072235D">
            <w:pPr>
              <w:widowControl w:val="0"/>
              <w:autoSpaceDE w:val="0"/>
              <w:autoSpaceDN w:val="0"/>
              <w:adjustRightInd w:val="0"/>
              <w:rPr>
                <w:kern w:val="2"/>
                <w:sz w:val="24"/>
                <w:szCs w:val="24"/>
                <w14:ligatures w14:val="standardContextual"/>
              </w:rPr>
            </w:pPr>
          </w:p>
        </w:tc>
      </w:tr>
      <w:tr w:rsidR="00A76826" w:rsidRPr="004714C6" w14:paraId="68E13BA5" w14:textId="77777777" w:rsidTr="00647CA7">
        <w:trPr>
          <w:trHeight w:hRule="exact" w:val="353"/>
        </w:trPr>
        <w:tc>
          <w:tcPr>
            <w:tcW w:w="2214" w:type="pct"/>
            <w:tcBorders>
              <w:top w:val="single" w:sz="4" w:space="0" w:color="000000"/>
              <w:left w:val="single" w:sz="4" w:space="0" w:color="000000"/>
              <w:bottom w:val="single" w:sz="4" w:space="0" w:color="000000"/>
              <w:right w:val="single" w:sz="4" w:space="0" w:color="000000"/>
            </w:tcBorders>
            <w:hideMark/>
          </w:tcPr>
          <w:p w14:paraId="4AE37302" w14:textId="77777777" w:rsidR="00A76826" w:rsidRPr="004714C6" w:rsidRDefault="00A76826" w:rsidP="0072235D">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 xml:space="preserve">Patienter i alderen </w:t>
            </w:r>
            <w:r w:rsidRPr="004714C6">
              <w:rPr>
                <w:spacing w:val="1"/>
                <w:kern w:val="2"/>
                <w:sz w:val="24"/>
                <w:szCs w:val="24"/>
                <w14:ligatures w14:val="standardContextual"/>
              </w:rPr>
              <w:t>≥ </w:t>
            </w:r>
            <w:r w:rsidRPr="004714C6">
              <w:rPr>
                <w:kern w:val="2"/>
                <w:sz w:val="24"/>
                <w:szCs w:val="24"/>
                <w14:ligatures w14:val="standardContextual"/>
              </w:rPr>
              <w:t>80 </w:t>
            </w:r>
            <w:r w:rsidRPr="004714C6">
              <w:rPr>
                <w:spacing w:val="-1"/>
                <w:kern w:val="2"/>
                <w:sz w:val="24"/>
                <w:szCs w:val="24"/>
                <w14:ligatures w14:val="standardContextual"/>
              </w:rPr>
              <w:t>år</w:t>
            </w:r>
          </w:p>
        </w:tc>
        <w:tc>
          <w:tcPr>
            <w:tcW w:w="2786" w:type="pct"/>
            <w:vMerge w:val="restart"/>
            <w:tcBorders>
              <w:top w:val="single" w:sz="4" w:space="0" w:color="000000"/>
              <w:left w:val="single" w:sz="4" w:space="0" w:color="000000"/>
              <w:bottom w:val="single" w:sz="4" w:space="0" w:color="000000"/>
              <w:right w:val="single" w:sz="4" w:space="0" w:color="000000"/>
            </w:tcBorders>
            <w:vAlign w:val="center"/>
            <w:hideMark/>
          </w:tcPr>
          <w:p w14:paraId="12BFF330" w14:textId="77777777" w:rsidR="00A76826" w:rsidRPr="004714C6" w:rsidRDefault="00A76826" w:rsidP="0072235D">
            <w:pPr>
              <w:widowControl w:val="0"/>
              <w:autoSpaceDE w:val="0"/>
              <w:autoSpaceDN w:val="0"/>
              <w:adjustRightInd w:val="0"/>
              <w:ind w:left="102" w:right="433"/>
              <w:rPr>
                <w:kern w:val="2"/>
                <w:sz w:val="24"/>
                <w:szCs w:val="24"/>
                <w14:ligatures w14:val="standardContextual"/>
              </w:rPr>
            </w:pPr>
            <w:r w:rsidRPr="004714C6">
              <w:rPr>
                <w:kern w:val="2"/>
                <w:sz w:val="24"/>
                <w:szCs w:val="24"/>
                <w14:ligatures w14:val="standardContextual"/>
              </w:rPr>
              <w:t xml:space="preserve">daglig dosis på 220 mg </w:t>
            </w:r>
            <w:r w:rsidRPr="004714C6">
              <w:rPr>
                <w:color w:val="000000"/>
                <w:kern w:val="2"/>
                <w:sz w:val="24"/>
                <w:szCs w:val="24"/>
                <w14:ligatures w14:val="standardContextual"/>
              </w:rPr>
              <w:t>dabigatranetexilat</w:t>
            </w:r>
            <w:r w:rsidRPr="004714C6">
              <w:rPr>
                <w:kern w:val="2"/>
                <w:sz w:val="24"/>
                <w:szCs w:val="24"/>
                <w14:ligatures w14:val="standardContextual"/>
              </w:rPr>
              <w:t xml:space="preserve"> som 1 kapsel a 110 </w:t>
            </w:r>
            <w:r w:rsidRPr="004714C6">
              <w:rPr>
                <w:spacing w:val="-3"/>
                <w:kern w:val="2"/>
                <w:sz w:val="24"/>
                <w:szCs w:val="24"/>
                <w14:ligatures w14:val="standardContextual"/>
              </w:rPr>
              <w:t>mg</w:t>
            </w:r>
            <w:r w:rsidRPr="004714C6">
              <w:rPr>
                <w:kern w:val="2"/>
                <w:sz w:val="24"/>
                <w:szCs w:val="24"/>
                <w14:ligatures w14:val="standardContextual"/>
              </w:rPr>
              <w:t xml:space="preserve"> 2 gange dagligt</w:t>
            </w:r>
          </w:p>
        </w:tc>
      </w:tr>
      <w:tr w:rsidR="00A76826" w:rsidRPr="004714C6" w14:paraId="2B59B1C1" w14:textId="77777777" w:rsidTr="00647CA7">
        <w:trPr>
          <w:trHeight w:val="296"/>
        </w:trPr>
        <w:tc>
          <w:tcPr>
            <w:tcW w:w="2214" w:type="pct"/>
            <w:tcBorders>
              <w:top w:val="single" w:sz="4" w:space="0" w:color="000000"/>
              <w:left w:val="single" w:sz="4" w:space="0" w:color="000000"/>
              <w:bottom w:val="single" w:sz="4" w:space="0" w:color="000000"/>
              <w:right w:val="single" w:sz="4" w:space="0" w:color="000000"/>
            </w:tcBorders>
            <w:hideMark/>
          </w:tcPr>
          <w:p w14:paraId="23BA2686" w14:textId="77777777" w:rsidR="00A76826" w:rsidRPr="004714C6" w:rsidRDefault="00A76826" w:rsidP="0072235D">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Patienter, som samtidigt får verapamil</w:t>
            </w:r>
          </w:p>
        </w:tc>
        <w:tc>
          <w:tcPr>
            <w:tcW w:w="2786" w:type="pct"/>
            <w:vMerge/>
            <w:tcBorders>
              <w:top w:val="single" w:sz="4" w:space="0" w:color="000000"/>
              <w:left w:val="single" w:sz="4" w:space="0" w:color="000000"/>
              <w:bottom w:val="single" w:sz="4" w:space="0" w:color="000000"/>
              <w:right w:val="single" w:sz="4" w:space="0" w:color="000000"/>
            </w:tcBorders>
            <w:vAlign w:val="center"/>
            <w:hideMark/>
          </w:tcPr>
          <w:p w14:paraId="3764A6A4" w14:textId="77777777" w:rsidR="00A76826" w:rsidRPr="004714C6" w:rsidRDefault="00A76826" w:rsidP="0072235D">
            <w:pPr>
              <w:rPr>
                <w:kern w:val="2"/>
                <w:sz w:val="24"/>
                <w:szCs w:val="24"/>
                <w14:ligatures w14:val="standardContextual"/>
              </w:rPr>
            </w:pPr>
          </w:p>
        </w:tc>
      </w:tr>
      <w:tr w:rsidR="00A76826" w:rsidRPr="004714C6" w14:paraId="1D161289" w14:textId="77777777" w:rsidTr="00647CA7">
        <w:trPr>
          <w:trHeight w:hRule="exact" w:val="347"/>
        </w:trPr>
        <w:tc>
          <w:tcPr>
            <w:tcW w:w="2214" w:type="pct"/>
            <w:tcBorders>
              <w:top w:val="single" w:sz="4" w:space="0" w:color="000000"/>
              <w:left w:val="single" w:sz="4" w:space="0" w:color="000000"/>
              <w:bottom w:val="single" w:sz="4" w:space="0" w:color="000000"/>
              <w:right w:val="single" w:sz="4" w:space="0" w:color="000000"/>
            </w:tcBorders>
            <w:hideMark/>
          </w:tcPr>
          <w:p w14:paraId="2B04FA3A" w14:textId="77777777" w:rsidR="00A76826" w:rsidRPr="004714C6" w:rsidRDefault="00A76826" w:rsidP="0072235D">
            <w:pPr>
              <w:rPr>
                <w:b/>
                <w:bCs/>
                <w:i/>
                <w:iCs/>
                <w:kern w:val="2"/>
                <w:sz w:val="24"/>
                <w:szCs w:val="24"/>
                <w14:ligatures w14:val="standardContextual"/>
              </w:rPr>
            </w:pPr>
            <w:r w:rsidRPr="004714C6">
              <w:rPr>
                <w:b/>
                <w:bCs/>
                <w:i/>
                <w:iCs/>
                <w:kern w:val="2"/>
                <w:sz w:val="24"/>
                <w:szCs w:val="24"/>
                <w14:ligatures w14:val="standardContextual"/>
              </w:rPr>
              <w:t>Dosisreduktion til overvejelse</w:t>
            </w:r>
          </w:p>
        </w:tc>
        <w:tc>
          <w:tcPr>
            <w:tcW w:w="2786" w:type="pct"/>
            <w:tcBorders>
              <w:top w:val="single" w:sz="4" w:space="0" w:color="000000"/>
              <w:left w:val="single" w:sz="4" w:space="0" w:color="000000"/>
              <w:bottom w:val="single" w:sz="4" w:space="0" w:color="000000"/>
              <w:right w:val="single" w:sz="4" w:space="0" w:color="000000"/>
            </w:tcBorders>
            <w:vAlign w:val="center"/>
          </w:tcPr>
          <w:p w14:paraId="790056FD" w14:textId="77777777" w:rsidR="00A76826" w:rsidRPr="004714C6" w:rsidRDefault="00A76826" w:rsidP="0072235D">
            <w:pPr>
              <w:widowControl w:val="0"/>
              <w:autoSpaceDE w:val="0"/>
              <w:autoSpaceDN w:val="0"/>
              <w:adjustRightInd w:val="0"/>
              <w:rPr>
                <w:kern w:val="2"/>
                <w:sz w:val="24"/>
                <w:szCs w:val="24"/>
                <w14:ligatures w14:val="standardContextual"/>
              </w:rPr>
            </w:pPr>
          </w:p>
        </w:tc>
      </w:tr>
      <w:tr w:rsidR="00A76826" w:rsidRPr="004714C6" w14:paraId="5B45DBCF" w14:textId="77777777" w:rsidTr="00647CA7">
        <w:trPr>
          <w:trHeight w:hRule="exact" w:val="348"/>
        </w:trPr>
        <w:tc>
          <w:tcPr>
            <w:tcW w:w="2214" w:type="pct"/>
            <w:tcBorders>
              <w:top w:val="single" w:sz="4" w:space="0" w:color="000000"/>
              <w:left w:val="single" w:sz="4" w:space="0" w:color="000000"/>
              <w:bottom w:val="single" w:sz="4" w:space="0" w:color="000000"/>
              <w:right w:val="single" w:sz="4" w:space="0" w:color="000000"/>
            </w:tcBorders>
            <w:hideMark/>
          </w:tcPr>
          <w:p w14:paraId="72D1D786" w14:textId="77777777" w:rsidR="00A76826" w:rsidRPr="004714C6" w:rsidRDefault="00A76826" w:rsidP="0072235D">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Patienter fra 75</w:t>
            </w:r>
            <w:r w:rsidRPr="004714C6">
              <w:rPr>
                <w:spacing w:val="-4"/>
                <w:kern w:val="2"/>
                <w:sz w:val="24"/>
                <w:szCs w:val="24"/>
                <w14:ligatures w14:val="standardContextual"/>
              </w:rPr>
              <w:noBreakHyphen/>
            </w:r>
            <w:r w:rsidRPr="004714C6">
              <w:rPr>
                <w:kern w:val="2"/>
                <w:sz w:val="24"/>
                <w:szCs w:val="24"/>
                <w14:ligatures w14:val="standardContextual"/>
              </w:rPr>
              <w:t>80 år</w:t>
            </w:r>
          </w:p>
        </w:tc>
        <w:tc>
          <w:tcPr>
            <w:tcW w:w="2786" w:type="pct"/>
            <w:vMerge w:val="restart"/>
            <w:tcBorders>
              <w:top w:val="single" w:sz="4" w:space="0" w:color="000000"/>
              <w:left w:val="single" w:sz="4" w:space="0" w:color="000000"/>
              <w:bottom w:val="single" w:sz="4" w:space="0" w:color="000000"/>
              <w:right w:val="single" w:sz="4" w:space="0" w:color="000000"/>
            </w:tcBorders>
            <w:vAlign w:val="center"/>
            <w:hideMark/>
          </w:tcPr>
          <w:p w14:paraId="77463400" w14:textId="77777777" w:rsidR="00A76826" w:rsidRPr="004714C6" w:rsidRDefault="00A76826" w:rsidP="0072235D">
            <w:pPr>
              <w:widowControl w:val="0"/>
              <w:autoSpaceDE w:val="0"/>
              <w:autoSpaceDN w:val="0"/>
              <w:adjustRightInd w:val="0"/>
              <w:ind w:left="102" w:right="205"/>
              <w:rPr>
                <w:kern w:val="2"/>
                <w:sz w:val="24"/>
                <w:szCs w:val="24"/>
                <w14:ligatures w14:val="standardContextual"/>
              </w:rPr>
            </w:pPr>
            <w:r w:rsidRPr="004714C6">
              <w:rPr>
                <w:kern w:val="2"/>
                <w:sz w:val="24"/>
                <w:szCs w:val="24"/>
                <w14:ligatures w14:val="standardContextual"/>
              </w:rPr>
              <w:t xml:space="preserve">daglig dosis på 300 mg eller 220 mg </w:t>
            </w:r>
            <w:r w:rsidRPr="004714C6">
              <w:rPr>
                <w:color w:val="000000"/>
                <w:kern w:val="2"/>
                <w:sz w:val="24"/>
                <w:szCs w:val="24"/>
                <w14:ligatures w14:val="standardContextual"/>
              </w:rPr>
              <w:t>dabigatranetexilat</w:t>
            </w:r>
            <w:r w:rsidRPr="004714C6">
              <w:rPr>
                <w:kern w:val="2"/>
                <w:sz w:val="24"/>
                <w:szCs w:val="24"/>
                <w14:ligatures w14:val="standardContextual"/>
              </w:rPr>
              <w:t xml:space="preserve"> skal vælges baseret på en individuel vurdering af den tromboemboliske risiko og blødningsrisikoen</w:t>
            </w:r>
          </w:p>
        </w:tc>
      </w:tr>
      <w:tr w:rsidR="00A76826" w:rsidRPr="004714C6" w14:paraId="3C92A3CC" w14:textId="77777777" w:rsidTr="00647CA7">
        <w:trPr>
          <w:trHeight w:val="566"/>
        </w:trPr>
        <w:tc>
          <w:tcPr>
            <w:tcW w:w="2214" w:type="pct"/>
            <w:tcBorders>
              <w:top w:val="single" w:sz="4" w:space="0" w:color="000000"/>
              <w:left w:val="single" w:sz="4" w:space="0" w:color="000000"/>
              <w:bottom w:val="single" w:sz="4" w:space="0" w:color="000000"/>
              <w:right w:val="single" w:sz="4" w:space="0" w:color="000000"/>
            </w:tcBorders>
            <w:hideMark/>
          </w:tcPr>
          <w:p w14:paraId="220E7F20" w14:textId="77777777" w:rsidR="00A76826" w:rsidRPr="004714C6" w:rsidRDefault="00A76826" w:rsidP="0072235D">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Patienter med moderat nedsat nyrefunktion (CrCL 30</w:t>
            </w:r>
            <w:r w:rsidRPr="004714C6">
              <w:rPr>
                <w:spacing w:val="-4"/>
                <w:kern w:val="2"/>
                <w:sz w:val="24"/>
                <w:szCs w:val="24"/>
                <w14:ligatures w14:val="standardContextual"/>
              </w:rPr>
              <w:noBreakHyphen/>
            </w:r>
            <w:r w:rsidRPr="004714C6">
              <w:rPr>
                <w:kern w:val="2"/>
                <w:sz w:val="24"/>
                <w:szCs w:val="24"/>
                <w14:ligatures w14:val="standardContextual"/>
              </w:rPr>
              <w:t>50 </w:t>
            </w:r>
            <w:r w:rsidRPr="004714C6">
              <w:rPr>
                <w:spacing w:val="3"/>
                <w:kern w:val="2"/>
                <w:sz w:val="24"/>
                <w:szCs w:val="24"/>
                <w14:ligatures w14:val="standardContextual"/>
              </w:rPr>
              <w:t>ml/min</w:t>
            </w:r>
            <w:r w:rsidRPr="004714C6">
              <w:rPr>
                <w:spacing w:val="-1"/>
                <w:kern w:val="2"/>
                <w:sz w:val="24"/>
                <w:szCs w:val="24"/>
                <w14:ligatures w14:val="standardContextual"/>
              </w:rPr>
              <w:t>)</w:t>
            </w:r>
          </w:p>
        </w:tc>
        <w:tc>
          <w:tcPr>
            <w:tcW w:w="2786" w:type="pct"/>
            <w:vMerge/>
            <w:tcBorders>
              <w:top w:val="single" w:sz="4" w:space="0" w:color="000000"/>
              <w:left w:val="single" w:sz="4" w:space="0" w:color="000000"/>
              <w:bottom w:val="single" w:sz="4" w:space="0" w:color="000000"/>
              <w:right w:val="single" w:sz="4" w:space="0" w:color="000000"/>
            </w:tcBorders>
            <w:vAlign w:val="center"/>
            <w:hideMark/>
          </w:tcPr>
          <w:p w14:paraId="212FA9D2" w14:textId="77777777" w:rsidR="00A76826" w:rsidRPr="004714C6" w:rsidRDefault="00A76826" w:rsidP="0072235D">
            <w:pPr>
              <w:rPr>
                <w:kern w:val="2"/>
                <w:sz w:val="24"/>
                <w:szCs w:val="24"/>
                <w14:ligatures w14:val="standardContextual"/>
              </w:rPr>
            </w:pPr>
          </w:p>
        </w:tc>
      </w:tr>
      <w:tr w:rsidR="00A76826" w:rsidRPr="004714C6" w14:paraId="4D66C2EE" w14:textId="77777777" w:rsidTr="00647CA7">
        <w:trPr>
          <w:trHeight w:val="574"/>
        </w:trPr>
        <w:tc>
          <w:tcPr>
            <w:tcW w:w="2214" w:type="pct"/>
            <w:tcBorders>
              <w:top w:val="single" w:sz="4" w:space="0" w:color="000000"/>
              <w:left w:val="single" w:sz="4" w:space="0" w:color="000000"/>
              <w:bottom w:val="single" w:sz="4" w:space="0" w:color="000000"/>
              <w:right w:val="single" w:sz="4" w:space="0" w:color="000000"/>
            </w:tcBorders>
            <w:hideMark/>
          </w:tcPr>
          <w:p w14:paraId="60A2A006" w14:textId="77777777" w:rsidR="00A76826" w:rsidRPr="004714C6" w:rsidRDefault="00A76826" w:rsidP="0072235D">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Patienter med gastritis, øsofagitis eller gastroøsofageal refluks</w:t>
            </w:r>
          </w:p>
        </w:tc>
        <w:tc>
          <w:tcPr>
            <w:tcW w:w="2786" w:type="pct"/>
            <w:vMerge/>
            <w:tcBorders>
              <w:top w:val="single" w:sz="4" w:space="0" w:color="000000"/>
              <w:left w:val="single" w:sz="4" w:space="0" w:color="000000"/>
              <w:bottom w:val="single" w:sz="4" w:space="0" w:color="000000"/>
              <w:right w:val="single" w:sz="4" w:space="0" w:color="000000"/>
            </w:tcBorders>
            <w:vAlign w:val="center"/>
            <w:hideMark/>
          </w:tcPr>
          <w:p w14:paraId="59E1FAFE" w14:textId="77777777" w:rsidR="00A76826" w:rsidRPr="004714C6" w:rsidRDefault="00A76826" w:rsidP="0072235D">
            <w:pPr>
              <w:rPr>
                <w:kern w:val="2"/>
                <w:sz w:val="24"/>
                <w:szCs w:val="24"/>
                <w14:ligatures w14:val="standardContextual"/>
              </w:rPr>
            </w:pPr>
          </w:p>
        </w:tc>
      </w:tr>
      <w:tr w:rsidR="00A76826" w:rsidRPr="004714C6" w14:paraId="302D129F" w14:textId="77777777" w:rsidTr="00647CA7">
        <w:trPr>
          <w:trHeight w:val="284"/>
        </w:trPr>
        <w:tc>
          <w:tcPr>
            <w:tcW w:w="2214" w:type="pct"/>
            <w:tcBorders>
              <w:top w:val="single" w:sz="4" w:space="0" w:color="000000"/>
              <w:left w:val="single" w:sz="4" w:space="0" w:color="000000"/>
              <w:bottom w:val="single" w:sz="4" w:space="0" w:color="000000"/>
              <w:right w:val="single" w:sz="4" w:space="0" w:color="000000"/>
            </w:tcBorders>
            <w:hideMark/>
          </w:tcPr>
          <w:p w14:paraId="7A510A6F" w14:textId="77777777" w:rsidR="00A76826" w:rsidRPr="004714C6" w:rsidRDefault="00A76826" w:rsidP="0072235D">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Andre patienter med en øget blødningsrisiko</w:t>
            </w:r>
          </w:p>
        </w:tc>
        <w:tc>
          <w:tcPr>
            <w:tcW w:w="2786" w:type="pct"/>
            <w:vMerge/>
            <w:tcBorders>
              <w:top w:val="single" w:sz="4" w:space="0" w:color="000000"/>
              <w:left w:val="single" w:sz="4" w:space="0" w:color="000000"/>
              <w:bottom w:val="single" w:sz="4" w:space="0" w:color="000000"/>
              <w:right w:val="single" w:sz="4" w:space="0" w:color="000000"/>
            </w:tcBorders>
            <w:vAlign w:val="center"/>
            <w:hideMark/>
          </w:tcPr>
          <w:p w14:paraId="120A4CB2" w14:textId="77777777" w:rsidR="00A76826" w:rsidRPr="004714C6" w:rsidRDefault="00A76826" w:rsidP="0072235D">
            <w:pPr>
              <w:rPr>
                <w:kern w:val="2"/>
                <w:sz w:val="24"/>
                <w:szCs w:val="24"/>
                <w14:ligatures w14:val="standardContextual"/>
              </w:rPr>
            </w:pPr>
          </w:p>
        </w:tc>
      </w:tr>
    </w:tbl>
    <w:p w14:paraId="4C301BF4" w14:textId="77777777" w:rsidR="00A76826" w:rsidRPr="004714C6" w:rsidRDefault="00A76826" w:rsidP="00647CA7">
      <w:pPr>
        <w:ind w:left="851"/>
        <w:rPr>
          <w:sz w:val="24"/>
          <w:szCs w:val="24"/>
        </w:rPr>
      </w:pPr>
    </w:p>
    <w:p w14:paraId="6CAD3056" w14:textId="77777777" w:rsidR="00A76826" w:rsidRPr="004714C6" w:rsidRDefault="00A76826" w:rsidP="00647CA7">
      <w:pPr>
        <w:ind w:left="851"/>
        <w:rPr>
          <w:sz w:val="24"/>
          <w:szCs w:val="24"/>
        </w:rPr>
      </w:pPr>
      <w:r w:rsidRPr="004714C6">
        <w:rPr>
          <w:sz w:val="24"/>
          <w:szCs w:val="24"/>
        </w:rPr>
        <w:t xml:space="preserve">Den anbefalede dosering af </w:t>
      </w:r>
      <w:r w:rsidRPr="004714C6">
        <w:rPr>
          <w:color w:val="000000"/>
          <w:sz w:val="24"/>
          <w:szCs w:val="24"/>
        </w:rPr>
        <w:t>dabigatranetexilat på 220 mg</w:t>
      </w:r>
      <w:r w:rsidRPr="004714C6">
        <w:rPr>
          <w:sz w:val="24"/>
          <w:szCs w:val="24"/>
        </w:rPr>
        <w:t xml:space="preserve"> som 1 kapsel a 110 mg 2 gange dagligt til DVT/LE er ikke undersøgt i kliniske studier, men baseret på farmakokinetiske og farmakodynamiske analyser. Se nedenfor samt pkt. 4.4, 4.5, 5.1 og 5.2.</w:t>
      </w:r>
    </w:p>
    <w:p w14:paraId="4B244522" w14:textId="77777777" w:rsidR="00A76826" w:rsidRPr="004714C6" w:rsidRDefault="00A76826" w:rsidP="00647CA7">
      <w:pPr>
        <w:ind w:left="851"/>
        <w:rPr>
          <w:sz w:val="24"/>
          <w:szCs w:val="24"/>
        </w:rPr>
      </w:pPr>
    </w:p>
    <w:p w14:paraId="497D06C9" w14:textId="77777777" w:rsidR="00A76826" w:rsidRPr="004714C6" w:rsidRDefault="00A76826" w:rsidP="00647CA7">
      <w:pPr>
        <w:ind w:left="851"/>
        <w:rPr>
          <w:sz w:val="24"/>
          <w:szCs w:val="24"/>
        </w:rPr>
      </w:pPr>
      <w:r w:rsidRPr="004714C6">
        <w:rPr>
          <w:sz w:val="24"/>
          <w:szCs w:val="24"/>
        </w:rPr>
        <w:t>Ved intolerans for dabigatranetexilat, bør patienterne instrueres i straks at kontakte deres behandlende læge for at blive omstillet til alternative behandlingsmuligheder for forebyggelse af apopleksi og systemisk emboli i forbindelse med atrieflimren eller for DVT/LE.</w:t>
      </w:r>
    </w:p>
    <w:p w14:paraId="5C7A3A43" w14:textId="77777777" w:rsidR="00A76826" w:rsidRPr="004714C6" w:rsidRDefault="00A76826" w:rsidP="00647CA7">
      <w:pPr>
        <w:ind w:left="851"/>
        <w:rPr>
          <w:sz w:val="24"/>
          <w:szCs w:val="24"/>
        </w:rPr>
      </w:pPr>
    </w:p>
    <w:p w14:paraId="581A1619" w14:textId="77777777" w:rsidR="00A76826" w:rsidRPr="004714C6" w:rsidRDefault="00A76826" w:rsidP="00647CA7">
      <w:pPr>
        <w:ind w:left="851"/>
        <w:rPr>
          <w:i/>
          <w:iCs/>
          <w:sz w:val="24"/>
          <w:szCs w:val="24"/>
        </w:rPr>
      </w:pPr>
      <w:r w:rsidRPr="004714C6">
        <w:rPr>
          <w:i/>
          <w:iCs/>
          <w:sz w:val="24"/>
          <w:szCs w:val="24"/>
        </w:rPr>
        <w:t>Vurdering af nyrefunktionen før og under behandling med dabigatranetexilat</w:t>
      </w:r>
    </w:p>
    <w:p w14:paraId="7BCE9D49" w14:textId="77777777" w:rsidR="00A76826" w:rsidRPr="004714C6" w:rsidRDefault="00A76826" w:rsidP="00647CA7">
      <w:pPr>
        <w:ind w:left="851"/>
        <w:rPr>
          <w:sz w:val="24"/>
          <w:szCs w:val="24"/>
        </w:rPr>
      </w:pPr>
    </w:p>
    <w:p w14:paraId="4075026A" w14:textId="77777777" w:rsidR="00A76826" w:rsidRPr="004714C6" w:rsidRDefault="00A76826" w:rsidP="00647CA7">
      <w:pPr>
        <w:ind w:left="851"/>
        <w:rPr>
          <w:sz w:val="24"/>
          <w:szCs w:val="24"/>
        </w:rPr>
      </w:pPr>
      <w:r w:rsidRPr="004714C6">
        <w:rPr>
          <w:sz w:val="24"/>
          <w:szCs w:val="24"/>
        </w:rPr>
        <w:t>Alle patienter og især ældre (&gt; 75 år), da nedsat nyrefunktion kan forekomme hyppigt i denne aldersgruppe:</w:t>
      </w:r>
    </w:p>
    <w:p w14:paraId="63EA70F3" w14:textId="77777777" w:rsidR="00A76826" w:rsidRPr="004714C6" w:rsidRDefault="00A76826" w:rsidP="00647CA7">
      <w:pPr>
        <w:widowControl w:val="0"/>
        <w:numPr>
          <w:ilvl w:val="0"/>
          <w:numId w:val="7"/>
        </w:numPr>
        <w:autoSpaceDE w:val="0"/>
        <w:autoSpaceDN w:val="0"/>
        <w:adjustRightInd w:val="0"/>
        <w:ind w:left="1276" w:right="-34" w:hanging="425"/>
        <w:rPr>
          <w:sz w:val="24"/>
          <w:szCs w:val="24"/>
        </w:rPr>
      </w:pPr>
      <w:r w:rsidRPr="004714C6">
        <w:rPr>
          <w:sz w:val="24"/>
          <w:szCs w:val="24"/>
        </w:rPr>
        <w:t xml:space="preserve">Før påbegyndelse af behandling med </w:t>
      </w:r>
      <w:r w:rsidRPr="004714C6">
        <w:rPr>
          <w:color w:val="000000"/>
          <w:sz w:val="24"/>
          <w:szCs w:val="24"/>
        </w:rPr>
        <w:t>dabigatranetexilat</w:t>
      </w:r>
      <w:r w:rsidRPr="004714C6">
        <w:rPr>
          <w:sz w:val="24"/>
          <w:szCs w:val="24"/>
        </w:rPr>
        <w:t xml:space="preserve"> bør nyrefunktionen vurderes ved beregning af kreatininclearance (CrCL) for at ekskludere patienter med svært nedsat nyrefunktion (dvs. CrCL &lt; 30 ml/min) (se pkt. 4.3, 4.4 og 5.2).</w:t>
      </w:r>
    </w:p>
    <w:p w14:paraId="33FC0F51" w14:textId="77777777" w:rsidR="00A76826" w:rsidRPr="004714C6" w:rsidRDefault="00A76826" w:rsidP="00647CA7">
      <w:pPr>
        <w:widowControl w:val="0"/>
        <w:numPr>
          <w:ilvl w:val="0"/>
          <w:numId w:val="7"/>
        </w:numPr>
        <w:autoSpaceDE w:val="0"/>
        <w:autoSpaceDN w:val="0"/>
        <w:adjustRightInd w:val="0"/>
        <w:ind w:left="1276" w:right="-34" w:hanging="425"/>
        <w:rPr>
          <w:sz w:val="24"/>
          <w:szCs w:val="24"/>
        </w:rPr>
      </w:pPr>
      <w:r w:rsidRPr="004714C6">
        <w:rPr>
          <w:sz w:val="24"/>
          <w:szCs w:val="24"/>
        </w:rPr>
        <w:t>Under behandlingen bør nyrefunktionen også vurderes, hvis der er mistanke om fald i nyrefunktionen (f.eks. hypovolæmi, dehydrering eller i tilfælde af samtidig behandling med visse lægemidler</w:t>
      </w:r>
      <w:r w:rsidRPr="004714C6">
        <w:rPr>
          <w:spacing w:val="1"/>
          <w:sz w:val="24"/>
          <w:szCs w:val="24"/>
        </w:rPr>
        <w:t>).</w:t>
      </w:r>
    </w:p>
    <w:p w14:paraId="67E4659F" w14:textId="77777777" w:rsidR="00A76826" w:rsidRPr="004714C6" w:rsidRDefault="00A76826" w:rsidP="00A76826">
      <w:pPr>
        <w:widowControl w:val="0"/>
        <w:autoSpaceDE w:val="0"/>
        <w:autoSpaceDN w:val="0"/>
        <w:adjustRightInd w:val="0"/>
        <w:spacing w:before="13" w:line="240" w:lineRule="exact"/>
        <w:ind w:right="-36"/>
        <w:rPr>
          <w:sz w:val="24"/>
          <w:szCs w:val="24"/>
        </w:rPr>
      </w:pPr>
    </w:p>
    <w:p w14:paraId="401B84BD" w14:textId="77777777" w:rsidR="00A76826" w:rsidRPr="004714C6" w:rsidRDefault="00A76826" w:rsidP="00647CA7">
      <w:pPr>
        <w:ind w:left="851"/>
        <w:rPr>
          <w:spacing w:val="-1"/>
          <w:sz w:val="24"/>
          <w:szCs w:val="24"/>
        </w:rPr>
      </w:pPr>
      <w:r w:rsidRPr="004714C6">
        <w:rPr>
          <w:sz w:val="24"/>
          <w:szCs w:val="24"/>
        </w:rPr>
        <w:t>Yderligere krav hos patienter med let til moderat nedsat nyrefunktion og hos patienter over 75 </w:t>
      </w:r>
      <w:r w:rsidRPr="004714C6">
        <w:rPr>
          <w:spacing w:val="-1"/>
          <w:sz w:val="24"/>
          <w:szCs w:val="24"/>
        </w:rPr>
        <w:t>år:</w:t>
      </w:r>
    </w:p>
    <w:p w14:paraId="7AC029C9" w14:textId="77777777" w:rsidR="00A76826" w:rsidRPr="004714C6" w:rsidRDefault="00A76826" w:rsidP="00647CA7">
      <w:pPr>
        <w:widowControl w:val="0"/>
        <w:numPr>
          <w:ilvl w:val="0"/>
          <w:numId w:val="8"/>
        </w:numPr>
        <w:autoSpaceDE w:val="0"/>
        <w:autoSpaceDN w:val="0"/>
        <w:adjustRightInd w:val="0"/>
        <w:ind w:left="1276" w:right="-34" w:hanging="425"/>
        <w:rPr>
          <w:sz w:val="24"/>
          <w:szCs w:val="24"/>
        </w:rPr>
      </w:pPr>
      <w:r w:rsidRPr="004714C6">
        <w:rPr>
          <w:sz w:val="24"/>
          <w:szCs w:val="24"/>
        </w:rPr>
        <w:t xml:space="preserve">Under behandling med </w:t>
      </w:r>
      <w:r w:rsidRPr="004714C6">
        <w:rPr>
          <w:color w:val="000000"/>
          <w:sz w:val="24"/>
          <w:szCs w:val="24"/>
        </w:rPr>
        <w:t xml:space="preserve">dabigatranetexilat bør </w:t>
      </w:r>
      <w:r w:rsidRPr="004714C6">
        <w:rPr>
          <w:sz w:val="24"/>
          <w:szCs w:val="24"/>
        </w:rPr>
        <w:t>nyrefunktionen vurderes mindst en gang årligt eller oftere, hvis der opstår kliniske situationer med mistanke om, at der kan indtræde et fald eller en forringelse i nyrefunktionen (f.eks. hypovolæmi, dehydrering eller ved samtidig behandling med visse lægemidler</w:t>
      </w:r>
      <w:r w:rsidRPr="004714C6">
        <w:rPr>
          <w:spacing w:val="-2"/>
          <w:sz w:val="24"/>
          <w:szCs w:val="24"/>
        </w:rPr>
        <w:t>)</w:t>
      </w:r>
      <w:r w:rsidRPr="004714C6">
        <w:rPr>
          <w:sz w:val="24"/>
          <w:szCs w:val="24"/>
        </w:rPr>
        <w:t>.</w:t>
      </w:r>
    </w:p>
    <w:p w14:paraId="39101023" w14:textId="77777777" w:rsidR="00A76826" w:rsidRPr="004714C6" w:rsidRDefault="00A76826" w:rsidP="00A76826">
      <w:pPr>
        <w:widowControl w:val="0"/>
        <w:autoSpaceDE w:val="0"/>
        <w:autoSpaceDN w:val="0"/>
        <w:adjustRightInd w:val="0"/>
        <w:spacing w:line="246" w:lineRule="exact"/>
        <w:ind w:right="-20"/>
        <w:rPr>
          <w:sz w:val="24"/>
          <w:szCs w:val="24"/>
        </w:rPr>
      </w:pPr>
    </w:p>
    <w:p w14:paraId="3847DBF7" w14:textId="77777777" w:rsidR="00A76826" w:rsidRPr="004714C6" w:rsidRDefault="00A76826" w:rsidP="00647CA7">
      <w:pPr>
        <w:ind w:left="851"/>
        <w:rPr>
          <w:sz w:val="24"/>
          <w:szCs w:val="24"/>
        </w:rPr>
      </w:pPr>
      <w:r w:rsidRPr="004714C6">
        <w:rPr>
          <w:sz w:val="24"/>
          <w:szCs w:val="24"/>
        </w:rPr>
        <w:t>Metoden, der skal anvendes til at estimere nyrefunktionen (CrCL i ml/min), er Cockcroft-Gault-metoden.</w:t>
      </w:r>
    </w:p>
    <w:p w14:paraId="37CE76FC" w14:textId="77777777" w:rsidR="00A76826" w:rsidRPr="004714C6" w:rsidRDefault="00A76826" w:rsidP="00647CA7">
      <w:pPr>
        <w:ind w:left="851"/>
        <w:rPr>
          <w:sz w:val="24"/>
          <w:szCs w:val="24"/>
        </w:rPr>
      </w:pPr>
    </w:p>
    <w:p w14:paraId="06B77CBD" w14:textId="77777777" w:rsidR="00A76826" w:rsidRPr="004714C6" w:rsidRDefault="00A76826" w:rsidP="00647CA7">
      <w:pPr>
        <w:ind w:left="851"/>
        <w:rPr>
          <w:i/>
          <w:iCs/>
          <w:sz w:val="24"/>
          <w:szCs w:val="24"/>
        </w:rPr>
      </w:pPr>
      <w:r w:rsidRPr="004714C6">
        <w:rPr>
          <w:i/>
          <w:iCs/>
          <w:sz w:val="24"/>
          <w:szCs w:val="24"/>
        </w:rPr>
        <w:t>Behandlingsvarighed</w:t>
      </w:r>
    </w:p>
    <w:p w14:paraId="4839144F" w14:textId="77777777" w:rsidR="00A76826" w:rsidRPr="004714C6" w:rsidRDefault="00A76826" w:rsidP="00647CA7">
      <w:pPr>
        <w:ind w:left="851"/>
        <w:rPr>
          <w:sz w:val="24"/>
          <w:szCs w:val="24"/>
        </w:rPr>
      </w:pPr>
    </w:p>
    <w:p w14:paraId="50CCF6A3" w14:textId="77777777" w:rsidR="00A76826" w:rsidRPr="004714C6" w:rsidRDefault="00A76826" w:rsidP="00647CA7">
      <w:pPr>
        <w:ind w:left="851"/>
        <w:rPr>
          <w:sz w:val="24"/>
          <w:szCs w:val="24"/>
        </w:rPr>
      </w:pPr>
      <w:r w:rsidRPr="004714C6">
        <w:rPr>
          <w:sz w:val="24"/>
          <w:szCs w:val="24"/>
        </w:rPr>
        <w:t>Behandlingsvarigheden af dabigatranetexilat for indikationerne SPAF, DVT og LE vises i tabel 3.</w:t>
      </w:r>
    </w:p>
    <w:p w14:paraId="621EA02F" w14:textId="77777777" w:rsidR="00A76826" w:rsidRPr="004714C6" w:rsidRDefault="00A76826" w:rsidP="00647CA7">
      <w:pPr>
        <w:ind w:left="851"/>
        <w:rPr>
          <w:sz w:val="24"/>
          <w:szCs w:val="24"/>
        </w:rPr>
      </w:pPr>
    </w:p>
    <w:p w14:paraId="4BF4042A" w14:textId="77777777" w:rsidR="00A76826" w:rsidRPr="004714C6" w:rsidRDefault="00A76826" w:rsidP="00A76826">
      <w:pPr>
        <w:widowControl w:val="0"/>
        <w:tabs>
          <w:tab w:val="left" w:pos="1200"/>
        </w:tabs>
        <w:autoSpaceDE w:val="0"/>
        <w:autoSpaceDN w:val="0"/>
        <w:adjustRightInd w:val="0"/>
        <w:spacing w:line="249" w:lineRule="exact"/>
        <w:ind w:right="-20"/>
        <w:rPr>
          <w:sz w:val="24"/>
          <w:szCs w:val="24"/>
        </w:rPr>
      </w:pPr>
      <w:r w:rsidRPr="004714C6">
        <w:rPr>
          <w:b/>
          <w:bCs/>
          <w:position w:val="-1"/>
          <w:sz w:val="24"/>
          <w:szCs w:val="24"/>
        </w:rPr>
        <w:lastRenderedPageBreak/>
        <w:t>Tabel </w:t>
      </w:r>
      <w:r w:rsidRPr="004714C6">
        <w:rPr>
          <w:b/>
          <w:bCs/>
          <w:spacing w:val="-2"/>
          <w:position w:val="-1"/>
          <w:sz w:val="24"/>
          <w:szCs w:val="24"/>
        </w:rPr>
        <w:t>3</w:t>
      </w:r>
      <w:r w:rsidRPr="004714C6">
        <w:rPr>
          <w:b/>
          <w:bCs/>
          <w:position w:val="-1"/>
          <w:sz w:val="24"/>
          <w:szCs w:val="24"/>
        </w:rPr>
        <w:t>:</w:t>
      </w:r>
      <w:r w:rsidRPr="004714C6">
        <w:rPr>
          <w:b/>
          <w:bCs/>
          <w:position w:val="-1"/>
          <w:sz w:val="24"/>
          <w:szCs w:val="24"/>
        </w:rPr>
        <w:tab/>
        <w:t>Behandlingsvarighed for SPAF og DVT/LE</w:t>
      </w:r>
    </w:p>
    <w:p w14:paraId="6B5097F8" w14:textId="77777777" w:rsidR="00A76826" w:rsidRPr="004714C6" w:rsidRDefault="00A76826" w:rsidP="00A76826">
      <w:pPr>
        <w:widowControl w:val="0"/>
        <w:autoSpaceDE w:val="0"/>
        <w:autoSpaceDN w:val="0"/>
        <w:adjustRightInd w:val="0"/>
        <w:spacing w:before="16" w:line="240" w:lineRule="exact"/>
        <w:rPr>
          <w:sz w:val="24"/>
          <w:szCs w:val="24"/>
        </w:rPr>
      </w:pPr>
    </w:p>
    <w:tbl>
      <w:tblPr>
        <w:tblW w:w="5000" w:type="pct"/>
        <w:tblCellMar>
          <w:left w:w="0" w:type="dxa"/>
          <w:right w:w="0" w:type="dxa"/>
        </w:tblCellMar>
        <w:tblLook w:val="04A0" w:firstRow="1" w:lastRow="0" w:firstColumn="1" w:lastColumn="0" w:noHBand="0" w:noVBand="1"/>
      </w:tblPr>
      <w:tblGrid>
        <w:gridCol w:w="1465"/>
        <w:gridCol w:w="8163"/>
      </w:tblGrid>
      <w:tr w:rsidR="00A76826" w:rsidRPr="004714C6" w14:paraId="1080EDEC" w14:textId="77777777" w:rsidTr="004714C6">
        <w:trPr>
          <w:trHeight w:val="20"/>
        </w:trPr>
        <w:tc>
          <w:tcPr>
            <w:tcW w:w="761" w:type="pct"/>
            <w:tcBorders>
              <w:top w:val="single" w:sz="4" w:space="0" w:color="000000"/>
              <w:left w:val="single" w:sz="4" w:space="0" w:color="000000"/>
              <w:bottom w:val="single" w:sz="4" w:space="0" w:color="000000"/>
              <w:right w:val="single" w:sz="4" w:space="0" w:color="000000"/>
            </w:tcBorders>
            <w:hideMark/>
          </w:tcPr>
          <w:p w14:paraId="0DE307B2" w14:textId="77777777" w:rsidR="00A76826" w:rsidRPr="004714C6" w:rsidRDefault="00A76826" w:rsidP="00647CA7">
            <w:pPr>
              <w:widowControl w:val="0"/>
              <w:autoSpaceDE w:val="0"/>
              <w:autoSpaceDN w:val="0"/>
              <w:adjustRightInd w:val="0"/>
              <w:ind w:left="102" w:right="-20"/>
              <w:rPr>
                <w:kern w:val="2"/>
                <w:sz w:val="24"/>
                <w:szCs w:val="24"/>
                <w14:ligatures w14:val="standardContextual"/>
              </w:rPr>
            </w:pPr>
            <w:r w:rsidRPr="004714C6">
              <w:rPr>
                <w:b/>
                <w:bCs/>
                <w:kern w:val="2"/>
                <w:sz w:val="24"/>
                <w:szCs w:val="24"/>
                <w14:ligatures w14:val="standardContextual"/>
              </w:rPr>
              <w:t>Indikation</w:t>
            </w:r>
          </w:p>
        </w:tc>
        <w:tc>
          <w:tcPr>
            <w:tcW w:w="4239" w:type="pct"/>
            <w:tcBorders>
              <w:top w:val="single" w:sz="4" w:space="0" w:color="000000"/>
              <w:left w:val="single" w:sz="4" w:space="0" w:color="000000"/>
              <w:bottom w:val="single" w:sz="4" w:space="0" w:color="000000"/>
              <w:right w:val="single" w:sz="4" w:space="0" w:color="000000"/>
            </w:tcBorders>
            <w:hideMark/>
          </w:tcPr>
          <w:p w14:paraId="59AB0237" w14:textId="77777777" w:rsidR="00A76826" w:rsidRPr="004714C6" w:rsidRDefault="00A76826" w:rsidP="00647CA7">
            <w:pPr>
              <w:widowControl w:val="0"/>
              <w:autoSpaceDE w:val="0"/>
              <w:autoSpaceDN w:val="0"/>
              <w:adjustRightInd w:val="0"/>
              <w:ind w:left="100" w:right="-20"/>
              <w:rPr>
                <w:kern w:val="2"/>
                <w:sz w:val="24"/>
                <w:szCs w:val="24"/>
                <w14:ligatures w14:val="standardContextual"/>
              </w:rPr>
            </w:pPr>
            <w:r w:rsidRPr="004714C6">
              <w:rPr>
                <w:b/>
                <w:bCs/>
                <w:kern w:val="2"/>
                <w:sz w:val="24"/>
                <w:szCs w:val="24"/>
                <w14:ligatures w14:val="standardContextual"/>
              </w:rPr>
              <w:t>Behandlingsvarighed</w:t>
            </w:r>
          </w:p>
        </w:tc>
      </w:tr>
      <w:tr w:rsidR="00A76826" w:rsidRPr="004714C6" w14:paraId="697CE0BD" w14:textId="77777777" w:rsidTr="004714C6">
        <w:trPr>
          <w:trHeight w:val="20"/>
        </w:trPr>
        <w:tc>
          <w:tcPr>
            <w:tcW w:w="761" w:type="pct"/>
            <w:tcBorders>
              <w:top w:val="single" w:sz="4" w:space="0" w:color="000000"/>
              <w:left w:val="single" w:sz="4" w:space="0" w:color="000000"/>
              <w:bottom w:val="single" w:sz="4" w:space="0" w:color="000000"/>
              <w:right w:val="single" w:sz="4" w:space="0" w:color="000000"/>
            </w:tcBorders>
            <w:hideMark/>
          </w:tcPr>
          <w:p w14:paraId="3D342677" w14:textId="77777777" w:rsidR="00A76826" w:rsidRPr="004714C6" w:rsidRDefault="00A76826" w:rsidP="00647CA7">
            <w:pPr>
              <w:widowControl w:val="0"/>
              <w:autoSpaceDE w:val="0"/>
              <w:autoSpaceDN w:val="0"/>
              <w:adjustRightInd w:val="0"/>
              <w:ind w:left="102" w:right="-20"/>
              <w:rPr>
                <w:kern w:val="2"/>
                <w:sz w:val="24"/>
                <w:szCs w:val="24"/>
                <w14:ligatures w14:val="standardContextual"/>
              </w:rPr>
            </w:pPr>
            <w:r w:rsidRPr="004714C6">
              <w:rPr>
                <w:spacing w:val="-1"/>
                <w:kern w:val="2"/>
                <w:sz w:val="24"/>
                <w:szCs w:val="24"/>
                <w14:ligatures w14:val="standardContextual"/>
              </w:rPr>
              <w:t>SPAF</w:t>
            </w:r>
          </w:p>
        </w:tc>
        <w:tc>
          <w:tcPr>
            <w:tcW w:w="4239" w:type="pct"/>
            <w:tcBorders>
              <w:top w:val="single" w:sz="4" w:space="0" w:color="000000"/>
              <w:left w:val="single" w:sz="4" w:space="0" w:color="000000"/>
              <w:bottom w:val="single" w:sz="4" w:space="0" w:color="000000"/>
              <w:right w:val="single" w:sz="4" w:space="0" w:color="000000"/>
            </w:tcBorders>
            <w:hideMark/>
          </w:tcPr>
          <w:p w14:paraId="14B471C2" w14:textId="77777777" w:rsidR="00A76826" w:rsidRPr="004714C6" w:rsidRDefault="00A76826" w:rsidP="00647CA7">
            <w:pPr>
              <w:widowControl w:val="0"/>
              <w:autoSpaceDE w:val="0"/>
              <w:autoSpaceDN w:val="0"/>
              <w:adjustRightInd w:val="0"/>
              <w:ind w:left="100" w:right="-20"/>
              <w:rPr>
                <w:kern w:val="2"/>
                <w:sz w:val="24"/>
                <w:szCs w:val="24"/>
                <w14:ligatures w14:val="standardContextual"/>
              </w:rPr>
            </w:pPr>
            <w:r w:rsidRPr="004714C6">
              <w:rPr>
                <w:kern w:val="2"/>
                <w:sz w:val="24"/>
                <w:szCs w:val="24"/>
                <w14:ligatures w14:val="standardContextual"/>
              </w:rPr>
              <w:t>Behandlingen skal fortsættes på lang sigt.</w:t>
            </w:r>
          </w:p>
        </w:tc>
      </w:tr>
      <w:tr w:rsidR="00A76826" w:rsidRPr="004714C6" w14:paraId="7E74F191" w14:textId="77777777" w:rsidTr="004714C6">
        <w:trPr>
          <w:trHeight w:val="20"/>
        </w:trPr>
        <w:tc>
          <w:tcPr>
            <w:tcW w:w="761" w:type="pct"/>
            <w:tcBorders>
              <w:top w:val="single" w:sz="4" w:space="0" w:color="000000"/>
              <w:left w:val="single" w:sz="4" w:space="0" w:color="000000"/>
              <w:bottom w:val="single" w:sz="4" w:space="0" w:color="000000"/>
              <w:right w:val="single" w:sz="4" w:space="0" w:color="000000"/>
            </w:tcBorders>
            <w:hideMark/>
          </w:tcPr>
          <w:p w14:paraId="76C69483" w14:textId="77777777" w:rsidR="00A76826" w:rsidRPr="004714C6" w:rsidRDefault="00A76826" w:rsidP="00647CA7">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DVT/LE</w:t>
            </w:r>
          </w:p>
        </w:tc>
        <w:tc>
          <w:tcPr>
            <w:tcW w:w="4239" w:type="pct"/>
            <w:tcBorders>
              <w:top w:val="single" w:sz="4" w:space="0" w:color="000000"/>
              <w:left w:val="single" w:sz="4" w:space="0" w:color="000000"/>
              <w:bottom w:val="single" w:sz="4" w:space="0" w:color="000000"/>
              <w:right w:val="single" w:sz="4" w:space="0" w:color="000000"/>
            </w:tcBorders>
          </w:tcPr>
          <w:p w14:paraId="3B3C6E56" w14:textId="77777777" w:rsidR="00A76826" w:rsidRPr="004714C6" w:rsidRDefault="00A76826" w:rsidP="00647CA7">
            <w:pPr>
              <w:widowControl w:val="0"/>
              <w:autoSpaceDE w:val="0"/>
              <w:autoSpaceDN w:val="0"/>
              <w:adjustRightInd w:val="0"/>
              <w:ind w:left="100" w:right="727"/>
              <w:rPr>
                <w:kern w:val="2"/>
                <w:sz w:val="24"/>
                <w:szCs w:val="24"/>
                <w14:ligatures w14:val="standardContextual"/>
              </w:rPr>
            </w:pPr>
            <w:r w:rsidRPr="004714C6">
              <w:rPr>
                <w:kern w:val="2"/>
                <w:sz w:val="24"/>
                <w:szCs w:val="24"/>
                <w14:ligatures w14:val="standardContextual"/>
              </w:rPr>
              <w:t>Behandlingsvarigheden skal individualiseres efter nøje vurdering af behandlingsfordele i forhold til risikoen for blødninger (se pkt. 4.4).</w:t>
            </w:r>
          </w:p>
          <w:p w14:paraId="18619FC1" w14:textId="77777777" w:rsidR="00A76826" w:rsidRPr="004714C6" w:rsidRDefault="00A76826" w:rsidP="00647CA7">
            <w:pPr>
              <w:widowControl w:val="0"/>
              <w:autoSpaceDE w:val="0"/>
              <w:autoSpaceDN w:val="0"/>
              <w:adjustRightInd w:val="0"/>
              <w:rPr>
                <w:kern w:val="2"/>
                <w:sz w:val="24"/>
                <w:szCs w:val="24"/>
                <w14:ligatures w14:val="standardContextual"/>
              </w:rPr>
            </w:pPr>
          </w:p>
          <w:p w14:paraId="743A5FAA" w14:textId="77777777" w:rsidR="00A76826" w:rsidRPr="004714C6" w:rsidRDefault="00A76826" w:rsidP="00647CA7">
            <w:pPr>
              <w:widowControl w:val="0"/>
              <w:autoSpaceDE w:val="0"/>
              <w:autoSpaceDN w:val="0"/>
              <w:adjustRightInd w:val="0"/>
              <w:ind w:left="100" w:right="196"/>
              <w:rPr>
                <w:kern w:val="2"/>
                <w:sz w:val="24"/>
                <w:szCs w:val="24"/>
                <w14:ligatures w14:val="standardContextual"/>
              </w:rPr>
            </w:pPr>
            <w:r w:rsidRPr="004714C6">
              <w:rPr>
                <w:kern w:val="2"/>
                <w:sz w:val="24"/>
                <w:szCs w:val="24"/>
                <w14:ligatures w14:val="standardContextual"/>
              </w:rPr>
              <w:t>Ved korte behandlingsforløb (mindst 3 måneder) baseres det på forbigående risikofaktorer (f.eks. nylig operation, traume, immobilisering) og ved længerevarende behandlingsforløb mod permanente risikofaktorer eller idiopatisk DVT eller LE.</w:t>
            </w:r>
          </w:p>
        </w:tc>
      </w:tr>
    </w:tbl>
    <w:p w14:paraId="67644EC5" w14:textId="77777777" w:rsidR="00A76826" w:rsidRPr="004714C6" w:rsidRDefault="00A76826" w:rsidP="00647CA7">
      <w:pPr>
        <w:ind w:left="851"/>
        <w:rPr>
          <w:sz w:val="24"/>
          <w:szCs w:val="24"/>
        </w:rPr>
      </w:pPr>
    </w:p>
    <w:p w14:paraId="0E2EC897" w14:textId="77777777" w:rsidR="00A76826" w:rsidRPr="004714C6" w:rsidRDefault="00A76826" w:rsidP="00647CA7">
      <w:pPr>
        <w:ind w:left="851"/>
        <w:rPr>
          <w:i/>
          <w:iCs/>
          <w:sz w:val="24"/>
          <w:szCs w:val="24"/>
        </w:rPr>
      </w:pPr>
      <w:r w:rsidRPr="004714C6">
        <w:rPr>
          <w:i/>
          <w:iCs/>
          <w:sz w:val="24"/>
          <w:szCs w:val="24"/>
        </w:rPr>
        <w:t>Glemt dosis</w:t>
      </w:r>
    </w:p>
    <w:p w14:paraId="33D20759" w14:textId="77777777" w:rsidR="00A76826" w:rsidRPr="004714C6" w:rsidRDefault="00A76826" w:rsidP="00647CA7">
      <w:pPr>
        <w:ind w:left="851"/>
        <w:rPr>
          <w:sz w:val="24"/>
          <w:szCs w:val="24"/>
        </w:rPr>
      </w:pPr>
    </w:p>
    <w:p w14:paraId="1B70A78B" w14:textId="77777777" w:rsidR="00A76826" w:rsidRPr="004714C6" w:rsidRDefault="00A76826" w:rsidP="00647CA7">
      <w:pPr>
        <w:ind w:left="851"/>
        <w:rPr>
          <w:sz w:val="24"/>
          <w:szCs w:val="24"/>
        </w:rPr>
      </w:pPr>
      <w:r w:rsidRPr="004714C6">
        <w:rPr>
          <w:sz w:val="24"/>
          <w:szCs w:val="24"/>
        </w:rPr>
        <w:t>En glemt dosis dabigatranetexilat kan tages op til 6 timer før næste planlagte doseringstidspunkt. Fra 6 timer før næste planlagte dosis skal den glemte dosis ikke tages. Der må ikke tages dobbeltdosis som erstatning for glemte, enkelte doser.</w:t>
      </w:r>
    </w:p>
    <w:p w14:paraId="4BD83A8A" w14:textId="77777777" w:rsidR="00A76826" w:rsidRPr="004714C6" w:rsidRDefault="00A76826" w:rsidP="00647CA7">
      <w:pPr>
        <w:ind w:left="851"/>
        <w:rPr>
          <w:sz w:val="24"/>
          <w:szCs w:val="24"/>
        </w:rPr>
      </w:pPr>
    </w:p>
    <w:p w14:paraId="414A9F11" w14:textId="77777777" w:rsidR="00A76826" w:rsidRPr="004714C6" w:rsidRDefault="00A76826" w:rsidP="00647CA7">
      <w:pPr>
        <w:ind w:left="851"/>
        <w:rPr>
          <w:i/>
          <w:iCs/>
          <w:sz w:val="24"/>
          <w:szCs w:val="24"/>
        </w:rPr>
      </w:pPr>
      <w:r w:rsidRPr="004714C6">
        <w:rPr>
          <w:i/>
          <w:iCs/>
          <w:sz w:val="24"/>
          <w:szCs w:val="24"/>
        </w:rPr>
        <w:t>Seponering af dabigatranetexilat</w:t>
      </w:r>
    </w:p>
    <w:p w14:paraId="66C52E55" w14:textId="77777777" w:rsidR="00A76826" w:rsidRPr="004714C6" w:rsidRDefault="00A76826" w:rsidP="00647CA7">
      <w:pPr>
        <w:ind w:left="851"/>
        <w:rPr>
          <w:sz w:val="24"/>
          <w:szCs w:val="24"/>
        </w:rPr>
      </w:pPr>
    </w:p>
    <w:p w14:paraId="358F66F2" w14:textId="77777777" w:rsidR="00A76826" w:rsidRPr="004714C6" w:rsidRDefault="00A76826" w:rsidP="00647CA7">
      <w:pPr>
        <w:ind w:left="851"/>
        <w:rPr>
          <w:sz w:val="24"/>
          <w:szCs w:val="24"/>
        </w:rPr>
      </w:pPr>
      <w:r w:rsidRPr="004714C6">
        <w:rPr>
          <w:sz w:val="24"/>
          <w:szCs w:val="24"/>
        </w:rPr>
        <w:t>Behandlingen med dabigatranetexilat må ikke seponeres uden medicinsk rådgivning. Patienterne skal instrueres i at kontakte den behandlende læge, hvis de udvikler gastrointestinale symptomer, såsom dyspepsi (se pkt. 4.8).</w:t>
      </w:r>
    </w:p>
    <w:p w14:paraId="596D1340" w14:textId="77777777" w:rsidR="00A76826" w:rsidRPr="004714C6" w:rsidRDefault="00A76826" w:rsidP="00647CA7">
      <w:pPr>
        <w:ind w:left="851"/>
        <w:rPr>
          <w:sz w:val="24"/>
          <w:szCs w:val="24"/>
        </w:rPr>
      </w:pPr>
    </w:p>
    <w:p w14:paraId="48886713" w14:textId="77777777" w:rsidR="00A76826" w:rsidRPr="004714C6" w:rsidRDefault="00A76826" w:rsidP="00647CA7">
      <w:pPr>
        <w:ind w:left="851"/>
        <w:rPr>
          <w:i/>
          <w:iCs/>
          <w:sz w:val="24"/>
          <w:szCs w:val="24"/>
        </w:rPr>
      </w:pPr>
      <w:r w:rsidRPr="004714C6">
        <w:rPr>
          <w:i/>
          <w:iCs/>
          <w:sz w:val="24"/>
          <w:szCs w:val="24"/>
        </w:rPr>
        <w:t>Behandlingsskift</w:t>
      </w:r>
    </w:p>
    <w:p w14:paraId="33E7222A" w14:textId="77777777" w:rsidR="00A76826" w:rsidRPr="004714C6" w:rsidRDefault="00A76826" w:rsidP="00647CA7">
      <w:pPr>
        <w:ind w:left="851"/>
        <w:rPr>
          <w:sz w:val="24"/>
          <w:szCs w:val="24"/>
        </w:rPr>
      </w:pPr>
    </w:p>
    <w:p w14:paraId="45166C11" w14:textId="77777777" w:rsidR="00A76826" w:rsidRPr="004714C6" w:rsidRDefault="00A76826" w:rsidP="00647CA7">
      <w:pPr>
        <w:ind w:left="851"/>
        <w:rPr>
          <w:sz w:val="24"/>
          <w:szCs w:val="24"/>
        </w:rPr>
      </w:pPr>
      <w:r w:rsidRPr="004714C6">
        <w:rPr>
          <w:sz w:val="24"/>
          <w:szCs w:val="24"/>
        </w:rPr>
        <w:t>Fra behandling med dabigatranetexilat til parenteral antikoagulans:</w:t>
      </w:r>
    </w:p>
    <w:p w14:paraId="083C949B" w14:textId="77777777" w:rsidR="00A76826" w:rsidRPr="004714C6" w:rsidRDefault="00A76826" w:rsidP="00647CA7">
      <w:pPr>
        <w:ind w:left="851"/>
        <w:rPr>
          <w:sz w:val="24"/>
          <w:szCs w:val="24"/>
        </w:rPr>
      </w:pPr>
      <w:r w:rsidRPr="004714C6">
        <w:rPr>
          <w:sz w:val="24"/>
          <w:szCs w:val="24"/>
        </w:rPr>
        <w:t>Det anbefales, at man venter 12 timer efter den sidste dosis, før man skifter fra dabigatranetexilat til en parenteral antikoagulans (se pkt. 4.5).</w:t>
      </w:r>
    </w:p>
    <w:p w14:paraId="171DBC47" w14:textId="77777777" w:rsidR="00A76826" w:rsidRPr="004714C6" w:rsidRDefault="00A76826" w:rsidP="00647CA7">
      <w:pPr>
        <w:ind w:left="851"/>
        <w:rPr>
          <w:sz w:val="24"/>
          <w:szCs w:val="24"/>
        </w:rPr>
      </w:pPr>
    </w:p>
    <w:p w14:paraId="6ACCAB95" w14:textId="77777777" w:rsidR="00A76826" w:rsidRPr="004714C6" w:rsidRDefault="00A76826" w:rsidP="00647CA7">
      <w:pPr>
        <w:ind w:left="851"/>
        <w:rPr>
          <w:sz w:val="24"/>
          <w:szCs w:val="24"/>
        </w:rPr>
      </w:pPr>
      <w:r w:rsidRPr="004714C6">
        <w:rPr>
          <w:sz w:val="24"/>
          <w:szCs w:val="24"/>
        </w:rPr>
        <w:t>Fra parenteral antikoagulans til dabigatranetexilat:</w:t>
      </w:r>
    </w:p>
    <w:p w14:paraId="48DF7162" w14:textId="77777777" w:rsidR="00A76826" w:rsidRPr="004714C6" w:rsidRDefault="00A76826" w:rsidP="00647CA7">
      <w:pPr>
        <w:ind w:left="851"/>
        <w:rPr>
          <w:sz w:val="24"/>
          <w:szCs w:val="24"/>
        </w:rPr>
      </w:pPr>
      <w:r w:rsidRPr="004714C6">
        <w:rPr>
          <w:sz w:val="24"/>
          <w:szCs w:val="24"/>
        </w:rPr>
        <w:t>Den parenterale antikoagulans bør seponeres, og dabigatranetexilat bør startes 0</w:t>
      </w:r>
      <w:r w:rsidRPr="004714C6">
        <w:rPr>
          <w:sz w:val="24"/>
          <w:szCs w:val="24"/>
        </w:rPr>
        <w:noBreakHyphen/>
        <w:t>2 timer før det planlagte tidspunkt for næste dosis af den anden behandling, eller samtidig med seponering ved kontinuerlig behandling (f.eks. intravenøs ufraktioneret heparin (UFH)) (se pkt. 4.5).</w:t>
      </w:r>
    </w:p>
    <w:p w14:paraId="3F0D98FD" w14:textId="77777777" w:rsidR="00A76826" w:rsidRPr="004714C6" w:rsidRDefault="00A76826" w:rsidP="00647CA7">
      <w:pPr>
        <w:ind w:left="851"/>
        <w:rPr>
          <w:sz w:val="24"/>
          <w:szCs w:val="24"/>
        </w:rPr>
      </w:pPr>
    </w:p>
    <w:p w14:paraId="07B2FA54" w14:textId="77777777" w:rsidR="00A76826" w:rsidRPr="004714C6" w:rsidRDefault="00A76826" w:rsidP="00647CA7">
      <w:pPr>
        <w:ind w:left="851"/>
        <w:rPr>
          <w:sz w:val="24"/>
          <w:szCs w:val="24"/>
        </w:rPr>
      </w:pPr>
      <w:r w:rsidRPr="004714C6">
        <w:rPr>
          <w:sz w:val="24"/>
          <w:szCs w:val="24"/>
        </w:rPr>
        <w:t>Fra dabigatranetexilat til vitamin K</w:t>
      </w:r>
      <w:r w:rsidRPr="004714C6">
        <w:rPr>
          <w:sz w:val="24"/>
          <w:szCs w:val="24"/>
        </w:rPr>
        <w:noBreakHyphen/>
        <w:t>antagonist (VKA):</w:t>
      </w:r>
    </w:p>
    <w:p w14:paraId="783A28E0" w14:textId="77777777" w:rsidR="00A76826" w:rsidRPr="004714C6" w:rsidRDefault="00A76826" w:rsidP="00647CA7">
      <w:pPr>
        <w:ind w:left="851"/>
        <w:rPr>
          <w:sz w:val="24"/>
          <w:szCs w:val="24"/>
        </w:rPr>
      </w:pPr>
      <w:r w:rsidRPr="004714C6">
        <w:rPr>
          <w:sz w:val="24"/>
          <w:szCs w:val="24"/>
        </w:rPr>
        <w:t>Starttidspunkt for VKA bør justeres baseret på CrCL:</w:t>
      </w:r>
    </w:p>
    <w:p w14:paraId="6A3F1AB3" w14:textId="77777777" w:rsidR="00A76826" w:rsidRPr="004714C6" w:rsidRDefault="00A76826" w:rsidP="00647CA7">
      <w:pPr>
        <w:widowControl w:val="0"/>
        <w:numPr>
          <w:ilvl w:val="0"/>
          <w:numId w:val="9"/>
        </w:numPr>
        <w:autoSpaceDE w:val="0"/>
        <w:autoSpaceDN w:val="0"/>
        <w:adjustRightInd w:val="0"/>
        <w:spacing w:before="1"/>
        <w:ind w:left="1276" w:right="-20" w:hanging="425"/>
        <w:rPr>
          <w:sz w:val="24"/>
          <w:szCs w:val="24"/>
        </w:rPr>
      </w:pPr>
      <w:r w:rsidRPr="004714C6">
        <w:rPr>
          <w:sz w:val="24"/>
          <w:szCs w:val="24"/>
        </w:rPr>
        <w:t>CrCL ≥ 50 </w:t>
      </w:r>
      <w:r w:rsidRPr="004714C6">
        <w:rPr>
          <w:spacing w:val="-1"/>
          <w:sz w:val="24"/>
          <w:szCs w:val="24"/>
        </w:rPr>
        <w:t>ml/min</w:t>
      </w:r>
      <w:r w:rsidRPr="004714C6">
        <w:rPr>
          <w:sz w:val="24"/>
          <w:szCs w:val="24"/>
        </w:rPr>
        <w:t xml:space="preserve">, </w:t>
      </w:r>
      <w:r w:rsidRPr="004714C6">
        <w:rPr>
          <w:spacing w:val="-1"/>
          <w:sz w:val="24"/>
          <w:szCs w:val="24"/>
        </w:rPr>
        <w:t xml:space="preserve">VKA </w:t>
      </w:r>
      <w:r w:rsidRPr="004714C6">
        <w:rPr>
          <w:sz w:val="24"/>
          <w:szCs w:val="24"/>
        </w:rPr>
        <w:t xml:space="preserve">bør startes 3 dage før ophør med </w:t>
      </w:r>
      <w:r w:rsidRPr="004714C6">
        <w:rPr>
          <w:color w:val="000000"/>
          <w:sz w:val="24"/>
          <w:szCs w:val="24"/>
        </w:rPr>
        <w:t>dabigatranetexilat</w:t>
      </w:r>
    </w:p>
    <w:p w14:paraId="11F032A7" w14:textId="77777777" w:rsidR="00A76826" w:rsidRPr="004714C6" w:rsidRDefault="00A76826" w:rsidP="00647CA7">
      <w:pPr>
        <w:widowControl w:val="0"/>
        <w:numPr>
          <w:ilvl w:val="0"/>
          <w:numId w:val="9"/>
        </w:numPr>
        <w:autoSpaceDE w:val="0"/>
        <w:autoSpaceDN w:val="0"/>
        <w:adjustRightInd w:val="0"/>
        <w:spacing w:before="1"/>
        <w:ind w:left="1276" w:right="-20" w:hanging="425"/>
        <w:rPr>
          <w:sz w:val="24"/>
          <w:szCs w:val="24"/>
        </w:rPr>
      </w:pPr>
      <w:r w:rsidRPr="004714C6">
        <w:rPr>
          <w:sz w:val="24"/>
          <w:szCs w:val="24"/>
        </w:rPr>
        <w:t>CrCL ≥ 30</w:t>
      </w:r>
      <w:r w:rsidRPr="004714C6">
        <w:rPr>
          <w:spacing w:val="-4"/>
          <w:sz w:val="24"/>
          <w:szCs w:val="24"/>
        </w:rPr>
        <w:noBreakHyphen/>
      </w:r>
      <w:r w:rsidRPr="004714C6">
        <w:rPr>
          <w:sz w:val="24"/>
          <w:szCs w:val="24"/>
        </w:rPr>
        <w:t xml:space="preserve">&lt; 50 ml/min, VKA bør startes 2 dage før ophør med </w:t>
      </w:r>
      <w:r w:rsidRPr="004714C6">
        <w:rPr>
          <w:color w:val="000000"/>
          <w:sz w:val="24"/>
          <w:szCs w:val="24"/>
        </w:rPr>
        <w:t>dabigatranetexilat</w:t>
      </w:r>
    </w:p>
    <w:p w14:paraId="46D3DA2E" w14:textId="77777777" w:rsidR="00A76826" w:rsidRPr="004714C6" w:rsidRDefault="00A76826" w:rsidP="00647CA7">
      <w:pPr>
        <w:ind w:left="851"/>
        <w:rPr>
          <w:sz w:val="24"/>
          <w:szCs w:val="24"/>
        </w:rPr>
      </w:pPr>
    </w:p>
    <w:p w14:paraId="4865E250" w14:textId="77777777" w:rsidR="00A76826" w:rsidRPr="004714C6" w:rsidRDefault="00A76826" w:rsidP="00647CA7">
      <w:pPr>
        <w:ind w:left="851"/>
        <w:rPr>
          <w:sz w:val="24"/>
          <w:szCs w:val="24"/>
        </w:rPr>
      </w:pPr>
      <w:r w:rsidRPr="004714C6">
        <w:rPr>
          <w:sz w:val="24"/>
          <w:szCs w:val="24"/>
        </w:rPr>
        <w:t>Måling af den internationale normaliserede ratio (INR) vil bedre afspejle VKAs effekt mindst 2 dage efter, dabigatranetexilat er blevet seponeret, idet dabigatranetexilat kan påvirke INR. Indtil da bør INR</w:t>
      </w:r>
      <w:r w:rsidRPr="004714C6">
        <w:rPr>
          <w:sz w:val="24"/>
          <w:szCs w:val="24"/>
        </w:rPr>
        <w:noBreakHyphen/>
        <w:t>værdier tolkes med forsigtighed.</w:t>
      </w:r>
    </w:p>
    <w:p w14:paraId="07A7FB78" w14:textId="77777777" w:rsidR="00A76826" w:rsidRPr="004714C6" w:rsidRDefault="00A76826" w:rsidP="00647CA7">
      <w:pPr>
        <w:ind w:left="851"/>
        <w:rPr>
          <w:sz w:val="24"/>
          <w:szCs w:val="24"/>
        </w:rPr>
      </w:pPr>
    </w:p>
    <w:p w14:paraId="5266ED5B" w14:textId="77777777" w:rsidR="00A76826" w:rsidRPr="004714C6" w:rsidRDefault="00A76826" w:rsidP="00647CA7">
      <w:pPr>
        <w:ind w:left="851"/>
        <w:rPr>
          <w:sz w:val="24"/>
          <w:szCs w:val="24"/>
        </w:rPr>
      </w:pPr>
      <w:r w:rsidRPr="004714C6">
        <w:rPr>
          <w:sz w:val="24"/>
          <w:szCs w:val="24"/>
        </w:rPr>
        <w:t>Fra vitamin K</w:t>
      </w:r>
      <w:r w:rsidRPr="004714C6">
        <w:rPr>
          <w:sz w:val="24"/>
          <w:szCs w:val="24"/>
        </w:rPr>
        <w:noBreakHyphen/>
        <w:t>antagonist (VKA) til dabigatranetexilat:</w:t>
      </w:r>
    </w:p>
    <w:p w14:paraId="51AC8FD4" w14:textId="77777777" w:rsidR="00A76826" w:rsidRPr="004714C6" w:rsidRDefault="00A76826" w:rsidP="00647CA7">
      <w:pPr>
        <w:ind w:left="851"/>
        <w:rPr>
          <w:sz w:val="24"/>
          <w:szCs w:val="24"/>
        </w:rPr>
      </w:pPr>
      <w:r w:rsidRPr="004714C6">
        <w:rPr>
          <w:sz w:val="24"/>
          <w:szCs w:val="24"/>
        </w:rPr>
        <w:t>Behandling med VKA stoppes. Dabigatranetexilat-behandling startes når INR er &lt; 2,0.</w:t>
      </w:r>
    </w:p>
    <w:p w14:paraId="641694B3" w14:textId="77777777" w:rsidR="00A76826" w:rsidRPr="004714C6" w:rsidRDefault="00A76826" w:rsidP="00647CA7">
      <w:pPr>
        <w:ind w:left="851"/>
        <w:rPr>
          <w:sz w:val="24"/>
          <w:szCs w:val="24"/>
        </w:rPr>
      </w:pPr>
    </w:p>
    <w:p w14:paraId="51538B51" w14:textId="77777777" w:rsidR="00A76826" w:rsidRPr="004714C6" w:rsidRDefault="00A76826" w:rsidP="00647CA7">
      <w:pPr>
        <w:ind w:left="851"/>
        <w:rPr>
          <w:i/>
          <w:iCs/>
          <w:sz w:val="24"/>
          <w:szCs w:val="24"/>
        </w:rPr>
      </w:pPr>
      <w:r w:rsidRPr="004714C6">
        <w:rPr>
          <w:i/>
          <w:iCs/>
          <w:sz w:val="24"/>
          <w:szCs w:val="24"/>
        </w:rPr>
        <w:t>Kardiovertering (SPAF)</w:t>
      </w:r>
    </w:p>
    <w:p w14:paraId="0D1478AC" w14:textId="77777777" w:rsidR="00A76826" w:rsidRPr="004714C6" w:rsidRDefault="00A76826" w:rsidP="00647CA7">
      <w:pPr>
        <w:ind w:left="851"/>
        <w:rPr>
          <w:sz w:val="24"/>
          <w:szCs w:val="24"/>
        </w:rPr>
      </w:pPr>
    </w:p>
    <w:p w14:paraId="65661495" w14:textId="77777777" w:rsidR="00A76826" w:rsidRPr="004714C6" w:rsidRDefault="00A76826" w:rsidP="00647CA7">
      <w:pPr>
        <w:ind w:left="851"/>
        <w:rPr>
          <w:sz w:val="24"/>
          <w:szCs w:val="24"/>
        </w:rPr>
      </w:pPr>
      <w:r w:rsidRPr="004714C6">
        <w:rPr>
          <w:sz w:val="24"/>
          <w:szCs w:val="24"/>
        </w:rPr>
        <w:t>Patienter kan forblive på dabigatranetexilat i forbindelse med kardiovertering.</w:t>
      </w:r>
    </w:p>
    <w:p w14:paraId="18307784" w14:textId="77777777" w:rsidR="00A76826" w:rsidRPr="004714C6" w:rsidRDefault="00A76826" w:rsidP="00647CA7">
      <w:pPr>
        <w:ind w:left="851"/>
        <w:rPr>
          <w:sz w:val="24"/>
          <w:szCs w:val="24"/>
        </w:rPr>
      </w:pPr>
    </w:p>
    <w:p w14:paraId="1665BF33" w14:textId="77777777" w:rsidR="00A76826" w:rsidRPr="004714C6" w:rsidRDefault="00A76826" w:rsidP="00647CA7">
      <w:pPr>
        <w:ind w:left="851"/>
        <w:rPr>
          <w:i/>
          <w:iCs/>
          <w:sz w:val="24"/>
          <w:szCs w:val="24"/>
        </w:rPr>
      </w:pPr>
      <w:r w:rsidRPr="004714C6">
        <w:rPr>
          <w:i/>
          <w:iCs/>
          <w:sz w:val="24"/>
          <w:szCs w:val="24"/>
        </w:rPr>
        <w:t>Kateterablation for atrieflimren (SPAF)</w:t>
      </w:r>
    </w:p>
    <w:p w14:paraId="5864BC80" w14:textId="77777777" w:rsidR="00A76826" w:rsidRPr="004714C6" w:rsidRDefault="00A76826" w:rsidP="00647CA7">
      <w:pPr>
        <w:ind w:left="851"/>
        <w:rPr>
          <w:sz w:val="24"/>
          <w:szCs w:val="24"/>
        </w:rPr>
      </w:pPr>
    </w:p>
    <w:p w14:paraId="2BA06473" w14:textId="77777777" w:rsidR="00A76826" w:rsidRPr="004714C6" w:rsidRDefault="00A76826" w:rsidP="00647CA7">
      <w:pPr>
        <w:ind w:left="851"/>
        <w:rPr>
          <w:sz w:val="24"/>
          <w:szCs w:val="24"/>
        </w:rPr>
      </w:pPr>
      <w:r w:rsidRPr="004714C6">
        <w:rPr>
          <w:sz w:val="24"/>
          <w:szCs w:val="24"/>
        </w:rPr>
        <w:t>Der foreligger ingen data for behandling med dabigatranetexilat 110 mg to gange dagligt.</w:t>
      </w:r>
    </w:p>
    <w:p w14:paraId="433A6379" w14:textId="77777777" w:rsidR="00A76826" w:rsidRPr="004714C6" w:rsidRDefault="00A76826" w:rsidP="00647CA7">
      <w:pPr>
        <w:ind w:left="851"/>
        <w:rPr>
          <w:sz w:val="24"/>
          <w:szCs w:val="24"/>
        </w:rPr>
      </w:pPr>
    </w:p>
    <w:p w14:paraId="3206EEAD" w14:textId="77777777" w:rsidR="00A76826" w:rsidRPr="004714C6" w:rsidRDefault="00A76826" w:rsidP="00647CA7">
      <w:pPr>
        <w:ind w:left="851"/>
        <w:rPr>
          <w:i/>
          <w:iCs/>
          <w:sz w:val="24"/>
          <w:szCs w:val="24"/>
        </w:rPr>
      </w:pPr>
      <w:r w:rsidRPr="004714C6">
        <w:rPr>
          <w:i/>
          <w:iCs/>
          <w:sz w:val="24"/>
          <w:szCs w:val="24"/>
        </w:rPr>
        <w:t>Perkutan koronar intervention (PCI) med stenting (SPAF)</w:t>
      </w:r>
    </w:p>
    <w:p w14:paraId="4EFF34E5" w14:textId="77777777" w:rsidR="00A76826" w:rsidRPr="004714C6" w:rsidRDefault="00A76826" w:rsidP="00647CA7">
      <w:pPr>
        <w:ind w:left="851"/>
        <w:rPr>
          <w:sz w:val="24"/>
          <w:szCs w:val="24"/>
        </w:rPr>
      </w:pPr>
    </w:p>
    <w:p w14:paraId="2F9D0B10" w14:textId="77777777" w:rsidR="00A76826" w:rsidRPr="004714C6" w:rsidRDefault="00A76826" w:rsidP="00647CA7">
      <w:pPr>
        <w:ind w:left="851"/>
        <w:rPr>
          <w:sz w:val="24"/>
          <w:szCs w:val="24"/>
        </w:rPr>
      </w:pPr>
      <w:r w:rsidRPr="004714C6">
        <w:rPr>
          <w:sz w:val="24"/>
          <w:szCs w:val="24"/>
        </w:rPr>
        <w:t>Patienter med non-valvulær atrieflimren, der gennemgår PCI med stenting, kan behandles med dabigatranetexilat i kombination med trombocythæmmende midler, efter der er opnået hæmostase (se pkt. 5.1).</w:t>
      </w:r>
    </w:p>
    <w:p w14:paraId="36BE1E6F" w14:textId="77777777" w:rsidR="00A76826" w:rsidRPr="004714C6" w:rsidRDefault="00A76826" w:rsidP="00647CA7">
      <w:pPr>
        <w:ind w:left="851"/>
        <w:rPr>
          <w:sz w:val="24"/>
          <w:szCs w:val="24"/>
        </w:rPr>
      </w:pPr>
    </w:p>
    <w:p w14:paraId="36A255F3" w14:textId="77777777" w:rsidR="00A76826" w:rsidRPr="004714C6" w:rsidRDefault="00A76826" w:rsidP="00647CA7">
      <w:pPr>
        <w:ind w:left="851"/>
        <w:rPr>
          <w:sz w:val="24"/>
          <w:szCs w:val="24"/>
          <w:u w:val="single"/>
        </w:rPr>
      </w:pPr>
      <w:r w:rsidRPr="004714C6">
        <w:rPr>
          <w:position w:val="-1"/>
          <w:sz w:val="24"/>
          <w:szCs w:val="24"/>
          <w:u w:val="single"/>
        </w:rPr>
        <w:t>Særlige populationer</w:t>
      </w:r>
    </w:p>
    <w:p w14:paraId="0CC82C03" w14:textId="77777777" w:rsidR="00A76826" w:rsidRPr="004714C6" w:rsidRDefault="00A76826" w:rsidP="00647CA7">
      <w:pPr>
        <w:ind w:left="851"/>
        <w:rPr>
          <w:sz w:val="24"/>
          <w:szCs w:val="24"/>
        </w:rPr>
      </w:pPr>
    </w:p>
    <w:p w14:paraId="764D35AB" w14:textId="77777777" w:rsidR="00A76826" w:rsidRPr="004714C6" w:rsidRDefault="00A76826" w:rsidP="00647CA7">
      <w:pPr>
        <w:ind w:left="851"/>
        <w:rPr>
          <w:i/>
          <w:iCs/>
          <w:sz w:val="24"/>
          <w:szCs w:val="24"/>
        </w:rPr>
      </w:pPr>
      <w:r w:rsidRPr="004714C6">
        <w:rPr>
          <w:i/>
          <w:iCs/>
          <w:sz w:val="24"/>
          <w:szCs w:val="24"/>
        </w:rPr>
        <w:t>Ældre</w:t>
      </w:r>
    </w:p>
    <w:p w14:paraId="0B10E560" w14:textId="77777777" w:rsidR="00A76826" w:rsidRPr="004714C6" w:rsidRDefault="00A76826" w:rsidP="00647CA7">
      <w:pPr>
        <w:ind w:left="851"/>
        <w:rPr>
          <w:sz w:val="24"/>
          <w:szCs w:val="24"/>
        </w:rPr>
      </w:pPr>
    </w:p>
    <w:p w14:paraId="223C37EB" w14:textId="77777777" w:rsidR="00A76826" w:rsidRPr="004714C6" w:rsidRDefault="00A76826" w:rsidP="00647CA7">
      <w:pPr>
        <w:ind w:left="851"/>
        <w:rPr>
          <w:sz w:val="24"/>
          <w:szCs w:val="24"/>
        </w:rPr>
      </w:pPr>
      <w:r w:rsidRPr="004714C6">
        <w:rPr>
          <w:sz w:val="24"/>
          <w:szCs w:val="24"/>
        </w:rPr>
        <w:t>For dosismodifikationer hos denne population, se tabel 2 ovenfor.</w:t>
      </w:r>
    </w:p>
    <w:p w14:paraId="7B39F401" w14:textId="77777777" w:rsidR="00A76826" w:rsidRPr="004714C6" w:rsidRDefault="00A76826" w:rsidP="00647CA7">
      <w:pPr>
        <w:ind w:left="851"/>
        <w:rPr>
          <w:sz w:val="24"/>
          <w:szCs w:val="24"/>
        </w:rPr>
      </w:pPr>
    </w:p>
    <w:p w14:paraId="7952CF0F" w14:textId="77777777" w:rsidR="00A76826" w:rsidRPr="004714C6" w:rsidRDefault="00A76826" w:rsidP="00647CA7">
      <w:pPr>
        <w:ind w:left="851"/>
        <w:rPr>
          <w:i/>
          <w:iCs/>
          <w:sz w:val="24"/>
          <w:szCs w:val="24"/>
        </w:rPr>
      </w:pPr>
      <w:r w:rsidRPr="004714C6">
        <w:rPr>
          <w:i/>
          <w:iCs/>
          <w:sz w:val="24"/>
          <w:szCs w:val="24"/>
        </w:rPr>
        <w:t>Patienter med risiko for blødning</w:t>
      </w:r>
    </w:p>
    <w:p w14:paraId="78DE66A9" w14:textId="77777777" w:rsidR="00A76826" w:rsidRPr="004714C6" w:rsidRDefault="00A76826" w:rsidP="00647CA7">
      <w:pPr>
        <w:ind w:left="851"/>
        <w:rPr>
          <w:sz w:val="24"/>
          <w:szCs w:val="24"/>
        </w:rPr>
      </w:pPr>
    </w:p>
    <w:p w14:paraId="0715571C" w14:textId="77777777" w:rsidR="00A76826" w:rsidRPr="004714C6" w:rsidRDefault="00A76826" w:rsidP="00647CA7">
      <w:pPr>
        <w:ind w:left="851"/>
        <w:rPr>
          <w:sz w:val="24"/>
          <w:szCs w:val="24"/>
        </w:rPr>
      </w:pPr>
      <w:r w:rsidRPr="004714C6">
        <w:rPr>
          <w:sz w:val="24"/>
          <w:szCs w:val="24"/>
        </w:rPr>
        <w:t>Patienter med øget blødningsrisiko (se pkt. 4.4, 4.5, 5.1 og 5.2) bør nøje klinisk overvåges (for tegn på blødning eller anæmi). Dosisjustering bør besluttes efter vurdering af de potentielle fordele og risici for den enkelte patient (se tabel 2 ovenfor). En koagulationstest (se pkt. 4.4) kan hjælpe til at identificere patienter med øget blødningsrisiko som følge af for høj dabigatraneksponering. Når for høj dabigatraneksponering er identificeret hos patienter med høj risiko for blødning, anbefales en reduceret dosis på 220 mg som 1 kapsel a 110 mg 2 gange dagligt. Ved klinisk relevant blødning, skal behandlingen afbrydes.</w:t>
      </w:r>
    </w:p>
    <w:p w14:paraId="58BB8E6F" w14:textId="77777777" w:rsidR="00A76826" w:rsidRPr="004714C6" w:rsidRDefault="00A76826" w:rsidP="00647CA7">
      <w:pPr>
        <w:ind w:left="851"/>
        <w:rPr>
          <w:sz w:val="24"/>
          <w:szCs w:val="24"/>
        </w:rPr>
      </w:pPr>
    </w:p>
    <w:p w14:paraId="2E541A2F" w14:textId="77777777" w:rsidR="00A76826" w:rsidRPr="004714C6" w:rsidRDefault="00A76826" w:rsidP="00647CA7">
      <w:pPr>
        <w:ind w:left="851"/>
        <w:rPr>
          <w:sz w:val="24"/>
          <w:szCs w:val="24"/>
        </w:rPr>
      </w:pPr>
      <w:r w:rsidRPr="004714C6">
        <w:rPr>
          <w:sz w:val="24"/>
          <w:szCs w:val="24"/>
        </w:rPr>
        <w:t>For patienter med gastritis, øsofagitis eller gastroøsofageal refluks kan en dosisreduktion overvejes, grundet forhøjet risiko for alvorlig gastrointestinal blødning (se tabel 2 ovenfor og pkt. 4.4).</w:t>
      </w:r>
    </w:p>
    <w:p w14:paraId="6B7D3917" w14:textId="77777777" w:rsidR="00A76826" w:rsidRPr="004714C6" w:rsidRDefault="00A76826" w:rsidP="00647CA7">
      <w:pPr>
        <w:ind w:left="851"/>
        <w:rPr>
          <w:sz w:val="24"/>
          <w:szCs w:val="24"/>
        </w:rPr>
      </w:pPr>
    </w:p>
    <w:p w14:paraId="3E041427" w14:textId="77777777" w:rsidR="00A76826" w:rsidRPr="004714C6" w:rsidRDefault="00A76826" w:rsidP="00647CA7">
      <w:pPr>
        <w:ind w:left="851"/>
        <w:rPr>
          <w:i/>
          <w:iCs/>
          <w:sz w:val="24"/>
          <w:szCs w:val="24"/>
        </w:rPr>
      </w:pPr>
      <w:r w:rsidRPr="004714C6">
        <w:rPr>
          <w:i/>
          <w:iCs/>
          <w:sz w:val="24"/>
          <w:szCs w:val="24"/>
        </w:rPr>
        <w:t>Nedsat nyrefunktion</w:t>
      </w:r>
    </w:p>
    <w:p w14:paraId="3D85EC1E" w14:textId="77777777" w:rsidR="00A76826" w:rsidRPr="004714C6" w:rsidRDefault="00A76826" w:rsidP="00647CA7">
      <w:pPr>
        <w:ind w:left="851"/>
        <w:rPr>
          <w:sz w:val="24"/>
          <w:szCs w:val="24"/>
        </w:rPr>
      </w:pPr>
    </w:p>
    <w:p w14:paraId="55C00D78" w14:textId="77777777" w:rsidR="00A76826" w:rsidRPr="004714C6" w:rsidRDefault="00A76826" w:rsidP="00647CA7">
      <w:pPr>
        <w:ind w:left="851"/>
        <w:rPr>
          <w:sz w:val="24"/>
          <w:szCs w:val="24"/>
        </w:rPr>
      </w:pPr>
      <w:r w:rsidRPr="004714C6">
        <w:rPr>
          <w:sz w:val="24"/>
          <w:szCs w:val="24"/>
        </w:rPr>
        <w:t>Behandling med dabigatranetexilat er kontraindiceret hos patienter med svært nedsat nyrefunktion (CrCL &lt; 30 ml/min) (se pkt. 4.3).</w:t>
      </w:r>
    </w:p>
    <w:p w14:paraId="43D194E0" w14:textId="77777777" w:rsidR="00A76826" w:rsidRPr="004714C6" w:rsidRDefault="00A76826" w:rsidP="00647CA7">
      <w:pPr>
        <w:ind w:left="851"/>
        <w:rPr>
          <w:sz w:val="24"/>
          <w:szCs w:val="24"/>
        </w:rPr>
      </w:pPr>
    </w:p>
    <w:p w14:paraId="5A493EDF" w14:textId="77777777" w:rsidR="00A76826" w:rsidRPr="004714C6" w:rsidRDefault="00A76826" w:rsidP="00647CA7">
      <w:pPr>
        <w:ind w:left="851"/>
        <w:rPr>
          <w:sz w:val="24"/>
          <w:szCs w:val="24"/>
        </w:rPr>
      </w:pPr>
      <w:r w:rsidRPr="004714C6">
        <w:rPr>
          <w:sz w:val="24"/>
          <w:szCs w:val="24"/>
        </w:rPr>
        <w:t>Dosisjustering er ikke nødvendig hos patienter med let nedsat nyrefunktion (CrCL 50</w:t>
      </w:r>
      <w:r w:rsidRPr="004714C6">
        <w:rPr>
          <w:sz w:val="24"/>
          <w:szCs w:val="24"/>
        </w:rPr>
        <w:noBreakHyphen/>
        <w:t>≤ 80 ml/min). Hos patienter med moderat nedsat nyrefunktion (CrCL 30</w:t>
      </w:r>
      <w:r w:rsidRPr="004714C6">
        <w:rPr>
          <w:sz w:val="24"/>
          <w:szCs w:val="24"/>
        </w:rPr>
        <w:noBreakHyphen/>
        <w:t>50 ml/min) er den anbefalede dosis af dabigatranetexilat også 300 mg som 1 kapsel a 150 mg 2 gange dagligt. Til patienter med høj blødningsrisiko bør dosisreduktion af dabigatranetexilat til 220 mg som 1 kapsel a 110 mg 2 gange dagligt overvejes (se pkt. 4.4 og 5.2). Tæt klinisk overvågning anbefales hos patienter med nedsat nyrefunktion.</w:t>
      </w:r>
    </w:p>
    <w:p w14:paraId="46FDE7A0" w14:textId="77777777" w:rsidR="00A76826" w:rsidRPr="004714C6" w:rsidRDefault="00A76826" w:rsidP="00647CA7">
      <w:pPr>
        <w:ind w:left="851"/>
        <w:rPr>
          <w:sz w:val="24"/>
          <w:szCs w:val="24"/>
        </w:rPr>
      </w:pPr>
    </w:p>
    <w:p w14:paraId="15ABAD35" w14:textId="77777777" w:rsidR="00A76826" w:rsidRPr="004714C6" w:rsidRDefault="00A76826" w:rsidP="00647CA7">
      <w:pPr>
        <w:ind w:left="851"/>
        <w:rPr>
          <w:i/>
          <w:iCs/>
          <w:sz w:val="24"/>
          <w:szCs w:val="24"/>
        </w:rPr>
      </w:pPr>
      <w:r w:rsidRPr="004714C6">
        <w:rPr>
          <w:i/>
          <w:iCs/>
          <w:sz w:val="24"/>
          <w:szCs w:val="24"/>
        </w:rPr>
        <w:t>Samtidig behandling med dabigatranetexilat og svage til moderate P-glykoprotein (P-</w:t>
      </w:r>
      <w:proofErr w:type="gramStart"/>
      <w:r w:rsidRPr="004714C6">
        <w:rPr>
          <w:i/>
          <w:iCs/>
          <w:sz w:val="24"/>
          <w:szCs w:val="24"/>
        </w:rPr>
        <w:t>gp)-</w:t>
      </w:r>
      <w:proofErr w:type="gramEnd"/>
      <w:r w:rsidRPr="004714C6">
        <w:rPr>
          <w:i/>
          <w:iCs/>
          <w:sz w:val="24"/>
          <w:szCs w:val="24"/>
        </w:rPr>
        <w:t>inhibitorer, dvs. amiodaron, kinidin eller verapamil</w:t>
      </w:r>
    </w:p>
    <w:p w14:paraId="76209A0D" w14:textId="77777777" w:rsidR="00A76826" w:rsidRPr="004714C6" w:rsidRDefault="00A76826" w:rsidP="00647CA7">
      <w:pPr>
        <w:ind w:left="851"/>
        <w:rPr>
          <w:sz w:val="24"/>
          <w:szCs w:val="24"/>
        </w:rPr>
      </w:pPr>
    </w:p>
    <w:p w14:paraId="5BC2CFB8" w14:textId="77777777" w:rsidR="00A76826" w:rsidRPr="004714C6" w:rsidRDefault="00A76826" w:rsidP="00647CA7">
      <w:pPr>
        <w:ind w:left="851"/>
        <w:rPr>
          <w:sz w:val="24"/>
          <w:szCs w:val="24"/>
        </w:rPr>
      </w:pPr>
      <w:r w:rsidRPr="004714C6">
        <w:rPr>
          <w:sz w:val="24"/>
          <w:szCs w:val="24"/>
        </w:rPr>
        <w:t>Ingen dosisjustering er nødvendig ved samtidig behandling med amiodaron eller kinidin (se pkt. 4.4, 4.5 og 5.2).</w:t>
      </w:r>
    </w:p>
    <w:p w14:paraId="5BA7AE5E" w14:textId="77777777" w:rsidR="00A76826" w:rsidRPr="004714C6" w:rsidRDefault="00A76826" w:rsidP="00647CA7">
      <w:pPr>
        <w:ind w:left="851"/>
        <w:rPr>
          <w:sz w:val="24"/>
          <w:szCs w:val="24"/>
        </w:rPr>
      </w:pPr>
    </w:p>
    <w:p w14:paraId="4AD934E6" w14:textId="77777777" w:rsidR="00A76826" w:rsidRPr="004714C6" w:rsidRDefault="00A76826" w:rsidP="00647CA7">
      <w:pPr>
        <w:ind w:left="851"/>
        <w:rPr>
          <w:sz w:val="24"/>
          <w:szCs w:val="24"/>
        </w:rPr>
      </w:pPr>
      <w:r w:rsidRPr="004714C6">
        <w:rPr>
          <w:sz w:val="24"/>
          <w:szCs w:val="24"/>
        </w:rPr>
        <w:t>Der anbefales en dosisreduktion til patienter, der samtidig får verapamil (se tabel 2 ovenfor og pkt. 4.4 og 4.5). I denne situation bør dabigatranetexilat og verapamil tages på samme tid.</w:t>
      </w:r>
    </w:p>
    <w:p w14:paraId="09CF32DA" w14:textId="77777777" w:rsidR="00A76826" w:rsidRPr="004714C6" w:rsidRDefault="00A76826" w:rsidP="00647CA7">
      <w:pPr>
        <w:ind w:left="851"/>
        <w:rPr>
          <w:sz w:val="24"/>
          <w:szCs w:val="24"/>
        </w:rPr>
      </w:pPr>
    </w:p>
    <w:p w14:paraId="6CDE79C2" w14:textId="77777777" w:rsidR="00A76826" w:rsidRPr="004714C6" w:rsidRDefault="00A76826" w:rsidP="00647CA7">
      <w:pPr>
        <w:ind w:left="851"/>
        <w:rPr>
          <w:i/>
          <w:iCs/>
          <w:sz w:val="24"/>
          <w:szCs w:val="24"/>
        </w:rPr>
      </w:pPr>
      <w:r w:rsidRPr="004714C6">
        <w:rPr>
          <w:i/>
          <w:iCs/>
          <w:sz w:val="24"/>
          <w:szCs w:val="24"/>
        </w:rPr>
        <w:t>Vægt</w:t>
      </w:r>
    </w:p>
    <w:p w14:paraId="2DF1F9E5" w14:textId="77777777" w:rsidR="00A76826" w:rsidRPr="004714C6" w:rsidRDefault="00A76826" w:rsidP="00647CA7">
      <w:pPr>
        <w:ind w:left="851"/>
        <w:rPr>
          <w:sz w:val="24"/>
          <w:szCs w:val="24"/>
        </w:rPr>
      </w:pPr>
    </w:p>
    <w:p w14:paraId="370C87C1" w14:textId="77777777" w:rsidR="00A76826" w:rsidRPr="004714C6" w:rsidRDefault="00A76826" w:rsidP="00647CA7">
      <w:pPr>
        <w:ind w:left="851"/>
        <w:rPr>
          <w:sz w:val="24"/>
          <w:szCs w:val="24"/>
        </w:rPr>
      </w:pPr>
      <w:r w:rsidRPr="004714C6">
        <w:rPr>
          <w:sz w:val="24"/>
          <w:szCs w:val="24"/>
        </w:rPr>
        <w:t>Ingen dosisjustering er nødvendig (se pkt. 5.2), men for patienter med en kropsvægt &lt; 50 kg anbefales tæt klinisk overvågning (se pkt. 4.4).</w:t>
      </w:r>
    </w:p>
    <w:p w14:paraId="76C0CE7A" w14:textId="77777777" w:rsidR="00A76826" w:rsidRPr="004714C6" w:rsidRDefault="00A76826" w:rsidP="00647CA7">
      <w:pPr>
        <w:ind w:left="851"/>
        <w:rPr>
          <w:sz w:val="24"/>
          <w:szCs w:val="24"/>
        </w:rPr>
      </w:pPr>
    </w:p>
    <w:p w14:paraId="5DBE1694" w14:textId="77777777" w:rsidR="00A76826" w:rsidRPr="004714C6" w:rsidRDefault="00A76826" w:rsidP="00647CA7">
      <w:pPr>
        <w:ind w:left="851"/>
        <w:rPr>
          <w:i/>
          <w:iCs/>
          <w:sz w:val="24"/>
          <w:szCs w:val="24"/>
        </w:rPr>
      </w:pPr>
      <w:r w:rsidRPr="004714C6">
        <w:rPr>
          <w:i/>
          <w:iCs/>
          <w:sz w:val="24"/>
          <w:szCs w:val="24"/>
        </w:rPr>
        <w:t>Køn</w:t>
      </w:r>
    </w:p>
    <w:p w14:paraId="60751A22" w14:textId="77777777" w:rsidR="00A76826" w:rsidRPr="004714C6" w:rsidRDefault="00A76826" w:rsidP="00647CA7">
      <w:pPr>
        <w:ind w:left="851"/>
        <w:rPr>
          <w:sz w:val="24"/>
          <w:szCs w:val="24"/>
        </w:rPr>
      </w:pPr>
    </w:p>
    <w:p w14:paraId="0778798D" w14:textId="77777777" w:rsidR="00A76826" w:rsidRPr="004714C6" w:rsidRDefault="00A76826" w:rsidP="00647CA7">
      <w:pPr>
        <w:ind w:left="851"/>
        <w:rPr>
          <w:sz w:val="24"/>
          <w:szCs w:val="24"/>
        </w:rPr>
      </w:pPr>
      <w:r w:rsidRPr="004714C6">
        <w:rPr>
          <w:sz w:val="24"/>
          <w:szCs w:val="24"/>
        </w:rPr>
        <w:t>Ingen dosisjustering er nødvendig (se pkt. 5.2).</w:t>
      </w:r>
    </w:p>
    <w:p w14:paraId="33DBB89E" w14:textId="77777777" w:rsidR="00A76826" w:rsidRPr="004714C6" w:rsidRDefault="00A76826" w:rsidP="00647CA7">
      <w:pPr>
        <w:ind w:left="851"/>
        <w:rPr>
          <w:sz w:val="24"/>
          <w:szCs w:val="24"/>
        </w:rPr>
      </w:pPr>
    </w:p>
    <w:p w14:paraId="0F464730" w14:textId="77777777" w:rsidR="00A76826" w:rsidRPr="004714C6" w:rsidRDefault="00A76826" w:rsidP="00647CA7">
      <w:pPr>
        <w:ind w:left="851"/>
        <w:rPr>
          <w:i/>
          <w:iCs/>
          <w:sz w:val="24"/>
          <w:szCs w:val="24"/>
        </w:rPr>
      </w:pPr>
      <w:r w:rsidRPr="004714C6">
        <w:rPr>
          <w:i/>
          <w:iCs/>
          <w:sz w:val="24"/>
          <w:szCs w:val="24"/>
        </w:rPr>
        <w:t>Pædiatrisk population</w:t>
      </w:r>
    </w:p>
    <w:p w14:paraId="1625C259" w14:textId="77777777" w:rsidR="00A76826" w:rsidRPr="004714C6" w:rsidRDefault="00A76826" w:rsidP="00647CA7">
      <w:pPr>
        <w:ind w:left="851"/>
        <w:rPr>
          <w:sz w:val="24"/>
          <w:szCs w:val="24"/>
        </w:rPr>
      </w:pPr>
    </w:p>
    <w:p w14:paraId="419D95DE" w14:textId="77777777" w:rsidR="00A76826" w:rsidRPr="004714C6" w:rsidRDefault="00A76826" w:rsidP="00647CA7">
      <w:pPr>
        <w:ind w:left="851"/>
        <w:rPr>
          <w:sz w:val="24"/>
          <w:szCs w:val="24"/>
        </w:rPr>
      </w:pPr>
      <w:r w:rsidRPr="004714C6">
        <w:rPr>
          <w:sz w:val="24"/>
          <w:szCs w:val="24"/>
        </w:rPr>
        <w:t>Det er ikke relevant at anvende dabigatranetexilat hos den pædiatriske population til indikationen forebyggelse af apopleksi og systemisk emboli ved NVAF.</w:t>
      </w:r>
    </w:p>
    <w:p w14:paraId="558B2EB4" w14:textId="77777777" w:rsidR="00A76826" w:rsidRPr="004714C6" w:rsidRDefault="00A76826" w:rsidP="00647CA7">
      <w:pPr>
        <w:ind w:left="851"/>
        <w:rPr>
          <w:sz w:val="24"/>
          <w:szCs w:val="24"/>
        </w:rPr>
      </w:pPr>
    </w:p>
    <w:p w14:paraId="578B8D0D" w14:textId="77777777" w:rsidR="00A76826" w:rsidRPr="004714C6" w:rsidRDefault="00A76826" w:rsidP="00647CA7">
      <w:pPr>
        <w:ind w:left="851"/>
        <w:rPr>
          <w:i/>
          <w:iCs/>
          <w:sz w:val="24"/>
          <w:szCs w:val="24"/>
          <w:u w:val="single"/>
        </w:rPr>
      </w:pPr>
      <w:r w:rsidRPr="004714C6">
        <w:rPr>
          <w:i/>
          <w:iCs/>
          <w:sz w:val="24"/>
          <w:szCs w:val="24"/>
          <w:u w:val="single"/>
        </w:rPr>
        <w:t>Behandling af VTE og forebyggelse af recidiverende VTE hos pædiatriske patienter</w:t>
      </w:r>
    </w:p>
    <w:p w14:paraId="1FAF0783" w14:textId="77777777" w:rsidR="00A76826" w:rsidRPr="004714C6" w:rsidRDefault="00A76826" w:rsidP="00647CA7">
      <w:pPr>
        <w:ind w:left="851"/>
        <w:rPr>
          <w:sz w:val="24"/>
          <w:szCs w:val="24"/>
        </w:rPr>
      </w:pPr>
    </w:p>
    <w:p w14:paraId="18BFF3A0" w14:textId="77777777" w:rsidR="00A76826" w:rsidRPr="004714C6" w:rsidRDefault="00A76826" w:rsidP="00647CA7">
      <w:pPr>
        <w:ind w:left="851"/>
        <w:rPr>
          <w:sz w:val="24"/>
          <w:szCs w:val="24"/>
        </w:rPr>
      </w:pPr>
      <w:r w:rsidRPr="004714C6">
        <w:rPr>
          <w:sz w:val="24"/>
          <w:szCs w:val="24"/>
        </w:rPr>
        <w:t>Behandlingen af VTE hos pædiatriske patienter skal påbegyndes efter forudgående parenteral antikoagulansbehandling i mindst 5 dage. Til forebyggelse af recidiverende VTE skal behandlingen påbegyndes efter tidligere behandling.</w:t>
      </w:r>
    </w:p>
    <w:p w14:paraId="16F1FC19" w14:textId="77777777" w:rsidR="00A76826" w:rsidRPr="004714C6" w:rsidRDefault="00A76826" w:rsidP="00647CA7">
      <w:pPr>
        <w:ind w:left="851"/>
        <w:rPr>
          <w:sz w:val="24"/>
          <w:szCs w:val="24"/>
        </w:rPr>
      </w:pPr>
    </w:p>
    <w:p w14:paraId="5C60FCAF" w14:textId="77777777" w:rsidR="00A76826" w:rsidRPr="004714C6" w:rsidRDefault="00A76826" w:rsidP="00647CA7">
      <w:pPr>
        <w:ind w:left="851"/>
        <w:rPr>
          <w:sz w:val="24"/>
          <w:szCs w:val="24"/>
        </w:rPr>
      </w:pPr>
      <w:r w:rsidRPr="004714C6">
        <w:rPr>
          <w:sz w:val="24"/>
          <w:szCs w:val="24"/>
        </w:rPr>
        <w:t>Dabigatranetexilat kapsler skal tages to gange dagligt, én dosis om morgenen og én dosis om aftenen, på omtrent samme tidspunkt hver dag. Intervallet mellem doseringer skal være så tæt på 12 timer som muligt.</w:t>
      </w:r>
    </w:p>
    <w:p w14:paraId="0FCAA8DC" w14:textId="77777777" w:rsidR="00A76826" w:rsidRPr="004714C6" w:rsidRDefault="00A76826" w:rsidP="00647CA7">
      <w:pPr>
        <w:ind w:left="851"/>
        <w:rPr>
          <w:sz w:val="24"/>
          <w:szCs w:val="24"/>
        </w:rPr>
      </w:pPr>
    </w:p>
    <w:p w14:paraId="6CBCA6E2" w14:textId="77777777" w:rsidR="00A76826" w:rsidRPr="004714C6" w:rsidRDefault="00A76826" w:rsidP="00647CA7">
      <w:pPr>
        <w:ind w:left="851"/>
        <w:rPr>
          <w:sz w:val="24"/>
          <w:szCs w:val="24"/>
        </w:rPr>
      </w:pPr>
      <w:r w:rsidRPr="004714C6">
        <w:rPr>
          <w:sz w:val="24"/>
          <w:szCs w:val="24"/>
        </w:rPr>
        <w:t>Den anbefalede dosis af dabigatranetexilat kapsler er baseret på patientens alder og vægt som vist i tabel 4. Dosen skal justeres i henhold til vægt og alder efterhånden som behandlingen skrider frem.</w:t>
      </w:r>
    </w:p>
    <w:p w14:paraId="1C5B1754" w14:textId="77777777" w:rsidR="00A76826" w:rsidRPr="004714C6" w:rsidRDefault="00A76826" w:rsidP="00647CA7">
      <w:pPr>
        <w:ind w:left="851"/>
        <w:rPr>
          <w:sz w:val="24"/>
          <w:szCs w:val="24"/>
        </w:rPr>
      </w:pPr>
    </w:p>
    <w:p w14:paraId="6D9AA24B" w14:textId="77777777" w:rsidR="00A76826" w:rsidRPr="004714C6" w:rsidRDefault="00A76826" w:rsidP="00647CA7">
      <w:pPr>
        <w:ind w:left="851"/>
        <w:rPr>
          <w:sz w:val="24"/>
          <w:szCs w:val="24"/>
        </w:rPr>
      </w:pPr>
      <w:r w:rsidRPr="004714C6">
        <w:rPr>
          <w:sz w:val="24"/>
          <w:szCs w:val="24"/>
        </w:rPr>
        <w:t>Der kan ikke gives doseringsanbefalinger for vægt</w:t>
      </w:r>
      <w:r w:rsidRPr="004714C6">
        <w:rPr>
          <w:sz w:val="24"/>
          <w:szCs w:val="24"/>
        </w:rPr>
        <w:noBreakHyphen/>
        <w:t xml:space="preserve"> og alderskombinationer, der ikke er anført i doseringstabellen.</w:t>
      </w:r>
    </w:p>
    <w:p w14:paraId="6050FA99" w14:textId="77777777" w:rsidR="00A76826" w:rsidRPr="004714C6" w:rsidRDefault="00A76826" w:rsidP="00A76826">
      <w:pPr>
        <w:widowControl w:val="0"/>
        <w:autoSpaceDE w:val="0"/>
        <w:autoSpaceDN w:val="0"/>
        <w:adjustRightInd w:val="0"/>
        <w:spacing w:line="246" w:lineRule="exact"/>
        <w:ind w:right="-20"/>
        <w:rPr>
          <w:sz w:val="24"/>
          <w:szCs w:val="24"/>
        </w:rPr>
      </w:pPr>
    </w:p>
    <w:p w14:paraId="1DAABA64" w14:textId="77777777" w:rsidR="00A76826" w:rsidRPr="004714C6" w:rsidRDefault="00A76826" w:rsidP="00A76826">
      <w:pPr>
        <w:tabs>
          <w:tab w:val="left" w:pos="1100"/>
        </w:tabs>
        <w:ind w:left="1100" w:right="314" w:hanging="1100"/>
        <w:rPr>
          <w:sz w:val="24"/>
          <w:szCs w:val="24"/>
        </w:rPr>
      </w:pPr>
      <w:r w:rsidRPr="004714C6">
        <w:rPr>
          <w:b/>
          <w:bCs/>
          <w:sz w:val="24"/>
          <w:szCs w:val="24"/>
        </w:rPr>
        <w:t>Tabel 4:</w:t>
      </w:r>
      <w:r w:rsidRPr="004714C6">
        <w:rPr>
          <w:b/>
          <w:bCs/>
          <w:sz w:val="24"/>
          <w:szCs w:val="24"/>
        </w:rPr>
        <w:tab/>
        <w:t>Enkeltdosis og samlet daglig dosis dabigatranetexilat i milligram (mg) efter patientens vægt i kilo (kg) og alder i år</w:t>
      </w:r>
    </w:p>
    <w:p w14:paraId="39BD5D01" w14:textId="77777777" w:rsidR="00A76826" w:rsidRPr="004714C6" w:rsidRDefault="00A76826" w:rsidP="00A76826">
      <w:pPr>
        <w:spacing w:before="10" w:line="240" w:lineRule="exact"/>
        <w:rPr>
          <w:sz w:val="24"/>
          <w:szCs w:val="24"/>
        </w:rPr>
      </w:pPr>
    </w:p>
    <w:tbl>
      <w:tblPr>
        <w:tblW w:w="5000" w:type="pct"/>
        <w:tblCellMar>
          <w:left w:w="0" w:type="dxa"/>
          <w:right w:w="0" w:type="dxa"/>
        </w:tblCellMar>
        <w:tblLook w:val="01E0" w:firstRow="1" w:lastRow="1" w:firstColumn="1" w:lastColumn="1" w:noHBand="0" w:noVBand="0"/>
      </w:tblPr>
      <w:tblGrid>
        <w:gridCol w:w="2407"/>
        <w:gridCol w:w="2407"/>
        <w:gridCol w:w="2407"/>
        <w:gridCol w:w="2407"/>
      </w:tblGrid>
      <w:tr w:rsidR="00A76826" w:rsidRPr="004714C6" w14:paraId="73384D6E" w14:textId="77777777" w:rsidTr="00647CA7">
        <w:trPr>
          <w:trHeight w:val="339"/>
        </w:trPr>
        <w:tc>
          <w:tcPr>
            <w:tcW w:w="2500" w:type="pct"/>
            <w:gridSpan w:val="2"/>
            <w:tcBorders>
              <w:top w:val="single" w:sz="4" w:space="0" w:color="000000"/>
              <w:left w:val="single" w:sz="4" w:space="0" w:color="000000"/>
              <w:bottom w:val="single" w:sz="4" w:space="0" w:color="000000"/>
              <w:right w:val="single" w:sz="4" w:space="0" w:color="000000"/>
            </w:tcBorders>
            <w:hideMark/>
          </w:tcPr>
          <w:p w14:paraId="30A5BE90" w14:textId="77777777" w:rsidR="00A76826" w:rsidRPr="004714C6" w:rsidRDefault="00A76826">
            <w:pPr>
              <w:spacing w:line="251" w:lineRule="exact"/>
              <w:ind w:left="1041" w:right="-20"/>
              <w:rPr>
                <w:kern w:val="2"/>
                <w:sz w:val="24"/>
                <w:szCs w:val="24"/>
                <w14:ligatures w14:val="standardContextual"/>
              </w:rPr>
            </w:pPr>
            <w:r w:rsidRPr="004714C6">
              <w:rPr>
                <w:b/>
                <w:bCs/>
                <w:kern w:val="2"/>
                <w:sz w:val="24"/>
                <w:szCs w:val="24"/>
                <w14:ligatures w14:val="standardContextual"/>
              </w:rPr>
              <w:t>Vægt</w:t>
            </w:r>
            <w:r w:rsidRPr="004714C6">
              <w:rPr>
                <w:b/>
                <w:bCs/>
                <w:kern w:val="2"/>
                <w:sz w:val="24"/>
                <w:szCs w:val="24"/>
                <w14:ligatures w14:val="standardContextual"/>
              </w:rPr>
              <w:noBreakHyphen/>
              <w:t>/alderskombinationer</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618C73ED" w14:textId="77777777" w:rsidR="00A76826" w:rsidRPr="004714C6" w:rsidRDefault="00A76826">
            <w:pPr>
              <w:spacing w:line="251" w:lineRule="exact"/>
              <w:ind w:left="565" w:right="548"/>
              <w:rPr>
                <w:kern w:val="2"/>
                <w:sz w:val="24"/>
                <w:szCs w:val="24"/>
                <w14:ligatures w14:val="standardContextual"/>
              </w:rPr>
            </w:pPr>
            <w:r w:rsidRPr="004714C6">
              <w:rPr>
                <w:b/>
                <w:bCs/>
                <w:kern w:val="2"/>
                <w:sz w:val="24"/>
                <w:szCs w:val="24"/>
                <w14:ligatures w14:val="standardContextual"/>
              </w:rPr>
              <w:t>Enkeltdosis</w:t>
            </w:r>
          </w:p>
          <w:p w14:paraId="64482E3A" w14:textId="77777777" w:rsidR="00A76826" w:rsidRPr="004714C6" w:rsidRDefault="00A76826">
            <w:pPr>
              <w:spacing w:before="1" w:line="256" w:lineRule="auto"/>
              <w:ind w:left="822" w:right="804"/>
              <w:rPr>
                <w:kern w:val="2"/>
                <w:sz w:val="24"/>
                <w:szCs w:val="24"/>
                <w14:ligatures w14:val="standardContextual"/>
              </w:rPr>
            </w:pPr>
            <w:r w:rsidRPr="004714C6">
              <w:rPr>
                <w:b/>
                <w:bCs/>
                <w:kern w:val="2"/>
                <w:sz w:val="24"/>
                <w:szCs w:val="24"/>
                <w14:ligatures w14:val="standardContextual"/>
              </w:rPr>
              <w:t>i mg</w:t>
            </w:r>
          </w:p>
        </w:tc>
        <w:tc>
          <w:tcPr>
            <w:tcW w:w="1250" w:type="pct"/>
            <w:vMerge w:val="restart"/>
            <w:tcBorders>
              <w:top w:val="single" w:sz="4" w:space="0" w:color="000000"/>
              <w:left w:val="single" w:sz="4" w:space="0" w:color="000000"/>
              <w:bottom w:val="single" w:sz="4" w:space="0" w:color="000000"/>
              <w:right w:val="single" w:sz="4" w:space="0" w:color="000000"/>
            </w:tcBorders>
            <w:hideMark/>
          </w:tcPr>
          <w:p w14:paraId="40224CD3" w14:textId="77777777" w:rsidR="00A76826" w:rsidRPr="004714C6" w:rsidRDefault="00A76826">
            <w:pPr>
              <w:spacing w:line="251" w:lineRule="exact"/>
              <w:ind w:right="327"/>
              <w:jc w:val="center"/>
              <w:rPr>
                <w:kern w:val="2"/>
                <w:sz w:val="24"/>
                <w:szCs w:val="24"/>
                <w14:ligatures w14:val="standardContextual"/>
              </w:rPr>
            </w:pPr>
            <w:r w:rsidRPr="004714C6">
              <w:rPr>
                <w:b/>
                <w:bCs/>
                <w:kern w:val="2"/>
                <w:sz w:val="24"/>
                <w:szCs w:val="24"/>
                <w14:ligatures w14:val="standardContextual"/>
              </w:rPr>
              <w:t>Samlet daglig dosis</w:t>
            </w:r>
          </w:p>
          <w:p w14:paraId="7EEA07C0" w14:textId="77777777" w:rsidR="00A76826" w:rsidRPr="004714C6" w:rsidRDefault="00A76826">
            <w:pPr>
              <w:spacing w:line="251" w:lineRule="exact"/>
              <w:ind w:right="327"/>
              <w:jc w:val="center"/>
              <w:rPr>
                <w:kern w:val="2"/>
                <w:sz w:val="24"/>
                <w:szCs w:val="24"/>
                <w14:ligatures w14:val="standardContextual"/>
              </w:rPr>
            </w:pPr>
            <w:r w:rsidRPr="004714C6">
              <w:rPr>
                <w:b/>
                <w:bCs/>
                <w:kern w:val="2"/>
                <w:sz w:val="24"/>
                <w:szCs w:val="24"/>
                <w14:ligatures w14:val="standardContextual"/>
              </w:rPr>
              <w:t>i mg</w:t>
            </w:r>
          </w:p>
        </w:tc>
      </w:tr>
      <w:tr w:rsidR="00A76826" w:rsidRPr="004714C6" w14:paraId="16501E80" w14:textId="77777777" w:rsidTr="00647CA7">
        <w:trPr>
          <w:trHeight w:hRule="exact" w:val="273"/>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51FF5864" w14:textId="77777777" w:rsidR="00A76826" w:rsidRPr="004714C6" w:rsidRDefault="00A76826">
            <w:pPr>
              <w:spacing w:line="250" w:lineRule="exact"/>
              <w:ind w:left="102" w:right="-20"/>
              <w:rPr>
                <w:kern w:val="2"/>
                <w:sz w:val="24"/>
                <w:szCs w:val="24"/>
                <w14:ligatures w14:val="standardContextual"/>
              </w:rPr>
            </w:pPr>
            <w:r w:rsidRPr="004714C6">
              <w:rPr>
                <w:b/>
                <w:bCs/>
                <w:kern w:val="2"/>
                <w:sz w:val="24"/>
                <w:szCs w:val="24"/>
                <w14:ligatures w14:val="standardContextual"/>
              </w:rPr>
              <w:t>Vægt i kg</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BEECFAA" w14:textId="77777777" w:rsidR="00A76826" w:rsidRPr="004714C6" w:rsidRDefault="00A76826">
            <w:pPr>
              <w:spacing w:line="250" w:lineRule="exact"/>
              <w:ind w:left="102" w:right="-20"/>
              <w:rPr>
                <w:kern w:val="2"/>
                <w:sz w:val="24"/>
                <w:szCs w:val="24"/>
                <w14:ligatures w14:val="standardContextual"/>
              </w:rPr>
            </w:pPr>
            <w:r w:rsidRPr="004714C6">
              <w:rPr>
                <w:b/>
                <w:bCs/>
                <w:kern w:val="2"/>
                <w:sz w:val="24"/>
                <w:szCs w:val="24"/>
                <w14:ligatures w14:val="standardContextual"/>
              </w:rPr>
              <w:t>Alder i år</w:t>
            </w: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23A196B5" w14:textId="77777777" w:rsidR="00A76826" w:rsidRPr="004714C6" w:rsidRDefault="00A76826">
            <w:pPr>
              <w:spacing w:line="256" w:lineRule="auto"/>
              <w:rPr>
                <w:kern w:val="2"/>
                <w:sz w:val="24"/>
                <w:szCs w:val="24"/>
                <w14:ligatures w14:val="standardContextual"/>
              </w:rPr>
            </w:pPr>
          </w:p>
        </w:tc>
        <w:tc>
          <w:tcPr>
            <w:tcW w:w="1250" w:type="pct"/>
            <w:vMerge/>
            <w:tcBorders>
              <w:top w:val="single" w:sz="4" w:space="0" w:color="000000"/>
              <w:left w:val="single" w:sz="4" w:space="0" w:color="000000"/>
              <w:bottom w:val="single" w:sz="4" w:space="0" w:color="000000"/>
              <w:right w:val="single" w:sz="4" w:space="0" w:color="000000"/>
            </w:tcBorders>
            <w:vAlign w:val="center"/>
            <w:hideMark/>
          </w:tcPr>
          <w:p w14:paraId="091F7174" w14:textId="77777777" w:rsidR="00A76826" w:rsidRPr="004714C6" w:rsidRDefault="00A76826">
            <w:pPr>
              <w:spacing w:line="256" w:lineRule="auto"/>
              <w:rPr>
                <w:kern w:val="2"/>
                <w:sz w:val="24"/>
                <w:szCs w:val="24"/>
                <w14:ligatures w14:val="standardContextual"/>
              </w:rPr>
            </w:pPr>
          </w:p>
        </w:tc>
      </w:tr>
      <w:tr w:rsidR="00A76826" w:rsidRPr="004714C6" w14:paraId="7663A96C" w14:textId="77777777" w:rsidTr="00647CA7">
        <w:trPr>
          <w:trHeight w:hRule="exact" w:val="264"/>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1AAEC030" w14:textId="77777777" w:rsidR="00A76826" w:rsidRPr="004714C6" w:rsidRDefault="00A76826">
            <w:pPr>
              <w:spacing w:line="248" w:lineRule="exact"/>
              <w:ind w:left="102" w:right="-20"/>
              <w:rPr>
                <w:kern w:val="2"/>
                <w:sz w:val="24"/>
                <w:szCs w:val="24"/>
                <w14:ligatures w14:val="standardContextual"/>
              </w:rPr>
            </w:pPr>
            <w:r w:rsidRPr="004714C6">
              <w:rPr>
                <w:kern w:val="2"/>
                <w:sz w:val="24"/>
                <w:szCs w:val="24"/>
                <w14:ligatures w14:val="standardContextual"/>
              </w:rPr>
              <w:t xml:space="preserve">11 til </w:t>
            </w:r>
            <w:r w:rsidRPr="004714C6">
              <w:rPr>
                <w:spacing w:val="-1"/>
                <w:kern w:val="2"/>
                <w:sz w:val="24"/>
                <w:szCs w:val="24"/>
                <w14:ligatures w14:val="standardContextual"/>
              </w:rPr>
              <w:t>&lt; 13</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D0FA0F1" w14:textId="77777777" w:rsidR="00A76826" w:rsidRPr="004714C6" w:rsidRDefault="00A76826">
            <w:pPr>
              <w:spacing w:line="248" w:lineRule="exact"/>
              <w:ind w:left="102" w:right="-20"/>
              <w:rPr>
                <w:kern w:val="2"/>
                <w:sz w:val="24"/>
                <w:szCs w:val="24"/>
                <w14:ligatures w14:val="standardContextual"/>
              </w:rPr>
            </w:pPr>
            <w:r w:rsidRPr="004714C6">
              <w:rPr>
                <w:kern w:val="2"/>
                <w:sz w:val="24"/>
                <w:szCs w:val="24"/>
                <w14:ligatures w14:val="standardContextual"/>
              </w:rPr>
              <w:t>8 til &lt; 9</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B9E1D89" w14:textId="77777777" w:rsidR="00A76826" w:rsidRPr="004714C6" w:rsidRDefault="00A76826">
            <w:pPr>
              <w:spacing w:line="248" w:lineRule="exact"/>
              <w:ind w:left="978" w:right="962"/>
              <w:rPr>
                <w:kern w:val="2"/>
                <w:sz w:val="24"/>
                <w:szCs w:val="24"/>
                <w14:ligatures w14:val="standardContextual"/>
              </w:rPr>
            </w:pPr>
            <w:r w:rsidRPr="004714C6">
              <w:rPr>
                <w:kern w:val="2"/>
                <w:sz w:val="24"/>
                <w:szCs w:val="24"/>
                <w14:ligatures w14:val="standardContextual"/>
              </w:rPr>
              <w:t>75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BDFDE66" w14:textId="77777777" w:rsidR="00A76826" w:rsidRPr="004714C6" w:rsidRDefault="00A76826">
            <w:pPr>
              <w:spacing w:line="248" w:lineRule="exact"/>
              <w:ind w:left="922" w:right="907"/>
              <w:rPr>
                <w:kern w:val="2"/>
                <w:sz w:val="24"/>
                <w:szCs w:val="24"/>
                <w14:ligatures w14:val="standardContextual"/>
              </w:rPr>
            </w:pPr>
            <w:r w:rsidRPr="004714C6">
              <w:rPr>
                <w:kern w:val="2"/>
                <w:sz w:val="24"/>
                <w:szCs w:val="24"/>
                <w14:ligatures w14:val="standardContextual"/>
              </w:rPr>
              <w:t>150</w:t>
            </w:r>
          </w:p>
        </w:tc>
      </w:tr>
      <w:tr w:rsidR="00A76826" w:rsidRPr="004714C6" w14:paraId="2EBDF8B6" w14:textId="77777777" w:rsidTr="00647CA7">
        <w:trPr>
          <w:trHeight w:hRule="exact" w:val="264"/>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6867812E"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13 til &lt; 16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5D39FBE"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8 til &lt; 11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2A43AA8"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16AF175"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220</w:t>
            </w:r>
          </w:p>
        </w:tc>
      </w:tr>
      <w:tr w:rsidR="00A76826" w:rsidRPr="004714C6" w14:paraId="7838F26D" w14:textId="77777777" w:rsidTr="00647CA7">
        <w:trPr>
          <w:trHeight w:hRule="exact" w:val="262"/>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48FB3B8D"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16 til &lt; 21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9287D77"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8 til &lt; 14</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16237FD"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110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00AC51E"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220</w:t>
            </w:r>
          </w:p>
        </w:tc>
      </w:tr>
      <w:tr w:rsidR="00A76826" w:rsidRPr="004714C6" w14:paraId="26181688" w14:textId="77777777" w:rsidTr="00647CA7">
        <w:trPr>
          <w:trHeight w:hRule="exact" w:val="264"/>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3BB93A55"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21 til &lt; 26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BFF96BC"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8 til &lt; 16</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7468B8E"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8649795"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300</w:t>
            </w:r>
          </w:p>
        </w:tc>
      </w:tr>
      <w:tr w:rsidR="00A76826" w:rsidRPr="004714C6" w14:paraId="0912908A" w14:textId="77777777" w:rsidTr="00647CA7">
        <w:trPr>
          <w:trHeight w:hRule="exact" w:val="262"/>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05252C5D"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26 til &lt; 31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E238DCD"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503DD25"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150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7047AF07"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300</w:t>
            </w:r>
          </w:p>
        </w:tc>
      </w:tr>
      <w:tr w:rsidR="00A76826" w:rsidRPr="004714C6" w14:paraId="1AA50ED3" w14:textId="77777777" w:rsidTr="00647CA7">
        <w:trPr>
          <w:trHeight w:hRule="exact" w:val="264"/>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283FAE50"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31 til &lt; 41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E0F0509"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140F92C"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185</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4A3CABB"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370</w:t>
            </w:r>
          </w:p>
        </w:tc>
      </w:tr>
      <w:tr w:rsidR="00A76826" w:rsidRPr="004714C6" w14:paraId="0F9988EF" w14:textId="77777777" w:rsidTr="00647CA7">
        <w:trPr>
          <w:trHeight w:hRule="exact" w:val="262"/>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4936728B"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41 til &lt; 51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8D519AF"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32472A96"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220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F39986D"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440</w:t>
            </w:r>
          </w:p>
        </w:tc>
      </w:tr>
      <w:tr w:rsidR="00A76826" w:rsidRPr="004714C6" w14:paraId="2C47799C" w14:textId="77777777" w:rsidTr="00647CA7">
        <w:trPr>
          <w:trHeight w:hRule="exact" w:val="264"/>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1026EBB4" w14:textId="77777777" w:rsidR="00A76826" w:rsidRPr="004714C6" w:rsidRDefault="00A76826">
            <w:pPr>
              <w:spacing w:line="248" w:lineRule="exact"/>
              <w:ind w:left="102" w:right="-20"/>
              <w:rPr>
                <w:kern w:val="2"/>
                <w:sz w:val="24"/>
                <w:szCs w:val="24"/>
                <w14:ligatures w14:val="standardContextual"/>
              </w:rPr>
            </w:pPr>
            <w:r w:rsidRPr="004714C6">
              <w:rPr>
                <w:kern w:val="2"/>
                <w:sz w:val="24"/>
                <w:szCs w:val="24"/>
                <w14:ligatures w14:val="standardContextual"/>
              </w:rPr>
              <w:t>51 til &lt; 61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402D18AE" w14:textId="77777777" w:rsidR="00A76826" w:rsidRPr="004714C6" w:rsidRDefault="00A76826">
            <w:pPr>
              <w:spacing w:line="248" w:lineRule="exact"/>
              <w:ind w:left="102" w:right="-20"/>
              <w:rPr>
                <w:kern w:val="2"/>
                <w:sz w:val="24"/>
                <w:szCs w:val="24"/>
                <w14:ligatures w14:val="standardContextual"/>
              </w:rPr>
            </w:pPr>
            <w:r w:rsidRPr="004714C6">
              <w:rPr>
                <w:kern w:val="2"/>
                <w:sz w:val="24"/>
                <w:szCs w:val="24"/>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D189F35" w14:textId="77777777" w:rsidR="00A76826" w:rsidRPr="004714C6" w:rsidRDefault="00A76826">
            <w:pPr>
              <w:spacing w:line="248" w:lineRule="exact"/>
              <w:ind w:left="922" w:right="907"/>
              <w:rPr>
                <w:kern w:val="2"/>
                <w:sz w:val="24"/>
                <w:szCs w:val="24"/>
                <w14:ligatures w14:val="standardContextual"/>
              </w:rPr>
            </w:pPr>
            <w:r w:rsidRPr="004714C6">
              <w:rPr>
                <w:kern w:val="2"/>
                <w:sz w:val="24"/>
                <w:szCs w:val="24"/>
                <w14:ligatures w14:val="standardContextual"/>
              </w:rPr>
              <w:t>260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4A07F7B" w14:textId="77777777" w:rsidR="00A76826" w:rsidRPr="004714C6" w:rsidRDefault="00A76826">
            <w:pPr>
              <w:spacing w:line="248" w:lineRule="exact"/>
              <w:ind w:left="922" w:right="907"/>
              <w:rPr>
                <w:kern w:val="2"/>
                <w:sz w:val="24"/>
                <w:szCs w:val="24"/>
                <w14:ligatures w14:val="standardContextual"/>
              </w:rPr>
            </w:pPr>
            <w:r w:rsidRPr="004714C6">
              <w:rPr>
                <w:kern w:val="2"/>
                <w:sz w:val="24"/>
                <w:szCs w:val="24"/>
                <w14:ligatures w14:val="standardContextual"/>
              </w:rPr>
              <w:t>520</w:t>
            </w:r>
          </w:p>
        </w:tc>
      </w:tr>
      <w:tr w:rsidR="00A76826" w:rsidRPr="004714C6" w14:paraId="149E0A79" w14:textId="77777777" w:rsidTr="00647CA7">
        <w:trPr>
          <w:trHeight w:hRule="exact" w:val="264"/>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4D112D0A"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61 til &lt; 71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6F9AA88"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30FEB56"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4C42A78"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600</w:t>
            </w:r>
          </w:p>
        </w:tc>
      </w:tr>
      <w:tr w:rsidR="00A76826" w:rsidRPr="004714C6" w14:paraId="3C43F3F4" w14:textId="77777777" w:rsidTr="00647CA7">
        <w:trPr>
          <w:trHeight w:hRule="exact" w:val="262"/>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0E04855F"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71 til &lt; 81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5E7D56F1"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8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097D35B1"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3818E7C"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600</w:t>
            </w:r>
          </w:p>
        </w:tc>
      </w:tr>
      <w:tr w:rsidR="00A76826" w:rsidRPr="004714C6" w14:paraId="26EE1E4E" w14:textId="77777777" w:rsidTr="00647CA7">
        <w:trPr>
          <w:trHeight w:hRule="exact" w:val="264"/>
        </w:trPr>
        <w:tc>
          <w:tcPr>
            <w:tcW w:w="1250" w:type="pct"/>
            <w:tcBorders>
              <w:top w:val="single" w:sz="4" w:space="0" w:color="000000"/>
              <w:left w:val="single" w:sz="4" w:space="0" w:color="000000"/>
              <w:bottom w:val="single" w:sz="4" w:space="0" w:color="000000"/>
              <w:right w:val="single" w:sz="4" w:space="0" w:color="000000"/>
            </w:tcBorders>
            <w:vAlign w:val="center"/>
            <w:hideMark/>
          </w:tcPr>
          <w:p w14:paraId="15F2A75E"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&gt; 81</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190B7ED1" w14:textId="77777777" w:rsidR="00A76826" w:rsidRPr="004714C6" w:rsidRDefault="00A76826">
            <w:pPr>
              <w:spacing w:line="246" w:lineRule="exact"/>
              <w:ind w:left="102" w:right="-20"/>
              <w:rPr>
                <w:kern w:val="2"/>
                <w:sz w:val="24"/>
                <w:szCs w:val="24"/>
                <w14:ligatures w14:val="standardContextual"/>
              </w:rPr>
            </w:pPr>
            <w:r w:rsidRPr="004714C6">
              <w:rPr>
                <w:kern w:val="2"/>
                <w:sz w:val="24"/>
                <w:szCs w:val="24"/>
                <w14:ligatures w14:val="standardContextual"/>
              </w:rPr>
              <w:t>10 til &lt; 18</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690CDE35"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300</w:t>
            </w:r>
          </w:p>
        </w:tc>
        <w:tc>
          <w:tcPr>
            <w:tcW w:w="1250" w:type="pct"/>
            <w:tcBorders>
              <w:top w:val="single" w:sz="4" w:space="0" w:color="000000"/>
              <w:left w:val="single" w:sz="4" w:space="0" w:color="000000"/>
              <w:bottom w:val="single" w:sz="4" w:space="0" w:color="000000"/>
              <w:right w:val="single" w:sz="4" w:space="0" w:color="000000"/>
            </w:tcBorders>
            <w:vAlign w:val="center"/>
            <w:hideMark/>
          </w:tcPr>
          <w:p w14:paraId="2DB57FA1" w14:textId="77777777" w:rsidR="00A76826" w:rsidRPr="004714C6" w:rsidRDefault="00A76826">
            <w:pPr>
              <w:spacing w:line="246" w:lineRule="exact"/>
              <w:ind w:left="922" w:right="907"/>
              <w:rPr>
                <w:kern w:val="2"/>
                <w:sz w:val="24"/>
                <w:szCs w:val="24"/>
                <w14:ligatures w14:val="standardContextual"/>
              </w:rPr>
            </w:pPr>
            <w:r w:rsidRPr="004714C6">
              <w:rPr>
                <w:kern w:val="2"/>
                <w:sz w:val="24"/>
                <w:szCs w:val="24"/>
                <w14:ligatures w14:val="standardContextual"/>
              </w:rPr>
              <w:t>600</w:t>
            </w:r>
          </w:p>
        </w:tc>
      </w:tr>
    </w:tbl>
    <w:p w14:paraId="0D3D5FD6" w14:textId="77777777" w:rsidR="0072235D" w:rsidRPr="004714C6" w:rsidRDefault="0072235D" w:rsidP="00647CA7">
      <w:pPr>
        <w:ind w:left="851"/>
        <w:rPr>
          <w:sz w:val="24"/>
          <w:szCs w:val="24"/>
        </w:rPr>
      </w:pPr>
    </w:p>
    <w:p w14:paraId="180D4F82" w14:textId="3F0DBDF6" w:rsidR="00A76826" w:rsidRPr="004714C6" w:rsidRDefault="00A76826" w:rsidP="00647CA7">
      <w:pPr>
        <w:ind w:left="851"/>
        <w:rPr>
          <w:sz w:val="24"/>
          <w:szCs w:val="24"/>
        </w:rPr>
      </w:pPr>
      <w:r w:rsidRPr="004714C6">
        <w:rPr>
          <w:sz w:val="24"/>
          <w:szCs w:val="24"/>
        </w:rPr>
        <w:t>Enkeltdoser, der kræver kombinationer af flere end én kapsel:</w:t>
      </w:r>
    </w:p>
    <w:p w14:paraId="51AFF868" w14:textId="77777777" w:rsidR="00A76826" w:rsidRPr="004714C6" w:rsidRDefault="00A76826" w:rsidP="00647CA7">
      <w:pPr>
        <w:ind w:left="851"/>
        <w:rPr>
          <w:sz w:val="24"/>
          <w:szCs w:val="24"/>
        </w:rPr>
      </w:pPr>
      <w:r w:rsidRPr="004714C6">
        <w:rPr>
          <w:sz w:val="24"/>
          <w:szCs w:val="24"/>
        </w:rPr>
        <w:t>300 mg:</w:t>
      </w:r>
      <w:r w:rsidRPr="004714C6">
        <w:rPr>
          <w:sz w:val="24"/>
          <w:szCs w:val="24"/>
        </w:rPr>
        <w:tab/>
        <w:t xml:space="preserve">to 150 mg kapsler eller </w:t>
      </w:r>
    </w:p>
    <w:p w14:paraId="66D980E0" w14:textId="06924394" w:rsidR="00A76826" w:rsidRPr="004714C6" w:rsidRDefault="00A76826" w:rsidP="00647CA7">
      <w:pPr>
        <w:ind w:left="851"/>
        <w:rPr>
          <w:sz w:val="24"/>
          <w:szCs w:val="24"/>
        </w:rPr>
      </w:pPr>
      <w:r w:rsidRPr="004714C6">
        <w:rPr>
          <w:sz w:val="24"/>
          <w:szCs w:val="24"/>
        </w:rPr>
        <w:tab/>
      </w:r>
      <w:r w:rsidR="0072235D" w:rsidRPr="004714C6">
        <w:rPr>
          <w:sz w:val="24"/>
          <w:szCs w:val="24"/>
        </w:rPr>
        <w:tab/>
      </w:r>
      <w:r w:rsidRPr="004714C6">
        <w:rPr>
          <w:sz w:val="24"/>
          <w:szCs w:val="24"/>
        </w:rPr>
        <w:t>fire 75 mg kapsler</w:t>
      </w:r>
    </w:p>
    <w:p w14:paraId="4131FC13" w14:textId="77777777" w:rsidR="00A76826" w:rsidRPr="004714C6" w:rsidRDefault="00A76826" w:rsidP="00647CA7">
      <w:pPr>
        <w:ind w:left="851"/>
        <w:rPr>
          <w:sz w:val="24"/>
          <w:szCs w:val="24"/>
        </w:rPr>
      </w:pPr>
      <w:r w:rsidRPr="004714C6">
        <w:rPr>
          <w:sz w:val="24"/>
          <w:szCs w:val="24"/>
        </w:rPr>
        <w:t>260 mg:</w:t>
      </w:r>
      <w:r w:rsidRPr="004714C6">
        <w:rPr>
          <w:sz w:val="24"/>
          <w:szCs w:val="24"/>
        </w:rPr>
        <w:tab/>
        <w:t>én 110 mg plus én 150 mg kapsel eller</w:t>
      </w:r>
    </w:p>
    <w:p w14:paraId="35A0318E" w14:textId="34372609" w:rsidR="00A76826" w:rsidRPr="004714C6" w:rsidRDefault="00A76826" w:rsidP="00647CA7">
      <w:pPr>
        <w:ind w:left="851"/>
        <w:rPr>
          <w:sz w:val="24"/>
          <w:szCs w:val="24"/>
        </w:rPr>
      </w:pPr>
      <w:r w:rsidRPr="004714C6">
        <w:rPr>
          <w:sz w:val="24"/>
          <w:szCs w:val="24"/>
        </w:rPr>
        <w:tab/>
      </w:r>
      <w:r w:rsidR="0072235D" w:rsidRPr="004714C6">
        <w:rPr>
          <w:sz w:val="24"/>
          <w:szCs w:val="24"/>
        </w:rPr>
        <w:tab/>
      </w:r>
      <w:r w:rsidRPr="004714C6">
        <w:rPr>
          <w:sz w:val="24"/>
          <w:szCs w:val="24"/>
        </w:rPr>
        <w:t>én 110 mg plus to 75 mg kapsler</w:t>
      </w:r>
    </w:p>
    <w:p w14:paraId="5D99E775" w14:textId="77777777" w:rsidR="00A76826" w:rsidRPr="004714C6" w:rsidRDefault="00A76826" w:rsidP="00647CA7">
      <w:pPr>
        <w:ind w:left="851"/>
        <w:rPr>
          <w:sz w:val="24"/>
          <w:szCs w:val="24"/>
        </w:rPr>
      </w:pPr>
      <w:r w:rsidRPr="004714C6">
        <w:rPr>
          <w:sz w:val="24"/>
          <w:szCs w:val="24"/>
        </w:rPr>
        <w:t>220 </w:t>
      </w:r>
      <w:r w:rsidRPr="004714C6">
        <w:rPr>
          <w:spacing w:val="-1"/>
          <w:sz w:val="24"/>
          <w:szCs w:val="24"/>
        </w:rPr>
        <w:t>mg</w:t>
      </w:r>
      <w:r w:rsidRPr="004714C6">
        <w:rPr>
          <w:sz w:val="24"/>
          <w:szCs w:val="24"/>
        </w:rPr>
        <w:t>:</w:t>
      </w:r>
      <w:r w:rsidRPr="004714C6">
        <w:rPr>
          <w:sz w:val="24"/>
          <w:szCs w:val="24"/>
        </w:rPr>
        <w:tab/>
        <w:t>to 110 mg kapsler</w:t>
      </w:r>
    </w:p>
    <w:p w14:paraId="7451494B" w14:textId="77777777" w:rsidR="00A76826" w:rsidRPr="004714C6" w:rsidRDefault="00A76826" w:rsidP="00647CA7">
      <w:pPr>
        <w:ind w:left="851"/>
        <w:rPr>
          <w:sz w:val="24"/>
          <w:szCs w:val="24"/>
        </w:rPr>
      </w:pPr>
      <w:r w:rsidRPr="004714C6">
        <w:rPr>
          <w:sz w:val="24"/>
          <w:szCs w:val="24"/>
        </w:rPr>
        <w:t>185 </w:t>
      </w:r>
      <w:r w:rsidRPr="004714C6">
        <w:rPr>
          <w:spacing w:val="-1"/>
          <w:sz w:val="24"/>
          <w:szCs w:val="24"/>
        </w:rPr>
        <w:t>mg</w:t>
      </w:r>
      <w:r w:rsidRPr="004714C6">
        <w:rPr>
          <w:sz w:val="24"/>
          <w:szCs w:val="24"/>
        </w:rPr>
        <w:t>:</w:t>
      </w:r>
      <w:r w:rsidRPr="004714C6">
        <w:rPr>
          <w:sz w:val="24"/>
          <w:szCs w:val="24"/>
        </w:rPr>
        <w:tab/>
        <w:t>én 75 mg plus én 110 mg kapsel</w:t>
      </w:r>
    </w:p>
    <w:p w14:paraId="6D75C19F" w14:textId="77777777" w:rsidR="00A76826" w:rsidRPr="004714C6" w:rsidRDefault="00A76826" w:rsidP="00647CA7">
      <w:pPr>
        <w:ind w:left="851"/>
        <w:rPr>
          <w:sz w:val="24"/>
          <w:szCs w:val="24"/>
        </w:rPr>
      </w:pPr>
      <w:r w:rsidRPr="004714C6">
        <w:rPr>
          <w:sz w:val="24"/>
          <w:szCs w:val="24"/>
        </w:rPr>
        <w:t>150 mg:</w:t>
      </w:r>
      <w:r w:rsidRPr="004714C6">
        <w:rPr>
          <w:sz w:val="24"/>
          <w:szCs w:val="24"/>
        </w:rPr>
        <w:tab/>
        <w:t>én 150 mg kapsel eller</w:t>
      </w:r>
    </w:p>
    <w:p w14:paraId="5991E8DF" w14:textId="42BAF39F" w:rsidR="00A76826" w:rsidRPr="004714C6" w:rsidRDefault="00A76826" w:rsidP="00647CA7">
      <w:pPr>
        <w:ind w:left="851"/>
        <w:rPr>
          <w:sz w:val="24"/>
          <w:szCs w:val="24"/>
        </w:rPr>
      </w:pPr>
      <w:r w:rsidRPr="004714C6">
        <w:rPr>
          <w:sz w:val="24"/>
          <w:szCs w:val="24"/>
        </w:rPr>
        <w:tab/>
      </w:r>
      <w:r w:rsidR="0072235D" w:rsidRPr="004714C6">
        <w:rPr>
          <w:sz w:val="24"/>
          <w:szCs w:val="24"/>
        </w:rPr>
        <w:tab/>
      </w:r>
      <w:r w:rsidRPr="004714C6">
        <w:rPr>
          <w:sz w:val="24"/>
          <w:szCs w:val="24"/>
        </w:rPr>
        <w:t>to 75 mg kapsler</w:t>
      </w:r>
    </w:p>
    <w:p w14:paraId="4D9F9372" w14:textId="77777777" w:rsidR="00A76826" w:rsidRPr="004714C6" w:rsidRDefault="00A76826" w:rsidP="00647CA7">
      <w:pPr>
        <w:ind w:left="851"/>
        <w:rPr>
          <w:sz w:val="24"/>
          <w:szCs w:val="24"/>
        </w:rPr>
      </w:pPr>
    </w:p>
    <w:p w14:paraId="7DE84D7C" w14:textId="77777777" w:rsidR="00A76826" w:rsidRPr="004714C6" w:rsidRDefault="00A76826" w:rsidP="00647CA7">
      <w:pPr>
        <w:ind w:left="851"/>
        <w:rPr>
          <w:i/>
          <w:iCs/>
          <w:sz w:val="24"/>
          <w:szCs w:val="24"/>
          <w:u w:val="single"/>
        </w:rPr>
      </w:pPr>
      <w:r w:rsidRPr="004714C6">
        <w:rPr>
          <w:i/>
          <w:iCs/>
          <w:sz w:val="24"/>
          <w:szCs w:val="24"/>
          <w:u w:val="single"/>
        </w:rPr>
        <w:t>Vurdering af nyrefunktionen før og under behandling</w:t>
      </w:r>
    </w:p>
    <w:p w14:paraId="53F17C6A" w14:textId="77777777" w:rsidR="00A76826" w:rsidRPr="004714C6" w:rsidRDefault="00A76826" w:rsidP="00647CA7">
      <w:pPr>
        <w:ind w:left="851"/>
        <w:rPr>
          <w:sz w:val="24"/>
          <w:szCs w:val="24"/>
        </w:rPr>
      </w:pPr>
    </w:p>
    <w:p w14:paraId="723EDDC6" w14:textId="77777777" w:rsidR="00A76826" w:rsidRPr="004714C6" w:rsidRDefault="00A76826" w:rsidP="00647CA7">
      <w:pPr>
        <w:ind w:left="851"/>
        <w:rPr>
          <w:sz w:val="24"/>
          <w:szCs w:val="24"/>
        </w:rPr>
      </w:pPr>
      <w:r w:rsidRPr="004714C6">
        <w:rPr>
          <w:sz w:val="24"/>
          <w:szCs w:val="24"/>
        </w:rPr>
        <w:t>Før påbegyndelse af behandlingen bør den estimerede glomerulære filtrationshastighed (eGFR) estimeres vha. Schwartz’ formel (metode anvendt til vurdering af kreatinin, som skal kontrolleres af det lokale laboratorium).</w:t>
      </w:r>
    </w:p>
    <w:p w14:paraId="70CEEB04" w14:textId="77777777" w:rsidR="00A76826" w:rsidRPr="004714C6" w:rsidRDefault="00A76826" w:rsidP="00647CA7">
      <w:pPr>
        <w:ind w:left="851"/>
        <w:rPr>
          <w:sz w:val="24"/>
          <w:szCs w:val="24"/>
        </w:rPr>
      </w:pPr>
    </w:p>
    <w:p w14:paraId="4D1ADC7B" w14:textId="77777777" w:rsidR="00A76826" w:rsidRPr="004714C6" w:rsidRDefault="00A76826" w:rsidP="00647CA7">
      <w:pPr>
        <w:ind w:left="851"/>
        <w:rPr>
          <w:sz w:val="24"/>
          <w:szCs w:val="24"/>
        </w:rPr>
      </w:pPr>
      <w:r w:rsidRPr="004714C6">
        <w:rPr>
          <w:sz w:val="24"/>
          <w:szCs w:val="24"/>
        </w:rPr>
        <w:t>Behandling med dabigatranetexilat er kontraindiceret hos pædiatriske patienter med eGFR &lt; 50 ml/min/1,73 m</w:t>
      </w:r>
      <w:r w:rsidRPr="004714C6">
        <w:rPr>
          <w:sz w:val="24"/>
          <w:szCs w:val="24"/>
          <w:vertAlign w:val="superscript"/>
        </w:rPr>
        <w:t>2</w:t>
      </w:r>
      <w:r w:rsidRPr="004714C6">
        <w:rPr>
          <w:sz w:val="24"/>
          <w:szCs w:val="24"/>
        </w:rPr>
        <w:t xml:space="preserve"> (se pkt. 4.3).</w:t>
      </w:r>
    </w:p>
    <w:p w14:paraId="1A894768" w14:textId="77777777" w:rsidR="00A76826" w:rsidRPr="004714C6" w:rsidRDefault="00A76826" w:rsidP="00647CA7">
      <w:pPr>
        <w:ind w:left="851"/>
        <w:rPr>
          <w:sz w:val="24"/>
          <w:szCs w:val="24"/>
        </w:rPr>
      </w:pPr>
    </w:p>
    <w:p w14:paraId="1F8529C4" w14:textId="77777777" w:rsidR="00A76826" w:rsidRPr="004714C6" w:rsidRDefault="00A76826" w:rsidP="00647CA7">
      <w:pPr>
        <w:ind w:left="851"/>
        <w:rPr>
          <w:sz w:val="24"/>
          <w:szCs w:val="24"/>
        </w:rPr>
      </w:pPr>
      <w:r w:rsidRPr="004714C6">
        <w:rPr>
          <w:sz w:val="24"/>
          <w:szCs w:val="24"/>
        </w:rPr>
        <w:t>Patienter med eGFR ≥ 50 ml/min/1,73 m</w:t>
      </w:r>
      <w:r w:rsidRPr="004714C6">
        <w:rPr>
          <w:sz w:val="24"/>
          <w:szCs w:val="24"/>
          <w:vertAlign w:val="superscript"/>
        </w:rPr>
        <w:t>2</w:t>
      </w:r>
      <w:r w:rsidRPr="004714C6">
        <w:rPr>
          <w:sz w:val="24"/>
          <w:szCs w:val="24"/>
        </w:rPr>
        <w:t xml:space="preserve"> bør behandles med dosen i henhold til tabel 4.</w:t>
      </w:r>
    </w:p>
    <w:p w14:paraId="529FF488" w14:textId="77777777" w:rsidR="00A76826" w:rsidRPr="004714C6" w:rsidRDefault="00A76826" w:rsidP="00647CA7">
      <w:pPr>
        <w:ind w:left="851"/>
        <w:rPr>
          <w:sz w:val="24"/>
          <w:szCs w:val="24"/>
        </w:rPr>
      </w:pPr>
    </w:p>
    <w:p w14:paraId="5D74E550" w14:textId="77777777" w:rsidR="00A76826" w:rsidRPr="004714C6" w:rsidRDefault="00A76826" w:rsidP="00647CA7">
      <w:pPr>
        <w:ind w:left="851"/>
        <w:rPr>
          <w:sz w:val="24"/>
          <w:szCs w:val="24"/>
        </w:rPr>
      </w:pPr>
      <w:r w:rsidRPr="004714C6">
        <w:rPr>
          <w:sz w:val="24"/>
          <w:szCs w:val="24"/>
        </w:rPr>
        <w:t>Under behandlingen bør nyrefunktionen vurderes i visse kliniske situationer, hvis der er formodning om, at der kunne indtræde et fald eller en forringelse i nyrefunktionen (f.eks. hypovolæmi, dehydrering eller ved samtidig behandling med visse lægemidler, osv.).</w:t>
      </w:r>
    </w:p>
    <w:p w14:paraId="688E1B15" w14:textId="77777777" w:rsidR="00A76826" w:rsidRPr="004714C6" w:rsidRDefault="00A76826" w:rsidP="00647CA7">
      <w:pPr>
        <w:ind w:left="851"/>
        <w:rPr>
          <w:sz w:val="24"/>
          <w:szCs w:val="24"/>
        </w:rPr>
      </w:pPr>
    </w:p>
    <w:p w14:paraId="2EB1D97C" w14:textId="77777777" w:rsidR="00A76826" w:rsidRPr="004714C6" w:rsidRDefault="00A76826" w:rsidP="00647CA7">
      <w:pPr>
        <w:ind w:left="851"/>
        <w:rPr>
          <w:i/>
          <w:iCs/>
          <w:sz w:val="24"/>
          <w:szCs w:val="24"/>
          <w:u w:val="single"/>
        </w:rPr>
      </w:pPr>
      <w:r w:rsidRPr="004714C6">
        <w:rPr>
          <w:i/>
          <w:iCs/>
          <w:sz w:val="24"/>
          <w:szCs w:val="24"/>
          <w:u w:val="single"/>
        </w:rPr>
        <w:t>Behandlingsvarighed</w:t>
      </w:r>
    </w:p>
    <w:p w14:paraId="77F13040" w14:textId="77777777" w:rsidR="00A76826" w:rsidRPr="004714C6" w:rsidRDefault="00A76826" w:rsidP="00647CA7">
      <w:pPr>
        <w:ind w:left="851"/>
        <w:rPr>
          <w:sz w:val="24"/>
          <w:szCs w:val="24"/>
        </w:rPr>
      </w:pPr>
    </w:p>
    <w:p w14:paraId="7AD50F04" w14:textId="77777777" w:rsidR="00A76826" w:rsidRPr="004714C6" w:rsidRDefault="00A76826" w:rsidP="00647CA7">
      <w:pPr>
        <w:ind w:left="851"/>
        <w:rPr>
          <w:sz w:val="24"/>
          <w:szCs w:val="24"/>
        </w:rPr>
      </w:pPr>
      <w:r w:rsidRPr="004714C6">
        <w:rPr>
          <w:sz w:val="24"/>
          <w:szCs w:val="24"/>
        </w:rPr>
        <w:t>Behandlingsvarigheden skal individualiseres baseret på benefit/risk</w:t>
      </w:r>
      <w:r w:rsidRPr="004714C6">
        <w:rPr>
          <w:sz w:val="24"/>
          <w:szCs w:val="24"/>
        </w:rPr>
        <w:noBreakHyphen/>
        <w:t>vurderingen.</w:t>
      </w:r>
    </w:p>
    <w:p w14:paraId="5AAE11C0" w14:textId="77777777" w:rsidR="00A76826" w:rsidRPr="004714C6" w:rsidRDefault="00A76826" w:rsidP="00647CA7">
      <w:pPr>
        <w:ind w:left="851"/>
        <w:rPr>
          <w:sz w:val="24"/>
          <w:szCs w:val="24"/>
        </w:rPr>
      </w:pPr>
    </w:p>
    <w:p w14:paraId="62EBD1FB" w14:textId="77777777" w:rsidR="00A76826" w:rsidRPr="004714C6" w:rsidRDefault="00A76826" w:rsidP="00647CA7">
      <w:pPr>
        <w:ind w:left="851"/>
        <w:rPr>
          <w:i/>
          <w:iCs/>
          <w:sz w:val="24"/>
          <w:szCs w:val="24"/>
          <w:u w:val="single"/>
        </w:rPr>
      </w:pPr>
      <w:r w:rsidRPr="004714C6">
        <w:rPr>
          <w:i/>
          <w:iCs/>
          <w:sz w:val="24"/>
          <w:szCs w:val="24"/>
          <w:u w:val="single"/>
        </w:rPr>
        <w:t>Glemt dosis</w:t>
      </w:r>
    </w:p>
    <w:p w14:paraId="0BE38538" w14:textId="77777777" w:rsidR="00A76826" w:rsidRPr="004714C6" w:rsidRDefault="00A76826" w:rsidP="00647CA7">
      <w:pPr>
        <w:ind w:left="851"/>
        <w:rPr>
          <w:sz w:val="24"/>
          <w:szCs w:val="24"/>
        </w:rPr>
      </w:pPr>
    </w:p>
    <w:p w14:paraId="327A7290" w14:textId="77777777" w:rsidR="00A76826" w:rsidRPr="004714C6" w:rsidRDefault="00A76826" w:rsidP="00647CA7">
      <w:pPr>
        <w:ind w:left="851"/>
        <w:rPr>
          <w:sz w:val="24"/>
          <w:szCs w:val="24"/>
        </w:rPr>
      </w:pPr>
      <w:r w:rsidRPr="004714C6">
        <w:rPr>
          <w:sz w:val="24"/>
          <w:szCs w:val="24"/>
        </w:rPr>
        <w:t>En glemt dosis dabigatranetexilat kan tages op til 6 timer før næste planlagte doseringstidspunkt. Fra 6 timer før næste planlagte dosis skal den glemte dosis ikke tages.</w:t>
      </w:r>
    </w:p>
    <w:p w14:paraId="1E89C127" w14:textId="77777777" w:rsidR="00A76826" w:rsidRPr="004714C6" w:rsidRDefault="00A76826" w:rsidP="00647CA7">
      <w:pPr>
        <w:ind w:left="851"/>
        <w:rPr>
          <w:sz w:val="24"/>
          <w:szCs w:val="24"/>
        </w:rPr>
      </w:pPr>
      <w:r w:rsidRPr="004714C6">
        <w:rPr>
          <w:sz w:val="24"/>
          <w:szCs w:val="24"/>
        </w:rPr>
        <w:t>Der må aldrig tages en dobbeltdosis som erstatning for glemte, enkelte doser.</w:t>
      </w:r>
    </w:p>
    <w:p w14:paraId="25C3A98B" w14:textId="77777777" w:rsidR="00A76826" w:rsidRPr="004714C6" w:rsidRDefault="00A76826" w:rsidP="00647CA7">
      <w:pPr>
        <w:ind w:left="851"/>
        <w:rPr>
          <w:sz w:val="24"/>
          <w:szCs w:val="24"/>
        </w:rPr>
      </w:pPr>
    </w:p>
    <w:p w14:paraId="5E4C120F" w14:textId="77777777" w:rsidR="00A76826" w:rsidRPr="004714C6" w:rsidRDefault="00A76826" w:rsidP="00647CA7">
      <w:pPr>
        <w:ind w:left="851"/>
        <w:rPr>
          <w:i/>
          <w:iCs/>
          <w:sz w:val="24"/>
          <w:szCs w:val="24"/>
          <w:u w:val="single"/>
        </w:rPr>
      </w:pPr>
      <w:r w:rsidRPr="004714C6">
        <w:rPr>
          <w:i/>
          <w:iCs/>
          <w:sz w:val="24"/>
          <w:szCs w:val="24"/>
          <w:u w:val="single"/>
        </w:rPr>
        <w:t>Seponering af dabigatranetexilat</w:t>
      </w:r>
    </w:p>
    <w:p w14:paraId="275DBE1D" w14:textId="77777777" w:rsidR="00A76826" w:rsidRPr="004714C6" w:rsidRDefault="00A76826" w:rsidP="00647CA7">
      <w:pPr>
        <w:ind w:left="851"/>
        <w:rPr>
          <w:sz w:val="24"/>
          <w:szCs w:val="24"/>
        </w:rPr>
      </w:pPr>
    </w:p>
    <w:p w14:paraId="52533141" w14:textId="77777777" w:rsidR="00A76826" w:rsidRPr="004714C6" w:rsidRDefault="00A76826" w:rsidP="00647CA7">
      <w:pPr>
        <w:ind w:left="851"/>
        <w:rPr>
          <w:sz w:val="24"/>
          <w:szCs w:val="24"/>
        </w:rPr>
      </w:pPr>
      <w:r w:rsidRPr="004714C6">
        <w:rPr>
          <w:sz w:val="24"/>
          <w:szCs w:val="24"/>
        </w:rPr>
        <w:t>Behandlingen med dabigatranetexilat må ikke seponeres uden medicinsk rådgivning. Patienterne eller deres omsorgspersoner skal instrueres i at kontakte den behandlende læge, hvis patienten udvikler gastrointestinale symptomer, såsom dyspepsi (se pkt. 4.8).</w:t>
      </w:r>
    </w:p>
    <w:p w14:paraId="5C9578D5" w14:textId="77777777" w:rsidR="00A76826" w:rsidRPr="004714C6" w:rsidRDefault="00A76826" w:rsidP="00647CA7">
      <w:pPr>
        <w:ind w:left="851"/>
        <w:rPr>
          <w:sz w:val="24"/>
          <w:szCs w:val="24"/>
        </w:rPr>
      </w:pPr>
    </w:p>
    <w:p w14:paraId="6D4964A2" w14:textId="77777777" w:rsidR="00A76826" w:rsidRPr="004714C6" w:rsidRDefault="00A76826" w:rsidP="00647CA7">
      <w:pPr>
        <w:ind w:left="851"/>
        <w:rPr>
          <w:i/>
          <w:iCs/>
          <w:sz w:val="24"/>
          <w:szCs w:val="24"/>
          <w:u w:val="single"/>
        </w:rPr>
      </w:pPr>
      <w:r w:rsidRPr="004714C6">
        <w:rPr>
          <w:i/>
          <w:iCs/>
          <w:sz w:val="24"/>
          <w:szCs w:val="24"/>
          <w:u w:val="single"/>
        </w:rPr>
        <w:t>Behandlingsskift</w:t>
      </w:r>
    </w:p>
    <w:p w14:paraId="33A69237" w14:textId="77777777" w:rsidR="00A76826" w:rsidRPr="004714C6" w:rsidRDefault="00A76826" w:rsidP="00647CA7">
      <w:pPr>
        <w:ind w:left="851"/>
        <w:rPr>
          <w:sz w:val="24"/>
          <w:szCs w:val="24"/>
        </w:rPr>
      </w:pPr>
    </w:p>
    <w:p w14:paraId="18440919" w14:textId="77777777" w:rsidR="00A76826" w:rsidRPr="004714C6" w:rsidRDefault="00A76826" w:rsidP="00647CA7">
      <w:pPr>
        <w:ind w:left="851"/>
        <w:rPr>
          <w:sz w:val="24"/>
          <w:szCs w:val="24"/>
        </w:rPr>
      </w:pPr>
      <w:r w:rsidRPr="004714C6">
        <w:rPr>
          <w:sz w:val="24"/>
          <w:szCs w:val="24"/>
        </w:rPr>
        <w:t>Fra behandling med dabigatranetexilat til parenteral antikoagulans:</w:t>
      </w:r>
    </w:p>
    <w:p w14:paraId="051DB1A4" w14:textId="77777777" w:rsidR="00A76826" w:rsidRPr="004714C6" w:rsidRDefault="00A76826" w:rsidP="00647CA7">
      <w:pPr>
        <w:ind w:left="851"/>
        <w:rPr>
          <w:sz w:val="24"/>
          <w:szCs w:val="24"/>
        </w:rPr>
      </w:pPr>
      <w:r w:rsidRPr="004714C6">
        <w:rPr>
          <w:sz w:val="24"/>
          <w:szCs w:val="24"/>
        </w:rPr>
        <w:t>Det anbefales, at man venter 12 timer efter den sidste dosis, før man skifter fra dabigatranetexilat til en parenteral antikoagulans (se pkt. 4.5).</w:t>
      </w:r>
    </w:p>
    <w:p w14:paraId="5F34A4D6" w14:textId="77777777" w:rsidR="00A76826" w:rsidRPr="004714C6" w:rsidRDefault="00A76826" w:rsidP="00647CA7">
      <w:pPr>
        <w:ind w:left="851"/>
        <w:rPr>
          <w:sz w:val="24"/>
          <w:szCs w:val="24"/>
        </w:rPr>
      </w:pPr>
    </w:p>
    <w:p w14:paraId="01A491CB" w14:textId="77777777" w:rsidR="00A76826" w:rsidRPr="004714C6" w:rsidRDefault="00A76826" w:rsidP="00647CA7">
      <w:pPr>
        <w:ind w:left="851"/>
        <w:rPr>
          <w:sz w:val="24"/>
          <w:szCs w:val="24"/>
        </w:rPr>
      </w:pPr>
      <w:r w:rsidRPr="004714C6">
        <w:rPr>
          <w:sz w:val="24"/>
          <w:szCs w:val="24"/>
        </w:rPr>
        <w:t>Fra parenteral antikoagulans til dabigatranetexilat:</w:t>
      </w:r>
    </w:p>
    <w:p w14:paraId="2179C960" w14:textId="77777777" w:rsidR="00A76826" w:rsidRPr="004714C6" w:rsidRDefault="00A76826" w:rsidP="00647CA7">
      <w:pPr>
        <w:ind w:left="851"/>
        <w:rPr>
          <w:sz w:val="24"/>
          <w:szCs w:val="24"/>
        </w:rPr>
      </w:pPr>
      <w:r w:rsidRPr="004714C6">
        <w:rPr>
          <w:sz w:val="24"/>
          <w:szCs w:val="24"/>
        </w:rPr>
        <w:t>Den parenterale antikoagulans bør seponeres, og dabigatranetexilat bør startes 0</w:t>
      </w:r>
      <w:r w:rsidRPr="004714C6">
        <w:rPr>
          <w:sz w:val="24"/>
          <w:szCs w:val="24"/>
        </w:rPr>
        <w:noBreakHyphen/>
        <w:t>2 timer før det planlagte tidspunkt for næste dosis af den anden behandling, eller samtidig med seponering ved kontinuerlig behandling (f.eks. intravenøs ufraktioneret heparin (UFH)) (se pkt. 4.5).</w:t>
      </w:r>
    </w:p>
    <w:p w14:paraId="582F3D4B" w14:textId="77777777" w:rsidR="00A76826" w:rsidRPr="004714C6" w:rsidRDefault="00A76826" w:rsidP="00647CA7">
      <w:pPr>
        <w:ind w:left="851"/>
        <w:rPr>
          <w:sz w:val="24"/>
          <w:szCs w:val="24"/>
        </w:rPr>
      </w:pPr>
    </w:p>
    <w:p w14:paraId="274F4E49" w14:textId="77777777" w:rsidR="00A76826" w:rsidRPr="004714C6" w:rsidRDefault="00A76826" w:rsidP="00647CA7">
      <w:pPr>
        <w:ind w:left="851"/>
        <w:rPr>
          <w:sz w:val="24"/>
          <w:szCs w:val="24"/>
        </w:rPr>
      </w:pPr>
      <w:r w:rsidRPr="004714C6">
        <w:rPr>
          <w:sz w:val="24"/>
          <w:szCs w:val="24"/>
        </w:rPr>
        <w:t>Fra dabigatranetexilat til vitamin K</w:t>
      </w:r>
      <w:r w:rsidRPr="004714C6">
        <w:rPr>
          <w:sz w:val="24"/>
          <w:szCs w:val="24"/>
        </w:rPr>
        <w:noBreakHyphen/>
        <w:t>antagonist (VKA):</w:t>
      </w:r>
    </w:p>
    <w:p w14:paraId="287B1532" w14:textId="77777777" w:rsidR="00A76826" w:rsidRPr="004714C6" w:rsidRDefault="00A76826" w:rsidP="00647CA7">
      <w:pPr>
        <w:ind w:left="851"/>
        <w:rPr>
          <w:sz w:val="24"/>
          <w:szCs w:val="24"/>
        </w:rPr>
      </w:pPr>
      <w:r w:rsidRPr="004714C6">
        <w:rPr>
          <w:sz w:val="24"/>
          <w:szCs w:val="24"/>
        </w:rPr>
        <w:t>Patienter skal startes på VKA 3 dage før seponering af dabigatranetexilat.</w:t>
      </w:r>
    </w:p>
    <w:p w14:paraId="14E8EE5E" w14:textId="77777777" w:rsidR="00A76826" w:rsidRPr="004714C6" w:rsidRDefault="00A76826" w:rsidP="00647CA7">
      <w:pPr>
        <w:ind w:left="851"/>
        <w:rPr>
          <w:sz w:val="24"/>
          <w:szCs w:val="24"/>
        </w:rPr>
      </w:pPr>
      <w:r w:rsidRPr="004714C6">
        <w:rPr>
          <w:sz w:val="24"/>
          <w:szCs w:val="24"/>
        </w:rPr>
        <w:t>Da dabigatranetexilat kan påvirke INR, vil den internationale normaliserede ratio (INR) først efter mindst 2 dage efter seponering af dabigatranetexilat bedre afspejle VKAs effekt. Indtil da bør INR-værdier tolkes med forsigtighed.</w:t>
      </w:r>
    </w:p>
    <w:p w14:paraId="470D3F66" w14:textId="77777777" w:rsidR="00A76826" w:rsidRPr="004714C6" w:rsidRDefault="00A76826" w:rsidP="00647CA7">
      <w:pPr>
        <w:ind w:left="851"/>
        <w:rPr>
          <w:sz w:val="24"/>
          <w:szCs w:val="24"/>
        </w:rPr>
      </w:pPr>
    </w:p>
    <w:p w14:paraId="62460F2F" w14:textId="77777777" w:rsidR="00A76826" w:rsidRPr="004714C6" w:rsidRDefault="00A76826" w:rsidP="00647CA7">
      <w:pPr>
        <w:ind w:left="851"/>
        <w:rPr>
          <w:sz w:val="24"/>
          <w:szCs w:val="24"/>
        </w:rPr>
      </w:pPr>
      <w:r w:rsidRPr="004714C6">
        <w:rPr>
          <w:sz w:val="24"/>
          <w:szCs w:val="24"/>
        </w:rPr>
        <w:t>VKA til dabigatranetexilat:</w:t>
      </w:r>
    </w:p>
    <w:p w14:paraId="34C163D4" w14:textId="77777777" w:rsidR="00A76826" w:rsidRPr="004714C6" w:rsidRDefault="00A76826" w:rsidP="00647CA7">
      <w:pPr>
        <w:ind w:left="851"/>
        <w:rPr>
          <w:sz w:val="24"/>
          <w:szCs w:val="24"/>
        </w:rPr>
      </w:pPr>
      <w:r w:rsidRPr="004714C6">
        <w:rPr>
          <w:sz w:val="24"/>
          <w:szCs w:val="24"/>
        </w:rPr>
        <w:t>Behandling med VKA bør stoppes. Dabigatranetexilat kan administreres, når INR er &lt; 2,0.</w:t>
      </w:r>
    </w:p>
    <w:p w14:paraId="7A1F891D" w14:textId="77777777" w:rsidR="00A76826" w:rsidRPr="004714C6" w:rsidRDefault="00A76826" w:rsidP="00647CA7">
      <w:pPr>
        <w:ind w:left="851"/>
        <w:rPr>
          <w:sz w:val="24"/>
          <w:szCs w:val="24"/>
        </w:rPr>
      </w:pPr>
    </w:p>
    <w:p w14:paraId="26DC1A38" w14:textId="77777777" w:rsidR="00A76826" w:rsidRPr="004714C6" w:rsidRDefault="00A76826" w:rsidP="00647CA7">
      <w:pPr>
        <w:ind w:left="851"/>
        <w:rPr>
          <w:sz w:val="24"/>
          <w:szCs w:val="24"/>
          <w:u w:val="single"/>
        </w:rPr>
      </w:pPr>
      <w:r w:rsidRPr="004714C6">
        <w:rPr>
          <w:sz w:val="24"/>
          <w:szCs w:val="24"/>
          <w:u w:val="single"/>
        </w:rPr>
        <w:t>Administration</w:t>
      </w:r>
    </w:p>
    <w:p w14:paraId="64E69369" w14:textId="77777777" w:rsidR="00A76826" w:rsidRPr="004714C6" w:rsidRDefault="00A76826" w:rsidP="00647CA7">
      <w:pPr>
        <w:ind w:left="851"/>
        <w:rPr>
          <w:sz w:val="24"/>
          <w:szCs w:val="24"/>
        </w:rPr>
      </w:pPr>
    </w:p>
    <w:p w14:paraId="7CB1FE67" w14:textId="77777777" w:rsidR="00A76826" w:rsidRPr="004714C6" w:rsidRDefault="00A76826" w:rsidP="00647CA7">
      <w:pPr>
        <w:ind w:left="851"/>
        <w:rPr>
          <w:sz w:val="24"/>
          <w:szCs w:val="24"/>
        </w:rPr>
      </w:pPr>
      <w:r w:rsidRPr="004714C6">
        <w:rPr>
          <w:sz w:val="24"/>
          <w:szCs w:val="24"/>
        </w:rPr>
        <w:t>Dette lægemiddel er til oral anvendelse.</w:t>
      </w:r>
    </w:p>
    <w:p w14:paraId="5379BEC3" w14:textId="77777777" w:rsidR="00A76826" w:rsidRPr="004714C6" w:rsidRDefault="00A76826" w:rsidP="00647CA7">
      <w:pPr>
        <w:ind w:left="851"/>
        <w:rPr>
          <w:sz w:val="24"/>
          <w:szCs w:val="24"/>
        </w:rPr>
      </w:pPr>
      <w:r w:rsidRPr="004714C6">
        <w:rPr>
          <w:sz w:val="24"/>
          <w:szCs w:val="24"/>
        </w:rPr>
        <w:t>Kapslerne kan tages sammen med eller uden mad. Kapslerne skal sluges hele med et glas vand for at lette passagen til mavesækken.</w:t>
      </w:r>
    </w:p>
    <w:p w14:paraId="009816BC" w14:textId="77777777" w:rsidR="00A76826" w:rsidRPr="004714C6" w:rsidRDefault="00A76826" w:rsidP="00647CA7">
      <w:pPr>
        <w:ind w:left="851"/>
        <w:rPr>
          <w:sz w:val="24"/>
          <w:szCs w:val="24"/>
        </w:rPr>
      </w:pPr>
      <w:r w:rsidRPr="004714C6">
        <w:rPr>
          <w:sz w:val="24"/>
          <w:szCs w:val="24"/>
        </w:rPr>
        <w:t>Patienterne bør informeres om, at kapslerne ikke må åbnes, da dette kan øge risikoen for blødning (se pkt. 5.2 og 6.6).</w:t>
      </w:r>
    </w:p>
    <w:p w14:paraId="702CC5B2" w14:textId="77777777" w:rsidR="009260DE" w:rsidRPr="004714C6" w:rsidRDefault="009260DE" w:rsidP="009260DE">
      <w:pPr>
        <w:tabs>
          <w:tab w:val="left" w:pos="851"/>
        </w:tabs>
        <w:ind w:left="851"/>
        <w:rPr>
          <w:sz w:val="24"/>
          <w:szCs w:val="24"/>
        </w:rPr>
      </w:pPr>
    </w:p>
    <w:p w14:paraId="00A943DD" w14:textId="77777777" w:rsidR="009260DE" w:rsidRPr="004714C6" w:rsidRDefault="009260DE" w:rsidP="009260DE">
      <w:pPr>
        <w:tabs>
          <w:tab w:val="left" w:pos="851"/>
        </w:tabs>
        <w:ind w:left="851" w:hanging="851"/>
        <w:rPr>
          <w:b/>
          <w:sz w:val="24"/>
          <w:szCs w:val="24"/>
        </w:rPr>
      </w:pPr>
      <w:r w:rsidRPr="004714C6">
        <w:rPr>
          <w:b/>
          <w:sz w:val="24"/>
          <w:szCs w:val="24"/>
        </w:rPr>
        <w:t>4.3</w:t>
      </w:r>
      <w:r w:rsidRPr="004714C6">
        <w:rPr>
          <w:b/>
          <w:sz w:val="24"/>
          <w:szCs w:val="24"/>
        </w:rPr>
        <w:tab/>
        <w:t>Kontraindikationer</w:t>
      </w:r>
    </w:p>
    <w:p w14:paraId="0ABE0345" w14:textId="77777777" w:rsidR="00A76826" w:rsidRPr="004714C6" w:rsidRDefault="00A76826" w:rsidP="00647CA7">
      <w:pPr>
        <w:widowControl w:val="0"/>
        <w:numPr>
          <w:ilvl w:val="0"/>
          <w:numId w:val="10"/>
        </w:numPr>
        <w:autoSpaceDE w:val="0"/>
        <w:autoSpaceDN w:val="0"/>
        <w:adjustRightInd w:val="0"/>
        <w:ind w:left="1276" w:right="68" w:hanging="425"/>
        <w:rPr>
          <w:sz w:val="24"/>
          <w:szCs w:val="24"/>
        </w:rPr>
      </w:pPr>
      <w:bookmarkStart w:id="2" w:name="_Hlk153783140"/>
      <w:r w:rsidRPr="004714C6">
        <w:rPr>
          <w:sz w:val="24"/>
          <w:szCs w:val="24"/>
        </w:rPr>
        <w:t>Overfølsomhed over for det aktive stof eller over for et eller flere af hjælpestofferne anført i pkt. 6.1</w:t>
      </w:r>
      <w:bookmarkEnd w:id="2"/>
      <w:r w:rsidRPr="004714C6">
        <w:rPr>
          <w:sz w:val="24"/>
          <w:szCs w:val="24"/>
        </w:rPr>
        <w:t>.</w:t>
      </w:r>
    </w:p>
    <w:p w14:paraId="369014F5" w14:textId="77777777" w:rsidR="00A76826" w:rsidRPr="004714C6" w:rsidRDefault="00A76826" w:rsidP="00647CA7">
      <w:pPr>
        <w:widowControl w:val="0"/>
        <w:numPr>
          <w:ilvl w:val="0"/>
          <w:numId w:val="10"/>
        </w:numPr>
        <w:autoSpaceDE w:val="0"/>
        <w:autoSpaceDN w:val="0"/>
        <w:adjustRightInd w:val="0"/>
        <w:ind w:left="1276" w:right="68" w:hanging="425"/>
        <w:rPr>
          <w:sz w:val="24"/>
          <w:szCs w:val="24"/>
        </w:rPr>
      </w:pPr>
      <w:r w:rsidRPr="004714C6">
        <w:rPr>
          <w:sz w:val="24"/>
          <w:szCs w:val="24"/>
        </w:rPr>
        <w:t>Svært nedsat nyrefunktion (CrCL &lt; 30 ml/min) hos voksne patienter</w:t>
      </w:r>
    </w:p>
    <w:p w14:paraId="5080B8E5" w14:textId="77777777" w:rsidR="00A76826" w:rsidRPr="004714C6" w:rsidRDefault="00A76826" w:rsidP="00647CA7">
      <w:pPr>
        <w:widowControl w:val="0"/>
        <w:numPr>
          <w:ilvl w:val="0"/>
          <w:numId w:val="10"/>
        </w:numPr>
        <w:autoSpaceDE w:val="0"/>
        <w:autoSpaceDN w:val="0"/>
        <w:adjustRightInd w:val="0"/>
        <w:ind w:left="1276" w:right="68" w:hanging="425"/>
        <w:rPr>
          <w:sz w:val="24"/>
          <w:szCs w:val="24"/>
        </w:rPr>
      </w:pPr>
      <w:r w:rsidRPr="004714C6">
        <w:rPr>
          <w:sz w:val="24"/>
          <w:szCs w:val="24"/>
        </w:rPr>
        <w:t>eGFR &lt; 50 ml/min/1,73 m</w:t>
      </w:r>
      <w:r w:rsidRPr="004714C6">
        <w:rPr>
          <w:sz w:val="24"/>
          <w:szCs w:val="24"/>
          <w:vertAlign w:val="superscript"/>
        </w:rPr>
        <w:t>2</w:t>
      </w:r>
      <w:r w:rsidRPr="004714C6">
        <w:rPr>
          <w:sz w:val="24"/>
          <w:szCs w:val="24"/>
        </w:rPr>
        <w:t xml:space="preserve"> hos pædiatriske patienter</w:t>
      </w:r>
    </w:p>
    <w:p w14:paraId="75420460" w14:textId="77777777" w:rsidR="00A76826" w:rsidRPr="004714C6" w:rsidRDefault="00A76826" w:rsidP="00647CA7">
      <w:pPr>
        <w:widowControl w:val="0"/>
        <w:numPr>
          <w:ilvl w:val="0"/>
          <w:numId w:val="10"/>
        </w:numPr>
        <w:autoSpaceDE w:val="0"/>
        <w:autoSpaceDN w:val="0"/>
        <w:adjustRightInd w:val="0"/>
        <w:ind w:left="1276" w:right="68" w:hanging="425"/>
        <w:rPr>
          <w:sz w:val="24"/>
          <w:szCs w:val="24"/>
        </w:rPr>
      </w:pPr>
      <w:r w:rsidRPr="004714C6">
        <w:rPr>
          <w:sz w:val="24"/>
          <w:szCs w:val="24"/>
        </w:rPr>
        <w:t>Aktiv klinisk signifikant blødning</w:t>
      </w:r>
    </w:p>
    <w:p w14:paraId="00AED941" w14:textId="77777777" w:rsidR="00A76826" w:rsidRPr="004714C6" w:rsidRDefault="00A76826" w:rsidP="00647CA7">
      <w:pPr>
        <w:widowControl w:val="0"/>
        <w:numPr>
          <w:ilvl w:val="0"/>
          <w:numId w:val="10"/>
        </w:numPr>
        <w:autoSpaceDE w:val="0"/>
        <w:autoSpaceDN w:val="0"/>
        <w:adjustRightInd w:val="0"/>
        <w:ind w:left="1276" w:right="68" w:hanging="425"/>
        <w:rPr>
          <w:sz w:val="24"/>
          <w:szCs w:val="24"/>
        </w:rPr>
      </w:pPr>
      <w:r w:rsidRPr="004714C6">
        <w:rPr>
          <w:sz w:val="24"/>
          <w:szCs w:val="24"/>
        </w:rPr>
        <w:t>Læsion eller tilstand, der betragtes som en betydende risikofaktor for en alvorlig blødning. Dette kan inkludere aktuel eller nylig gastrointestinal ulceration, tilstedeværelse af maligne neoplasmer med høj risiko for blødning, nylig hjerne- eller rygmarvsskade, nylig hjerne-, rygmarvs- eller øjenoperation, nylig intrakraniel blødning, øsofagusvaricer eller mistanke herom, arteriovenøse malformationer, vaskulære aneurismer eller alvorlige intraspinale eller intracerebrale vaskulære abnormaliteter</w:t>
      </w:r>
    </w:p>
    <w:p w14:paraId="4ED14830" w14:textId="77777777" w:rsidR="00A76826" w:rsidRPr="004714C6" w:rsidRDefault="00A76826" w:rsidP="00647CA7">
      <w:pPr>
        <w:widowControl w:val="0"/>
        <w:numPr>
          <w:ilvl w:val="0"/>
          <w:numId w:val="10"/>
        </w:numPr>
        <w:autoSpaceDE w:val="0"/>
        <w:autoSpaceDN w:val="0"/>
        <w:adjustRightInd w:val="0"/>
        <w:ind w:left="1276" w:right="68" w:hanging="425"/>
        <w:rPr>
          <w:sz w:val="24"/>
          <w:szCs w:val="24"/>
        </w:rPr>
      </w:pPr>
      <w:r w:rsidRPr="004714C6">
        <w:rPr>
          <w:sz w:val="24"/>
          <w:szCs w:val="24"/>
        </w:rPr>
        <w:t>Samtidig behandling med en anden antikoagulans, f.eks. ufraktioneret heparin (UFH), lavmolekylær heparin (enoxaparin, dalteparin osv.), heparinderivater (fondaparinux osv.), oral antikoagulans (warfarin, rivaroxaban, apixaban osv.) undtagen under specifikke omstændigheder. Disse er ved skift af antikoagulansbehandling (se pkt. 4.2), når UFH gives i doser, der er nødvendige for at opretholde et åbent centralt venekateter eller arteriekateter, eller når UFH gives under kateterablation for atrieflimren (se pkt. 4.5)</w:t>
      </w:r>
    </w:p>
    <w:p w14:paraId="4DCB2E68" w14:textId="77777777" w:rsidR="00A76826" w:rsidRPr="004714C6" w:rsidRDefault="00A76826" w:rsidP="00647CA7">
      <w:pPr>
        <w:widowControl w:val="0"/>
        <w:numPr>
          <w:ilvl w:val="0"/>
          <w:numId w:val="10"/>
        </w:numPr>
        <w:autoSpaceDE w:val="0"/>
        <w:autoSpaceDN w:val="0"/>
        <w:adjustRightInd w:val="0"/>
        <w:ind w:left="1276" w:right="68" w:hanging="425"/>
        <w:rPr>
          <w:sz w:val="24"/>
          <w:szCs w:val="24"/>
        </w:rPr>
      </w:pPr>
      <w:r w:rsidRPr="004714C6">
        <w:rPr>
          <w:sz w:val="24"/>
          <w:szCs w:val="24"/>
        </w:rPr>
        <w:t>Nedsat leverfunktion eller leversygdom, som forventes at påvirke overlevelsen</w:t>
      </w:r>
    </w:p>
    <w:p w14:paraId="06C03057" w14:textId="77777777" w:rsidR="00A76826" w:rsidRPr="004714C6" w:rsidRDefault="00A76826" w:rsidP="00647CA7">
      <w:pPr>
        <w:widowControl w:val="0"/>
        <w:numPr>
          <w:ilvl w:val="0"/>
          <w:numId w:val="10"/>
        </w:numPr>
        <w:autoSpaceDE w:val="0"/>
        <w:autoSpaceDN w:val="0"/>
        <w:adjustRightInd w:val="0"/>
        <w:ind w:left="1276" w:right="68" w:hanging="425"/>
        <w:rPr>
          <w:sz w:val="24"/>
          <w:szCs w:val="24"/>
        </w:rPr>
      </w:pPr>
      <w:r w:rsidRPr="004714C6">
        <w:rPr>
          <w:sz w:val="24"/>
          <w:szCs w:val="24"/>
        </w:rPr>
        <w:t>Samtidig behandling med de følgende potente P-gp-inhibitorer: systemisk ketoconazol, ciclosporin, itraconazol, dronedaron eller fastdosiskombinationen glecaprevir/pibrentasvir (se pkt. 4.5)</w:t>
      </w:r>
    </w:p>
    <w:p w14:paraId="160B23F1" w14:textId="77777777" w:rsidR="00A76826" w:rsidRPr="004714C6" w:rsidRDefault="00A76826" w:rsidP="00647CA7">
      <w:pPr>
        <w:widowControl w:val="0"/>
        <w:numPr>
          <w:ilvl w:val="0"/>
          <w:numId w:val="10"/>
        </w:numPr>
        <w:autoSpaceDE w:val="0"/>
        <w:autoSpaceDN w:val="0"/>
        <w:adjustRightInd w:val="0"/>
        <w:ind w:left="1276" w:right="68" w:hanging="425"/>
        <w:rPr>
          <w:sz w:val="24"/>
          <w:szCs w:val="24"/>
        </w:rPr>
      </w:pPr>
      <w:r w:rsidRPr="004714C6">
        <w:rPr>
          <w:sz w:val="24"/>
          <w:szCs w:val="24"/>
        </w:rPr>
        <w:t>Kunstige hjerteklapper, der kræver behandling med antikoagulans (se pkt. 5.1).</w:t>
      </w:r>
    </w:p>
    <w:p w14:paraId="4208FD4E" w14:textId="0BB4FC29" w:rsidR="00326117" w:rsidRDefault="00326117">
      <w:pPr>
        <w:rPr>
          <w:sz w:val="24"/>
          <w:szCs w:val="24"/>
        </w:rPr>
      </w:pPr>
      <w:r>
        <w:rPr>
          <w:sz w:val="24"/>
          <w:szCs w:val="24"/>
        </w:rPr>
        <w:br w:type="page"/>
      </w:r>
    </w:p>
    <w:p w14:paraId="393A6CD7" w14:textId="77777777" w:rsidR="009260DE" w:rsidRPr="004714C6" w:rsidRDefault="009260DE" w:rsidP="009260DE">
      <w:pPr>
        <w:tabs>
          <w:tab w:val="left" w:pos="851"/>
        </w:tabs>
        <w:ind w:left="851"/>
        <w:rPr>
          <w:sz w:val="24"/>
          <w:szCs w:val="24"/>
        </w:rPr>
      </w:pPr>
    </w:p>
    <w:p w14:paraId="6DEA6696" w14:textId="77777777" w:rsidR="009260DE" w:rsidRPr="004714C6" w:rsidRDefault="009260DE" w:rsidP="009260DE">
      <w:pPr>
        <w:tabs>
          <w:tab w:val="left" w:pos="851"/>
        </w:tabs>
        <w:ind w:left="851" w:hanging="851"/>
        <w:rPr>
          <w:b/>
          <w:sz w:val="24"/>
          <w:szCs w:val="24"/>
        </w:rPr>
      </w:pPr>
      <w:r w:rsidRPr="004714C6">
        <w:rPr>
          <w:b/>
          <w:sz w:val="24"/>
          <w:szCs w:val="24"/>
        </w:rPr>
        <w:t>4.4</w:t>
      </w:r>
      <w:r w:rsidRPr="004714C6">
        <w:rPr>
          <w:b/>
          <w:sz w:val="24"/>
          <w:szCs w:val="24"/>
        </w:rPr>
        <w:tab/>
        <w:t>Særlige advarsler og forsigtighedsregler vedrørende brugen</w:t>
      </w:r>
    </w:p>
    <w:p w14:paraId="20DBA38B" w14:textId="77777777" w:rsidR="0072235D" w:rsidRPr="004714C6" w:rsidRDefault="0072235D" w:rsidP="00647CA7">
      <w:pPr>
        <w:ind w:left="851"/>
        <w:rPr>
          <w:sz w:val="24"/>
          <w:szCs w:val="24"/>
        </w:rPr>
      </w:pPr>
    </w:p>
    <w:p w14:paraId="469BC7F5" w14:textId="1920F820" w:rsidR="00A76826" w:rsidRPr="004714C6" w:rsidRDefault="00A76826" w:rsidP="00647CA7">
      <w:pPr>
        <w:ind w:left="851"/>
        <w:rPr>
          <w:sz w:val="24"/>
          <w:szCs w:val="24"/>
          <w:u w:val="single"/>
        </w:rPr>
      </w:pPr>
      <w:r w:rsidRPr="004714C6">
        <w:rPr>
          <w:sz w:val="24"/>
          <w:szCs w:val="24"/>
          <w:u w:val="single"/>
        </w:rPr>
        <w:t>Risiko for blødning</w:t>
      </w:r>
    </w:p>
    <w:p w14:paraId="6152CBBB" w14:textId="77777777" w:rsidR="00A76826" w:rsidRPr="004714C6" w:rsidRDefault="00A76826" w:rsidP="00647CA7">
      <w:pPr>
        <w:ind w:left="851"/>
        <w:rPr>
          <w:sz w:val="24"/>
          <w:szCs w:val="24"/>
        </w:rPr>
      </w:pPr>
    </w:p>
    <w:p w14:paraId="405EBAF2" w14:textId="77777777" w:rsidR="00A76826" w:rsidRPr="004714C6" w:rsidRDefault="00A76826" w:rsidP="00647CA7">
      <w:pPr>
        <w:ind w:left="851"/>
        <w:rPr>
          <w:sz w:val="24"/>
          <w:szCs w:val="24"/>
        </w:rPr>
      </w:pPr>
      <w:r w:rsidRPr="004714C6">
        <w:rPr>
          <w:sz w:val="24"/>
          <w:szCs w:val="24"/>
        </w:rPr>
        <w:t>Dabigatranetexilat bør anvendes med forsigtighed ved tilstande med en øget risiko for blødning eller ved samtidig brug af lægemidler, der påvirker hæmostasen ved at hæmme trombocytaggregationen. Blødning kan forekomme uden specifikt fokus under behandling. Et uforklarligt fald i hæmoglobin og/eller hæmatokrit eller blodtryk bør føre til udredning for en evt. blødningskilde.</w:t>
      </w:r>
    </w:p>
    <w:p w14:paraId="0D36B2FA" w14:textId="77777777" w:rsidR="00A76826" w:rsidRPr="004714C6" w:rsidRDefault="00A76826" w:rsidP="00647CA7">
      <w:pPr>
        <w:ind w:left="851"/>
        <w:rPr>
          <w:sz w:val="24"/>
          <w:szCs w:val="24"/>
        </w:rPr>
      </w:pPr>
    </w:p>
    <w:p w14:paraId="067CEB3A" w14:textId="77777777" w:rsidR="00A76826" w:rsidRPr="004714C6" w:rsidRDefault="00A76826" w:rsidP="00647CA7">
      <w:pPr>
        <w:ind w:left="851"/>
        <w:rPr>
          <w:sz w:val="24"/>
          <w:szCs w:val="24"/>
        </w:rPr>
      </w:pPr>
      <w:r w:rsidRPr="004714C6">
        <w:rPr>
          <w:sz w:val="24"/>
          <w:szCs w:val="24"/>
        </w:rPr>
        <w:t>For voksne patienter med livstruende eller ukontrolleret blødning, hvor det er nødvendigt hurtigt at modvirke dabigatrans antikoagulerende virkning, er den specifikke antidot idarucizumab tilgængelig. Idarucizumabs virkning og sikkerhed hos pædiatriske patienter er ikke klarlagt. Hæmodialyse kan fjerne dabigatran. Hos voksne patienter er frisk fuldblod eller frisk frossent plasma, koagulationsfaktor-koncentrater (aktiveret eller ikke</w:t>
      </w:r>
      <w:r w:rsidRPr="004714C6">
        <w:rPr>
          <w:sz w:val="24"/>
          <w:szCs w:val="24"/>
        </w:rPr>
        <w:noBreakHyphen/>
        <w:t>aktiveret), rekombinant</w:t>
      </w:r>
      <w:r w:rsidRPr="004714C6">
        <w:rPr>
          <w:sz w:val="24"/>
          <w:szCs w:val="24"/>
        </w:rPr>
        <w:noBreakHyphen/>
        <w:t>faktor VIIa eller trombocytkoncentrater andre muligheder (se også pkt. 4.9).</w:t>
      </w:r>
    </w:p>
    <w:p w14:paraId="0158D1B6" w14:textId="77777777" w:rsidR="00A76826" w:rsidRPr="004714C6" w:rsidRDefault="00A76826" w:rsidP="00647CA7">
      <w:pPr>
        <w:ind w:left="851"/>
        <w:rPr>
          <w:sz w:val="24"/>
          <w:szCs w:val="24"/>
        </w:rPr>
      </w:pPr>
    </w:p>
    <w:p w14:paraId="4771EB17" w14:textId="77777777" w:rsidR="00A76826" w:rsidRPr="004714C6" w:rsidRDefault="00A76826" w:rsidP="00647CA7">
      <w:pPr>
        <w:ind w:left="851"/>
        <w:rPr>
          <w:sz w:val="24"/>
          <w:szCs w:val="24"/>
        </w:rPr>
      </w:pPr>
      <w:r w:rsidRPr="004714C6">
        <w:rPr>
          <w:sz w:val="24"/>
          <w:szCs w:val="24"/>
        </w:rPr>
        <w:t>I kliniske studier var dabigatranetexilat forbundet med en højere frekvens af alvorlig gastrointestinal blødning. En øget risiko blev observeret hos ældre (≥ 75 år) for dosisprogrammet med 150 mg to gange dagligt. Yderligere risikofaktorer (se også tabel 5) omfatter samtidig medicinering med trombocytaggregationshæmmere, såsom clopidogrel og acetylsalicylsyre (ASA) eller nonsteroide antiinflammatoriske lægemidler (NSAID), samt tilstedeværelsen af øsofagitis, gastritis eller gastroøsofageal refluks.</w:t>
      </w:r>
    </w:p>
    <w:p w14:paraId="78549F21" w14:textId="77777777" w:rsidR="00A76826" w:rsidRPr="004714C6" w:rsidRDefault="00A76826" w:rsidP="00647CA7">
      <w:pPr>
        <w:ind w:left="851"/>
        <w:rPr>
          <w:sz w:val="24"/>
          <w:szCs w:val="24"/>
        </w:rPr>
      </w:pPr>
    </w:p>
    <w:p w14:paraId="6169AF1F" w14:textId="77777777" w:rsidR="00A76826" w:rsidRPr="004714C6" w:rsidRDefault="00A76826" w:rsidP="00647CA7">
      <w:pPr>
        <w:ind w:left="851"/>
        <w:rPr>
          <w:i/>
          <w:iCs/>
          <w:sz w:val="24"/>
          <w:szCs w:val="24"/>
        </w:rPr>
      </w:pPr>
      <w:r w:rsidRPr="004714C6">
        <w:rPr>
          <w:i/>
          <w:iCs/>
          <w:sz w:val="24"/>
          <w:szCs w:val="24"/>
        </w:rPr>
        <w:t>Risikofaktorer</w:t>
      </w:r>
    </w:p>
    <w:p w14:paraId="2E701519" w14:textId="77777777" w:rsidR="00A76826" w:rsidRPr="004714C6" w:rsidRDefault="00A76826" w:rsidP="00647CA7">
      <w:pPr>
        <w:ind w:left="851"/>
        <w:rPr>
          <w:sz w:val="24"/>
          <w:szCs w:val="24"/>
        </w:rPr>
      </w:pPr>
    </w:p>
    <w:p w14:paraId="1CE63BF2" w14:textId="77777777" w:rsidR="00A76826" w:rsidRPr="004714C6" w:rsidRDefault="00A76826" w:rsidP="00647CA7">
      <w:pPr>
        <w:ind w:left="851"/>
        <w:rPr>
          <w:sz w:val="24"/>
          <w:szCs w:val="24"/>
        </w:rPr>
      </w:pPr>
      <w:r w:rsidRPr="004714C6">
        <w:rPr>
          <w:sz w:val="24"/>
          <w:szCs w:val="24"/>
        </w:rPr>
        <w:t>I tabel 5 er anført faktorer, der kan øge blødningsrisikoen.</w:t>
      </w:r>
    </w:p>
    <w:p w14:paraId="479680EA" w14:textId="77777777" w:rsidR="00A76826" w:rsidRPr="004714C6" w:rsidRDefault="00A76826" w:rsidP="00647CA7">
      <w:pPr>
        <w:ind w:left="851"/>
        <w:rPr>
          <w:sz w:val="24"/>
          <w:szCs w:val="24"/>
        </w:rPr>
      </w:pPr>
    </w:p>
    <w:p w14:paraId="73DC6E37" w14:textId="77777777" w:rsidR="00A76826" w:rsidRPr="004714C6" w:rsidRDefault="00A76826" w:rsidP="00A76826">
      <w:pPr>
        <w:keepNext/>
        <w:widowControl w:val="0"/>
        <w:autoSpaceDE w:val="0"/>
        <w:autoSpaceDN w:val="0"/>
        <w:adjustRightInd w:val="0"/>
        <w:spacing w:line="246" w:lineRule="exact"/>
        <w:ind w:right="-20"/>
        <w:rPr>
          <w:b/>
          <w:bCs/>
          <w:sz w:val="24"/>
          <w:szCs w:val="24"/>
        </w:rPr>
      </w:pPr>
      <w:r w:rsidRPr="004714C6">
        <w:rPr>
          <w:b/>
          <w:bCs/>
          <w:sz w:val="24"/>
          <w:szCs w:val="24"/>
        </w:rPr>
        <w:t>Tabel 5:</w:t>
      </w:r>
      <w:r w:rsidRPr="004714C6">
        <w:rPr>
          <w:b/>
          <w:bCs/>
          <w:sz w:val="24"/>
          <w:szCs w:val="24"/>
        </w:rPr>
        <w:tab/>
        <w:t>Faktorer, der kan øge blødningsrisikoen</w:t>
      </w:r>
    </w:p>
    <w:p w14:paraId="6A7D32AF"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4385"/>
        <w:gridCol w:w="5243"/>
      </w:tblGrid>
      <w:tr w:rsidR="00A76826" w:rsidRPr="004714C6" w14:paraId="1E711E5B" w14:textId="77777777" w:rsidTr="0072235D">
        <w:trPr>
          <w:trHeight w:val="20"/>
        </w:trPr>
        <w:tc>
          <w:tcPr>
            <w:tcW w:w="2277" w:type="pct"/>
            <w:tcBorders>
              <w:top w:val="single" w:sz="4" w:space="0" w:color="000000"/>
              <w:left w:val="single" w:sz="4" w:space="0" w:color="000000"/>
              <w:bottom w:val="single" w:sz="4" w:space="0" w:color="000000"/>
              <w:right w:val="single" w:sz="4" w:space="0" w:color="000000"/>
            </w:tcBorders>
          </w:tcPr>
          <w:p w14:paraId="600E4368" w14:textId="77777777" w:rsidR="00A76826" w:rsidRPr="004714C6" w:rsidRDefault="00A76826" w:rsidP="0072235D">
            <w:pPr>
              <w:widowControl w:val="0"/>
              <w:autoSpaceDE w:val="0"/>
              <w:autoSpaceDN w:val="0"/>
              <w:adjustRightInd w:val="0"/>
              <w:ind w:left="100" w:right="-20"/>
              <w:jc w:val="both"/>
              <w:rPr>
                <w:kern w:val="2"/>
                <w:sz w:val="24"/>
                <w:szCs w:val="24"/>
                <w14:ligatures w14:val="standardContextual"/>
              </w:rPr>
            </w:pPr>
          </w:p>
        </w:tc>
        <w:tc>
          <w:tcPr>
            <w:tcW w:w="2723" w:type="pct"/>
            <w:tcBorders>
              <w:top w:val="single" w:sz="4" w:space="0" w:color="000000"/>
              <w:left w:val="single" w:sz="4" w:space="0" w:color="000000"/>
              <w:bottom w:val="single" w:sz="4" w:space="0" w:color="000000"/>
              <w:right w:val="single" w:sz="4" w:space="0" w:color="000000"/>
            </w:tcBorders>
            <w:hideMark/>
          </w:tcPr>
          <w:p w14:paraId="1E3CD2D6" w14:textId="77777777" w:rsidR="00A76826" w:rsidRPr="004714C6" w:rsidRDefault="00A76826" w:rsidP="0072235D">
            <w:pPr>
              <w:widowControl w:val="0"/>
              <w:autoSpaceDE w:val="0"/>
              <w:autoSpaceDN w:val="0"/>
              <w:adjustRightInd w:val="0"/>
              <w:ind w:left="102" w:right="-20"/>
              <w:jc w:val="both"/>
              <w:rPr>
                <w:b/>
                <w:bCs/>
                <w:spacing w:val="-2"/>
                <w:kern w:val="2"/>
                <w:sz w:val="24"/>
                <w:szCs w:val="24"/>
                <w14:ligatures w14:val="standardContextual"/>
              </w:rPr>
            </w:pPr>
            <w:r w:rsidRPr="004714C6">
              <w:rPr>
                <w:b/>
                <w:bCs/>
                <w:spacing w:val="-2"/>
                <w:kern w:val="2"/>
                <w:sz w:val="24"/>
                <w:szCs w:val="24"/>
                <w14:ligatures w14:val="standardContextual"/>
              </w:rPr>
              <w:t>Risikofaktor</w:t>
            </w:r>
          </w:p>
        </w:tc>
      </w:tr>
      <w:tr w:rsidR="00A76826" w:rsidRPr="004714C6" w14:paraId="07A590BB" w14:textId="77777777" w:rsidTr="0072235D">
        <w:trPr>
          <w:trHeight w:val="20"/>
        </w:trPr>
        <w:tc>
          <w:tcPr>
            <w:tcW w:w="2277" w:type="pct"/>
            <w:tcBorders>
              <w:top w:val="single" w:sz="4" w:space="0" w:color="000000"/>
              <w:left w:val="single" w:sz="4" w:space="0" w:color="000000"/>
              <w:bottom w:val="single" w:sz="4" w:space="0" w:color="000000"/>
              <w:right w:val="single" w:sz="4" w:space="0" w:color="000000"/>
            </w:tcBorders>
            <w:hideMark/>
          </w:tcPr>
          <w:p w14:paraId="74A64EE4" w14:textId="77777777" w:rsidR="00A76826" w:rsidRPr="004714C6" w:rsidRDefault="00A76826" w:rsidP="0072235D">
            <w:pPr>
              <w:widowControl w:val="0"/>
              <w:autoSpaceDE w:val="0"/>
              <w:autoSpaceDN w:val="0"/>
              <w:adjustRightInd w:val="0"/>
              <w:ind w:left="100" w:right="-20"/>
              <w:jc w:val="both"/>
              <w:rPr>
                <w:kern w:val="2"/>
                <w:sz w:val="24"/>
                <w:szCs w:val="24"/>
                <w14:ligatures w14:val="standardContextual"/>
              </w:rPr>
            </w:pPr>
            <w:r w:rsidRPr="004714C6">
              <w:rPr>
                <w:kern w:val="2"/>
                <w:sz w:val="24"/>
                <w:szCs w:val="24"/>
                <w14:ligatures w14:val="standardContextual"/>
              </w:rPr>
              <w:t>Farmakodynamiske og kinetiske faktorer</w:t>
            </w:r>
          </w:p>
        </w:tc>
        <w:tc>
          <w:tcPr>
            <w:tcW w:w="2723" w:type="pct"/>
            <w:tcBorders>
              <w:top w:val="single" w:sz="4" w:space="0" w:color="000000"/>
              <w:left w:val="single" w:sz="4" w:space="0" w:color="000000"/>
              <w:bottom w:val="single" w:sz="4" w:space="0" w:color="000000"/>
              <w:right w:val="single" w:sz="4" w:space="0" w:color="000000"/>
            </w:tcBorders>
            <w:hideMark/>
          </w:tcPr>
          <w:p w14:paraId="2B2D65C2" w14:textId="77777777" w:rsidR="00A76826" w:rsidRPr="004714C6" w:rsidRDefault="00A76826" w:rsidP="0072235D">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Alder ≥ 75 år</w:t>
            </w:r>
          </w:p>
        </w:tc>
      </w:tr>
      <w:tr w:rsidR="00A76826" w:rsidRPr="004714C6" w14:paraId="5705813D" w14:textId="77777777" w:rsidTr="0072235D">
        <w:trPr>
          <w:trHeight w:val="20"/>
        </w:trPr>
        <w:tc>
          <w:tcPr>
            <w:tcW w:w="2277" w:type="pct"/>
            <w:tcBorders>
              <w:top w:val="single" w:sz="4" w:space="0" w:color="000000"/>
              <w:left w:val="single" w:sz="4" w:space="0" w:color="000000"/>
              <w:bottom w:val="single" w:sz="4" w:space="0" w:color="000000"/>
              <w:right w:val="single" w:sz="4" w:space="0" w:color="000000"/>
            </w:tcBorders>
            <w:hideMark/>
          </w:tcPr>
          <w:p w14:paraId="75AE13D2" w14:textId="77777777" w:rsidR="00A76826" w:rsidRPr="004714C6" w:rsidRDefault="00A76826" w:rsidP="0072235D">
            <w:pPr>
              <w:widowControl w:val="0"/>
              <w:autoSpaceDE w:val="0"/>
              <w:autoSpaceDN w:val="0"/>
              <w:adjustRightInd w:val="0"/>
              <w:ind w:left="100" w:right="-20"/>
              <w:jc w:val="both"/>
              <w:rPr>
                <w:kern w:val="2"/>
                <w:sz w:val="24"/>
                <w:szCs w:val="24"/>
                <w14:ligatures w14:val="standardContextual"/>
              </w:rPr>
            </w:pPr>
            <w:r w:rsidRPr="004714C6">
              <w:rPr>
                <w:kern w:val="2"/>
                <w:sz w:val="24"/>
                <w:szCs w:val="24"/>
                <w14:ligatures w14:val="standardContextual"/>
              </w:rPr>
              <w:t>Faktorer, der øger dabigatran</w:t>
            </w:r>
            <w:r w:rsidRPr="004714C6">
              <w:rPr>
                <w:kern w:val="2"/>
                <w:sz w:val="24"/>
                <w:szCs w:val="24"/>
                <w14:ligatures w14:val="standardContextual"/>
              </w:rPr>
              <w:noBreakHyphen/>
              <w:t>plasmaniveauet</w:t>
            </w:r>
          </w:p>
        </w:tc>
        <w:tc>
          <w:tcPr>
            <w:tcW w:w="2723" w:type="pct"/>
            <w:tcBorders>
              <w:top w:val="single" w:sz="4" w:space="0" w:color="000000"/>
              <w:left w:val="single" w:sz="4" w:space="0" w:color="000000"/>
              <w:bottom w:val="single" w:sz="4" w:space="0" w:color="000000"/>
              <w:right w:val="single" w:sz="4" w:space="0" w:color="000000"/>
            </w:tcBorders>
          </w:tcPr>
          <w:p w14:paraId="323B60D7" w14:textId="77777777" w:rsidR="00A76826" w:rsidRPr="004714C6" w:rsidRDefault="00A76826" w:rsidP="0072235D">
            <w:pPr>
              <w:widowControl w:val="0"/>
              <w:autoSpaceDE w:val="0"/>
              <w:autoSpaceDN w:val="0"/>
              <w:adjustRightInd w:val="0"/>
              <w:ind w:left="102" w:right="-20"/>
              <w:jc w:val="both"/>
              <w:rPr>
                <w:kern w:val="2"/>
                <w:sz w:val="24"/>
                <w:szCs w:val="24"/>
                <w14:ligatures w14:val="standardContextual"/>
              </w:rPr>
            </w:pPr>
            <w:r w:rsidRPr="004714C6">
              <w:rPr>
                <w:kern w:val="2"/>
                <w:sz w:val="24"/>
                <w:szCs w:val="24"/>
                <w:u w:val="single"/>
                <w14:ligatures w14:val="standardContextual"/>
              </w:rPr>
              <w:t>Betydende:</w:t>
            </w:r>
          </w:p>
          <w:p w14:paraId="2AFEF432"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Moderat nedsat nyrefunktion hos voksne patienter (30</w:t>
            </w:r>
            <w:r w:rsidRPr="004714C6">
              <w:rPr>
                <w:kern w:val="2"/>
                <w:sz w:val="24"/>
                <w:szCs w:val="24"/>
                <w:lang w:val="da-DK"/>
                <w14:ligatures w14:val="standardContextual"/>
              </w:rPr>
              <w:noBreakHyphen/>
              <w:t>50 ml/min CrCL)</w:t>
            </w:r>
          </w:p>
          <w:p w14:paraId="11EADEB6"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Potente P-gp-inhibitorer (se pkt. 4.3 og 4.5)</w:t>
            </w:r>
          </w:p>
          <w:p w14:paraId="7A6E9699"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Samtidig administration af svage til moderate P</w:t>
            </w:r>
            <w:r w:rsidRPr="004714C6">
              <w:rPr>
                <w:kern w:val="2"/>
                <w:sz w:val="24"/>
                <w:szCs w:val="24"/>
                <w:lang w:val="da-DK"/>
                <w14:ligatures w14:val="standardContextual"/>
              </w:rPr>
              <w:noBreakHyphen/>
              <w:t>gp</w:t>
            </w:r>
            <w:r w:rsidRPr="004714C6">
              <w:rPr>
                <w:kern w:val="2"/>
                <w:sz w:val="24"/>
                <w:szCs w:val="24"/>
                <w:lang w:val="da-DK"/>
                <w14:ligatures w14:val="standardContextual"/>
              </w:rPr>
              <w:noBreakHyphen/>
              <w:t>inhibitorer (f.eks. amiodaron, verapamil, kinidin og ticagrelor; se pkt. 4.5)</w:t>
            </w:r>
          </w:p>
          <w:p w14:paraId="7F946B68" w14:textId="77777777" w:rsidR="00A76826" w:rsidRPr="004714C6" w:rsidRDefault="00A76826" w:rsidP="0072235D">
            <w:pPr>
              <w:widowControl w:val="0"/>
              <w:autoSpaceDE w:val="0"/>
              <w:autoSpaceDN w:val="0"/>
              <w:adjustRightInd w:val="0"/>
              <w:jc w:val="both"/>
              <w:rPr>
                <w:kern w:val="2"/>
                <w:sz w:val="24"/>
                <w:szCs w:val="24"/>
                <w14:ligatures w14:val="standardContextual"/>
              </w:rPr>
            </w:pPr>
          </w:p>
          <w:p w14:paraId="7BE9707C" w14:textId="77777777" w:rsidR="00A76826" w:rsidRPr="004714C6" w:rsidRDefault="00A76826" w:rsidP="0072235D">
            <w:pPr>
              <w:widowControl w:val="0"/>
              <w:autoSpaceDE w:val="0"/>
              <w:autoSpaceDN w:val="0"/>
              <w:adjustRightInd w:val="0"/>
              <w:ind w:left="102" w:right="-20"/>
              <w:jc w:val="both"/>
              <w:rPr>
                <w:kern w:val="2"/>
                <w:sz w:val="24"/>
                <w:szCs w:val="24"/>
                <w14:ligatures w14:val="standardContextual"/>
              </w:rPr>
            </w:pPr>
            <w:r w:rsidRPr="004714C6">
              <w:rPr>
                <w:kern w:val="2"/>
                <w:sz w:val="24"/>
                <w:szCs w:val="24"/>
                <w:u w:val="single"/>
                <w14:ligatures w14:val="standardContextual"/>
              </w:rPr>
              <w:t>Mindre betydende:</w:t>
            </w:r>
          </w:p>
          <w:p w14:paraId="458D410E" w14:textId="77777777" w:rsidR="00A76826" w:rsidRPr="004714C6" w:rsidRDefault="00A76826" w:rsidP="0072235D">
            <w:pPr>
              <w:ind w:left="713" w:hanging="567"/>
              <w:jc w:val="both"/>
              <w:rPr>
                <w:kern w:val="2"/>
                <w:sz w:val="24"/>
                <w:szCs w:val="24"/>
                <w14:ligatures w14:val="standardContextual"/>
              </w:rPr>
            </w:pPr>
            <w:r w:rsidRPr="004714C6">
              <w:rPr>
                <w:kern w:val="2"/>
                <w:sz w:val="24"/>
                <w:szCs w:val="24"/>
                <w14:ligatures w14:val="standardContextual"/>
              </w:rPr>
              <w:sym w:font="Segoe MDL2 Assets" w:char="F0B7"/>
            </w:r>
            <w:r w:rsidRPr="004714C6">
              <w:rPr>
                <w:kern w:val="2"/>
                <w:sz w:val="24"/>
                <w:szCs w:val="24"/>
                <w14:ligatures w14:val="standardContextual"/>
              </w:rPr>
              <w:tab/>
              <w:t>Lav legemsvægt (&lt; 50 kg) hos voksne patienter</w:t>
            </w:r>
          </w:p>
        </w:tc>
      </w:tr>
      <w:tr w:rsidR="00A76826" w:rsidRPr="004714C6" w14:paraId="168C881F" w14:textId="77777777" w:rsidTr="0072235D">
        <w:trPr>
          <w:trHeight w:val="20"/>
        </w:trPr>
        <w:tc>
          <w:tcPr>
            <w:tcW w:w="2277" w:type="pct"/>
            <w:tcBorders>
              <w:top w:val="single" w:sz="4" w:space="0" w:color="000000"/>
              <w:left w:val="single" w:sz="4" w:space="0" w:color="000000"/>
              <w:bottom w:val="single" w:sz="4" w:space="0" w:color="000000"/>
              <w:right w:val="single" w:sz="4" w:space="0" w:color="000000"/>
            </w:tcBorders>
            <w:hideMark/>
          </w:tcPr>
          <w:p w14:paraId="093BE21F" w14:textId="77777777" w:rsidR="00A76826" w:rsidRPr="004714C6" w:rsidRDefault="00A76826" w:rsidP="0072235D">
            <w:pPr>
              <w:widowControl w:val="0"/>
              <w:autoSpaceDE w:val="0"/>
              <w:autoSpaceDN w:val="0"/>
              <w:adjustRightInd w:val="0"/>
              <w:ind w:right="-20"/>
              <w:jc w:val="both"/>
              <w:rPr>
                <w:kern w:val="2"/>
                <w:sz w:val="24"/>
                <w:szCs w:val="24"/>
                <w14:ligatures w14:val="standardContextual"/>
              </w:rPr>
            </w:pPr>
            <w:r w:rsidRPr="004714C6">
              <w:rPr>
                <w:kern w:val="2"/>
                <w:sz w:val="24"/>
                <w:szCs w:val="24"/>
                <w14:ligatures w14:val="standardContextual"/>
              </w:rPr>
              <w:t>Farmakodynamiske interaktioner (se pkt. 4.5)</w:t>
            </w:r>
          </w:p>
        </w:tc>
        <w:tc>
          <w:tcPr>
            <w:tcW w:w="2723" w:type="pct"/>
            <w:tcBorders>
              <w:top w:val="single" w:sz="4" w:space="0" w:color="000000"/>
              <w:left w:val="single" w:sz="4" w:space="0" w:color="000000"/>
              <w:bottom w:val="single" w:sz="4" w:space="0" w:color="000000"/>
              <w:right w:val="single" w:sz="4" w:space="0" w:color="000000"/>
            </w:tcBorders>
            <w:hideMark/>
          </w:tcPr>
          <w:p w14:paraId="595E7462"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ASA og andre trombocytaggregationshæmmere, såsom clopidogrel</w:t>
            </w:r>
          </w:p>
          <w:p w14:paraId="17A3CB7D"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NSAID</w:t>
            </w:r>
          </w:p>
          <w:p w14:paraId="01C245DE"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SSRI eller SNRI</w:t>
            </w:r>
          </w:p>
          <w:p w14:paraId="14FF05C1"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Andre lægemidler, der kan påvirke hæmostasen</w:t>
            </w:r>
          </w:p>
        </w:tc>
      </w:tr>
      <w:tr w:rsidR="00A76826" w:rsidRPr="004714C6" w14:paraId="331CDC58" w14:textId="77777777" w:rsidTr="0072235D">
        <w:trPr>
          <w:trHeight w:val="20"/>
        </w:trPr>
        <w:tc>
          <w:tcPr>
            <w:tcW w:w="2277" w:type="pct"/>
            <w:tcBorders>
              <w:top w:val="single" w:sz="4" w:space="0" w:color="000000"/>
              <w:left w:val="single" w:sz="4" w:space="0" w:color="000000"/>
              <w:bottom w:val="single" w:sz="4" w:space="0" w:color="000000"/>
              <w:right w:val="single" w:sz="4" w:space="0" w:color="000000"/>
            </w:tcBorders>
            <w:hideMark/>
          </w:tcPr>
          <w:p w14:paraId="284ED0EC" w14:textId="77777777" w:rsidR="00A76826" w:rsidRPr="004714C6" w:rsidRDefault="00A76826" w:rsidP="0072235D">
            <w:pPr>
              <w:widowControl w:val="0"/>
              <w:autoSpaceDE w:val="0"/>
              <w:autoSpaceDN w:val="0"/>
              <w:adjustRightInd w:val="0"/>
              <w:ind w:left="100" w:right="-20"/>
              <w:rPr>
                <w:kern w:val="2"/>
                <w:sz w:val="24"/>
                <w:szCs w:val="24"/>
                <w14:ligatures w14:val="standardContextual"/>
              </w:rPr>
            </w:pPr>
            <w:r w:rsidRPr="004714C6">
              <w:rPr>
                <w:kern w:val="2"/>
                <w:sz w:val="24"/>
                <w:szCs w:val="24"/>
                <w14:ligatures w14:val="standardContextual"/>
              </w:rPr>
              <w:t>Sygdomme/procedurer med særlig blødningsrisiko</w:t>
            </w:r>
          </w:p>
        </w:tc>
        <w:tc>
          <w:tcPr>
            <w:tcW w:w="2723" w:type="pct"/>
            <w:tcBorders>
              <w:top w:val="single" w:sz="4" w:space="0" w:color="000000"/>
              <w:left w:val="single" w:sz="4" w:space="0" w:color="000000"/>
              <w:bottom w:val="single" w:sz="4" w:space="0" w:color="000000"/>
              <w:right w:val="single" w:sz="4" w:space="0" w:color="000000"/>
            </w:tcBorders>
            <w:hideMark/>
          </w:tcPr>
          <w:p w14:paraId="72B1C865"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Medfødte eller erhvervede koagulationsforstyrrelser</w:t>
            </w:r>
          </w:p>
          <w:p w14:paraId="2961C2A7"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Trombocytopeni eller funktionelle trombocytdefekter</w:t>
            </w:r>
          </w:p>
          <w:p w14:paraId="2675532A"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Nylig biopsi, større traume</w:t>
            </w:r>
          </w:p>
          <w:p w14:paraId="7E044B92"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Bakteriel endokarditis</w:t>
            </w:r>
          </w:p>
          <w:p w14:paraId="05D40DAA" w14:textId="77777777" w:rsidR="00A76826" w:rsidRPr="004714C6" w:rsidRDefault="00A76826" w:rsidP="0072235D">
            <w:pPr>
              <w:pStyle w:val="TableParagraph"/>
              <w:tabs>
                <w:tab w:val="left" w:pos="672"/>
              </w:tabs>
              <w:spacing w:line="240" w:lineRule="auto"/>
              <w:ind w:left="672" w:right="154" w:hanging="567"/>
              <w:rPr>
                <w:kern w:val="2"/>
                <w:sz w:val="24"/>
                <w:szCs w:val="24"/>
                <w:lang w:val="da-DK"/>
                <w14:ligatures w14:val="standardContextual"/>
              </w:rPr>
            </w:pPr>
            <w:r w:rsidRPr="004714C6">
              <w:rPr>
                <w:kern w:val="2"/>
                <w:sz w:val="24"/>
                <w:szCs w:val="24"/>
                <w:lang w:val="da-DK"/>
                <w14:ligatures w14:val="standardContextual"/>
              </w:rPr>
              <w:sym w:font="Segoe MDL2 Assets" w:char="F0B7"/>
            </w:r>
            <w:r w:rsidRPr="004714C6">
              <w:rPr>
                <w:kern w:val="2"/>
                <w:sz w:val="24"/>
                <w:szCs w:val="24"/>
                <w:lang w:val="da-DK"/>
                <w14:ligatures w14:val="standardContextual"/>
              </w:rPr>
              <w:tab/>
              <w:t>Øsofagitis, gastritis eller gastroøsofageal refluks</w:t>
            </w:r>
          </w:p>
        </w:tc>
      </w:tr>
    </w:tbl>
    <w:p w14:paraId="753DEE89" w14:textId="77777777" w:rsidR="00A76826" w:rsidRPr="004714C6" w:rsidRDefault="00A76826" w:rsidP="00647CA7">
      <w:pPr>
        <w:ind w:left="851"/>
        <w:rPr>
          <w:sz w:val="24"/>
          <w:szCs w:val="24"/>
        </w:rPr>
      </w:pPr>
    </w:p>
    <w:p w14:paraId="63F5046A" w14:textId="77777777" w:rsidR="00A76826" w:rsidRPr="004714C6" w:rsidRDefault="00A76826" w:rsidP="00647CA7">
      <w:pPr>
        <w:ind w:left="851"/>
        <w:rPr>
          <w:sz w:val="24"/>
          <w:szCs w:val="24"/>
        </w:rPr>
      </w:pPr>
      <w:r w:rsidRPr="004714C6">
        <w:rPr>
          <w:sz w:val="24"/>
          <w:szCs w:val="24"/>
        </w:rPr>
        <w:t>Data for voksne patienter &lt; 50 kg er begrænsede (se pkt. 5.2).</w:t>
      </w:r>
    </w:p>
    <w:p w14:paraId="49B74015" w14:textId="77777777" w:rsidR="00A76826" w:rsidRPr="004714C6" w:rsidRDefault="00A76826" w:rsidP="00647CA7">
      <w:pPr>
        <w:ind w:left="851"/>
        <w:rPr>
          <w:sz w:val="24"/>
          <w:szCs w:val="24"/>
        </w:rPr>
      </w:pPr>
    </w:p>
    <w:p w14:paraId="16223CD9" w14:textId="77777777" w:rsidR="00A76826" w:rsidRPr="004714C6" w:rsidRDefault="00A76826" w:rsidP="00647CA7">
      <w:pPr>
        <w:ind w:left="851"/>
        <w:rPr>
          <w:sz w:val="24"/>
          <w:szCs w:val="24"/>
        </w:rPr>
      </w:pPr>
      <w:r w:rsidRPr="004714C6">
        <w:rPr>
          <w:sz w:val="24"/>
          <w:szCs w:val="24"/>
        </w:rPr>
        <w:t>Samtidig anvendelse af dabigatranetexilat med P-gp-inhibitorer er ikke blevet undersøgt hos pædiatriske patienter, men kan øge risikoen for blødning (se pkt. 4.5).</w:t>
      </w:r>
    </w:p>
    <w:p w14:paraId="3A8514CB" w14:textId="77777777" w:rsidR="00A76826" w:rsidRPr="004714C6" w:rsidRDefault="00A76826" w:rsidP="00647CA7">
      <w:pPr>
        <w:ind w:left="851"/>
        <w:rPr>
          <w:sz w:val="24"/>
          <w:szCs w:val="24"/>
        </w:rPr>
      </w:pPr>
    </w:p>
    <w:p w14:paraId="1E7B7FEC" w14:textId="77777777" w:rsidR="00A76826" w:rsidRPr="004714C6" w:rsidRDefault="00A76826" w:rsidP="00647CA7">
      <w:pPr>
        <w:ind w:left="851"/>
        <w:rPr>
          <w:i/>
          <w:iCs/>
          <w:sz w:val="24"/>
          <w:szCs w:val="24"/>
        </w:rPr>
      </w:pPr>
      <w:r w:rsidRPr="004714C6">
        <w:rPr>
          <w:i/>
          <w:iCs/>
          <w:sz w:val="24"/>
          <w:szCs w:val="24"/>
        </w:rPr>
        <w:t>Forsigtighedsregler og behandling af blødningsrisiko</w:t>
      </w:r>
    </w:p>
    <w:p w14:paraId="02E741DA" w14:textId="77777777" w:rsidR="00A76826" w:rsidRPr="004714C6" w:rsidRDefault="00A76826" w:rsidP="00647CA7">
      <w:pPr>
        <w:ind w:left="851"/>
        <w:rPr>
          <w:sz w:val="24"/>
          <w:szCs w:val="24"/>
        </w:rPr>
      </w:pPr>
    </w:p>
    <w:p w14:paraId="7CD5F5C0" w14:textId="77777777" w:rsidR="00A76826" w:rsidRPr="004714C6" w:rsidRDefault="00A76826" w:rsidP="00647CA7">
      <w:pPr>
        <w:ind w:left="851"/>
        <w:rPr>
          <w:sz w:val="24"/>
          <w:szCs w:val="24"/>
        </w:rPr>
      </w:pPr>
      <w:r w:rsidRPr="004714C6">
        <w:rPr>
          <w:sz w:val="24"/>
          <w:szCs w:val="24"/>
        </w:rPr>
        <w:t>For behandling af blødningskomplikationer, se også pkt. 4.9.</w:t>
      </w:r>
    </w:p>
    <w:p w14:paraId="3741B160" w14:textId="77777777" w:rsidR="00A76826" w:rsidRPr="004714C6" w:rsidRDefault="00A76826" w:rsidP="00647CA7">
      <w:pPr>
        <w:ind w:left="851"/>
        <w:rPr>
          <w:sz w:val="24"/>
          <w:szCs w:val="24"/>
        </w:rPr>
      </w:pPr>
    </w:p>
    <w:p w14:paraId="6E3E8C8F" w14:textId="77777777" w:rsidR="00A76826" w:rsidRPr="004714C6" w:rsidRDefault="00A76826" w:rsidP="00647CA7">
      <w:pPr>
        <w:ind w:left="851"/>
        <w:rPr>
          <w:i/>
          <w:iCs/>
          <w:sz w:val="24"/>
          <w:szCs w:val="24"/>
        </w:rPr>
      </w:pPr>
      <w:r w:rsidRPr="004714C6">
        <w:rPr>
          <w:i/>
          <w:iCs/>
          <w:sz w:val="24"/>
          <w:szCs w:val="24"/>
        </w:rPr>
        <w:t>Benefit</w:t>
      </w:r>
      <w:r w:rsidRPr="004714C6">
        <w:rPr>
          <w:i/>
          <w:iCs/>
          <w:sz w:val="24"/>
          <w:szCs w:val="24"/>
        </w:rPr>
        <w:noBreakHyphen/>
        <w:t>risk</w:t>
      </w:r>
      <w:r w:rsidRPr="004714C6">
        <w:rPr>
          <w:i/>
          <w:iCs/>
          <w:sz w:val="24"/>
          <w:szCs w:val="24"/>
        </w:rPr>
        <w:noBreakHyphen/>
        <w:t>vurdering</w:t>
      </w:r>
    </w:p>
    <w:p w14:paraId="70A33E3C" w14:textId="77777777" w:rsidR="00A76826" w:rsidRPr="004714C6" w:rsidRDefault="00A76826" w:rsidP="00647CA7">
      <w:pPr>
        <w:ind w:left="851"/>
        <w:rPr>
          <w:sz w:val="24"/>
          <w:szCs w:val="24"/>
        </w:rPr>
      </w:pPr>
    </w:p>
    <w:p w14:paraId="41978067" w14:textId="77777777" w:rsidR="00A76826" w:rsidRPr="004714C6" w:rsidRDefault="00A76826" w:rsidP="00647CA7">
      <w:pPr>
        <w:ind w:left="851"/>
        <w:rPr>
          <w:sz w:val="24"/>
          <w:szCs w:val="24"/>
        </w:rPr>
      </w:pPr>
      <w:r w:rsidRPr="004714C6">
        <w:rPr>
          <w:sz w:val="24"/>
          <w:szCs w:val="24"/>
        </w:rPr>
        <w:t>Forekomst af læsioner, tilstande, procedurer og/eller farmakologisk behandling (såsom NSAID, antitrombotiske midler, SSRI og SNRI, se pkt. 4.5), der i signifikant grad øger risikoen for en alvorlig blødning, kræver en omhyggelig afvejning af fordele og risici. Dabigatranetexilat bør kun gives, hvis fordelene opvejer risikoen for blødning.</w:t>
      </w:r>
    </w:p>
    <w:p w14:paraId="6C25CBF4" w14:textId="77777777" w:rsidR="00A76826" w:rsidRPr="004714C6" w:rsidRDefault="00A76826" w:rsidP="00647CA7">
      <w:pPr>
        <w:ind w:left="851"/>
        <w:rPr>
          <w:sz w:val="24"/>
          <w:szCs w:val="24"/>
        </w:rPr>
      </w:pPr>
    </w:p>
    <w:p w14:paraId="010E35FF" w14:textId="77777777" w:rsidR="00A76826" w:rsidRPr="004714C6" w:rsidRDefault="00A76826" w:rsidP="00647CA7">
      <w:pPr>
        <w:ind w:left="851"/>
        <w:rPr>
          <w:sz w:val="24"/>
          <w:szCs w:val="24"/>
        </w:rPr>
      </w:pPr>
      <w:r w:rsidRPr="004714C6">
        <w:rPr>
          <w:sz w:val="24"/>
          <w:szCs w:val="24"/>
        </w:rPr>
        <w:t>Der er begrænsede kliniske data tilgængelige for pædiatriske patienter med risikofaktorer, herunder patienter med aktiv meningitis, encefalitis og intrakraniel absces (se pkt. 5.1). Dabigatranetexilat bør kun gives til disse patienter, hvis de forventede fordele opvejer risikoen for blødning.</w:t>
      </w:r>
    </w:p>
    <w:p w14:paraId="193A2FE9" w14:textId="77777777" w:rsidR="00A76826" w:rsidRPr="004714C6" w:rsidRDefault="00A76826" w:rsidP="00647CA7">
      <w:pPr>
        <w:ind w:left="851"/>
        <w:rPr>
          <w:sz w:val="24"/>
          <w:szCs w:val="24"/>
        </w:rPr>
      </w:pPr>
    </w:p>
    <w:p w14:paraId="684CC0EE" w14:textId="77777777" w:rsidR="00A76826" w:rsidRPr="004714C6" w:rsidRDefault="00A76826" w:rsidP="00647CA7">
      <w:pPr>
        <w:ind w:left="851"/>
        <w:rPr>
          <w:i/>
          <w:iCs/>
          <w:sz w:val="24"/>
          <w:szCs w:val="24"/>
        </w:rPr>
      </w:pPr>
      <w:r w:rsidRPr="004714C6">
        <w:rPr>
          <w:i/>
          <w:iCs/>
          <w:sz w:val="24"/>
          <w:szCs w:val="24"/>
        </w:rPr>
        <w:t>Tæt klinisk overvågning</w:t>
      </w:r>
    </w:p>
    <w:p w14:paraId="63925425" w14:textId="77777777" w:rsidR="00A76826" w:rsidRPr="004714C6" w:rsidRDefault="00A76826" w:rsidP="00647CA7">
      <w:pPr>
        <w:ind w:left="851"/>
        <w:rPr>
          <w:sz w:val="24"/>
          <w:szCs w:val="24"/>
        </w:rPr>
      </w:pPr>
    </w:p>
    <w:p w14:paraId="7FB30453" w14:textId="77777777" w:rsidR="00A76826" w:rsidRPr="004714C6" w:rsidRDefault="00A76826" w:rsidP="00647CA7">
      <w:pPr>
        <w:ind w:left="851"/>
        <w:rPr>
          <w:sz w:val="24"/>
          <w:szCs w:val="24"/>
        </w:rPr>
      </w:pPr>
      <w:r w:rsidRPr="004714C6">
        <w:rPr>
          <w:sz w:val="24"/>
          <w:szCs w:val="24"/>
        </w:rPr>
        <w:t>Nøje observation af tegn på blødning eller anæmi anbefales i hele behandlingsperioden, især hvis der er flere risikofaktorer (se tabel 5 ovenfor). Der skal udvises særlig forsigtighed, når dabigatranetexilat administreres sammen med verapamil, amiodaron, kinidin eller clarithromycin (P-gp-inhibitorer), og især, hvis der forekommer blødning, specielt hos patienter med nedsat nyrefunktion (se pkt. 4.5).</w:t>
      </w:r>
    </w:p>
    <w:p w14:paraId="11B9F225" w14:textId="77777777" w:rsidR="00A76826" w:rsidRPr="004714C6" w:rsidRDefault="00A76826" w:rsidP="00647CA7">
      <w:pPr>
        <w:ind w:left="851"/>
        <w:rPr>
          <w:sz w:val="24"/>
          <w:szCs w:val="24"/>
        </w:rPr>
      </w:pPr>
      <w:r w:rsidRPr="004714C6">
        <w:rPr>
          <w:sz w:val="24"/>
          <w:szCs w:val="24"/>
        </w:rPr>
        <w:t>Nøje observation af tegn på blødning anbefales hos patienter, der samtidigt behandles med NSAID (se pkt. 4.5).</w:t>
      </w:r>
    </w:p>
    <w:p w14:paraId="258B3103" w14:textId="77777777" w:rsidR="00A76826" w:rsidRPr="004714C6" w:rsidRDefault="00A76826" w:rsidP="00647CA7">
      <w:pPr>
        <w:ind w:left="851"/>
        <w:rPr>
          <w:sz w:val="24"/>
          <w:szCs w:val="24"/>
        </w:rPr>
      </w:pPr>
    </w:p>
    <w:p w14:paraId="67E40313" w14:textId="77777777" w:rsidR="00A76826" w:rsidRPr="004714C6" w:rsidRDefault="00A76826" w:rsidP="00647CA7">
      <w:pPr>
        <w:ind w:left="851"/>
        <w:rPr>
          <w:i/>
          <w:iCs/>
          <w:sz w:val="24"/>
          <w:szCs w:val="24"/>
        </w:rPr>
      </w:pPr>
      <w:r w:rsidRPr="004714C6">
        <w:rPr>
          <w:i/>
          <w:iCs/>
          <w:sz w:val="24"/>
          <w:szCs w:val="24"/>
        </w:rPr>
        <w:t>Seponering af dabigatranetexilat</w:t>
      </w:r>
    </w:p>
    <w:p w14:paraId="3156D894" w14:textId="77777777" w:rsidR="00A76826" w:rsidRPr="004714C6" w:rsidRDefault="00A76826" w:rsidP="00647CA7">
      <w:pPr>
        <w:ind w:left="851"/>
        <w:rPr>
          <w:sz w:val="24"/>
          <w:szCs w:val="24"/>
        </w:rPr>
      </w:pPr>
    </w:p>
    <w:p w14:paraId="6BBF7616" w14:textId="77777777" w:rsidR="00A76826" w:rsidRPr="004714C6" w:rsidRDefault="00A76826" w:rsidP="00647CA7">
      <w:pPr>
        <w:ind w:left="851"/>
        <w:rPr>
          <w:sz w:val="24"/>
          <w:szCs w:val="24"/>
        </w:rPr>
      </w:pPr>
      <w:r w:rsidRPr="004714C6">
        <w:rPr>
          <w:sz w:val="24"/>
          <w:szCs w:val="24"/>
        </w:rPr>
        <w:t>Patienter, som udvikler akut nyresvigt, skal stoppe behandlingen med dabigatranetexilat (se også pkt. 4.3).</w:t>
      </w:r>
    </w:p>
    <w:p w14:paraId="2B221F68" w14:textId="77777777" w:rsidR="00A76826" w:rsidRPr="004714C6" w:rsidRDefault="00A76826" w:rsidP="00647CA7">
      <w:pPr>
        <w:ind w:left="851"/>
        <w:rPr>
          <w:sz w:val="24"/>
          <w:szCs w:val="24"/>
        </w:rPr>
      </w:pPr>
    </w:p>
    <w:p w14:paraId="571BA488" w14:textId="77777777" w:rsidR="00A76826" w:rsidRPr="004714C6" w:rsidRDefault="00A76826" w:rsidP="00647CA7">
      <w:pPr>
        <w:ind w:left="851"/>
        <w:rPr>
          <w:sz w:val="24"/>
          <w:szCs w:val="24"/>
        </w:rPr>
      </w:pPr>
      <w:r w:rsidRPr="004714C6">
        <w:rPr>
          <w:sz w:val="24"/>
          <w:szCs w:val="24"/>
        </w:rPr>
        <w:t>I tilfælde af alvorlig blødning skal behandlingen seponeres, og årsagen til blødningen undersøges. Anvendelsen af den specifikke antidot (idarucizumab) kan overvejes til voksne patienter. Idarucizumabs virkning og sikkerhed hos pædiatriske patienter er ikke klarlagt. Hæmodialyse kan fjerne dabigatran.</w:t>
      </w:r>
    </w:p>
    <w:p w14:paraId="5A83E7BF" w14:textId="116E3393" w:rsidR="00326117" w:rsidRDefault="00326117">
      <w:pPr>
        <w:rPr>
          <w:sz w:val="24"/>
          <w:szCs w:val="24"/>
        </w:rPr>
      </w:pPr>
      <w:r>
        <w:rPr>
          <w:sz w:val="24"/>
          <w:szCs w:val="24"/>
        </w:rPr>
        <w:br w:type="page"/>
      </w:r>
    </w:p>
    <w:p w14:paraId="4BBD3C1C" w14:textId="77777777" w:rsidR="00A76826" w:rsidRPr="004714C6" w:rsidRDefault="00A76826" w:rsidP="00647CA7">
      <w:pPr>
        <w:ind w:left="851"/>
        <w:rPr>
          <w:sz w:val="24"/>
          <w:szCs w:val="24"/>
        </w:rPr>
      </w:pPr>
    </w:p>
    <w:p w14:paraId="115E6B46" w14:textId="77777777" w:rsidR="00A76826" w:rsidRPr="004714C6" w:rsidRDefault="00A76826" w:rsidP="00647CA7">
      <w:pPr>
        <w:ind w:left="851"/>
        <w:rPr>
          <w:i/>
          <w:iCs/>
          <w:sz w:val="24"/>
          <w:szCs w:val="24"/>
        </w:rPr>
      </w:pPr>
      <w:r w:rsidRPr="004714C6">
        <w:rPr>
          <w:i/>
          <w:iCs/>
          <w:sz w:val="24"/>
          <w:szCs w:val="24"/>
        </w:rPr>
        <w:t>Brug af protonpumpehæmmere</w:t>
      </w:r>
    </w:p>
    <w:p w14:paraId="6E460A95" w14:textId="77777777" w:rsidR="00A76826" w:rsidRPr="004714C6" w:rsidRDefault="00A76826" w:rsidP="00647CA7">
      <w:pPr>
        <w:ind w:left="851"/>
        <w:rPr>
          <w:sz w:val="24"/>
          <w:szCs w:val="24"/>
        </w:rPr>
      </w:pPr>
    </w:p>
    <w:p w14:paraId="1010F223" w14:textId="77777777" w:rsidR="00A76826" w:rsidRPr="004714C6" w:rsidRDefault="00A76826" w:rsidP="00647CA7">
      <w:pPr>
        <w:ind w:left="851"/>
        <w:rPr>
          <w:sz w:val="24"/>
          <w:szCs w:val="24"/>
        </w:rPr>
      </w:pPr>
      <w:r w:rsidRPr="004714C6">
        <w:rPr>
          <w:sz w:val="24"/>
          <w:szCs w:val="24"/>
        </w:rPr>
        <w:t>Administrationen af en protonpumpehæmmer (PPI) kan overvejes, for at forhindre gastrointestinal blødning. Ved behandling af pædiatriske patienter skal anbefalingerne i produktinformationen for protonpumpehæmmere følges.</w:t>
      </w:r>
    </w:p>
    <w:p w14:paraId="7525F3DD" w14:textId="77777777" w:rsidR="00A76826" w:rsidRPr="004714C6" w:rsidRDefault="00A76826" w:rsidP="00647CA7">
      <w:pPr>
        <w:ind w:left="851"/>
        <w:rPr>
          <w:sz w:val="24"/>
          <w:szCs w:val="24"/>
        </w:rPr>
      </w:pPr>
    </w:p>
    <w:p w14:paraId="4C096C9B" w14:textId="77777777" w:rsidR="00A76826" w:rsidRPr="004714C6" w:rsidRDefault="00A76826" w:rsidP="00647CA7">
      <w:pPr>
        <w:ind w:left="851"/>
        <w:rPr>
          <w:i/>
          <w:iCs/>
          <w:sz w:val="24"/>
          <w:szCs w:val="24"/>
        </w:rPr>
      </w:pPr>
      <w:r w:rsidRPr="004714C6">
        <w:rPr>
          <w:i/>
          <w:iCs/>
          <w:sz w:val="24"/>
          <w:szCs w:val="24"/>
        </w:rPr>
        <w:t>Koagulationsparametre i laboratoriet</w:t>
      </w:r>
    </w:p>
    <w:p w14:paraId="209851F3" w14:textId="77777777" w:rsidR="00A76826" w:rsidRPr="004714C6" w:rsidRDefault="00A76826" w:rsidP="00647CA7">
      <w:pPr>
        <w:ind w:left="851"/>
        <w:rPr>
          <w:sz w:val="24"/>
          <w:szCs w:val="24"/>
        </w:rPr>
      </w:pPr>
    </w:p>
    <w:p w14:paraId="0E8C9060" w14:textId="77777777" w:rsidR="00A76826" w:rsidRPr="004714C6" w:rsidRDefault="00A76826" w:rsidP="00647CA7">
      <w:pPr>
        <w:ind w:left="851"/>
        <w:rPr>
          <w:sz w:val="24"/>
          <w:szCs w:val="24"/>
        </w:rPr>
      </w:pPr>
      <w:r w:rsidRPr="004714C6">
        <w:rPr>
          <w:sz w:val="24"/>
          <w:szCs w:val="24"/>
        </w:rPr>
        <w:t>Selvom der ikke generelt er behov for rutinemæssig monitorering af antikoagulation med dette lægemiddel, kan måling af dabigatran</w:t>
      </w:r>
      <w:r w:rsidRPr="004714C6">
        <w:rPr>
          <w:sz w:val="24"/>
          <w:szCs w:val="24"/>
        </w:rPr>
        <w:noBreakHyphen/>
        <w:t>relateret antikoagulation være en hjælp til at detektere for høj eksponering for dabigatran ved tilstedeværelse af yderligere risikofaktorer.</w:t>
      </w:r>
    </w:p>
    <w:p w14:paraId="418B7616" w14:textId="77777777" w:rsidR="00A76826" w:rsidRPr="004714C6" w:rsidRDefault="00A76826" w:rsidP="00647CA7">
      <w:pPr>
        <w:ind w:left="851"/>
        <w:rPr>
          <w:sz w:val="24"/>
          <w:szCs w:val="24"/>
        </w:rPr>
      </w:pPr>
      <w:r w:rsidRPr="004714C6">
        <w:rPr>
          <w:sz w:val="24"/>
          <w:szCs w:val="24"/>
        </w:rPr>
        <w:t>Fortyndet trombintid (dTT), ecarin</w:t>
      </w:r>
      <w:r w:rsidRPr="004714C6">
        <w:rPr>
          <w:sz w:val="24"/>
          <w:szCs w:val="24"/>
        </w:rPr>
        <w:noBreakHyphen/>
        <w:t>koagulationstid (ECT) og aktiveret partiel tromboplastintid (aPTT) kan give nyttig information, men resultaterne skal tolkes med forsigtighed, på grund af variabilitet fra test til test (se pkt. 5.1). Den internationale normaliserede ratio (INR) er upålidelig hos patienter i behandling med dabigatranetexilat, og der er rapporteret falsk positive INR-stigninger. Derfor bør der ikke foretages INR</w:t>
      </w:r>
      <w:r w:rsidRPr="004714C6">
        <w:rPr>
          <w:sz w:val="24"/>
          <w:szCs w:val="24"/>
        </w:rPr>
        <w:noBreakHyphen/>
        <w:t>måling.</w:t>
      </w:r>
    </w:p>
    <w:p w14:paraId="1E3E0136" w14:textId="77777777" w:rsidR="00A76826" w:rsidRPr="004714C6" w:rsidRDefault="00A76826" w:rsidP="00647CA7">
      <w:pPr>
        <w:ind w:left="851"/>
        <w:rPr>
          <w:sz w:val="24"/>
          <w:szCs w:val="24"/>
        </w:rPr>
      </w:pPr>
    </w:p>
    <w:p w14:paraId="4BC13894" w14:textId="77777777" w:rsidR="00A76826" w:rsidRPr="004714C6" w:rsidRDefault="00A76826" w:rsidP="00647CA7">
      <w:pPr>
        <w:ind w:left="851"/>
        <w:rPr>
          <w:sz w:val="24"/>
          <w:szCs w:val="24"/>
        </w:rPr>
      </w:pPr>
      <w:r w:rsidRPr="004714C6">
        <w:rPr>
          <w:sz w:val="24"/>
          <w:szCs w:val="24"/>
        </w:rPr>
        <w:t>I tabel 6 er anført koagulationstest</w:t>
      </w:r>
      <w:r w:rsidRPr="004714C6">
        <w:rPr>
          <w:sz w:val="24"/>
          <w:szCs w:val="24"/>
        </w:rPr>
        <w:noBreakHyphen/>
        <w:t xml:space="preserve">grænseværdier ved </w:t>
      </w:r>
      <w:r w:rsidRPr="004714C6">
        <w:rPr>
          <w:i/>
          <w:iCs/>
          <w:sz w:val="24"/>
          <w:szCs w:val="24"/>
        </w:rPr>
        <w:t>trough</w:t>
      </w:r>
      <w:r w:rsidRPr="004714C6">
        <w:rPr>
          <w:sz w:val="24"/>
          <w:szCs w:val="24"/>
        </w:rPr>
        <w:t xml:space="preserve"> (dal-værdi) for voksne patienter, der kan være forbundet med en øget blødningsrisiko. De respektive grænseværdier for pædiatriske patienter kendes ikke (se pkt. 5.1).</w:t>
      </w:r>
    </w:p>
    <w:p w14:paraId="4EA455F0" w14:textId="77777777" w:rsidR="00A76826" w:rsidRPr="004714C6" w:rsidRDefault="00A76826" w:rsidP="00647CA7">
      <w:pPr>
        <w:ind w:left="851"/>
        <w:rPr>
          <w:b/>
          <w:bCs/>
          <w:sz w:val="24"/>
          <w:szCs w:val="24"/>
        </w:rPr>
      </w:pPr>
    </w:p>
    <w:p w14:paraId="1181BFAB"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6:</w:t>
      </w:r>
      <w:r w:rsidRPr="004714C6">
        <w:rPr>
          <w:b/>
          <w:bCs/>
          <w:sz w:val="24"/>
          <w:szCs w:val="24"/>
        </w:rPr>
        <w:tab/>
        <w:t>Koagulationstest</w:t>
      </w:r>
      <w:r w:rsidRPr="004714C6">
        <w:rPr>
          <w:b/>
          <w:bCs/>
          <w:sz w:val="24"/>
          <w:szCs w:val="24"/>
        </w:rPr>
        <w:noBreakHyphen/>
        <w:t xml:space="preserve">grænseværdier ved </w:t>
      </w:r>
      <w:r w:rsidRPr="004714C6">
        <w:rPr>
          <w:b/>
          <w:bCs/>
          <w:i/>
          <w:iCs/>
          <w:sz w:val="24"/>
          <w:szCs w:val="24"/>
        </w:rPr>
        <w:t xml:space="preserve">trough </w:t>
      </w:r>
      <w:r w:rsidRPr="004714C6">
        <w:rPr>
          <w:b/>
          <w:bCs/>
          <w:sz w:val="24"/>
          <w:szCs w:val="24"/>
        </w:rPr>
        <w:t>(dal-værdi) for voksne patienter, der kan være forbundet med en øget blødningsrisiko</w:t>
      </w:r>
    </w:p>
    <w:p w14:paraId="39A2B0AE"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3828"/>
        <w:gridCol w:w="2738"/>
        <w:gridCol w:w="3062"/>
      </w:tblGrid>
      <w:tr w:rsidR="00A76826" w:rsidRPr="004714C6" w14:paraId="3C909492" w14:textId="77777777" w:rsidTr="00647CA7">
        <w:trPr>
          <w:trHeight w:hRule="exact" w:val="264"/>
        </w:trPr>
        <w:tc>
          <w:tcPr>
            <w:tcW w:w="1988" w:type="pct"/>
            <w:tcBorders>
              <w:top w:val="single" w:sz="4" w:space="0" w:color="000000"/>
              <w:left w:val="single" w:sz="4" w:space="0" w:color="000000"/>
              <w:bottom w:val="single" w:sz="4" w:space="0" w:color="000000"/>
              <w:right w:val="single" w:sz="4" w:space="0" w:color="000000"/>
            </w:tcBorders>
            <w:hideMark/>
          </w:tcPr>
          <w:p w14:paraId="3160C779" w14:textId="77777777" w:rsidR="00A76826" w:rsidRPr="004714C6" w:rsidRDefault="00A76826">
            <w:pPr>
              <w:widowControl w:val="0"/>
              <w:autoSpaceDE w:val="0"/>
              <w:autoSpaceDN w:val="0"/>
              <w:adjustRightInd w:val="0"/>
              <w:spacing w:line="248" w:lineRule="exact"/>
              <w:ind w:left="100" w:right="-20"/>
              <w:jc w:val="both"/>
              <w:rPr>
                <w:b/>
                <w:bCs/>
                <w:kern w:val="2"/>
                <w:sz w:val="24"/>
                <w:szCs w:val="24"/>
                <w14:ligatures w14:val="standardContextual"/>
              </w:rPr>
            </w:pPr>
            <w:r w:rsidRPr="004714C6">
              <w:rPr>
                <w:b/>
                <w:bCs/>
                <w:kern w:val="2"/>
                <w:sz w:val="24"/>
                <w:szCs w:val="24"/>
                <w14:ligatures w14:val="standardContextual"/>
              </w:rPr>
              <w:t>Test (</w:t>
            </w:r>
            <w:r w:rsidRPr="004714C6">
              <w:rPr>
                <w:b/>
                <w:bCs/>
                <w:i/>
                <w:iCs/>
                <w:kern w:val="2"/>
                <w:sz w:val="24"/>
                <w:szCs w:val="24"/>
                <w14:ligatures w14:val="standardContextual"/>
              </w:rPr>
              <w:t>trough</w:t>
            </w:r>
            <w:r w:rsidRPr="004714C6">
              <w:rPr>
                <w:b/>
                <w:bCs/>
                <w:kern w:val="2"/>
                <w:sz w:val="24"/>
                <w:szCs w:val="24"/>
                <w14:ligatures w14:val="standardContextual"/>
              </w:rPr>
              <w:noBreakHyphen/>
              <w:t>værdi)</w:t>
            </w:r>
          </w:p>
        </w:tc>
        <w:tc>
          <w:tcPr>
            <w:tcW w:w="3012" w:type="pct"/>
            <w:gridSpan w:val="2"/>
            <w:tcBorders>
              <w:top w:val="single" w:sz="4" w:space="0" w:color="000000"/>
              <w:left w:val="single" w:sz="4" w:space="0" w:color="000000"/>
              <w:bottom w:val="single" w:sz="4" w:space="0" w:color="000000"/>
              <w:right w:val="single" w:sz="4" w:space="0" w:color="000000"/>
            </w:tcBorders>
            <w:hideMark/>
          </w:tcPr>
          <w:p w14:paraId="68D132A3" w14:textId="77777777" w:rsidR="00A76826" w:rsidRPr="004714C6" w:rsidRDefault="00A76826">
            <w:pPr>
              <w:widowControl w:val="0"/>
              <w:autoSpaceDE w:val="0"/>
              <w:autoSpaceDN w:val="0"/>
              <w:adjustRightInd w:val="0"/>
              <w:spacing w:line="248" w:lineRule="exact"/>
              <w:ind w:left="2242" w:right="2222"/>
              <w:jc w:val="both"/>
              <w:rPr>
                <w:b/>
                <w:bCs/>
                <w:kern w:val="2"/>
                <w:sz w:val="24"/>
                <w:szCs w:val="24"/>
                <w14:ligatures w14:val="standardContextual"/>
              </w:rPr>
            </w:pPr>
            <w:r w:rsidRPr="004714C6">
              <w:rPr>
                <w:b/>
                <w:bCs/>
                <w:kern w:val="2"/>
                <w:sz w:val="24"/>
                <w:szCs w:val="24"/>
                <w14:ligatures w14:val="standardContextual"/>
              </w:rPr>
              <w:t>Indikationer</w:t>
            </w:r>
          </w:p>
        </w:tc>
      </w:tr>
      <w:tr w:rsidR="00A76826" w:rsidRPr="004714C6" w14:paraId="6E4C0207" w14:textId="77777777" w:rsidTr="00647CA7">
        <w:trPr>
          <w:trHeight w:hRule="exact" w:val="596"/>
        </w:trPr>
        <w:tc>
          <w:tcPr>
            <w:tcW w:w="1988" w:type="pct"/>
            <w:tcBorders>
              <w:top w:val="single" w:sz="4" w:space="0" w:color="000000"/>
              <w:left w:val="single" w:sz="4" w:space="0" w:color="000000"/>
              <w:bottom w:val="single" w:sz="4" w:space="0" w:color="000000"/>
              <w:right w:val="single" w:sz="4" w:space="0" w:color="000000"/>
            </w:tcBorders>
          </w:tcPr>
          <w:p w14:paraId="11A07A76" w14:textId="77777777" w:rsidR="00A76826" w:rsidRPr="004714C6" w:rsidRDefault="00A76826">
            <w:pPr>
              <w:widowControl w:val="0"/>
              <w:autoSpaceDE w:val="0"/>
              <w:autoSpaceDN w:val="0"/>
              <w:adjustRightInd w:val="0"/>
              <w:spacing w:line="256" w:lineRule="auto"/>
              <w:jc w:val="both"/>
              <w:rPr>
                <w:kern w:val="2"/>
                <w:sz w:val="24"/>
                <w:szCs w:val="24"/>
                <w14:ligatures w14:val="standardContextual"/>
              </w:rPr>
            </w:pPr>
          </w:p>
        </w:tc>
        <w:tc>
          <w:tcPr>
            <w:tcW w:w="1422" w:type="pct"/>
            <w:tcBorders>
              <w:top w:val="single" w:sz="4" w:space="0" w:color="000000"/>
              <w:left w:val="single" w:sz="4" w:space="0" w:color="000000"/>
              <w:bottom w:val="single" w:sz="4" w:space="0" w:color="000000"/>
              <w:right w:val="single" w:sz="4" w:space="0" w:color="000000"/>
            </w:tcBorders>
            <w:hideMark/>
          </w:tcPr>
          <w:p w14:paraId="5486B70A" w14:textId="77777777" w:rsidR="00A76826" w:rsidRPr="004714C6" w:rsidRDefault="00A76826">
            <w:pPr>
              <w:widowControl w:val="0"/>
              <w:autoSpaceDE w:val="0"/>
              <w:autoSpaceDN w:val="0"/>
              <w:adjustRightInd w:val="0"/>
              <w:spacing w:line="246" w:lineRule="exact"/>
              <w:ind w:left="102" w:right="-20"/>
              <w:rPr>
                <w:b/>
                <w:bCs/>
                <w:kern w:val="2"/>
                <w:sz w:val="24"/>
                <w:szCs w:val="24"/>
                <w14:ligatures w14:val="standardContextual"/>
              </w:rPr>
            </w:pPr>
            <w:r w:rsidRPr="004714C6">
              <w:rPr>
                <w:b/>
                <w:bCs/>
                <w:kern w:val="2"/>
                <w:sz w:val="24"/>
                <w:szCs w:val="24"/>
                <w14:ligatures w14:val="standardContextual"/>
              </w:rPr>
              <w:t>Primær forebyggelse af VTE ved ortopædkirurgi</w:t>
            </w:r>
          </w:p>
        </w:tc>
        <w:tc>
          <w:tcPr>
            <w:tcW w:w="1590" w:type="pct"/>
            <w:tcBorders>
              <w:top w:val="single" w:sz="4" w:space="0" w:color="000000"/>
              <w:left w:val="single" w:sz="4" w:space="0" w:color="000000"/>
              <w:bottom w:val="single" w:sz="4" w:space="0" w:color="000000"/>
              <w:right w:val="single" w:sz="4" w:space="0" w:color="000000"/>
            </w:tcBorders>
            <w:hideMark/>
          </w:tcPr>
          <w:p w14:paraId="4F28E0FC" w14:textId="77777777" w:rsidR="00A76826" w:rsidRPr="004714C6" w:rsidRDefault="00A76826">
            <w:pPr>
              <w:widowControl w:val="0"/>
              <w:autoSpaceDE w:val="0"/>
              <w:autoSpaceDN w:val="0"/>
              <w:adjustRightInd w:val="0"/>
              <w:spacing w:line="246" w:lineRule="exact"/>
              <w:ind w:left="100" w:right="-20"/>
              <w:jc w:val="both"/>
              <w:rPr>
                <w:b/>
                <w:bCs/>
                <w:kern w:val="2"/>
                <w:sz w:val="24"/>
                <w:szCs w:val="24"/>
                <w14:ligatures w14:val="standardContextual"/>
              </w:rPr>
            </w:pPr>
            <w:r w:rsidRPr="004714C6">
              <w:rPr>
                <w:b/>
                <w:bCs/>
                <w:kern w:val="2"/>
                <w:sz w:val="24"/>
                <w:szCs w:val="24"/>
                <w14:ligatures w14:val="standardContextual"/>
              </w:rPr>
              <w:t>SPAF og DVT/LE</w:t>
            </w:r>
          </w:p>
        </w:tc>
      </w:tr>
      <w:tr w:rsidR="00A76826" w:rsidRPr="004714C6" w14:paraId="00280A46" w14:textId="77777777" w:rsidTr="00647CA7">
        <w:trPr>
          <w:trHeight w:hRule="exact" w:val="264"/>
        </w:trPr>
        <w:tc>
          <w:tcPr>
            <w:tcW w:w="1988" w:type="pct"/>
            <w:tcBorders>
              <w:top w:val="single" w:sz="4" w:space="0" w:color="000000"/>
              <w:left w:val="single" w:sz="4" w:space="0" w:color="000000"/>
              <w:bottom w:val="single" w:sz="4" w:space="0" w:color="000000"/>
              <w:right w:val="single" w:sz="4" w:space="0" w:color="000000"/>
            </w:tcBorders>
            <w:hideMark/>
          </w:tcPr>
          <w:p w14:paraId="74F6C89E" w14:textId="77777777" w:rsidR="00A76826" w:rsidRPr="004714C6" w:rsidRDefault="00A76826">
            <w:pPr>
              <w:widowControl w:val="0"/>
              <w:autoSpaceDE w:val="0"/>
              <w:autoSpaceDN w:val="0"/>
              <w:adjustRightInd w:val="0"/>
              <w:spacing w:line="248" w:lineRule="exact"/>
              <w:ind w:left="100" w:right="-20"/>
              <w:jc w:val="both"/>
              <w:rPr>
                <w:kern w:val="2"/>
                <w:sz w:val="24"/>
                <w:szCs w:val="24"/>
                <w14:ligatures w14:val="standardContextual"/>
              </w:rPr>
            </w:pPr>
            <w:r w:rsidRPr="004714C6">
              <w:rPr>
                <w:kern w:val="2"/>
                <w:sz w:val="24"/>
                <w:szCs w:val="24"/>
                <w14:ligatures w14:val="standardContextual"/>
              </w:rPr>
              <w:t>dTT [</w:t>
            </w:r>
            <w:r w:rsidRPr="004714C6">
              <w:rPr>
                <w:spacing w:val="-1"/>
                <w:kern w:val="2"/>
                <w:sz w:val="24"/>
                <w:szCs w:val="24"/>
                <w14:ligatures w14:val="standardContextual"/>
              </w:rPr>
              <w:t>ng/ml</w:t>
            </w:r>
            <w:r w:rsidRPr="004714C6">
              <w:rPr>
                <w:kern w:val="2"/>
                <w:sz w:val="24"/>
                <w:szCs w:val="24"/>
                <w14:ligatures w14:val="standardContextual"/>
              </w:rPr>
              <w:t>]</w:t>
            </w:r>
          </w:p>
        </w:tc>
        <w:tc>
          <w:tcPr>
            <w:tcW w:w="1422" w:type="pct"/>
            <w:tcBorders>
              <w:top w:val="single" w:sz="4" w:space="0" w:color="000000"/>
              <w:left w:val="single" w:sz="4" w:space="0" w:color="000000"/>
              <w:bottom w:val="single" w:sz="4" w:space="0" w:color="000000"/>
              <w:right w:val="single" w:sz="4" w:space="0" w:color="000000"/>
            </w:tcBorders>
            <w:hideMark/>
          </w:tcPr>
          <w:p w14:paraId="3A7B3BD3" w14:textId="77777777" w:rsidR="00A76826" w:rsidRPr="004714C6" w:rsidRDefault="00A76826">
            <w:pPr>
              <w:widowControl w:val="0"/>
              <w:autoSpaceDE w:val="0"/>
              <w:autoSpaceDN w:val="0"/>
              <w:adjustRightInd w:val="0"/>
              <w:spacing w:line="248" w:lineRule="exact"/>
              <w:ind w:left="102" w:right="-20"/>
              <w:jc w:val="both"/>
              <w:rPr>
                <w:kern w:val="2"/>
                <w:sz w:val="24"/>
                <w:szCs w:val="24"/>
                <w14:ligatures w14:val="standardContextual"/>
              </w:rPr>
            </w:pPr>
            <w:r w:rsidRPr="004714C6">
              <w:rPr>
                <w:kern w:val="2"/>
                <w:sz w:val="24"/>
                <w:szCs w:val="24"/>
                <w14:ligatures w14:val="standardContextual"/>
              </w:rPr>
              <w:t>&gt; 67</w:t>
            </w:r>
          </w:p>
        </w:tc>
        <w:tc>
          <w:tcPr>
            <w:tcW w:w="1590" w:type="pct"/>
            <w:tcBorders>
              <w:top w:val="single" w:sz="4" w:space="0" w:color="000000"/>
              <w:left w:val="single" w:sz="4" w:space="0" w:color="000000"/>
              <w:bottom w:val="single" w:sz="4" w:space="0" w:color="000000"/>
              <w:right w:val="single" w:sz="4" w:space="0" w:color="000000"/>
            </w:tcBorders>
            <w:hideMark/>
          </w:tcPr>
          <w:p w14:paraId="24B2F32F" w14:textId="77777777" w:rsidR="00A76826" w:rsidRPr="004714C6" w:rsidRDefault="00A76826">
            <w:pPr>
              <w:widowControl w:val="0"/>
              <w:autoSpaceDE w:val="0"/>
              <w:autoSpaceDN w:val="0"/>
              <w:adjustRightInd w:val="0"/>
              <w:spacing w:line="248" w:lineRule="exact"/>
              <w:ind w:left="100" w:right="-20"/>
              <w:jc w:val="both"/>
              <w:rPr>
                <w:kern w:val="2"/>
                <w:sz w:val="24"/>
                <w:szCs w:val="24"/>
                <w14:ligatures w14:val="standardContextual"/>
              </w:rPr>
            </w:pPr>
            <w:r w:rsidRPr="004714C6">
              <w:rPr>
                <w:kern w:val="2"/>
                <w:sz w:val="24"/>
                <w:szCs w:val="24"/>
                <w14:ligatures w14:val="standardContextual"/>
              </w:rPr>
              <w:t>&gt; 200</w:t>
            </w:r>
          </w:p>
        </w:tc>
      </w:tr>
      <w:tr w:rsidR="00A76826" w:rsidRPr="004714C6" w14:paraId="2F19793B" w14:textId="77777777" w:rsidTr="00647CA7">
        <w:trPr>
          <w:trHeight w:hRule="exact" w:val="296"/>
        </w:trPr>
        <w:tc>
          <w:tcPr>
            <w:tcW w:w="1988" w:type="pct"/>
            <w:tcBorders>
              <w:top w:val="single" w:sz="4" w:space="0" w:color="000000"/>
              <w:left w:val="single" w:sz="4" w:space="0" w:color="000000"/>
              <w:bottom w:val="single" w:sz="4" w:space="0" w:color="000000"/>
              <w:right w:val="single" w:sz="4" w:space="0" w:color="000000"/>
            </w:tcBorders>
            <w:hideMark/>
          </w:tcPr>
          <w:p w14:paraId="1B1EDBC0" w14:textId="77777777" w:rsidR="00A76826" w:rsidRPr="004714C6" w:rsidRDefault="00A76826">
            <w:pPr>
              <w:widowControl w:val="0"/>
              <w:autoSpaceDE w:val="0"/>
              <w:autoSpaceDN w:val="0"/>
              <w:adjustRightInd w:val="0"/>
              <w:spacing w:line="246" w:lineRule="exact"/>
              <w:ind w:left="100" w:right="-20"/>
              <w:jc w:val="both"/>
              <w:rPr>
                <w:kern w:val="2"/>
                <w:sz w:val="24"/>
                <w:szCs w:val="24"/>
                <w14:ligatures w14:val="standardContextual"/>
              </w:rPr>
            </w:pPr>
            <w:r w:rsidRPr="004714C6">
              <w:rPr>
                <w:kern w:val="2"/>
                <w:sz w:val="24"/>
                <w:szCs w:val="24"/>
                <w14:ligatures w14:val="standardContextual"/>
              </w:rPr>
              <w:t>ECT [x gange øvre normalgrænse]</w:t>
            </w:r>
          </w:p>
        </w:tc>
        <w:tc>
          <w:tcPr>
            <w:tcW w:w="1422" w:type="pct"/>
            <w:tcBorders>
              <w:top w:val="single" w:sz="4" w:space="0" w:color="000000"/>
              <w:left w:val="single" w:sz="4" w:space="0" w:color="000000"/>
              <w:bottom w:val="single" w:sz="4" w:space="0" w:color="000000"/>
              <w:right w:val="single" w:sz="4" w:space="0" w:color="000000"/>
            </w:tcBorders>
            <w:hideMark/>
          </w:tcPr>
          <w:p w14:paraId="09E110B3" w14:textId="77777777" w:rsidR="00A76826" w:rsidRPr="004714C6" w:rsidRDefault="00A76826">
            <w:pPr>
              <w:widowControl w:val="0"/>
              <w:autoSpaceDE w:val="0"/>
              <w:autoSpaceDN w:val="0"/>
              <w:adjustRightInd w:val="0"/>
              <w:spacing w:line="246" w:lineRule="exact"/>
              <w:ind w:left="102" w:right="-20"/>
              <w:jc w:val="both"/>
              <w:rPr>
                <w:kern w:val="2"/>
                <w:sz w:val="24"/>
                <w:szCs w:val="24"/>
                <w14:ligatures w14:val="standardContextual"/>
              </w:rPr>
            </w:pPr>
            <w:r w:rsidRPr="004714C6">
              <w:rPr>
                <w:kern w:val="2"/>
                <w:sz w:val="24"/>
                <w:szCs w:val="24"/>
                <w14:ligatures w14:val="standardContextual"/>
              </w:rPr>
              <w:t>Ingen data</w:t>
            </w:r>
          </w:p>
        </w:tc>
        <w:tc>
          <w:tcPr>
            <w:tcW w:w="1590" w:type="pct"/>
            <w:tcBorders>
              <w:top w:val="single" w:sz="4" w:space="0" w:color="000000"/>
              <w:left w:val="single" w:sz="4" w:space="0" w:color="000000"/>
              <w:bottom w:val="single" w:sz="4" w:space="0" w:color="000000"/>
              <w:right w:val="single" w:sz="4" w:space="0" w:color="000000"/>
            </w:tcBorders>
            <w:hideMark/>
          </w:tcPr>
          <w:p w14:paraId="1A4A4A84" w14:textId="77777777" w:rsidR="00A76826" w:rsidRPr="004714C6" w:rsidRDefault="00A76826">
            <w:pPr>
              <w:widowControl w:val="0"/>
              <w:autoSpaceDE w:val="0"/>
              <w:autoSpaceDN w:val="0"/>
              <w:adjustRightInd w:val="0"/>
              <w:spacing w:line="246" w:lineRule="exact"/>
              <w:ind w:left="100" w:right="-20"/>
              <w:jc w:val="both"/>
              <w:rPr>
                <w:kern w:val="2"/>
                <w:sz w:val="24"/>
                <w:szCs w:val="24"/>
                <w14:ligatures w14:val="standardContextual"/>
              </w:rPr>
            </w:pPr>
            <w:r w:rsidRPr="004714C6">
              <w:rPr>
                <w:kern w:val="2"/>
                <w:sz w:val="24"/>
                <w:szCs w:val="24"/>
                <w14:ligatures w14:val="standardContextual"/>
              </w:rPr>
              <w:t>&gt; 3</w:t>
            </w:r>
          </w:p>
        </w:tc>
      </w:tr>
      <w:tr w:rsidR="00A76826" w:rsidRPr="004714C6" w14:paraId="1878F567" w14:textId="77777777" w:rsidTr="00647CA7">
        <w:trPr>
          <w:trHeight w:hRule="exact" w:val="262"/>
        </w:trPr>
        <w:tc>
          <w:tcPr>
            <w:tcW w:w="1988" w:type="pct"/>
            <w:tcBorders>
              <w:top w:val="single" w:sz="4" w:space="0" w:color="000000"/>
              <w:left w:val="single" w:sz="4" w:space="0" w:color="000000"/>
              <w:bottom w:val="single" w:sz="4" w:space="0" w:color="000000"/>
              <w:right w:val="single" w:sz="4" w:space="0" w:color="000000"/>
            </w:tcBorders>
            <w:hideMark/>
          </w:tcPr>
          <w:p w14:paraId="7F4C86A6" w14:textId="77777777" w:rsidR="00A76826" w:rsidRPr="004714C6" w:rsidRDefault="00A76826">
            <w:pPr>
              <w:widowControl w:val="0"/>
              <w:autoSpaceDE w:val="0"/>
              <w:autoSpaceDN w:val="0"/>
              <w:adjustRightInd w:val="0"/>
              <w:spacing w:line="246" w:lineRule="exact"/>
              <w:ind w:left="100" w:right="-20"/>
              <w:jc w:val="both"/>
              <w:rPr>
                <w:kern w:val="2"/>
                <w:sz w:val="24"/>
                <w:szCs w:val="24"/>
                <w14:ligatures w14:val="standardContextual"/>
              </w:rPr>
            </w:pPr>
            <w:r w:rsidRPr="004714C6">
              <w:rPr>
                <w:spacing w:val="-1"/>
                <w:kern w:val="2"/>
                <w:sz w:val="24"/>
                <w:szCs w:val="24"/>
                <w14:ligatures w14:val="standardContextual"/>
              </w:rPr>
              <w:t xml:space="preserve">aPTT </w:t>
            </w:r>
            <w:r w:rsidRPr="004714C6">
              <w:rPr>
                <w:kern w:val="2"/>
                <w:sz w:val="24"/>
                <w:szCs w:val="24"/>
                <w14:ligatures w14:val="standardContextual"/>
              </w:rPr>
              <w:t>[x gange øvre normalgrænse]</w:t>
            </w:r>
          </w:p>
        </w:tc>
        <w:tc>
          <w:tcPr>
            <w:tcW w:w="1422" w:type="pct"/>
            <w:tcBorders>
              <w:top w:val="single" w:sz="4" w:space="0" w:color="000000"/>
              <w:left w:val="single" w:sz="4" w:space="0" w:color="000000"/>
              <w:bottom w:val="single" w:sz="4" w:space="0" w:color="000000"/>
              <w:right w:val="single" w:sz="4" w:space="0" w:color="000000"/>
            </w:tcBorders>
            <w:hideMark/>
          </w:tcPr>
          <w:p w14:paraId="35D693AE" w14:textId="77777777" w:rsidR="00A76826" w:rsidRPr="004714C6" w:rsidRDefault="00A76826">
            <w:pPr>
              <w:widowControl w:val="0"/>
              <w:autoSpaceDE w:val="0"/>
              <w:autoSpaceDN w:val="0"/>
              <w:adjustRightInd w:val="0"/>
              <w:spacing w:line="246" w:lineRule="exact"/>
              <w:ind w:left="102" w:right="-20"/>
              <w:jc w:val="both"/>
              <w:rPr>
                <w:kern w:val="2"/>
                <w:sz w:val="24"/>
                <w:szCs w:val="24"/>
                <w14:ligatures w14:val="standardContextual"/>
              </w:rPr>
            </w:pPr>
            <w:r w:rsidRPr="004714C6">
              <w:rPr>
                <w:kern w:val="2"/>
                <w:sz w:val="24"/>
                <w:szCs w:val="24"/>
                <w14:ligatures w14:val="standardContextual"/>
              </w:rPr>
              <w:t>&gt; 1,3</w:t>
            </w:r>
          </w:p>
        </w:tc>
        <w:tc>
          <w:tcPr>
            <w:tcW w:w="1590" w:type="pct"/>
            <w:tcBorders>
              <w:top w:val="single" w:sz="4" w:space="0" w:color="000000"/>
              <w:left w:val="single" w:sz="4" w:space="0" w:color="000000"/>
              <w:bottom w:val="single" w:sz="4" w:space="0" w:color="000000"/>
              <w:right w:val="single" w:sz="4" w:space="0" w:color="000000"/>
            </w:tcBorders>
            <w:hideMark/>
          </w:tcPr>
          <w:p w14:paraId="03EC39FB" w14:textId="77777777" w:rsidR="00A76826" w:rsidRPr="004714C6" w:rsidRDefault="00A76826">
            <w:pPr>
              <w:widowControl w:val="0"/>
              <w:autoSpaceDE w:val="0"/>
              <w:autoSpaceDN w:val="0"/>
              <w:adjustRightInd w:val="0"/>
              <w:spacing w:line="246" w:lineRule="exact"/>
              <w:ind w:left="100" w:right="-20"/>
              <w:jc w:val="both"/>
              <w:rPr>
                <w:kern w:val="2"/>
                <w:sz w:val="24"/>
                <w:szCs w:val="24"/>
                <w14:ligatures w14:val="standardContextual"/>
              </w:rPr>
            </w:pPr>
            <w:r w:rsidRPr="004714C6">
              <w:rPr>
                <w:kern w:val="2"/>
                <w:sz w:val="24"/>
                <w:szCs w:val="24"/>
                <w14:ligatures w14:val="standardContextual"/>
              </w:rPr>
              <w:t>&gt; 2</w:t>
            </w:r>
          </w:p>
        </w:tc>
      </w:tr>
      <w:tr w:rsidR="00A76826" w:rsidRPr="004714C6" w14:paraId="0FB25DAD" w14:textId="77777777" w:rsidTr="00647CA7">
        <w:trPr>
          <w:trHeight w:hRule="exact" w:val="264"/>
        </w:trPr>
        <w:tc>
          <w:tcPr>
            <w:tcW w:w="1988" w:type="pct"/>
            <w:tcBorders>
              <w:top w:val="single" w:sz="4" w:space="0" w:color="000000"/>
              <w:left w:val="single" w:sz="4" w:space="0" w:color="000000"/>
              <w:bottom w:val="single" w:sz="4" w:space="0" w:color="000000"/>
              <w:right w:val="single" w:sz="4" w:space="0" w:color="000000"/>
            </w:tcBorders>
            <w:hideMark/>
          </w:tcPr>
          <w:p w14:paraId="736B3221" w14:textId="77777777" w:rsidR="00A76826" w:rsidRPr="004714C6" w:rsidRDefault="00A76826">
            <w:pPr>
              <w:widowControl w:val="0"/>
              <w:autoSpaceDE w:val="0"/>
              <w:autoSpaceDN w:val="0"/>
              <w:adjustRightInd w:val="0"/>
              <w:spacing w:line="246" w:lineRule="exact"/>
              <w:ind w:left="100" w:right="-20"/>
              <w:jc w:val="both"/>
              <w:rPr>
                <w:kern w:val="2"/>
                <w:sz w:val="24"/>
                <w:szCs w:val="24"/>
                <w14:ligatures w14:val="standardContextual"/>
              </w:rPr>
            </w:pPr>
            <w:r w:rsidRPr="004714C6">
              <w:rPr>
                <w:spacing w:val="-1"/>
                <w:kern w:val="2"/>
                <w:sz w:val="24"/>
                <w:szCs w:val="24"/>
                <w14:ligatures w14:val="standardContextual"/>
              </w:rPr>
              <w:t>INR</w:t>
            </w:r>
          </w:p>
        </w:tc>
        <w:tc>
          <w:tcPr>
            <w:tcW w:w="1422" w:type="pct"/>
            <w:tcBorders>
              <w:top w:val="single" w:sz="4" w:space="0" w:color="000000"/>
              <w:left w:val="single" w:sz="4" w:space="0" w:color="000000"/>
              <w:bottom w:val="single" w:sz="4" w:space="0" w:color="000000"/>
              <w:right w:val="single" w:sz="4" w:space="0" w:color="000000"/>
            </w:tcBorders>
            <w:hideMark/>
          </w:tcPr>
          <w:p w14:paraId="726F014A" w14:textId="77777777" w:rsidR="00A76826" w:rsidRPr="004714C6" w:rsidRDefault="00A76826">
            <w:pPr>
              <w:widowControl w:val="0"/>
              <w:autoSpaceDE w:val="0"/>
              <w:autoSpaceDN w:val="0"/>
              <w:adjustRightInd w:val="0"/>
              <w:spacing w:line="246" w:lineRule="exact"/>
              <w:ind w:left="102" w:right="-20"/>
              <w:jc w:val="both"/>
              <w:rPr>
                <w:kern w:val="2"/>
                <w:sz w:val="24"/>
                <w:szCs w:val="24"/>
                <w14:ligatures w14:val="standardContextual"/>
              </w:rPr>
            </w:pPr>
            <w:r w:rsidRPr="004714C6">
              <w:rPr>
                <w:kern w:val="2"/>
                <w:sz w:val="24"/>
                <w:szCs w:val="24"/>
                <w14:ligatures w14:val="standardContextual"/>
              </w:rPr>
              <w:t>Bør ikke udføres</w:t>
            </w:r>
          </w:p>
        </w:tc>
        <w:tc>
          <w:tcPr>
            <w:tcW w:w="1590" w:type="pct"/>
            <w:tcBorders>
              <w:top w:val="single" w:sz="4" w:space="0" w:color="000000"/>
              <w:left w:val="single" w:sz="4" w:space="0" w:color="000000"/>
              <w:bottom w:val="single" w:sz="4" w:space="0" w:color="000000"/>
              <w:right w:val="single" w:sz="4" w:space="0" w:color="000000"/>
            </w:tcBorders>
            <w:hideMark/>
          </w:tcPr>
          <w:p w14:paraId="279163E7" w14:textId="77777777" w:rsidR="00A76826" w:rsidRPr="004714C6" w:rsidRDefault="00A76826">
            <w:pPr>
              <w:widowControl w:val="0"/>
              <w:autoSpaceDE w:val="0"/>
              <w:autoSpaceDN w:val="0"/>
              <w:adjustRightInd w:val="0"/>
              <w:spacing w:line="246" w:lineRule="exact"/>
              <w:ind w:left="100" w:right="-20"/>
              <w:jc w:val="both"/>
              <w:rPr>
                <w:kern w:val="2"/>
                <w:sz w:val="24"/>
                <w:szCs w:val="24"/>
                <w14:ligatures w14:val="standardContextual"/>
              </w:rPr>
            </w:pPr>
            <w:r w:rsidRPr="004714C6">
              <w:rPr>
                <w:kern w:val="2"/>
                <w:sz w:val="24"/>
                <w:szCs w:val="24"/>
                <w14:ligatures w14:val="standardContextual"/>
              </w:rPr>
              <w:t>Bør ikke udføres</w:t>
            </w:r>
          </w:p>
        </w:tc>
      </w:tr>
    </w:tbl>
    <w:p w14:paraId="48C077A2" w14:textId="77777777" w:rsidR="00A76826" w:rsidRPr="004714C6" w:rsidRDefault="00A76826" w:rsidP="00647CA7">
      <w:pPr>
        <w:ind w:left="851"/>
        <w:rPr>
          <w:sz w:val="24"/>
          <w:szCs w:val="24"/>
        </w:rPr>
      </w:pPr>
    </w:p>
    <w:p w14:paraId="1ABA6E20" w14:textId="77777777" w:rsidR="00A76826" w:rsidRPr="004714C6" w:rsidRDefault="00A76826" w:rsidP="00647CA7">
      <w:pPr>
        <w:ind w:left="851"/>
        <w:rPr>
          <w:sz w:val="24"/>
          <w:szCs w:val="24"/>
          <w:u w:val="single"/>
        </w:rPr>
      </w:pPr>
      <w:r w:rsidRPr="004714C6">
        <w:rPr>
          <w:sz w:val="24"/>
          <w:szCs w:val="24"/>
          <w:u w:val="single"/>
        </w:rPr>
        <w:t>Behandling af akut iskæmisk apopleksi med fibrinolytika</w:t>
      </w:r>
    </w:p>
    <w:p w14:paraId="7D1F8728" w14:textId="77777777" w:rsidR="00A76826" w:rsidRPr="004714C6" w:rsidRDefault="00A76826" w:rsidP="00647CA7">
      <w:pPr>
        <w:ind w:left="851"/>
        <w:rPr>
          <w:sz w:val="24"/>
          <w:szCs w:val="24"/>
        </w:rPr>
      </w:pPr>
    </w:p>
    <w:p w14:paraId="3D90F8F3" w14:textId="77777777" w:rsidR="00A76826" w:rsidRPr="004714C6" w:rsidRDefault="00A76826" w:rsidP="00647CA7">
      <w:pPr>
        <w:ind w:left="851"/>
        <w:rPr>
          <w:sz w:val="24"/>
          <w:szCs w:val="24"/>
        </w:rPr>
      </w:pPr>
      <w:r w:rsidRPr="004714C6">
        <w:rPr>
          <w:sz w:val="24"/>
          <w:szCs w:val="24"/>
        </w:rPr>
        <w:t>Det kan overvejes at anvende fibrinolytika ved behandling af akut apopleksi, hvis patientens dTT, ECT eller aPTT ikke overstiger den øvre værdi af det lokalt definerede normalområde (ULN).</w:t>
      </w:r>
    </w:p>
    <w:p w14:paraId="7DAB6002" w14:textId="77777777" w:rsidR="00A76826" w:rsidRPr="004714C6" w:rsidRDefault="00A76826" w:rsidP="00647CA7">
      <w:pPr>
        <w:ind w:left="851"/>
        <w:rPr>
          <w:sz w:val="24"/>
          <w:szCs w:val="24"/>
        </w:rPr>
      </w:pPr>
    </w:p>
    <w:p w14:paraId="328F35D9" w14:textId="77777777" w:rsidR="00A76826" w:rsidRPr="004714C6" w:rsidRDefault="00A76826" w:rsidP="00647CA7">
      <w:pPr>
        <w:ind w:left="851"/>
        <w:rPr>
          <w:sz w:val="24"/>
          <w:szCs w:val="24"/>
          <w:u w:val="single"/>
        </w:rPr>
      </w:pPr>
      <w:r w:rsidRPr="004714C6">
        <w:rPr>
          <w:sz w:val="24"/>
          <w:szCs w:val="24"/>
          <w:u w:val="single"/>
        </w:rPr>
        <w:t>Kirurgi og indgreb</w:t>
      </w:r>
    </w:p>
    <w:p w14:paraId="3B1188E5" w14:textId="77777777" w:rsidR="00A76826" w:rsidRPr="004714C6" w:rsidRDefault="00A76826" w:rsidP="00647CA7">
      <w:pPr>
        <w:ind w:left="851"/>
        <w:rPr>
          <w:sz w:val="24"/>
          <w:szCs w:val="24"/>
        </w:rPr>
      </w:pPr>
    </w:p>
    <w:p w14:paraId="2ABD8279" w14:textId="77777777" w:rsidR="00A76826" w:rsidRPr="004714C6" w:rsidRDefault="00A76826" w:rsidP="00647CA7">
      <w:pPr>
        <w:ind w:left="851"/>
        <w:rPr>
          <w:sz w:val="24"/>
          <w:szCs w:val="24"/>
        </w:rPr>
      </w:pPr>
      <w:r w:rsidRPr="004714C6">
        <w:rPr>
          <w:sz w:val="24"/>
          <w:szCs w:val="24"/>
        </w:rPr>
        <w:t>Patienter på dabigatranetexilat, der skal opereres eller undergå invasive procedurer, har en øget risiko for blødning. Derfor kan kirurgisk intervention kræve en midlertidig seponering af dabigatranetexilat.</w:t>
      </w:r>
    </w:p>
    <w:p w14:paraId="43432829" w14:textId="77777777" w:rsidR="00A76826" w:rsidRPr="004714C6" w:rsidRDefault="00A76826" w:rsidP="00647CA7">
      <w:pPr>
        <w:ind w:left="851"/>
        <w:rPr>
          <w:sz w:val="24"/>
          <w:szCs w:val="24"/>
        </w:rPr>
      </w:pPr>
    </w:p>
    <w:p w14:paraId="02687C53" w14:textId="77777777" w:rsidR="00A76826" w:rsidRPr="004714C6" w:rsidRDefault="00A76826" w:rsidP="00647CA7">
      <w:pPr>
        <w:ind w:left="851"/>
        <w:rPr>
          <w:sz w:val="24"/>
          <w:szCs w:val="24"/>
        </w:rPr>
      </w:pPr>
      <w:r w:rsidRPr="004714C6">
        <w:rPr>
          <w:sz w:val="24"/>
          <w:szCs w:val="24"/>
        </w:rPr>
        <w:t>Patienter kan forblive på dabigatranetexilat i forbindelse med kardiovertering. Der foreligger ingen data for behandling med dabigatranetexilat 110 mg to gange dagligt hos patienter, der gennemgår kateterablation for atrieflimren (se pkt. 4.2).</w:t>
      </w:r>
    </w:p>
    <w:p w14:paraId="7D761DF1" w14:textId="77777777" w:rsidR="00A76826" w:rsidRPr="004714C6" w:rsidRDefault="00A76826" w:rsidP="00647CA7">
      <w:pPr>
        <w:ind w:left="851"/>
        <w:rPr>
          <w:sz w:val="24"/>
          <w:szCs w:val="24"/>
        </w:rPr>
      </w:pPr>
    </w:p>
    <w:p w14:paraId="3767A3AF" w14:textId="77777777" w:rsidR="00A76826" w:rsidRPr="004714C6" w:rsidRDefault="00A76826" w:rsidP="00647CA7">
      <w:pPr>
        <w:ind w:left="851"/>
        <w:rPr>
          <w:sz w:val="24"/>
          <w:szCs w:val="24"/>
        </w:rPr>
      </w:pPr>
      <w:r w:rsidRPr="004714C6">
        <w:rPr>
          <w:sz w:val="24"/>
          <w:szCs w:val="24"/>
        </w:rPr>
        <w:t>Der bør udvises forsigtighed, når behandlingen midlertidigt afbrydes pga. interventioner, og graden af antikoagulation bør overvåges. Hos patienter med nedsat nyrefunktion kan udskillelsen af dabigatran være forlænget (se pkt. 5.2). Dette bør tages i betragtning forud for alle procedurer. I sådanne tilfælde kan en koagulationstest (se pkt. 4.4 og 5.1) hjælpe med at afgøre, om hæmostasen stadig er nedsat.</w:t>
      </w:r>
    </w:p>
    <w:p w14:paraId="1DFF482B" w14:textId="77777777" w:rsidR="00A76826" w:rsidRPr="004714C6" w:rsidRDefault="00A76826" w:rsidP="00647CA7">
      <w:pPr>
        <w:ind w:left="851"/>
        <w:rPr>
          <w:sz w:val="24"/>
          <w:szCs w:val="24"/>
        </w:rPr>
      </w:pPr>
    </w:p>
    <w:p w14:paraId="65805A0F" w14:textId="77777777" w:rsidR="00A76826" w:rsidRPr="004714C6" w:rsidRDefault="00A76826" w:rsidP="00647CA7">
      <w:pPr>
        <w:ind w:left="851"/>
        <w:rPr>
          <w:i/>
          <w:iCs/>
          <w:sz w:val="24"/>
          <w:szCs w:val="24"/>
        </w:rPr>
      </w:pPr>
      <w:r w:rsidRPr="004714C6">
        <w:rPr>
          <w:i/>
          <w:iCs/>
          <w:sz w:val="24"/>
          <w:szCs w:val="24"/>
        </w:rPr>
        <w:t>Akutte operationer eller akutte procedurer</w:t>
      </w:r>
    </w:p>
    <w:p w14:paraId="080BD362" w14:textId="77777777" w:rsidR="00A76826" w:rsidRPr="004714C6" w:rsidRDefault="00A76826" w:rsidP="00647CA7">
      <w:pPr>
        <w:ind w:left="851"/>
        <w:rPr>
          <w:sz w:val="24"/>
          <w:szCs w:val="24"/>
        </w:rPr>
      </w:pPr>
    </w:p>
    <w:p w14:paraId="48B91996" w14:textId="77777777" w:rsidR="00A76826" w:rsidRPr="004714C6" w:rsidRDefault="00A76826" w:rsidP="00647CA7">
      <w:pPr>
        <w:ind w:left="851"/>
        <w:rPr>
          <w:sz w:val="24"/>
          <w:szCs w:val="24"/>
        </w:rPr>
      </w:pPr>
      <w:r w:rsidRPr="004714C6">
        <w:rPr>
          <w:sz w:val="24"/>
          <w:szCs w:val="24"/>
        </w:rPr>
        <w:t>Dabigatranetexilat bør seponeres midlertidigt. Når det er nødvendigt hurtigt at modvirke den antikoagulerende virkning, er den specifikke antidot (idarucizumab) mod dabigatran tilgængelig for voksne patienter. Idarucizumabs virkning og sikkerhed hos pædiatriske patienter er ikke klarlagt. Hæmodialyse kan fjerne dabigatran.</w:t>
      </w:r>
    </w:p>
    <w:p w14:paraId="0017782C" w14:textId="77777777" w:rsidR="00A76826" w:rsidRPr="004714C6" w:rsidRDefault="00A76826" w:rsidP="00647CA7">
      <w:pPr>
        <w:ind w:left="851"/>
        <w:rPr>
          <w:sz w:val="24"/>
          <w:szCs w:val="24"/>
        </w:rPr>
      </w:pPr>
    </w:p>
    <w:p w14:paraId="1F69D9F2" w14:textId="77777777" w:rsidR="00A76826" w:rsidRPr="004714C6" w:rsidRDefault="00A76826" w:rsidP="00647CA7">
      <w:pPr>
        <w:ind w:left="851"/>
        <w:rPr>
          <w:sz w:val="24"/>
          <w:szCs w:val="24"/>
        </w:rPr>
      </w:pPr>
      <w:r w:rsidRPr="004714C6">
        <w:rPr>
          <w:sz w:val="24"/>
          <w:szCs w:val="24"/>
        </w:rPr>
        <w:t>Når dabigatrans virkning reverteres, udsættes patienten for den trombotiske risiko ved den underliggende sygdom. Behandling med dabigatranetexilat kan genoptages 24 timer efter administration af idarucizumab, hvis patienten er klinisk stabil, og der er opnået tilstrækkelig hæmostase.</w:t>
      </w:r>
    </w:p>
    <w:p w14:paraId="3ADAE7F7" w14:textId="77777777" w:rsidR="00A76826" w:rsidRPr="004714C6" w:rsidRDefault="00A76826" w:rsidP="00647CA7">
      <w:pPr>
        <w:ind w:left="851"/>
        <w:rPr>
          <w:sz w:val="24"/>
          <w:szCs w:val="24"/>
        </w:rPr>
      </w:pPr>
    </w:p>
    <w:p w14:paraId="7B01C80B" w14:textId="77777777" w:rsidR="00A76826" w:rsidRPr="004714C6" w:rsidRDefault="00A76826" w:rsidP="00647CA7">
      <w:pPr>
        <w:ind w:left="851"/>
        <w:rPr>
          <w:i/>
          <w:iCs/>
          <w:sz w:val="24"/>
          <w:szCs w:val="24"/>
        </w:rPr>
      </w:pPr>
      <w:r w:rsidRPr="004714C6">
        <w:rPr>
          <w:i/>
          <w:iCs/>
          <w:sz w:val="24"/>
          <w:szCs w:val="24"/>
        </w:rPr>
        <w:t>Subakutte operationer/indgreb</w:t>
      </w:r>
    </w:p>
    <w:p w14:paraId="0E643B9F" w14:textId="77777777" w:rsidR="00A76826" w:rsidRPr="004714C6" w:rsidRDefault="00A76826" w:rsidP="00647CA7">
      <w:pPr>
        <w:ind w:left="851"/>
        <w:rPr>
          <w:sz w:val="24"/>
          <w:szCs w:val="24"/>
        </w:rPr>
      </w:pPr>
    </w:p>
    <w:p w14:paraId="364FEC59" w14:textId="77777777" w:rsidR="00A76826" w:rsidRPr="004714C6" w:rsidRDefault="00A76826" w:rsidP="00647CA7">
      <w:pPr>
        <w:ind w:left="851"/>
        <w:rPr>
          <w:sz w:val="24"/>
          <w:szCs w:val="24"/>
        </w:rPr>
      </w:pPr>
      <w:r w:rsidRPr="004714C6">
        <w:rPr>
          <w:sz w:val="24"/>
          <w:szCs w:val="24"/>
        </w:rPr>
        <w:t>Dabigatranetexilat bør seponeres midlertidigt. Hvis muligt, bør operation/indgreb udsættes i mindst 12 timer efter sidste dosis. Hvis operation ikke kan udsættes, kan der være en øget risiko for blødning. Blødningsrisikoen skal opvejes mod behovet for akut intervention.</w:t>
      </w:r>
    </w:p>
    <w:p w14:paraId="332AE4E7" w14:textId="77777777" w:rsidR="00A76826" w:rsidRPr="004714C6" w:rsidRDefault="00A76826" w:rsidP="00647CA7">
      <w:pPr>
        <w:ind w:left="851"/>
        <w:rPr>
          <w:sz w:val="24"/>
          <w:szCs w:val="24"/>
        </w:rPr>
      </w:pPr>
    </w:p>
    <w:p w14:paraId="0F9C5234" w14:textId="77777777" w:rsidR="00A76826" w:rsidRPr="004714C6" w:rsidRDefault="00A76826" w:rsidP="00647CA7">
      <w:pPr>
        <w:ind w:left="851"/>
        <w:rPr>
          <w:i/>
          <w:iCs/>
          <w:sz w:val="24"/>
          <w:szCs w:val="24"/>
        </w:rPr>
      </w:pPr>
      <w:r w:rsidRPr="004714C6">
        <w:rPr>
          <w:i/>
          <w:iCs/>
          <w:sz w:val="24"/>
          <w:szCs w:val="24"/>
        </w:rPr>
        <w:t>Elektiv kirurgi</w:t>
      </w:r>
    </w:p>
    <w:p w14:paraId="7B0A5806" w14:textId="77777777" w:rsidR="00A76826" w:rsidRPr="004714C6" w:rsidRDefault="00A76826" w:rsidP="00647CA7">
      <w:pPr>
        <w:ind w:left="851"/>
        <w:rPr>
          <w:sz w:val="24"/>
          <w:szCs w:val="24"/>
        </w:rPr>
      </w:pPr>
    </w:p>
    <w:p w14:paraId="56DFD4CA" w14:textId="77777777" w:rsidR="00A76826" w:rsidRPr="004714C6" w:rsidRDefault="00A76826" w:rsidP="00647CA7">
      <w:pPr>
        <w:ind w:left="851"/>
        <w:rPr>
          <w:sz w:val="24"/>
          <w:szCs w:val="24"/>
        </w:rPr>
      </w:pPr>
      <w:r w:rsidRPr="004714C6">
        <w:rPr>
          <w:sz w:val="24"/>
          <w:szCs w:val="24"/>
        </w:rPr>
        <w:t>Hvis muligt, bør dabigatranetexilat seponeres mindst 24 timer før invasive/kirurgiske procedurer. Det bør overvejes at seponere dabigatranetexilat 2</w:t>
      </w:r>
      <w:r w:rsidRPr="004714C6">
        <w:rPr>
          <w:sz w:val="24"/>
          <w:szCs w:val="24"/>
        </w:rPr>
        <w:noBreakHyphen/>
        <w:t>4 dage før operation hos patienter med øget risiko for blødning eller ved større operationer, hvor komplet hæmostase kan være påkrævet.</w:t>
      </w:r>
    </w:p>
    <w:p w14:paraId="63F337E6" w14:textId="77777777" w:rsidR="00A76826" w:rsidRPr="004714C6" w:rsidRDefault="00A76826" w:rsidP="00647CA7">
      <w:pPr>
        <w:ind w:left="851"/>
        <w:rPr>
          <w:sz w:val="24"/>
          <w:szCs w:val="24"/>
        </w:rPr>
      </w:pPr>
    </w:p>
    <w:p w14:paraId="04B46FB0" w14:textId="77777777" w:rsidR="00A76826" w:rsidRPr="004714C6" w:rsidRDefault="00A76826" w:rsidP="00647CA7">
      <w:pPr>
        <w:ind w:left="851"/>
        <w:rPr>
          <w:sz w:val="24"/>
          <w:szCs w:val="24"/>
        </w:rPr>
      </w:pPr>
      <w:r w:rsidRPr="004714C6">
        <w:rPr>
          <w:sz w:val="24"/>
          <w:szCs w:val="24"/>
        </w:rPr>
        <w:t>Tabel 7 opsummerer seponeringsreglerne før invasive eller kirurgiske procedurer for voksne patienter.</w:t>
      </w:r>
    </w:p>
    <w:p w14:paraId="192D7374" w14:textId="77777777" w:rsidR="00A76826" w:rsidRPr="004714C6" w:rsidRDefault="00A76826" w:rsidP="00A76826">
      <w:pPr>
        <w:widowControl w:val="0"/>
        <w:autoSpaceDE w:val="0"/>
        <w:autoSpaceDN w:val="0"/>
        <w:adjustRightInd w:val="0"/>
        <w:spacing w:line="246" w:lineRule="exact"/>
        <w:ind w:right="-20"/>
        <w:rPr>
          <w:sz w:val="24"/>
          <w:szCs w:val="24"/>
        </w:rPr>
      </w:pPr>
    </w:p>
    <w:p w14:paraId="7FB2EBAC" w14:textId="77777777" w:rsidR="00A76826" w:rsidRPr="004714C6" w:rsidRDefault="00A76826" w:rsidP="00A76826">
      <w:pPr>
        <w:keepNext/>
        <w:widowControl w:val="0"/>
        <w:autoSpaceDE w:val="0"/>
        <w:autoSpaceDN w:val="0"/>
        <w:adjustRightInd w:val="0"/>
        <w:spacing w:line="246" w:lineRule="exact"/>
        <w:ind w:right="-20"/>
        <w:rPr>
          <w:b/>
          <w:bCs/>
          <w:sz w:val="24"/>
          <w:szCs w:val="24"/>
        </w:rPr>
      </w:pPr>
      <w:r w:rsidRPr="004714C6">
        <w:rPr>
          <w:b/>
          <w:bCs/>
          <w:sz w:val="24"/>
          <w:szCs w:val="24"/>
        </w:rPr>
        <w:t>Tabel 7:</w:t>
      </w:r>
      <w:r w:rsidRPr="004714C6">
        <w:rPr>
          <w:b/>
          <w:bCs/>
          <w:sz w:val="24"/>
          <w:szCs w:val="24"/>
        </w:rPr>
        <w:tab/>
        <w:t>Seponeringsregler før invasive eller kirurgiske procedurer for voksne patienter</w:t>
      </w:r>
    </w:p>
    <w:p w14:paraId="0E083114"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1688"/>
        <w:gridCol w:w="1980"/>
        <w:gridCol w:w="3008"/>
        <w:gridCol w:w="2952"/>
      </w:tblGrid>
      <w:tr w:rsidR="00A76826" w:rsidRPr="004714C6" w14:paraId="60FEB139" w14:textId="77777777" w:rsidTr="00647CA7">
        <w:trPr>
          <w:trHeight w:hRule="exact" w:val="387"/>
        </w:trPr>
        <w:tc>
          <w:tcPr>
            <w:tcW w:w="877" w:type="pct"/>
            <w:vMerge w:val="restart"/>
            <w:tcBorders>
              <w:top w:val="single" w:sz="4" w:space="0" w:color="000000"/>
              <w:left w:val="single" w:sz="4" w:space="0" w:color="000000"/>
              <w:bottom w:val="single" w:sz="4" w:space="0" w:color="000000"/>
              <w:right w:val="single" w:sz="4" w:space="0" w:color="000000"/>
            </w:tcBorders>
            <w:hideMark/>
          </w:tcPr>
          <w:p w14:paraId="6B4F8F06" w14:textId="77777777" w:rsidR="00A76826" w:rsidRPr="004714C6" w:rsidRDefault="00A76826">
            <w:pPr>
              <w:widowControl w:val="0"/>
              <w:autoSpaceDE w:val="0"/>
              <w:autoSpaceDN w:val="0"/>
              <w:adjustRightInd w:val="0"/>
              <w:spacing w:line="248" w:lineRule="exact"/>
              <w:ind w:left="100" w:right="-20"/>
              <w:rPr>
                <w:b/>
                <w:bCs/>
                <w:kern w:val="2"/>
                <w:sz w:val="24"/>
                <w:szCs w:val="24"/>
                <w14:ligatures w14:val="standardContextual"/>
              </w:rPr>
            </w:pPr>
            <w:r w:rsidRPr="004714C6">
              <w:rPr>
                <w:b/>
                <w:bCs/>
                <w:kern w:val="2"/>
                <w:sz w:val="24"/>
                <w:szCs w:val="24"/>
                <w14:ligatures w14:val="standardContextual"/>
              </w:rPr>
              <w:t>Nyrefunktion</w:t>
            </w:r>
          </w:p>
          <w:p w14:paraId="662ED350" w14:textId="77777777" w:rsidR="00A76826" w:rsidRPr="004714C6" w:rsidRDefault="00A76826">
            <w:pPr>
              <w:widowControl w:val="0"/>
              <w:autoSpaceDE w:val="0"/>
              <w:autoSpaceDN w:val="0"/>
              <w:adjustRightInd w:val="0"/>
              <w:spacing w:before="3" w:line="252" w:lineRule="exact"/>
              <w:ind w:left="100" w:right="618"/>
              <w:rPr>
                <w:b/>
                <w:bCs/>
                <w:kern w:val="2"/>
                <w:sz w:val="24"/>
                <w:szCs w:val="24"/>
                <w14:ligatures w14:val="standardContextual"/>
              </w:rPr>
            </w:pPr>
            <w:r w:rsidRPr="004714C6">
              <w:rPr>
                <w:b/>
                <w:bCs/>
                <w:kern w:val="2"/>
                <w:sz w:val="24"/>
                <w:szCs w:val="24"/>
                <w14:ligatures w14:val="standardContextual"/>
              </w:rPr>
              <w:t xml:space="preserve">(CrCL i </w:t>
            </w:r>
            <w:r w:rsidRPr="004714C6">
              <w:rPr>
                <w:b/>
                <w:bCs/>
                <w:spacing w:val="-4"/>
                <w:kern w:val="2"/>
                <w:sz w:val="24"/>
                <w:szCs w:val="24"/>
                <w14:ligatures w14:val="standardContextual"/>
              </w:rPr>
              <w:t>ml/min</w:t>
            </w:r>
            <w:r w:rsidRPr="004714C6">
              <w:rPr>
                <w:b/>
                <w:bCs/>
                <w:spacing w:val="1"/>
                <w:kern w:val="2"/>
                <w:sz w:val="24"/>
                <w:szCs w:val="24"/>
                <w14:ligatures w14:val="standardContextual"/>
              </w:rPr>
              <w:t>)</w:t>
            </w:r>
          </w:p>
        </w:tc>
        <w:tc>
          <w:tcPr>
            <w:tcW w:w="1028" w:type="pct"/>
            <w:vMerge w:val="restart"/>
            <w:tcBorders>
              <w:top w:val="single" w:sz="4" w:space="0" w:color="000000"/>
              <w:left w:val="single" w:sz="4" w:space="0" w:color="000000"/>
              <w:bottom w:val="single" w:sz="4" w:space="0" w:color="000000"/>
              <w:right w:val="single" w:sz="4" w:space="0" w:color="000000"/>
            </w:tcBorders>
            <w:hideMark/>
          </w:tcPr>
          <w:p w14:paraId="2D6D80E6" w14:textId="77777777" w:rsidR="00A76826" w:rsidRPr="004714C6" w:rsidRDefault="00A76826">
            <w:pPr>
              <w:widowControl w:val="0"/>
              <w:autoSpaceDE w:val="0"/>
              <w:autoSpaceDN w:val="0"/>
              <w:adjustRightInd w:val="0"/>
              <w:spacing w:line="248" w:lineRule="exact"/>
              <w:ind w:left="100" w:right="-20"/>
              <w:jc w:val="both"/>
              <w:rPr>
                <w:b/>
                <w:bCs/>
                <w:kern w:val="2"/>
                <w:sz w:val="24"/>
                <w:szCs w:val="24"/>
                <w14:ligatures w14:val="standardContextual"/>
              </w:rPr>
            </w:pPr>
            <w:r w:rsidRPr="004714C6">
              <w:rPr>
                <w:b/>
                <w:bCs/>
                <w:spacing w:val="1"/>
                <w:kern w:val="2"/>
                <w:sz w:val="24"/>
                <w:szCs w:val="24"/>
                <w14:ligatures w14:val="standardContextual"/>
              </w:rPr>
              <w:t>Estimeret halveringstid</w:t>
            </w:r>
          </w:p>
          <w:p w14:paraId="5CF6D36A" w14:textId="77777777" w:rsidR="00A76826" w:rsidRPr="004714C6" w:rsidRDefault="00A76826">
            <w:pPr>
              <w:widowControl w:val="0"/>
              <w:autoSpaceDE w:val="0"/>
              <w:autoSpaceDN w:val="0"/>
              <w:adjustRightInd w:val="0"/>
              <w:spacing w:line="252" w:lineRule="exact"/>
              <w:ind w:left="100" w:right="-20"/>
              <w:jc w:val="both"/>
              <w:rPr>
                <w:b/>
                <w:bCs/>
                <w:kern w:val="2"/>
                <w:sz w:val="24"/>
                <w:szCs w:val="24"/>
                <w14:ligatures w14:val="standardContextual"/>
              </w:rPr>
            </w:pPr>
            <w:r w:rsidRPr="004714C6">
              <w:rPr>
                <w:b/>
                <w:bCs/>
                <w:kern w:val="2"/>
                <w:sz w:val="24"/>
                <w:szCs w:val="24"/>
                <w14:ligatures w14:val="standardContextual"/>
              </w:rPr>
              <w:t>(timer)</w:t>
            </w:r>
          </w:p>
        </w:tc>
        <w:tc>
          <w:tcPr>
            <w:tcW w:w="3095" w:type="pct"/>
            <w:gridSpan w:val="2"/>
            <w:tcBorders>
              <w:top w:val="single" w:sz="4" w:space="0" w:color="000000"/>
              <w:left w:val="single" w:sz="4" w:space="0" w:color="000000"/>
              <w:bottom w:val="single" w:sz="4" w:space="0" w:color="000000"/>
              <w:right w:val="single" w:sz="4" w:space="0" w:color="000000"/>
            </w:tcBorders>
            <w:hideMark/>
          </w:tcPr>
          <w:p w14:paraId="04197DE0" w14:textId="77777777" w:rsidR="00A76826" w:rsidRPr="004714C6" w:rsidRDefault="00A76826">
            <w:pPr>
              <w:widowControl w:val="0"/>
              <w:autoSpaceDE w:val="0"/>
              <w:autoSpaceDN w:val="0"/>
              <w:adjustRightInd w:val="0"/>
              <w:spacing w:line="248" w:lineRule="exact"/>
              <w:ind w:right="-20"/>
              <w:jc w:val="both"/>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skal stoppes før elektiv kirurgi</w:t>
            </w:r>
          </w:p>
        </w:tc>
      </w:tr>
      <w:tr w:rsidR="00A76826" w:rsidRPr="004714C6" w14:paraId="6EF4C29D" w14:textId="77777777" w:rsidTr="00647CA7">
        <w:trPr>
          <w:trHeight w:hRule="exact" w:val="573"/>
        </w:trPr>
        <w:tc>
          <w:tcPr>
            <w:tcW w:w="877" w:type="pct"/>
            <w:vMerge/>
            <w:tcBorders>
              <w:top w:val="single" w:sz="4" w:space="0" w:color="000000"/>
              <w:left w:val="single" w:sz="4" w:space="0" w:color="000000"/>
              <w:bottom w:val="single" w:sz="4" w:space="0" w:color="000000"/>
              <w:right w:val="single" w:sz="4" w:space="0" w:color="000000"/>
            </w:tcBorders>
            <w:vAlign w:val="center"/>
            <w:hideMark/>
          </w:tcPr>
          <w:p w14:paraId="25E1B00D" w14:textId="77777777" w:rsidR="00A76826" w:rsidRPr="004714C6" w:rsidRDefault="00A76826">
            <w:pPr>
              <w:spacing w:line="256" w:lineRule="auto"/>
              <w:rPr>
                <w:b/>
                <w:bCs/>
                <w:kern w:val="2"/>
                <w:sz w:val="24"/>
                <w:szCs w:val="24"/>
                <w14:ligatures w14:val="standardContextual"/>
              </w:rPr>
            </w:pPr>
          </w:p>
        </w:tc>
        <w:tc>
          <w:tcPr>
            <w:tcW w:w="1028" w:type="pct"/>
            <w:vMerge/>
            <w:tcBorders>
              <w:top w:val="single" w:sz="4" w:space="0" w:color="000000"/>
              <w:left w:val="single" w:sz="4" w:space="0" w:color="000000"/>
              <w:bottom w:val="single" w:sz="4" w:space="0" w:color="000000"/>
              <w:right w:val="single" w:sz="4" w:space="0" w:color="000000"/>
            </w:tcBorders>
            <w:vAlign w:val="center"/>
            <w:hideMark/>
          </w:tcPr>
          <w:p w14:paraId="5E2B9C1E" w14:textId="77777777" w:rsidR="00A76826" w:rsidRPr="004714C6" w:rsidRDefault="00A76826">
            <w:pPr>
              <w:spacing w:line="256" w:lineRule="auto"/>
              <w:rPr>
                <w:b/>
                <w:bCs/>
                <w:kern w:val="2"/>
                <w:sz w:val="24"/>
                <w:szCs w:val="24"/>
                <w14:ligatures w14:val="standardContextual"/>
              </w:rPr>
            </w:pPr>
          </w:p>
        </w:tc>
        <w:tc>
          <w:tcPr>
            <w:tcW w:w="1562" w:type="pct"/>
            <w:tcBorders>
              <w:top w:val="single" w:sz="4" w:space="0" w:color="000000"/>
              <w:left w:val="single" w:sz="4" w:space="0" w:color="000000"/>
              <w:bottom w:val="single" w:sz="4" w:space="0" w:color="000000"/>
              <w:right w:val="single" w:sz="4" w:space="0" w:color="000000"/>
            </w:tcBorders>
            <w:hideMark/>
          </w:tcPr>
          <w:p w14:paraId="4A1109FB" w14:textId="77777777" w:rsidR="00A76826" w:rsidRPr="004714C6" w:rsidRDefault="00A76826">
            <w:pPr>
              <w:widowControl w:val="0"/>
              <w:autoSpaceDE w:val="0"/>
              <w:autoSpaceDN w:val="0"/>
              <w:adjustRightInd w:val="0"/>
              <w:spacing w:line="246" w:lineRule="exact"/>
              <w:ind w:left="102" w:right="-20"/>
              <w:rPr>
                <w:b/>
                <w:bCs/>
                <w:kern w:val="2"/>
                <w:sz w:val="24"/>
                <w:szCs w:val="24"/>
                <w14:ligatures w14:val="standardContextual"/>
              </w:rPr>
            </w:pPr>
            <w:r w:rsidRPr="004714C6">
              <w:rPr>
                <w:b/>
                <w:bCs/>
                <w:kern w:val="2"/>
                <w:sz w:val="24"/>
                <w:szCs w:val="24"/>
                <w14:ligatures w14:val="standardContextual"/>
              </w:rPr>
              <w:t>Høj blødningsrisiko eller større kirurgisk indgreb</w:t>
            </w:r>
          </w:p>
        </w:tc>
        <w:tc>
          <w:tcPr>
            <w:tcW w:w="1533" w:type="pct"/>
            <w:tcBorders>
              <w:top w:val="single" w:sz="4" w:space="0" w:color="000000"/>
              <w:left w:val="single" w:sz="4" w:space="0" w:color="000000"/>
              <w:bottom w:val="single" w:sz="4" w:space="0" w:color="000000"/>
              <w:right w:val="single" w:sz="4" w:space="0" w:color="000000"/>
            </w:tcBorders>
            <w:hideMark/>
          </w:tcPr>
          <w:p w14:paraId="0AB8CF48" w14:textId="77777777" w:rsidR="00A76826" w:rsidRPr="004714C6" w:rsidRDefault="00A76826">
            <w:pPr>
              <w:widowControl w:val="0"/>
              <w:autoSpaceDE w:val="0"/>
              <w:autoSpaceDN w:val="0"/>
              <w:adjustRightInd w:val="0"/>
              <w:spacing w:line="246" w:lineRule="exact"/>
              <w:ind w:left="102" w:right="-20"/>
              <w:jc w:val="both"/>
              <w:rPr>
                <w:b/>
                <w:bCs/>
                <w:kern w:val="2"/>
                <w:sz w:val="24"/>
                <w:szCs w:val="24"/>
                <w14:ligatures w14:val="standardContextual"/>
              </w:rPr>
            </w:pPr>
            <w:r w:rsidRPr="004714C6">
              <w:rPr>
                <w:b/>
                <w:bCs/>
                <w:kern w:val="2"/>
                <w:sz w:val="24"/>
                <w:szCs w:val="24"/>
                <w14:ligatures w14:val="standardContextual"/>
              </w:rPr>
              <w:t>Standardrisiko</w:t>
            </w:r>
          </w:p>
        </w:tc>
      </w:tr>
      <w:tr w:rsidR="00A76826" w:rsidRPr="004714C6" w14:paraId="5E338CBF" w14:textId="77777777" w:rsidTr="00647CA7">
        <w:trPr>
          <w:trHeight w:hRule="exact" w:val="264"/>
        </w:trPr>
        <w:tc>
          <w:tcPr>
            <w:tcW w:w="877" w:type="pct"/>
            <w:tcBorders>
              <w:top w:val="single" w:sz="4" w:space="0" w:color="000000"/>
              <w:left w:val="single" w:sz="4" w:space="0" w:color="000000"/>
              <w:bottom w:val="single" w:sz="4" w:space="0" w:color="000000"/>
              <w:right w:val="single" w:sz="4" w:space="0" w:color="000000"/>
            </w:tcBorders>
            <w:hideMark/>
          </w:tcPr>
          <w:p w14:paraId="3EDAE97C" w14:textId="77777777" w:rsidR="00A76826" w:rsidRPr="004714C6" w:rsidRDefault="00A76826">
            <w:pPr>
              <w:widowControl w:val="0"/>
              <w:autoSpaceDE w:val="0"/>
              <w:autoSpaceDN w:val="0"/>
              <w:adjustRightInd w:val="0"/>
              <w:spacing w:line="246" w:lineRule="exact"/>
              <w:ind w:left="553" w:right="535"/>
              <w:jc w:val="both"/>
              <w:rPr>
                <w:kern w:val="2"/>
                <w:sz w:val="24"/>
                <w:szCs w:val="24"/>
                <w14:ligatures w14:val="standardContextual"/>
              </w:rPr>
            </w:pPr>
            <w:r w:rsidRPr="004714C6">
              <w:rPr>
                <w:kern w:val="2"/>
                <w:sz w:val="24"/>
                <w:szCs w:val="24"/>
                <w14:ligatures w14:val="standardContextual"/>
              </w:rPr>
              <w:t>≥ 80</w:t>
            </w:r>
          </w:p>
        </w:tc>
        <w:tc>
          <w:tcPr>
            <w:tcW w:w="1028" w:type="pct"/>
            <w:tcBorders>
              <w:top w:val="single" w:sz="4" w:space="0" w:color="000000"/>
              <w:left w:val="single" w:sz="4" w:space="0" w:color="000000"/>
              <w:bottom w:val="single" w:sz="4" w:space="0" w:color="000000"/>
              <w:right w:val="single" w:sz="4" w:space="0" w:color="000000"/>
            </w:tcBorders>
            <w:hideMark/>
          </w:tcPr>
          <w:p w14:paraId="6F3C1BFA" w14:textId="77777777" w:rsidR="00A76826" w:rsidRPr="004714C6" w:rsidRDefault="00A76826">
            <w:pPr>
              <w:widowControl w:val="0"/>
              <w:autoSpaceDE w:val="0"/>
              <w:autoSpaceDN w:val="0"/>
              <w:adjustRightInd w:val="0"/>
              <w:spacing w:line="246" w:lineRule="exact"/>
              <w:ind w:left="692" w:right="672"/>
              <w:jc w:val="both"/>
              <w:rPr>
                <w:kern w:val="2"/>
                <w:sz w:val="24"/>
                <w:szCs w:val="24"/>
                <w14:ligatures w14:val="standardContextual"/>
              </w:rPr>
            </w:pPr>
            <w:r w:rsidRPr="004714C6">
              <w:rPr>
                <w:kern w:val="2"/>
                <w:sz w:val="24"/>
                <w:szCs w:val="24"/>
                <w14:ligatures w14:val="standardContextual"/>
              </w:rPr>
              <w:t>~ 13</w:t>
            </w:r>
          </w:p>
        </w:tc>
        <w:tc>
          <w:tcPr>
            <w:tcW w:w="1562" w:type="pct"/>
            <w:tcBorders>
              <w:top w:val="single" w:sz="4" w:space="0" w:color="000000"/>
              <w:left w:val="single" w:sz="4" w:space="0" w:color="000000"/>
              <w:bottom w:val="single" w:sz="4" w:space="0" w:color="000000"/>
              <w:right w:val="single" w:sz="4" w:space="0" w:color="000000"/>
            </w:tcBorders>
            <w:hideMark/>
          </w:tcPr>
          <w:p w14:paraId="700A2F2B" w14:textId="77777777" w:rsidR="00A76826" w:rsidRPr="004714C6" w:rsidRDefault="00A76826">
            <w:pPr>
              <w:widowControl w:val="0"/>
              <w:autoSpaceDE w:val="0"/>
              <w:autoSpaceDN w:val="0"/>
              <w:adjustRightInd w:val="0"/>
              <w:spacing w:line="246" w:lineRule="exact"/>
              <w:ind w:left="102" w:right="-20"/>
              <w:jc w:val="both"/>
              <w:rPr>
                <w:kern w:val="2"/>
                <w:sz w:val="24"/>
                <w:szCs w:val="24"/>
                <w14:ligatures w14:val="standardContextual"/>
              </w:rPr>
            </w:pPr>
            <w:r w:rsidRPr="004714C6">
              <w:rPr>
                <w:kern w:val="2"/>
                <w:sz w:val="24"/>
                <w:szCs w:val="24"/>
                <w14:ligatures w14:val="standardContextual"/>
              </w:rPr>
              <w:t>2 dage før</w:t>
            </w:r>
          </w:p>
        </w:tc>
        <w:tc>
          <w:tcPr>
            <w:tcW w:w="1533" w:type="pct"/>
            <w:tcBorders>
              <w:top w:val="single" w:sz="4" w:space="0" w:color="000000"/>
              <w:left w:val="single" w:sz="4" w:space="0" w:color="000000"/>
              <w:bottom w:val="single" w:sz="4" w:space="0" w:color="000000"/>
              <w:right w:val="single" w:sz="4" w:space="0" w:color="000000"/>
            </w:tcBorders>
            <w:hideMark/>
          </w:tcPr>
          <w:p w14:paraId="51C06D72" w14:textId="77777777" w:rsidR="00A76826" w:rsidRPr="004714C6" w:rsidRDefault="00A76826">
            <w:pPr>
              <w:widowControl w:val="0"/>
              <w:autoSpaceDE w:val="0"/>
              <w:autoSpaceDN w:val="0"/>
              <w:adjustRightInd w:val="0"/>
              <w:spacing w:line="246" w:lineRule="exact"/>
              <w:ind w:left="102" w:right="-20"/>
              <w:jc w:val="both"/>
              <w:rPr>
                <w:kern w:val="2"/>
                <w:sz w:val="24"/>
                <w:szCs w:val="24"/>
                <w14:ligatures w14:val="standardContextual"/>
              </w:rPr>
            </w:pPr>
            <w:r w:rsidRPr="004714C6">
              <w:rPr>
                <w:kern w:val="2"/>
                <w:sz w:val="24"/>
                <w:szCs w:val="24"/>
                <w14:ligatures w14:val="standardContextual"/>
              </w:rPr>
              <w:t>24 timer før</w:t>
            </w:r>
          </w:p>
        </w:tc>
      </w:tr>
      <w:tr w:rsidR="00A76826" w:rsidRPr="004714C6" w14:paraId="6E8CED74" w14:textId="77777777" w:rsidTr="00647CA7">
        <w:trPr>
          <w:trHeight w:hRule="exact" w:val="262"/>
        </w:trPr>
        <w:tc>
          <w:tcPr>
            <w:tcW w:w="877" w:type="pct"/>
            <w:tcBorders>
              <w:top w:val="single" w:sz="4" w:space="0" w:color="000000"/>
              <w:left w:val="single" w:sz="4" w:space="0" w:color="000000"/>
              <w:bottom w:val="single" w:sz="4" w:space="0" w:color="000000"/>
              <w:right w:val="single" w:sz="4" w:space="0" w:color="000000"/>
            </w:tcBorders>
            <w:hideMark/>
          </w:tcPr>
          <w:p w14:paraId="7AAB6F86" w14:textId="77777777" w:rsidR="00A76826" w:rsidRPr="004714C6" w:rsidRDefault="00A76826">
            <w:pPr>
              <w:widowControl w:val="0"/>
              <w:autoSpaceDE w:val="0"/>
              <w:autoSpaceDN w:val="0"/>
              <w:adjustRightInd w:val="0"/>
              <w:spacing w:line="246" w:lineRule="exact"/>
              <w:ind w:left="352" w:right="-20"/>
              <w:jc w:val="both"/>
              <w:rPr>
                <w:kern w:val="2"/>
                <w:sz w:val="24"/>
                <w:szCs w:val="24"/>
                <w14:ligatures w14:val="standardContextual"/>
              </w:rPr>
            </w:pPr>
            <w:r w:rsidRPr="004714C6">
              <w:rPr>
                <w:kern w:val="2"/>
                <w:sz w:val="24"/>
                <w:szCs w:val="24"/>
                <w14:ligatures w14:val="standardContextual"/>
              </w:rPr>
              <w:t>≥ 50</w:t>
            </w:r>
            <w:r w:rsidRPr="004714C6">
              <w:rPr>
                <w:spacing w:val="-4"/>
                <w:kern w:val="2"/>
                <w:sz w:val="24"/>
                <w:szCs w:val="24"/>
                <w14:ligatures w14:val="standardContextual"/>
              </w:rPr>
              <w:noBreakHyphen/>
            </w:r>
            <w:r w:rsidRPr="004714C6">
              <w:rPr>
                <w:kern w:val="2"/>
                <w:sz w:val="24"/>
                <w:szCs w:val="24"/>
                <w14:ligatures w14:val="standardContextual"/>
              </w:rPr>
              <w:t>&lt; 80</w:t>
            </w:r>
          </w:p>
        </w:tc>
        <w:tc>
          <w:tcPr>
            <w:tcW w:w="1028" w:type="pct"/>
            <w:tcBorders>
              <w:top w:val="single" w:sz="4" w:space="0" w:color="000000"/>
              <w:left w:val="single" w:sz="4" w:space="0" w:color="000000"/>
              <w:bottom w:val="single" w:sz="4" w:space="0" w:color="000000"/>
              <w:right w:val="single" w:sz="4" w:space="0" w:color="000000"/>
            </w:tcBorders>
            <w:hideMark/>
          </w:tcPr>
          <w:p w14:paraId="1DE2565A" w14:textId="77777777" w:rsidR="00A76826" w:rsidRPr="004714C6" w:rsidRDefault="00A76826">
            <w:pPr>
              <w:widowControl w:val="0"/>
              <w:autoSpaceDE w:val="0"/>
              <w:autoSpaceDN w:val="0"/>
              <w:adjustRightInd w:val="0"/>
              <w:spacing w:line="246" w:lineRule="exact"/>
              <w:ind w:left="692" w:right="672"/>
              <w:jc w:val="both"/>
              <w:rPr>
                <w:kern w:val="2"/>
                <w:sz w:val="24"/>
                <w:szCs w:val="24"/>
                <w14:ligatures w14:val="standardContextual"/>
              </w:rPr>
            </w:pPr>
            <w:r w:rsidRPr="004714C6">
              <w:rPr>
                <w:kern w:val="2"/>
                <w:sz w:val="24"/>
                <w:szCs w:val="24"/>
                <w14:ligatures w14:val="standardContextual"/>
              </w:rPr>
              <w:t>~ 15</w:t>
            </w:r>
          </w:p>
        </w:tc>
        <w:tc>
          <w:tcPr>
            <w:tcW w:w="1562" w:type="pct"/>
            <w:tcBorders>
              <w:top w:val="single" w:sz="4" w:space="0" w:color="000000"/>
              <w:left w:val="single" w:sz="4" w:space="0" w:color="000000"/>
              <w:bottom w:val="single" w:sz="4" w:space="0" w:color="000000"/>
              <w:right w:val="single" w:sz="4" w:space="0" w:color="000000"/>
            </w:tcBorders>
            <w:hideMark/>
          </w:tcPr>
          <w:p w14:paraId="0F17791D" w14:textId="77777777" w:rsidR="00A76826" w:rsidRPr="004714C6" w:rsidRDefault="00A76826">
            <w:pPr>
              <w:widowControl w:val="0"/>
              <w:autoSpaceDE w:val="0"/>
              <w:autoSpaceDN w:val="0"/>
              <w:adjustRightInd w:val="0"/>
              <w:spacing w:line="246" w:lineRule="exact"/>
              <w:ind w:left="102" w:right="-20"/>
              <w:jc w:val="both"/>
              <w:rPr>
                <w:kern w:val="2"/>
                <w:sz w:val="24"/>
                <w:szCs w:val="24"/>
                <w14:ligatures w14:val="standardContextual"/>
              </w:rPr>
            </w:pPr>
            <w:r w:rsidRPr="004714C6">
              <w:rPr>
                <w:kern w:val="2"/>
                <w:sz w:val="24"/>
                <w:szCs w:val="24"/>
                <w14:ligatures w14:val="standardContextual"/>
              </w:rPr>
              <w:t>2</w:t>
            </w:r>
            <w:r w:rsidRPr="004714C6">
              <w:rPr>
                <w:spacing w:val="-4"/>
                <w:kern w:val="2"/>
                <w:sz w:val="24"/>
                <w:szCs w:val="24"/>
                <w14:ligatures w14:val="standardContextual"/>
              </w:rPr>
              <w:noBreakHyphen/>
            </w:r>
            <w:r w:rsidRPr="004714C6">
              <w:rPr>
                <w:kern w:val="2"/>
                <w:sz w:val="24"/>
                <w:szCs w:val="24"/>
                <w14:ligatures w14:val="standardContextual"/>
              </w:rPr>
              <w:t>3 dage før</w:t>
            </w:r>
          </w:p>
        </w:tc>
        <w:tc>
          <w:tcPr>
            <w:tcW w:w="1533" w:type="pct"/>
            <w:tcBorders>
              <w:top w:val="single" w:sz="4" w:space="0" w:color="000000"/>
              <w:left w:val="single" w:sz="4" w:space="0" w:color="000000"/>
              <w:bottom w:val="single" w:sz="4" w:space="0" w:color="000000"/>
              <w:right w:val="single" w:sz="4" w:space="0" w:color="000000"/>
            </w:tcBorders>
            <w:hideMark/>
          </w:tcPr>
          <w:p w14:paraId="128E0CC7" w14:textId="77777777" w:rsidR="00A76826" w:rsidRPr="004714C6" w:rsidRDefault="00A76826">
            <w:pPr>
              <w:widowControl w:val="0"/>
              <w:autoSpaceDE w:val="0"/>
              <w:autoSpaceDN w:val="0"/>
              <w:adjustRightInd w:val="0"/>
              <w:spacing w:line="246" w:lineRule="exact"/>
              <w:ind w:left="102" w:right="-20"/>
              <w:jc w:val="both"/>
              <w:rPr>
                <w:kern w:val="2"/>
                <w:sz w:val="24"/>
                <w:szCs w:val="24"/>
                <w14:ligatures w14:val="standardContextual"/>
              </w:rPr>
            </w:pPr>
            <w:r w:rsidRPr="004714C6">
              <w:rPr>
                <w:kern w:val="2"/>
                <w:sz w:val="24"/>
                <w:szCs w:val="24"/>
                <w14:ligatures w14:val="standardContextual"/>
              </w:rPr>
              <w:t>1</w:t>
            </w:r>
            <w:r w:rsidRPr="004714C6">
              <w:rPr>
                <w:spacing w:val="-4"/>
                <w:kern w:val="2"/>
                <w:sz w:val="24"/>
                <w:szCs w:val="24"/>
                <w14:ligatures w14:val="standardContextual"/>
              </w:rPr>
              <w:noBreakHyphen/>
            </w:r>
            <w:r w:rsidRPr="004714C6">
              <w:rPr>
                <w:kern w:val="2"/>
                <w:sz w:val="24"/>
                <w:szCs w:val="24"/>
                <w14:ligatures w14:val="standardContextual"/>
              </w:rPr>
              <w:t>2 dage før</w:t>
            </w:r>
          </w:p>
        </w:tc>
      </w:tr>
      <w:tr w:rsidR="00A76826" w:rsidRPr="004714C6" w14:paraId="49650A32" w14:textId="77777777" w:rsidTr="00647CA7">
        <w:trPr>
          <w:trHeight w:hRule="exact" w:val="264"/>
        </w:trPr>
        <w:tc>
          <w:tcPr>
            <w:tcW w:w="877" w:type="pct"/>
            <w:tcBorders>
              <w:top w:val="single" w:sz="4" w:space="0" w:color="000000"/>
              <w:left w:val="single" w:sz="4" w:space="0" w:color="000000"/>
              <w:bottom w:val="single" w:sz="4" w:space="0" w:color="000000"/>
              <w:right w:val="single" w:sz="4" w:space="0" w:color="000000"/>
            </w:tcBorders>
            <w:hideMark/>
          </w:tcPr>
          <w:p w14:paraId="2F7E8011" w14:textId="77777777" w:rsidR="00A76826" w:rsidRPr="004714C6" w:rsidRDefault="00A76826">
            <w:pPr>
              <w:widowControl w:val="0"/>
              <w:autoSpaceDE w:val="0"/>
              <w:autoSpaceDN w:val="0"/>
              <w:adjustRightInd w:val="0"/>
              <w:spacing w:line="248" w:lineRule="exact"/>
              <w:ind w:left="352" w:right="-20"/>
              <w:jc w:val="both"/>
              <w:rPr>
                <w:kern w:val="2"/>
                <w:sz w:val="24"/>
                <w:szCs w:val="24"/>
                <w14:ligatures w14:val="standardContextual"/>
              </w:rPr>
            </w:pPr>
            <w:r w:rsidRPr="004714C6">
              <w:rPr>
                <w:kern w:val="2"/>
                <w:sz w:val="24"/>
                <w:szCs w:val="24"/>
                <w14:ligatures w14:val="standardContextual"/>
              </w:rPr>
              <w:t>≥ 30</w:t>
            </w:r>
            <w:r w:rsidRPr="004714C6">
              <w:rPr>
                <w:spacing w:val="-4"/>
                <w:kern w:val="2"/>
                <w:sz w:val="24"/>
                <w:szCs w:val="24"/>
                <w14:ligatures w14:val="standardContextual"/>
              </w:rPr>
              <w:noBreakHyphen/>
            </w:r>
            <w:r w:rsidRPr="004714C6">
              <w:rPr>
                <w:kern w:val="2"/>
                <w:sz w:val="24"/>
                <w:szCs w:val="24"/>
                <w14:ligatures w14:val="standardContextual"/>
              </w:rPr>
              <w:t>&lt; 50</w:t>
            </w:r>
          </w:p>
        </w:tc>
        <w:tc>
          <w:tcPr>
            <w:tcW w:w="1028" w:type="pct"/>
            <w:tcBorders>
              <w:top w:val="single" w:sz="4" w:space="0" w:color="000000"/>
              <w:left w:val="single" w:sz="4" w:space="0" w:color="000000"/>
              <w:bottom w:val="single" w:sz="4" w:space="0" w:color="000000"/>
              <w:right w:val="single" w:sz="4" w:space="0" w:color="000000"/>
            </w:tcBorders>
            <w:hideMark/>
          </w:tcPr>
          <w:p w14:paraId="2303C8A5" w14:textId="77777777" w:rsidR="00A76826" w:rsidRPr="004714C6" w:rsidRDefault="00A76826">
            <w:pPr>
              <w:widowControl w:val="0"/>
              <w:autoSpaceDE w:val="0"/>
              <w:autoSpaceDN w:val="0"/>
              <w:adjustRightInd w:val="0"/>
              <w:spacing w:line="248" w:lineRule="exact"/>
              <w:ind w:left="692" w:right="672"/>
              <w:jc w:val="both"/>
              <w:rPr>
                <w:kern w:val="2"/>
                <w:sz w:val="24"/>
                <w:szCs w:val="24"/>
                <w14:ligatures w14:val="standardContextual"/>
              </w:rPr>
            </w:pPr>
            <w:r w:rsidRPr="004714C6">
              <w:rPr>
                <w:kern w:val="2"/>
                <w:sz w:val="24"/>
                <w:szCs w:val="24"/>
                <w14:ligatures w14:val="standardContextual"/>
              </w:rPr>
              <w:t>~ 18</w:t>
            </w:r>
          </w:p>
        </w:tc>
        <w:tc>
          <w:tcPr>
            <w:tcW w:w="1562" w:type="pct"/>
            <w:tcBorders>
              <w:top w:val="single" w:sz="4" w:space="0" w:color="000000"/>
              <w:left w:val="single" w:sz="4" w:space="0" w:color="000000"/>
              <w:bottom w:val="single" w:sz="4" w:space="0" w:color="000000"/>
              <w:right w:val="single" w:sz="4" w:space="0" w:color="000000"/>
            </w:tcBorders>
            <w:hideMark/>
          </w:tcPr>
          <w:p w14:paraId="63352BD2" w14:textId="77777777" w:rsidR="00A76826" w:rsidRPr="004714C6" w:rsidRDefault="00A76826">
            <w:pPr>
              <w:widowControl w:val="0"/>
              <w:autoSpaceDE w:val="0"/>
              <w:autoSpaceDN w:val="0"/>
              <w:adjustRightInd w:val="0"/>
              <w:spacing w:line="248" w:lineRule="exact"/>
              <w:ind w:left="102" w:right="-20"/>
              <w:jc w:val="both"/>
              <w:rPr>
                <w:kern w:val="2"/>
                <w:sz w:val="24"/>
                <w:szCs w:val="24"/>
                <w14:ligatures w14:val="standardContextual"/>
              </w:rPr>
            </w:pPr>
            <w:r w:rsidRPr="004714C6">
              <w:rPr>
                <w:kern w:val="2"/>
                <w:sz w:val="24"/>
                <w:szCs w:val="24"/>
                <w14:ligatures w14:val="standardContextual"/>
              </w:rPr>
              <w:t>4 dage før</w:t>
            </w:r>
          </w:p>
        </w:tc>
        <w:tc>
          <w:tcPr>
            <w:tcW w:w="1533" w:type="pct"/>
            <w:tcBorders>
              <w:top w:val="single" w:sz="4" w:space="0" w:color="000000"/>
              <w:left w:val="single" w:sz="4" w:space="0" w:color="000000"/>
              <w:bottom w:val="single" w:sz="4" w:space="0" w:color="000000"/>
              <w:right w:val="single" w:sz="4" w:space="0" w:color="000000"/>
            </w:tcBorders>
            <w:hideMark/>
          </w:tcPr>
          <w:p w14:paraId="09DEF4E1" w14:textId="77777777" w:rsidR="00A76826" w:rsidRPr="004714C6" w:rsidRDefault="00A76826">
            <w:pPr>
              <w:widowControl w:val="0"/>
              <w:autoSpaceDE w:val="0"/>
              <w:autoSpaceDN w:val="0"/>
              <w:adjustRightInd w:val="0"/>
              <w:spacing w:line="248" w:lineRule="exact"/>
              <w:ind w:left="102" w:right="-20"/>
              <w:jc w:val="both"/>
              <w:rPr>
                <w:kern w:val="2"/>
                <w:sz w:val="24"/>
                <w:szCs w:val="24"/>
                <w14:ligatures w14:val="standardContextual"/>
              </w:rPr>
            </w:pPr>
            <w:r w:rsidRPr="004714C6">
              <w:rPr>
                <w:kern w:val="2"/>
                <w:sz w:val="24"/>
                <w:szCs w:val="24"/>
                <w14:ligatures w14:val="standardContextual"/>
              </w:rPr>
              <w:t>2</w:t>
            </w:r>
            <w:r w:rsidRPr="004714C6">
              <w:rPr>
                <w:spacing w:val="-4"/>
                <w:kern w:val="2"/>
                <w:sz w:val="24"/>
                <w:szCs w:val="24"/>
                <w14:ligatures w14:val="standardContextual"/>
              </w:rPr>
              <w:noBreakHyphen/>
            </w:r>
            <w:r w:rsidRPr="004714C6">
              <w:rPr>
                <w:kern w:val="2"/>
                <w:sz w:val="24"/>
                <w:szCs w:val="24"/>
                <w14:ligatures w14:val="standardContextual"/>
              </w:rPr>
              <w:t>3 dage før (&gt; 48 </w:t>
            </w:r>
            <w:r w:rsidRPr="004714C6">
              <w:rPr>
                <w:spacing w:val="-1"/>
                <w:kern w:val="2"/>
                <w:sz w:val="24"/>
                <w:szCs w:val="24"/>
                <w14:ligatures w14:val="standardContextual"/>
              </w:rPr>
              <w:t>timer)</w:t>
            </w:r>
          </w:p>
        </w:tc>
      </w:tr>
    </w:tbl>
    <w:p w14:paraId="4444EB51" w14:textId="77777777" w:rsidR="00A76826" w:rsidRPr="004714C6" w:rsidRDefault="00A76826" w:rsidP="00647CA7">
      <w:pPr>
        <w:ind w:left="851"/>
        <w:rPr>
          <w:sz w:val="24"/>
          <w:szCs w:val="24"/>
        </w:rPr>
      </w:pPr>
    </w:p>
    <w:p w14:paraId="23046363" w14:textId="77777777" w:rsidR="00A76826" w:rsidRPr="004714C6" w:rsidRDefault="00A76826" w:rsidP="00647CA7">
      <w:pPr>
        <w:ind w:left="851"/>
        <w:rPr>
          <w:sz w:val="24"/>
          <w:szCs w:val="24"/>
        </w:rPr>
      </w:pPr>
      <w:r w:rsidRPr="004714C6">
        <w:rPr>
          <w:sz w:val="24"/>
          <w:szCs w:val="24"/>
        </w:rPr>
        <w:t>Seponeringsregler før invasive eller kirurgiske procedurer for pædiatriske patienter er opsummeret i tabel 8.</w:t>
      </w:r>
    </w:p>
    <w:p w14:paraId="7A658216" w14:textId="35B7D05F" w:rsidR="00326117" w:rsidRDefault="00326117">
      <w:pPr>
        <w:rPr>
          <w:sz w:val="24"/>
          <w:szCs w:val="24"/>
        </w:rPr>
      </w:pPr>
      <w:r>
        <w:rPr>
          <w:sz w:val="24"/>
          <w:szCs w:val="24"/>
        </w:rPr>
        <w:br w:type="page"/>
      </w:r>
    </w:p>
    <w:p w14:paraId="67C189F3" w14:textId="77777777" w:rsidR="00A76826" w:rsidRPr="004714C6" w:rsidRDefault="00A76826" w:rsidP="00647CA7">
      <w:pPr>
        <w:ind w:left="851"/>
        <w:rPr>
          <w:sz w:val="24"/>
          <w:szCs w:val="24"/>
        </w:rPr>
      </w:pPr>
    </w:p>
    <w:p w14:paraId="233C7DE1" w14:textId="77777777" w:rsidR="00A76826" w:rsidRPr="004714C6" w:rsidRDefault="00A76826" w:rsidP="00A76826">
      <w:pPr>
        <w:keepNext/>
        <w:tabs>
          <w:tab w:val="left" w:pos="1100"/>
        </w:tabs>
        <w:spacing w:line="249" w:lineRule="exact"/>
        <w:ind w:right="-20"/>
        <w:rPr>
          <w:sz w:val="24"/>
          <w:szCs w:val="24"/>
        </w:rPr>
      </w:pPr>
      <w:r w:rsidRPr="004714C6">
        <w:rPr>
          <w:b/>
          <w:bCs/>
          <w:position w:val="-1"/>
          <w:sz w:val="24"/>
          <w:szCs w:val="24"/>
        </w:rPr>
        <w:t>Tabel </w:t>
      </w:r>
      <w:r w:rsidRPr="004714C6">
        <w:rPr>
          <w:b/>
          <w:bCs/>
          <w:spacing w:val="-2"/>
          <w:position w:val="-1"/>
          <w:sz w:val="24"/>
          <w:szCs w:val="24"/>
        </w:rPr>
        <w:t>8</w:t>
      </w:r>
      <w:r w:rsidRPr="004714C6">
        <w:rPr>
          <w:b/>
          <w:bCs/>
          <w:position w:val="-1"/>
          <w:sz w:val="24"/>
          <w:szCs w:val="24"/>
        </w:rPr>
        <w:t>:</w:t>
      </w:r>
      <w:r w:rsidRPr="004714C6">
        <w:rPr>
          <w:b/>
          <w:bCs/>
          <w:position w:val="-1"/>
          <w:sz w:val="24"/>
          <w:szCs w:val="24"/>
        </w:rPr>
        <w:tab/>
        <w:t>Seponeringsregler før invasive eller kirurgiske procedurer for pædiatriske patienter</w:t>
      </w:r>
    </w:p>
    <w:p w14:paraId="62B5EC30" w14:textId="77777777" w:rsidR="00A76826" w:rsidRPr="004714C6" w:rsidRDefault="00A76826" w:rsidP="00A76826">
      <w:pPr>
        <w:keepNext/>
        <w:spacing w:before="18" w:line="240" w:lineRule="exact"/>
        <w:rPr>
          <w:sz w:val="24"/>
          <w:szCs w:val="24"/>
        </w:rPr>
      </w:pPr>
    </w:p>
    <w:tbl>
      <w:tblPr>
        <w:tblW w:w="5000" w:type="pct"/>
        <w:tblCellMar>
          <w:left w:w="0" w:type="dxa"/>
          <w:right w:w="0" w:type="dxa"/>
        </w:tblCellMar>
        <w:tblLook w:val="01E0" w:firstRow="1" w:lastRow="1" w:firstColumn="1" w:lastColumn="1" w:noHBand="0" w:noVBand="0"/>
      </w:tblPr>
      <w:tblGrid>
        <w:gridCol w:w="3636"/>
        <w:gridCol w:w="5992"/>
      </w:tblGrid>
      <w:tr w:rsidR="00A76826" w:rsidRPr="004714C6" w14:paraId="7298C68C" w14:textId="77777777" w:rsidTr="00647CA7">
        <w:trPr>
          <w:trHeight w:hRule="exact" w:val="516"/>
        </w:trPr>
        <w:tc>
          <w:tcPr>
            <w:tcW w:w="1888" w:type="pct"/>
            <w:tcBorders>
              <w:top w:val="single" w:sz="4" w:space="0" w:color="000000"/>
              <w:left w:val="single" w:sz="4" w:space="0" w:color="000000"/>
              <w:bottom w:val="single" w:sz="4" w:space="0" w:color="000000"/>
              <w:right w:val="single" w:sz="4" w:space="0" w:color="000000"/>
            </w:tcBorders>
            <w:hideMark/>
          </w:tcPr>
          <w:p w14:paraId="7832EA44" w14:textId="77777777" w:rsidR="00A76826" w:rsidRPr="004714C6" w:rsidRDefault="00A76826">
            <w:pPr>
              <w:spacing w:line="246" w:lineRule="exact"/>
              <w:ind w:left="136" w:right="-20"/>
              <w:jc w:val="both"/>
              <w:rPr>
                <w:b/>
                <w:bCs/>
                <w:kern w:val="2"/>
                <w:sz w:val="24"/>
                <w:szCs w:val="24"/>
                <w14:ligatures w14:val="standardContextual"/>
              </w:rPr>
            </w:pPr>
            <w:r w:rsidRPr="004714C6">
              <w:rPr>
                <w:b/>
                <w:bCs/>
                <w:kern w:val="2"/>
                <w:sz w:val="24"/>
                <w:szCs w:val="24"/>
                <w14:ligatures w14:val="standardContextual"/>
              </w:rPr>
              <w:t>Nyrefunktion</w:t>
            </w:r>
          </w:p>
          <w:p w14:paraId="54522412" w14:textId="77777777" w:rsidR="00A76826" w:rsidRPr="004714C6" w:rsidRDefault="00A76826">
            <w:pPr>
              <w:spacing w:line="252" w:lineRule="exact"/>
              <w:ind w:left="136" w:right="-20"/>
              <w:jc w:val="both"/>
              <w:rPr>
                <w:b/>
                <w:bCs/>
                <w:kern w:val="2"/>
                <w:sz w:val="24"/>
                <w:szCs w:val="24"/>
                <w14:ligatures w14:val="standardContextual"/>
              </w:rPr>
            </w:pPr>
            <w:r w:rsidRPr="004714C6">
              <w:rPr>
                <w:b/>
                <w:bCs/>
                <w:kern w:val="2"/>
                <w:sz w:val="24"/>
                <w:szCs w:val="24"/>
                <w14:ligatures w14:val="standardContextual"/>
              </w:rPr>
              <w:t>(eGFR i ml/min/1,73 m</w:t>
            </w:r>
            <w:r w:rsidRPr="004714C6">
              <w:rPr>
                <w:b/>
                <w:bCs/>
                <w:kern w:val="2"/>
                <w:sz w:val="24"/>
                <w:szCs w:val="24"/>
                <w:vertAlign w:val="superscript"/>
                <w14:ligatures w14:val="standardContextual"/>
              </w:rPr>
              <w:t>2</w:t>
            </w:r>
            <w:r w:rsidRPr="004714C6">
              <w:rPr>
                <w:b/>
                <w:bCs/>
                <w:kern w:val="2"/>
                <w:sz w:val="24"/>
                <w:szCs w:val="24"/>
                <w14:ligatures w14:val="standardContextual"/>
              </w:rPr>
              <w:t>)</w:t>
            </w:r>
          </w:p>
        </w:tc>
        <w:tc>
          <w:tcPr>
            <w:tcW w:w="3112" w:type="pct"/>
            <w:tcBorders>
              <w:top w:val="single" w:sz="4" w:space="0" w:color="000000"/>
              <w:left w:val="single" w:sz="4" w:space="0" w:color="000000"/>
              <w:bottom w:val="single" w:sz="4" w:space="0" w:color="000000"/>
              <w:right w:val="single" w:sz="4" w:space="0" w:color="000000"/>
            </w:tcBorders>
            <w:hideMark/>
          </w:tcPr>
          <w:p w14:paraId="6E3E99A2" w14:textId="77777777" w:rsidR="00A76826" w:rsidRPr="004714C6" w:rsidRDefault="00A76826">
            <w:pPr>
              <w:spacing w:line="246" w:lineRule="exact"/>
              <w:ind w:left="133" w:right="-20"/>
              <w:jc w:val="both"/>
              <w:rPr>
                <w:b/>
                <w:bCs/>
                <w:kern w:val="2"/>
                <w:sz w:val="24"/>
                <w:szCs w:val="24"/>
                <w14:ligatures w14:val="standardContextual"/>
              </w:rPr>
            </w:pPr>
            <w:r w:rsidRPr="004714C6">
              <w:rPr>
                <w:b/>
                <w:bCs/>
                <w:kern w:val="2"/>
                <w:sz w:val="24"/>
                <w:szCs w:val="24"/>
                <w14:ligatures w14:val="standardContextual"/>
              </w:rPr>
              <w:t>Stop dabigatran før elektiv kirurgi</w:t>
            </w:r>
          </w:p>
        </w:tc>
      </w:tr>
      <w:tr w:rsidR="00A76826" w:rsidRPr="004714C6" w14:paraId="54136D8D" w14:textId="77777777" w:rsidTr="00647CA7">
        <w:trPr>
          <w:trHeight w:hRule="exact" w:val="262"/>
        </w:trPr>
        <w:tc>
          <w:tcPr>
            <w:tcW w:w="1888" w:type="pct"/>
            <w:tcBorders>
              <w:top w:val="single" w:sz="4" w:space="0" w:color="000000"/>
              <w:left w:val="single" w:sz="4" w:space="0" w:color="000000"/>
              <w:bottom w:val="single" w:sz="4" w:space="0" w:color="000000"/>
              <w:right w:val="single" w:sz="4" w:space="0" w:color="000000"/>
            </w:tcBorders>
            <w:hideMark/>
          </w:tcPr>
          <w:p w14:paraId="6A05DBDF" w14:textId="77777777" w:rsidR="00A76826" w:rsidRPr="004714C6" w:rsidRDefault="00A76826">
            <w:pPr>
              <w:spacing w:line="246" w:lineRule="exact"/>
              <w:ind w:left="136" w:right="-20"/>
              <w:jc w:val="both"/>
              <w:rPr>
                <w:kern w:val="2"/>
                <w:sz w:val="24"/>
                <w:szCs w:val="24"/>
                <w14:ligatures w14:val="standardContextual"/>
              </w:rPr>
            </w:pPr>
            <w:r w:rsidRPr="004714C6">
              <w:rPr>
                <w:kern w:val="2"/>
                <w:sz w:val="24"/>
                <w:szCs w:val="24"/>
                <w14:ligatures w14:val="standardContextual"/>
              </w:rPr>
              <w:t>&gt; 80</w:t>
            </w:r>
          </w:p>
        </w:tc>
        <w:tc>
          <w:tcPr>
            <w:tcW w:w="3112" w:type="pct"/>
            <w:tcBorders>
              <w:top w:val="single" w:sz="4" w:space="0" w:color="000000"/>
              <w:left w:val="single" w:sz="4" w:space="0" w:color="000000"/>
              <w:bottom w:val="single" w:sz="4" w:space="0" w:color="000000"/>
              <w:right w:val="single" w:sz="4" w:space="0" w:color="000000"/>
            </w:tcBorders>
            <w:hideMark/>
          </w:tcPr>
          <w:p w14:paraId="7DD0F351" w14:textId="77777777" w:rsidR="00A76826" w:rsidRPr="004714C6" w:rsidRDefault="00A76826">
            <w:pPr>
              <w:spacing w:line="246" w:lineRule="exact"/>
              <w:ind w:left="133" w:right="-20"/>
              <w:jc w:val="both"/>
              <w:rPr>
                <w:kern w:val="2"/>
                <w:sz w:val="24"/>
                <w:szCs w:val="24"/>
                <w14:ligatures w14:val="standardContextual"/>
              </w:rPr>
            </w:pPr>
            <w:r w:rsidRPr="004714C6">
              <w:rPr>
                <w:kern w:val="2"/>
                <w:sz w:val="24"/>
                <w:szCs w:val="24"/>
                <w14:ligatures w14:val="standardContextual"/>
              </w:rPr>
              <w:t>24 timer før</w:t>
            </w:r>
          </w:p>
        </w:tc>
      </w:tr>
      <w:tr w:rsidR="00A76826" w:rsidRPr="004714C6" w14:paraId="71BC246E" w14:textId="77777777" w:rsidTr="00647CA7">
        <w:trPr>
          <w:trHeight w:hRule="exact" w:val="264"/>
        </w:trPr>
        <w:tc>
          <w:tcPr>
            <w:tcW w:w="1888" w:type="pct"/>
            <w:tcBorders>
              <w:top w:val="single" w:sz="4" w:space="0" w:color="000000"/>
              <w:left w:val="single" w:sz="4" w:space="0" w:color="000000"/>
              <w:bottom w:val="single" w:sz="4" w:space="0" w:color="000000"/>
              <w:right w:val="single" w:sz="4" w:space="0" w:color="000000"/>
            </w:tcBorders>
            <w:hideMark/>
          </w:tcPr>
          <w:p w14:paraId="085E8F45" w14:textId="77777777" w:rsidR="00A76826" w:rsidRPr="004714C6" w:rsidRDefault="00A76826">
            <w:pPr>
              <w:spacing w:line="248" w:lineRule="exact"/>
              <w:ind w:left="136" w:right="-20"/>
              <w:jc w:val="both"/>
              <w:rPr>
                <w:kern w:val="2"/>
                <w:sz w:val="24"/>
                <w:szCs w:val="24"/>
                <w14:ligatures w14:val="standardContextual"/>
              </w:rPr>
            </w:pPr>
            <w:r w:rsidRPr="004714C6">
              <w:rPr>
                <w:kern w:val="2"/>
                <w:sz w:val="24"/>
                <w:szCs w:val="24"/>
                <w14:ligatures w14:val="standardContextual"/>
              </w:rPr>
              <w:t>50</w:t>
            </w:r>
            <w:r w:rsidRPr="004714C6">
              <w:rPr>
                <w:kern w:val="2"/>
                <w:sz w:val="24"/>
                <w:szCs w:val="24"/>
                <w14:ligatures w14:val="standardContextual"/>
              </w:rPr>
              <w:noBreakHyphen/>
              <w:t>80</w:t>
            </w:r>
          </w:p>
        </w:tc>
        <w:tc>
          <w:tcPr>
            <w:tcW w:w="3112" w:type="pct"/>
            <w:tcBorders>
              <w:top w:val="single" w:sz="4" w:space="0" w:color="000000"/>
              <w:left w:val="single" w:sz="4" w:space="0" w:color="000000"/>
              <w:bottom w:val="single" w:sz="4" w:space="0" w:color="000000"/>
              <w:right w:val="single" w:sz="4" w:space="0" w:color="000000"/>
            </w:tcBorders>
            <w:hideMark/>
          </w:tcPr>
          <w:p w14:paraId="2EAB03C3" w14:textId="77777777" w:rsidR="00A76826" w:rsidRPr="004714C6" w:rsidRDefault="00A76826">
            <w:pPr>
              <w:spacing w:line="248" w:lineRule="exact"/>
              <w:ind w:left="133" w:right="-20"/>
              <w:jc w:val="both"/>
              <w:rPr>
                <w:kern w:val="2"/>
                <w:sz w:val="24"/>
                <w:szCs w:val="24"/>
                <w14:ligatures w14:val="standardContextual"/>
              </w:rPr>
            </w:pPr>
            <w:r w:rsidRPr="004714C6">
              <w:rPr>
                <w:kern w:val="2"/>
                <w:sz w:val="24"/>
                <w:szCs w:val="24"/>
                <w14:ligatures w14:val="standardContextual"/>
              </w:rPr>
              <w:t>2 dage før</w:t>
            </w:r>
          </w:p>
        </w:tc>
      </w:tr>
      <w:tr w:rsidR="00A76826" w:rsidRPr="004714C6" w14:paraId="2AF60DCE" w14:textId="77777777" w:rsidTr="00647CA7">
        <w:trPr>
          <w:trHeight w:hRule="exact" w:val="264"/>
        </w:trPr>
        <w:tc>
          <w:tcPr>
            <w:tcW w:w="1888" w:type="pct"/>
            <w:tcBorders>
              <w:top w:val="single" w:sz="4" w:space="0" w:color="000000"/>
              <w:left w:val="single" w:sz="4" w:space="0" w:color="000000"/>
              <w:bottom w:val="single" w:sz="4" w:space="0" w:color="000000"/>
              <w:right w:val="single" w:sz="4" w:space="0" w:color="000000"/>
            </w:tcBorders>
            <w:hideMark/>
          </w:tcPr>
          <w:p w14:paraId="59CE92EF" w14:textId="77777777" w:rsidR="00A76826" w:rsidRPr="004714C6" w:rsidRDefault="00A76826">
            <w:pPr>
              <w:spacing w:line="246" w:lineRule="exact"/>
              <w:ind w:left="136" w:right="-20"/>
              <w:jc w:val="both"/>
              <w:rPr>
                <w:kern w:val="2"/>
                <w:sz w:val="24"/>
                <w:szCs w:val="24"/>
                <w14:ligatures w14:val="standardContextual"/>
              </w:rPr>
            </w:pPr>
            <w:r w:rsidRPr="004714C6">
              <w:rPr>
                <w:kern w:val="2"/>
                <w:sz w:val="24"/>
                <w:szCs w:val="24"/>
                <w14:ligatures w14:val="standardContextual"/>
              </w:rPr>
              <w:t>&lt; 50</w:t>
            </w:r>
          </w:p>
        </w:tc>
        <w:tc>
          <w:tcPr>
            <w:tcW w:w="3112" w:type="pct"/>
            <w:tcBorders>
              <w:top w:val="single" w:sz="4" w:space="0" w:color="000000"/>
              <w:left w:val="single" w:sz="4" w:space="0" w:color="000000"/>
              <w:bottom w:val="single" w:sz="4" w:space="0" w:color="000000"/>
              <w:right w:val="single" w:sz="4" w:space="0" w:color="000000"/>
            </w:tcBorders>
            <w:hideMark/>
          </w:tcPr>
          <w:p w14:paraId="64E7C825" w14:textId="77777777" w:rsidR="00A76826" w:rsidRPr="004714C6" w:rsidRDefault="00A76826">
            <w:pPr>
              <w:spacing w:line="246" w:lineRule="exact"/>
              <w:ind w:left="133" w:right="-20"/>
              <w:jc w:val="both"/>
              <w:rPr>
                <w:kern w:val="2"/>
                <w:sz w:val="24"/>
                <w:szCs w:val="24"/>
                <w14:ligatures w14:val="standardContextual"/>
              </w:rPr>
            </w:pPr>
            <w:r w:rsidRPr="004714C6">
              <w:rPr>
                <w:kern w:val="2"/>
                <w:sz w:val="24"/>
                <w:szCs w:val="24"/>
                <w14:ligatures w14:val="standardContextual"/>
              </w:rPr>
              <w:t>Disse patienter er ikke blevet undersøgt (se pkt. 4.3).</w:t>
            </w:r>
          </w:p>
        </w:tc>
      </w:tr>
    </w:tbl>
    <w:p w14:paraId="3C7C73EC" w14:textId="77777777" w:rsidR="00A76826" w:rsidRPr="004714C6" w:rsidRDefault="00A76826" w:rsidP="00647CA7">
      <w:pPr>
        <w:ind w:left="851"/>
        <w:rPr>
          <w:sz w:val="24"/>
          <w:szCs w:val="24"/>
        </w:rPr>
      </w:pPr>
    </w:p>
    <w:p w14:paraId="0D7807A5" w14:textId="77777777" w:rsidR="00A76826" w:rsidRPr="004714C6" w:rsidRDefault="00A76826" w:rsidP="00647CA7">
      <w:pPr>
        <w:ind w:left="851"/>
        <w:rPr>
          <w:i/>
          <w:iCs/>
          <w:sz w:val="24"/>
          <w:szCs w:val="24"/>
        </w:rPr>
      </w:pPr>
      <w:r w:rsidRPr="004714C6">
        <w:rPr>
          <w:i/>
          <w:iCs/>
          <w:sz w:val="24"/>
          <w:szCs w:val="24"/>
        </w:rPr>
        <w:t>Spinal anæstesi/epidural anæstesi/lumbalpunktur</w:t>
      </w:r>
    </w:p>
    <w:p w14:paraId="50C9EF6D" w14:textId="77777777" w:rsidR="00A76826" w:rsidRPr="004714C6" w:rsidRDefault="00A76826" w:rsidP="00647CA7">
      <w:pPr>
        <w:ind w:left="851"/>
        <w:rPr>
          <w:sz w:val="24"/>
          <w:szCs w:val="24"/>
        </w:rPr>
      </w:pPr>
    </w:p>
    <w:p w14:paraId="6DF3020F" w14:textId="77777777" w:rsidR="00A76826" w:rsidRPr="004714C6" w:rsidRDefault="00A76826" w:rsidP="00647CA7">
      <w:pPr>
        <w:ind w:left="851"/>
        <w:rPr>
          <w:sz w:val="24"/>
          <w:szCs w:val="24"/>
        </w:rPr>
      </w:pPr>
      <w:r w:rsidRPr="004714C6">
        <w:rPr>
          <w:sz w:val="24"/>
          <w:szCs w:val="24"/>
        </w:rPr>
        <w:t>Procedurer, som f.eks. spinal anæstesi, kan kræve en komplet hæmostatisk funktion.</w:t>
      </w:r>
    </w:p>
    <w:p w14:paraId="1EA2F502" w14:textId="77777777" w:rsidR="00A76826" w:rsidRPr="004714C6" w:rsidRDefault="00A76826" w:rsidP="00647CA7">
      <w:pPr>
        <w:ind w:left="851"/>
        <w:rPr>
          <w:sz w:val="24"/>
          <w:szCs w:val="24"/>
        </w:rPr>
      </w:pPr>
    </w:p>
    <w:p w14:paraId="6C9E156E" w14:textId="77777777" w:rsidR="00A76826" w:rsidRPr="004714C6" w:rsidRDefault="00A76826" w:rsidP="00647CA7">
      <w:pPr>
        <w:ind w:left="851"/>
        <w:rPr>
          <w:sz w:val="24"/>
          <w:szCs w:val="24"/>
        </w:rPr>
      </w:pPr>
      <w:r w:rsidRPr="004714C6">
        <w:rPr>
          <w:sz w:val="24"/>
          <w:szCs w:val="24"/>
        </w:rPr>
        <w:t>Der kan være en øget risiko for spinalt eller epiduralt hæmatom i tilfælde af traumatisk eller gentagen punktur og ved langvarig brug af epidural katetre. Efter fjernelse af et kateter skal der gå mindst 2 timer før administration af den første dosis dabigatranetexilat. Disse patienter kræver hyppig observation for neurologiske tegn og symptomer på spinalt eller epiduralt hæmatom.</w:t>
      </w:r>
    </w:p>
    <w:p w14:paraId="07A916A6" w14:textId="77777777" w:rsidR="00A76826" w:rsidRPr="004714C6" w:rsidRDefault="00A76826" w:rsidP="00647CA7">
      <w:pPr>
        <w:ind w:left="851"/>
        <w:rPr>
          <w:sz w:val="24"/>
          <w:szCs w:val="24"/>
        </w:rPr>
      </w:pPr>
    </w:p>
    <w:p w14:paraId="7CD6912D" w14:textId="77777777" w:rsidR="00A76826" w:rsidRPr="004714C6" w:rsidRDefault="00A76826" w:rsidP="00647CA7">
      <w:pPr>
        <w:ind w:left="851"/>
        <w:rPr>
          <w:i/>
          <w:iCs/>
          <w:sz w:val="24"/>
          <w:szCs w:val="24"/>
        </w:rPr>
      </w:pPr>
      <w:r w:rsidRPr="004714C6">
        <w:rPr>
          <w:i/>
          <w:iCs/>
          <w:sz w:val="24"/>
          <w:szCs w:val="24"/>
        </w:rPr>
        <w:t>Post</w:t>
      </w:r>
      <w:r w:rsidRPr="004714C6">
        <w:rPr>
          <w:i/>
          <w:iCs/>
          <w:sz w:val="24"/>
          <w:szCs w:val="24"/>
        </w:rPr>
        <w:noBreakHyphen/>
        <w:t>operativ fase</w:t>
      </w:r>
    </w:p>
    <w:p w14:paraId="4E8C785D" w14:textId="77777777" w:rsidR="00A76826" w:rsidRPr="004714C6" w:rsidRDefault="00A76826" w:rsidP="00647CA7">
      <w:pPr>
        <w:ind w:left="851"/>
        <w:rPr>
          <w:sz w:val="24"/>
          <w:szCs w:val="24"/>
        </w:rPr>
      </w:pPr>
    </w:p>
    <w:p w14:paraId="7DF25BED" w14:textId="77777777" w:rsidR="00A76826" w:rsidRPr="004714C6" w:rsidRDefault="00A76826" w:rsidP="00647CA7">
      <w:pPr>
        <w:ind w:left="851"/>
        <w:rPr>
          <w:sz w:val="24"/>
          <w:szCs w:val="24"/>
        </w:rPr>
      </w:pPr>
      <w:r w:rsidRPr="004714C6">
        <w:rPr>
          <w:sz w:val="24"/>
          <w:szCs w:val="24"/>
        </w:rPr>
        <w:t>Behandling med dabigatranetexilat bør genoptages/startes så hurtigt som muligt efter den invasive procedure eller det kirurgiske indgreb, forudsat at den kliniske situation tillader det, og tilstrækkelig hæmostase er blevet etableret.</w:t>
      </w:r>
    </w:p>
    <w:p w14:paraId="55BD92A0" w14:textId="77777777" w:rsidR="00A76826" w:rsidRPr="004714C6" w:rsidRDefault="00A76826" w:rsidP="00647CA7">
      <w:pPr>
        <w:ind w:left="851"/>
        <w:rPr>
          <w:sz w:val="24"/>
          <w:szCs w:val="24"/>
        </w:rPr>
      </w:pPr>
    </w:p>
    <w:p w14:paraId="64AEE3F5" w14:textId="77777777" w:rsidR="00A76826" w:rsidRPr="004714C6" w:rsidRDefault="00A76826" w:rsidP="00647CA7">
      <w:pPr>
        <w:ind w:left="851"/>
        <w:rPr>
          <w:sz w:val="24"/>
          <w:szCs w:val="24"/>
        </w:rPr>
      </w:pPr>
      <w:r w:rsidRPr="004714C6">
        <w:rPr>
          <w:sz w:val="24"/>
          <w:szCs w:val="24"/>
        </w:rPr>
        <w:t>Patienter med risiko for blødning eller patienter med risiko for overeksponering, især patienter med nedsat nyrefunktion (se også tabel 5), bør behandles med forsigtighed (se pkt. 4.4 og 5.1).</w:t>
      </w:r>
    </w:p>
    <w:p w14:paraId="246C140F" w14:textId="77777777" w:rsidR="00A76826" w:rsidRPr="004714C6" w:rsidRDefault="00A76826" w:rsidP="00647CA7">
      <w:pPr>
        <w:ind w:left="851"/>
        <w:rPr>
          <w:sz w:val="24"/>
          <w:szCs w:val="24"/>
        </w:rPr>
      </w:pPr>
    </w:p>
    <w:p w14:paraId="614A460F" w14:textId="77777777" w:rsidR="00A76826" w:rsidRPr="004714C6" w:rsidRDefault="00A76826" w:rsidP="00647CA7">
      <w:pPr>
        <w:ind w:left="851"/>
        <w:rPr>
          <w:sz w:val="24"/>
          <w:szCs w:val="24"/>
          <w:u w:val="single"/>
        </w:rPr>
      </w:pPr>
      <w:r w:rsidRPr="004714C6">
        <w:rPr>
          <w:sz w:val="24"/>
          <w:szCs w:val="24"/>
          <w:u w:val="single"/>
        </w:rPr>
        <w:t>Patienter med høj risiko for død i forbindelse med operation, og hvor intrinsiske risikofaktorer for udvikling af tromboemboli er til stede</w:t>
      </w:r>
    </w:p>
    <w:p w14:paraId="796E99A4" w14:textId="77777777" w:rsidR="00A76826" w:rsidRPr="004714C6" w:rsidRDefault="00A76826" w:rsidP="00647CA7">
      <w:pPr>
        <w:ind w:left="851"/>
        <w:rPr>
          <w:sz w:val="24"/>
          <w:szCs w:val="24"/>
        </w:rPr>
      </w:pPr>
    </w:p>
    <w:p w14:paraId="230933DF" w14:textId="77777777" w:rsidR="00A76826" w:rsidRPr="004714C6" w:rsidRDefault="00A76826" w:rsidP="00647CA7">
      <w:pPr>
        <w:ind w:left="851"/>
        <w:rPr>
          <w:sz w:val="24"/>
          <w:szCs w:val="24"/>
        </w:rPr>
      </w:pPr>
      <w:r w:rsidRPr="004714C6">
        <w:rPr>
          <w:sz w:val="24"/>
          <w:szCs w:val="24"/>
        </w:rPr>
        <w:t>Der er begrænsede data for dabigatranetexilats virkning og sikkerhed i disse patienter, og der bør derfor udvises forsigtighed ved behandling.</w:t>
      </w:r>
    </w:p>
    <w:p w14:paraId="3317BF44" w14:textId="77777777" w:rsidR="00A76826" w:rsidRPr="004714C6" w:rsidRDefault="00A76826" w:rsidP="00647CA7">
      <w:pPr>
        <w:ind w:left="851"/>
        <w:rPr>
          <w:sz w:val="24"/>
          <w:szCs w:val="24"/>
        </w:rPr>
      </w:pPr>
    </w:p>
    <w:p w14:paraId="31115198" w14:textId="77777777" w:rsidR="00A76826" w:rsidRPr="004714C6" w:rsidRDefault="00A76826" w:rsidP="00647CA7">
      <w:pPr>
        <w:ind w:left="851"/>
        <w:rPr>
          <w:sz w:val="24"/>
          <w:szCs w:val="24"/>
          <w:u w:val="single"/>
        </w:rPr>
      </w:pPr>
      <w:r w:rsidRPr="004714C6">
        <w:rPr>
          <w:sz w:val="24"/>
          <w:szCs w:val="24"/>
          <w:u w:val="single"/>
        </w:rPr>
        <w:t>Hoftefraktur-kirurgi</w:t>
      </w:r>
    </w:p>
    <w:p w14:paraId="00740F69" w14:textId="77777777" w:rsidR="00A76826" w:rsidRPr="004714C6" w:rsidRDefault="00A76826" w:rsidP="00647CA7">
      <w:pPr>
        <w:ind w:left="851"/>
        <w:rPr>
          <w:sz w:val="24"/>
          <w:szCs w:val="24"/>
        </w:rPr>
      </w:pPr>
    </w:p>
    <w:p w14:paraId="7F7FE4CA" w14:textId="77777777" w:rsidR="00A76826" w:rsidRPr="004714C6" w:rsidRDefault="00A76826" w:rsidP="00647CA7">
      <w:pPr>
        <w:ind w:left="851"/>
        <w:rPr>
          <w:sz w:val="24"/>
          <w:szCs w:val="24"/>
        </w:rPr>
      </w:pPr>
      <w:r w:rsidRPr="004714C6">
        <w:rPr>
          <w:sz w:val="24"/>
          <w:szCs w:val="24"/>
        </w:rPr>
        <w:t>Der findes ingen data vedrørende brugen af dabigatranetexilat til patienter, der har gennemgået operation for hoftefraktur. Derfor frarådes behandling.</w:t>
      </w:r>
    </w:p>
    <w:p w14:paraId="68791BAF" w14:textId="77777777" w:rsidR="00A76826" w:rsidRPr="004714C6" w:rsidRDefault="00A76826" w:rsidP="00647CA7">
      <w:pPr>
        <w:ind w:left="851"/>
        <w:rPr>
          <w:sz w:val="24"/>
          <w:szCs w:val="24"/>
        </w:rPr>
      </w:pPr>
    </w:p>
    <w:p w14:paraId="0927E929" w14:textId="77777777" w:rsidR="00A76826" w:rsidRPr="004714C6" w:rsidRDefault="00A76826" w:rsidP="00647CA7">
      <w:pPr>
        <w:ind w:left="851"/>
        <w:rPr>
          <w:sz w:val="24"/>
          <w:szCs w:val="24"/>
          <w:u w:val="single"/>
        </w:rPr>
      </w:pPr>
      <w:r w:rsidRPr="004714C6">
        <w:rPr>
          <w:sz w:val="24"/>
          <w:szCs w:val="24"/>
          <w:u w:val="single"/>
        </w:rPr>
        <w:t>Nedsat leverfunktion</w:t>
      </w:r>
    </w:p>
    <w:p w14:paraId="5B28828A" w14:textId="77777777" w:rsidR="00A76826" w:rsidRPr="004714C6" w:rsidRDefault="00A76826" w:rsidP="00647CA7">
      <w:pPr>
        <w:ind w:left="851"/>
        <w:rPr>
          <w:sz w:val="24"/>
          <w:szCs w:val="24"/>
        </w:rPr>
      </w:pPr>
    </w:p>
    <w:p w14:paraId="3C24CE43" w14:textId="77777777" w:rsidR="00A76826" w:rsidRPr="004714C6" w:rsidRDefault="00A76826" w:rsidP="00647CA7">
      <w:pPr>
        <w:ind w:left="851"/>
        <w:rPr>
          <w:sz w:val="24"/>
          <w:szCs w:val="24"/>
        </w:rPr>
      </w:pPr>
      <w:r w:rsidRPr="004714C6">
        <w:rPr>
          <w:sz w:val="24"/>
          <w:szCs w:val="24"/>
        </w:rPr>
        <w:t>Patienter med forhøjede levertal &gt; 2 gange øvre normalgrænse (ULN) var udelukket fra de primære studier. Der er således ingen tilgængelige erfaringer med behandling til denne subpopulation af patienter, hvorfor dabigatranetexilat ikke kan anbefales til denne population. Nedsat leverfunktion eller leversygdom, som forventes at have indvirkning på overlevelsen, er kontraindiceret (se pkt. 4.3).</w:t>
      </w:r>
    </w:p>
    <w:p w14:paraId="6B09A9EB" w14:textId="06D62D63" w:rsidR="00326117" w:rsidRDefault="00326117">
      <w:pPr>
        <w:rPr>
          <w:sz w:val="24"/>
          <w:szCs w:val="24"/>
        </w:rPr>
      </w:pPr>
      <w:r>
        <w:rPr>
          <w:sz w:val="24"/>
          <w:szCs w:val="24"/>
        </w:rPr>
        <w:br w:type="page"/>
      </w:r>
    </w:p>
    <w:p w14:paraId="6197D6FA" w14:textId="77777777" w:rsidR="00A76826" w:rsidRPr="004714C6" w:rsidRDefault="00A76826" w:rsidP="00647CA7">
      <w:pPr>
        <w:ind w:left="851"/>
        <w:rPr>
          <w:sz w:val="24"/>
          <w:szCs w:val="24"/>
        </w:rPr>
      </w:pPr>
    </w:p>
    <w:p w14:paraId="6CC88472" w14:textId="77777777" w:rsidR="00A76826" w:rsidRPr="004714C6" w:rsidRDefault="00A76826" w:rsidP="00647CA7">
      <w:pPr>
        <w:ind w:left="851"/>
        <w:rPr>
          <w:sz w:val="24"/>
          <w:szCs w:val="24"/>
          <w:u w:val="single"/>
        </w:rPr>
      </w:pPr>
      <w:r w:rsidRPr="004714C6">
        <w:rPr>
          <w:sz w:val="24"/>
          <w:szCs w:val="24"/>
          <w:u w:val="single"/>
        </w:rPr>
        <w:t>Interaktion med P-gp-induktorer</w:t>
      </w:r>
    </w:p>
    <w:p w14:paraId="638DEECA" w14:textId="77777777" w:rsidR="00A76826" w:rsidRPr="004714C6" w:rsidRDefault="00A76826" w:rsidP="00647CA7">
      <w:pPr>
        <w:ind w:left="851"/>
        <w:rPr>
          <w:sz w:val="24"/>
          <w:szCs w:val="24"/>
        </w:rPr>
      </w:pPr>
    </w:p>
    <w:p w14:paraId="570EB271" w14:textId="77777777" w:rsidR="00A76826" w:rsidRPr="004714C6" w:rsidRDefault="00A76826" w:rsidP="00647CA7">
      <w:pPr>
        <w:ind w:left="851"/>
        <w:rPr>
          <w:sz w:val="24"/>
          <w:szCs w:val="24"/>
        </w:rPr>
      </w:pPr>
      <w:r w:rsidRPr="004714C6">
        <w:rPr>
          <w:sz w:val="24"/>
          <w:szCs w:val="24"/>
        </w:rPr>
        <w:t>Plasmakoncentrationen af dabigatran forventes at falde ved samtidig administration med P</w:t>
      </w:r>
      <w:r w:rsidRPr="004714C6">
        <w:rPr>
          <w:sz w:val="24"/>
          <w:szCs w:val="24"/>
        </w:rPr>
        <w:noBreakHyphen/>
        <w:t>gp</w:t>
      </w:r>
      <w:r w:rsidRPr="004714C6">
        <w:rPr>
          <w:sz w:val="24"/>
          <w:szCs w:val="24"/>
        </w:rPr>
        <w:noBreakHyphen/>
        <w:t>induktorer, og bør derfor undgås (se pkt. 4.5 og 5.2).</w:t>
      </w:r>
    </w:p>
    <w:p w14:paraId="69E08AF1" w14:textId="77777777" w:rsidR="00A76826" w:rsidRPr="004714C6" w:rsidRDefault="00A76826" w:rsidP="00647CA7">
      <w:pPr>
        <w:ind w:left="851"/>
        <w:rPr>
          <w:sz w:val="24"/>
          <w:szCs w:val="24"/>
        </w:rPr>
      </w:pPr>
    </w:p>
    <w:p w14:paraId="663F1CFC" w14:textId="77777777" w:rsidR="00A76826" w:rsidRPr="004714C6" w:rsidRDefault="00A76826" w:rsidP="00647CA7">
      <w:pPr>
        <w:ind w:left="851"/>
        <w:rPr>
          <w:sz w:val="24"/>
          <w:szCs w:val="24"/>
          <w:u w:val="single"/>
        </w:rPr>
      </w:pPr>
      <w:r w:rsidRPr="004714C6">
        <w:rPr>
          <w:sz w:val="24"/>
          <w:szCs w:val="24"/>
          <w:u w:val="single"/>
        </w:rPr>
        <w:t>Patienter med antifosfolipidsyndrom</w:t>
      </w:r>
    </w:p>
    <w:p w14:paraId="1E47DCCB" w14:textId="77777777" w:rsidR="00A76826" w:rsidRPr="004714C6" w:rsidRDefault="00A76826" w:rsidP="00647CA7">
      <w:pPr>
        <w:ind w:left="851"/>
        <w:rPr>
          <w:sz w:val="24"/>
          <w:szCs w:val="24"/>
        </w:rPr>
      </w:pPr>
    </w:p>
    <w:p w14:paraId="45EE2B24" w14:textId="77777777" w:rsidR="00A76826" w:rsidRPr="004714C6" w:rsidRDefault="00A76826" w:rsidP="00647CA7">
      <w:pPr>
        <w:ind w:left="851"/>
        <w:rPr>
          <w:sz w:val="24"/>
          <w:szCs w:val="24"/>
        </w:rPr>
      </w:pPr>
      <w:r w:rsidRPr="004714C6">
        <w:rPr>
          <w:sz w:val="24"/>
          <w:szCs w:val="24"/>
        </w:rPr>
        <w:t>Direkte virkende orale antikoagulantia (DOAK), herunder dabigatranetexilat, anbefales ikke til patienter med tidligere trombose, som er diagnosticerede med antifosfolipidsyndrom. Navnlig for patienter, der er tredobbelt positive (for lupus antikoagulans, anticardiolipin</w:t>
      </w:r>
      <w:r w:rsidRPr="004714C6">
        <w:rPr>
          <w:sz w:val="24"/>
          <w:szCs w:val="24"/>
        </w:rPr>
        <w:noBreakHyphen/>
        <w:t>antistoffer og anti</w:t>
      </w:r>
      <w:r w:rsidRPr="004714C6">
        <w:rPr>
          <w:sz w:val="24"/>
          <w:szCs w:val="24"/>
        </w:rPr>
        <w:noBreakHyphen/>
        <w:t>beta 2</w:t>
      </w:r>
      <w:r w:rsidRPr="004714C6">
        <w:rPr>
          <w:sz w:val="24"/>
          <w:szCs w:val="24"/>
        </w:rPr>
        <w:noBreakHyphen/>
        <w:t>glykoprotein I</w:t>
      </w:r>
      <w:r w:rsidRPr="004714C6">
        <w:rPr>
          <w:sz w:val="24"/>
          <w:szCs w:val="24"/>
        </w:rPr>
        <w:noBreakHyphen/>
        <w:t>antistoffer), kan behandling med DOAK være forbundet med øget forekomst af recidiverende trombotiske hændelser i forhold til behandling med vitamin K</w:t>
      </w:r>
      <w:r w:rsidRPr="004714C6">
        <w:rPr>
          <w:sz w:val="24"/>
          <w:szCs w:val="24"/>
        </w:rPr>
        <w:noBreakHyphen/>
        <w:t>antagonister.</w:t>
      </w:r>
    </w:p>
    <w:p w14:paraId="5CF9E449" w14:textId="77777777" w:rsidR="00A76826" w:rsidRPr="004714C6" w:rsidRDefault="00A76826" w:rsidP="00647CA7">
      <w:pPr>
        <w:ind w:left="851"/>
        <w:rPr>
          <w:sz w:val="24"/>
          <w:szCs w:val="24"/>
        </w:rPr>
      </w:pPr>
    </w:p>
    <w:p w14:paraId="79B7A70C" w14:textId="77777777" w:rsidR="00A76826" w:rsidRPr="004714C6" w:rsidRDefault="00A76826" w:rsidP="00647CA7">
      <w:pPr>
        <w:ind w:left="851"/>
        <w:rPr>
          <w:sz w:val="24"/>
          <w:szCs w:val="24"/>
          <w:u w:val="single"/>
        </w:rPr>
      </w:pPr>
      <w:r w:rsidRPr="004714C6">
        <w:rPr>
          <w:sz w:val="24"/>
          <w:szCs w:val="24"/>
          <w:u w:val="single"/>
        </w:rPr>
        <w:t>Myokardieinfarkt (MI)</w:t>
      </w:r>
    </w:p>
    <w:p w14:paraId="15907218" w14:textId="77777777" w:rsidR="00A76826" w:rsidRPr="004714C6" w:rsidRDefault="00A76826" w:rsidP="00647CA7">
      <w:pPr>
        <w:ind w:left="851"/>
        <w:rPr>
          <w:sz w:val="24"/>
          <w:szCs w:val="24"/>
        </w:rPr>
      </w:pPr>
    </w:p>
    <w:p w14:paraId="6175CA93" w14:textId="77777777" w:rsidR="00A76826" w:rsidRPr="004714C6" w:rsidRDefault="00A76826" w:rsidP="00647CA7">
      <w:pPr>
        <w:ind w:left="851"/>
        <w:rPr>
          <w:sz w:val="24"/>
          <w:szCs w:val="24"/>
        </w:rPr>
      </w:pPr>
      <w:r w:rsidRPr="004714C6">
        <w:rPr>
          <w:sz w:val="24"/>
          <w:szCs w:val="24"/>
        </w:rPr>
        <w:t>I fase III-studiet RE-LY (SPAF, se pkt. 5.1) var risikoen for MI overordnet 0,82, 0,81 og 0,64 % pr. år for henholdsvis dabigatranetexilat 110 mg 2 gange dagligt, dabigatranetexilat 150 mg 2 gange dagligt og warfarin, en stigning i relativ risiko for dabigatran på 29 % og 27 % i forhold til warfarin. Uanset behandling blev den højeste absolutte risiko for myokardieinfarkt set i de følgende undergrupper og med en sammenlignelig relativ risiko: Patienter med tidligere myokardieinfarkt, patienter ≥ 65 år med enten diabetes eller koronararteriesygdom, patienter med venstre ventrikel uddrivningsfraktion &lt; 40 % og patienter med moderat nedsat nyrefunktion. Hos patienter i samtidig behandling med ASA plus clopidogrel eller clopidogrel alene blev desuden set en højere risiko for myokardieinfarkt.</w:t>
      </w:r>
    </w:p>
    <w:p w14:paraId="7EE94AA8" w14:textId="77777777" w:rsidR="00A76826" w:rsidRPr="004714C6" w:rsidRDefault="00A76826" w:rsidP="00647CA7">
      <w:pPr>
        <w:ind w:left="851"/>
        <w:rPr>
          <w:sz w:val="24"/>
          <w:szCs w:val="24"/>
        </w:rPr>
      </w:pPr>
    </w:p>
    <w:p w14:paraId="56E20664" w14:textId="77777777" w:rsidR="00A76826" w:rsidRPr="004714C6" w:rsidRDefault="00A76826" w:rsidP="00647CA7">
      <w:pPr>
        <w:ind w:left="851"/>
        <w:rPr>
          <w:sz w:val="24"/>
          <w:szCs w:val="24"/>
        </w:rPr>
      </w:pPr>
      <w:r w:rsidRPr="004714C6">
        <w:rPr>
          <w:sz w:val="24"/>
          <w:szCs w:val="24"/>
        </w:rPr>
        <w:t>I de 3 aktivt</w:t>
      </w:r>
      <w:r w:rsidRPr="004714C6">
        <w:rPr>
          <w:sz w:val="24"/>
          <w:szCs w:val="24"/>
        </w:rPr>
        <w:noBreakHyphen/>
        <w:t xml:space="preserve">kontrollerede DVT/LE fase III-studier blev der rapporteret en højere frekvens af MI hos patienter, der fik dabigatranetexilat, end hos dem, der fik warfarin; i de to korterevarende studier RE-COVER og RE-COVER II henholdsvis 0,4 % </w:t>
      </w:r>
      <w:r w:rsidRPr="004714C6">
        <w:rPr>
          <w:i/>
          <w:iCs/>
          <w:sz w:val="24"/>
          <w:szCs w:val="24"/>
        </w:rPr>
        <w:t>vs.</w:t>
      </w:r>
      <w:r w:rsidRPr="004714C6">
        <w:rPr>
          <w:sz w:val="24"/>
          <w:szCs w:val="24"/>
        </w:rPr>
        <w:t xml:space="preserve"> 0,2 % og i det længerevarende RE</w:t>
      </w:r>
      <w:r w:rsidRPr="004714C6">
        <w:rPr>
          <w:sz w:val="24"/>
          <w:szCs w:val="24"/>
        </w:rPr>
        <w:noBreakHyphen/>
        <w:t>MEDY</w:t>
      </w:r>
      <w:r w:rsidRPr="004714C6">
        <w:rPr>
          <w:sz w:val="24"/>
          <w:szCs w:val="24"/>
        </w:rPr>
        <w:noBreakHyphen/>
        <w:t xml:space="preserve">studie 0,8 % </w:t>
      </w:r>
      <w:r w:rsidRPr="004714C6">
        <w:rPr>
          <w:i/>
          <w:iCs/>
          <w:sz w:val="24"/>
          <w:szCs w:val="24"/>
        </w:rPr>
        <w:t>vs.</w:t>
      </w:r>
      <w:r w:rsidRPr="004714C6">
        <w:rPr>
          <w:sz w:val="24"/>
          <w:szCs w:val="24"/>
        </w:rPr>
        <w:t xml:space="preserve"> 0,1 %. Stigningen var statistisk signifikant i sidstnævnte studie (p = 0,022).</w:t>
      </w:r>
    </w:p>
    <w:p w14:paraId="381C11CE" w14:textId="77777777" w:rsidR="00A76826" w:rsidRPr="004714C6" w:rsidRDefault="00A76826" w:rsidP="00647CA7">
      <w:pPr>
        <w:ind w:left="851"/>
        <w:rPr>
          <w:sz w:val="24"/>
          <w:szCs w:val="24"/>
        </w:rPr>
      </w:pPr>
    </w:p>
    <w:p w14:paraId="27E3DFC2" w14:textId="77777777" w:rsidR="00A76826" w:rsidRPr="004714C6" w:rsidRDefault="00A76826" w:rsidP="00647CA7">
      <w:pPr>
        <w:ind w:left="851"/>
        <w:rPr>
          <w:sz w:val="24"/>
          <w:szCs w:val="24"/>
        </w:rPr>
      </w:pPr>
      <w:r w:rsidRPr="004714C6">
        <w:rPr>
          <w:sz w:val="24"/>
          <w:szCs w:val="24"/>
        </w:rPr>
        <w:t>I RE-SONATE-studiet, som sammenlignede dabigatranetexilat med placebo, var frekvensen af MI 0,1 % for patienter i dabigatranetexilat</w:t>
      </w:r>
      <w:r w:rsidRPr="004714C6">
        <w:rPr>
          <w:sz w:val="24"/>
          <w:szCs w:val="24"/>
        </w:rPr>
        <w:noBreakHyphen/>
        <w:t>armen og 0,2 % for patienter i placebo</w:t>
      </w:r>
      <w:r w:rsidRPr="004714C6">
        <w:rPr>
          <w:sz w:val="24"/>
          <w:szCs w:val="24"/>
        </w:rPr>
        <w:noBreakHyphen/>
        <w:t>armen.</w:t>
      </w:r>
    </w:p>
    <w:p w14:paraId="6C0BD9BC" w14:textId="77777777" w:rsidR="00A76826" w:rsidRPr="004714C6" w:rsidRDefault="00A76826" w:rsidP="00647CA7">
      <w:pPr>
        <w:ind w:left="851"/>
        <w:rPr>
          <w:sz w:val="24"/>
          <w:szCs w:val="24"/>
        </w:rPr>
      </w:pPr>
    </w:p>
    <w:p w14:paraId="1DACED59" w14:textId="77777777" w:rsidR="00A76826" w:rsidRPr="004714C6" w:rsidRDefault="00A76826" w:rsidP="00647CA7">
      <w:pPr>
        <w:ind w:left="851"/>
        <w:rPr>
          <w:sz w:val="24"/>
          <w:szCs w:val="24"/>
          <w:u w:val="single"/>
        </w:rPr>
      </w:pPr>
      <w:r w:rsidRPr="004714C6">
        <w:rPr>
          <w:sz w:val="24"/>
          <w:szCs w:val="24"/>
          <w:u w:val="single"/>
        </w:rPr>
        <w:t>Patienter med aktiv kræft (DVT/LE, pædiatrisk VTE)</w:t>
      </w:r>
    </w:p>
    <w:p w14:paraId="0E1A201D" w14:textId="77777777" w:rsidR="00A76826" w:rsidRPr="004714C6" w:rsidRDefault="00A76826" w:rsidP="00647CA7">
      <w:pPr>
        <w:ind w:left="851"/>
        <w:rPr>
          <w:sz w:val="24"/>
          <w:szCs w:val="24"/>
        </w:rPr>
      </w:pPr>
    </w:p>
    <w:p w14:paraId="1B4EB588" w14:textId="77777777" w:rsidR="00A76826" w:rsidRPr="004714C6" w:rsidRDefault="00A76826" w:rsidP="00647CA7">
      <w:pPr>
        <w:ind w:left="851"/>
        <w:rPr>
          <w:sz w:val="24"/>
          <w:szCs w:val="24"/>
        </w:rPr>
      </w:pPr>
      <w:r w:rsidRPr="004714C6">
        <w:rPr>
          <w:sz w:val="24"/>
          <w:szCs w:val="24"/>
        </w:rPr>
        <w:t>Virkning og sikkerhed er ikke klarlagt for DVT/LE</w:t>
      </w:r>
      <w:r w:rsidRPr="004714C6">
        <w:rPr>
          <w:sz w:val="24"/>
          <w:szCs w:val="24"/>
        </w:rPr>
        <w:noBreakHyphen/>
        <w:t>patienter med aktiv kræft. Der er begrænsede data for virkning og sikkerhed for pædiatriske patienter med aktiv kræft.</w:t>
      </w:r>
    </w:p>
    <w:p w14:paraId="3596D057" w14:textId="77777777" w:rsidR="00A76826" w:rsidRPr="004714C6" w:rsidRDefault="00A76826" w:rsidP="00647CA7">
      <w:pPr>
        <w:ind w:left="851"/>
        <w:rPr>
          <w:sz w:val="24"/>
          <w:szCs w:val="24"/>
        </w:rPr>
      </w:pPr>
    </w:p>
    <w:p w14:paraId="75C35A57" w14:textId="77777777" w:rsidR="00A76826" w:rsidRPr="004714C6" w:rsidRDefault="00A76826" w:rsidP="00647CA7">
      <w:pPr>
        <w:ind w:left="851"/>
        <w:rPr>
          <w:sz w:val="24"/>
          <w:szCs w:val="24"/>
          <w:u w:val="single"/>
        </w:rPr>
      </w:pPr>
      <w:bookmarkStart w:id="3" w:name="_Hlk153783520"/>
      <w:r w:rsidRPr="004714C6">
        <w:rPr>
          <w:sz w:val="24"/>
          <w:szCs w:val="24"/>
          <w:u w:val="single"/>
        </w:rPr>
        <w:t>Pædiatrisk population</w:t>
      </w:r>
      <w:bookmarkEnd w:id="3"/>
    </w:p>
    <w:p w14:paraId="626DB969" w14:textId="77777777" w:rsidR="00A76826" w:rsidRPr="004714C6" w:rsidRDefault="00A76826" w:rsidP="00647CA7">
      <w:pPr>
        <w:ind w:left="851"/>
        <w:rPr>
          <w:sz w:val="24"/>
          <w:szCs w:val="24"/>
        </w:rPr>
      </w:pPr>
    </w:p>
    <w:p w14:paraId="266ECA16" w14:textId="77777777" w:rsidR="00A76826" w:rsidRPr="004714C6" w:rsidRDefault="00A76826" w:rsidP="00647CA7">
      <w:pPr>
        <w:ind w:left="851"/>
        <w:rPr>
          <w:sz w:val="24"/>
          <w:szCs w:val="24"/>
        </w:rPr>
      </w:pPr>
      <w:r w:rsidRPr="004714C6">
        <w:rPr>
          <w:sz w:val="24"/>
          <w:szCs w:val="24"/>
        </w:rPr>
        <w:t>For nogle meget specifikke pædiatriske patienter, f.eks. patienter med sygdom i tyndtarmen, hvor absorptionen kan være påvirket, skal det overvejes at anvende et antikoagulerende middel, der administreres parenteralt.</w:t>
      </w:r>
    </w:p>
    <w:p w14:paraId="2B4EB6BA" w14:textId="191F0E83" w:rsidR="00326117" w:rsidRDefault="00326117">
      <w:pPr>
        <w:rPr>
          <w:sz w:val="24"/>
          <w:szCs w:val="24"/>
        </w:rPr>
      </w:pPr>
      <w:r>
        <w:rPr>
          <w:sz w:val="24"/>
          <w:szCs w:val="24"/>
        </w:rPr>
        <w:br w:type="page"/>
      </w:r>
    </w:p>
    <w:p w14:paraId="577C7B53" w14:textId="77777777" w:rsidR="009260DE" w:rsidRPr="004714C6" w:rsidRDefault="009260DE" w:rsidP="009260DE">
      <w:pPr>
        <w:tabs>
          <w:tab w:val="left" w:pos="851"/>
        </w:tabs>
        <w:ind w:left="851"/>
        <w:rPr>
          <w:sz w:val="24"/>
          <w:szCs w:val="24"/>
        </w:rPr>
      </w:pPr>
    </w:p>
    <w:p w14:paraId="05C4C129" w14:textId="77777777" w:rsidR="009260DE" w:rsidRPr="004714C6" w:rsidRDefault="009260DE" w:rsidP="009260DE">
      <w:pPr>
        <w:tabs>
          <w:tab w:val="left" w:pos="851"/>
        </w:tabs>
        <w:ind w:left="851" w:hanging="851"/>
        <w:rPr>
          <w:b/>
          <w:sz w:val="24"/>
          <w:szCs w:val="24"/>
        </w:rPr>
      </w:pPr>
      <w:r w:rsidRPr="004714C6">
        <w:rPr>
          <w:b/>
          <w:sz w:val="24"/>
          <w:szCs w:val="24"/>
        </w:rPr>
        <w:t>4.5</w:t>
      </w:r>
      <w:r w:rsidRPr="004714C6">
        <w:rPr>
          <w:b/>
          <w:sz w:val="24"/>
          <w:szCs w:val="24"/>
        </w:rPr>
        <w:tab/>
        <w:t>Interaktion med andre lægemidler og andre former for interaktion</w:t>
      </w:r>
    </w:p>
    <w:p w14:paraId="16386A09" w14:textId="77777777" w:rsidR="00DC3FBF" w:rsidRPr="004714C6" w:rsidRDefault="00DC3FBF" w:rsidP="00647CA7">
      <w:pPr>
        <w:ind w:left="851"/>
        <w:rPr>
          <w:sz w:val="24"/>
          <w:szCs w:val="24"/>
        </w:rPr>
      </w:pPr>
    </w:p>
    <w:p w14:paraId="7A4961F3" w14:textId="49DF4A76" w:rsidR="00A76826" w:rsidRPr="004714C6" w:rsidRDefault="00A76826" w:rsidP="00647CA7">
      <w:pPr>
        <w:ind w:left="851"/>
        <w:rPr>
          <w:sz w:val="24"/>
          <w:szCs w:val="24"/>
          <w:u w:val="single"/>
        </w:rPr>
      </w:pPr>
      <w:r w:rsidRPr="004714C6">
        <w:rPr>
          <w:sz w:val="24"/>
          <w:szCs w:val="24"/>
          <w:u w:val="single"/>
        </w:rPr>
        <w:t>Transporter</w:t>
      </w:r>
      <w:r w:rsidRPr="004714C6">
        <w:rPr>
          <w:sz w:val="24"/>
          <w:szCs w:val="24"/>
          <w:u w:val="single"/>
        </w:rPr>
        <w:noBreakHyphen/>
        <w:t>interaktioner</w:t>
      </w:r>
    </w:p>
    <w:p w14:paraId="6C3FA6E1" w14:textId="77777777" w:rsidR="00A76826" w:rsidRPr="004714C6" w:rsidRDefault="00A76826" w:rsidP="00647CA7">
      <w:pPr>
        <w:ind w:left="851"/>
        <w:rPr>
          <w:sz w:val="24"/>
          <w:szCs w:val="24"/>
        </w:rPr>
      </w:pPr>
    </w:p>
    <w:p w14:paraId="60F1EC77" w14:textId="77777777" w:rsidR="00A76826" w:rsidRPr="004714C6" w:rsidRDefault="00A76826" w:rsidP="00647CA7">
      <w:pPr>
        <w:ind w:left="851"/>
        <w:rPr>
          <w:sz w:val="24"/>
          <w:szCs w:val="24"/>
        </w:rPr>
      </w:pPr>
      <w:r w:rsidRPr="004714C6">
        <w:rPr>
          <w:sz w:val="24"/>
          <w:szCs w:val="24"/>
        </w:rPr>
        <w:t>Dabigatranetexilat er et substrat for efflukstransporteren P-gp. Samtidig administration af P-gp-inhibitorer (se tabel 9) forventes at resultere i en øget dabigatran plasmakoncentration.</w:t>
      </w:r>
    </w:p>
    <w:p w14:paraId="3C096C45" w14:textId="77777777" w:rsidR="00A76826" w:rsidRPr="004714C6" w:rsidRDefault="00A76826" w:rsidP="00647CA7">
      <w:pPr>
        <w:ind w:left="851"/>
        <w:rPr>
          <w:sz w:val="24"/>
          <w:szCs w:val="24"/>
        </w:rPr>
      </w:pPr>
    </w:p>
    <w:p w14:paraId="508B6124" w14:textId="77777777" w:rsidR="00A76826" w:rsidRPr="004714C6" w:rsidRDefault="00A76826" w:rsidP="00647CA7">
      <w:pPr>
        <w:ind w:left="851"/>
        <w:rPr>
          <w:sz w:val="24"/>
          <w:szCs w:val="24"/>
        </w:rPr>
      </w:pPr>
      <w:r w:rsidRPr="004714C6">
        <w:rPr>
          <w:sz w:val="24"/>
          <w:szCs w:val="24"/>
        </w:rPr>
        <w:t>Hvis ikke andet er udtrykkeligt beskrevet, er tæt klinisk overvågning (nøje observation for tegn på blødning eller anæmi) nødvendig, når dabigatran gives samtidig med stærke P-gp-inhibitorer. Dosisreduktioner kan være nødvendige i kombination med nogle P-gp-inhibitorer (se pkt. 4.2, 4.3, 4.4 og 5.1).</w:t>
      </w:r>
    </w:p>
    <w:p w14:paraId="0E1A8643" w14:textId="77777777" w:rsidR="00A76826" w:rsidRPr="004714C6" w:rsidRDefault="00A76826" w:rsidP="00647CA7">
      <w:pPr>
        <w:ind w:left="851"/>
        <w:rPr>
          <w:sz w:val="24"/>
          <w:szCs w:val="24"/>
        </w:rPr>
      </w:pPr>
    </w:p>
    <w:p w14:paraId="2A9D6633" w14:textId="77777777" w:rsidR="00A76826" w:rsidRPr="004714C6" w:rsidRDefault="00A76826" w:rsidP="00A76826">
      <w:pPr>
        <w:keepNext/>
        <w:widowControl w:val="0"/>
        <w:autoSpaceDE w:val="0"/>
        <w:autoSpaceDN w:val="0"/>
        <w:adjustRightInd w:val="0"/>
        <w:spacing w:line="246" w:lineRule="exact"/>
        <w:ind w:right="-23"/>
        <w:rPr>
          <w:b/>
          <w:bCs/>
          <w:sz w:val="24"/>
          <w:szCs w:val="24"/>
        </w:rPr>
      </w:pPr>
      <w:r w:rsidRPr="004714C6">
        <w:rPr>
          <w:b/>
          <w:bCs/>
          <w:sz w:val="24"/>
          <w:szCs w:val="24"/>
        </w:rPr>
        <w:t>Tabel 9:</w:t>
      </w:r>
      <w:r w:rsidRPr="004714C6">
        <w:rPr>
          <w:b/>
          <w:bCs/>
          <w:sz w:val="24"/>
          <w:szCs w:val="24"/>
        </w:rPr>
        <w:tab/>
        <w:t>Transporter</w:t>
      </w:r>
      <w:r w:rsidRPr="004714C6">
        <w:rPr>
          <w:b/>
          <w:bCs/>
          <w:sz w:val="24"/>
          <w:szCs w:val="24"/>
        </w:rPr>
        <w:noBreakHyphen/>
        <w:t>interaktioner</w:t>
      </w:r>
    </w:p>
    <w:p w14:paraId="73666C4B" w14:textId="77777777" w:rsidR="00A76826" w:rsidRPr="004714C6" w:rsidRDefault="00A76826" w:rsidP="00A76826">
      <w:pPr>
        <w:keepNext/>
        <w:widowControl w:val="0"/>
        <w:autoSpaceDE w:val="0"/>
        <w:autoSpaceDN w:val="0"/>
        <w:adjustRightInd w:val="0"/>
        <w:spacing w:line="246" w:lineRule="exact"/>
        <w:ind w:right="-23"/>
        <w:rPr>
          <w:sz w:val="24"/>
          <w:szCs w:val="24"/>
        </w:rPr>
      </w:pPr>
    </w:p>
    <w:tbl>
      <w:tblPr>
        <w:tblW w:w="5000" w:type="pct"/>
        <w:tblCellMar>
          <w:left w:w="0" w:type="dxa"/>
          <w:right w:w="0" w:type="dxa"/>
        </w:tblCellMar>
        <w:tblLook w:val="04A0" w:firstRow="1" w:lastRow="0" w:firstColumn="1" w:lastColumn="0" w:noHBand="0" w:noVBand="1"/>
      </w:tblPr>
      <w:tblGrid>
        <w:gridCol w:w="2106"/>
        <w:gridCol w:w="20"/>
        <w:gridCol w:w="7502"/>
      </w:tblGrid>
      <w:tr w:rsidR="00A76826" w:rsidRPr="004714C6" w14:paraId="59631FA0" w14:textId="77777777" w:rsidTr="00647CA7">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3B557B2C" w14:textId="77777777" w:rsidR="00A76826" w:rsidRPr="004714C6" w:rsidRDefault="00A76826" w:rsidP="00647CA7">
            <w:pPr>
              <w:keepNext/>
              <w:widowControl w:val="0"/>
              <w:autoSpaceDE w:val="0"/>
              <w:autoSpaceDN w:val="0"/>
              <w:adjustRightInd w:val="0"/>
              <w:ind w:left="102" w:right="-23"/>
              <w:jc w:val="both"/>
              <w:rPr>
                <w:kern w:val="2"/>
                <w:sz w:val="24"/>
                <w:szCs w:val="24"/>
                <w14:ligatures w14:val="standardContextual"/>
              </w:rPr>
            </w:pPr>
            <w:r w:rsidRPr="004714C6">
              <w:rPr>
                <w:kern w:val="2"/>
                <w:sz w:val="24"/>
                <w:szCs w:val="24"/>
                <w:u w:val="single"/>
                <w14:ligatures w14:val="standardContextual"/>
              </w:rPr>
              <w:t>P</w:t>
            </w:r>
            <w:r w:rsidRPr="004714C6">
              <w:rPr>
                <w:kern w:val="2"/>
                <w:sz w:val="24"/>
                <w:szCs w:val="24"/>
                <w:u w:val="single"/>
                <w14:ligatures w14:val="standardContextual"/>
              </w:rPr>
              <w:noBreakHyphen/>
              <w:t>gp</w:t>
            </w:r>
            <w:r w:rsidRPr="004714C6">
              <w:rPr>
                <w:kern w:val="2"/>
                <w:sz w:val="24"/>
                <w:szCs w:val="24"/>
                <w:u w:val="single"/>
                <w14:ligatures w14:val="standardContextual"/>
              </w:rPr>
              <w:noBreakHyphen/>
              <w:t>inhibitorer</w:t>
            </w:r>
          </w:p>
        </w:tc>
      </w:tr>
      <w:tr w:rsidR="00A76826" w:rsidRPr="004714C6" w14:paraId="6BEB7B4A" w14:textId="77777777" w:rsidTr="00647CA7">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4AC11265"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i/>
                <w:iCs/>
                <w:kern w:val="2"/>
                <w:sz w:val="24"/>
                <w:szCs w:val="24"/>
                <w14:ligatures w14:val="standardContextual"/>
              </w:rPr>
              <w:t>Samtidig anvendelse kontraindiceret (se pkt. 4.3)</w:t>
            </w:r>
          </w:p>
        </w:tc>
      </w:tr>
      <w:tr w:rsidR="00A76826" w:rsidRPr="004714C6" w14:paraId="46421DD7" w14:textId="77777777" w:rsidTr="00647CA7">
        <w:trPr>
          <w:trHeight w:val="20"/>
        </w:trPr>
        <w:tc>
          <w:tcPr>
            <w:tcW w:w="856" w:type="pct"/>
            <w:tcBorders>
              <w:top w:val="single" w:sz="4" w:space="0" w:color="000000"/>
              <w:left w:val="single" w:sz="4" w:space="0" w:color="000000"/>
              <w:bottom w:val="single" w:sz="4" w:space="0" w:color="000000"/>
              <w:right w:val="single" w:sz="4" w:space="0" w:color="000000"/>
            </w:tcBorders>
            <w:hideMark/>
          </w:tcPr>
          <w:p w14:paraId="43E5B47A"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Ketoconazol</w:t>
            </w:r>
          </w:p>
        </w:tc>
        <w:tc>
          <w:tcPr>
            <w:tcW w:w="4144" w:type="pct"/>
            <w:gridSpan w:val="2"/>
            <w:tcBorders>
              <w:top w:val="single" w:sz="4" w:space="0" w:color="000000"/>
              <w:left w:val="single" w:sz="4" w:space="0" w:color="000000"/>
              <w:bottom w:val="single" w:sz="4" w:space="0" w:color="000000"/>
              <w:right w:val="single" w:sz="4" w:space="0" w:color="000000"/>
            </w:tcBorders>
            <w:hideMark/>
          </w:tcPr>
          <w:p w14:paraId="5E498A0E" w14:textId="77777777" w:rsidR="00A76826" w:rsidRPr="004714C6" w:rsidRDefault="00A76826" w:rsidP="00647CA7">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Efter en enkelt oral ketoconazoldosis på 400 mg steg AUC</w:t>
            </w:r>
            <w:r w:rsidRPr="004714C6">
              <w:rPr>
                <w:kern w:val="2"/>
                <w:sz w:val="24"/>
                <w:szCs w:val="24"/>
                <w:vertAlign w:val="subscript"/>
                <w14:ligatures w14:val="standardContextual"/>
              </w:rPr>
              <w:t>0-∞</w:t>
            </w:r>
            <w:r w:rsidRPr="004714C6">
              <w:rPr>
                <w:kern w:val="2"/>
                <w:sz w:val="24"/>
                <w:szCs w:val="24"/>
                <w14:ligatures w14:val="standardContextual"/>
              </w:rPr>
              <w:t xml:space="preserve"> og C</w:t>
            </w:r>
            <w:r w:rsidRPr="004714C6">
              <w:rPr>
                <w:kern w:val="2"/>
                <w:sz w:val="24"/>
                <w:szCs w:val="24"/>
                <w:vertAlign w:val="subscript"/>
                <w14:ligatures w14:val="standardContextual"/>
              </w:rPr>
              <w:t>max</w:t>
            </w:r>
            <w:r w:rsidRPr="004714C6">
              <w:rPr>
                <w:kern w:val="2"/>
                <w:sz w:val="24"/>
                <w:szCs w:val="24"/>
                <w14:ligatures w14:val="standardContextual"/>
              </w:rPr>
              <w:t xml:space="preserve"> for dabigatran med henholdsvis 2,38 og 2,35 gange, og efter gentagne orale doser på 400 mg ketoconazol dagligt med henholdsvis 2,53 og 2,49 gange.</w:t>
            </w:r>
          </w:p>
        </w:tc>
      </w:tr>
      <w:tr w:rsidR="00A76826" w:rsidRPr="004714C6" w14:paraId="39A1145C" w14:textId="77777777" w:rsidTr="00647CA7">
        <w:trPr>
          <w:trHeight w:val="20"/>
        </w:trPr>
        <w:tc>
          <w:tcPr>
            <w:tcW w:w="856" w:type="pct"/>
            <w:tcBorders>
              <w:top w:val="single" w:sz="4" w:space="0" w:color="000000"/>
              <w:left w:val="single" w:sz="4" w:space="0" w:color="000000"/>
              <w:bottom w:val="single" w:sz="4" w:space="0" w:color="000000"/>
              <w:right w:val="single" w:sz="4" w:space="0" w:color="000000"/>
            </w:tcBorders>
            <w:hideMark/>
          </w:tcPr>
          <w:p w14:paraId="717FAA61"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Dronedaron</w:t>
            </w:r>
          </w:p>
        </w:tc>
        <w:tc>
          <w:tcPr>
            <w:tcW w:w="4144" w:type="pct"/>
            <w:gridSpan w:val="2"/>
            <w:tcBorders>
              <w:top w:val="single" w:sz="4" w:space="0" w:color="000000"/>
              <w:left w:val="single" w:sz="4" w:space="0" w:color="000000"/>
              <w:bottom w:val="single" w:sz="4" w:space="0" w:color="000000"/>
              <w:right w:val="single" w:sz="4" w:space="0" w:color="000000"/>
            </w:tcBorders>
            <w:hideMark/>
          </w:tcPr>
          <w:p w14:paraId="49B82CF2"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Ved samtidig behandling med dabigatranetexilat og dronedaron steg AUC</w:t>
            </w:r>
            <w:r w:rsidRPr="004714C6">
              <w:rPr>
                <w:kern w:val="2"/>
                <w:sz w:val="24"/>
                <w:szCs w:val="24"/>
                <w:vertAlign w:val="subscript"/>
                <w14:ligatures w14:val="standardContextual"/>
              </w:rPr>
              <w:t>0-∞</w:t>
            </w:r>
            <w:r w:rsidRPr="004714C6">
              <w:rPr>
                <w:kern w:val="2"/>
                <w:sz w:val="24"/>
                <w:szCs w:val="24"/>
                <w14:ligatures w14:val="standardContextual"/>
              </w:rPr>
              <w:t xml:space="preserve"> og C</w:t>
            </w:r>
            <w:r w:rsidRPr="004714C6">
              <w:rPr>
                <w:kern w:val="2"/>
                <w:sz w:val="24"/>
                <w:szCs w:val="24"/>
                <w:vertAlign w:val="subscript"/>
                <w14:ligatures w14:val="standardContextual"/>
              </w:rPr>
              <w:t>max</w:t>
            </w:r>
            <w:r w:rsidRPr="004714C6">
              <w:rPr>
                <w:kern w:val="2"/>
                <w:sz w:val="24"/>
                <w:szCs w:val="24"/>
                <w14:ligatures w14:val="standardContextual"/>
              </w:rPr>
              <w:t xml:space="preserve"> for dabigatran henholdsvis ca. 2,</w:t>
            </w:r>
            <w:r w:rsidRPr="004714C6">
              <w:rPr>
                <w:spacing w:val="1"/>
                <w:kern w:val="2"/>
                <w:sz w:val="24"/>
                <w:szCs w:val="24"/>
                <w14:ligatures w14:val="standardContextual"/>
              </w:rPr>
              <w:t>4</w:t>
            </w:r>
            <w:r w:rsidRPr="004714C6">
              <w:rPr>
                <w:kern w:val="2"/>
                <w:sz w:val="24"/>
                <w:szCs w:val="24"/>
                <w14:ligatures w14:val="standardContextual"/>
              </w:rPr>
              <w:t xml:space="preserve"> og 2,</w:t>
            </w:r>
            <w:r w:rsidRPr="004714C6">
              <w:rPr>
                <w:spacing w:val="-4"/>
                <w:kern w:val="2"/>
                <w:sz w:val="24"/>
                <w:szCs w:val="24"/>
                <w14:ligatures w14:val="standardContextual"/>
              </w:rPr>
              <w:t>3</w:t>
            </w:r>
            <w:r w:rsidRPr="004714C6">
              <w:rPr>
                <w:kern w:val="2"/>
                <w:sz w:val="24"/>
                <w:szCs w:val="24"/>
                <w14:ligatures w14:val="standardContextual"/>
              </w:rPr>
              <w:t> gange efter gentagen dosering med 400 mg dronedaron to gange dagligt, og ca. 2,</w:t>
            </w:r>
            <w:r w:rsidRPr="004714C6">
              <w:rPr>
                <w:spacing w:val="-4"/>
                <w:kern w:val="2"/>
                <w:sz w:val="24"/>
                <w:szCs w:val="24"/>
                <w14:ligatures w14:val="standardContextual"/>
              </w:rPr>
              <w:t xml:space="preserve">1 </w:t>
            </w:r>
            <w:r w:rsidRPr="004714C6">
              <w:rPr>
                <w:kern w:val="2"/>
                <w:sz w:val="24"/>
                <w:szCs w:val="24"/>
                <w14:ligatures w14:val="standardContextual"/>
              </w:rPr>
              <w:t>og 1,</w:t>
            </w:r>
            <w:r w:rsidRPr="004714C6">
              <w:rPr>
                <w:spacing w:val="-4"/>
                <w:kern w:val="2"/>
                <w:sz w:val="24"/>
                <w:szCs w:val="24"/>
                <w14:ligatures w14:val="standardContextual"/>
              </w:rPr>
              <w:t xml:space="preserve">9 gange </w:t>
            </w:r>
            <w:r w:rsidRPr="004714C6">
              <w:rPr>
                <w:kern w:val="2"/>
                <w:sz w:val="24"/>
                <w:szCs w:val="24"/>
                <w14:ligatures w14:val="standardContextual"/>
              </w:rPr>
              <w:t>efter en enkelt dosis på 400 </w:t>
            </w:r>
            <w:r w:rsidRPr="004714C6">
              <w:rPr>
                <w:spacing w:val="-1"/>
                <w:kern w:val="2"/>
                <w:sz w:val="24"/>
                <w:szCs w:val="24"/>
                <w14:ligatures w14:val="standardContextual"/>
              </w:rPr>
              <w:t>mg.</w:t>
            </w:r>
          </w:p>
        </w:tc>
      </w:tr>
      <w:tr w:rsidR="00A76826" w:rsidRPr="004714C6" w14:paraId="2B0DF5D9" w14:textId="77777777" w:rsidTr="00647CA7">
        <w:trPr>
          <w:trHeight w:val="20"/>
        </w:trPr>
        <w:tc>
          <w:tcPr>
            <w:tcW w:w="856" w:type="pct"/>
            <w:tcBorders>
              <w:top w:val="single" w:sz="4" w:space="0" w:color="000000"/>
              <w:left w:val="single" w:sz="4" w:space="0" w:color="000000"/>
              <w:bottom w:val="single" w:sz="4" w:space="0" w:color="000000"/>
              <w:right w:val="single" w:sz="4" w:space="0" w:color="000000"/>
            </w:tcBorders>
            <w:hideMark/>
          </w:tcPr>
          <w:p w14:paraId="7396DC18"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spacing w:val="1"/>
                <w:kern w:val="2"/>
                <w:sz w:val="24"/>
                <w:szCs w:val="24"/>
                <w14:ligatures w14:val="standardContextual"/>
              </w:rPr>
              <w:t>Itraconazol</w:t>
            </w:r>
            <w:r w:rsidRPr="004714C6">
              <w:rPr>
                <w:kern w:val="2"/>
                <w:sz w:val="24"/>
                <w:szCs w:val="24"/>
                <w14:ligatures w14:val="standardContextual"/>
              </w:rPr>
              <w:t>, ciclosporin</w:t>
            </w:r>
          </w:p>
        </w:tc>
        <w:tc>
          <w:tcPr>
            <w:tcW w:w="4144" w:type="pct"/>
            <w:gridSpan w:val="2"/>
            <w:tcBorders>
              <w:top w:val="single" w:sz="4" w:space="0" w:color="000000"/>
              <w:left w:val="single" w:sz="4" w:space="0" w:color="000000"/>
              <w:bottom w:val="single" w:sz="4" w:space="0" w:color="000000"/>
              <w:right w:val="single" w:sz="4" w:space="0" w:color="000000"/>
            </w:tcBorders>
            <w:hideMark/>
          </w:tcPr>
          <w:p w14:paraId="7D867A47"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 xml:space="preserve">Baseret på </w:t>
            </w:r>
            <w:r w:rsidRPr="004714C6">
              <w:rPr>
                <w:i/>
                <w:iCs/>
                <w:kern w:val="2"/>
                <w:sz w:val="24"/>
                <w:szCs w:val="24"/>
                <w14:ligatures w14:val="standardContextual"/>
              </w:rPr>
              <w:t>in vitro</w:t>
            </w:r>
            <w:r w:rsidRPr="004714C6">
              <w:rPr>
                <w:kern w:val="2"/>
                <w:sz w:val="24"/>
                <w:szCs w:val="24"/>
                <w14:ligatures w14:val="standardContextual"/>
              </w:rPr>
              <w:noBreakHyphen/>
              <w:t xml:space="preserve">resultater kan </w:t>
            </w:r>
            <w:r w:rsidRPr="004714C6">
              <w:rPr>
                <w:spacing w:val="-1"/>
                <w:kern w:val="2"/>
                <w:sz w:val="24"/>
                <w:szCs w:val="24"/>
                <w14:ligatures w14:val="standardContextual"/>
              </w:rPr>
              <w:t xml:space="preserve">der </w:t>
            </w:r>
            <w:r w:rsidRPr="004714C6">
              <w:rPr>
                <w:kern w:val="2"/>
                <w:sz w:val="24"/>
                <w:szCs w:val="24"/>
                <w14:ligatures w14:val="standardContextual"/>
              </w:rPr>
              <w:t>forventes en virkning, som svarer til ketoconazols.</w:t>
            </w:r>
          </w:p>
        </w:tc>
      </w:tr>
      <w:tr w:rsidR="00A76826" w:rsidRPr="004714C6" w14:paraId="327D0B11" w14:textId="77777777" w:rsidTr="00647CA7">
        <w:trPr>
          <w:trHeight w:val="20"/>
        </w:trPr>
        <w:tc>
          <w:tcPr>
            <w:tcW w:w="856" w:type="pct"/>
            <w:tcBorders>
              <w:top w:val="single" w:sz="4" w:space="0" w:color="000000"/>
              <w:left w:val="single" w:sz="4" w:space="0" w:color="000000"/>
              <w:bottom w:val="single" w:sz="4" w:space="0" w:color="000000"/>
              <w:right w:val="single" w:sz="4" w:space="0" w:color="000000"/>
            </w:tcBorders>
            <w:hideMark/>
          </w:tcPr>
          <w:p w14:paraId="519D49A4"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Glecaprevir /pibrentasvir</w:t>
            </w:r>
          </w:p>
        </w:tc>
        <w:tc>
          <w:tcPr>
            <w:tcW w:w="4144" w:type="pct"/>
            <w:gridSpan w:val="2"/>
            <w:tcBorders>
              <w:top w:val="single" w:sz="4" w:space="0" w:color="000000"/>
              <w:left w:val="single" w:sz="4" w:space="0" w:color="000000"/>
              <w:bottom w:val="single" w:sz="4" w:space="0" w:color="000000"/>
              <w:right w:val="single" w:sz="4" w:space="0" w:color="000000"/>
            </w:tcBorders>
            <w:hideMark/>
          </w:tcPr>
          <w:p w14:paraId="1A1F012E"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 xml:space="preserve">Samtidig anvendelse af dabigatranetexilat og </w:t>
            </w:r>
            <w:r w:rsidRPr="004714C6">
              <w:rPr>
                <w:spacing w:val="-4"/>
                <w:kern w:val="2"/>
                <w:sz w:val="24"/>
                <w:szCs w:val="24"/>
                <w14:ligatures w14:val="standardContextual"/>
              </w:rPr>
              <w:t>fast</w:t>
            </w:r>
            <w:r w:rsidRPr="004714C6">
              <w:rPr>
                <w:kern w:val="2"/>
                <w:sz w:val="24"/>
                <w:szCs w:val="24"/>
                <w14:ligatures w14:val="standardContextual"/>
              </w:rPr>
              <w:t>dosiskombinationen af P</w:t>
            </w:r>
            <w:r w:rsidRPr="004714C6">
              <w:rPr>
                <w:kern w:val="2"/>
                <w:sz w:val="24"/>
                <w:szCs w:val="24"/>
                <w14:ligatures w14:val="standardContextual"/>
              </w:rPr>
              <w:noBreakHyphen/>
              <w:t>gp</w:t>
            </w:r>
            <w:r w:rsidRPr="004714C6">
              <w:rPr>
                <w:kern w:val="2"/>
                <w:sz w:val="24"/>
                <w:szCs w:val="24"/>
                <w14:ligatures w14:val="standardContextual"/>
              </w:rPr>
              <w:noBreakHyphen/>
              <w:t>inhibitorerne glecaprevir/pibrentasvir har vist sig at øge eksponeringen af dabigatran og kan øge blødningsrisikoen.</w:t>
            </w:r>
          </w:p>
        </w:tc>
      </w:tr>
      <w:tr w:rsidR="00A76826" w:rsidRPr="004714C6" w14:paraId="621647A2" w14:textId="77777777" w:rsidTr="00647CA7">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021E5E5A"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i/>
                <w:iCs/>
                <w:kern w:val="2"/>
                <w:sz w:val="24"/>
                <w:szCs w:val="24"/>
                <w14:ligatures w14:val="standardContextual"/>
              </w:rPr>
              <w:t>Samtidig anvendelse ikke anbefalet</w:t>
            </w:r>
          </w:p>
        </w:tc>
      </w:tr>
      <w:tr w:rsidR="00A76826" w:rsidRPr="004714C6" w14:paraId="4DD0FB6B" w14:textId="77777777" w:rsidTr="00647CA7">
        <w:trPr>
          <w:trHeight w:val="20"/>
        </w:trPr>
        <w:tc>
          <w:tcPr>
            <w:tcW w:w="856" w:type="pct"/>
            <w:tcBorders>
              <w:top w:val="single" w:sz="4" w:space="0" w:color="000000"/>
              <w:left w:val="single" w:sz="4" w:space="0" w:color="000000"/>
              <w:bottom w:val="single" w:sz="4" w:space="0" w:color="000000"/>
              <w:right w:val="single" w:sz="4" w:space="0" w:color="000000"/>
            </w:tcBorders>
            <w:hideMark/>
          </w:tcPr>
          <w:p w14:paraId="0BC700C0"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Tacrolimus</w:t>
            </w:r>
          </w:p>
        </w:tc>
        <w:tc>
          <w:tcPr>
            <w:tcW w:w="4144" w:type="pct"/>
            <w:gridSpan w:val="2"/>
            <w:tcBorders>
              <w:top w:val="single" w:sz="4" w:space="0" w:color="000000"/>
              <w:left w:val="single" w:sz="4" w:space="0" w:color="000000"/>
              <w:bottom w:val="single" w:sz="4" w:space="0" w:color="000000"/>
              <w:right w:val="single" w:sz="4" w:space="0" w:color="000000"/>
            </w:tcBorders>
            <w:hideMark/>
          </w:tcPr>
          <w:p w14:paraId="6C7489A2"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i/>
                <w:iCs/>
                <w:kern w:val="2"/>
                <w:sz w:val="24"/>
                <w:szCs w:val="24"/>
                <w14:ligatures w14:val="standardContextual"/>
              </w:rPr>
              <w:t xml:space="preserve">In vitro </w:t>
            </w:r>
            <w:r w:rsidRPr="004714C6">
              <w:rPr>
                <w:kern w:val="2"/>
                <w:sz w:val="24"/>
                <w:szCs w:val="24"/>
                <w14:ligatures w14:val="standardContextual"/>
              </w:rPr>
              <w:t>viser tacrolimus en hæmmende effekt på P</w:t>
            </w:r>
            <w:r w:rsidRPr="004714C6">
              <w:rPr>
                <w:kern w:val="2"/>
                <w:sz w:val="24"/>
                <w:szCs w:val="24"/>
                <w14:ligatures w14:val="standardContextual"/>
              </w:rPr>
              <w:noBreakHyphen/>
              <w:t>gp, som svarer til effekten af itraconazol og ciclosporin. Samtidig behandling med dabigatranetexilat og tacrolimus er ikke undersøgt klinisk. Dog antyder begrænsede kliniske data med et andet P</w:t>
            </w:r>
            <w:r w:rsidRPr="004714C6">
              <w:rPr>
                <w:kern w:val="2"/>
                <w:sz w:val="24"/>
                <w:szCs w:val="24"/>
                <w14:ligatures w14:val="standardContextual"/>
              </w:rPr>
              <w:noBreakHyphen/>
              <w:t>gp</w:t>
            </w:r>
            <w:r w:rsidRPr="004714C6">
              <w:rPr>
                <w:kern w:val="2"/>
                <w:sz w:val="24"/>
                <w:szCs w:val="24"/>
                <w14:ligatures w14:val="standardContextual"/>
              </w:rPr>
              <w:noBreakHyphen/>
              <w:t xml:space="preserve">substrat (everolimus), at tacrolimus hæmmer </w:t>
            </w:r>
            <w:r w:rsidRPr="004714C6">
              <w:rPr>
                <w:spacing w:val="-2"/>
                <w:kern w:val="2"/>
                <w:sz w:val="24"/>
                <w:szCs w:val="24"/>
                <w14:ligatures w14:val="standardContextual"/>
              </w:rPr>
              <w:t>P</w:t>
            </w:r>
            <w:r w:rsidRPr="004714C6">
              <w:rPr>
                <w:spacing w:val="-2"/>
                <w:kern w:val="2"/>
                <w:sz w:val="24"/>
                <w:szCs w:val="24"/>
                <w14:ligatures w14:val="standardContextual"/>
              </w:rPr>
              <w:noBreakHyphen/>
              <w:t>gp i mindre grad end potente P</w:t>
            </w:r>
            <w:r w:rsidRPr="004714C6">
              <w:rPr>
                <w:spacing w:val="-2"/>
                <w:kern w:val="2"/>
                <w:sz w:val="24"/>
                <w:szCs w:val="24"/>
                <w14:ligatures w14:val="standardContextual"/>
              </w:rPr>
              <w:noBreakHyphen/>
              <w:t>gp</w:t>
            </w:r>
            <w:r w:rsidRPr="004714C6">
              <w:rPr>
                <w:spacing w:val="-2"/>
                <w:kern w:val="2"/>
                <w:sz w:val="24"/>
                <w:szCs w:val="24"/>
                <w14:ligatures w14:val="standardContextual"/>
              </w:rPr>
              <w:noBreakHyphen/>
              <w:t>inhibitorer</w:t>
            </w:r>
            <w:r w:rsidRPr="004714C6">
              <w:rPr>
                <w:kern w:val="2"/>
                <w:sz w:val="24"/>
                <w:szCs w:val="24"/>
                <w14:ligatures w14:val="standardContextual"/>
              </w:rPr>
              <w:t>.</w:t>
            </w:r>
          </w:p>
        </w:tc>
      </w:tr>
      <w:tr w:rsidR="00A76826" w:rsidRPr="004714C6" w14:paraId="68426602" w14:textId="77777777" w:rsidTr="00647CA7">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654A238B"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i/>
                <w:iCs/>
                <w:kern w:val="2"/>
                <w:sz w:val="24"/>
                <w:szCs w:val="24"/>
                <w14:ligatures w14:val="standardContextual"/>
              </w:rPr>
              <w:t xml:space="preserve">Forsigtighedsregler ved samtidig anvendelse (se pkt. 4.2 og </w:t>
            </w:r>
            <w:r w:rsidRPr="004714C6">
              <w:rPr>
                <w:i/>
                <w:iCs/>
                <w:spacing w:val="-1"/>
                <w:kern w:val="2"/>
                <w:sz w:val="24"/>
                <w:szCs w:val="24"/>
                <w14:ligatures w14:val="standardContextual"/>
              </w:rPr>
              <w:t>4.4)</w:t>
            </w:r>
          </w:p>
        </w:tc>
      </w:tr>
      <w:tr w:rsidR="00A76826" w:rsidRPr="004714C6" w14:paraId="79351BC4" w14:textId="77777777" w:rsidTr="00647CA7">
        <w:trPr>
          <w:trHeight w:val="20"/>
        </w:trPr>
        <w:tc>
          <w:tcPr>
            <w:tcW w:w="864" w:type="pct"/>
            <w:gridSpan w:val="2"/>
            <w:tcBorders>
              <w:top w:val="single" w:sz="4" w:space="0" w:color="000000"/>
              <w:left w:val="single" w:sz="4" w:space="0" w:color="000000"/>
              <w:bottom w:val="single" w:sz="4" w:space="0" w:color="000000"/>
              <w:right w:val="single" w:sz="4" w:space="0" w:color="000000"/>
            </w:tcBorders>
            <w:hideMark/>
          </w:tcPr>
          <w:p w14:paraId="565044C0"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Verapamil</w:t>
            </w:r>
          </w:p>
        </w:tc>
        <w:tc>
          <w:tcPr>
            <w:tcW w:w="4136" w:type="pct"/>
            <w:tcBorders>
              <w:top w:val="single" w:sz="4" w:space="0" w:color="000000"/>
              <w:left w:val="single" w:sz="4" w:space="0" w:color="000000"/>
              <w:bottom w:val="single" w:sz="4" w:space="0" w:color="000000"/>
              <w:right w:val="single" w:sz="4" w:space="0" w:color="000000"/>
            </w:tcBorders>
          </w:tcPr>
          <w:p w14:paraId="606A5469" w14:textId="77777777" w:rsidR="00A76826" w:rsidRPr="00DB2DAE" w:rsidRDefault="00A76826" w:rsidP="00DB2DAE">
            <w:pPr>
              <w:ind w:left="132"/>
              <w:rPr>
                <w:sz w:val="24"/>
                <w:szCs w:val="24"/>
              </w:rPr>
            </w:pPr>
            <w:r w:rsidRPr="00DB2DAE">
              <w:rPr>
                <w:sz w:val="24"/>
                <w:szCs w:val="24"/>
              </w:rPr>
              <w:t>C</w:t>
            </w:r>
            <w:r w:rsidRPr="00DB2DAE">
              <w:rPr>
                <w:sz w:val="24"/>
                <w:szCs w:val="24"/>
                <w:vertAlign w:val="subscript"/>
              </w:rPr>
              <w:t>max</w:t>
            </w:r>
            <w:r w:rsidRPr="00DB2DAE">
              <w:rPr>
                <w:sz w:val="24"/>
                <w:szCs w:val="24"/>
              </w:rPr>
              <w:t xml:space="preserve"> og AUC af dabigatran øgedes ved samtidig indtagelse af dabigatranetexilat (150 mg) og oral verapamil, men omfanget af denne ændring afhænger af administrationstidspunktet og verapamil formuleringen (se pkt. 4.2 og 4.4).</w:t>
            </w:r>
          </w:p>
          <w:p w14:paraId="6A35381A"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p>
          <w:p w14:paraId="16B6363C"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Den største stigning i dabigatraneksponering sås ved første dosis af en verapamilformulering med umiddelbar frigivelse af det aktive stof, givet en time før dabigatranetexilat</w:t>
            </w:r>
            <w:r w:rsidRPr="004714C6">
              <w:rPr>
                <w:kern w:val="2"/>
                <w:sz w:val="24"/>
                <w:szCs w:val="24"/>
                <w14:ligatures w14:val="standardContextual"/>
              </w:rPr>
              <w:noBreakHyphen/>
              <w:t>indtagelse (stigning i C</w:t>
            </w:r>
            <w:r w:rsidRPr="00DB2DAE">
              <w:rPr>
                <w:kern w:val="2"/>
                <w:sz w:val="24"/>
                <w:szCs w:val="24"/>
                <w:vertAlign w:val="subscript"/>
                <w14:ligatures w14:val="standardContextual"/>
              </w:rPr>
              <w:t>max</w:t>
            </w:r>
            <w:r w:rsidRPr="004714C6">
              <w:rPr>
                <w:kern w:val="2"/>
                <w:sz w:val="24"/>
                <w:szCs w:val="24"/>
                <w14:ligatures w14:val="standardContextual"/>
              </w:rPr>
              <w:t xml:space="preserve"> med omkring 2,8 gange og i AUC med omkring 2,5 gange). Effekten blev progressivt mindsket ved administration af en verapamilformulering med forlænget frigivelse (stigning i C</w:t>
            </w:r>
            <w:r w:rsidRPr="00DB2DAE">
              <w:rPr>
                <w:kern w:val="2"/>
                <w:sz w:val="24"/>
                <w:szCs w:val="24"/>
                <w:vertAlign w:val="subscript"/>
                <w14:ligatures w14:val="standardContextual"/>
              </w:rPr>
              <w:t>max</w:t>
            </w:r>
            <w:r w:rsidRPr="004714C6">
              <w:rPr>
                <w:kern w:val="2"/>
                <w:sz w:val="24"/>
                <w:szCs w:val="24"/>
                <w14:ligatures w14:val="standardContextual"/>
              </w:rPr>
              <w:t xml:space="preserve"> med omkring 1,9 gange og i AUC med omkring 1,7 gange) eller administration af flere doser verapamil (stigning i C</w:t>
            </w:r>
            <w:r w:rsidRPr="00DB2DAE">
              <w:rPr>
                <w:kern w:val="2"/>
                <w:sz w:val="24"/>
                <w:szCs w:val="24"/>
                <w:vertAlign w:val="subscript"/>
                <w14:ligatures w14:val="standardContextual"/>
              </w:rPr>
              <w:t>max</w:t>
            </w:r>
            <w:r w:rsidRPr="004714C6">
              <w:rPr>
                <w:kern w:val="2"/>
                <w:sz w:val="24"/>
                <w:szCs w:val="24"/>
                <w14:ligatures w14:val="standardContextual"/>
              </w:rPr>
              <w:t xml:space="preserve"> med omkring1,6 gange og i AUC med omkring 1,5 gange).</w:t>
            </w:r>
          </w:p>
          <w:p w14:paraId="674B47C7"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p>
          <w:p w14:paraId="4E0D8F09"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Ved indtagelse af verapamil 2 timer efter indtagelse af dabigatranetexilat blev der ikke observeret nogen betydningsfuld interaktion (stigning i Cmax med omkring 1,1 gange</w:t>
            </w:r>
            <w:r w:rsidRPr="004714C6">
              <w:rPr>
                <w:spacing w:val="-4"/>
                <w:kern w:val="2"/>
                <w:sz w:val="24"/>
                <w:szCs w:val="24"/>
                <w14:ligatures w14:val="standardContextual"/>
              </w:rPr>
              <w:t xml:space="preserve"> </w:t>
            </w:r>
            <w:r w:rsidRPr="004714C6">
              <w:rPr>
                <w:kern w:val="2"/>
                <w:sz w:val="24"/>
                <w:szCs w:val="24"/>
                <w14:ligatures w14:val="standardContextual"/>
              </w:rPr>
              <w:t>og i AUC med omkring 1,</w:t>
            </w:r>
            <w:r w:rsidRPr="004714C6">
              <w:rPr>
                <w:spacing w:val="-4"/>
                <w:kern w:val="2"/>
                <w:sz w:val="24"/>
                <w:szCs w:val="24"/>
                <w14:ligatures w14:val="standardContextual"/>
              </w:rPr>
              <w:t>2</w:t>
            </w:r>
            <w:r w:rsidRPr="004714C6">
              <w:rPr>
                <w:kern w:val="2"/>
                <w:sz w:val="24"/>
                <w:szCs w:val="24"/>
                <w14:ligatures w14:val="standardContextual"/>
              </w:rPr>
              <w:t> gange). Dette kan forklares ved, at absorptionen af dabigatran sker inden for 2 timer.</w:t>
            </w:r>
          </w:p>
        </w:tc>
      </w:tr>
      <w:tr w:rsidR="00A76826" w:rsidRPr="004714C6" w14:paraId="2BED9E2B" w14:textId="77777777" w:rsidTr="00647CA7">
        <w:trPr>
          <w:trHeight w:val="20"/>
        </w:trPr>
        <w:tc>
          <w:tcPr>
            <w:tcW w:w="864" w:type="pct"/>
            <w:gridSpan w:val="2"/>
            <w:tcBorders>
              <w:top w:val="single" w:sz="4" w:space="0" w:color="000000"/>
              <w:left w:val="single" w:sz="4" w:space="0" w:color="000000"/>
              <w:bottom w:val="single" w:sz="4" w:space="0" w:color="000000"/>
              <w:right w:val="single" w:sz="4" w:space="0" w:color="000000"/>
            </w:tcBorders>
            <w:hideMark/>
          </w:tcPr>
          <w:p w14:paraId="057723B2"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Amiodaron</w:t>
            </w:r>
          </w:p>
        </w:tc>
        <w:tc>
          <w:tcPr>
            <w:tcW w:w="4136" w:type="pct"/>
            <w:tcBorders>
              <w:top w:val="single" w:sz="4" w:space="0" w:color="000000"/>
              <w:left w:val="single" w:sz="4" w:space="0" w:color="000000"/>
              <w:bottom w:val="single" w:sz="4" w:space="0" w:color="000000"/>
              <w:right w:val="single" w:sz="4" w:space="0" w:color="000000"/>
            </w:tcBorders>
            <w:hideMark/>
          </w:tcPr>
          <w:p w14:paraId="46A10FF2"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 xml:space="preserve">Ved samtidig indtagelse af </w:t>
            </w:r>
            <w:r w:rsidRPr="004714C6">
              <w:rPr>
                <w:color w:val="000000"/>
                <w:kern w:val="2"/>
                <w:sz w:val="24"/>
                <w:szCs w:val="24"/>
                <w14:ligatures w14:val="standardContextual"/>
              </w:rPr>
              <w:t xml:space="preserve">dabigatranetexilat </w:t>
            </w:r>
            <w:r w:rsidRPr="004714C6">
              <w:rPr>
                <w:kern w:val="2"/>
                <w:sz w:val="24"/>
                <w:szCs w:val="24"/>
                <w14:ligatures w14:val="standardContextual"/>
              </w:rPr>
              <w:t xml:space="preserve">og 600 mg </w:t>
            </w:r>
            <w:r w:rsidRPr="004714C6">
              <w:rPr>
                <w:spacing w:val="-4"/>
                <w:kern w:val="2"/>
                <w:sz w:val="24"/>
                <w:szCs w:val="24"/>
                <w14:ligatures w14:val="standardContextual"/>
              </w:rPr>
              <w:t>amiodaron</w:t>
            </w:r>
            <w:r w:rsidRPr="004714C6">
              <w:rPr>
                <w:kern w:val="2"/>
                <w:sz w:val="24"/>
                <w:szCs w:val="24"/>
                <w14:ligatures w14:val="standardContextual"/>
              </w:rPr>
              <w:t xml:space="preserve"> som enkeltdosis, forblev absorptionsgraden og absorptionshastigheden af amiodaron og dets aktive metabolit DEA praktisk taget uændret. AUC og C</w:t>
            </w:r>
            <w:r w:rsidRPr="004714C6">
              <w:rPr>
                <w:kern w:val="2"/>
                <w:sz w:val="24"/>
                <w:szCs w:val="24"/>
                <w:vertAlign w:val="subscript"/>
                <w14:ligatures w14:val="standardContextual"/>
              </w:rPr>
              <w:t>max</w:t>
            </w:r>
            <w:r w:rsidRPr="004714C6">
              <w:rPr>
                <w:kern w:val="2"/>
                <w:sz w:val="24"/>
                <w:szCs w:val="24"/>
                <w14:ligatures w14:val="standardContextual"/>
              </w:rPr>
              <w:t xml:space="preserve"> for dabigatran var øget med hhv. ca.1,6 gange og 1,</w:t>
            </w:r>
            <w:r w:rsidRPr="004714C6">
              <w:rPr>
                <w:spacing w:val="-4"/>
                <w:kern w:val="2"/>
                <w:sz w:val="24"/>
                <w:szCs w:val="24"/>
                <w14:ligatures w14:val="standardContextual"/>
              </w:rPr>
              <w:t xml:space="preserve">5 gange. I lyset af den lange halveringstid for amiodaron kan en </w:t>
            </w:r>
            <w:r w:rsidRPr="004714C6">
              <w:rPr>
                <w:kern w:val="2"/>
                <w:sz w:val="24"/>
                <w:szCs w:val="24"/>
                <w14:ligatures w14:val="standardContextual"/>
              </w:rPr>
              <w:t>interaktion forekomme i flere uger efter ophør med amiodaron (se pkt. 4.2 og 4.4).</w:t>
            </w:r>
          </w:p>
        </w:tc>
      </w:tr>
      <w:tr w:rsidR="00A76826" w:rsidRPr="004714C6" w14:paraId="7456EBA9" w14:textId="77777777" w:rsidTr="00647CA7">
        <w:trPr>
          <w:trHeight w:val="20"/>
        </w:trPr>
        <w:tc>
          <w:tcPr>
            <w:tcW w:w="864" w:type="pct"/>
            <w:gridSpan w:val="2"/>
            <w:tcBorders>
              <w:top w:val="single" w:sz="4" w:space="0" w:color="000000"/>
              <w:left w:val="single" w:sz="4" w:space="0" w:color="000000"/>
              <w:bottom w:val="single" w:sz="4" w:space="0" w:color="000000"/>
              <w:right w:val="single" w:sz="4" w:space="0" w:color="000000"/>
            </w:tcBorders>
            <w:hideMark/>
          </w:tcPr>
          <w:p w14:paraId="55D996A3"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Kinidin</w:t>
            </w:r>
          </w:p>
        </w:tc>
        <w:tc>
          <w:tcPr>
            <w:tcW w:w="4136" w:type="pct"/>
            <w:tcBorders>
              <w:top w:val="single" w:sz="4" w:space="0" w:color="000000"/>
              <w:left w:val="single" w:sz="4" w:space="0" w:color="000000"/>
              <w:bottom w:val="single" w:sz="4" w:space="0" w:color="000000"/>
              <w:right w:val="single" w:sz="4" w:space="0" w:color="000000"/>
            </w:tcBorders>
            <w:hideMark/>
          </w:tcPr>
          <w:p w14:paraId="1774BBD7"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Dabigatranetexilat blev givet 2 gange dagligt i 3 konsekutive dage, på dag </w:t>
            </w:r>
            <w:r w:rsidRPr="004714C6">
              <w:rPr>
                <w:spacing w:val="-1"/>
                <w:kern w:val="2"/>
                <w:sz w:val="24"/>
                <w:szCs w:val="24"/>
                <w14:ligatures w14:val="standardContextual"/>
              </w:rPr>
              <w:t xml:space="preserve">3 </w:t>
            </w:r>
            <w:r w:rsidRPr="004714C6">
              <w:rPr>
                <w:kern w:val="2"/>
                <w:sz w:val="24"/>
                <w:szCs w:val="24"/>
                <w14:ligatures w14:val="standardContextual"/>
              </w:rPr>
              <w:t>enten alene eller samtidig med kinidin, som blev doseret med 200 mg hver anden time op til i alt 1.000 mg. Ved samtidig administration steg AUC</w:t>
            </w:r>
            <w:proofErr w:type="gramStart"/>
            <w:r w:rsidRPr="004714C6">
              <w:rPr>
                <w:kern w:val="2"/>
                <w:sz w:val="24"/>
                <w:szCs w:val="24"/>
                <w:vertAlign w:val="subscript"/>
                <w14:ligatures w14:val="standardContextual"/>
              </w:rPr>
              <w:t>τ,ss</w:t>
            </w:r>
            <w:proofErr w:type="gramEnd"/>
            <w:r w:rsidRPr="004714C6">
              <w:rPr>
                <w:kern w:val="2"/>
                <w:sz w:val="24"/>
                <w:szCs w:val="24"/>
                <w14:ligatures w14:val="standardContextual"/>
              </w:rPr>
              <w:t xml:space="preserve"> og C</w:t>
            </w:r>
            <w:r w:rsidRPr="004714C6">
              <w:rPr>
                <w:kern w:val="2"/>
                <w:sz w:val="24"/>
                <w:szCs w:val="24"/>
                <w:vertAlign w:val="subscript"/>
                <w14:ligatures w14:val="standardContextual"/>
              </w:rPr>
              <w:t>max,ss</w:t>
            </w:r>
            <w:r w:rsidRPr="004714C6">
              <w:rPr>
                <w:kern w:val="2"/>
                <w:sz w:val="24"/>
                <w:szCs w:val="24"/>
                <w14:ligatures w14:val="standardContextual"/>
              </w:rPr>
              <w:t xml:space="preserve"> for dabigatran i gennemsnit med henholdsvis 1</w:t>
            </w:r>
            <w:r w:rsidRPr="004714C6">
              <w:rPr>
                <w:spacing w:val="-2"/>
                <w:kern w:val="2"/>
                <w:sz w:val="24"/>
                <w:szCs w:val="24"/>
                <w14:ligatures w14:val="standardContextual"/>
              </w:rPr>
              <w:t>,</w:t>
            </w:r>
            <w:r w:rsidRPr="004714C6">
              <w:rPr>
                <w:kern w:val="2"/>
                <w:sz w:val="24"/>
                <w:szCs w:val="24"/>
                <w14:ligatures w14:val="standardContextual"/>
              </w:rPr>
              <w:t>53 gange og 1</w:t>
            </w:r>
            <w:r w:rsidRPr="004714C6">
              <w:rPr>
                <w:spacing w:val="-2"/>
                <w:kern w:val="2"/>
                <w:sz w:val="24"/>
                <w:szCs w:val="24"/>
                <w14:ligatures w14:val="standardContextual"/>
              </w:rPr>
              <w:t>,</w:t>
            </w:r>
            <w:r w:rsidRPr="004714C6">
              <w:rPr>
                <w:spacing w:val="-4"/>
                <w:kern w:val="2"/>
                <w:sz w:val="24"/>
                <w:szCs w:val="24"/>
                <w14:ligatures w14:val="standardContextual"/>
              </w:rPr>
              <w:t>56</w:t>
            </w:r>
            <w:r w:rsidRPr="004714C6">
              <w:rPr>
                <w:kern w:val="2"/>
                <w:sz w:val="24"/>
                <w:szCs w:val="24"/>
                <w14:ligatures w14:val="standardContextual"/>
              </w:rPr>
              <w:t> gange (se pkt. 4.2 og 4.4).</w:t>
            </w:r>
          </w:p>
        </w:tc>
      </w:tr>
      <w:tr w:rsidR="00A76826" w:rsidRPr="004714C6" w14:paraId="0B70167C" w14:textId="77777777" w:rsidTr="00647CA7">
        <w:trPr>
          <w:trHeight w:val="20"/>
        </w:trPr>
        <w:tc>
          <w:tcPr>
            <w:tcW w:w="864" w:type="pct"/>
            <w:gridSpan w:val="2"/>
            <w:tcBorders>
              <w:top w:val="single" w:sz="4" w:space="0" w:color="000000"/>
              <w:left w:val="single" w:sz="4" w:space="0" w:color="000000"/>
              <w:bottom w:val="single" w:sz="4" w:space="0" w:color="000000"/>
              <w:right w:val="single" w:sz="4" w:space="0" w:color="000000"/>
            </w:tcBorders>
            <w:hideMark/>
          </w:tcPr>
          <w:p w14:paraId="459BBA50"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Clarithromycin</w:t>
            </w:r>
          </w:p>
        </w:tc>
        <w:tc>
          <w:tcPr>
            <w:tcW w:w="4136" w:type="pct"/>
            <w:tcBorders>
              <w:top w:val="single" w:sz="4" w:space="0" w:color="000000"/>
              <w:left w:val="single" w:sz="4" w:space="0" w:color="000000"/>
              <w:bottom w:val="single" w:sz="4" w:space="0" w:color="000000"/>
              <w:right w:val="single" w:sz="4" w:space="0" w:color="000000"/>
            </w:tcBorders>
            <w:hideMark/>
          </w:tcPr>
          <w:p w14:paraId="02477C16"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Hos raske frivillige, blev der observeret en stigning i AUC med omkring 1,</w:t>
            </w:r>
            <w:r w:rsidRPr="004714C6">
              <w:rPr>
                <w:spacing w:val="-4"/>
                <w:kern w:val="2"/>
                <w:sz w:val="24"/>
                <w:szCs w:val="24"/>
                <w14:ligatures w14:val="standardContextual"/>
              </w:rPr>
              <w:t>19</w:t>
            </w:r>
            <w:r w:rsidRPr="004714C6">
              <w:rPr>
                <w:kern w:val="2"/>
                <w:sz w:val="24"/>
                <w:szCs w:val="24"/>
                <w14:ligatures w14:val="standardContextual"/>
              </w:rPr>
              <w:t> gange og i C</w:t>
            </w:r>
            <w:r w:rsidRPr="004714C6">
              <w:rPr>
                <w:kern w:val="2"/>
                <w:sz w:val="24"/>
                <w:szCs w:val="24"/>
                <w:vertAlign w:val="subscript"/>
                <w14:ligatures w14:val="standardContextual"/>
              </w:rPr>
              <w:t>max</w:t>
            </w:r>
            <w:r w:rsidRPr="004714C6">
              <w:rPr>
                <w:kern w:val="2"/>
                <w:sz w:val="24"/>
                <w:szCs w:val="24"/>
                <w14:ligatures w14:val="standardContextual"/>
              </w:rPr>
              <w:t xml:space="preserve"> med omkring 1,15 gange, når clarithromycin (500 mg 2 gange dagligt) blev givet sammen med dabigatranetexilat.</w:t>
            </w:r>
          </w:p>
        </w:tc>
      </w:tr>
      <w:tr w:rsidR="00A76826" w:rsidRPr="004714C6" w14:paraId="72C49518" w14:textId="77777777" w:rsidTr="00647CA7">
        <w:trPr>
          <w:trHeight w:val="20"/>
        </w:trPr>
        <w:tc>
          <w:tcPr>
            <w:tcW w:w="864" w:type="pct"/>
            <w:gridSpan w:val="2"/>
            <w:tcBorders>
              <w:top w:val="single" w:sz="4" w:space="0" w:color="000000"/>
              <w:left w:val="single" w:sz="4" w:space="0" w:color="000000"/>
              <w:bottom w:val="single" w:sz="4" w:space="0" w:color="000000"/>
              <w:right w:val="single" w:sz="4" w:space="0" w:color="000000"/>
            </w:tcBorders>
            <w:hideMark/>
          </w:tcPr>
          <w:p w14:paraId="661B5941"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Ticagrelor</w:t>
            </w:r>
          </w:p>
        </w:tc>
        <w:tc>
          <w:tcPr>
            <w:tcW w:w="4136" w:type="pct"/>
            <w:tcBorders>
              <w:top w:val="single" w:sz="4" w:space="0" w:color="000000"/>
              <w:left w:val="single" w:sz="4" w:space="0" w:color="000000"/>
              <w:bottom w:val="single" w:sz="4" w:space="0" w:color="000000"/>
              <w:right w:val="single" w:sz="4" w:space="0" w:color="000000"/>
            </w:tcBorders>
          </w:tcPr>
          <w:p w14:paraId="423C0B04"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Administration af en enkelt dosis af 75 mg dabigatranetexilat og en initialdosis af ticagrelor på 180 mg, førte til en stigning i AUC og C</w:t>
            </w:r>
            <w:r w:rsidRPr="004714C6">
              <w:rPr>
                <w:kern w:val="2"/>
                <w:sz w:val="24"/>
                <w:szCs w:val="24"/>
                <w:vertAlign w:val="subscript"/>
                <w14:ligatures w14:val="standardContextual"/>
              </w:rPr>
              <w:t>max</w:t>
            </w:r>
            <w:r w:rsidRPr="004714C6">
              <w:rPr>
                <w:kern w:val="2"/>
                <w:sz w:val="24"/>
                <w:szCs w:val="24"/>
                <w14:ligatures w14:val="standardContextual"/>
              </w:rPr>
              <w:t xml:space="preserve"> for dabigatran på hhv. 1,73 og 1,95 gange. Efter multiple doser af 90 mg ticagrelor 2 gange dagligt blev eksponeringen for dabigatran øget 1,56 og 1,46 gange for hhv. C</w:t>
            </w:r>
            <w:r w:rsidRPr="004714C6">
              <w:rPr>
                <w:kern w:val="2"/>
                <w:sz w:val="24"/>
                <w:szCs w:val="24"/>
                <w:vertAlign w:val="subscript"/>
                <w14:ligatures w14:val="standardContextual"/>
              </w:rPr>
              <w:t>max</w:t>
            </w:r>
            <w:r w:rsidRPr="004714C6">
              <w:rPr>
                <w:kern w:val="2"/>
                <w:sz w:val="24"/>
                <w:szCs w:val="24"/>
                <w14:ligatures w14:val="standardContextual"/>
              </w:rPr>
              <w:t xml:space="preserve"> og AUC.</w:t>
            </w:r>
          </w:p>
          <w:p w14:paraId="147F5F0A" w14:textId="77777777" w:rsidR="00A76826" w:rsidRPr="004714C6" w:rsidRDefault="00A76826" w:rsidP="00647CA7">
            <w:pPr>
              <w:widowControl w:val="0"/>
              <w:autoSpaceDE w:val="0"/>
              <w:autoSpaceDN w:val="0"/>
              <w:adjustRightInd w:val="0"/>
              <w:ind w:left="102" w:right="-20"/>
              <w:rPr>
                <w:kern w:val="2"/>
                <w:sz w:val="24"/>
                <w:szCs w:val="24"/>
                <w14:ligatures w14:val="standardContextual"/>
              </w:rPr>
            </w:pPr>
          </w:p>
          <w:p w14:paraId="756DBA27"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 xml:space="preserve">Ved samtidig administration af en initialdosis på 180 mg ticagrelor og 110 mg dabigatranetexilat (i </w:t>
            </w:r>
            <w:r w:rsidRPr="004714C6">
              <w:rPr>
                <w:i/>
                <w:iCs/>
                <w:kern w:val="2"/>
                <w:sz w:val="24"/>
                <w:szCs w:val="24"/>
                <w14:ligatures w14:val="standardContextual"/>
              </w:rPr>
              <w:t>steady state</w:t>
            </w:r>
            <w:r w:rsidRPr="004714C6">
              <w:rPr>
                <w:kern w:val="2"/>
                <w:sz w:val="24"/>
                <w:szCs w:val="24"/>
                <w14:ligatures w14:val="standardContextual"/>
              </w:rPr>
              <w:t>) steg AUC</w:t>
            </w:r>
            <w:proofErr w:type="gramStart"/>
            <w:r w:rsidRPr="004714C6">
              <w:rPr>
                <w:kern w:val="2"/>
                <w:sz w:val="24"/>
                <w:szCs w:val="24"/>
                <w:vertAlign w:val="subscript"/>
                <w14:ligatures w14:val="standardContextual"/>
              </w:rPr>
              <w:t>τ,ss</w:t>
            </w:r>
            <w:proofErr w:type="gramEnd"/>
            <w:r w:rsidRPr="004714C6">
              <w:rPr>
                <w:kern w:val="2"/>
                <w:sz w:val="24"/>
                <w:szCs w:val="24"/>
                <w14:ligatures w14:val="standardContextual"/>
              </w:rPr>
              <w:t xml:space="preserve"> og C</w:t>
            </w:r>
            <w:r w:rsidRPr="004714C6">
              <w:rPr>
                <w:kern w:val="2"/>
                <w:sz w:val="24"/>
                <w:szCs w:val="24"/>
                <w:vertAlign w:val="subscript"/>
                <w14:ligatures w14:val="standardContextual"/>
              </w:rPr>
              <w:t>max,ss</w:t>
            </w:r>
            <w:r w:rsidRPr="004714C6">
              <w:rPr>
                <w:kern w:val="2"/>
                <w:sz w:val="24"/>
                <w:szCs w:val="24"/>
                <w14:ligatures w14:val="standardContextual"/>
              </w:rPr>
              <w:t xml:space="preserve"> for dabigatran henholdsvis 1,49 gange og 1,65 gange sammenlignet med dabigatranetexilat alene. Når en initialdosis på 180 mg ticagrelor blev givet 2 timer efter 110 mg dabigatranetexilat (i </w:t>
            </w:r>
            <w:r w:rsidRPr="004714C6">
              <w:rPr>
                <w:i/>
                <w:iCs/>
                <w:kern w:val="2"/>
                <w:sz w:val="24"/>
                <w:szCs w:val="24"/>
                <w14:ligatures w14:val="standardContextual"/>
              </w:rPr>
              <w:t>steady state</w:t>
            </w:r>
            <w:r w:rsidRPr="004714C6">
              <w:rPr>
                <w:kern w:val="2"/>
                <w:sz w:val="24"/>
                <w:szCs w:val="24"/>
                <w14:ligatures w14:val="standardContextual"/>
              </w:rPr>
              <w:t>), blev forøgelsen af dabigatran AUC</w:t>
            </w:r>
            <w:proofErr w:type="gramStart"/>
            <w:r w:rsidRPr="004714C6">
              <w:rPr>
                <w:kern w:val="2"/>
                <w:sz w:val="24"/>
                <w:szCs w:val="24"/>
                <w:vertAlign w:val="subscript"/>
                <w14:ligatures w14:val="standardContextual"/>
              </w:rPr>
              <w:t>τ,ss</w:t>
            </w:r>
            <w:proofErr w:type="gramEnd"/>
            <w:r w:rsidRPr="004714C6">
              <w:rPr>
                <w:kern w:val="2"/>
                <w:sz w:val="24"/>
                <w:szCs w:val="24"/>
                <w14:ligatures w14:val="standardContextual"/>
              </w:rPr>
              <w:t xml:space="preserve"> og C</w:t>
            </w:r>
            <w:r w:rsidRPr="004714C6">
              <w:rPr>
                <w:kern w:val="2"/>
                <w:sz w:val="24"/>
                <w:szCs w:val="24"/>
                <w:vertAlign w:val="subscript"/>
                <w14:ligatures w14:val="standardContextual"/>
              </w:rPr>
              <w:t>max,ss</w:t>
            </w:r>
            <w:r w:rsidRPr="004714C6">
              <w:rPr>
                <w:kern w:val="2"/>
                <w:sz w:val="24"/>
                <w:szCs w:val="24"/>
                <w14:ligatures w14:val="standardContextual"/>
              </w:rPr>
              <w:t xml:space="preserve"> reduceret henholdsvis 1,27 gange og 1,23 gange sammenlignet med dabigatranetexilat alene. Denne forskudte indtagelse anbefales ved opstart af ticagrelor med en initialdosis på 180 mg.</w:t>
            </w:r>
          </w:p>
          <w:p w14:paraId="0D8B5ADD" w14:textId="77777777" w:rsidR="00A76826" w:rsidRPr="004714C6" w:rsidRDefault="00A76826" w:rsidP="00647CA7">
            <w:pPr>
              <w:widowControl w:val="0"/>
              <w:autoSpaceDE w:val="0"/>
              <w:autoSpaceDN w:val="0"/>
              <w:adjustRightInd w:val="0"/>
              <w:ind w:left="102" w:right="-20"/>
              <w:rPr>
                <w:kern w:val="2"/>
                <w:sz w:val="24"/>
                <w:szCs w:val="24"/>
                <w14:ligatures w14:val="standardContextual"/>
              </w:rPr>
            </w:pPr>
          </w:p>
          <w:p w14:paraId="36298AF4"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Ved samtidig behandling med 90 mg ticagrelor to gange dagligt (vedligeholdelsesdosis) og 110 mg dabigatranetexilat steg den justerede dabigatran</w:t>
            </w:r>
            <w:r w:rsidRPr="004714C6">
              <w:rPr>
                <w:kern w:val="2"/>
                <w:sz w:val="24"/>
                <w:szCs w:val="24"/>
                <w14:ligatures w14:val="standardContextual"/>
              </w:rPr>
              <w:noBreakHyphen/>
              <w:t>AUC</w:t>
            </w:r>
            <w:proofErr w:type="gramStart"/>
            <w:r w:rsidRPr="004714C6">
              <w:rPr>
                <w:kern w:val="2"/>
                <w:sz w:val="24"/>
                <w:szCs w:val="24"/>
                <w:vertAlign w:val="subscript"/>
                <w14:ligatures w14:val="standardContextual"/>
              </w:rPr>
              <w:t>τ,ss</w:t>
            </w:r>
            <w:proofErr w:type="gramEnd"/>
            <w:r w:rsidRPr="004714C6">
              <w:rPr>
                <w:kern w:val="2"/>
                <w:sz w:val="24"/>
                <w:szCs w:val="24"/>
                <w14:ligatures w14:val="standardContextual"/>
              </w:rPr>
              <w:t xml:space="preserve"> og C</w:t>
            </w:r>
            <w:r w:rsidRPr="004714C6">
              <w:rPr>
                <w:kern w:val="2"/>
                <w:sz w:val="24"/>
                <w:szCs w:val="24"/>
                <w:vertAlign w:val="subscript"/>
                <w14:ligatures w14:val="standardContextual"/>
              </w:rPr>
              <w:t>max,ss</w:t>
            </w:r>
            <w:r w:rsidRPr="004714C6">
              <w:rPr>
                <w:kern w:val="2"/>
                <w:sz w:val="24"/>
                <w:szCs w:val="24"/>
                <w14:ligatures w14:val="standardContextual"/>
              </w:rPr>
              <w:t xml:space="preserve"> henholdsvis 1,26 gange og 1,29 gange sammenlignet med dabigatranetexilat givet alene.</w:t>
            </w:r>
          </w:p>
        </w:tc>
      </w:tr>
      <w:tr w:rsidR="00A76826" w:rsidRPr="004714C6" w14:paraId="2A6FF945" w14:textId="77777777" w:rsidTr="00647CA7">
        <w:trPr>
          <w:trHeight w:val="20"/>
        </w:trPr>
        <w:tc>
          <w:tcPr>
            <w:tcW w:w="864" w:type="pct"/>
            <w:gridSpan w:val="2"/>
            <w:tcBorders>
              <w:top w:val="single" w:sz="4" w:space="0" w:color="000000"/>
              <w:left w:val="single" w:sz="4" w:space="0" w:color="000000"/>
              <w:bottom w:val="single" w:sz="4" w:space="0" w:color="000000"/>
              <w:right w:val="single" w:sz="4" w:space="0" w:color="000000"/>
            </w:tcBorders>
            <w:hideMark/>
          </w:tcPr>
          <w:p w14:paraId="7A98AD7B"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Posaconazol</w:t>
            </w:r>
          </w:p>
        </w:tc>
        <w:tc>
          <w:tcPr>
            <w:tcW w:w="4136" w:type="pct"/>
            <w:tcBorders>
              <w:top w:val="single" w:sz="4" w:space="0" w:color="000000"/>
              <w:left w:val="single" w:sz="4" w:space="0" w:color="000000"/>
              <w:bottom w:val="single" w:sz="4" w:space="0" w:color="000000"/>
              <w:right w:val="single" w:sz="4" w:space="0" w:color="000000"/>
            </w:tcBorders>
            <w:hideMark/>
          </w:tcPr>
          <w:p w14:paraId="4E4439F3"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 xml:space="preserve">Også posaconazol hæmmer i nogen grad </w:t>
            </w:r>
            <w:r w:rsidRPr="004714C6">
              <w:rPr>
                <w:spacing w:val="-4"/>
                <w:kern w:val="2"/>
                <w:sz w:val="24"/>
                <w:szCs w:val="24"/>
                <w14:ligatures w14:val="standardContextual"/>
              </w:rPr>
              <w:t>P</w:t>
            </w:r>
            <w:r w:rsidRPr="004714C6">
              <w:rPr>
                <w:spacing w:val="-4"/>
                <w:kern w:val="2"/>
                <w:sz w:val="24"/>
                <w:szCs w:val="24"/>
                <w14:ligatures w14:val="standardContextual"/>
              </w:rPr>
              <w:noBreakHyphen/>
              <w:t>gp</w:t>
            </w:r>
            <w:r w:rsidRPr="004714C6">
              <w:rPr>
                <w:kern w:val="2"/>
                <w:sz w:val="24"/>
                <w:szCs w:val="24"/>
                <w14:ligatures w14:val="standardContextual"/>
              </w:rPr>
              <w:t xml:space="preserve">, men det er ikke undersøgt klinisk. Ved samtidig administration af </w:t>
            </w:r>
            <w:r w:rsidRPr="004714C6">
              <w:rPr>
                <w:color w:val="000000"/>
                <w:kern w:val="2"/>
                <w:sz w:val="24"/>
                <w:szCs w:val="24"/>
                <w14:ligatures w14:val="standardContextual"/>
              </w:rPr>
              <w:t xml:space="preserve">dabigatranetexilat og </w:t>
            </w:r>
            <w:r w:rsidRPr="004714C6">
              <w:rPr>
                <w:kern w:val="2"/>
                <w:sz w:val="24"/>
                <w:szCs w:val="24"/>
                <w14:ligatures w14:val="standardContextual"/>
              </w:rPr>
              <w:t>posaconazol bør der udvises forsigtighed.</w:t>
            </w:r>
          </w:p>
        </w:tc>
      </w:tr>
      <w:tr w:rsidR="00A76826" w:rsidRPr="004714C6" w14:paraId="22991F36" w14:textId="77777777" w:rsidTr="00647CA7">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24BA8550"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u w:val="single"/>
                <w14:ligatures w14:val="standardContextual"/>
              </w:rPr>
              <w:t>P-gp-induktorer</w:t>
            </w:r>
          </w:p>
        </w:tc>
      </w:tr>
      <w:tr w:rsidR="00A76826" w:rsidRPr="004714C6" w14:paraId="62FB70ED" w14:textId="77777777" w:rsidTr="00647CA7">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674F2997"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i/>
                <w:iCs/>
                <w:kern w:val="2"/>
                <w:sz w:val="24"/>
                <w:szCs w:val="24"/>
                <w14:ligatures w14:val="standardContextual"/>
              </w:rPr>
              <w:t>Samtidig anvendelse bør undgås.</w:t>
            </w:r>
          </w:p>
        </w:tc>
      </w:tr>
      <w:tr w:rsidR="00A76826" w:rsidRPr="004714C6" w14:paraId="63366146" w14:textId="77777777" w:rsidTr="00647CA7">
        <w:trPr>
          <w:trHeight w:val="20"/>
        </w:trPr>
        <w:tc>
          <w:tcPr>
            <w:tcW w:w="864" w:type="pct"/>
            <w:gridSpan w:val="2"/>
            <w:tcBorders>
              <w:top w:val="single" w:sz="4" w:space="0" w:color="000000"/>
              <w:left w:val="single" w:sz="4" w:space="0" w:color="000000"/>
              <w:bottom w:val="single" w:sz="4" w:space="0" w:color="000000"/>
              <w:right w:val="single" w:sz="4" w:space="0" w:color="000000"/>
            </w:tcBorders>
            <w:hideMark/>
          </w:tcPr>
          <w:p w14:paraId="63282397" w14:textId="77777777" w:rsidR="00A76826" w:rsidRPr="004714C6" w:rsidRDefault="00A76826" w:rsidP="00647CA7">
            <w:pPr>
              <w:widowControl w:val="0"/>
              <w:autoSpaceDE w:val="0"/>
              <w:autoSpaceDN w:val="0"/>
              <w:adjustRightInd w:val="0"/>
              <w:ind w:left="102" w:right="200"/>
              <w:rPr>
                <w:spacing w:val="-1"/>
                <w:kern w:val="2"/>
                <w:sz w:val="24"/>
                <w:szCs w:val="24"/>
                <w14:ligatures w14:val="standardContextual"/>
              </w:rPr>
            </w:pPr>
            <w:r w:rsidRPr="004714C6">
              <w:rPr>
                <w:spacing w:val="-1"/>
                <w:kern w:val="2"/>
                <w:sz w:val="24"/>
                <w:szCs w:val="24"/>
                <w14:ligatures w14:val="standardContextual"/>
              </w:rPr>
              <w:t>F.eks. rifampicin, perikon (Hypericum perforatum), carbamazepin eller phenytoin</w:t>
            </w:r>
          </w:p>
        </w:tc>
        <w:tc>
          <w:tcPr>
            <w:tcW w:w="4136" w:type="pct"/>
            <w:tcBorders>
              <w:top w:val="single" w:sz="4" w:space="0" w:color="000000"/>
              <w:left w:val="single" w:sz="4" w:space="0" w:color="000000"/>
              <w:bottom w:val="single" w:sz="4" w:space="0" w:color="000000"/>
              <w:right w:val="single" w:sz="4" w:space="0" w:color="000000"/>
            </w:tcBorders>
          </w:tcPr>
          <w:p w14:paraId="15EA3C7D"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Samtidig indtagelse forventes at resultere i nedsatte dabigatran</w:t>
            </w:r>
            <w:r w:rsidRPr="004714C6">
              <w:rPr>
                <w:kern w:val="2"/>
                <w:sz w:val="24"/>
                <w:szCs w:val="24"/>
                <w14:ligatures w14:val="standardContextual"/>
              </w:rPr>
              <w:noBreakHyphen/>
            </w:r>
            <w:r w:rsidRPr="004714C6">
              <w:rPr>
                <w:spacing w:val="-2"/>
                <w:kern w:val="2"/>
                <w:sz w:val="24"/>
                <w:szCs w:val="24"/>
                <w14:ligatures w14:val="standardContextual"/>
              </w:rPr>
              <w:t>koncentrationer</w:t>
            </w:r>
            <w:r w:rsidRPr="004714C6">
              <w:rPr>
                <w:kern w:val="2"/>
                <w:sz w:val="24"/>
                <w:szCs w:val="24"/>
                <w14:ligatures w14:val="standardContextual"/>
              </w:rPr>
              <w:t>.</w:t>
            </w:r>
          </w:p>
          <w:p w14:paraId="561F38B6"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p>
          <w:p w14:paraId="06CF8BE4"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spacing w:val="-4"/>
                <w:kern w:val="2"/>
                <w:sz w:val="24"/>
                <w:szCs w:val="24"/>
                <w14:ligatures w14:val="standardContextual"/>
              </w:rPr>
              <w:t xml:space="preserve">Ved præmedicinering med induktoren </w:t>
            </w:r>
            <w:r w:rsidRPr="004714C6">
              <w:rPr>
                <w:kern w:val="2"/>
                <w:sz w:val="24"/>
                <w:szCs w:val="24"/>
                <w14:ligatures w14:val="standardContextual"/>
              </w:rPr>
              <w:t>rifampicin i en dosis på 600 mg én gang dagligt i 7 dage sås et fald i total peak og i total eksponering af dabigatran på henholdsvis 65,5 % og 67 %. Efter seponering af rifampicin aftog induktorvirkningen resulterende i en dabigatraneksponering tæt på referenceværdien på 7. dagen. Efter yderligere 7 dage sås ingen øget biotilgængelighed.</w:t>
            </w:r>
          </w:p>
        </w:tc>
      </w:tr>
      <w:tr w:rsidR="00A76826" w:rsidRPr="004714C6" w14:paraId="562C5152" w14:textId="77777777" w:rsidTr="00647CA7">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383EA428"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u w:val="single"/>
                <w14:ligatures w14:val="standardContextual"/>
              </w:rPr>
              <w:t>Proteaseinhibitorer, såsom ritonavir</w:t>
            </w:r>
          </w:p>
        </w:tc>
      </w:tr>
      <w:tr w:rsidR="00A76826" w:rsidRPr="004714C6" w14:paraId="7F4D73EE" w14:textId="77777777" w:rsidTr="00647CA7">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7D3898DE"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i/>
                <w:iCs/>
                <w:kern w:val="2"/>
                <w:sz w:val="24"/>
                <w:szCs w:val="24"/>
                <w14:ligatures w14:val="standardContextual"/>
              </w:rPr>
              <w:t>Samtidig anvendelse ikke anbefalet</w:t>
            </w:r>
          </w:p>
        </w:tc>
      </w:tr>
      <w:tr w:rsidR="00A76826" w:rsidRPr="004714C6" w14:paraId="73729399" w14:textId="77777777" w:rsidTr="00647CA7">
        <w:trPr>
          <w:trHeight w:val="20"/>
        </w:trPr>
        <w:tc>
          <w:tcPr>
            <w:tcW w:w="864" w:type="pct"/>
            <w:gridSpan w:val="2"/>
            <w:tcBorders>
              <w:top w:val="single" w:sz="4" w:space="0" w:color="000000"/>
              <w:left w:val="single" w:sz="4" w:space="0" w:color="000000"/>
              <w:bottom w:val="single" w:sz="4" w:space="0" w:color="000000"/>
              <w:right w:val="single" w:sz="4" w:space="0" w:color="000000"/>
            </w:tcBorders>
            <w:hideMark/>
          </w:tcPr>
          <w:p w14:paraId="59657841" w14:textId="77777777" w:rsidR="00A76826" w:rsidRPr="004714C6" w:rsidRDefault="00A76826" w:rsidP="00647CA7">
            <w:pPr>
              <w:widowControl w:val="0"/>
              <w:autoSpaceDE w:val="0"/>
              <w:autoSpaceDN w:val="0"/>
              <w:adjustRightInd w:val="0"/>
              <w:ind w:left="102" w:right="200"/>
              <w:rPr>
                <w:kern w:val="2"/>
                <w:sz w:val="24"/>
                <w:szCs w:val="24"/>
                <w14:ligatures w14:val="standardContextual"/>
              </w:rPr>
            </w:pPr>
            <w:r w:rsidRPr="004714C6">
              <w:rPr>
                <w:kern w:val="2"/>
                <w:sz w:val="24"/>
                <w:szCs w:val="24"/>
                <w14:ligatures w14:val="standardContextual"/>
              </w:rPr>
              <w:t>F.eks. ritonavir og dets kombinationer med andre proteaseinhibitorer</w:t>
            </w:r>
          </w:p>
        </w:tc>
        <w:tc>
          <w:tcPr>
            <w:tcW w:w="4136" w:type="pct"/>
            <w:tcBorders>
              <w:top w:val="single" w:sz="4" w:space="0" w:color="000000"/>
              <w:left w:val="single" w:sz="4" w:space="0" w:color="000000"/>
              <w:bottom w:val="single" w:sz="4" w:space="0" w:color="000000"/>
              <w:right w:val="single" w:sz="4" w:space="0" w:color="000000"/>
            </w:tcBorders>
            <w:hideMark/>
          </w:tcPr>
          <w:p w14:paraId="24C34D20"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Disse påvirker P</w:t>
            </w:r>
            <w:r w:rsidRPr="004714C6">
              <w:rPr>
                <w:kern w:val="2"/>
                <w:sz w:val="24"/>
                <w:szCs w:val="24"/>
                <w14:ligatures w14:val="standardContextual"/>
              </w:rPr>
              <w:noBreakHyphen/>
              <w:t>gp (enten som inhibitor eller som induktor). De er ikke blevet undersøgt, og samtidig behandling med dabigatranetexilat kan derfor ikke anbefales.</w:t>
            </w:r>
          </w:p>
        </w:tc>
      </w:tr>
      <w:tr w:rsidR="00A76826" w:rsidRPr="004714C6" w14:paraId="31B7D93D" w14:textId="77777777" w:rsidTr="00647CA7">
        <w:trPr>
          <w:trHeight w:val="20"/>
        </w:trPr>
        <w:tc>
          <w:tcPr>
            <w:tcW w:w="5000" w:type="pct"/>
            <w:gridSpan w:val="3"/>
            <w:tcBorders>
              <w:top w:val="single" w:sz="4" w:space="0" w:color="000000"/>
              <w:left w:val="single" w:sz="4" w:space="0" w:color="000000"/>
              <w:bottom w:val="single" w:sz="4" w:space="0" w:color="000000"/>
              <w:right w:val="single" w:sz="4" w:space="0" w:color="000000"/>
            </w:tcBorders>
            <w:hideMark/>
          </w:tcPr>
          <w:p w14:paraId="0D953FA8" w14:textId="77777777" w:rsidR="00A76826" w:rsidRPr="004714C6" w:rsidRDefault="00A76826" w:rsidP="00647CA7">
            <w:pPr>
              <w:keepNext/>
              <w:widowControl w:val="0"/>
              <w:autoSpaceDE w:val="0"/>
              <w:autoSpaceDN w:val="0"/>
              <w:adjustRightInd w:val="0"/>
              <w:ind w:left="102" w:right="-23"/>
              <w:jc w:val="both"/>
              <w:rPr>
                <w:kern w:val="2"/>
                <w:sz w:val="24"/>
                <w:szCs w:val="24"/>
                <w14:ligatures w14:val="standardContextual"/>
              </w:rPr>
            </w:pPr>
            <w:r w:rsidRPr="004714C6">
              <w:rPr>
                <w:kern w:val="2"/>
                <w:sz w:val="24"/>
                <w:szCs w:val="24"/>
                <w:u w:val="single"/>
                <w14:ligatures w14:val="standardContextual"/>
              </w:rPr>
              <w:t>P</w:t>
            </w:r>
            <w:r w:rsidRPr="004714C6">
              <w:rPr>
                <w:kern w:val="2"/>
                <w:sz w:val="24"/>
                <w:szCs w:val="24"/>
                <w:u w:val="single"/>
                <w14:ligatures w14:val="standardContextual"/>
              </w:rPr>
              <w:noBreakHyphen/>
              <w:t>gp</w:t>
            </w:r>
            <w:r w:rsidRPr="004714C6">
              <w:rPr>
                <w:kern w:val="2"/>
                <w:sz w:val="24"/>
                <w:szCs w:val="24"/>
                <w:u w:val="single"/>
                <w14:ligatures w14:val="standardContextual"/>
              </w:rPr>
              <w:noBreakHyphen/>
              <w:t>substrat</w:t>
            </w:r>
          </w:p>
        </w:tc>
      </w:tr>
      <w:tr w:rsidR="00A76826" w:rsidRPr="004714C6" w14:paraId="581A7804" w14:textId="77777777" w:rsidTr="00647CA7">
        <w:trPr>
          <w:trHeight w:val="20"/>
        </w:trPr>
        <w:tc>
          <w:tcPr>
            <w:tcW w:w="864" w:type="pct"/>
            <w:gridSpan w:val="2"/>
            <w:tcBorders>
              <w:top w:val="single" w:sz="4" w:space="0" w:color="000000"/>
              <w:left w:val="single" w:sz="4" w:space="0" w:color="000000"/>
              <w:bottom w:val="single" w:sz="4" w:space="0" w:color="000000"/>
              <w:right w:val="single" w:sz="4" w:space="0" w:color="000000"/>
            </w:tcBorders>
            <w:hideMark/>
          </w:tcPr>
          <w:p w14:paraId="7515BE64" w14:textId="77777777" w:rsidR="00A76826" w:rsidRPr="004714C6" w:rsidRDefault="00A76826" w:rsidP="00647CA7">
            <w:pPr>
              <w:keepNext/>
              <w:widowControl w:val="0"/>
              <w:autoSpaceDE w:val="0"/>
              <w:autoSpaceDN w:val="0"/>
              <w:adjustRightInd w:val="0"/>
              <w:ind w:left="102" w:right="-23"/>
              <w:jc w:val="both"/>
              <w:rPr>
                <w:kern w:val="2"/>
                <w:sz w:val="24"/>
                <w:szCs w:val="24"/>
                <w14:ligatures w14:val="standardContextual"/>
              </w:rPr>
            </w:pPr>
            <w:r w:rsidRPr="004714C6">
              <w:rPr>
                <w:kern w:val="2"/>
                <w:sz w:val="24"/>
                <w:szCs w:val="24"/>
                <w14:ligatures w14:val="standardContextual"/>
              </w:rPr>
              <w:t>Digoxin</w:t>
            </w:r>
          </w:p>
        </w:tc>
        <w:tc>
          <w:tcPr>
            <w:tcW w:w="4136" w:type="pct"/>
            <w:tcBorders>
              <w:top w:val="single" w:sz="4" w:space="0" w:color="000000"/>
              <w:left w:val="single" w:sz="4" w:space="0" w:color="000000"/>
              <w:bottom w:val="single" w:sz="4" w:space="0" w:color="000000"/>
              <w:right w:val="single" w:sz="4" w:space="0" w:color="000000"/>
            </w:tcBorders>
            <w:hideMark/>
          </w:tcPr>
          <w:p w14:paraId="5E35FC3C" w14:textId="77777777" w:rsidR="00A76826" w:rsidRPr="004714C6" w:rsidRDefault="00A76826" w:rsidP="00647CA7">
            <w:pPr>
              <w:widowControl w:val="0"/>
              <w:autoSpaceDE w:val="0"/>
              <w:autoSpaceDN w:val="0"/>
              <w:adjustRightInd w:val="0"/>
              <w:ind w:left="102" w:right="514"/>
              <w:rPr>
                <w:kern w:val="2"/>
                <w:sz w:val="24"/>
                <w:szCs w:val="24"/>
                <w14:ligatures w14:val="standardContextual"/>
              </w:rPr>
            </w:pPr>
            <w:r w:rsidRPr="004714C6">
              <w:rPr>
                <w:kern w:val="2"/>
                <w:sz w:val="24"/>
                <w:szCs w:val="24"/>
                <w14:ligatures w14:val="standardContextual"/>
              </w:rPr>
              <w:t>I et studie med 24 raske personer, hvor dabigatranetexilat blev givet samtidigt med digoxin, så man ingen ændringer i eksponeringen af digoxin og ingen klinisk relevante ændringer i eksponeringen af dabigatran.</w:t>
            </w:r>
          </w:p>
        </w:tc>
      </w:tr>
    </w:tbl>
    <w:p w14:paraId="0A7B12B7" w14:textId="77777777" w:rsidR="00A76826" w:rsidRPr="004714C6" w:rsidRDefault="00A76826" w:rsidP="00647CA7">
      <w:pPr>
        <w:ind w:left="851"/>
        <w:rPr>
          <w:sz w:val="24"/>
          <w:szCs w:val="24"/>
        </w:rPr>
      </w:pPr>
    </w:p>
    <w:p w14:paraId="2E89A11E" w14:textId="77777777" w:rsidR="00A76826" w:rsidRPr="004714C6" w:rsidRDefault="00A76826" w:rsidP="00647CA7">
      <w:pPr>
        <w:ind w:left="851"/>
        <w:rPr>
          <w:sz w:val="24"/>
          <w:szCs w:val="24"/>
          <w:u w:val="single"/>
        </w:rPr>
      </w:pPr>
      <w:r w:rsidRPr="004714C6">
        <w:rPr>
          <w:sz w:val="24"/>
          <w:szCs w:val="24"/>
          <w:u w:val="single"/>
        </w:rPr>
        <w:t>Antikoagulantia og trombocytfunktionshæmmere</w:t>
      </w:r>
    </w:p>
    <w:p w14:paraId="70F6BCEF" w14:textId="77777777" w:rsidR="00A76826" w:rsidRPr="004714C6" w:rsidRDefault="00A76826" w:rsidP="00647CA7">
      <w:pPr>
        <w:ind w:left="851"/>
        <w:rPr>
          <w:sz w:val="24"/>
          <w:szCs w:val="24"/>
        </w:rPr>
      </w:pPr>
    </w:p>
    <w:p w14:paraId="44BB1024" w14:textId="77777777" w:rsidR="00A76826" w:rsidRPr="004714C6" w:rsidRDefault="00A76826" w:rsidP="00647CA7">
      <w:pPr>
        <w:ind w:left="851"/>
        <w:rPr>
          <w:sz w:val="24"/>
          <w:szCs w:val="24"/>
        </w:rPr>
      </w:pPr>
      <w:r w:rsidRPr="004714C6">
        <w:rPr>
          <w:sz w:val="24"/>
          <w:szCs w:val="24"/>
        </w:rPr>
        <w:t>Der er ingen eller kun begrænset erfaring med følgende behandlinger, hvor en øget risiko for blødning eventuelt kan forekomme, hvis de gives samtidig med dabigatranetexilat: Antikoagulantia såsom ufraktioneret heparin (UFH), lavmolekylære hepariner (LMWH) og heparinderivater (fondaparinux, desirudin), trombolytika og vitamin K</w:t>
      </w:r>
      <w:r w:rsidRPr="004714C6">
        <w:rPr>
          <w:sz w:val="24"/>
          <w:szCs w:val="24"/>
        </w:rPr>
        <w:noBreakHyphen/>
        <w:t>antagonister, rivaroxaban eller andre orale antikoagulantia (se pkt. 4.3) og trombocytfunktionshæmmere såsom GPIIb/IIIa</w:t>
      </w:r>
      <w:r w:rsidRPr="004714C6">
        <w:rPr>
          <w:sz w:val="24"/>
          <w:szCs w:val="24"/>
        </w:rPr>
        <w:noBreakHyphen/>
        <w:t>receptor</w:t>
      </w:r>
      <w:r w:rsidRPr="004714C6">
        <w:rPr>
          <w:sz w:val="24"/>
          <w:szCs w:val="24"/>
        </w:rPr>
        <w:noBreakHyphen/>
        <w:t>antagonister, ticlopidin, prasugrel, ticagrelor, dextran og sulfinpyrazon (se pkt. 4.4).</w:t>
      </w:r>
    </w:p>
    <w:p w14:paraId="5766FD88" w14:textId="77777777" w:rsidR="00A76826" w:rsidRPr="004714C6" w:rsidRDefault="00A76826" w:rsidP="00647CA7">
      <w:pPr>
        <w:ind w:left="851"/>
        <w:rPr>
          <w:sz w:val="24"/>
          <w:szCs w:val="24"/>
        </w:rPr>
      </w:pPr>
    </w:p>
    <w:p w14:paraId="25193D0C" w14:textId="77777777" w:rsidR="00A76826" w:rsidRPr="004714C6" w:rsidRDefault="00A76826" w:rsidP="00647CA7">
      <w:pPr>
        <w:ind w:left="851"/>
        <w:rPr>
          <w:sz w:val="24"/>
          <w:szCs w:val="24"/>
        </w:rPr>
      </w:pPr>
      <w:r w:rsidRPr="004714C6">
        <w:rPr>
          <w:sz w:val="24"/>
          <w:szCs w:val="24"/>
        </w:rPr>
        <w:t>Fra data indsamlet i fase III-studiet RE-LY (se pkt. 5.1) blev det observeret, at administration sammen med andre orale eller parenterale antikoagulantia øger hyppigheden af alvorlige blødninger med ca. 2,5 gange for både dabigatranetexilat og warfarin, hovedsageligt i forbindelse med skift fra en antikoagulans til en anden (se pkt. 4.3). Desuden ca. fordobler samtidig administration af trombocythæmmerne ASA eller clopidogrel risikoen for en alvorlig blødning for både dabigatranetexilat og warfarin (se pkt. 4.4).</w:t>
      </w:r>
    </w:p>
    <w:p w14:paraId="5447CBC0" w14:textId="77777777" w:rsidR="00A76826" w:rsidRPr="004714C6" w:rsidRDefault="00A76826" w:rsidP="00647CA7">
      <w:pPr>
        <w:ind w:left="851"/>
        <w:rPr>
          <w:sz w:val="24"/>
          <w:szCs w:val="24"/>
        </w:rPr>
      </w:pPr>
    </w:p>
    <w:p w14:paraId="61606F25" w14:textId="77777777" w:rsidR="00A76826" w:rsidRPr="004714C6" w:rsidRDefault="00A76826" w:rsidP="00647CA7">
      <w:pPr>
        <w:ind w:left="851"/>
        <w:rPr>
          <w:sz w:val="24"/>
          <w:szCs w:val="24"/>
        </w:rPr>
      </w:pPr>
      <w:r w:rsidRPr="004714C6">
        <w:rPr>
          <w:sz w:val="24"/>
          <w:szCs w:val="24"/>
        </w:rPr>
        <w:t>UFH kan gives i doser, der er nødvendige for at opretholde et åbent centralt vene</w:t>
      </w:r>
      <w:r w:rsidRPr="004714C6">
        <w:rPr>
          <w:sz w:val="24"/>
          <w:szCs w:val="24"/>
        </w:rPr>
        <w:noBreakHyphen/>
        <w:t xml:space="preserve"> eller arteriekateter eller under kateterablation for atrieflimren (se pkt. 4.3).</w:t>
      </w:r>
    </w:p>
    <w:p w14:paraId="4B94DBF2" w14:textId="77777777" w:rsidR="00A76826" w:rsidRPr="004714C6" w:rsidRDefault="00A76826" w:rsidP="00647CA7">
      <w:pPr>
        <w:ind w:left="851"/>
        <w:rPr>
          <w:sz w:val="24"/>
          <w:szCs w:val="24"/>
        </w:rPr>
      </w:pPr>
    </w:p>
    <w:p w14:paraId="28C6B645" w14:textId="77777777" w:rsidR="00A76826" w:rsidRPr="004714C6" w:rsidRDefault="00A76826" w:rsidP="00A76826">
      <w:pPr>
        <w:keepNext/>
        <w:widowControl w:val="0"/>
        <w:autoSpaceDE w:val="0"/>
        <w:autoSpaceDN w:val="0"/>
        <w:adjustRightInd w:val="0"/>
        <w:spacing w:line="246" w:lineRule="exact"/>
        <w:ind w:right="-20"/>
        <w:rPr>
          <w:b/>
          <w:bCs/>
          <w:sz w:val="24"/>
          <w:szCs w:val="24"/>
        </w:rPr>
      </w:pPr>
      <w:r w:rsidRPr="004714C6">
        <w:rPr>
          <w:b/>
          <w:bCs/>
          <w:sz w:val="24"/>
          <w:szCs w:val="24"/>
        </w:rPr>
        <w:t>Tabel 10:</w:t>
      </w:r>
      <w:r w:rsidRPr="004714C6">
        <w:rPr>
          <w:b/>
          <w:bCs/>
          <w:sz w:val="24"/>
          <w:szCs w:val="24"/>
        </w:rPr>
        <w:tab/>
        <w:t>Interaktioner med antikoagulantia og trombocytfunktionshæmmere</w:t>
      </w:r>
    </w:p>
    <w:p w14:paraId="6A4B495C"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1585"/>
        <w:gridCol w:w="8043"/>
      </w:tblGrid>
      <w:tr w:rsidR="00A76826" w:rsidRPr="004714C6" w14:paraId="3473D721" w14:textId="77777777" w:rsidTr="00FB1973">
        <w:trPr>
          <w:trHeight w:val="20"/>
        </w:trPr>
        <w:tc>
          <w:tcPr>
            <w:tcW w:w="823" w:type="pct"/>
            <w:tcBorders>
              <w:top w:val="single" w:sz="4" w:space="0" w:color="000000"/>
              <w:left w:val="single" w:sz="4" w:space="0" w:color="000000"/>
              <w:bottom w:val="single" w:sz="4" w:space="0" w:color="000000"/>
              <w:right w:val="single" w:sz="4" w:space="0" w:color="000000"/>
            </w:tcBorders>
            <w:hideMark/>
          </w:tcPr>
          <w:p w14:paraId="654A3585"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spacing w:val="-1"/>
                <w:kern w:val="2"/>
                <w:sz w:val="24"/>
                <w:szCs w:val="24"/>
                <w14:ligatures w14:val="standardContextual"/>
              </w:rPr>
              <w:t>NSAID</w:t>
            </w:r>
          </w:p>
        </w:tc>
        <w:tc>
          <w:tcPr>
            <w:tcW w:w="4177" w:type="pct"/>
            <w:tcBorders>
              <w:top w:val="single" w:sz="4" w:space="0" w:color="000000"/>
              <w:left w:val="single" w:sz="4" w:space="0" w:color="000000"/>
              <w:bottom w:val="single" w:sz="4" w:space="0" w:color="000000"/>
              <w:right w:val="single" w:sz="4" w:space="0" w:color="000000"/>
            </w:tcBorders>
            <w:hideMark/>
          </w:tcPr>
          <w:p w14:paraId="6AF42D1E" w14:textId="77777777" w:rsidR="00A76826" w:rsidRPr="004714C6" w:rsidRDefault="00A76826" w:rsidP="00647CA7">
            <w:pPr>
              <w:widowControl w:val="0"/>
              <w:autoSpaceDE w:val="0"/>
              <w:autoSpaceDN w:val="0"/>
              <w:adjustRightInd w:val="0"/>
              <w:ind w:left="102" w:right="317"/>
              <w:rPr>
                <w:kern w:val="2"/>
                <w:sz w:val="24"/>
                <w:szCs w:val="24"/>
                <w14:ligatures w14:val="standardContextual"/>
              </w:rPr>
            </w:pPr>
            <w:r w:rsidRPr="004714C6">
              <w:rPr>
                <w:kern w:val="2"/>
                <w:sz w:val="24"/>
                <w:szCs w:val="24"/>
                <w14:ligatures w14:val="standardContextual"/>
              </w:rPr>
              <w:t>Korttidsbehandling med NSAID-præparater har vist sig ikke at være forbundet med øget blødningsrisiko, når de administreres samtidigt med dabigatranetexilat. Langtidsbehandling med NSAID i RE-LY-studiet viste en øget blødningsrisiko på ca. 50 % for både dabigatranetexilat og warfarin.</w:t>
            </w:r>
          </w:p>
        </w:tc>
      </w:tr>
      <w:tr w:rsidR="00A76826" w:rsidRPr="004714C6" w14:paraId="645F8540" w14:textId="77777777" w:rsidTr="00FB1973">
        <w:trPr>
          <w:trHeight w:val="20"/>
        </w:trPr>
        <w:tc>
          <w:tcPr>
            <w:tcW w:w="823" w:type="pct"/>
            <w:tcBorders>
              <w:top w:val="single" w:sz="4" w:space="0" w:color="000000"/>
              <w:left w:val="single" w:sz="4" w:space="0" w:color="000000"/>
              <w:bottom w:val="single" w:sz="4" w:space="0" w:color="000000"/>
              <w:right w:val="single" w:sz="4" w:space="0" w:color="000000"/>
            </w:tcBorders>
            <w:hideMark/>
          </w:tcPr>
          <w:p w14:paraId="5B10D0F2"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Clopidogrel</w:t>
            </w:r>
          </w:p>
        </w:tc>
        <w:tc>
          <w:tcPr>
            <w:tcW w:w="4177" w:type="pct"/>
            <w:tcBorders>
              <w:top w:val="single" w:sz="4" w:space="0" w:color="000000"/>
              <w:left w:val="single" w:sz="4" w:space="0" w:color="000000"/>
              <w:bottom w:val="single" w:sz="4" w:space="0" w:color="000000"/>
              <w:right w:val="single" w:sz="4" w:space="0" w:color="000000"/>
            </w:tcBorders>
            <w:hideMark/>
          </w:tcPr>
          <w:p w14:paraId="2F2CCA74" w14:textId="77777777" w:rsidR="00A76826" w:rsidRPr="004714C6" w:rsidRDefault="00A76826" w:rsidP="00647CA7">
            <w:pPr>
              <w:widowControl w:val="0"/>
              <w:autoSpaceDE w:val="0"/>
              <w:autoSpaceDN w:val="0"/>
              <w:adjustRightInd w:val="0"/>
              <w:ind w:left="102" w:right="317"/>
              <w:rPr>
                <w:kern w:val="2"/>
                <w:sz w:val="24"/>
                <w:szCs w:val="24"/>
                <w14:ligatures w14:val="standardContextual"/>
              </w:rPr>
            </w:pPr>
            <w:r w:rsidRPr="004714C6">
              <w:rPr>
                <w:kern w:val="2"/>
                <w:sz w:val="24"/>
                <w:szCs w:val="24"/>
                <w14:ligatures w14:val="standardContextual"/>
              </w:rPr>
              <w:t>Hos unge, raske mænd medførte samtidig administration af dabigatranetexilat og clopidogrel ikke yderligere forlængelse af kapillær blødningstid i forhold til clopidogrel monoterapi. Hertil kommer, at dabigatran AUC</w:t>
            </w:r>
            <w:proofErr w:type="gramStart"/>
            <w:r w:rsidRPr="004714C6">
              <w:rPr>
                <w:kern w:val="2"/>
                <w:sz w:val="24"/>
                <w:szCs w:val="24"/>
                <w:vertAlign w:val="subscript"/>
                <w14:ligatures w14:val="standardContextual"/>
              </w:rPr>
              <w:t>τ,ss</w:t>
            </w:r>
            <w:proofErr w:type="gramEnd"/>
            <w:r w:rsidRPr="004714C6">
              <w:rPr>
                <w:kern w:val="2"/>
                <w:sz w:val="24"/>
                <w:szCs w:val="24"/>
                <w14:ligatures w14:val="standardContextual"/>
              </w:rPr>
              <w:t xml:space="preserve"> og C</w:t>
            </w:r>
            <w:r w:rsidRPr="004714C6">
              <w:rPr>
                <w:kern w:val="2"/>
                <w:sz w:val="24"/>
                <w:szCs w:val="24"/>
                <w:vertAlign w:val="subscript"/>
                <w14:ligatures w14:val="standardContextual"/>
              </w:rPr>
              <w:t>max,ss</w:t>
            </w:r>
            <w:r w:rsidRPr="004714C6">
              <w:rPr>
                <w:kern w:val="2"/>
                <w:sz w:val="24"/>
                <w:szCs w:val="24"/>
                <w14:ligatures w14:val="standardContextual"/>
              </w:rPr>
              <w:t xml:space="preserve"> og koagulationsparametrerne for dabigatrans virkning eller hæmningen af trombocytaggregationen som målestok for clopidogrels virkning, forblev stort set uændret når kombinationsbehandling blev sammenlignet med de respektive monoterapier. Ved en initialdosis på 300 mg eller 600 mg clopidogrel steg dabigatran AUC</w:t>
            </w:r>
            <w:proofErr w:type="gramStart"/>
            <w:r w:rsidRPr="004714C6">
              <w:rPr>
                <w:kern w:val="2"/>
                <w:sz w:val="24"/>
                <w:szCs w:val="24"/>
                <w:vertAlign w:val="subscript"/>
                <w14:ligatures w14:val="standardContextual"/>
              </w:rPr>
              <w:t>τ,ss</w:t>
            </w:r>
            <w:proofErr w:type="gramEnd"/>
            <w:r w:rsidRPr="004714C6">
              <w:rPr>
                <w:kern w:val="2"/>
                <w:sz w:val="24"/>
                <w:szCs w:val="24"/>
                <w14:ligatures w14:val="standardContextual"/>
              </w:rPr>
              <w:t xml:space="preserve"> og C</w:t>
            </w:r>
            <w:r w:rsidRPr="004714C6">
              <w:rPr>
                <w:kern w:val="2"/>
                <w:sz w:val="24"/>
                <w:szCs w:val="24"/>
                <w:vertAlign w:val="subscript"/>
                <w14:ligatures w14:val="standardContextual"/>
              </w:rPr>
              <w:t>max,ss</w:t>
            </w:r>
            <w:r w:rsidRPr="004714C6">
              <w:rPr>
                <w:kern w:val="2"/>
                <w:sz w:val="24"/>
                <w:szCs w:val="24"/>
                <w14:ligatures w14:val="standardContextual"/>
              </w:rPr>
              <w:t xml:space="preserve"> med omkring 30</w:t>
            </w:r>
            <w:r w:rsidRPr="004714C6">
              <w:rPr>
                <w:kern w:val="2"/>
                <w:sz w:val="24"/>
                <w:szCs w:val="24"/>
                <w14:ligatures w14:val="standardContextual"/>
              </w:rPr>
              <w:noBreakHyphen/>
              <w:t>40 % (se pkt. 4.4).</w:t>
            </w:r>
          </w:p>
        </w:tc>
      </w:tr>
      <w:tr w:rsidR="00A76826" w:rsidRPr="004714C6" w14:paraId="38F90697" w14:textId="77777777" w:rsidTr="00FB1973">
        <w:trPr>
          <w:trHeight w:val="20"/>
        </w:trPr>
        <w:tc>
          <w:tcPr>
            <w:tcW w:w="823" w:type="pct"/>
            <w:tcBorders>
              <w:top w:val="single" w:sz="4" w:space="0" w:color="000000"/>
              <w:left w:val="single" w:sz="4" w:space="0" w:color="000000"/>
              <w:bottom w:val="single" w:sz="4" w:space="0" w:color="000000"/>
              <w:right w:val="single" w:sz="4" w:space="0" w:color="000000"/>
            </w:tcBorders>
            <w:hideMark/>
          </w:tcPr>
          <w:p w14:paraId="3F87E289"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spacing w:val="-1"/>
                <w:kern w:val="2"/>
                <w:sz w:val="24"/>
                <w:szCs w:val="24"/>
                <w14:ligatures w14:val="standardContextual"/>
              </w:rPr>
              <w:t>ASA</w:t>
            </w:r>
          </w:p>
        </w:tc>
        <w:tc>
          <w:tcPr>
            <w:tcW w:w="4177" w:type="pct"/>
            <w:tcBorders>
              <w:top w:val="single" w:sz="4" w:space="0" w:color="000000"/>
              <w:left w:val="single" w:sz="4" w:space="0" w:color="000000"/>
              <w:bottom w:val="single" w:sz="4" w:space="0" w:color="000000"/>
              <w:right w:val="single" w:sz="4" w:space="0" w:color="000000"/>
            </w:tcBorders>
            <w:hideMark/>
          </w:tcPr>
          <w:p w14:paraId="5B0A6607" w14:textId="77777777" w:rsidR="00A76826" w:rsidRPr="004714C6" w:rsidRDefault="00A76826" w:rsidP="00647CA7">
            <w:pPr>
              <w:widowControl w:val="0"/>
              <w:autoSpaceDE w:val="0"/>
              <w:autoSpaceDN w:val="0"/>
              <w:adjustRightInd w:val="0"/>
              <w:ind w:left="102" w:right="317"/>
              <w:rPr>
                <w:kern w:val="2"/>
                <w:sz w:val="24"/>
                <w:szCs w:val="24"/>
                <w14:ligatures w14:val="standardContextual"/>
              </w:rPr>
            </w:pPr>
            <w:r w:rsidRPr="004714C6">
              <w:rPr>
                <w:kern w:val="2"/>
                <w:sz w:val="24"/>
                <w:szCs w:val="24"/>
                <w14:ligatures w14:val="standardContextual"/>
              </w:rPr>
              <w:t>Samtidig indtagelse af ASA og 150 mg dabigatranetexilat 2 gange dagligt kan øge blødningsrisikoen fra 12 % til 18 % henholdsvis 24 % med 81 mg henholdsvis 325 mg ASA (se pkt. 4.4).</w:t>
            </w:r>
          </w:p>
        </w:tc>
      </w:tr>
      <w:tr w:rsidR="00A76826" w:rsidRPr="004714C6" w14:paraId="182CB2CA" w14:textId="77777777" w:rsidTr="00FB1973">
        <w:trPr>
          <w:trHeight w:val="20"/>
        </w:trPr>
        <w:tc>
          <w:tcPr>
            <w:tcW w:w="823" w:type="pct"/>
            <w:tcBorders>
              <w:top w:val="single" w:sz="4" w:space="0" w:color="000000"/>
              <w:left w:val="single" w:sz="4" w:space="0" w:color="000000"/>
              <w:bottom w:val="single" w:sz="4" w:space="0" w:color="000000"/>
              <w:right w:val="single" w:sz="4" w:space="0" w:color="000000"/>
            </w:tcBorders>
            <w:hideMark/>
          </w:tcPr>
          <w:p w14:paraId="447EA5D9" w14:textId="77777777" w:rsidR="00A76826" w:rsidRPr="004714C6" w:rsidRDefault="00A76826" w:rsidP="00647CA7">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LMWH</w:t>
            </w:r>
          </w:p>
        </w:tc>
        <w:tc>
          <w:tcPr>
            <w:tcW w:w="4177" w:type="pct"/>
            <w:tcBorders>
              <w:top w:val="single" w:sz="4" w:space="0" w:color="000000"/>
              <w:left w:val="single" w:sz="4" w:space="0" w:color="000000"/>
              <w:bottom w:val="single" w:sz="4" w:space="0" w:color="000000"/>
              <w:right w:val="single" w:sz="4" w:space="0" w:color="000000"/>
            </w:tcBorders>
            <w:hideMark/>
          </w:tcPr>
          <w:p w14:paraId="49AD4B40" w14:textId="77777777" w:rsidR="00A76826" w:rsidRPr="004714C6" w:rsidRDefault="00A76826" w:rsidP="00647CA7">
            <w:pPr>
              <w:widowControl w:val="0"/>
              <w:autoSpaceDE w:val="0"/>
              <w:autoSpaceDN w:val="0"/>
              <w:adjustRightInd w:val="0"/>
              <w:ind w:left="102" w:right="317"/>
              <w:rPr>
                <w:kern w:val="2"/>
                <w:sz w:val="24"/>
                <w:szCs w:val="24"/>
                <w14:ligatures w14:val="standardContextual"/>
              </w:rPr>
            </w:pPr>
            <w:r w:rsidRPr="004714C6">
              <w:rPr>
                <w:kern w:val="2"/>
                <w:sz w:val="24"/>
                <w:szCs w:val="24"/>
                <w14:ligatures w14:val="standardContextual"/>
              </w:rPr>
              <w:t xml:space="preserve">Samtidig anvendelse af LMWH (såsom enoxaparin) og dabigatranetexilat er ikke specifikt blevet undersøgt. Efter skift fra </w:t>
            </w:r>
            <w:r w:rsidRPr="004714C6">
              <w:rPr>
                <w:spacing w:val="-2"/>
                <w:kern w:val="2"/>
                <w:sz w:val="24"/>
                <w:szCs w:val="24"/>
                <w14:ligatures w14:val="standardContextual"/>
              </w:rPr>
              <w:t>3</w:t>
            </w:r>
            <w:r w:rsidRPr="004714C6">
              <w:rPr>
                <w:spacing w:val="-2"/>
                <w:kern w:val="2"/>
                <w:sz w:val="24"/>
                <w:szCs w:val="24"/>
                <w14:ligatures w14:val="standardContextual"/>
              </w:rPr>
              <w:noBreakHyphen/>
              <w:t xml:space="preserve">dages </w:t>
            </w:r>
            <w:r w:rsidRPr="004714C6">
              <w:rPr>
                <w:kern w:val="2"/>
                <w:sz w:val="24"/>
                <w:szCs w:val="24"/>
                <w14:ligatures w14:val="standardContextual"/>
              </w:rPr>
              <w:t xml:space="preserve">behandling med 40 mg enoxaparin s.c. én gang dagligt 24 timer efter den sidste dosis af enoxaparin, var eksponeringen for dabigatran lidt lavere end efter administration af kun dabigatranetexilat (enkelt dosis på 220 mg). Efter forudgående behandling med dabigatranetexilat sammen med </w:t>
            </w:r>
            <w:r w:rsidRPr="004714C6">
              <w:rPr>
                <w:spacing w:val="-4"/>
                <w:kern w:val="2"/>
                <w:sz w:val="24"/>
                <w:szCs w:val="24"/>
                <w14:ligatures w14:val="standardContextual"/>
              </w:rPr>
              <w:t>enoxaparin sås en</w:t>
            </w:r>
            <w:r w:rsidRPr="004714C6">
              <w:rPr>
                <w:kern w:val="2"/>
                <w:sz w:val="24"/>
                <w:szCs w:val="24"/>
                <w14:ligatures w14:val="standardContextual"/>
              </w:rPr>
              <w:t xml:space="preserve"> højere anti</w:t>
            </w:r>
            <w:r w:rsidRPr="004714C6">
              <w:rPr>
                <w:kern w:val="2"/>
                <w:sz w:val="24"/>
                <w:szCs w:val="24"/>
                <w14:ligatures w14:val="standardContextual"/>
              </w:rPr>
              <w:noBreakHyphen/>
              <w:t xml:space="preserve">FXa/FIIa-aktivitet i forhold til behandling med dabigatranetexilat alene. Dette anses for en </w:t>
            </w:r>
            <w:r w:rsidRPr="004714C6">
              <w:rPr>
                <w:i/>
                <w:iCs/>
                <w:kern w:val="2"/>
                <w:sz w:val="24"/>
                <w:szCs w:val="24"/>
                <w14:ligatures w14:val="standardContextual"/>
              </w:rPr>
              <w:t>carry</w:t>
            </w:r>
            <w:r w:rsidRPr="004714C6">
              <w:rPr>
                <w:i/>
                <w:iCs/>
                <w:kern w:val="2"/>
                <w:sz w:val="24"/>
                <w:szCs w:val="24"/>
                <w14:ligatures w14:val="standardContextual"/>
              </w:rPr>
              <w:noBreakHyphen/>
              <w:t>over</w:t>
            </w:r>
            <w:r w:rsidRPr="004714C6">
              <w:rPr>
                <w:i/>
                <w:iCs/>
                <w:kern w:val="2"/>
                <w:sz w:val="24"/>
                <w:szCs w:val="24"/>
                <w14:ligatures w14:val="standardContextual"/>
              </w:rPr>
              <w:noBreakHyphen/>
            </w:r>
            <w:r w:rsidRPr="004714C6">
              <w:rPr>
                <w:kern w:val="2"/>
                <w:sz w:val="24"/>
                <w:szCs w:val="24"/>
                <w14:ligatures w14:val="standardContextual"/>
              </w:rPr>
              <w:t xml:space="preserve">effekt af enoxaparinbehandlingen, og betragtes ikke som klinisk relevant. Der var ikke andre dabigatranrelaterede antikoagulationstests, der var ændret væsentligt ved </w:t>
            </w:r>
            <w:r w:rsidRPr="004714C6">
              <w:rPr>
                <w:spacing w:val="-4"/>
                <w:kern w:val="2"/>
                <w:sz w:val="24"/>
                <w:szCs w:val="24"/>
                <w14:ligatures w14:val="standardContextual"/>
              </w:rPr>
              <w:t xml:space="preserve">forbehandling </w:t>
            </w:r>
            <w:r w:rsidRPr="004714C6">
              <w:rPr>
                <w:kern w:val="2"/>
                <w:sz w:val="24"/>
                <w:szCs w:val="24"/>
                <w14:ligatures w14:val="standardContextual"/>
              </w:rPr>
              <w:t>med enoxaparin.</w:t>
            </w:r>
          </w:p>
        </w:tc>
      </w:tr>
    </w:tbl>
    <w:p w14:paraId="05D3AF60" w14:textId="77777777" w:rsidR="00A76826" w:rsidRPr="004714C6" w:rsidRDefault="00A76826" w:rsidP="00A76826">
      <w:pPr>
        <w:widowControl w:val="0"/>
        <w:autoSpaceDE w:val="0"/>
        <w:autoSpaceDN w:val="0"/>
        <w:adjustRightInd w:val="0"/>
        <w:spacing w:line="246" w:lineRule="exact"/>
        <w:ind w:right="-20"/>
        <w:rPr>
          <w:sz w:val="24"/>
          <w:szCs w:val="24"/>
        </w:rPr>
      </w:pPr>
    </w:p>
    <w:p w14:paraId="24FBAE00" w14:textId="77777777" w:rsidR="00A76826" w:rsidRPr="004714C6" w:rsidRDefault="00A76826" w:rsidP="00A76826">
      <w:pPr>
        <w:widowControl w:val="0"/>
        <w:autoSpaceDE w:val="0"/>
        <w:autoSpaceDN w:val="0"/>
        <w:adjustRightInd w:val="0"/>
        <w:spacing w:line="246" w:lineRule="exact"/>
        <w:ind w:right="-20"/>
        <w:rPr>
          <w:sz w:val="24"/>
          <w:szCs w:val="24"/>
          <w:u w:val="single"/>
        </w:rPr>
      </w:pPr>
      <w:r w:rsidRPr="004714C6">
        <w:rPr>
          <w:sz w:val="24"/>
          <w:szCs w:val="24"/>
          <w:u w:val="single"/>
        </w:rPr>
        <w:t>Andre interaktioner</w:t>
      </w:r>
    </w:p>
    <w:p w14:paraId="664EEB59" w14:textId="77777777" w:rsidR="00A76826" w:rsidRPr="004714C6" w:rsidRDefault="00A76826" w:rsidP="00A76826">
      <w:pPr>
        <w:widowControl w:val="0"/>
        <w:autoSpaceDE w:val="0"/>
        <w:autoSpaceDN w:val="0"/>
        <w:adjustRightInd w:val="0"/>
        <w:spacing w:line="246" w:lineRule="exact"/>
        <w:ind w:right="-20"/>
        <w:rPr>
          <w:sz w:val="24"/>
          <w:szCs w:val="24"/>
        </w:rPr>
      </w:pPr>
    </w:p>
    <w:p w14:paraId="7CA79BC1" w14:textId="77777777" w:rsidR="00A76826" w:rsidRPr="004714C6" w:rsidRDefault="00A76826" w:rsidP="00A76826">
      <w:pPr>
        <w:widowControl w:val="0"/>
        <w:autoSpaceDE w:val="0"/>
        <w:autoSpaceDN w:val="0"/>
        <w:adjustRightInd w:val="0"/>
        <w:spacing w:line="246" w:lineRule="exact"/>
        <w:ind w:right="-20"/>
        <w:rPr>
          <w:b/>
          <w:bCs/>
          <w:sz w:val="24"/>
          <w:szCs w:val="24"/>
        </w:rPr>
      </w:pPr>
      <w:r w:rsidRPr="004714C6">
        <w:rPr>
          <w:b/>
          <w:bCs/>
          <w:sz w:val="24"/>
          <w:szCs w:val="24"/>
        </w:rPr>
        <w:t>Tabel 11:</w:t>
      </w:r>
      <w:r w:rsidRPr="004714C6">
        <w:rPr>
          <w:b/>
          <w:bCs/>
          <w:sz w:val="24"/>
          <w:szCs w:val="24"/>
        </w:rPr>
        <w:tab/>
        <w:t>Andre interaktioner</w:t>
      </w:r>
    </w:p>
    <w:p w14:paraId="450F46EE" w14:textId="77777777" w:rsidR="00A76826" w:rsidRPr="004714C6" w:rsidRDefault="00A76826" w:rsidP="00A76826">
      <w:pPr>
        <w:widowControl w:val="0"/>
        <w:autoSpaceDE w:val="0"/>
        <w:autoSpaceDN w:val="0"/>
        <w:adjustRightInd w:val="0"/>
        <w:spacing w:line="246" w:lineRule="exact"/>
        <w:ind w:right="-20"/>
        <w:rPr>
          <w:sz w:val="24"/>
          <w:szCs w:val="24"/>
        </w:rPr>
      </w:pPr>
    </w:p>
    <w:tbl>
      <w:tblPr>
        <w:tblpPr w:leftFromText="141" w:rightFromText="141" w:bottomFromText="160" w:vertAnchor="text" w:horzAnchor="margin" w:tblpY="99"/>
        <w:tblOverlap w:val="never"/>
        <w:tblW w:w="5000" w:type="pct"/>
        <w:tblCellMar>
          <w:left w:w="0" w:type="dxa"/>
          <w:right w:w="0" w:type="dxa"/>
        </w:tblCellMar>
        <w:tblLook w:val="04A0" w:firstRow="1" w:lastRow="0" w:firstColumn="1" w:lastColumn="0" w:noHBand="0" w:noVBand="1"/>
      </w:tblPr>
      <w:tblGrid>
        <w:gridCol w:w="1669"/>
        <w:gridCol w:w="7959"/>
      </w:tblGrid>
      <w:tr w:rsidR="00A76826" w:rsidRPr="004714C6" w14:paraId="68ABC943"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7620F033" w14:textId="77777777" w:rsidR="00A76826" w:rsidRPr="004714C6" w:rsidRDefault="00A76826" w:rsidP="00FB1973">
            <w:pPr>
              <w:widowControl w:val="0"/>
              <w:autoSpaceDE w:val="0"/>
              <w:autoSpaceDN w:val="0"/>
              <w:adjustRightInd w:val="0"/>
              <w:ind w:left="102" w:right="661"/>
              <w:rPr>
                <w:kern w:val="2"/>
                <w:sz w:val="24"/>
                <w:szCs w:val="24"/>
                <w14:ligatures w14:val="standardContextual"/>
              </w:rPr>
            </w:pPr>
            <w:r w:rsidRPr="004714C6">
              <w:rPr>
                <w:kern w:val="2"/>
                <w:sz w:val="24"/>
                <w:szCs w:val="24"/>
                <w:u w:val="single"/>
                <w14:ligatures w14:val="standardContextual"/>
              </w:rPr>
              <w:t>Selektive serotonin-genoptagelseshæmmere (SSRI) eller selektive serotonin-noradrenalin-genoptagelseshæmmere (SNRI)</w:t>
            </w:r>
          </w:p>
        </w:tc>
      </w:tr>
      <w:tr w:rsidR="00A76826" w:rsidRPr="004714C6" w14:paraId="1DCC6003" w14:textId="77777777" w:rsidTr="00FB1973">
        <w:trPr>
          <w:trHeight w:val="20"/>
        </w:trPr>
        <w:tc>
          <w:tcPr>
            <w:tcW w:w="867" w:type="pct"/>
            <w:tcBorders>
              <w:top w:val="single" w:sz="4" w:space="0" w:color="000000"/>
              <w:left w:val="single" w:sz="4" w:space="0" w:color="000000"/>
              <w:bottom w:val="single" w:sz="4" w:space="0" w:color="000000"/>
              <w:right w:val="single" w:sz="4" w:space="0" w:color="000000"/>
            </w:tcBorders>
            <w:hideMark/>
          </w:tcPr>
          <w:p w14:paraId="21550F8B" w14:textId="77777777" w:rsidR="00A76826" w:rsidRPr="004714C6" w:rsidRDefault="00A76826" w:rsidP="00FB1973">
            <w:pPr>
              <w:widowControl w:val="0"/>
              <w:autoSpaceDE w:val="0"/>
              <w:autoSpaceDN w:val="0"/>
              <w:adjustRightInd w:val="0"/>
              <w:ind w:left="102" w:right="-20"/>
              <w:jc w:val="both"/>
              <w:rPr>
                <w:kern w:val="2"/>
                <w:sz w:val="24"/>
                <w:szCs w:val="24"/>
                <w14:ligatures w14:val="standardContextual"/>
              </w:rPr>
            </w:pPr>
            <w:r w:rsidRPr="004714C6">
              <w:rPr>
                <w:spacing w:val="-1"/>
                <w:kern w:val="2"/>
                <w:sz w:val="24"/>
                <w:szCs w:val="24"/>
                <w14:ligatures w14:val="standardContextual"/>
              </w:rPr>
              <w:t>SSRI</w:t>
            </w:r>
            <w:r w:rsidRPr="004714C6">
              <w:rPr>
                <w:kern w:val="2"/>
                <w:sz w:val="24"/>
                <w:szCs w:val="24"/>
                <w14:ligatures w14:val="standardContextual"/>
              </w:rPr>
              <w:t xml:space="preserve">, </w:t>
            </w:r>
            <w:r w:rsidRPr="004714C6">
              <w:rPr>
                <w:spacing w:val="-1"/>
                <w:kern w:val="2"/>
                <w:sz w:val="24"/>
                <w:szCs w:val="24"/>
                <w14:ligatures w14:val="standardContextual"/>
              </w:rPr>
              <w:t>SNRI</w:t>
            </w:r>
          </w:p>
        </w:tc>
        <w:tc>
          <w:tcPr>
            <w:tcW w:w="4133" w:type="pct"/>
            <w:tcBorders>
              <w:top w:val="single" w:sz="4" w:space="0" w:color="000000"/>
              <w:left w:val="single" w:sz="4" w:space="0" w:color="000000"/>
              <w:bottom w:val="single" w:sz="4" w:space="0" w:color="000000"/>
              <w:right w:val="single" w:sz="4" w:space="0" w:color="000000"/>
            </w:tcBorders>
            <w:hideMark/>
          </w:tcPr>
          <w:p w14:paraId="5742192B" w14:textId="77777777" w:rsidR="00A76826" w:rsidRPr="004714C6" w:rsidRDefault="00A76826" w:rsidP="00FB1973">
            <w:pPr>
              <w:widowControl w:val="0"/>
              <w:autoSpaceDE w:val="0"/>
              <w:autoSpaceDN w:val="0"/>
              <w:adjustRightInd w:val="0"/>
              <w:ind w:left="102" w:right="317"/>
              <w:rPr>
                <w:kern w:val="2"/>
                <w:sz w:val="24"/>
                <w:szCs w:val="24"/>
                <w14:ligatures w14:val="standardContextual"/>
              </w:rPr>
            </w:pPr>
            <w:r w:rsidRPr="004714C6">
              <w:rPr>
                <w:kern w:val="2"/>
                <w:sz w:val="24"/>
                <w:szCs w:val="24"/>
                <w14:ligatures w14:val="standardContextual"/>
              </w:rPr>
              <w:t xml:space="preserve">SSRI og SNRI øgede risikoen for blødning i alle </w:t>
            </w:r>
            <w:r w:rsidRPr="004714C6">
              <w:rPr>
                <w:spacing w:val="-2"/>
                <w:kern w:val="2"/>
                <w:sz w:val="24"/>
                <w:szCs w:val="24"/>
                <w14:ligatures w14:val="standardContextual"/>
              </w:rPr>
              <w:t>behandlingsarmene</w:t>
            </w:r>
            <w:r w:rsidRPr="004714C6">
              <w:rPr>
                <w:kern w:val="2"/>
                <w:sz w:val="24"/>
                <w:szCs w:val="24"/>
                <w14:ligatures w14:val="standardContextual"/>
              </w:rPr>
              <w:t xml:space="preserve"> i </w:t>
            </w:r>
            <w:r w:rsidRPr="004714C6">
              <w:rPr>
                <w:spacing w:val="-2"/>
                <w:kern w:val="2"/>
                <w:sz w:val="24"/>
                <w:szCs w:val="24"/>
                <w14:ligatures w14:val="standardContextual"/>
              </w:rPr>
              <w:t>RE-LY</w:t>
            </w:r>
          </w:p>
        </w:tc>
      </w:tr>
      <w:tr w:rsidR="00A76826" w:rsidRPr="004714C6" w14:paraId="4EE6EC2D"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48C2151" w14:textId="77777777" w:rsidR="00A76826" w:rsidRPr="004714C6" w:rsidRDefault="00A76826" w:rsidP="00FB1973">
            <w:pPr>
              <w:keepNext/>
              <w:autoSpaceDE w:val="0"/>
              <w:autoSpaceDN w:val="0"/>
              <w:adjustRightInd w:val="0"/>
              <w:ind w:left="102" w:right="-23"/>
              <w:jc w:val="both"/>
              <w:rPr>
                <w:kern w:val="2"/>
                <w:sz w:val="24"/>
                <w:szCs w:val="24"/>
                <w14:ligatures w14:val="standardContextual"/>
              </w:rPr>
            </w:pPr>
            <w:r w:rsidRPr="004714C6">
              <w:rPr>
                <w:kern w:val="2"/>
                <w:sz w:val="24"/>
                <w:szCs w:val="24"/>
                <w:u w:val="single"/>
                <w14:ligatures w14:val="standardContextual"/>
              </w:rPr>
              <w:t>Stoffer, der påvirker gastrisk pH</w:t>
            </w:r>
          </w:p>
        </w:tc>
      </w:tr>
      <w:tr w:rsidR="00A76826" w:rsidRPr="004714C6" w14:paraId="5E3658CF" w14:textId="77777777" w:rsidTr="00FB1973">
        <w:trPr>
          <w:trHeight w:val="20"/>
        </w:trPr>
        <w:tc>
          <w:tcPr>
            <w:tcW w:w="867" w:type="pct"/>
            <w:tcBorders>
              <w:top w:val="single" w:sz="4" w:space="0" w:color="000000"/>
              <w:left w:val="single" w:sz="4" w:space="0" w:color="000000"/>
              <w:bottom w:val="single" w:sz="4" w:space="0" w:color="000000"/>
              <w:right w:val="single" w:sz="4" w:space="0" w:color="000000"/>
            </w:tcBorders>
            <w:hideMark/>
          </w:tcPr>
          <w:p w14:paraId="0BFF6CB1" w14:textId="77777777" w:rsidR="00A76826" w:rsidRPr="004714C6" w:rsidRDefault="00A76826" w:rsidP="00FB1973">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Pantoprazol</w:t>
            </w:r>
          </w:p>
        </w:tc>
        <w:tc>
          <w:tcPr>
            <w:tcW w:w="4133" w:type="pct"/>
            <w:tcBorders>
              <w:top w:val="single" w:sz="4" w:space="0" w:color="000000"/>
              <w:left w:val="single" w:sz="4" w:space="0" w:color="000000"/>
              <w:bottom w:val="single" w:sz="4" w:space="0" w:color="000000"/>
              <w:right w:val="single" w:sz="4" w:space="0" w:color="000000"/>
            </w:tcBorders>
            <w:hideMark/>
          </w:tcPr>
          <w:p w14:paraId="60F97CD1" w14:textId="70B32278" w:rsidR="00A76826" w:rsidRPr="004714C6" w:rsidRDefault="00A76826" w:rsidP="00FB1973">
            <w:pPr>
              <w:widowControl w:val="0"/>
              <w:autoSpaceDE w:val="0"/>
              <w:autoSpaceDN w:val="0"/>
              <w:adjustRightInd w:val="0"/>
              <w:ind w:left="102" w:right="317"/>
              <w:rPr>
                <w:kern w:val="2"/>
                <w:sz w:val="24"/>
                <w:szCs w:val="24"/>
                <w14:ligatures w14:val="standardContextual"/>
              </w:rPr>
            </w:pPr>
            <w:r w:rsidRPr="004714C6">
              <w:rPr>
                <w:kern w:val="2"/>
                <w:sz w:val="24"/>
                <w:szCs w:val="24"/>
                <w14:ligatures w14:val="standardContextual"/>
              </w:rPr>
              <w:t xml:space="preserve">Ved samtidig indtagelse af </w:t>
            </w:r>
            <w:r w:rsidRPr="004714C6">
              <w:rPr>
                <w:color w:val="000000"/>
                <w:kern w:val="2"/>
                <w:sz w:val="24"/>
                <w:szCs w:val="24"/>
                <w14:ligatures w14:val="standardContextual"/>
              </w:rPr>
              <w:t>dabigatranetexilat og</w:t>
            </w:r>
            <w:r w:rsidRPr="004714C6">
              <w:rPr>
                <w:kern w:val="2"/>
                <w:sz w:val="24"/>
                <w:szCs w:val="24"/>
                <w14:ligatures w14:val="standardContextual"/>
              </w:rPr>
              <w:t xml:space="preserve"> pantoprazol så man</w:t>
            </w:r>
            <w:r w:rsidRPr="004714C6">
              <w:rPr>
                <w:spacing w:val="-3"/>
                <w:kern w:val="2"/>
                <w:sz w:val="24"/>
                <w:szCs w:val="24"/>
                <w14:ligatures w14:val="standardContextual"/>
              </w:rPr>
              <w:t xml:space="preserve"> </w:t>
            </w:r>
            <w:r w:rsidRPr="004714C6">
              <w:rPr>
                <w:color w:val="000000"/>
                <w:kern w:val="2"/>
                <w:sz w:val="24"/>
                <w:szCs w:val="24"/>
                <w14:ligatures w14:val="standardContextual"/>
              </w:rPr>
              <w:t xml:space="preserve">et </w:t>
            </w:r>
            <w:r w:rsidRPr="004714C6">
              <w:rPr>
                <w:kern w:val="2"/>
                <w:sz w:val="24"/>
                <w:szCs w:val="24"/>
                <w14:ligatures w14:val="standardContextual"/>
              </w:rPr>
              <w:t xml:space="preserve">fald i dabigatran AUC på ca. 30 %. Pantoprazol og andre protonpumpehæmmere (PPI) blev </w:t>
            </w:r>
            <w:r w:rsidRPr="004714C6">
              <w:rPr>
                <w:spacing w:val="-4"/>
                <w:kern w:val="2"/>
                <w:sz w:val="24"/>
                <w:szCs w:val="24"/>
                <w14:ligatures w14:val="standardContextual"/>
              </w:rPr>
              <w:t xml:space="preserve">givet sammen </w:t>
            </w:r>
            <w:r w:rsidRPr="004714C6">
              <w:rPr>
                <w:kern w:val="2"/>
                <w:sz w:val="24"/>
                <w:szCs w:val="24"/>
                <w14:ligatures w14:val="standardContextual"/>
              </w:rPr>
              <w:t xml:space="preserve">med </w:t>
            </w:r>
            <w:r w:rsidRPr="004714C6">
              <w:rPr>
                <w:color w:val="000000"/>
                <w:kern w:val="2"/>
                <w:sz w:val="24"/>
                <w:szCs w:val="24"/>
                <w14:ligatures w14:val="standardContextual"/>
              </w:rPr>
              <w:t xml:space="preserve">dabigatranetexilat </w:t>
            </w:r>
            <w:r w:rsidRPr="004714C6">
              <w:rPr>
                <w:kern w:val="2"/>
                <w:sz w:val="24"/>
                <w:szCs w:val="24"/>
                <w14:ligatures w14:val="standardContextual"/>
              </w:rPr>
              <w:t xml:space="preserve">i kliniske studier, og samtidig PPI-behandling syntes ikke at reducere virkningen af </w:t>
            </w:r>
            <w:r w:rsidRPr="004714C6">
              <w:rPr>
                <w:iCs/>
                <w:kern w:val="2"/>
                <w:sz w:val="24"/>
                <w:szCs w:val="24"/>
                <w14:ligatures w14:val="standardContextual"/>
              </w:rPr>
              <w:t xml:space="preserve">Dabigatran etexilate </w:t>
            </w:r>
            <w:r w:rsidR="0072235D" w:rsidRPr="004714C6">
              <w:rPr>
                <w:iCs/>
                <w:kern w:val="2"/>
                <w:sz w:val="24"/>
                <w:szCs w:val="24"/>
                <w14:ligatures w14:val="standardContextual"/>
              </w:rPr>
              <w:t>"Medical Valley"</w:t>
            </w:r>
            <w:r w:rsidRPr="004714C6">
              <w:rPr>
                <w:kern w:val="2"/>
                <w:sz w:val="24"/>
                <w:szCs w:val="24"/>
                <w14:ligatures w14:val="standardContextual"/>
              </w:rPr>
              <w:t>.</w:t>
            </w:r>
          </w:p>
        </w:tc>
      </w:tr>
      <w:tr w:rsidR="00A76826" w:rsidRPr="004714C6" w14:paraId="5DCF9BD9" w14:textId="77777777" w:rsidTr="00FB1973">
        <w:trPr>
          <w:trHeight w:val="20"/>
        </w:trPr>
        <w:tc>
          <w:tcPr>
            <w:tcW w:w="867" w:type="pct"/>
            <w:tcBorders>
              <w:top w:val="single" w:sz="4" w:space="0" w:color="000000"/>
              <w:left w:val="single" w:sz="4" w:space="0" w:color="000000"/>
              <w:bottom w:val="single" w:sz="4" w:space="0" w:color="000000"/>
              <w:right w:val="single" w:sz="4" w:space="0" w:color="000000"/>
            </w:tcBorders>
            <w:hideMark/>
          </w:tcPr>
          <w:p w14:paraId="65F9D2D7" w14:textId="77777777" w:rsidR="00A76826" w:rsidRPr="004714C6" w:rsidRDefault="00A76826" w:rsidP="00FB1973">
            <w:pPr>
              <w:widowControl w:val="0"/>
              <w:autoSpaceDE w:val="0"/>
              <w:autoSpaceDN w:val="0"/>
              <w:adjustRightInd w:val="0"/>
              <w:ind w:left="102" w:right="-20"/>
              <w:jc w:val="both"/>
              <w:rPr>
                <w:kern w:val="2"/>
                <w:sz w:val="24"/>
                <w:szCs w:val="24"/>
                <w14:ligatures w14:val="standardContextual"/>
              </w:rPr>
            </w:pPr>
            <w:r w:rsidRPr="004714C6">
              <w:rPr>
                <w:kern w:val="2"/>
                <w:sz w:val="24"/>
                <w:szCs w:val="24"/>
                <w14:ligatures w14:val="standardContextual"/>
              </w:rPr>
              <w:t>Ranitidin</w:t>
            </w:r>
          </w:p>
        </w:tc>
        <w:tc>
          <w:tcPr>
            <w:tcW w:w="4133" w:type="pct"/>
            <w:tcBorders>
              <w:top w:val="single" w:sz="4" w:space="0" w:color="000000"/>
              <w:left w:val="single" w:sz="4" w:space="0" w:color="000000"/>
              <w:bottom w:val="single" w:sz="4" w:space="0" w:color="000000"/>
              <w:right w:val="single" w:sz="4" w:space="0" w:color="000000"/>
            </w:tcBorders>
            <w:hideMark/>
          </w:tcPr>
          <w:p w14:paraId="3C1A738C" w14:textId="77777777" w:rsidR="00A76826" w:rsidRPr="004714C6" w:rsidRDefault="00A76826" w:rsidP="00FB1973">
            <w:pPr>
              <w:widowControl w:val="0"/>
              <w:autoSpaceDE w:val="0"/>
              <w:autoSpaceDN w:val="0"/>
              <w:adjustRightInd w:val="0"/>
              <w:ind w:left="102" w:right="317"/>
              <w:rPr>
                <w:kern w:val="2"/>
                <w:sz w:val="24"/>
                <w:szCs w:val="24"/>
                <w14:ligatures w14:val="standardContextual"/>
              </w:rPr>
            </w:pPr>
            <w:r w:rsidRPr="004714C6">
              <w:rPr>
                <w:kern w:val="2"/>
                <w:sz w:val="24"/>
                <w:szCs w:val="24"/>
                <w14:ligatures w14:val="standardContextual"/>
              </w:rPr>
              <w:t xml:space="preserve">Samtidig indtagelse af ranitidin og </w:t>
            </w:r>
            <w:r w:rsidRPr="004714C6">
              <w:rPr>
                <w:color w:val="000000"/>
                <w:kern w:val="2"/>
                <w:sz w:val="24"/>
                <w:szCs w:val="24"/>
                <w14:ligatures w14:val="standardContextual"/>
              </w:rPr>
              <w:t xml:space="preserve">dabigatranetexilat </w:t>
            </w:r>
            <w:r w:rsidRPr="004714C6">
              <w:rPr>
                <w:kern w:val="2"/>
                <w:sz w:val="24"/>
                <w:szCs w:val="24"/>
                <w14:ligatures w14:val="standardContextual"/>
              </w:rPr>
              <w:t>havde ingen klinisk relevant virkning på omfanget af dabigatran</w:t>
            </w:r>
            <w:r w:rsidRPr="004714C6">
              <w:rPr>
                <w:kern w:val="2"/>
                <w:sz w:val="24"/>
                <w:szCs w:val="24"/>
                <w14:ligatures w14:val="standardContextual"/>
              </w:rPr>
              <w:noBreakHyphen/>
              <w:t>absorptionen.</w:t>
            </w:r>
          </w:p>
        </w:tc>
      </w:tr>
    </w:tbl>
    <w:p w14:paraId="009AB372" w14:textId="77777777" w:rsidR="00A76826" w:rsidRPr="004714C6" w:rsidRDefault="00A76826" w:rsidP="00DC3FBF">
      <w:pPr>
        <w:ind w:left="851"/>
        <w:rPr>
          <w:sz w:val="24"/>
          <w:szCs w:val="24"/>
        </w:rPr>
      </w:pPr>
    </w:p>
    <w:p w14:paraId="49E2C733" w14:textId="77777777" w:rsidR="00A76826" w:rsidRPr="004714C6" w:rsidRDefault="00A76826" w:rsidP="00FB1973">
      <w:pPr>
        <w:ind w:left="851"/>
        <w:rPr>
          <w:sz w:val="24"/>
          <w:szCs w:val="24"/>
          <w:u w:val="single"/>
        </w:rPr>
      </w:pPr>
      <w:r w:rsidRPr="004714C6">
        <w:rPr>
          <w:sz w:val="24"/>
          <w:szCs w:val="24"/>
          <w:u w:val="single"/>
        </w:rPr>
        <w:t>Interaktioner knyttet til dabigatranetexilats og dabigatrans metaboliske profil</w:t>
      </w:r>
    </w:p>
    <w:p w14:paraId="1C00BE81" w14:textId="77777777" w:rsidR="00A76826" w:rsidRPr="004714C6" w:rsidRDefault="00A76826" w:rsidP="00FB1973">
      <w:pPr>
        <w:ind w:left="851"/>
        <w:rPr>
          <w:sz w:val="24"/>
          <w:szCs w:val="24"/>
        </w:rPr>
      </w:pPr>
    </w:p>
    <w:p w14:paraId="63992B09" w14:textId="77777777" w:rsidR="00A76826" w:rsidRPr="004714C6" w:rsidRDefault="00A76826" w:rsidP="00FB1973">
      <w:pPr>
        <w:ind w:left="851"/>
        <w:rPr>
          <w:sz w:val="24"/>
          <w:szCs w:val="24"/>
        </w:rPr>
      </w:pPr>
      <w:r w:rsidRPr="004714C6">
        <w:rPr>
          <w:sz w:val="24"/>
          <w:szCs w:val="24"/>
        </w:rPr>
        <w:t>Dabigatranetexilat og dabigatran metaboliseres ikke via cytokrom P450</w:t>
      </w:r>
      <w:r w:rsidRPr="004714C6">
        <w:rPr>
          <w:sz w:val="24"/>
          <w:szCs w:val="24"/>
        </w:rPr>
        <w:noBreakHyphen/>
        <w:t xml:space="preserve">systemet og har ingen virkning </w:t>
      </w:r>
      <w:r w:rsidRPr="004714C6">
        <w:rPr>
          <w:i/>
          <w:iCs/>
          <w:sz w:val="24"/>
          <w:szCs w:val="24"/>
        </w:rPr>
        <w:t>in vitro</w:t>
      </w:r>
      <w:r w:rsidRPr="004714C6">
        <w:rPr>
          <w:sz w:val="24"/>
          <w:szCs w:val="24"/>
        </w:rPr>
        <w:t xml:space="preserve"> på humane cytokrom P450-enzymer. Der forventes derfor ingen dertil relaterede lægemiddelinteraktioner med dabigatran.</w:t>
      </w:r>
    </w:p>
    <w:p w14:paraId="0614DFC0" w14:textId="77777777" w:rsidR="00A76826" w:rsidRPr="004714C6" w:rsidRDefault="00A76826" w:rsidP="00FB1973">
      <w:pPr>
        <w:ind w:left="851"/>
        <w:rPr>
          <w:sz w:val="24"/>
          <w:szCs w:val="24"/>
        </w:rPr>
      </w:pPr>
    </w:p>
    <w:p w14:paraId="69D8764E" w14:textId="77777777" w:rsidR="00A76826" w:rsidRPr="004714C6" w:rsidRDefault="00A76826" w:rsidP="00FB1973">
      <w:pPr>
        <w:ind w:left="851"/>
        <w:rPr>
          <w:sz w:val="24"/>
          <w:szCs w:val="24"/>
          <w:u w:val="single"/>
        </w:rPr>
      </w:pPr>
      <w:bookmarkStart w:id="4" w:name="_Hlk153783652"/>
      <w:r w:rsidRPr="004714C6">
        <w:rPr>
          <w:sz w:val="24"/>
          <w:szCs w:val="24"/>
          <w:u w:val="single"/>
        </w:rPr>
        <w:t>Pædiatrisk population</w:t>
      </w:r>
      <w:bookmarkEnd w:id="4"/>
    </w:p>
    <w:p w14:paraId="303F78F6" w14:textId="77777777" w:rsidR="00A76826" w:rsidRPr="004714C6" w:rsidRDefault="00A76826" w:rsidP="00FB1973">
      <w:pPr>
        <w:ind w:left="851"/>
        <w:rPr>
          <w:sz w:val="24"/>
          <w:szCs w:val="24"/>
        </w:rPr>
      </w:pPr>
    </w:p>
    <w:p w14:paraId="0E103B0E" w14:textId="77777777" w:rsidR="00A76826" w:rsidRPr="004714C6" w:rsidRDefault="00A76826" w:rsidP="00FB1973">
      <w:pPr>
        <w:ind w:left="851"/>
        <w:rPr>
          <w:sz w:val="24"/>
          <w:szCs w:val="24"/>
        </w:rPr>
      </w:pPr>
      <w:r w:rsidRPr="004714C6">
        <w:rPr>
          <w:noProof/>
          <w:sz w:val="24"/>
          <w:szCs w:val="24"/>
        </w:rPr>
        <w:t>Interaktionsstudier er kun udført hos voksne.</w:t>
      </w:r>
    </w:p>
    <w:p w14:paraId="051059CB" w14:textId="77777777" w:rsidR="009260DE" w:rsidRPr="004714C6" w:rsidRDefault="009260DE" w:rsidP="00FB1973">
      <w:pPr>
        <w:ind w:left="851"/>
        <w:rPr>
          <w:sz w:val="24"/>
          <w:szCs w:val="24"/>
        </w:rPr>
      </w:pPr>
    </w:p>
    <w:p w14:paraId="5F516C6D" w14:textId="77777777" w:rsidR="009260DE" w:rsidRPr="004714C6" w:rsidRDefault="009260DE" w:rsidP="009260DE">
      <w:pPr>
        <w:tabs>
          <w:tab w:val="left" w:pos="851"/>
        </w:tabs>
        <w:ind w:left="851" w:hanging="851"/>
        <w:rPr>
          <w:b/>
          <w:sz w:val="24"/>
          <w:szCs w:val="24"/>
        </w:rPr>
      </w:pPr>
      <w:r w:rsidRPr="004714C6">
        <w:rPr>
          <w:b/>
          <w:sz w:val="24"/>
          <w:szCs w:val="24"/>
        </w:rPr>
        <w:t>4.6</w:t>
      </w:r>
      <w:r w:rsidRPr="004714C6">
        <w:rPr>
          <w:b/>
          <w:sz w:val="24"/>
          <w:szCs w:val="24"/>
        </w:rPr>
        <w:tab/>
      </w:r>
      <w:r w:rsidR="0071241E" w:rsidRPr="004714C6">
        <w:rPr>
          <w:b/>
          <w:sz w:val="24"/>
          <w:szCs w:val="24"/>
        </w:rPr>
        <w:t>Fertilitet, g</w:t>
      </w:r>
      <w:r w:rsidRPr="004714C6">
        <w:rPr>
          <w:b/>
          <w:sz w:val="24"/>
          <w:szCs w:val="24"/>
        </w:rPr>
        <w:t>raviditet og amning</w:t>
      </w:r>
    </w:p>
    <w:p w14:paraId="33A614D6" w14:textId="77777777" w:rsidR="00DC3FBF" w:rsidRPr="004714C6" w:rsidRDefault="00DC3FBF" w:rsidP="00FB1973">
      <w:pPr>
        <w:ind w:left="851"/>
        <w:rPr>
          <w:sz w:val="24"/>
          <w:szCs w:val="24"/>
        </w:rPr>
      </w:pPr>
    </w:p>
    <w:p w14:paraId="68E99911" w14:textId="2E7E0582" w:rsidR="00A76826" w:rsidRPr="004714C6" w:rsidRDefault="00A76826" w:rsidP="00FB1973">
      <w:pPr>
        <w:ind w:left="851"/>
        <w:rPr>
          <w:sz w:val="24"/>
          <w:szCs w:val="24"/>
          <w:u w:val="single"/>
        </w:rPr>
      </w:pPr>
      <w:r w:rsidRPr="004714C6">
        <w:rPr>
          <w:sz w:val="24"/>
          <w:szCs w:val="24"/>
          <w:u w:val="single"/>
        </w:rPr>
        <w:t>Fertile kvinder</w:t>
      </w:r>
    </w:p>
    <w:p w14:paraId="64A2140A" w14:textId="77777777" w:rsidR="00A76826" w:rsidRPr="004714C6" w:rsidRDefault="00A76826" w:rsidP="00FB1973">
      <w:pPr>
        <w:ind w:left="851"/>
        <w:rPr>
          <w:sz w:val="24"/>
          <w:szCs w:val="24"/>
        </w:rPr>
      </w:pPr>
    </w:p>
    <w:p w14:paraId="38E7AEEE" w14:textId="24ED98CB" w:rsidR="00A76826" w:rsidRPr="004714C6" w:rsidRDefault="00A76826" w:rsidP="00FB1973">
      <w:pPr>
        <w:ind w:left="851"/>
        <w:rPr>
          <w:sz w:val="24"/>
          <w:szCs w:val="24"/>
        </w:rPr>
      </w:pPr>
      <w:r w:rsidRPr="004714C6">
        <w:rPr>
          <w:sz w:val="24"/>
          <w:szCs w:val="24"/>
        </w:rPr>
        <w:t xml:space="preserve">Fertile kvinder bør undgå at blive gravide, mens de er i behandling med </w:t>
      </w:r>
      <w:r w:rsidRPr="004714C6">
        <w:rPr>
          <w:iCs/>
          <w:sz w:val="24"/>
          <w:szCs w:val="24"/>
        </w:rPr>
        <w:t xml:space="preserve">Dabigatran etexilate </w:t>
      </w:r>
      <w:r w:rsidR="0072235D" w:rsidRPr="004714C6">
        <w:rPr>
          <w:iCs/>
          <w:sz w:val="24"/>
          <w:szCs w:val="24"/>
        </w:rPr>
        <w:t>"Medical Valley"</w:t>
      </w:r>
      <w:r w:rsidRPr="004714C6">
        <w:rPr>
          <w:sz w:val="24"/>
          <w:szCs w:val="24"/>
        </w:rPr>
        <w:t>.</w:t>
      </w:r>
    </w:p>
    <w:p w14:paraId="2B2EBE7F" w14:textId="5D9400C8" w:rsidR="00326117" w:rsidRDefault="00326117">
      <w:pPr>
        <w:rPr>
          <w:sz w:val="24"/>
          <w:szCs w:val="24"/>
        </w:rPr>
      </w:pPr>
      <w:r>
        <w:rPr>
          <w:sz w:val="24"/>
          <w:szCs w:val="24"/>
        </w:rPr>
        <w:br w:type="page"/>
      </w:r>
    </w:p>
    <w:p w14:paraId="11EEEC80" w14:textId="77777777" w:rsidR="00A76826" w:rsidRPr="004714C6" w:rsidRDefault="00A76826" w:rsidP="00FB1973">
      <w:pPr>
        <w:ind w:left="851"/>
        <w:rPr>
          <w:sz w:val="24"/>
          <w:szCs w:val="24"/>
        </w:rPr>
      </w:pPr>
    </w:p>
    <w:p w14:paraId="3B4EE667" w14:textId="77777777" w:rsidR="00A76826" w:rsidRPr="004714C6" w:rsidRDefault="00A76826" w:rsidP="00FB1973">
      <w:pPr>
        <w:ind w:left="851"/>
        <w:rPr>
          <w:sz w:val="24"/>
          <w:szCs w:val="24"/>
          <w:u w:val="single"/>
        </w:rPr>
      </w:pPr>
      <w:r w:rsidRPr="004714C6">
        <w:rPr>
          <w:sz w:val="24"/>
          <w:szCs w:val="24"/>
          <w:u w:val="single"/>
        </w:rPr>
        <w:t>Graviditet</w:t>
      </w:r>
    </w:p>
    <w:p w14:paraId="5CE9D635" w14:textId="77777777" w:rsidR="00A76826" w:rsidRPr="004714C6" w:rsidRDefault="00A76826" w:rsidP="00FB1973">
      <w:pPr>
        <w:ind w:left="851"/>
        <w:rPr>
          <w:sz w:val="24"/>
          <w:szCs w:val="24"/>
        </w:rPr>
      </w:pPr>
    </w:p>
    <w:p w14:paraId="11CB9276" w14:textId="77777777" w:rsidR="00A76826" w:rsidRPr="004714C6" w:rsidRDefault="00A76826" w:rsidP="00FB1973">
      <w:pPr>
        <w:ind w:left="851"/>
        <w:rPr>
          <w:sz w:val="24"/>
          <w:szCs w:val="24"/>
        </w:rPr>
      </w:pPr>
      <w:r w:rsidRPr="004714C6">
        <w:rPr>
          <w:sz w:val="24"/>
          <w:szCs w:val="24"/>
        </w:rPr>
        <w:t>Der er utilstrækkelige data fra anvendelse af dabigatranetexilat til gravide kvinder.</w:t>
      </w:r>
    </w:p>
    <w:p w14:paraId="49BE7F39" w14:textId="32937B0F" w:rsidR="00A76826" w:rsidRPr="004714C6" w:rsidRDefault="00A76826" w:rsidP="00FB1973">
      <w:pPr>
        <w:ind w:left="851"/>
        <w:rPr>
          <w:sz w:val="24"/>
          <w:szCs w:val="24"/>
        </w:rPr>
      </w:pPr>
      <w:r w:rsidRPr="004714C6">
        <w:rPr>
          <w:sz w:val="24"/>
          <w:szCs w:val="24"/>
        </w:rPr>
        <w:t xml:space="preserve">Dyrestudier har påvist reproduktionstoksicitet (se pkt. 5.3). Den potentielle risiko hos mennesker kendes ikke. </w:t>
      </w:r>
      <w:r w:rsidRPr="004714C6">
        <w:rPr>
          <w:iCs/>
          <w:sz w:val="24"/>
          <w:szCs w:val="24"/>
        </w:rPr>
        <w:t xml:space="preserve">Dabigatran etexilate </w:t>
      </w:r>
      <w:r w:rsidR="0072235D" w:rsidRPr="004714C6">
        <w:rPr>
          <w:iCs/>
          <w:sz w:val="24"/>
          <w:szCs w:val="24"/>
        </w:rPr>
        <w:t>"Medical Valley"</w:t>
      </w:r>
      <w:r w:rsidRPr="004714C6">
        <w:rPr>
          <w:sz w:val="24"/>
          <w:szCs w:val="24"/>
        </w:rPr>
        <w:t xml:space="preserve"> bør ikke anvendes under graviditeten, medmindre det er på tvingende indikation.</w:t>
      </w:r>
    </w:p>
    <w:p w14:paraId="2C239D0D" w14:textId="77777777" w:rsidR="00A76826" w:rsidRPr="004714C6" w:rsidRDefault="00A76826" w:rsidP="00FB1973">
      <w:pPr>
        <w:ind w:left="851"/>
        <w:rPr>
          <w:sz w:val="24"/>
          <w:szCs w:val="24"/>
        </w:rPr>
      </w:pPr>
    </w:p>
    <w:p w14:paraId="6D4CD26A" w14:textId="77777777" w:rsidR="00A76826" w:rsidRPr="004714C6" w:rsidRDefault="00A76826" w:rsidP="00FB1973">
      <w:pPr>
        <w:ind w:left="851"/>
        <w:rPr>
          <w:sz w:val="24"/>
          <w:szCs w:val="24"/>
          <w:u w:val="single"/>
        </w:rPr>
      </w:pPr>
      <w:r w:rsidRPr="004714C6">
        <w:rPr>
          <w:sz w:val="24"/>
          <w:szCs w:val="24"/>
          <w:u w:val="single"/>
        </w:rPr>
        <w:t>Amning</w:t>
      </w:r>
    </w:p>
    <w:p w14:paraId="37310C6B" w14:textId="77777777" w:rsidR="00A76826" w:rsidRPr="004714C6" w:rsidRDefault="00A76826" w:rsidP="00FB1973">
      <w:pPr>
        <w:ind w:left="851"/>
        <w:rPr>
          <w:sz w:val="24"/>
          <w:szCs w:val="24"/>
        </w:rPr>
      </w:pPr>
    </w:p>
    <w:p w14:paraId="6FB62B87" w14:textId="06CE1420" w:rsidR="00A76826" w:rsidRPr="004714C6" w:rsidRDefault="00A76826" w:rsidP="00FB1973">
      <w:pPr>
        <w:ind w:left="851"/>
        <w:rPr>
          <w:sz w:val="24"/>
          <w:szCs w:val="24"/>
        </w:rPr>
      </w:pPr>
      <w:r w:rsidRPr="004714C6">
        <w:rPr>
          <w:sz w:val="24"/>
          <w:szCs w:val="24"/>
        </w:rPr>
        <w:t xml:space="preserve">Der er ingen kliniske data om effekten af dabigatran på nyfødte, der ammes. Amning skal ophøre under behandling med </w:t>
      </w:r>
      <w:r w:rsidRPr="004714C6">
        <w:rPr>
          <w:iCs/>
          <w:sz w:val="24"/>
          <w:szCs w:val="24"/>
        </w:rPr>
        <w:t xml:space="preserve">Dabigatran etexilate </w:t>
      </w:r>
      <w:r w:rsidR="0072235D" w:rsidRPr="004714C6">
        <w:rPr>
          <w:iCs/>
          <w:sz w:val="24"/>
          <w:szCs w:val="24"/>
        </w:rPr>
        <w:t>"Medical Valley"</w:t>
      </w:r>
      <w:r w:rsidRPr="004714C6">
        <w:rPr>
          <w:sz w:val="24"/>
          <w:szCs w:val="24"/>
        </w:rPr>
        <w:t>.</w:t>
      </w:r>
    </w:p>
    <w:p w14:paraId="3AB0BEE6" w14:textId="77777777" w:rsidR="00A76826" w:rsidRPr="004714C6" w:rsidRDefault="00A76826" w:rsidP="00FB1973">
      <w:pPr>
        <w:ind w:left="851"/>
        <w:rPr>
          <w:sz w:val="24"/>
          <w:szCs w:val="24"/>
        </w:rPr>
      </w:pPr>
    </w:p>
    <w:p w14:paraId="299843EA" w14:textId="77777777" w:rsidR="00A76826" w:rsidRPr="004714C6" w:rsidRDefault="00A76826" w:rsidP="00FB1973">
      <w:pPr>
        <w:ind w:left="851"/>
        <w:rPr>
          <w:sz w:val="24"/>
          <w:szCs w:val="24"/>
          <w:u w:val="single"/>
        </w:rPr>
      </w:pPr>
      <w:r w:rsidRPr="004714C6">
        <w:rPr>
          <w:sz w:val="24"/>
          <w:szCs w:val="24"/>
          <w:u w:val="single"/>
        </w:rPr>
        <w:t>Fertilitet</w:t>
      </w:r>
    </w:p>
    <w:p w14:paraId="517230FD" w14:textId="77777777" w:rsidR="00A76826" w:rsidRPr="004714C6" w:rsidRDefault="00A76826" w:rsidP="00FB1973">
      <w:pPr>
        <w:ind w:left="851"/>
        <w:rPr>
          <w:sz w:val="24"/>
          <w:szCs w:val="24"/>
        </w:rPr>
      </w:pPr>
    </w:p>
    <w:p w14:paraId="24CE309B" w14:textId="77777777" w:rsidR="00A76826" w:rsidRPr="004714C6" w:rsidRDefault="00A76826" w:rsidP="00FB1973">
      <w:pPr>
        <w:ind w:left="851"/>
        <w:rPr>
          <w:sz w:val="24"/>
          <w:szCs w:val="24"/>
        </w:rPr>
      </w:pPr>
      <w:r w:rsidRPr="004714C6">
        <w:rPr>
          <w:sz w:val="24"/>
          <w:szCs w:val="24"/>
        </w:rPr>
        <w:t>Der er ingen tilgængelige data for mennesker.</w:t>
      </w:r>
    </w:p>
    <w:p w14:paraId="152B63DB" w14:textId="77777777" w:rsidR="00A76826" w:rsidRPr="004714C6" w:rsidRDefault="00A76826" w:rsidP="00FB1973">
      <w:pPr>
        <w:ind w:left="851"/>
        <w:rPr>
          <w:sz w:val="24"/>
          <w:szCs w:val="24"/>
        </w:rPr>
      </w:pPr>
    </w:p>
    <w:p w14:paraId="3CA28F37" w14:textId="77777777" w:rsidR="00A76826" w:rsidRPr="004714C6" w:rsidRDefault="00A76826" w:rsidP="00FB1973">
      <w:pPr>
        <w:ind w:left="851"/>
        <w:rPr>
          <w:sz w:val="24"/>
          <w:szCs w:val="24"/>
        </w:rPr>
      </w:pPr>
      <w:r w:rsidRPr="004714C6">
        <w:rPr>
          <w:sz w:val="24"/>
          <w:szCs w:val="24"/>
        </w:rPr>
        <w:t>I dyrestudier blev der observeret en påvirkning på hundyrs fertilitet med færre implantationer og et øget præimplantationstab ved doser på 70 mg/kg (hvilket udgør en 5 gange højere plasmaeksponering end hos patienter). Der observeredes ingen andre påvirkninger af fertiliteten hos hundyr. Der observeredes ingen påvirkning på handyrs fertilitet. Hos rotter og kaniner sås nedsat fostervægt og embryoføtal levedygtighed samt en stigning i føtale variationer ved doser, der var toksiske for moderdyret (hvilket udgør en 5 til 10 gange højere plasmaeksponering end hos patienter). I det præ- og postnatale studie sås en øget føtal mortalitet ved doser, der var toksiske for moderdyrene (en dosis svarende til en plasmaeksponering 4 gange højere end observeret hos patienter).</w:t>
      </w:r>
    </w:p>
    <w:p w14:paraId="5682DDFF" w14:textId="77777777" w:rsidR="009260DE" w:rsidRPr="004714C6" w:rsidRDefault="009260DE" w:rsidP="009260DE">
      <w:pPr>
        <w:tabs>
          <w:tab w:val="left" w:pos="851"/>
        </w:tabs>
        <w:ind w:left="851"/>
        <w:rPr>
          <w:sz w:val="24"/>
          <w:szCs w:val="24"/>
        </w:rPr>
      </w:pPr>
    </w:p>
    <w:p w14:paraId="758B739F" w14:textId="77777777" w:rsidR="009260DE" w:rsidRPr="004714C6" w:rsidRDefault="009260DE" w:rsidP="009260DE">
      <w:pPr>
        <w:tabs>
          <w:tab w:val="left" w:pos="851"/>
        </w:tabs>
        <w:ind w:left="851" w:hanging="851"/>
        <w:rPr>
          <w:b/>
          <w:sz w:val="24"/>
          <w:szCs w:val="24"/>
        </w:rPr>
      </w:pPr>
      <w:r w:rsidRPr="004714C6">
        <w:rPr>
          <w:b/>
          <w:sz w:val="24"/>
          <w:szCs w:val="24"/>
        </w:rPr>
        <w:t>4.7</w:t>
      </w:r>
      <w:r w:rsidRPr="004714C6">
        <w:rPr>
          <w:b/>
          <w:sz w:val="24"/>
          <w:szCs w:val="24"/>
        </w:rPr>
        <w:tab/>
        <w:t xml:space="preserve">Virkning på evnen til at føre motorkøretøj </w:t>
      </w:r>
      <w:r w:rsidR="0071241E" w:rsidRPr="004714C6">
        <w:rPr>
          <w:b/>
          <w:sz w:val="24"/>
          <w:szCs w:val="24"/>
        </w:rPr>
        <w:t>og</w:t>
      </w:r>
      <w:r w:rsidRPr="004714C6">
        <w:rPr>
          <w:b/>
          <w:sz w:val="24"/>
          <w:szCs w:val="24"/>
        </w:rPr>
        <w:t xml:space="preserve"> betjene maskiner</w:t>
      </w:r>
    </w:p>
    <w:p w14:paraId="1875FE1D" w14:textId="77777777" w:rsidR="00A76826" w:rsidRPr="004714C6" w:rsidRDefault="00A76826" w:rsidP="00FB1973">
      <w:pPr>
        <w:ind w:left="851"/>
        <w:rPr>
          <w:sz w:val="24"/>
          <w:szCs w:val="24"/>
        </w:rPr>
      </w:pPr>
      <w:bookmarkStart w:id="5" w:name="_Hlk153783764"/>
      <w:r w:rsidRPr="004714C6">
        <w:rPr>
          <w:sz w:val="24"/>
          <w:szCs w:val="24"/>
        </w:rPr>
        <w:t>Ikke mærkning.</w:t>
      </w:r>
    </w:p>
    <w:p w14:paraId="01A25743" w14:textId="77777777" w:rsidR="00A76826" w:rsidRPr="004714C6" w:rsidRDefault="00A76826" w:rsidP="00FB1973">
      <w:pPr>
        <w:ind w:left="851"/>
        <w:rPr>
          <w:sz w:val="24"/>
          <w:szCs w:val="24"/>
        </w:rPr>
      </w:pPr>
      <w:r w:rsidRPr="004714C6">
        <w:rPr>
          <w:sz w:val="24"/>
          <w:szCs w:val="24"/>
        </w:rPr>
        <w:t>Dabigatranetexilat påvirker ikke eller kun i ubetydelig grad evnen til at føre motorkøretøj og betjene maskiner.</w:t>
      </w:r>
      <w:bookmarkEnd w:id="5"/>
    </w:p>
    <w:p w14:paraId="7B513B93" w14:textId="77777777" w:rsidR="009260DE" w:rsidRPr="004714C6" w:rsidRDefault="009260DE" w:rsidP="009260DE">
      <w:pPr>
        <w:tabs>
          <w:tab w:val="left" w:pos="851"/>
        </w:tabs>
        <w:ind w:left="851"/>
        <w:rPr>
          <w:sz w:val="24"/>
          <w:szCs w:val="24"/>
        </w:rPr>
      </w:pPr>
    </w:p>
    <w:p w14:paraId="7667819E" w14:textId="77777777" w:rsidR="009260DE" w:rsidRPr="004714C6" w:rsidRDefault="009260DE" w:rsidP="009260DE">
      <w:pPr>
        <w:tabs>
          <w:tab w:val="left" w:pos="851"/>
        </w:tabs>
        <w:ind w:left="851" w:hanging="851"/>
        <w:rPr>
          <w:b/>
          <w:sz w:val="24"/>
          <w:szCs w:val="24"/>
        </w:rPr>
      </w:pPr>
      <w:r w:rsidRPr="004714C6">
        <w:rPr>
          <w:b/>
          <w:sz w:val="24"/>
          <w:szCs w:val="24"/>
        </w:rPr>
        <w:t>4.8</w:t>
      </w:r>
      <w:r w:rsidRPr="004714C6">
        <w:rPr>
          <w:b/>
          <w:sz w:val="24"/>
          <w:szCs w:val="24"/>
        </w:rPr>
        <w:tab/>
        <w:t>Bivirkninger</w:t>
      </w:r>
    </w:p>
    <w:p w14:paraId="37881685" w14:textId="77777777" w:rsidR="00DC3FBF" w:rsidRPr="004714C6" w:rsidRDefault="00DC3FBF" w:rsidP="00FB1973">
      <w:pPr>
        <w:ind w:left="851"/>
        <w:rPr>
          <w:sz w:val="24"/>
          <w:szCs w:val="24"/>
        </w:rPr>
      </w:pPr>
    </w:p>
    <w:p w14:paraId="7BDCFED5" w14:textId="057A1519" w:rsidR="00A76826" w:rsidRPr="004714C6" w:rsidRDefault="00A76826" w:rsidP="00FB1973">
      <w:pPr>
        <w:ind w:left="851"/>
        <w:rPr>
          <w:sz w:val="24"/>
          <w:szCs w:val="24"/>
          <w:u w:val="single"/>
        </w:rPr>
      </w:pPr>
      <w:r w:rsidRPr="004714C6">
        <w:rPr>
          <w:sz w:val="24"/>
          <w:szCs w:val="24"/>
          <w:u w:val="single"/>
        </w:rPr>
        <w:t>Opsummering af sikkerhedsprofilen</w:t>
      </w:r>
    </w:p>
    <w:p w14:paraId="68291FAC" w14:textId="77777777" w:rsidR="00A76826" w:rsidRPr="004714C6" w:rsidRDefault="00A76826" w:rsidP="00FB1973">
      <w:pPr>
        <w:ind w:left="851"/>
        <w:rPr>
          <w:sz w:val="24"/>
          <w:szCs w:val="24"/>
        </w:rPr>
      </w:pPr>
    </w:p>
    <w:p w14:paraId="0CB0F1B7" w14:textId="77777777" w:rsidR="00A76826" w:rsidRPr="004714C6" w:rsidRDefault="00A76826" w:rsidP="00FB1973">
      <w:pPr>
        <w:ind w:left="851"/>
        <w:rPr>
          <w:sz w:val="24"/>
          <w:szCs w:val="24"/>
        </w:rPr>
      </w:pPr>
      <w:r w:rsidRPr="004714C6">
        <w:rPr>
          <w:sz w:val="24"/>
          <w:szCs w:val="24"/>
        </w:rPr>
        <w:t>Dabigatranetexilat er samlet blevet evalueret i kliniske studier hos ca. 64.000 patienter, hvoraf ca. 35.000 patienter blev behandlet med dabigatranetexilat.</w:t>
      </w:r>
    </w:p>
    <w:p w14:paraId="7B359FFE" w14:textId="77777777" w:rsidR="00A76826" w:rsidRPr="004714C6" w:rsidRDefault="00A76826" w:rsidP="00FB1973">
      <w:pPr>
        <w:ind w:left="851"/>
        <w:rPr>
          <w:sz w:val="24"/>
          <w:szCs w:val="24"/>
        </w:rPr>
      </w:pPr>
    </w:p>
    <w:p w14:paraId="5347BB0C" w14:textId="77777777" w:rsidR="00A76826" w:rsidRPr="004714C6" w:rsidRDefault="00A76826" w:rsidP="00FB1973">
      <w:pPr>
        <w:ind w:left="851"/>
        <w:rPr>
          <w:sz w:val="24"/>
          <w:szCs w:val="24"/>
        </w:rPr>
      </w:pPr>
      <w:r w:rsidRPr="004714C6">
        <w:rPr>
          <w:sz w:val="24"/>
          <w:szCs w:val="24"/>
        </w:rPr>
        <w:t>Af patienterne behandlet efter elektiv hofte- eller knæoperationer (kortvarig behandling i op til 42 dage), oplevede ca. 9 % bivirkninger, af patienter med atrieflimren behandlet for at forebygge apopleksi og systemisk emboli (langvarig behandling i op til 3 år) oplevede 22 % bivirkninger, og 14 % af patienter behandlet for DVT/LE samt 15 % af patienter i forebyggende behandling for DVT/LE oplevede bivirkninger.</w:t>
      </w:r>
    </w:p>
    <w:p w14:paraId="01DFAB3B" w14:textId="77777777" w:rsidR="00A76826" w:rsidRPr="004714C6" w:rsidRDefault="00A76826" w:rsidP="00FB1973">
      <w:pPr>
        <w:ind w:left="851"/>
        <w:rPr>
          <w:sz w:val="24"/>
          <w:szCs w:val="24"/>
        </w:rPr>
      </w:pPr>
    </w:p>
    <w:p w14:paraId="7CB8B12D" w14:textId="77777777" w:rsidR="00A76826" w:rsidRPr="004714C6" w:rsidRDefault="00A76826" w:rsidP="00FB1973">
      <w:pPr>
        <w:ind w:left="851"/>
        <w:rPr>
          <w:sz w:val="24"/>
          <w:szCs w:val="24"/>
        </w:rPr>
      </w:pPr>
      <w:r w:rsidRPr="004714C6">
        <w:rPr>
          <w:sz w:val="24"/>
          <w:szCs w:val="24"/>
        </w:rPr>
        <w:t>De mest almindeligt rapporterede hændelser er blødninger, der forekommer hos ca. 14 % af patienterne behandlet kortvarigt efter elektiv hofte</w:t>
      </w:r>
      <w:r w:rsidRPr="004714C6">
        <w:rPr>
          <w:sz w:val="24"/>
          <w:szCs w:val="24"/>
        </w:rPr>
        <w:noBreakHyphen/>
        <w:t xml:space="preserve"> eller knæalloplastik, hos 16,6 % af patienterne med atrieflimren behandlet langvarigt for at forebygge apopleksi og systemisk emboli og hos 14,4 % af de voksne patienter behandlet for DVT/LE. Derudover forekom blødning hos 19,4 % af patienterne i DVT/LE-forebyggelsesstudiet RE-MEDY (voksne patienter) og hos 10,5 % af patienterne i DVT/LE-forebyggelsesstudiet RE-SONATE (voksne patienter).</w:t>
      </w:r>
    </w:p>
    <w:p w14:paraId="5471F4C6" w14:textId="77777777" w:rsidR="00A76826" w:rsidRPr="004714C6" w:rsidRDefault="00A76826" w:rsidP="00FB1973">
      <w:pPr>
        <w:ind w:left="851"/>
        <w:rPr>
          <w:sz w:val="24"/>
          <w:szCs w:val="24"/>
        </w:rPr>
      </w:pPr>
    </w:p>
    <w:p w14:paraId="32C83037" w14:textId="77777777" w:rsidR="00A76826" w:rsidRPr="004714C6" w:rsidRDefault="00A76826" w:rsidP="00FB1973">
      <w:pPr>
        <w:ind w:left="851"/>
        <w:rPr>
          <w:sz w:val="24"/>
          <w:szCs w:val="24"/>
        </w:rPr>
      </w:pPr>
      <w:r w:rsidRPr="004714C6">
        <w:rPr>
          <w:sz w:val="24"/>
          <w:szCs w:val="24"/>
        </w:rPr>
        <w:t>Eftersom patientpopulationerne behandlet for de 3 indikationer ikke er sammenlignelige, og blødningerne er fordelt over flere organklasser (SOC), er en kortfattet beskrivelse af alvorlige og alle blødninger, opdelt efter indikation, angivet i tabel 13</w:t>
      </w:r>
      <w:r w:rsidRPr="004714C6">
        <w:rPr>
          <w:sz w:val="24"/>
          <w:szCs w:val="24"/>
        </w:rPr>
        <w:noBreakHyphen/>
        <w:t>17 nedenfor.</w:t>
      </w:r>
    </w:p>
    <w:p w14:paraId="44EE711E" w14:textId="77777777" w:rsidR="00A76826" w:rsidRPr="004714C6" w:rsidRDefault="00A76826" w:rsidP="00FB1973">
      <w:pPr>
        <w:ind w:left="851"/>
        <w:rPr>
          <w:sz w:val="24"/>
          <w:szCs w:val="24"/>
        </w:rPr>
      </w:pPr>
    </w:p>
    <w:p w14:paraId="0A765C26" w14:textId="77777777" w:rsidR="00A76826" w:rsidRPr="004714C6" w:rsidRDefault="00A76826" w:rsidP="00FB1973">
      <w:pPr>
        <w:ind w:left="851"/>
        <w:rPr>
          <w:sz w:val="24"/>
          <w:szCs w:val="24"/>
        </w:rPr>
      </w:pPr>
      <w:r w:rsidRPr="004714C6">
        <w:rPr>
          <w:sz w:val="24"/>
          <w:szCs w:val="24"/>
        </w:rPr>
        <w:t>Selvom det forekom sjældent i kliniske studier, kan der opstå alvorlig eller svær blødning, der uafhængigt af placering kan have invaliderende, livstruende eller dødelig udgang.</w:t>
      </w:r>
    </w:p>
    <w:p w14:paraId="79B9E5E2" w14:textId="77777777" w:rsidR="00A76826" w:rsidRPr="004714C6" w:rsidRDefault="00A76826" w:rsidP="00FB1973">
      <w:pPr>
        <w:ind w:left="851"/>
        <w:rPr>
          <w:sz w:val="24"/>
          <w:szCs w:val="24"/>
        </w:rPr>
      </w:pPr>
    </w:p>
    <w:p w14:paraId="6BB50543" w14:textId="77777777" w:rsidR="00A76826" w:rsidRPr="004714C6" w:rsidRDefault="00A76826" w:rsidP="00FB1973">
      <w:pPr>
        <w:ind w:left="851"/>
        <w:rPr>
          <w:sz w:val="24"/>
          <w:szCs w:val="24"/>
          <w:u w:val="single"/>
        </w:rPr>
      </w:pPr>
      <w:r w:rsidRPr="004714C6">
        <w:rPr>
          <w:sz w:val="24"/>
          <w:szCs w:val="24"/>
          <w:u w:val="single"/>
        </w:rPr>
        <w:t>Tabel over bivirkninger</w:t>
      </w:r>
    </w:p>
    <w:p w14:paraId="1A97C66A" w14:textId="77777777" w:rsidR="00A76826" w:rsidRPr="004714C6" w:rsidRDefault="00A76826" w:rsidP="00FB1973">
      <w:pPr>
        <w:ind w:left="851"/>
        <w:rPr>
          <w:sz w:val="24"/>
          <w:szCs w:val="24"/>
        </w:rPr>
      </w:pPr>
    </w:p>
    <w:p w14:paraId="4BA399B6" w14:textId="77777777" w:rsidR="00A76826" w:rsidRPr="004714C6" w:rsidRDefault="00A76826" w:rsidP="00FB1973">
      <w:pPr>
        <w:ind w:left="851"/>
        <w:rPr>
          <w:sz w:val="24"/>
          <w:szCs w:val="24"/>
        </w:rPr>
      </w:pPr>
      <w:r w:rsidRPr="004714C6">
        <w:rPr>
          <w:sz w:val="24"/>
          <w:szCs w:val="24"/>
        </w:rPr>
        <w:t>Tabel 12 viser bivirkninger registreret fra studier og fra data efter markedsføring for indikationerne primær forebyggelse af VTE efter hofte- eller knæalloplastik, forebyggelse af tromboembolisk apopleksi og systemisk emboli hos patienter med atrieflimren, behandling af DVT/LE og forebyggelse af DVT/LE. Bivirkningerne er 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5E4CC6B6" w14:textId="77777777" w:rsidR="00A76826" w:rsidRPr="004714C6" w:rsidRDefault="00A76826" w:rsidP="00A76826">
      <w:pPr>
        <w:widowControl w:val="0"/>
        <w:autoSpaceDE w:val="0"/>
        <w:autoSpaceDN w:val="0"/>
        <w:adjustRightInd w:val="0"/>
        <w:spacing w:line="246" w:lineRule="exact"/>
        <w:ind w:right="-20"/>
        <w:rPr>
          <w:sz w:val="24"/>
          <w:szCs w:val="24"/>
        </w:rPr>
      </w:pPr>
    </w:p>
    <w:p w14:paraId="42702E07" w14:textId="77777777" w:rsidR="00A76826" w:rsidRPr="004714C6" w:rsidRDefault="00A76826" w:rsidP="00A76826">
      <w:pPr>
        <w:keepNext/>
        <w:widowControl w:val="0"/>
        <w:autoSpaceDE w:val="0"/>
        <w:autoSpaceDN w:val="0"/>
        <w:adjustRightInd w:val="0"/>
        <w:spacing w:line="246" w:lineRule="exact"/>
        <w:ind w:right="-20"/>
        <w:rPr>
          <w:b/>
          <w:bCs/>
          <w:sz w:val="24"/>
          <w:szCs w:val="24"/>
        </w:rPr>
      </w:pPr>
      <w:r w:rsidRPr="004714C6">
        <w:rPr>
          <w:b/>
          <w:bCs/>
          <w:sz w:val="24"/>
          <w:szCs w:val="24"/>
        </w:rPr>
        <w:t>Tabel 12:</w:t>
      </w:r>
      <w:r w:rsidRPr="004714C6">
        <w:rPr>
          <w:b/>
          <w:bCs/>
          <w:sz w:val="24"/>
          <w:szCs w:val="24"/>
        </w:rPr>
        <w:tab/>
        <w:t>Bivirkninger</w:t>
      </w:r>
    </w:p>
    <w:p w14:paraId="64A28A53"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pPr w:leftFromText="180" w:rightFromText="180" w:bottomFromText="160" w:vertAnchor="text" w:tblpY="1"/>
        <w:tblOverlap w:val="never"/>
        <w:tblW w:w="5000" w:type="pct"/>
        <w:tblCellMar>
          <w:top w:w="28" w:type="dxa"/>
          <w:left w:w="28" w:type="dxa"/>
          <w:bottom w:w="28" w:type="dxa"/>
          <w:right w:w="28" w:type="dxa"/>
        </w:tblCellMar>
        <w:tblLook w:val="04A0" w:firstRow="1" w:lastRow="0" w:firstColumn="1" w:lastColumn="0" w:noHBand="0" w:noVBand="1"/>
      </w:tblPr>
      <w:tblGrid>
        <w:gridCol w:w="3305"/>
        <w:gridCol w:w="1980"/>
        <w:gridCol w:w="2199"/>
        <w:gridCol w:w="2144"/>
      </w:tblGrid>
      <w:tr w:rsidR="00A76826" w:rsidRPr="004714C6" w14:paraId="397558A6" w14:textId="77777777" w:rsidTr="00FB1973">
        <w:tc>
          <w:tcPr>
            <w:tcW w:w="1642" w:type="pct"/>
            <w:tcBorders>
              <w:top w:val="single" w:sz="4" w:space="0" w:color="000000"/>
              <w:left w:val="single" w:sz="4" w:space="0" w:color="000000"/>
              <w:bottom w:val="nil"/>
              <w:right w:val="single" w:sz="4" w:space="0" w:color="000000"/>
            </w:tcBorders>
          </w:tcPr>
          <w:p w14:paraId="4AA16C71" w14:textId="77777777" w:rsidR="00A76826" w:rsidRPr="004714C6" w:rsidRDefault="00A76826" w:rsidP="00FB1973">
            <w:pPr>
              <w:rPr>
                <w:b/>
                <w:bCs/>
                <w:kern w:val="2"/>
                <w:sz w:val="24"/>
                <w:szCs w:val="24"/>
                <w14:ligatures w14:val="standardContextual"/>
              </w:rPr>
            </w:pPr>
          </w:p>
        </w:tc>
        <w:tc>
          <w:tcPr>
            <w:tcW w:w="3358" w:type="pct"/>
            <w:gridSpan w:val="3"/>
            <w:tcBorders>
              <w:top w:val="single" w:sz="4" w:space="0" w:color="000000"/>
              <w:left w:val="single" w:sz="4" w:space="0" w:color="000000"/>
              <w:bottom w:val="nil"/>
              <w:right w:val="single" w:sz="4" w:space="0" w:color="000000"/>
            </w:tcBorders>
            <w:hideMark/>
          </w:tcPr>
          <w:p w14:paraId="2DCA002C" w14:textId="77777777" w:rsidR="00A76826" w:rsidRPr="004714C6" w:rsidRDefault="00A76826" w:rsidP="00FB1973">
            <w:pPr>
              <w:jc w:val="center"/>
              <w:rPr>
                <w:b/>
                <w:bCs/>
                <w:kern w:val="2"/>
                <w:sz w:val="24"/>
                <w:szCs w:val="24"/>
                <w14:ligatures w14:val="standardContextual"/>
              </w:rPr>
            </w:pPr>
            <w:r w:rsidRPr="004714C6">
              <w:rPr>
                <w:b/>
                <w:bCs/>
                <w:kern w:val="2"/>
                <w:sz w:val="24"/>
                <w:szCs w:val="24"/>
                <w14:ligatures w14:val="standardContextual"/>
              </w:rPr>
              <w:t>Hyppighed</w:t>
            </w:r>
          </w:p>
        </w:tc>
      </w:tr>
      <w:tr w:rsidR="00A76826" w:rsidRPr="004714C6" w14:paraId="38DF78C8" w14:textId="77777777" w:rsidTr="00FB1973">
        <w:tc>
          <w:tcPr>
            <w:tcW w:w="1642" w:type="pct"/>
            <w:tcBorders>
              <w:top w:val="single" w:sz="4" w:space="0" w:color="000000"/>
              <w:left w:val="single" w:sz="4" w:space="0" w:color="000000"/>
              <w:bottom w:val="nil"/>
              <w:right w:val="single" w:sz="4" w:space="0" w:color="000000"/>
            </w:tcBorders>
            <w:hideMark/>
          </w:tcPr>
          <w:p w14:paraId="65D6A8C7" w14:textId="77777777" w:rsidR="00A76826" w:rsidRPr="004714C6" w:rsidRDefault="00A76826" w:rsidP="00FB1973">
            <w:pPr>
              <w:rPr>
                <w:b/>
                <w:bCs/>
                <w:kern w:val="2"/>
                <w:sz w:val="24"/>
                <w:szCs w:val="24"/>
                <w14:ligatures w14:val="standardContextual"/>
              </w:rPr>
            </w:pPr>
            <w:r w:rsidRPr="004714C6">
              <w:rPr>
                <w:b/>
                <w:bCs/>
                <w:kern w:val="2"/>
                <w:sz w:val="24"/>
                <w:szCs w:val="24"/>
                <w14:ligatures w14:val="standardContextual"/>
              </w:rPr>
              <w:t>Systemorganklasse/foretrukken term</w:t>
            </w:r>
          </w:p>
        </w:tc>
        <w:tc>
          <w:tcPr>
            <w:tcW w:w="1053" w:type="pct"/>
            <w:tcBorders>
              <w:top w:val="single" w:sz="4" w:space="0" w:color="000000"/>
              <w:left w:val="single" w:sz="4" w:space="0" w:color="000000"/>
              <w:bottom w:val="nil"/>
              <w:right w:val="single" w:sz="4" w:space="0" w:color="000000"/>
            </w:tcBorders>
            <w:vAlign w:val="center"/>
            <w:hideMark/>
          </w:tcPr>
          <w:p w14:paraId="7715B747" w14:textId="77777777" w:rsidR="00A76826" w:rsidRPr="004714C6" w:rsidRDefault="00A76826" w:rsidP="00FB1973">
            <w:pPr>
              <w:ind w:left="172" w:right="117"/>
              <w:rPr>
                <w:b/>
                <w:bCs/>
                <w:kern w:val="2"/>
                <w:sz w:val="24"/>
                <w:szCs w:val="24"/>
                <w14:ligatures w14:val="standardContextual"/>
              </w:rPr>
            </w:pPr>
            <w:r w:rsidRPr="004714C6">
              <w:rPr>
                <w:b/>
                <w:bCs/>
                <w:kern w:val="2"/>
                <w:sz w:val="24"/>
                <w:szCs w:val="24"/>
                <w14:ligatures w14:val="standardContextual"/>
              </w:rPr>
              <w:t>Primær forebyggelse af VTE efter hofte- eller knæalloplastik</w:t>
            </w:r>
          </w:p>
        </w:tc>
        <w:tc>
          <w:tcPr>
            <w:tcW w:w="1167" w:type="pct"/>
            <w:tcBorders>
              <w:top w:val="single" w:sz="4" w:space="0" w:color="000000"/>
              <w:left w:val="single" w:sz="4" w:space="0" w:color="000000"/>
              <w:bottom w:val="nil"/>
              <w:right w:val="single" w:sz="4" w:space="0" w:color="000000"/>
            </w:tcBorders>
            <w:vAlign w:val="center"/>
            <w:hideMark/>
          </w:tcPr>
          <w:p w14:paraId="17250898" w14:textId="77777777" w:rsidR="00A76826" w:rsidRPr="004714C6" w:rsidRDefault="00A76826" w:rsidP="00FB1973">
            <w:pPr>
              <w:ind w:left="172" w:right="117"/>
              <w:rPr>
                <w:b/>
                <w:bCs/>
                <w:kern w:val="2"/>
                <w:sz w:val="24"/>
                <w:szCs w:val="24"/>
                <w14:ligatures w14:val="standardContextual"/>
              </w:rPr>
            </w:pPr>
            <w:r w:rsidRPr="004714C6">
              <w:rPr>
                <w:b/>
                <w:bCs/>
                <w:kern w:val="2"/>
                <w:sz w:val="24"/>
                <w:szCs w:val="24"/>
                <w14:ligatures w14:val="standardContextual"/>
              </w:rPr>
              <w:t>Forebyggelse af apopleksi og systemisk emboli hos patienter med atrieflimren</w:t>
            </w:r>
          </w:p>
        </w:tc>
        <w:tc>
          <w:tcPr>
            <w:tcW w:w="1138" w:type="pct"/>
            <w:tcBorders>
              <w:top w:val="single" w:sz="4" w:space="0" w:color="000000"/>
              <w:left w:val="single" w:sz="4" w:space="0" w:color="000000"/>
              <w:bottom w:val="nil"/>
              <w:right w:val="single" w:sz="4" w:space="0" w:color="000000"/>
            </w:tcBorders>
            <w:vAlign w:val="center"/>
            <w:hideMark/>
          </w:tcPr>
          <w:p w14:paraId="02C774FB" w14:textId="77777777" w:rsidR="00A76826" w:rsidRPr="004714C6" w:rsidRDefault="00A76826" w:rsidP="00FB1973">
            <w:pPr>
              <w:ind w:left="172" w:right="117"/>
              <w:rPr>
                <w:b/>
                <w:bCs/>
                <w:kern w:val="2"/>
                <w:sz w:val="24"/>
                <w:szCs w:val="24"/>
                <w14:ligatures w14:val="standardContextual"/>
              </w:rPr>
            </w:pPr>
            <w:r w:rsidRPr="004714C6">
              <w:rPr>
                <w:b/>
                <w:bCs/>
                <w:kern w:val="2"/>
                <w:sz w:val="24"/>
                <w:szCs w:val="24"/>
                <w14:ligatures w14:val="standardContextual"/>
              </w:rPr>
              <w:t>DVT/LE-behandling og forebyggelse af recidiver</w:t>
            </w:r>
          </w:p>
        </w:tc>
      </w:tr>
      <w:tr w:rsidR="00A76826" w:rsidRPr="004714C6" w14:paraId="51D13E6D" w14:textId="77777777" w:rsidTr="00FB1973">
        <w:tc>
          <w:tcPr>
            <w:tcW w:w="3862" w:type="pct"/>
            <w:gridSpan w:val="3"/>
            <w:tcBorders>
              <w:top w:val="single" w:sz="4" w:space="0" w:color="000000"/>
              <w:left w:val="single" w:sz="4" w:space="0" w:color="000000"/>
              <w:bottom w:val="single" w:sz="4" w:space="0" w:color="000000"/>
              <w:right w:val="single" w:sz="4" w:space="0" w:color="000000"/>
            </w:tcBorders>
            <w:vAlign w:val="center"/>
            <w:hideMark/>
          </w:tcPr>
          <w:p w14:paraId="702961F4" w14:textId="77777777" w:rsidR="00A76826" w:rsidRPr="004714C6" w:rsidRDefault="00A76826" w:rsidP="00FB1973">
            <w:pPr>
              <w:widowControl w:val="0"/>
              <w:autoSpaceDE w:val="0"/>
              <w:autoSpaceDN w:val="0"/>
              <w:adjustRightInd w:val="0"/>
              <w:ind w:left="172" w:right="117"/>
              <w:rPr>
                <w:b/>
                <w:bCs/>
                <w:kern w:val="2"/>
                <w:sz w:val="24"/>
                <w:szCs w:val="24"/>
                <w14:ligatures w14:val="standardContextual"/>
              </w:rPr>
            </w:pPr>
            <w:r w:rsidRPr="004714C6">
              <w:rPr>
                <w:b/>
                <w:bCs/>
                <w:kern w:val="2"/>
                <w:sz w:val="24"/>
                <w:szCs w:val="24"/>
                <w14:ligatures w14:val="standardContextual"/>
              </w:rPr>
              <w:t>Blod og lymfesystem</w:t>
            </w:r>
          </w:p>
        </w:tc>
        <w:tc>
          <w:tcPr>
            <w:tcW w:w="1138" w:type="pct"/>
            <w:tcBorders>
              <w:top w:val="single" w:sz="4" w:space="0" w:color="000000"/>
              <w:left w:val="single" w:sz="4" w:space="0" w:color="000000"/>
              <w:bottom w:val="single" w:sz="4" w:space="0" w:color="000000"/>
              <w:right w:val="single" w:sz="4" w:space="0" w:color="000000"/>
            </w:tcBorders>
            <w:vAlign w:val="center"/>
          </w:tcPr>
          <w:p w14:paraId="7E9FC18D"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67A1A348"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6354AD58"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Anæmi</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428AE95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c>
          <w:tcPr>
            <w:tcW w:w="1167" w:type="pct"/>
            <w:tcBorders>
              <w:top w:val="single" w:sz="4" w:space="0" w:color="000000"/>
              <w:left w:val="single" w:sz="4" w:space="0" w:color="000000"/>
              <w:bottom w:val="single" w:sz="4" w:space="0" w:color="auto"/>
              <w:right w:val="single" w:sz="4" w:space="0" w:color="000000"/>
            </w:tcBorders>
            <w:vAlign w:val="center"/>
            <w:hideMark/>
          </w:tcPr>
          <w:p w14:paraId="6626059E"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5BB270E3"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r>
      <w:tr w:rsidR="00A76826" w:rsidRPr="004714C6" w14:paraId="294B2905"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3F01F3CC"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Nedsat hæmoglobin</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48F2AF8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Almindelig</w:t>
            </w:r>
          </w:p>
        </w:tc>
        <w:tc>
          <w:tcPr>
            <w:tcW w:w="1167" w:type="pct"/>
            <w:tcBorders>
              <w:top w:val="single" w:sz="4" w:space="0" w:color="auto"/>
              <w:left w:val="single" w:sz="4" w:space="0" w:color="000000"/>
              <w:bottom w:val="single" w:sz="4" w:space="0" w:color="000000"/>
              <w:right w:val="single" w:sz="4" w:space="0" w:color="000000"/>
            </w:tcBorders>
            <w:vAlign w:val="center"/>
            <w:hideMark/>
          </w:tcPr>
          <w:p w14:paraId="2143ABE6"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3C266DB2"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r>
      <w:tr w:rsidR="00A76826" w:rsidRPr="004714C6" w14:paraId="5876EC7E"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4371791C"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Trombocytopeni</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73400E45"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7B706ADE"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22C0C5F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r>
      <w:tr w:rsidR="00A76826" w:rsidRPr="004714C6" w14:paraId="3CE6D4AA"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655B8938"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 xml:space="preserve">Nedsat hæmatokrit </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03AC1552"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7BBA9472"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3FDDD951"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r>
      <w:tr w:rsidR="00A76826" w:rsidRPr="004714C6" w14:paraId="6ABD54DA"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7E79483C"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Neutropeni</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0DD514C5" w14:textId="77777777" w:rsidR="00A76826" w:rsidRPr="004714C6" w:rsidRDefault="00A76826" w:rsidP="00FB1973">
            <w:pPr>
              <w:widowControl w:val="0"/>
              <w:autoSpaceDE w:val="0"/>
              <w:autoSpaceDN w:val="0"/>
              <w:adjustRightInd w:val="0"/>
              <w:ind w:left="172" w:right="117"/>
              <w:rPr>
                <w:spacing w:val="-1"/>
                <w:kern w:val="2"/>
                <w:sz w:val="24"/>
                <w:szCs w:val="24"/>
                <w14:ligatures w14:val="standardContextual"/>
              </w:rPr>
            </w:pPr>
            <w:r w:rsidRPr="004714C6">
              <w:rPr>
                <w:kern w:val="2"/>
                <w:sz w:val="24"/>
                <w:szCs w:val="24"/>
                <w14:ligatures w14:val="standardContextual"/>
              </w:rPr>
              <w:t>Ikke kendt</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428A7D7E"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55FD1FE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r>
      <w:tr w:rsidR="00A76826" w:rsidRPr="004714C6" w14:paraId="050762BF"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7C6D2607"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Agranulocytose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0258DDE5" w14:textId="77777777" w:rsidR="00A76826" w:rsidRPr="004714C6" w:rsidRDefault="00A76826" w:rsidP="00FB1973">
            <w:pPr>
              <w:widowControl w:val="0"/>
              <w:autoSpaceDE w:val="0"/>
              <w:autoSpaceDN w:val="0"/>
              <w:adjustRightInd w:val="0"/>
              <w:ind w:left="172" w:right="117"/>
              <w:rPr>
                <w:spacing w:val="-1"/>
                <w:kern w:val="2"/>
                <w:sz w:val="24"/>
                <w:szCs w:val="24"/>
                <w14:ligatures w14:val="standardContextual"/>
              </w:rPr>
            </w:pPr>
            <w:r w:rsidRPr="004714C6">
              <w:rPr>
                <w:kern w:val="2"/>
                <w:sz w:val="24"/>
                <w:szCs w:val="24"/>
                <w14:ligatures w14:val="standardContextual"/>
              </w:rPr>
              <w:t>Ikke kendt</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26455DB4"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4E288F1E"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r>
      <w:tr w:rsidR="00A76826" w:rsidRPr="004714C6" w14:paraId="5FC88C8A" w14:textId="77777777" w:rsidTr="00FB1973">
        <w:tc>
          <w:tcPr>
            <w:tcW w:w="3862" w:type="pct"/>
            <w:gridSpan w:val="3"/>
            <w:tcBorders>
              <w:top w:val="single" w:sz="4" w:space="0" w:color="000000"/>
              <w:left w:val="single" w:sz="4" w:space="0" w:color="000000"/>
              <w:bottom w:val="single" w:sz="4" w:space="0" w:color="000000"/>
              <w:right w:val="single" w:sz="4" w:space="0" w:color="000000"/>
            </w:tcBorders>
            <w:vAlign w:val="center"/>
            <w:hideMark/>
          </w:tcPr>
          <w:p w14:paraId="0763DBA2" w14:textId="77777777" w:rsidR="00A76826" w:rsidRPr="004714C6" w:rsidRDefault="00A76826" w:rsidP="00FB1973">
            <w:pPr>
              <w:widowControl w:val="0"/>
              <w:autoSpaceDE w:val="0"/>
              <w:autoSpaceDN w:val="0"/>
              <w:adjustRightInd w:val="0"/>
              <w:ind w:left="172" w:right="117"/>
              <w:rPr>
                <w:b/>
                <w:bCs/>
                <w:kern w:val="2"/>
                <w:sz w:val="24"/>
                <w:szCs w:val="24"/>
                <w14:ligatures w14:val="standardContextual"/>
              </w:rPr>
            </w:pPr>
            <w:r w:rsidRPr="004714C6">
              <w:rPr>
                <w:b/>
                <w:bCs/>
                <w:kern w:val="2"/>
                <w:sz w:val="24"/>
                <w:szCs w:val="24"/>
                <w14:ligatures w14:val="standardContextual"/>
              </w:rPr>
              <w:t>Immunsystemet</w:t>
            </w:r>
          </w:p>
        </w:tc>
        <w:tc>
          <w:tcPr>
            <w:tcW w:w="1138" w:type="pct"/>
            <w:tcBorders>
              <w:top w:val="single" w:sz="4" w:space="0" w:color="000000"/>
              <w:left w:val="single" w:sz="4" w:space="0" w:color="000000"/>
              <w:bottom w:val="single" w:sz="4" w:space="0" w:color="000000"/>
              <w:right w:val="single" w:sz="4" w:space="0" w:color="000000"/>
            </w:tcBorders>
            <w:vAlign w:val="center"/>
          </w:tcPr>
          <w:p w14:paraId="1CED89B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2EA57239"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2BC47548"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Lægemiddeloverfølsomhed</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2AD41B42"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26266D1F"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2B35164E"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r>
      <w:tr w:rsidR="00A76826" w:rsidRPr="004714C6" w14:paraId="3B2A5EF3"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1C1BBDEA"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Udslæt</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6F517F3D"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248B4112"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0D4C1766"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r>
      <w:tr w:rsidR="00A76826" w:rsidRPr="004714C6" w14:paraId="41D2BDA6"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63896146"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Pruritus</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2865A1D5"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5DFE3554"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7C50C642"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r>
      <w:tr w:rsidR="00A76826" w:rsidRPr="004714C6" w14:paraId="32538C99"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4CC263E4"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Anafylaktisk reaktion</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587F12D2"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E01D8D5"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47E8355A"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r>
      <w:tr w:rsidR="00A76826" w:rsidRPr="004714C6" w14:paraId="55D3B27F"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4A458753"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spacing w:val="-1"/>
                <w:kern w:val="2"/>
                <w:sz w:val="24"/>
                <w:szCs w:val="24"/>
                <w14:ligatures w14:val="standardContextual"/>
              </w:rPr>
              <w:t>Angioødem</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68654867"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0977BAD"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1E7050AD"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r>
      <w:tr w:rsidR="00A76826" w:rsidRPr="004714C6" w14:paraId="66D2BA21"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35738E13"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Urticaria</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2D1E43DF"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7D1E9B19"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1A310D2A"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r>
      <w:tr w:rsidR="00A76826" w:rsidRPr="004714C6" w14:paraId="77EE7B0E"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3D3B74D5"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Bronkospasme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2CFDD7FC"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2153B8C3"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23E3DEFE"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r>
      <w:tr w:rsidR="00A76826" w:rsidRPr="004714C6" w14:paraId="13928B10" w14:textId="77777777" w:rsidTr="00FB1973">
        <w:tc>
          <w:tcPr>
            <w:tcW w:w="3862" w:type="pct"/>
            <w:gridSpan w:val="3"/>
            <w:tcBorders>
              <w:top w:val="single" w:sz="4" w:space="0" w:color="000000"/>
              <w:left w:val="single" w:sz="4" w:space="0" w:color="000000"/>
              <w:bottom w:val="single" w:sz="4" w:space="0" w:color="000000"/>
              <w:right w:val="single" w:sz="4" w:space="0" w:color="000000"/>
            </w:tcBorders>
            <w:vAlign w:val="center"/>
            <w:hideMark/>
          </w:tcPr>
          <w:p w14:paraId="12F3BE8D" w14:textId="77777777" w:rsidR="00A76826" w:rsidRPr="004714C6" w:rsidRDefault="00A76826" w:rsidP="00FB1973">
            <w:pPr>
              <w:widowControl w:val="0"/>
              <w:tabs>
                <w:tab w:val="left" w:pos="657"/>
              </w:tabs>
              <w:autoSpaceDE w:val="0"/>
              <w:autoSpaceDN w:val="0"/>
              <w:adjustRightInd w:val="0"/>
              <w:ind w:left="172" w:right="117"/>
              <w:rPr>
                <w:b/>
                <w:bCs/>
                <w:kern w:val="2"/>
                <w:sz w:val="24"/>
                <w:szCs w:val="24"/>
                <w14:ligatures w14:val="standardContextual"/>
              </w:rPr>
            </w:pPr>
            <w:r w:rsidRPr="004714C6">
              <w:rPr>
                <w:b/>
                <w:bCs/>
                <w:kern w:val="2"/>
                <w:sz w:val="24"/>
                <w:szCs w:val="24"/>
                <w14:ligatures w14:val="standardContextual"/>
              </w:rPr>
              <w:t>Nervesystemet</w:t>
            </w:r>
          </w:p>
        </w:tc>
        <w:tc>
          <w:tcPr>
            <w:tcW w:w="1138" w:type="pct"/>
            <w:tcBorders>
              <w:top w:val="single" w:sz="4" w:space="0" w:color="000000"/>
              <w:left w:val="single" w:sz="4" w:space="0" w:color="000000"/>
              <w:bottom w:val="single" w:sz="4" w:space="0" w:color="000000"/>
              <w:right w:val="single" w:sz="4" w:space="0" w:color="000000"/>
            </w:tcBorders>
            <w:vAlign w:val="center"/>
          </w:tcPr>
          <w:p w14:paraId="2BE1E172"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5B6D1547"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77EDA493"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Intrakraniel blødning</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72CF8B58"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F219732"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6B2261D"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r>
      <w:tr w:rsidR="00A76826" w:rsidRPr="004714C6" w14:paraId="2EE4A60D" w14:textId="77777777" w:rsidTr="00FB1973">
        <w:tc>
          <w:tcPr>
            <w:tcW w:w="3862" w:type="pct"/>
            <w:gridSpan w:val="3"/>
            <w:tcBorders>
              <w:top w:val="single" w:sz="4" w:space="0" w:color="000000"/>
              <w:left w:val="single" w:sz="4" w:space="0" w:color="000000"/>
              <w:bottom w:val="single" w:sz="4" w:space="0" w:color="000000"/>
              <w:right w:val="single" w:sz="4" w:space="0" w:color="000000"/>
            </w:tcBorders>
            <w:vAlign w:val="center"/>
            <w:hideMark/>
          </w:tcPr>
          <w:p w14:paraId="02D63078" w14:textId="77777777" w:rsidR="00A76826" w:rsidRPr="004714C6" w:rsidRDefault="00A76826" w:rsidP="00FB1973">
            <w:pPr>
              <w:widowControl w:val="0"/>
              <w:tabs>
                <w:tab w:val="left" w:pos="657"/>
              </w:tabs>
              <w:autoSpaceDE w:val="0"/>
              <w:autoSpaceDN w:val="0"/>
              <w:adjustRightInd w:val="0"/>
              <w:ind w:left="172" w:right="117"/>
              <w:rPr>
                <w:b/>
                <w:bCs/>
                <w:kern w:val="2"/>
                <w:sz w:val="24"/>
                <w:szCs w:val="24"/>
                <w14:ligatures w14:val="standardContextual"/>
              </w:rPr>
            </w:pPr>
            <w:r w:rsidRPr="004714C6">
              <w:rPr>
                <w:b/>
                <w:bCs/>
                <w:kern w:val="2"/>
                <w:sz w:val="24"/>
                <w:szCs w:val="24"/>
                <w14:ligatures w14:val="standardContextual"/>
              </w:rPr>
              <w:t>Vaskulære sygdomme</w:t>
            </w:r>
          </w:p>
        </w:tc>
        <w:tc>
          <w:tcPr>
            <w:tcW w:w="1138" w:type="pct"/>
            <w:tcBorders>
              <w:top w:val="single" w:sz="4" w:space="0" w:color="000000"/>
              <w:left w:val="single" w:sz="4" w:space="0" w:color="000000"/>
              <w:bottom w:val="single" w:sz="4" w:space="0" w:color="000000"/>
              <w:right w:val="single" w:sz="4" w:space="0" w:color="000000"/>
            </w:tcBorders>
            <w:vAlign w:val="center"/>
          </w:tcPr>
          <w:p w14:paraId="6E0E1FBE"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2769B8AD"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14C30C07"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spacing w:val="-1"/>
                <w:kern w:val="2"/>
                <w:sz w:val="24"/>
                <w:szCs w:val="24"/>
                <w14:ligatures w14:val="standardContextual"/>
              </w:rPr>
              <w:t>Hæmatom</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19B1311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3DB47926"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4F987913"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1CCC9881"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1DDE9878"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Blødning</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7F8C0257"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3942C023"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50D1D45B"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4D808576"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7003407C"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Sårblødning</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47CDDB05"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3F581FF7" w14:textId="77777777" w:rsidR="00A76826" w:rsidRPr="004714C6" w:rsidRDefault="00A76826" w:rsidP="00FB1973">
            <w:pPr>
              <w:widowControl w:val="0"/>
              <w:tabs>
                <w:tab w:val="left" w:pos="657"/>
              </w:tabs>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c>
          <w:tcPr>
            <w:tcW w:w="1138" w:type="pct"/>
            <w:tcBorders>
              <w:top w:val="single" w:sz="4" w:space="0" w:color="000000"/>
              <w:left w:val="single" w:sz="4" w:space="0" w:color="000000"/>
              <w:bottom w:val="single" w:sz="4" w:space="0" w:color="000000"/>
              <w:right w:val="single" w:sz="4" w:space="0" w:color="000000"/>
            </w:tcBorders>
            <w:vAlign w:val="center"/>
          </w:tcPr>
          <w:p w14:paraId="32CF15B5"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3BAEA764" w14:textId="77777777" w:rsidTr="00FB1973">
        <w:tc>
          <w:tcPr>
            <w:tcW w:w="3862" w:type="pct"/>
            <w:gridSpan w:val="3"/>
            <w:tcBorders>
              <w:top w:val="single" w:sz="4" w:space="0" w:color="000000"/>
              <w:left w:val="single" w:sz="4" w:space="0" w:color="000000"/>
              <w:bottom w:val="single" w:sz="4" w:space="0" w:color="000000"/>
              <w:right w:val="single" w:sz="4" w:space="0" w:color="000000"/>
            </w:tcBorders>
            <w:vAlign w:val="center"/>
            <w:hideMark/>
          </w:tcPr>
          <w:p w14:paraId="568CEF5C" w14:textId="77777777" w:rsidR="00A76826" w:rsidRPr="004714C6" w:rsidRDefault="00A76826" w:rsidP="00FB1973">
            <w:pPr>
              <w:widowControl w:val="0"/>
              <w:autoSpaceDE w:val="0"/>
              <w:autoSpaceDN w:val="0"/>
              <w:adjustRightInd w:val="0"/>
              <w:ind w:left="172" w:right="117"/>
              <w:rPr>
                <w:b/>
                <w:bCs/>
                <w:kern w:val="2"/>
                <w:sz w:val="24"/>
                <w:szCs w:val="24"/>
                <w14:ligatures w14:val="standardContextual"/>
              </w:rPr>
            </w:pPr>
            <w:r w:rsidRPr="004714C6">
              <w:rPr>
                <w:b/>
                <w:bCs/>
                <w:kern w:val="2"/>
                <w:sz w:val="24"/>
                <w:szCs w:val="24"/>
                <w14:ligatures w14:val="standardContextual"/>
              </w:rPr>
              <w:t>Luftveje, thorax og mediastinum</w:t>
            </w:r>
          </w:p>
        </w:tc>
        <w:tc>
          <w:tcPr>
            <w:tcW w:w="1138" w:type="pct"/>
            <w:tcBorders>
              <w:top w:val="single" w:sz="4" w:space="0" w:color="000000"/>
              <w:left w:val="single" w:sz="4" w:space="0" w:color="000000"/>
              <w:bottom w:val="single" w:sz="4" w:space="0" w:color="000000"/>
              <w:right w:val="single" w:sz="4" w:space="0" w:color="000000"/>
            </w:tcBorders>
            <w:vAlign w:val="center"/>
          </w:tcPr>
          <w:p w14:paraId="77C7810C"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0C23A9B8"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36586EE3"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Næseblod</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79A2BFD8"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73A6C95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085E80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r>
      <w:tr w:rsidR="00A76826" w:rsidRPr="004714C6" w14:paraId="5A1C0DBB"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4F32A267"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Hæmoptyse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648D29D9"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68B6145"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7C1F5C12"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62AD2748" w14:textId="77777777" w:rsidTr="00FB1973">
        <w:tc>
          <w:tcPr>
            <w:tcW w:w="3862" w:type="pct"/>
            <w:gridSpan w:val="3"/>
            <w:tcBorders>
              <w:top w:val="single" w:sz="4" w:space="0" w:color="000000"/>
              <w:left w:val="single" w:sz="4" w:space="0" w:color="000000"/>
              <w:bottom w:val="single" w:sz="4" w:space="0" w:color="000000"/>
              <w:right w:val="single" w:sz="4" w:space="0" w:color="000000"/>
            </w:tcBorders>
            <w:vAlign w:val="center"/>
            <w:hideMark/>
          </w:tcPr>
          <w:p w14:paraId="0147AE0E" w14:textId="77777777" w:rsidR="00A76826" w:rsidRPr="004714C6" w:rsidRDefault="00A76826" w:rsidP="00FB1973">
            <w:pPr>
              <w:widowControl w:val="0"/>
              <w:autoSpaceDE w:val="0"/>
              <w:autoSpaceDN w:val="0"/>
              <w:adjustRightInd w:val="0"/>
              <w:ind w:left="172" w:right="117"/>
              <w:rPr>
                <w:b/>
                <w:bCs/>
                <w:kern w:val="2"/>
                <w:sz w:val="24"/>
                <w:szCs w:val="24"/>
                <w14:ligatures w14:val="standardContextual"/>
              </w:rPr>
            </w:pPr>
            <w:r w:rsidRPr="004714C6">
              <w:rPr>
                <w:b/>
                <w:bCs/>
                <w:kern w:val="2"/>
                <w:sz w:val="24"/>
                <w:szCs w:val="24"/>
                <w14:ligatures w14:val="standardContextual"/>
              </w:rPr>
              <w:t>Mave-tarm-kanalen</w:t>
            </w:r>
          </w:p>
        </w:tc>
        <w:tc>
          <w:tcPr>
            <w:tcW w:w="1138" w:type="pct"/>
            <w:tcBorders>
              <w:top w:val="single" w:sz="4" w:space="0" w:color="000000"/>
              <w:left w:val="single" w:sz="4" w:space="0" w:color="000000"/>
              <w:bottom w:val="single" w:sz="4" w:space="0" w:color="000000"/>
              <w:right w:val="single" w:sz="4" w:space="0" w:color="000000"/>
            </w:tcBorders>
            <w:vAlign w:val="center"/>
          </w:tcPr>
          <w:p w14:paraId="35ED10E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61795D6A"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27C8EC85"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spacing w:val="-2"/>
                <w:kern w:val="2"/>
                <w:sz w:val="24"/>
                <w:szCs w:val="24"/>
                <w14:ligatures w14:val="standardContextual"/>
              </w:rPr>
              <w:t>Gastrointestinal</w:t>
            </w:r>
            <w:r w:rsidRPr="004714C6">
              <w:rPr>
                <w:spacing w:val="16"/>
                <w:kern w:val="2"/>
                <w:sz w:val="24"/>
                <w:szCs w:val="24"/>
                <w14:ligatures w14:val="standardContextual"/>
              </w:rPr>
              <w:t xml:space="preserve"> </w:t>
            </w:r>
            <w:r w:rsidRPr="004714C6">
              <w:rPr>
                <w:spacing w:val="-2"/>
                <w:kern w:val="2"/>
                <w:sz w:val="24"/>
                <w:szCs w:val="24"/>
                <w14:ligatures w14:val="standardContextual"/>
              </w:rPr>
              <w:t>blødning</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62266B5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76F14F02"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2270EE79"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r>
      <w:tr w:rsidR="00A76826" w:rsidRPr="004714C6" w14:paraId="025D0864"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080193F6"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Abdominalsmerter</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3F95FFC9"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78829D6E"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45DE75E1"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63E0492D"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46179B07"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Diarré</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12A325F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7F3B3EC"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7B4A13A3"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38785378"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2E643205"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Dyspepsi</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54DFA828"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2342E52B"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585E65E8"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r>
      <w:tr w:rsidR="00A76826" w:rsidRPr="004714C6" w14:paraId="7A5B8B2A"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7B26E26E"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Kvalme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1DC98CE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582E2B0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7E360B46"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131D2A7B"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24F6CB83"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Rektal blødning</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2AEA20CE"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72F94BDC"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0E02CA2"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r>
      <w:tr w:rsidR="00A76826" w:rsidRPr="004714C6" w14:paraId="6B2F97A7"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60F36C2D"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Blødning fra hæmorider</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7589DCB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44E5B85E"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3BDEBE19"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161C5BD8"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1BD9C1F4"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Mave-tarm-sår, inklusive øsofagealt ulcus</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0BF270DB"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6EE03269"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29FAD078"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1D73ECBF"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58FC358C"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Gastroøsofagitis</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5E9F3205"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C4ED4D1"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17471817"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spacing w:val="-1"/>
                <w:kern w:val="2"/>
                <w:sz w:val="24"/>
                <w:szCs w:val="24"/>
                <w14:ligatures w14:val="standardContextual"/>
              </w:rPr>
              <w:t>Ikke almindelig</w:t>
            </w:r>
          </w:p>
        </w:tc>
      </w:tr>
      <w:tr w:rsidR="00A76826" w:rsidRPr="004714C6" w14:paraId="5F3F39E0"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034E0C52"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Gastroøsofageal reflukssygdom</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643B4A5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51A0511D"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0E549E07"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78FF15D6"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179C1D38"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Opkastning</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5B19B4D3"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043AE76F"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2CD4C9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0D9ECED1"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6CF5B7AA"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Dysfagi</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2993D797"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27C285D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C943AC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r>
      <w:tr w:rsidR="00A76826" w:rsidRPr="004714C6" w14:paraId="7D024484" w14:textId="77777777" w:rsidTr="00FB1973">
        <w:tc>
          <w:tcPr>
            <w:tcW w:w="3862" w:type="pct"/>
            <w:gridSpan w:val="3"/>
            <w:tcBorders>
              <w:top w:val="single" w:sz="4" w:space="0" w:color="000000"/>
              <w:left w:val="single" w:sz="4" w:space="0" w:color="000000"/>
              <w:bottom w:val="single" w:sz="4" w:space="0" w:color="000000"/>
              <w:right w:val="single" w:sz="4" w:space="0" w:color="000000"/>
            </w:tcBorders>
            <w:vAlign w:val="center"/>
            <w:hideMark/>
          </w:tcPr>
          <w:p w14:paraId="2070CD2B" w14:textId="77777777" w:rsidR="00A76826" w:rsidRPr="004714C6" w:rsidRDefault="00A76826" w:rsidP="00FB1973">
            <w:pPr>
              <w:widowControl w:val="0"/>
              <w:autoSpaceDE w:val="0"/>
              <w:autoSpaceDN w:val="0"/>
              <w:adjustRightInd w:val="0"/>
              <w:ind w:left="172" w:right="117"/>
              <w:rPr>
                <w:b/>
                <w:bCs/>
                <w:kern w:val="2"/>
                <w:sz w:val="24"/>
                <w:szCs w:val="24"/>
                <w14:ligatures w14:val="standardContextual"/>
              </w:rPr>
            </w:pPr>
            <w:r w:rsidRPr="004714C6">
              <w:rPr>
                <w:b/>
                <w:bCs/>
                <w:kern w:val="2"/>
                <w:sz w:val="24"/>
                <w:szCs w:val="24"/>
                <w14:ligatures w14:val="standardContextual"/>
              </w:rPr>
              <w:t>Lever og galdeveje</w:t>
            </w:r>
          </w:p>
        </w:tc>
        <w:tc>
          <w:tcPr>
            <w:tcW w:w="1138" w:type="pct"/>
            <w:tcBorders>
              <w:top w:val="single" w:sz="4" w:space="0" w:color="000000"/>
              <w:left w:val="single" w:sz="4" w:space="0" w:color="000000"/>
              <w:bottom w:val="single" w:sz="4" w:space="0" w:color="000000"/>
              <w:right w:val="single" w:sz="4" w:space="0" w:color="000000"/>
            </w:tcBorders>
            <w:vAlign w:val="center"/>
          </w:tcPr>
          <w:p w14:paraId="227BA8A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5A5D3EDF"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5B0B7616"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Unormal leverfunktion/unormal leverfunktionstest</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61BE06D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5218CEE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1CC55BBE"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2857CD4C"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4641C95A"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spacing w:val="-2"/>
                <w:kern w:val="2"/>
                <w:sz w:val="24"/>
                <w:szCs w:val="24"/>
                <w14:ligatures w14:val="standardContextual"/>
              </w:rPr>
              <w:t>Forhøjet</w:t>
            </w:r>
            <w:r w:rsidRPr="004714C6">
              <w:rPr>
                <w:kern w:val="2"/>
                <w:sz w:val="24"/>
                <w:szCs w:val="24"/>
                <w14:ligatures w14:val="standardContextual"/>
              </w:rPr>
              <w:t xml:space="preserve"> alaninaminotransferase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64D6617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0F657E3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43A83DCD"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2461D79D"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4B6B9EB2"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Forhøjet aspartataminotransferase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7AB3F471"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64B594D3"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251B5392"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570F8046"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58997820"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Forhøjede leverenzymer</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12A2588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792A8136"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6EABFCD6"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43BC3E76"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08B8D1E1"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Hyperbilirubinæmi</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35584D0D"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790BAED"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265FC95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r>
      <w:tr w:rsidR="00A76826" w:rsidRPr="004714C6" w14:paraId="2E9F7E9B" w14:textId="77777777" w:rsidTr="00FB1973">
        <w:tc>
          <w:tcPr>
            <w:tcW w:w="3862" w:type="pct"/>
            <w:gridSpan w:val="3"/>
            <w:tcBorders>
              <w:top w:val="single" w:sz="4" w:space="0" w:color="000000"/>
              <w:left w:val="single" w:sz="4" w:space="0" w:color="000000"/>
              <w:bottom w:val="single" w:sz="4" w:space="0" w:color="000000"/>
              <w:right w:val="single" w:sz="4" w:space="0" w:color="000000"/>
            </w:tcBorders>
            <w:vAlign w:val="center"/>
            <w:hideMark/>
          </w:tcPr>
          <w:p w14:paraId="27B51A9F" w14:textId="77777777" w:rsidR="00A76826" w:rsidRPr="004714C6" w:rsidRDefault="00A76826" w:rsidP="00FB1973">
            <w:pPr>
              <w:widowControl w:val="0"/>
              <w:autoSpaceDE w:val="0"/>
              <w:autoSpaceDN w:val="0"/>
              <w:adjustRightInd w:val="0"/>
              <w:ind w:left="172" w:right="117"/>
              <w:rPr>
                <w:b/>
                <w:bCs/>
                <w:kern w:val="2"/>
                <w:sz w:val="24"/>
                <w:szCs w:val="24"/>
                <w14:ligatures w14:val="standardContextual"/>
              </w:rPr>
            </w:pPr>
            <w:r w:rsidRPr="004714C6">
              <w:rPr>
                <w:b/>
                <w:bCs/>
                <w:kern w:val="2"/>
                <w:sz w:val="24"/>
                <w:szCs w:val="24"/>
                <w14:ligatures w14:val="standardContextual"/>
              </w:rPr>
              <w:t>Hud og subkutane væv</w:t>
            </w:r>
          </w:p>
        </w:tc>
        <w:tc>
          <w:tcPr>
            <w:tcW w:w="1138" w:type="pct"/>
            <w:tcBorders>
              <w:top w:val="single" w:sz="4" w:space="0" w:color="000000"/>
              <w:left w:val="single" w:sz="4" w:space="0" w:color="000000"/>
              <w:bottom w:val="single" w:sz="4" w:space="0" w:color="000000"/>
              <w:right w:val="single" w:sz="4" w:space="0" w:color="000000"/>
            </w:tcBorders>
            <w:vAlign w:val="center"/>
          </w:tcPr>
          <w:p w14:paraId="69CB12DC"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7190A407"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37C8BD60"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Blødning i huden</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2B15E72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02510CB3"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7A60E07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r>
      <w:tr w:rsidR="00A76826" w:rsidRPr="004714C6" w14:paraId="4B554928"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54F18D1D"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Alopeci</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51BF730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38AC465B"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4413EC19"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kendt</w:t>
            </w:r>
          </w:p>
        </w:tc>
      </w:tr>
      <w:tr w:rsidR="00A76826" w:rsidRPr="004714C6" w14:paraId="01E71461" w14:textId="77777777" w:rsidTr="00FB1973">
        <w:tc>
          <w:tcPr>
            <w:tcW w:w="3862" w:type="pct"/>
            <w:gridSpan w:val="3"/>
            <w:tcBorders>
              <w:top w:val="single" w:sz="4" w:space="0" w:color="000000"/>
              <w:left w:val="single" w:sz="4" w:space="0" w:color="000000"/>
              <w:bottom w:val="single" w:sz="4" w:space="0" w:color="000000"/>
              <w:right w:val="single" w:sz="4" w:space="0" w:color="000000"/>
            </w:tcBorders>
            <w:vAlign w:val="center"/>
            <w:hideMark/>
          </w:tcPr>
          <w:p w14:paraId="21E467B6" w14:textId="77777777" w:rsidR="00A76826" w:rsidRPr="004714C6" w:rsidRDefault="00A76826" w:rsidP="00FB1973">
            <w:pPr>
              <w:widowControl w:val="0"/>
              <w:autoSpaceDE w:val="0"/>
              <w:autoSpaceDN w:val="0"/>
              <w:adjustRightInd w:val="0"/>
              <w:ind w:left="172" w:right="117"/>
              <w:rPr>
                <w:b/>
                <w:bCs/>
                <w:kern w:val="2"/>
                <w:sz w:val="24"/>
                <w:szCs w:val="24"/>
                <w14:ligatures w14:val="standardContextual"/>
              </w:rPr>
            </w:pPr>
            <w:r w:rsidRPr="004714C6">
              <w:rPr>
                <w:b/>
                <w:bCs/>
                <w:kern w:val="2"/>
                <w:sz w:val="24"/>
                <w:szCs w:val="24"/>
                <w14:ligatures w14:val="standardContextual"/>
              </w:rPr>
              <w:t>Knogler, led, muskler og bindevæv</w:t>
            </w:r>
          </w:p>
        </w:tc>
        <w:tc>
          <w:tcPr>
            <w:tcW w:w="1138" w:type="pct"/>
            <w:tcBorders>
              <w:top w:val="single" w:sz="4" w:space="0" w:color="000000"/>
              <w:left w:val="single" w:sz="4" w:space="0" w:color="000000"/>
              <w:bottom w:val="single" w:sz="4" w:space="0" w:color="000000"/>
              <w:right w:val="single" w:sz="4" w:space="0" w:color="000000"/>
            </w:tcBorders>
            <w:vAlign w:val="center"/>
          </w:tcPr>
          <w:p w14:paraId="526B8556"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35E05B06"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19058271"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Hæmartrose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0369DB2F"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0F0A520D"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19FA6423"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55A6FB00" w14:textId="77777777" w:rsidTr="00FB1973">
        <w:tc>
          <w:tcPr>
            <w:tcW w:w="3862" w:type="pct"/>
            <w:gridSpan w:val="3"/>
            <w:tcBorders>
              <w:top w:val="single" w:sz="4" w:space="0" w:color="000000"/>
              <w:left w:val="single" w:sz="4" w:space="0" w:color="000000"/>
              <w:bottom w:val="single" w:sz="4" w:space="0" w:color="000000"/>
              <w:right w:val="single" w:sz="4" w:space="0" w:color="000000"/>
            </w:tcBorders>
            <w:vAlign w:val="center"/>
            <w:hideMark/>
          </w:tcPr>
          <w:p w14:paraId="7B10B384" w14:textId="77777777" w:rsidR="00A76826" w:rsidRPr="004714C6" w:rsidRDefault="00A76826" w:rsidP="00FB1973">
            <w:pPr>
              <w:widowControl w:val="0"/>
              <w:autoSpaceDE w:val="0"/>
              <w:autoSpaceDN w:val="0"/>
              <w:adjustRightInd w:val="0"/>
              <w:ind w:left="172" w:right="117"/>
              <w:rPr>
                <w:b/>
                <w:bCs/>
                <w:kern w:val="2"/>
                <w:sz w:val="24"/>
                <w:szCs w:val="24"/>
                <w14:ligatures w14:val="standardContextual"/>
              </w:rPr>
            </w:pPr>
            <w:r w:rsidRPr="004714C6">
              <w:rPr>
                <w:b/>
                <w:bCs/>
                <w:kern w:val="2"/>
                <w:sz w:val="24"/>
                <w:szCs w:val="24"/>
                <w14:ligatures w14:val="standardContextual"/>
              </w:rPr>
              <w:t>Nyrer og urinveje</w:t>
            </w:r>
          </w:p>
        </w:tc>
        <w:tc>
          <w:tcPr>
            <w:tcW w:w="1138" w:type="pct"/>
            <w:tcBorders>
              <w:top w:val="single" w:sz="4" w:space="0" w:color="000000"/>
              <w:left w:val="single" w:sz="4" w:space="0" w:color="000000"/>
              <w:bottom w:val="single" w:sz="4" w:space="0" w:color="000000"/>
              <w:right w:val="single" w:sz="4" w:space="0" w:color="000000"/>
            </w:tcBorders>
            <w:vAlign w:val="center"/>
          </w:tcPr>
          <w:p w14:paraId="4AC3D3F3"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2213883E"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01F81428"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Urogenital blødning, inklusive hæmaturi</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2529FE4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570BAE2C"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7625C56B"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Almindelig</w:t>
            </w:r>
          </w:p>
        </w:tc>
      </w:tr>
      <w:tr w:rsidR="00A76826" w:rsidRPr="004714C6" w14:paraId="5DB1FAAF" w14:textId="77777777" w:rsidTr="00FB1973">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625E7B6D" w14:textId="77777777" w:rsidR="00A76826" w:rsidRPr="004714C6" w:rsidRDefault="00A76826" w:rsidP="00FB1973">
            <w:pPr>
              <w:widowControl w:val="0"/>
              <w:autoSpaceDE w:val="0"/>
              <w:autoSpaceDN w:val="0"/>
              <w:adjustRightInd w:val="0"/>
              <w:ind w:left="172" w:right="117"/>
              <w:rPr>
                <w:b/>
                <w:bCs/>
                <w:spacing w:val="-1"/>
                <w:kern w:val="2"/>
                <w:sz w:val="24"/>
                <w:szCs w:val="24"/>
                <w14:ligatures w14:val="standardContextual"/>
              </w:rPr>
            </w:pPr>
            <w:r w:rsidRPr="004714C6">
              <w:rPr>
                <w:b/>
                <w:bCs/>
                <w:kern w:val="2"/>
                <w:sz w:val="24"/>
                <w:szCs w:val="24"/>
                <w14:ligatures w14:val="standardContextual"/>
              </w:rPr>
              <w:t>Almene symptomer og reaktioner på administrationsstedet</w:t>
            </w:r>
          </w:p>
        </w:tc>
      </w:tr>
      <w:tr w:rsidR="00A76826" w:rsidRPr="004714C6" w14:paraId="7919AA6B"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0FEAEF9B"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Blødning ved injektionsstedet</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42F6D397"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220303C"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77E7223E"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r>
      <w:tr w:rsidR="00A76826" w:rsidRPr="004714C6" w14:paraId="07C711AA"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68ABBB7C"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Blødning omkring kateter</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1F44848D"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229DDC68"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1D1D4AB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r>
      <w:tr w:rsidR="00A76826" w:rsidRPr="004714C6" w14:paraId="5FF85BA5"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7AFD646C"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Blodigt sekret</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66026FE1"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068AF34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c>
          <w:tcPr>
            <w:tcW w:w="1138" w:type="pct"/>
            <w:tcBorders>
              <w:top w:val="single" w:sz="4" w:space="0" w:color="000000"/>
              <w:left w:val="single" w:sz="4" w:space="0" w:color="000000"/>
              <w:bottom w:val="single" w:sz="4" w:space="0" w:color="000000"/>
              <w:right w:val="single" w:sz="4" w:space="0" w:color="000000"/>
            </w:tcBorders>
            <w:vAlign w:val="center"/>
          </w:tcPr>
          <w:p w14:paraId="1BA33A18"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29555BDA" w14:textId="77777777" w:rsidTr="00FB1973">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55E0BA3B" w14:textId="77777777" w:rsidR="00A76826" w:rsidRPr="004714C6" w:rsidRDefault="00A76826" w:rsidP="00FB1973">
            <w:pPr>
              <w:widowControl w:val="0"/>
              <w:autoSpaceDE w:val="0"/>
              <w:autoSpaceDN w:val="0"/>
              <w:adjustRightInd w:val="0"/>
              <w:ind w:left="172" w:right="117"/>
              <w:rPr>
                <w:b/>
                <w:bCs/>
                <w:spacing w:val="-1"/>
                <w:kern w:val="2"/>
                <w:sz w:val="24"/>
                <w:szCs w:val="24"/>
                <w14:ligatures w14:val="standardContextual"/>
              </w:rPr>
            </w:pPr>
            <w:r w:rsidRPr="004714C6">
              <w:rPr>
                <w:b/>
                <w:bCs/>
                <w:kern w:val="2"/>
                <w:sz w:val="24"/>
                <w:szCs w:val="24"/>
                <w14:ligatures w14:val="standardContextual"/>
              </w:rPr>
              <w:t>Traumer, forgiftninger og behandlingskomplikationer</w:t>
            </w:r>
          </w:p>
        </w:tc>
      </w:tr>
      <w:tr w:rsidR="00A76826" w:rsidRPr="004714C6" w14:paraId="014C5E20"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4AB17BAF" w14:textId="77777777" w:rsidR="00A76826" w:rsidRPr="004714C6" w:rsidRDefault="00A76826" w:rsidP="00FB1973">
            <w:pPr>
              <w:widowControl w:val="0"/>
              <w:autoSpaceDE w:val="0"/>
              <w:autoSpaceDN w:val="0"/>
              <w:adjustRightInd w:val="0"/>
              <w:ind w:left="282" w:right="-20"/>
              <w:rPr>
                <w:spacing w:val="3"/>
                <w:kern w:val="2"/>
                <w:sz w:val="24"/>
                <w:szCs w:val="24"/>
                <w14:ligatures w14:val="standardContextual"/>
              </w:rPr>
            </w:pPr>
            <w:r w:rsidRPr="004714C6">
              <w:rPr>
                <w:kern w:val="2"/>
                <w:sz w:val="24"/>
                <w:szCs w:val="24"/>
                <w14:ligatures w14:val="standardContextual"/>
              </w:rPr>
              <w:t>Traumatisk blødning</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15E2B8F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35DEFE7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46D555E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r>
      <w:tr w:rsidR="00A76826" w:rsidRPr="004714C6" w14:paraId="5CE6A7E8"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69C3ACBE" w14:textId="77777777" w:rsidR="00A76826" w:rsidRPr="004714C6" w:rsidRDefault="00A76826" w:rsidP="00FB1973">
            <w:pPr>
              <w:widowControl w:val="0"/>
              <w:autoSpaceDE w:val="0"/>
              <w:autoSpaceDN w:val="0"/>
              <w:adjustRightInd w:val="0"/>
              <w:ind w:left="282" w:right="-20"/>
              <w:rPr>
                <w:spacing w:val="3"/>
                <w:kern w:val="2"/>
                <w:sz w:val="24"/>
                <w:szCs w:val="24"/>
                <w14:ligatures w14:val="standardContextual"/>
              </w:rPr>
            </w:pPr>
            <w:r w:rsidRPr="004714C6">
              <w:rPr>
                <w:kern w:val="2"/>
                <w:sz w:val="24"/>
                <w:szCs w:val="24"/>
                <w14:ligatures w14:val="standardContextual"/>
              </w:rPr>
              <w:t xml:space="preserve">Blødning fra </w:t>
            </w:r>
            <w:r w:rsidRPr="004714C6">
              <w:rPr>
                <w:spacing w:val="-2"/>
                <w:kern w:val="2"/>
                <w:sz w:val="24"/>
                <w:szCs w:val="24"/>
                <w14:ligatures w14:val="standardContextual"/>
              </w:rPr>
              <w:t>incisions</w:t>
            </w:r>
            <w:r w:rsidRPr="004714C6">
              <w:rPr>
                <w:kern w:val="2"/>
                <w:sz w:val="24"/>
                <w:szCs w:val="24"/>
                <w14:ligatures w14:val="standardContextual"/>
              </w:rPr>
              <w:t>stedet</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12C6DAEE"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71C99C99"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5E89860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r>
      <w:tr w:rsidR="00A76826" w:rsidRPr="004714C6" w14:paraId="20A37702"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17C45D6E"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Hæmatom efter procedure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6340F8E2"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4E98F195"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5C78C827"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r>
      <w:tr w:rsidR="00A76826" w:rsidRPr="004714C6" w14:paraId="2CA5C585"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3A193E5A"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Blødning efter procedure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7579C621"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5BB2CC1C"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c>
          <w:tcPr>
            <w:tcW w:w="1138" w:type="pct"/>
            <w:tcBorders>
              <w:top w:val="single" w:sz="4" w:space="0" w:color="000000"/>
              <w:left w:val="single" w:sz="4" w:space="0" w:color="000000"/>
              <w:bottom w:val="single" w:sz="4" w:space="0" w:color="000000"/>
              <w:right w:val="single" w:sz="4" w:space="0" w:color="000000"/>
            </w:tcBorders>
            <w:vAlign w:val="center"/>
          </w:tcPr>
          <w:p w14:paraId="754D2C34"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p>
        </w:tc>
      </w:tr>
      <w:tr w:rsidR="00A76826" w:rsidRPr="004714C6" w14:paraId="54C5EBB5"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6E975841"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Postoperativ anæmi</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3F21A6C1"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09071EBF"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713336B0"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r>
      <w:tr w:rsidR="00A76826" w:rsidRPr="004714C6" w14:paraId="14221897"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47F05CA4"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Sekretion efter procedure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6B1EC9E8"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734AA51"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5A76A198"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r>
      <w:tr w:rsidR="00A76826" w:rsidRPr="004714C6" w14:paraId="270DB8DF"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7B16208F" w14:textId="77777777" w:rsidR="00A76826" w:rsidRPr="004714C6" w:rsidRDefault="00A76826" w:rsidP="00FB1973">
            <w:pPr>
              <w:widowControl w:val="0"/>
              <w:autoSpaceDE w:val="0"/>
              <w:autoSpaceDN w:val="0"/>
              <w:adjustRightInd w:val="0"/>
              <w:ind w:left="282" w:right="-20"/>
              <w:rPr>
                <w:kern w:val="2"/>
                <w:sz w:val="24"/>
                <w:szCs w:val="24"/>
                <w14:ligatures w14:val="standardContextual"/>
              </w:rPr>
            </w:pPr>
            <w:r w:rsidRPr="004714C6">
              <w:rPr>
                <w:kern w:val="2"/>
                <w:sz w:val="24"/>
                <w:szCs w:val="24"/>
                <w14:ligatures w14:val="standardContextual"/>
              </w:rPr>
              <w:t>Sårsekret</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1AEC07A3"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Ikke almindelig</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6BEDAB17"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17C97803"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r>
      <w:tr w:rsidR="00A76826" w:rsidRPr="004714C6" w14:paraId="6B97CA07" w14:textId="77777777" w:rsidTr="00FB1973">
        <w:tc>
          <w:tcPr>
            <w:tcW w:w="5000" w:type="pct"/>
            <w:gridSpan w:val="4"/>
            <w:tcBorders>
              <w:top w:val="single" w:sz="4" w:space="0" w:color="000000"/>
              <w:left w:val="single" w:sz="4" w:space="0" w:color="000000"/>
              <w:bottom w:val="single" w:sz="4" w:space="0" w:color="000000"/>
              <w:right w:val="single" w:sz="4" w:space="0" w:color="000000"/>
            </w:tcBorders>
            <w:vAlign w:val="center"/>
            <w:hideMark/>
          </w:tcPr>
          <w:p w14:paraId="547A1C2D" w14:textId="77777777" w:rsidR="00A76826" w:rsidRPr="004714C6" w:rsidRDefault="00A76826" w:rsidP="00FB1973">
            <w:pPr>
              <w:widowControl w:val="0"/>
              <w:autoSpaceDE w:val="0"/>
              <w:autoSpaceDN w:val="0"/>
              <w:adjustRightInd w:val="0"/>
              <w:ind w:left="172" w:right="117"/>
              <w:rPr>
                <w:b/>
                <w:bCs/>
                <w:kern w:val="2"/>
                <w:sz w:val="24"/>
                <w:szCs w:val="24"/>
                <w14:ligatures w14:val="standardContextual"/>
              </w:rPr>
            </w:pPr>
            <w:r w:rsidRPr="004714C6">
              <w:rPr>
                <w:b/>
                <w:bCs/>
                <w:kern w:val="2"/>
                <w:sz w:val="24"/>
                <w:szCs w:val="24"/>
                <w14:ligatures w14:val="standardContextual"/>
              </w:rPr>
              <w:t>Kirurgiske og medicinske procedurer</w:t>
            </w:r>
          </w:p>
        </w:tc>
      </w:tr>
      <w:tr w:rsidR="00A76826" w:rsidRPr="004714C6" w14:paraId="04B83839"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392E6D06" w14:textId="77777777" w:rsidR="00A76826" w:rsidRPr="004714C6" w:rsidRDefault="00A76826" w:rsidP="00FB1973">
            <w:pPr>
              <w:widowControl w:val="0"/>
              <w:autoSpaceDE w:val="0"/>
              <w:autoSpaceDN w:val="0"/>
              <w:adjustRightInd w:val="0"/>
              <w:ind w:left="282" w:right="-20"/>
              <w:jc w:val="both"/>
              <w:rPr>
                <w:kern w:val="2"/>
                <w:sz w:val="24"/>
                <w:szCs w:val="24"/>
                <w14:ligatures w14:val="standardContextual"/>
              </w:rPr>
            </w:pPr>
            <w:r w:rsidRPr="004714C6">
              <w:rPr>
                <w:kern w:val="2"/>
                <w:sz w:val="24"/>
                <w:szCs w:val="24"/>
                <w14:ligatures w14:val="standardContextual"/>
              </w:rPr>
              <w:t>Sårdrænage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45194A08"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763A005A"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2A2C68AB"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r>
      <w:tr w:rsidR="00A76826" w:rsidRPr="004714C6" w14:paraId="13A7B3EA" w14:textId="77777777" w:rsidTr="00FB1973">
        <w:tc>
          <w:tcPr>
            <w:tcW w:w="1642" w:type="pct"/>
            <w:tcBorders>
              <w:top w:val="single" w:sz="4" w:space="0" w:color="000000"/>
              <w:left w:val="single" w:sz="4" w:space="0" w:color="000000"/>
              <w:bottom w:val="single" w:sz="4" w:space="0" w:color="000000"/>
              <w:right w:val="single" w:sz="4" w:space="0" w:color="000000"/>
            </w:tcBorders>
            <w:hideMark/>
          </w:tcPr>
          <w:p w14:paraId="2A519CDA" w14:textId="77777777" w:rsidR="00A76826" w:rsidRPr="004714C6" w:rsidRDefault="00A76826" w:rsidP="00FB1973">
            <w:pPr>
              <w:widowControl w:val="0"/>
              <w:autoSpaceDE w:val="0"/>
              <w:autoSpaceDN w:val="0"/>
              <w:adjustRightInd w:val="0"/>
              <w:ind w:left="282" w:right="-20"/>
              <w:jc w:val="both"/>
              <w:rPr>
                <w:kern w:val="2"/>
                <w:sz w:val="24"/>
                <w:szCs w:val="24"/>
                <w14:ligatures w14:val="standardContextual"/>
              </w:rPr>
            </w:pPr>
            <w:r w:rsidRPr="004714C6">
              <w:rPr>
                <w:kern w:val="2"/>
                <w:sz w:val="24"/>
                <w:szCs w:val="24"/>
                <w14:ligatures w14:val="standardContextual"/>
              </w:rPr>
              <w:t>Drænage efter procedure</w:t>
            </w:r>
          </w:p>
        </w:tc>
        <w:tc>
          <w:tcPr>
            <w:tcW w:w="1053" w:type="pct"/>
            <w:tcBorders>
              <w:top w:val="single" w:sz="4" w:space="0" w:color="000000"/>
              <w:left w:val="single" w:sz="4" w:space="0" w:color="000000"/>
              <w:bottom w:val="single" w:sz="4" w:space="0" w:color="000000"/>
              <w:right w:val="single" w:sz="4" w:space="0" w:color="000000"/>
            </w:tcBorders>
            <w:vAlign w:val="center"/>
            <w:hideMark/>
          </w:tcPr>
          <w:p w14:paraId="17FB2F3D"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Sjælden</w:t>
            </w:r>
          </w:p>
        </w:tc>
        <w:tc>
          <w:tcPr>
            <w:tcW w:w="1167" w:type="pct"/>
            <w:tcBorders>
              <w:top w:val="single" w:sz="4" w:space="0" w:color="000000"/>
              <w:left w:val="single" w:sz="4" w:space="0" w:color="000000"/>
              <w:bottom w:val="single" w:sz="4" w:space="0" w:color="000000"/>
              <w:right w:val="single" w:sz="4" w:space="0" w:color="000000"/>
            </w:tcBorders>
            <w:vAlign w:val="center"/>
            <w:hideMark/>
          </w:tcPr>
          <w:p w14:paraId="1A4FFB0C"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c>
          <w:tcPr>
            <w:tcW w:w="1138" w:type="pct"/>
            <w:tcBorders>
              <w:top w:val="single" w:sz="4" w:space="0" w:color="000000"/>
              <w:left w:val="single" w:sz="4" w:space="0" w:color="000000"/>
              <w:bottom w:val="single" w:sz="4" w:space="0" w:color="000000"/>
              <w:right w:val="single" w:sz="4" w:space="0" w:color="000000"/>
            </w:tcBorders>
            <w:vAlign w:val="center"/>
            <w:hideMark/>
          </w:tcPr>
          <w:p w14:paraId="095EC491" w14:textId="77777777" w:rsidR="00A76826" w:rsidRPr="004714C6" w:rsidRDefault="00A76826" w:rsidP="00FB1973">
            <w:pPr>
              <w:widowControl w:val="0"/>
              <w:autoSpaceDE w:val="0"/>
              <w:autoSpaceDN w:val="0"/>
              <w:adjustRightInd w:val="0"/>
              <w:ind w:left="172" w:right="117"/>
              <w:rPr>
                <w:kern w:val="2"/>
                <w:sz w:val="24"/>
                <w:szCs w:val="24"/>
                <w14:ligatures w14:val="standardContextual"/>
              </w:rPr>
            </w:pPr>
            <w:r w:rsidRPr="004714C6">
              <w:rPr>
                <w:kern w:val="2"/>
                <w:sz w:val="24"/>
                <w:szCs w:val="24"/>
                <w14:ligatures w14:val="standardContextual"/>
              </w:rPr>
              <w:t>-</w:t>
            </w:r>
          </w:p>
        </w:tc>
      </w:tr>
    </w:tbl>
    <w:p w14:paraId="23ADC531" w14:textId="77777777" w:rsidR="00A76826" w:rsidRPr="004714C6" w:rsidRDefault="00A76826" w:rsidP="00FB1973">
      <w:pPr>
        <w:ind w:left="851"/>
        <w:rPr>
          <w:sz w:val="24"/>
          <w:szCs w:val="24"/>
        </w:rPr>
      </w:pPr>
    </w:p>
    <w:p w14:paraId="5C72B095" w14:textId="77777777" w:rsidR="00A76826" w:rsidRPr="004714C6" w:rsidRDefault="00A76826" w:rsidP="00FB1973">
      <w:pPr>
        <w:ind w:left="851"/>
        <w:rPr>
          <w:sz w:val="24"/>
          <w:szCs w:val="24"/>
          <w:u w:val="single"/>
        </w:rPr>
      </w:pPr>
      <w:r w:rsidRPr="004714C6">
        <w:rPr>
          <w:sz w:val="24"/>
          <w:szCs w:val="24"/>
          <w:u w:val="single"/>
        </w:rPr>
        <w:t>Beskrivelse af udvalgte bivirkninger</w:t>
      </w:r>
    </w:p>
    <w:p w14:paraId="36ED1E6B" w14:textId="77777777" w:rsidR="00A76826" w:rsidRPr="004714C6" w:rsidRDefault="00A76826" w:rsidP="00FB1973">
      <w:pPr>
        <w:ind w:left="851"/>
        <w:rPr>
          <w:sz w:val="24"/>
          <w:szCs w:val="24"/>
        </w:rPr>
      </w:pPr>
    </w:p>
    <w:p w14:paraId="41B4C3FD" w14:textId="77777777" w:rsidR="00A76826" w:rsidRPr="004714C6" w:rsidRDefault="00A76826" w:rsidP="00FB1973">
      <w:pPr>
        <w:ind w:left="851"/>
        <w:rPr>
          <w:i/>
          <w:iCs/>
          <w:sz w:val="24"/>
          <w:szCs w:val="24"/>
        </w:rPr>
      </w:pPr>
      <w:r w:rsidRPr="004714C6">
        <w:rPr>
          <w:i/>
          <w:iCs/>
          <w:sz w:val="24"/>
          <w:szCs w:val="24"/>
        </w:rPr>
        <w:t>Blødningsreaktioner</w:t>
      </w:r>
    </w:p>
    <w:p w14:paraId="4ECFA7F0" w14:textId="77777777" w:rsidR="00A76826" w:rsidRPr="004714C6" w:rsidRDefault="00A76826" w:rsidP="00FB1973">
      <w:pPr>
        <w:ind w:left="851"/>
        <w:rPr>
          <w:sz w:val="24"/>
          <w:szCs w:val="24"/>
        </w:rPr>
      </w:pPr>
    </w:p>
    <w:p w14:paraId="0F6A72AA" w14:textId="77777777" w:rsidR="00A76826" w:rsidRPr="004714C6" w:rsidRDefault="00A76826" w:rsidP="00FB1973">
      <w:pPr>
        <w:ind w:left="851"/>
        <w:rPr>
          <w:sz w:val="24"/>
          <w:szCs w:val="24"/>
        </w:rPr>
      </w:pPr>
      <w:r w:rsidRPr="004714C6">
        <w:rPr>
          <w:sz w:val="24"/>
          <w:szCs w:val="24"/>
        </w:rPr>
        <w:t>På grund af den farmakologiske virkningsmekanisme, kan anvendelsen af dabigatranetexilat være forbundet med en øget risiko for okkult eller åben blødning fra alle væv eller organer. Tegnene, symptomerne og sværhedsgraden (herunder dødeligt udfald) vil variere i forhold til placeringen og graden eller omfanget af blødningen og/eller anæmien. I de kliniske studier blev mukosale blødninger (f.eks. gastrointestinale, urogenitale) hyppigere observeret under langvarig behandling med dabigatranetexilat, sammenlignet med VKA-behandling. I tillæg til tilstrækkelig klinisk overvågning, er det derfor nyttigt at teste hæmoglobin/hæmatokrit i laboratoriet, for at detektere okkult blødning. Risikoen for blødninger kan være forhøjet hos visse patientgrupper, f.eks. patienter med moderat nedsat nyrefunktion og/eller i en samtidig behandling, der påvirker hæmostasen, eller med potente P-gp-inhibitorer (se pkt. 4.4 Risiko for blødning). Blødningskomplikationer kan vise sig som svaghed, bleghed, svimmelhed, hovedpine eller uforklarlig hævelse, dyspnø og uforklarligt shock.</w:t>
      </w:r>
    </w:p>
    <w:p w14:paraId="01BD9A62" w14:textId="77777777" w:rsidR="00A76826" w:rsidRPr="004714C6" w:rsidRDefault="00A76826" w:rsidP="00FB1973">
      <w:pPr>
        <w:ind w:left="851"/>
        <w:rPr>
          <w:sz w:val="24"/>
          <w:szCs w:val="24"/>
        </w:rPr>
      </w:pPr>
    </w:p>
    <w:p w14:paraId="61D86509" w14:textId="77777777" w:rsidR="00A76826" w:rsidRPr="004714C6" w:rsidRDefault="00A76826" w:rsidP="00FB1973">
      <w:pPr>
        <w:ind w:left="851"/>
        <w:rPr>
          <w:sz w:val="24"/>
          <w:szCs w:val="24"/>
        </w:rPr>
      </w:pPr>
      <w:r w:rsidRPr="004714C6">
        <w:rPr>
          <w:sz w:val="24"/>
          <w:szCs w:val="24"/>
        </w:rPr>
        <w:t>Kendte blødningskomplikationer som kompartmentsyndrom og akut nyresvigt på grund af hypoperfusion og antikoagulant-relateret nefropati hos patienter med disponerende faktorer er blevet rapporteret for dabigatranetexilat. Derfor skal muligheden for en blødning overvejes, når tilstanden for alle antikoagulerede patienter evalueres. En specifik antidot for dabigatran, idarucizumab, er tilgængelig for voksne patienter i tilfælde af ukontrolleret blødning (se pkt. 4.9).</w:t>
      </w:r>
    </w:p>
    <w:p w14:paraId="45A8F665" w14:textId="77777777" w:rsidR="00A76826" w:rsidRPr="004714C6" w:rsidRDefault="00A76826" w:rsidP="00FB1973">
      <w:pPr>
        <w:ind w:left="851"/>
        <w:rPr>
          <w:sz w:val="24"/>
          <w:szCs w:val="24"/>
        </w:rPr>
      </w:pPr>
    </w:p>
    <w:p w14:paraId="7E014F4A" w14:textId="77777777" w:rsidR="00A76826" w:rsidRPr="004714C6" w:rsidRDefault="00A76826" w:rsidP="00FB1973">
      <w:pPr>
        <w:ind w:left="851"/>
        <w:rPr>
          <w:i/>
          <w:iCs/>
          <w:sz w:val="24"/>
          <w:szCs w:val="24"/>
        </w:rPr>
      </w:pPr>
      <w:r w:rsidRPr="004714C6">
        <w:rPr>
          <w:i/>
          <w:iCs/>
          <w:sz w:val="24"/>
          <w:szCs w:val="24"/>
        </w:rPr>
        <w:t>Primær forebyggelse af VTE ved ortopædkirurgi</w:t>
      </w:r>
    </w:p>
    <w:p w14:paraId="134BB87B" w14:textId="77777777" w:rsidR="00A76826" w:rsidRPr="004714C6" w:rsidRDefault="00A76826" w:rsidP="00FB1973">
      <w:pPr>
        <w:ind w:left="851"/>
        <w:rPr>
          <w:sz w:val="24"/>
          <w:szCs w:val="24"/>
        </w:rPr>
      </w:pPr>
    </w:p>
    <w:p w14:paraId="5AF0FE0E" w14:textId="77777777" w:rsidR="00A76826" w:rsidRPr="004714C6" w:rsidRDefault="00A76826" w:rsidP="00FB1973">
      <w:pPr>
        <w:ind w:left="851"/>
        <w:rPr>
          <w:sz w:val="24"/>
          <w:szCs w:val="24"/>
        </w:rPr>
      </w:pPr>
      <w:r w:rsidRPr="004714C6">
        <w:rPr>
          <w:sz w:val="24"/>
          <w:szCs w:val="24"/>
        </w:rPr>
        <w:t>Tabel 13 viser antallet (%) af patienter, der fik bivirkningen blødning, under den VTE-forebyggende behandling i de to pivotale kliniske studier. Opdeling i henhold til dosis.</w:t>
      </w:r>
    </w:p>
    <w:p w14:paraId="6A4F41D7" w14:textId="15F396EF" w:rsidR="00326117" w:rsidRDefault="00326117">
      <w:pPr>
        <w:rPr>
          <w:sz w:val="24"/>
          <w:szCs w:val="24"/>
        </w:rPr>
      </w:pPr>
      <w:r>
        <w:rPr>
          <w:sz w:val="24"/>
          <w:szCs w:val="24"/>
        </w:rPr>
        <w:br w:type="page"/>
      </w:r>
    </w:p>
    <w:p w14:paraId="3CF21DA6" w14:textId="77777777" w:rsidR="00A76826" w:rsidRPr="004714C6" w:rsidRDefault="00A76826" w:rsidP="00FB1973">
      <w:pPr>
        <w:ind w:left="851"/>
        <w:rPr>
          <w:sz w:val="24"/>
          <w:szCs w:val="24"/>
        </w:rPr>
      </w:pPr>
    </w:p>
    <w:p w14:paraId="7D9DBE60" w14:textId="77777777" w:rsidR="00A76826" w:rsidRPr="004714C6" w:rsidRDefault="00A76826" w:rsidP="00A76826">
      <w:pPr>
        <w:keepNext/>
        <w:widowControl w:val="0"/>
        <w:autoSpaceDE w:val="0"/>
        <w:autoSpaceDN w:val="0"/>
        <w:adjustRightInd w:val="0"/>
        <w:spacing w:line="246" w:lineRule="exact"/>
        <w:ind w:right="-20"/>
        <w:rPr>
          <w:b/>
          <w:bCs/>
          <w:sz w:val="24"/>
          <w:szCs w:val="24"/>
        </w:rPr>
      </w:pPr>
      <w:r w:rsidRPr="004714C6">
        <w:rPr>
          <w:b/>
          <w:bCs/>
          <w:sz w:val="24"/>
          <w:szCs w:val="24"/>
        </w:rPr>
        <w:t>Tabel 13:</w:t>
      </w:r>
      <w:r w:rsidRPr="004714C6">
        <w:rPr>
          <w:b/>
          <w:bCs/>
          <w:sz w:val="24"/>
          <w:szCs w:val="24"/>
        </w:rPr>
        <w:tab/>
        <w:t>Antallet (%) af patienter, der fik bivirkningen blødning</w:t>
      </w:r>
    </w:p>
    <w:p w14:paraId="279D70F2"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362"/>
        <w:gridCol w:w="2422"/>
        <w:gridCol w:w="2422"/>
        <w:gridCol w:w="2422"/>
      </w:tblGrid>
      <w:tr w:rsidR="00A76826" w:rsidRPr="004714C6" w14:paraId="7864413A" w14:textId="77777777" w:rsidTr="00FB1973">
        <w:trPr>
          <w:trHeight w:val="20"/>
        </w:trPr>
        <w:tc>
          <w:tcPr>
            <w:tcW w:w="1226" w:type="pct"/>
            <w:tcBorders>
              <w:top w:val="single" w:sz="4" w:space="0" w:color="000000"/>
              <w:left w:val="single" w:sz="4" w:space="0" w:color="000000"/>
              <w:bottom w:val="single" w:sz="4" w:space="0" w:color="000000"/>
              <w:right w:val="single" w:sz="4" w:space="0" w:color="000000"/>
            </w:tcBorders>
          </w:tcPr>
          <w:p w14:paraId="5E02C85B" w14:textId="77777777" w:rsidR="00A76826" w:rsidRPr="004714C6" w:rsidRDefault="00A76826">
            <w:pPr>
              <w:widowControl w:val="0"/>
              <w:autoSpaceDE w:val="0"/>
              <w:autoSpaceDN w:val="0"/>
              <w:adjustRightInd w:val="0"/>
              <w:spacing w:line="256" w:lineRule="auto"/>
              <w:jc w:val="both"/>
              <w:rPr>
                <w:b/>
                <w:bCs/>
                <w:kern w:val="2"/>
                <w:sz w:val="24"/>
                <w:szCs w:val="24"/>
                <w14:ligatures w14:val="standardContextual"/>
              </w:rPr>
            </w:pPr>
          </w:p>
        </w:tc>
        <w:tc>
          <w:tcPr>
            <w:tcW w:w="1258" w:type="pct"/>
            <w:tcBorders>
              <w:top w:val="single" w:sz="4" w:space="0" w:color="000000"/>
              <w:left w:val="single" w:sz="4" w:space="0" w:color="000000"/>
              <w:bottom w:val="single" w:sz="4" w:space="0" w:color="000000"/>
              <w:right w:val="single" w:sz="4" w:space="0" w:color="000000"/>
            </w:tcBorders>
            <w:hideMark/>
          </w:tcPr>
          <w:p w14:paraId="2BCD4019" w14:textId="77777777" w:rsidR="00A76826" w:rsidRPr="004714C6" w:rsidRDefault="00A76826">
            <w:pPr>
              <w:widowControl w:val="0"/>
              <w:autoSpaceDE w:val="0"/>
              <w:autoSpaceDN w:val="0"/>
              <w:adjustRightInd w:val="0"/>
              <w:spacing w:before="1" w:line="256" w:lineRule="auto"/>
              <w:ind w:left="57" w:right="-20"/>
              <w:jc w:val="both"/>
              <w:rPr>
                <w:b/>
                <w:bCs/>
                <w:color w:val="000000"/>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150 mg én gang dagligt</w:t>
            </w:r>
          </w:p>
          <w:p w14:paraId="7C20CE47" w14:textId="77777777" w:rsidR="00A76826" w:rsidRPr="004714C6" w:rsidRDefault="00A76826">
            <w:pPr>
              <w:widowControl w:val="0"/>
              <w:autoSpaceDE w:val="0"/>
              <w:autoSpaceDN w:val="0"/>
              <w:adjustRightInd w:val="0"/>
              <w:spacing w:line="252" w:lineRule="exact"/>
              <w:ind w:left="57" w:right="-20"/>
              <w:jc w:val="both"/>
              <w:rPr>
                <w:b/>
                <w:bCs/>
                <w:kern w:val="2"/>
                <w:sz w:val="24"/>
                <w:szCs w:val="24"/>
                <w14:ligatures w14:val="standardContextual"/>
              </w:rPr>
            </w:pPr>
            <w:r w:rsidRPr="004714C6">
              <w:rPr>
                <w:b/>
                <w:bCs/>
                <w:kern w:val="2"/>
                <w:sz w:val="24"/>
                <w:szCs w:val="24"/>
                <w14:ligatures w14:val="standardContextual"/>
              </w:rPr>
              <w:t>N (%)</w:t>
            </w:r>
          </w:p>
        </w:tc>
        <w:tc>
          <w:tcPr>
            <w:tcW w:w="1258" w:type="pct"/>
            <w:tcBorders>
              <w:top w:val="single" w:sz="4" w:space="0" w:color="000000"/>
              <w:left w:val="single" w:sz="4" w:space="0" w:color="000000"/>
              <w:bottom w:val="single" w:sz="4" w:space="0" w:color="000000"/>
              <w:right w:val="single" w:sz="4" w:space="0" w:color="000000"/>
            </w:tcBorders>
            <w:hideMark/>
          </w:tcPr>
          <w:p w14:paraId="119679C6" w14:textId="77777777" w:rsidR="00A76826" w:rsidRPr="004714C6" w:rsidRDefault="00A76826">
            <w:pPr>
              <w:widowControl w:val="0"/>
              <w:autoSpaceDE w:val="0"/>
              <w:autoSpaceDN w:val="0"/>
              <w:adjustRightInd w:val="0"/>
              <w:spacing w:before="1" w:line="256" w:lineRule="auto"/>
              <w:ind w:left="57" w:right="-20"/>
              <w:jc w:val="both"/>
              <w:rPr>
                <w:b/>
                <w:bCs/>
                <w:color w:val="000000"/>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220 mg én gang dagligt</w:t>
            </w:r>
          </w:p>
          <w:p w14:paraId="54CA5DB2" w14:textId="77777777" w:rsidR="00A76826" w:rsidRPr="004714C6" w:rsidRDefault="00A76826">
            <w:pPr>
              <w:widowControl w:val="0"/>
              <w:autoSpaceDE w:val="0"/>
              <w:autoSpaceDN w:val="0"/>
              <w:adjustRightInd w:val="0"/>
              <w:spacing w:line="252" w:lineRule="exact"/>
              <w:ind w:left="57" w:right="-20"/>
              <w:jc w:val="both"/>
              <w:rPr>
                <w:b/>
                <w:bCs/>
                <w:kern w:val="2"/>
                <w:sz w:val="24"/>
                <w:szCs w:val="24"/>
                <w14:ligatures w14:val="standardContextual"/>
              </w:rPr>
            </w:pPr>
            <w:r w:rsidRPr="004714C6">
              <w:rPr>
                <w:b/>
                <w:bCs/>
                <w:kern w:val="2"/>
                <w:sz w:val="24"/>
                <w:szCs w:val="24"/>
                <w14:ligatures w14:val="standardContextual"/>
              </w:rPr>
              <w:t>N (%)</w:t>
            </w:r>
          </w:p>
        </w:tc>
        <w:tc>
          <w:tcPr>
            <w:tcW w:w="1258" w:type="pct"/>
            <w:tcBorders>
              <w:top w:val="single" w:sz="4" w:space="0" w:color="000000"/>
              <w:left w:val="single" w:sz="4" w:space="0" w:color="000000"/>
              <w:bottom w:val="single" w:sz="4" w:space="0" w:color="000000"/>
              <w:right w:val="single" w:sz="4" w:space="0" w:color="000000"/>
            </w:tcBorders>
          </w:tcPr>
          <w:p w14:paraId="72795B6A" w14:textId="77777777" w:rsidR="00A76826" w:rsidRPr="004714C6" w:rsidRDefault="00A76826">
            <w:pPr>
              <w:widowControl w:val="0"/>
              <w:autoSpaceDE w:val="0"/>
              <w:autoSpaceDN w:val="0"/>
              <w:adjustRightInd w:val="0"/>
              <w:spacing w:line="246" w:lineRule="exact"/>
              <w:ind w:left="57" w:right="-20"/>
              <w:jc w:val="both"/>
              <w:rPr>
                <w:b/>
                <w:bCs/>
                <w:kern w:val="2"/>
                <w:sz w:val="24"/>
                <w:szCs w:val="24"/>
                <w14:ligatures w14:val="standardContextual"/>
              </w:rPr>
            </w:pPr>
            <w:r w:rsidRPr="004714C6">
              <w:rPr>
                <w:b/>
                <w:bCs/>
                <w:kern w:val="2"/>
                <w:sz w:val="24"/>
                <w:szCs w:val="24"/>
                <w14:ligatures w14:val="standardContextual"/>
              </w:rPr>
              <w:t>Enoxaparin</w:t>
            </w:r>
          </w:p>
          <w:p w14:paraId="34B4E4F9" w14:textId="77777777" w:rsidR="00A76826" w:rsidRPr="004714C6" w:rsidRDefault="00A76826">
            <w:pPr>
              <w:widowControl w:val="0"/>
              <w:autoSpaceDE w:val="0"/>
              <w:autoSpaceDN w:val="0"/>
              <w:adjustRightInd w:val="0"/>
              <w:spacing w:line="256" w:lineRule="auto"/>
              <w:ind w:left="57" w:right="-20"/>
              <w:jc w:val="both"/>
              <w:rPr>
                <w:b/>
                <w:bCs/>
                <w:kern w:val="2"/>
                <w:sz w:val="24"/>
                <w:szCs w:val="24"/>
                <w14:ligatures w14:val="standardContextual"/>
              </w:rPr>
            </w:pPr>
          </w:p>
          <w:p w14:paraId="1AC0FADA" w14:textId="77777777" w:rsidR="00A76826" w:rsidRPr="004714C6" w:rsidRDefault="00A76826">
            <w:pPr>
              <w:widowControl w:val="0"/>
              <w:autoSpaceDE w:val="0"/>
              <w:autoSpaceDN w:val="0"/>
              <w:adjustRightInd w:val="0"/>
              <w:spacing w:line="256" w:lineRule="auto"/>
              <w:ind w:left="57" w:right="-20"/>
              <w:jc w:val="both"/>
              <w:rPr>
                <w:b/>
                <w:bCs/>
                <w:kern w:val="2"/>
                <w:sz w:val="24"/>
                <w:szCs w:val="24"/>
                <w14:ligatures w14:val="standardContextual"/>
              </w:rPr>
            </w:pPr>
            <w:r w:rsidRPr="004714C6">
              <w:rPr>
                <w:b/>
                <w:bCs/>
                <w:kern w:val="2"/>
                <w:sz w:val="24"/>
                <w:szCs w:val="24"/>
                <w14:ligatures w14:val="standardContextual"/>
              </w:rPr>
              <w:t>N (%)</w:t>
            </w:r>
          </w:p>
        </w:tc>
      </w:tr>
      <w:tr w:rsidR="00A76826" w:rsidRPr="004714C6" w14:paraId="2A5766D7" w14:textId="77777777" w:rsidTr="00FB1973">
        <w:trPr>
          <w:trHeight w:val="20"/>
        </w:trPr>
        <w:tc>
          <w:tcPr>
            <w:tcW w:w="1226" w:type="pct"/>
            <w:tcBorders>
              <w:top w:val="single" w:sz="4" w:space="0" w:color="000000"/>
              <w:left w:val="single" w:sz="4" w:space="0" w:color="000000"/>
              <w:bottom w:val="single" w:sz="4" w:space="0" w:color="000000"/>
              <w:right w:val="single" w:sz="4" w:space="0" w:color="000000"/>
            </w:tcBorders>
            <w:hideMark/>
          </w:tcPr>
          <w:p w14:paraId="39274B93" w14:textId="77777777" w:rsidR="00A76826" w:rsidRPr="004714C6" w:rsidRDefault="00A76826">
            <w:pPr>
              <w:widowControl w:val="0"/>
              <w:autoSpaceDE w:val="0"/>
              <w:autoSpaceDN w:val="0"/>
              <w:adjustRightInd w:val="0"/>
              <w:spacing w:line="248" w:lineRule="exact"/>
              <w:ind w:left="54" w:right="-20"/>
              <w:jc w:val="both"/>
              <w:rPr>
                <w:kern w:val="2"/>
                <w:sz w:val="24"/>
                <w:szCs w:val="24"/>
                <w14:ligatures w14:val="standardContextual"/>
              </w:rPr>
            </w:pPr>
            <w:r w:rsidRPr="004714C6">
              <w:rPr>
                <w:kern w:val="2"/>
                <w:sz w:val="24"/>
                <w:szCs w:val="24"/>
                <w14:ligatures w14:val="standardContextual"/>
              </w:rPr>
              <w:t>Behandlede patienter</w:t>
            </w:r>
          </w:p>
        </w:tc>
        <w:tc>
          <w:tcPr>
            <w:tcW w:w="1258" w:type="pct"/>
            <w:tcBorders>
              <w:top w:val="single" w:sz="4" w:space="0" w:color="000000"/>
              <w:left w:val="single" w:sz="4" w:space="0" w:color="000000"/>
              <w:bottom w:val="single" w:sz="4" w:space="0" w:color="000000"/>
              <w:right w:val="single" w:sz="4" w:space="0" w:color="000000"/>
            </w:tcBorders>
            <w:hideMark/>
          </w:tcPr>
          <w:p w14:paraId="338B29D5" w14:textId="77777777" w:rsidR="00A76826" w:rsidRPr="004714C6" w:rsidRDefault="00A76826">
            <w:pPr>
              <w:widowControl w:val="0"/>
              <w:autoSpaceDE w:val="0"/>
              <w:autoSpaceDN w:val="0"/>
              <w:adjustRightInd w:val="0"/>
              <w:spacing w:line="248" w:lineRule="exact"/>
              <w:ind w:left="549" w:right="-20"/>
              <w:jc w:val="both"/>
              <w:rPr>
                <w:kern w:val="2"/>
                <w:sz w:val="24"/>
                <w:szCs w:val="24"/>
                <w14:ligatures w14:val="standardContextual"/>
              </w:rPr>
            </w:pPr>
            <w:r w:rsidRPr="004714C6">
              <w:rPr>
                <w:kern w:val="2"/>
                <w:sz w:val="24"/>
                <w:szCs w:val="24"/>
                <w14:ligatures w14:val="standardContextual"/>
              </w:rPr>
              <w:t>1.866 (100,0)</w:t>
            </w:r>
          </w:p>
        </w:tc>
        <w:tc>
          <w:tcPr>
            <w:tcW w:w="1258" w:type="pct"/>
            <w:tcBorders>
              <w:top w:val="single" w:sz="4" w:space="0" w:color="000000"/>
              <w:left w:val="single" w:sz="4" w:space="0" w:color="000000"/>
              <w:bottom w:val="single" w:sz="4" w:space="0" w:color="000000"/>
              <w:right w:val="single" w:sz="4" w:space="0" w:color="000000"/>
            </w:tcBorders>
            <w:hideMark/>
          </w:tcPr>
          <w:p w14:paraId="7CD0ABA3" w14:textId="77777777" w:rsidR="00A76826" w:rsidRPr="004714C6" w:rsidRDefault="00A76826">
            <w:pPr>
              <w:widowControl w:val="0"/>
              <w:autoSpaceDE w:val="0"/>
              <w:autoSpaceDN w:val="0"/>
              <w:adjustRightInd w:val="0"/>
              <w:spacing w:line="248" w:lineRule="exact"/>
              <w:ind w:left="549" w:right="-20"/>
              <w:jc w:val="both"/>
              <w:rPr>
                <w:kern w:val="2"/>
                <w:sz w:val="24"/>
                <w:szCs w:val="24"/>
                <w14:ligatures w14:val="standardContextual"/>
              </w:rPr>
            </w:pPr>
            <w:r w:rsidRPr="004714C6">
              <w:rPr>
                <w:kern w:val="2"/>
                <w:sz w:val="24"/>
                <w:szCs w:val="24"/>
                <w14:ligatures w14:val="standardContextual"/>
              </w:rPr>
              <w:t>1.825 (100,0)</w:t>
            </w:r>
          </w:p>
        </w:tc>
        <w:tc>
          <w:tcPr>
            <w:tcW w:w="1258" w:type="pct"/>
            <w:tcBorders>
              <w:top w:val="single" w:sz="4" w:space="0" w:color="000000"/>
              <w:left w:val="single" w:sz="4" w:space="0" w:color="000000"/>
              <w:bottom w:val="single" w:sz="4" w:space="0" w:color="000000"/>
              <w:right w:val="single" w:sz="4" w:space="0" w:color="000000"/>
            </w:tcBorders>
            <w:hideMark/>
          </w:tcPr>
          <w:p w14:paraId="6C55958E" w14:textId="77777777" w:rsidR="00A76826" w:rsidRPr="004714C6" w:rsidRDefault="00A76826">
            <w:pPr>
              <w:widowControl w:val="0"/>
              <w:autoSpaceDE w:val="0"/>
              <w:autoSpaceDN w:val="0"/>
              <w:adjustRightInd w:val="0"/>
              <w:spacing w:line="248" w:lineRule="exact"/>
              <w:ind w:left="549" w:right="-20"/>
              <w:jc w:val="both"/>
              <w:rPr>
                <w:kern w:val="2"/>
                <w:sz w:val="24"/>
                <w:szCs w:val="24"/>
                <w14:ligatures w14:val="standardContextual"/>
              </w:rPr>
            </w:pPr>
            <w:r w:rsidRPr="004714C6">
              <w:rPr>
                <w:kern w:val="2"/>
                <w:sz w:val="24"/>
                <w:szCs w:val="24"/>
                <w14:ligatures w14:val="standardContextual"/>
              </w:rPr>
              <w:t>1.848 (100,0)</w:t>
            </w:r>
          </w:p>
        </w:tc>
      </w:tr>
      <w:tr w:rsidR="00A76826" w:rsidRPr="004714C6" w14:paraId="70C65BD0" w14:textId="77777777" w:rsidTr="00FB1973">
        <w:trPr>
          <w:trHeight w:val="20"/>
        </w:trPr>
        <w:tc>
          <w:tcPr>
            <w:tcW w:w="1226" w:type="pct"/>
            <w:tcBorders>
              <w:top w:val="single" w:sz="4" w:space="0" w:color="000000"/>
              <w:left w:val="single" w:sz="4" w:space="0" w:color="000000"/>
              <w:bottom w:val="single" w:sz="4" w:space="0" w:color="000000"/>
              <w:right w:val="single" w:sz="4" w:space="0" w:color="000000"/>
            </w:tcBorders>
            <w:hideMark/>
          </w:tcPr>
          <w:p w14:paraId="7611227D" w14:textId="77777777" w:rsidR="00A76826" w:rsidRPr="004714C6" w:rsidRDefault="00A76826">
            <w:pPr>
              <w:widowControl w:val="0"/>
              <w:autoSpaceDE w:val="0"/>
              <w:autoSpaceDN w:val="0"/>
              <w:adjustRightInd w:val="0"/>
              <w:spacing w:line="246" w:lineRule="exact"/>
              <w:ind w:left="54" w:right="-20"/>
              <w:jc w:val="both"/>
              <w:rPr>
                <w:kern w:val="2"/>
                <w:sz w:val="24"/>
                <w:szCs w:val="24"/>
                <w14:ligatures w14:val="standardContextual"/>
              </w:rPr>
            </w:pPr>
            <w:r w:rsidRPr="004714C6">
              <w:rPr>
                <w:kern w:val="2"/>
                <w:sz w:val="24"/>
                <w:szCs w:val="24"/>
                <w14:ligatures w14:val="standardContextual"/>
              </w:rPr>
              <w:t>Alvorlige blødninger</w:t>
            </w:r>
          </w:p>
        </w:tc>
        <w:tc>
          <w:tcPr>
            <w:tcW w:w="1258" w:type="pct"/>
            <w:tcBorders>
              <w:top w:val="single" w:sz="4" w:space="0" w:color="000000"/>
              <w:left w:val="single" w:sz="4" w:space="0" w:color="000000"/>
              <w:bottom w:val="single" w:sz="4" w:space="0" w:color="000000"/>
              <w:right w:val="single" w:sz="4" w:space="0" w:color="000000"/>
            </w:tcBorders>
            <w:hideMark/>
          </w:tcPr>
          <w:p w14:paraId="0A651431" w14:textId="77777777" w:rsidR="00A76826" w:rsidRPr="004714C6" w:rsidRDefault="00A76826">
            <w:pPr>
              <w:widowControl w:val="0"/>
              <w:autoSpaceDE w:val="0"/>
              <w:autoSpaceDN w:val="0"/>
              <w:adjustRightInd w:val="0"/>
              <w:spacing w:line="246" w:lineRule="exact"/>
              <w:ind w:left="759" w:right="740"/>
              <w:jc w:val="both"/>
              <w:rPr>
                <w:kern w:val="2"/>
                <w:sz w:val="24"/>
                <w:szCs w:val="24"/>
                <w14:ligatures w14:val="standardContextual"/>
              </w:rPr>
            </w:pPr>
            <w:r w:rsidRPr="004714C6">
              <w:rPr>
                <w:kern w:val="2"/>
                <w:sz w:val="24"/>
                <w:szCs w:val="24"/>
                <w14:ligatures w14:val="standardContextual"/>
              </w:rPr>
              <w:t>24 (1,3)</w:t>
            </w:r>
          </w:p>
        </w:tc>
        <w:tc>
          <w:tcPr>
            <w:tcW w:w="1258" w:type="pct"/>
            <w:tcBorders>
              <w:top w:val="single" w:sz="4" w:space="0" w:color="000000"/>
              <w:left w:val="single" w:sz="4" w:space="0" w:color="000000"/>
              <w:bottom w:val="single" w:sz="4" w:space="0" w:color="000000"/>
              <w:right w:val="single" w:sz="4" w:space="0" w:color="000000"/>
            </w:tcBorders>
            <w:hideMark/>
          </w:tcPr>
          <w:p w14:paraId="62C45C2A" w14:textId="77777777" w:rsidR="00A76826" w:rsidRPr="004714C6" w:rsidRDefault="00A76826">
            <w:pPr>
              <w:widowControl w:val="0"/>
              <w:autoSpaceDE w:val="0"/>
              <w:autoSpaceDN w:val="0"/>
              <w:adjustRightInd w:val="0"/>
              <w:spacing w:line="246" w:lineRule="exact"/>
              <w:ind w:left="759" w:right="740"/>
              <w:jc w:val="both"/>
              <w:rPr>
                <w:kern w:val="2"/>
                <w:sz w:val="24"/>
                <w:szCs w:val="24"/>
                <w14:ligatures w14:val="standardContextual"/>
              </w:rPr>
            </w:pPr>
            <w:r w:rsidRPr="004714C6">
              <w:rPr>
                <w:kern w:val="2"/>
                <w:sz w:val="24"/>
                <w:szCs w:val="24"/>
                <w14:ligatures w14:val="standardContextual"/>
              </w:rPr>
              <w:t>33 (1,8)</w:t>
            </w:r>
          </w:p>
        </w:tc>
        <w:tc>
          <w:tcPr>
            <w:tcW w:w="1258" w:type="pct"/>
            <w:tcBorders>
              <w:top w:val="single" w:sz="4" w:space="0" w:color="000000"/>
              <w:left w:val="single" w:sz="4" w:space="0" w:color="000000"/>
              <w:bottom w:val="single" w:sz="4" w:space="0" w:color="000000"/>
              <w:right w:val="single" w:sz="4" w:space="0" w:color="000000"/>
            </w:tcBorders>
            <w:hideMark/>
          </w:tcPr>
          <w:p w14:paraId="22109239" w14:textId="77777777" w:rsidR="00A76826" w:rsidRPr="004714C6" w:rsidRDefault="00A76826">
            <w:pPr>
              <w:widowControl w:val="0"/>
              <w:autoSpaceDE w:val="0"/>
              <w:autoSpaceDN w:val="0"/>
              <w:adjustRightInd w:val="0"/>
              <w:spacing w:line="246" w:lineRule="exact"/>
              <w:ind w:left="759" w:right="740"/>
              <w:jc w:val="both"/>
              <w:rPr>
                <w:kern w:val="2"/>
                <w:sz w:val="24"/>
                <w:szCs w:val="24"/>
                <w14:ligatures w14:val="standardContextual"/>
              </w:rPr>
            </w:pPr>
            <w:r w:rsidRPr="004714C6">
              <w:rPr>
                <w:kern w:val="2"/>
                <w:sz w:val="24"/>
                <w:szCs w:val="24"/>
                <w14:ligatures w14:val="standardContextual"/>
              </w:rPr>
              <w:t>27 (1,5)</w:t>
            </w:r>
          </w:p>
        </w:tc>
      </w:tr>
      <w:tr w:rsidR="00A76826" w:rsidRPr="004714C6" w14:paraId="7989C600" w14:textId="77777777" w:rsidTr="00FB1973">
        <w:trPr>
          <w:trHeight w:val="20"/>
        </w:trPr>
        <w:tc>
          <w:tcPr>
            <w:tcW w:w="1226" w:type="pct"/>
            <w:tcBorders>
              <w:top w:val="single" w:sz="4" w:space="0" w:color="000000"/>
              <w:left w:val="single" w:sz="4" w:space="0" w:color="000000"/>
              <w:bottom w:val="single" w:sz="4" w:space="0" w:color="000000"/>
              <w:right w:val="single" w:sz="4" w:space="0" w:color="000000"/>
            </w:tcBorders>
            <w:hideMark/>
          </w:tcPr>
          <w:p w14:paraId="04BD22DE" w14:textId="77777777" w:rsidR="00A76826" w:rsidRPr="004714C6" w:rsidRDefault="00A76826">
            <w:pPr>
              <w:widowControl w:val="0"/>
              <w:autoSpaceDE w:val="0"/>
              <w:autoSpaceDN w:val="0"/>
              <w:adjustRightInd w:val="0"/>
              <w:spacing w:line="246" w:lineRule="exact"/>
              <w:ind w:left="54" w:right="-20"/>
              <w:jc w:val="both"/>
              <w:rPr>
                <w:kern w:val="2"/>
                <w:sz w:val="24"/>
                <w:szCs w:val="24"/>
                <w14:ligatures w14:val="standardContextual"/>
              </w:rPr>
            </w:pPr>
            <w:r w:rsidRPr="004714C6">
              <w:rPr>
                <w:kern w:val="2"/>
                <w:sz w:val="24"/>
                <w:szCs w:val="24"/>
                <w14:ligatures w14:val="standardContextual"/>
              </w:rPr>
              <w:t>Alle blødninger</w:t>
            </w:r>
          </w:p>
        </w:tc>
        <w:tc>
          <w:tcPr>
            <w:tcW w:w="1258" w:type="pct"/>
            <w:tcBorders>
              <w:top w:val="single" w:sz="4" w:space="0" w:color="000000"/>
              <w:left w:val="single" w:sz="4" w:space="0" w:color="000000"/>
              <w:bottom w:val="single" w:sz="4" w:space="0" w:color="000000"/>
              <w:right w:val="single" w:sz="4" w:space="0" w:color="000000"/>
            </w:tcBorders>
            <w:hideMark/>
          </w:tcPr>
          <w:p w14:paraId="66EF4C21" w14:textId="77777777" w:rsidR="00A76826" w:rsidRPr="004714C6" w:rsidRDefault="00A76826">
            <w:pPr>
              <w:widowControl w:val="0"/>
              <w:autoSpaceDE w:val="0"/>
              <w:autoSpaceDN w:val="0"/>
              <w:adjustRightInd w:val="0"/>
              <w:spacing w:line="246" w:lineRule="exact"/>
              <w:ind w:left="685" w:right="-20"/>
              <w:jc w:val="both"/>
              <w:rPr>
                <w:kern w:val="2"/>
                <w:sz w:val="24"/>
                <w:szCs w:val="24"/>
                <w14:ligatures w14:val="standardContextual"/>
              </w:rPr>
            </w:pPr>
            <w:r w:rsidRPr="004714C6">
              <w:rPr>
                <w:kern w:val="2"/>
                <w:sz w:val="24"/>
                <w:szCs w:val="24"/>
                <w14:ligatures w14:val="standardContextual"/>
              </w:rPr>
              <w:t>258 (13,8)</w:t>
            </w:r>
          </w:p>
        </w:tc>
        <w:tc>
          <w:tcPr>
            <w:tcW w:w="1258" w:type="pct"/>
            <w:tcBorders>
              <w:top w:val="single" w:sz="4" w:space="0" w:color="000000"/>
              <w:left w:val="single" w:sz="4" w:space="0" w:color="000000"/>
              <w:bottom w:val="single" w:sz="4" w:space="0" w:color="000000"/>
              <w:right w:val="single" w:sz="4" w:space="0" w:color="000000"/>
            </w:tcBorders>
            <w:hideMark/>
          </w:tcPr>
          <w:p w14:paraId="054871A6" w14:textId="77777777" w:rsidR="00A76826" w:rsidRPr="004714C6" w:rsidRDefault="00A76826">
            <w:pPr>
              <w:widowControl w:val="0"/>
              <w:autoSpaceDE w:val="0"/>
              <w:autoSpaceDN w:val="0"/>
              <w:adjustRightInd w:val="0"/>
              <w:spacing w:line="246" w:lineRule="exact"/>
              <w:ind w:left="685" w:right="-20"/>
              <w:jc w:val="both"/>
              <w:rPr>
                <w:kern w:val="2"/>
                <w:sz w:val="24"/>
                <w:szCs w:val="24"/>
                <w14:ligatures w14:val="standardContextual"/>
              </w:rPr>
            </w:pPr>
            <w:r w:rsidRPr="004714C6">
              <w:rPr>
                <w:kern w:val="2"/>
                <w:sz w:val="24"/>
                <w:szCs w:val="24"/>
                <w14:ligatures w14:val="standardContextual"/>
              </w:rPr>
              <w:t>251 (13,8)</w:t>
            </w:r>
          </w:p>
        </w:tc>
        <w:tc>
          <w:tcPr>
            <w:tcW w:w="1258" w:type="pct"/>
            <w:tcBorders>
              <w:top w:val="single" w:sz="4" w:space="0" w:color="000000"/>
              <w:left w:val="single" w:sz="4" w:space="0" w:color="000000"/>
              <w:bottom w:val="single" w:sz="4" w:space="0" w:color="000000"/>
              <w:right w:val="single" w:sz="4" w:space="0" w:color="000000"/>
            </w:tcBorders>
            <w:hideMark/>
          </w:tcPr>
          <w:p w14:paraId="473C90BF" w14:textId="77777777" w:rsidR="00A76826" w:rsidRPr="004714C6" w:rsidRDefault="00A76826">
            <w:pPr>
              <w:widowControl w:val="0"/>
              <w:autoSpaceDE w:val="0"/>
              <w:autoSpaceDN w:val="0"/>
              <w:adjustRightInd w:val="0"/>
              <w:spacing w:line="246" w:lineRule="exact"/>
              <w:ind w:left="685" w:right="-20"/>
              <w:jc w:val="both"/>
              <w:rPr>
                <w:kern w:val="2"/>
                <w:sz w:val="24"/>
                <w:szCs w:val="24"/>
                <w14:ligatures w14:val="standardContextual"/>
              </w:rPr>
            </w:pPr>
            <w:r w:rsidRPr="004714C6">
              <w:rPr>
                <w:kern w:val="2"/>
                <w:sz w:val="24"/>
                <w:szCs w:val="24"/>
                <w14:ligatures w14:val="standardContextual"/>
              </w:rPr>
              <w:t>247 (13,4)</w:t>
            </w:r>
          </w:p>
        </w:tc>
      </w:tr>
    </w:tbl>
    <w:p w14:paraId="357DED4E" w14:textId="77777777" w:rsidR="00A76826" w:rsidRPr="004714C6" w:rsidRDefault="00A76826" w:rsidP="00FB1973">
      <w:pPr>
        <w:ind w:left="851"/>
        <w:rPr>
          <w:sz w:val="24"/>
          <w:szCs w:val="24"/>
        </w:rPr>
      </w:pPr>
    </w:p>
    <w:p w14:paraId="3B059431" w14:textId="77777777" w:rsidR="00A76826" w:rsidRPr="004714C6" w:rsidRDefault="00A76826" w:rsidP="00FB1973">
      <w:pPr>
        <w:ind w:left="851"/>
        <w:rPr>
          <w:i/>
          <w:iCs/>
          <w:sz w:val="24"/>
          <w:szCs w:val="24"/>
        </w:rPr>
      </w:pPr>
      <w:r w:rsidRPr="004714C6">
        <w:rPr>
          <w:i/>
          <w:iCs/>
          <w:sz w:val="24"/>
          <w:szCs w:val="24"/>
        </w:rPr>
        <w:t>Forebyggelse af apopleksi og systemisk emboli hos voksne patienter med NVAF med en eller flere risikofaktorer</w:t>
      </w:r>
    </w:p>
    <w:p w14:paraId="6012E0E2" w14:textId="77777777" w:rsidR="00A76826" w:rsidRPr="004714C6" w:rsidRDefault="00A76826" w:rsidP="00FB1973">
      <w:pPr>
        <w:ind w:left="851"/>
        <w:rPr>
          <w:sz w:val="24"/>
          <w:szCs w:val="24"/>
        </w:rPr>
      </w:pPr>
    </w:p>
    <w:p w14:paraId="4F4A2A13" w14:textId="77777777" w:rsidR="00A76826" w:rsidRPr="004714C6" w:rsidRDefault="00A76826" w:rsidP="00FB1973">
      <w:pPr>
        <w:ind w:left="851"/>
        <w:rPr>
          <w:sz w:val="24"/>
          <w:szCs w:val="24"/>
        </w:rPr>
      </w:pPr>
      <w:r w:rsidRPr="004714C6">
        <w:rPr>
          <w:sz w:val="24"/>
          <w:szCs w:val="24"/>
        </w:rPr>
        <w:t>Tabel 14 viser blødninger opdelt i alvorlige og alle blødninger i det pivotale studie, der undersøgte forebyggelse af tromboembolisk apopleksi og systemisk emboli hos patienter med atrieflimren.</w:t>
      </w:r>
    </w:p>
    <w:p w14:paraId="6B3CEAEC" w14:textId="77777777" w:rsidR="00A76826" w:rsidRPr="004714C6" w:rsidRDefault="00A76826" w:rsidP="00FB1973">
      <w:pPr>
        <w:ind w:left="851"/>
        <w:rPr>
          <w:sz w:val="24"/>
          <w:szCs w:val="24"/>
        </w:rPr>
      </w:pPr>
    </w:p>
    <w:p w14:paraId="1B0D5FA4" w14:textId="77777777" w:rsidR="00A76826" w:rsidRPr="004714C6" w:rsidRDefault="00A76826" w:rsidP="00A76826">
      <w:pPr>
        <w:autoSpaceDE w:val="0"/>
        <w:autoSpaceDN w:val="0"/>
        <w:adjustRightInd w:val="0"/>
        <w:spacing w:line="246" w:lineRule="exact"/>
        <w:ind w:left="1440" w:right="-23" w:hanging="1440"/>
        <w:rPr>
          <w:b/>
          <w:bCs/>
          <w:sz w:val="24"/>
          <w:szCs w:val="24"/>
        </w:rPr>
      </w:pPr>
      <w:r w:rsidRPr="004714C6">
        <w:rPr>
          <w:b/>
          <w:bCs/>
          <w:sz w:val="24"/>
          <w:szCs w:val="24"/>
        </w:rPr>
        <w:t>Tabel 14:</w:t>
      </w:r>
      <w:r w:rsidRPr="004714C6">
        <w:rPr>
          <w:b/>
          <w:bCs/>
          <w:sz w:val="24"/>
          <w:szCs w:val="24"/>
        </w:rPr>
        <w:tab/>
        <w:t>Blødningsrelaterede hændelser fra et studie, der undersøgte forebyggelse af tromboembolisk apopleksi og systemisk emboli hos patienter med atrieflimren</w:t>
      </w:r>
    </w:p>
    <w:p w14:paraId="6B1ACC73" w14:textId="77777777" w:rsidR="00A76826" w:rsidRPr="004714C6" w:rsidRDefault="00A76826" w:rsidP="00A76826">
      <w:pPr>
        <w:autoSpaceDE w:val="0"/>
        <w:autoSpaceDN w:val="0"/>
        <w:adjustRightInd w:val="0"/>
        <w:spacing w:line="246" w:lineRule="exact"/>
        <w:ind w:right="-23"/>
        <w:rPr>
          <w:sz w:val="24"/>
          <w:szCs w:val="24"/>
        </w:rPr>
      </w:pPr>
    </w:p>
    <w:tbl>
      <w:tblPr>
        <w:tblW w:w="5000" w:type="pct"/>
        <w:tblCellMar>
          <w:left w:w="0" w:type="dxa"/>
          <w:right w:w="0" w:type="dxa"/>
        </w:tblCellMar>
        <w:tblLook w:val="04A0" w:firstRow="1" w:lastRow="0" w:firstColumn="1" w:lastColumn="0" w:noHBand="0" w:noVBand="1"/>
      </w:tblPr>
      <w:tblGrid>
        <w:gridCol w:w="2999"/>
        <w:gridCol w:w="2297"/>
        <w:gridCol w:w="2391"/>
        <w:gridCol w:w="1941"/>
      </w:tblGrid>
      <w:tr w:rsidR="00A76826" w:rsidRPr="004714C6" w14:paraId="026CE110" w14:textId="77777777" w:rsidTr="00FB1973">
        <w:trPr>
          <w:trHeight w:val="20"/>
        </w:trPr>
        <w:tc>
          <w:tcPr>
            <w:tcW w:w="1563" w:type="pct"/>
            <w:tcBorders>
              <w:top w:val="single" w:sz="4" w:space="0" w:color="000000"/>
              <w:left w:val="single" w:sz="4" w:space="0" w:color="000000"/>
              <w:bottom w:val="single" w:sz="4" w:space="0" w:color="000000"/>
              <w:right w:val="single" w:sz="4" w:space="0" w:color="000000"/>
            </w:tcBorders>
          </w:tcPr>
          <w:p w14:paraId="7E22489E" w14:textId="77777777" w:rsidR="00A76826" w:rsidRPr="004714C6" w:rsidRDefault="00A76826" w:rsidP="00FB1973">
            <w:pPr>
              <w:widowControl w:val="0"/>
              <w:autoSpaceDE w:val="0"/>
              <w:autoSpaceDN w:val="0"/>
              <w:adjustRightInd w:val="0"/>
              <w:jc w:val="both"/>
              <w:rPr>
                <w:b/>
                <w:bCs/>
                <w:kern w:val="2"/>
                <w:sz w:val="24"/>
                <w:szCs w:val="24"/>
                <w14:ligatures w14:val="standardContextual"/>
              </w:rPr>
            </w:pPr>
          </w:p>
        </w:tc>
        <w:tc>
          <w:tcPr>
            <w:tcW w:w="1177" w:type="pct"/>
            <w:tcBorders>
              <w:top w:val="single" w:sz="4" w:space="0" w:color="000000"/>
              <w:left w:val="single" w:sz="4" w:space="0" w:color="000000"/>
              <w:bottom w:val="single" w:sz="4" w:space="0" w:color="000000"/>
              <w:right w:val="single" w:sz="4" w:space="0" w:color="000000"/>
            </w:tcBorders>
            <w:hideMark/>
          </w:tcPr>
          <w:p w14:paraId="0448C485" w14:textId="77777777" w:rsidR="00A76826" w:rsidRPr="004714C6" w:rsidRDefault="00A76826" w:rsidP="00FB1973">
            <w:pPr>
              <w:pStyle w:val="TableParagraph"/>
              <w:spacing w:line="240" w:lineRule="auto"/>
              <w:ind w:left="190" w:right="177"/>
              <w:jc w:val="center"/>
              <w:rPr>
                <w:b/>
                <w:bCs/>
                <w:spacing w:val="-3"/>
                <w:kern w:val="2"/>
                <w:sz w:val="24"/>
                <w:szCs w:val="24"/>
                <w:lang w:val="da-DK"/>
                <w14:ligatures w14:val="standardContextual"/>
              </w:rPr>
            </w:pPr>
            <w:r w:rsidRPr="004714C6">
              <w:rPr>
                <w:b/>
                <w:bCs/>
                <w:color w:val="000000"/>
                <w:kern w:val="2"/>
                <w:sz w:val="24"/>
                <w:szCs w:val="24"/>
                <w:lang w:val="da-DK"/>
                <w14:ligatures w14:val="standardContextual"/>
              </w:rPr>
              <w:t xml:space="preserve">Dabigatranetexilat </w:t>
            </w:r>
            <w:r w:rsidRPr="004714C6">
              <w:rPr>
                <w:b/>
                <w:bCs/>
                <w:kern w:val="2"/>
                <w:sz w:val="24"/>
                <w:szCs w:val="24"/>
                <w:lang w:val="da-DK"/>
                <w14:ligatures w14:val="standardContextual"/>
              </w:rPr>
              <w:t>110 </w:t>
            </w:r>
            <w:r w:rsidRPr="004714C6">
              <w:rPr>
                <w:b/>
                <w:bCs/>
                <w:spacing w:val="-3"/>
                <w:kern w:val="2"/>
                <w:sz w:val="24"/>
                <w:szCs w:val="24"/>
                <w:lang w:val="da-DK"/>
                <w14:ligatures w14:val="standardContextual"/>
              </w:rPr>
              <w:t>mg</w:t>
            </w:r>
          </w:p>
          <w:p w14:paraId="76A7E42D" w14:textId="77777777" w:rsidR="00A76826" w:rsidRPr="004714C6" w:rsidRDefault="00A76826" w:rsidP="00FB1973">
            <w:pPr>
              <w:widowControl w:val="0"/>
              <w:autoSpaceDE w:val="0"/>
              <w:autoSpaceDN w:val="0"/>
              <w:adjustRightInd w:val="0"/>
              <w:ind w:left="322" w:right="305"/>
              <w:jc w:val="both"/>
              <w:rPr>
                <w:b/>
                <w:bCs/>
                <w:kern w:val="2"/>
                <w:sz w:val="24"/>
                <w:szCs w:val="24"/>
                <w14:ligatures w14:val="standardContextual"/>
              </w:rPr>
            </w:pPr>
            <w:r w:rsidRPr="004714C6">
              <w:rPr>
                <w:b/>
                <w:bCs/>
                <w:kern w:val="2"/>
                <w:sz w:val="24"/>
                <w:szCs w:val="24"/>
                <w14:ligatures w14:val="standardContextual"/>
              </w:rPr>
              <w:t>2 gange dagligt</w:t>
            </w:r>
          </w:p>
        </w:tc>
        <w:tc>
          <w:tcPr>
            <w:tcW w:w="1247" w:type="pct"/>
            <w:tcBorders>
              <w:top w:val="single" w:sz="4" w:space="0" w:color="000000"/>
              <w:left w:val="single" w:sz="4" w:space="0" w:color="000000"/>
              <w:bottom w:val="single" w:sz="4" w:space="0" w:color="000000"/>
              <w:right w:val="single" w:sz="4" w:space="0" w:color="000000"/>
            </w:tcBorders>
            <w:hideMark/>
          </w:tcPr>
          <w:p w14:paraId="21E98597" w14:textId="77777777" w:rsidR="00A76826" w:rsidRPr="004714C6" w:rsidRDefault="00A76826" w:rsidP="00FB1973">
            <w:pPr>
              <w:pStyle w:val="TableParagraph"/>
              <w:spacing w:line="240" w:lineRule="auto"/>
              <w:ind w:left="145" w:right="177"/>
              <w:jc w:val="center"/>
              <w:rPr>
                <w:b/>
                <w:bCs/>
                <w:color w:val="000000"/>
                <w:kern w:val="2"/>
                <w:sz w:val="24"/>
                <w:szCs w:val="24"/>
                <w:lang w:val="da-DK"/>
                <w14:ligatures w14:val="standardContextual"/>
              </w:rPr>
            </w:pPr>
            <w:r w:rsidRPr="004714C6">
              <w:rPr>
                <w:b/>
                <w:bCs/>
                <w:color w:val="000000"/>
                <w:kern w:val="2"/>
                <w:sz w:val="24"/>
                <w:szCs w:val="24"/>
                <w:lang w:val="da-DK"/>
                <w14:ligatures w14:val="standardContextual"/>
              </w:rPr>
              <w:t>Dabigatranetexilat 150 mg</w:t>
            </w:r>
          </w:p>
          <w:p w14:paraId="16B6B36C" w14:textId="77777777" w:rsidR="00A76826" w:rsidRPr="004714C6" w:rsidRDefault="00A76826" w:rsidP="00FB1973">
            <w:pPr>
              <w:pStyle w:val="TableParagraph"/>
              <w:spacing w:line="240" w:lineRule="auto"/>
              <w:ind w:left="190" w:right="177"/>
              <w:jc w:val="center"/>
              <w:rPr>
                <w:b/>
                <w:bCs/>
                <w:kern w:val="2"/>
                <w:sz w:val="24"/>
                <w:szCs w:val="24"/>
                <w:lang w:val="da-DK"/>
                <w14:ligatures w14:val="standardContextual"/>
              </w:rPr>
            </w:pPr>
            <w:r w:rsidRPr="004714C6">
              <w:rPr>
                <w:b/>
                <w:bCs/>
                <w:color w:val="000000"/>
                <w:kern w:val="2"/>
                <w:sz w:val="24"/>
                <w:szCs w:val="24"/>
                <w:lang w:val="da-DK"/>
                <w14:ligatures w14:val="standardContextual"/>
              </w:rPr>
              <w:t>2 gange dagligt</w:t>
            </w:r>
          </w:p>
        </w:tc>
        <w:tc>
          <w:tcPr>
            <w:tcW w:w="1013" w:type="pct"/>
            <w:tcBorders>
              <w:top w:val="single" w:sz="4" w:space="0" w:color="000000"/>
              <w:left w:val="single" w:sz="4" w:space="0" w:color="000000"/>
              <w:bottom w:val="single" w:sz="4" w:space="0" w:color="000000"/>
              <w:right w:val="single" w:sz="4" w:space="0" w:color="000000"/>
            </w:tcBorders>
            <w:hideMark/>
          </w:tcPr>
          <w:p w14:paraId="7A0DE73C" w14:textId="77777777" w:rsidR="00A76826" w:rsidRPr="004714C6" w:rsidRDefault="00A76826" w:rsidP="00FB1973">
            <w:pPr>
              <w:widowControl w:val="0"/>
              <w:autoSpaceDE w:val="0"/>
              <w:autoSpaceDN w:val="0"/>
              <w:adjustRightInd w:val="0"/>
              <w:ind w:left="546" w:right="-20"/>
              <w:jc w:val="both"/>
              <w:rPr>
                <w:b/>
                <w:bCs/>
                <w:kern w:val="2"/>
                <w:sz w:val="24"/>
                <w:szCs w:val="24"/>
                <w14:ligatures w14:val="standardContextual"/>
              </w:rPr>
            </w:pPr>
            <w:r w:rsidRPr="004714C6">
              <w:rPr>
                <w:b/>
                <w:bCs/>
                <w:kern w:val="2"/>
                <w:sz w:val="24"/>
                <w:szCs w:val="24"/>
                <w14:ligatures w14:val="standardContextual"/>
              </w:rPr>
              <w:t>Warfarin</w:t>
            </w:r>
          </w:p>
        </w:tc>
      </w:tr>
      <w:tr w:rsidR="00A76826" w:rsidRPr="004714C6" w14:paraId="4005C9BA" w14:textId="77777777" w:rsidTr="00FB1973">
        <w:trPr>
          <w:trHeight w:val="20"/>
        </w:trPr>
        <w:tc>
          <w:tcPr>
            <w:tcW w:w="1563" w:type="pct"/>
            <w:tcBorders>
              <w:top w:val="single" w:sz="4" w:space="0" w:color="000000"/>
              <w:left w:val="single" w:sz="4" w:space="0" w:color="000000"/>
              <w:bottom w:val="single" w:sz="4" w:space="0" w:color="000000"/>
              <w:right w:val="single" w:sz="4" w:space="0" w:color="000000"/>
            </w:tcBorders>
            <w:hideMark/>
          </w:tcPr>
          <w:p w14:paraId="2602C475" w14:textId="77777777" w:rsidR="00A76826" w:rsidRPr="004714C6" w:rsidRDefault="00A76826" w:rsidP="00FB1973">
            <w:pPr>
              <w:widowControl w:val="0"/>
              <w:autoSpaceDE w:val="0"/>
              <w:autoSpaceDN w:val="0"/>
              <w:adjustRightInd w:val="0"/>
              <w:ind w:left="100" w:right="-20"/>
              <w:jc w:val="both"/>
              <w:rPr>
                <w:kern w:val="2"/>
                <w:sz w:val="24"/>
                <w:szCs w:val="24"/>
                <w14:ligatures w14:val="standardContextual"/>
              </w:rPr>
            </w:pPr>
            <w:r w:rsidRPr="004714C6">
              <w:rPr>
                <w:spacing w:val="-1"/>
                <w:kern w:val="2"/>
                <w:sz w:val="24"/>
                <w:szCs w:val="24"/>
                <w14:ligatures w14:val="standardContextual"/>
              </w:rPr>
              <w:t>Randomiserede patienter</w:t>
            </w:r>
          </w:p>
        </w:tc>
        <w:tc>
          <w:tcPr>
            <w:tcW w:w="1177" w:type="pct"/>
            <w:tcBorders>
              <w:top w:val="single" w:sz="4" w:space="0" w:color="000000"/>
              <w:left w:val="single" w:sz="4" w:space="0" w:color="000000"/>
              <w:bottom w:val="single" w:sz="4" w:space="0" w:color="000000"/>
              <w:right w:val="single" w:sz="4" w:space="0" w:color="000000"/>
            </w:tcBorders>
            <w:hideMark/>
          </w:tcPr>
          <w:p w14:paraId="53378556" w14:textId="77777777" w:rsidR="00A76826" w:rsidRPr="004714C6" w:rsidRDefault="00A76826" w:rsidP="00FB1973">
            <w:pPr>
              <w:widowControl w:val="0"/>
              <w:autoSpaceDE w:val="0"/>
              <w:autoSpaceDN w:val="0"/>
              <w:adjustRightInd w:val="0"/>
              <w:ind w:left="788" w:right="770"/>
              <w:jc w:val="both"/>
              <w:rPr>
                <w:kern w:val="2"/>
                <w:sz w:val="24"/>
                <w:szCs w:val="24"/>
                <w14:ligatures w14:val="standardContextual"/>
              </w:rPr>
            </w:pPr>
            <w:r w:rsidRPr="004714C6">
              <w:rPr>
                <w:kern w:val="2"/>
                <w:sz w:val="24"/>
                <w:szCs w:val="24"/>
                <w14:ligatures w14:val="standardContextual"/>
              </w:rPr>
              <w:t>6.015</w:t>
            </w:r>
          </w:p>
        </w:tc>
        <w:tc>
          <w:tcPr>
            <w:tcW w:w="1247" w:type="pct"/>
            <w:tcBorders>
              <w:top w:val="single" w:sz="4" w:space="0" w:color="000000"/>
              <w:left w:val="single" w:sz="4" w:space="0" w:color="000000"/>
              <w:bottom w:val="single" w:sz="4" w:space="0" w:color="000000"/>
              <w:right w:val="single" w:sz="4" w:space="0" w:color="000000"/>
            </w:tcBorders>
            <w:hideMark/>
          </w:tcPr>
          <w:p w14:paraId="14031401" w14:textId="77777777" w:rsidR="00A76826" w:rsidRPr="004714C6" w:rsidRDefault="00A76826" w:rsidP="00FB1973">
            <w:pPr>
              <w:widowControl w:val="0"/>
              <w:autoSpaceDE w:val="0"/>
              <w:autoSpaceDN w:val="0"/>
              <w:adjustRightInd w:val="0"/>
              <w:ind w:left="790" w:right="770"/>
              <w:jc w:val="both"/>
              <w:rPr>
                <w:kern w:val="2"/>
                <w:sz w:val="24"/>
                <w:szCs w:val="24"/>
                <w14:ligatures w14:val="standardContextual"/>
              </w:rPr>
            </w:pPr>
            <w:r w:rsidRPr="004714C6">
              <w:rPr>
                <w:kern w:val="2"/>
                <w:sz w:val="24"/>
                <w:szCs w:val="24"/>
                <w14:ligatures w14:val="standardContextual"/>
              </w:rPr>
              <w:t>6.076</w:t>
            </w:r>
          </w:p>
        </w:tc>
        <w:tc>
          <w:tcPr>
            <w:tcW w:w="1013" w:type="pct"/>
            <w:tcBorders>
              <w:top w:val="single" w:sz="4" w:space="0" w:color="000000"/>
              <w:left w:val="single" w:sz="4" w:space="0" w:color="000000"/>
              <w:bottom w:val="single" w:sz="4" w:space="0" w:color="000000"/>
              <w:right w:val="single" w:sz="4" w:space="0" w:color="000000"/>
            </w:tcBorders>
            <w:hideMark/>
          </w:tcPr>
          <w:p w14:paraId="55232315" w14:textId="77777777" w:rsidR="00A76826" w:rsidRPr="004714C6" w:rsidRDefault="00A76826" w:rsidP="00FB1973">
            <w:pPr>
              <w:widowControl w:val="0"/>
              <w:autoSpaceDE w:val="0"/>
              <w:autoSpaceDN w:val="0"/>
              <w:adjustRightInd w:val="0"/>
              <w:ind w:left="661" w:right="643"/>
              <w:jc w:val="both"/>
              <w:rPr>
                <w:kern w:val="2"/>
                <w:sz w:val="24"/>
                <w:szCs w:val="24"/>
                <w14:ligatures w14:val="standardContextual"/>
              </w:rPr>
            </w:pPr>
            <w:r w:rsidRPr="004714C6">
              <w:rPr>
                <w:kern w:val="2"/>
                <w:sz w:val="24"/>
                <w:szCs w:val="24"/>
                <w14:ligatures w14:val="standardContextual"/>
              </w:rPr>
              <w:t>6.022</w:t>
            </w:r>
          </w:p>
        </w:tc>
      </w:tr>
      <w:tr w:rsidR="00A76826" w:rsidRPr="004714C6" w14:paraId="00DF4410" w14:textId="77777777" w:rsidTr="00FB1973">
        <w:trPr>
          <w:trHeight w:val="20"/>
        </w:trPr>
        <w:tc>
          <w:tcPr>
            <w:tcW w:w="1563" w:type="pct"/>
            <w:tcBorders>
              <w:top w:val="single" w:sz="4" w:space="0" w:color="000000"/>
              <w:left w:val="single" w:sz="4" w:space="0" w:color="000000"/>
              <w:bottom w:val="single" w:sz="4" w:space="0" w:color="000000"/>
              <w:right w:val="single" w:sz="4" w:space="0" w:color="000000"/>
            </w:tcBorders>
            <w:hideMark/>
          </w:tcPr>
          <w:p w14:paraId="3918AA08" w14:textId="77777777" w:rsidR="00A76826" w:rsidRPr="004714C6" w:rsidRDefault="00A76826" w:rsidP="00FB1973">
            <w:pPr>
              <w:widowControl w:val="0"/>
              <w:autoSpaceDE w:val="0"/>
              <w:autoSpaceDN w:val="0"/>
              <w:adjustRightInd w:val="0"/>
              <w:ind w:left="100" w:right="-20"/>
              <w:jc w:val="both"/>
              <w:rPr>
                <w:kern w:val="2"/>
                <w:sz w:val="24"/>
                <w:szCs w:val="24"/>
                <w14:ligatures w14:val="standardContextual"/>
              </w:rPr>
            </w:pPr>
            <w:r w:rsidRPr="004714C6">
              <w:rPr>
                <w:kern w:val="2"/>
                <w:sz w:val="24"/>
                <w:szCs w:val="24"/>
                <w14:ligatures w14:val="standardContextual"/>
              </w:rPr>
              <w:t>Alvorlig blødning</w:t>
            </w:r>
          </w:p>
        </w:tc>
        <w:tc>
          <w:tcPr>
            <w:tcW w:w="1177" w:type="pct"/>
            <w:tcBorders>
              <w:top w:val="single" w:sz="4" w:space="0" w:color="000000"/>
              <w:left w:val="single" w:sz="4" w:space="0" w:color="000000"/>
              <w:bottom w:val="single" w:sz="4" w:space="0" w:color="000000"/>
              <w:right w:val="single" w:sz="4" w:space="0" w:color="000000"/>
            </w:tcBorders>
            <w:hideMark/>
          </w:tcPr>
          <w:p w14:paraId="023FB6FF" w14:textId="77777777" w:rsidR="00A76826" w:rsidRPr="004714C6" w:rsidRDefault="00A76826" w:rsidP="00FB1973">
            <w:pPr>
              <w:widowControl w:val="0"/>
              <w:autoSpaceDE w:val="0"/>
              <w:autoSpaceDN w:val="0"/>
              <w:adjustRightInd w:val="0"/>
              <w:ind w:left="496" w:right="-20"/>
              <w:jc w:val="both"/>
              <w:rPr>
                <w:kern w:val="2"/>
                <w:sz w:val="24"/>
                <w:szCs w:val="24"/>
                <w14:ligatures w14:val="standardContextual"/>
              </w:rPr>
            </w:pPr>
            <w:r w:rsidRPr="004714C6">
              <w:rPr>
                <w:kern w:val="2"/>
                <w:sz w:val="24"/>
                <w:szCs w:val="24"/>
                <w14:ligatures w14:val="standardContextual"/>
              </w:rPr>
              <w:t>347 (2,92 </w:t>
            </w:r>
            <w:r w:rsidRPr="004714C6">
              <w:rPr>
                <w:spacing w:val="-2"/>
                <w:kern w:val="2"/>
                <w:sz w:val="24"/>
                <w:szCs w:val="24"/>
                <w14:ligatures w14:val="standardContextual"/>
              </w:rPr>
              <w:t>%)</w:t>
            </w:r>
          </w:p>
        </w:tc>
        <w:tc>
          <w:tcPr>
            <w:tcW w:w="1247" w:type="pct"/>
            <w:tcBorders>
              <w:top w:val="single" w:sz="4" w:space="0" w:color="000000"/>
              <w:left w:val="single" w:sz="4" w:space="0" w:color="000000"/>
              <w:bottom w:val="single" w:sz="4" w:space="0" w:color="000000"/>
              <w:right w:val="single" w:sz="4" w:space="0" w:color="000000"/>
            </w:tcBorders>
            <w:hideMark/>
          </w:tcPr>
          <w:p w14:paraId="615C100E" w14:textId="77777777" w:rsidR="00A76826" w:rsidRPr="004714C6" w:rsidRDefault="00A76826" w:rsidP="00FB1973">
            <w:pPr>
              <w:widowControl w:val="0"/>
              <w:autoSpaceDE w:val="0"/>
              <w:autoSpaceDN w:val="0"/>
              <w:adjustRightInd w:val="0"/>
              <w:ind w:left="498" w:right="-20"/>
              <w:jc w:val="both"/>
              <w:rPr>
                <w:kern w:val="2"/>
                <w:sz w:val="24"/>
                <w:szCs w:val="24"/>
                <w14:ligatures w14:val="standardContextual"/>
              </w:rPr>
            </w:pPr>
            <w:r w:rsidRPr="004714C6">
              <w:rPr>
                <w:kern w:val="2"/>
                <w:sz w:val="24"/>
                <w:szCs w:val="24"/>
                <w14:ligatures w14:val="standardContextual"/>
              </w:rPr>
              <w:t>409 (3,40 </w:t>
            </w:r>
            <w:r w:rsidRPr="004714C6">
              <w:rPr>
                <w:spacing w:val="-2"/>
                <w:kern w:val="2"/>
                <w:sz w:val="24"/>
                <w:szCs w:val="24"/>
                <w14:ligatures w14:val="standardContextual"/>
              </w:rPr>
              <w:t>%)</w:t>
            </w:r>
          </w:p>
        </w:tc>
        <w:tc>
          <w:tcPr>
            <w:tcW w:w="1013" w:type="pct"/>
            <w:tcBorders>
              <w:top w:val="single" w:sz="4" w:space="0" w:color="000000"/>
              <w:left w:val="single" w:sz="4" w:space="0" w:color="000000"/>
              <w:bottom w:val="single" w:sz="4" w:space="0" w:color="000000"/>
              <w:right w:val="single" w:sz="4" w:space="0" w:color="000000"/>
            </w:tcBorders>
            <w:hideMark/>
          </w:tcPr>
          <w:p w14:paraId="23E0C481" w14:textId="77777777" w:rsidR="00A76826" w:rsidRPr="004714C6" w:rsidRDefault="00A76826" w:rsidP="00FB1973">
            <w:pPr>
              <w:widowControl w:val="0"/>
              <w:autoSpaceDE w:val="0"/>
              <w:autoSpaceDN w:val="0"/>
              <w:adjustRightInd w:val="0"/>
              <w:ind w:left="369" w:right="-20"/>
              <w:jc w:val="both"/>
              <w:rPr>
                <w:kern w:val="2"/>
                <w:sz w:val="24"/>
                <w:szCs w:val="24"/>
                <w14:ligatures w14:val="standardContextual"/>
              </w:rPr>
            </w:pPr>
            <w:r w:rsidRPr="004714C6">
              <w:rPr>
                <w:kern w:val="2"/>
                <w:sz w:val="24"/>
                <w:szCs w:val="24"/>
                <w14:ligatures w14:val="standardContextual"/>
              </w:rPr>
              <w:t>426 (3,61 </w:t>
            </w:r>
            <w:r w:rsidRPr="004714C6">
              <w:rPr>
                <w:spacing w:val="-2"/>
                <w:kern w:val="2"/>
                <w:sz w:val="24"/>
                <w:szCs w:val="24"/>
                <w14:ligatures w14:val="standardContextual"/>
              </w:rPr>
              <w:t>%)</w:t>
            </w:r>
          </w:p>
        </w:tc>
      </w:tr>
      <w:tr w:rsidR="00A76826" w:rsidRPr="004714C6" w14:paraId="76DA6EEE" w14:textId="77777777" w:rsidTr="00FB1973">
        <w:trPr>
          <w:trHeight w:val="20"/>
        </w:trPr>
        <w:tc>
          <w:tcPr>
            <w:tcW w:w="1563" w:type="pct"/>
            <w:tcBorders>
              <w:top w:val="single" w:sz="4" w:space="0" w:color="000000"/>
              <w:left w:val="single" w:sz="4" w:space="0" w:color="000000"/>
              <w:bottom w:val="single" w:sz="4" w:space="0" w:color="000000"/>
              <w:right w:val="single" w:sz="4" w:space="0" w:color="000000"/>
            </w:tcBorders>
            <w:hideMark/>
          </w:tcPr>
          <w:p w14:paraId="1042B9F6" w14:textId="77777777" w:rsidR="00A76826" w:rsidRPr="004714C6" w:rsidRDefault="00A76826" w:rsidP="00FB1973">
            <w:pPr>
              <w:widowControl w:val="0"/>
              <w:autoSpaceDE w:val="0"/>
              <w:autoSpaceDN w:val="0"/>
              <w:adjustRightInd w:val="0"/>
              <w:ind w:left="383" w:right="-20"/>
              <w:jc w:val="both"/>
              <w:rPr>
                <w:kern w:val="2"/>
                <w:sz w:val="24"/>
                <w:szCs w:val="24"/>
                <w14:ligatures w14:val="standardContextual"/>
              </w:rPr>
            </w:pPr>
            <w:r w:rsidRPr="004714C6">
              <w:rPr>
                <w:kern w:val="2"/>
                <w:sz w:val="24"/>
                <w:szCs w:val="24"/>
                <w14:ligatures w14:val="standardContextual"/>
              </w:rPr>
              <w:t>Intrakraniel blødning</w:t>
            </w:r>
          </w:p>
        </w:tc>
        <w:tc>
          <w:tcPr>
            <w:tcW w:w="1177" w:type="pct"/>
            <w:tcBorders>
              <w:top w:val="single" w:sz="4" w:space="0" w:color="000000"/>
              <w:left w:val="single" w:sz="4" w:space="0" w:color="000000"/>
              <w:bottom w:val="single" w:sz="4" w:space="0" w:color="000000"/>
              <w:right w:val="single" w:sz="4" w:space="0" w:color="000000"/>
            </w:tcBorders>
            <w:hideMark/>
          </w:tcPr>
          <w:p w14:paraId="6AE4C2EB" w14:textId="77777777" w:rsidR="00A76826" w:rsidRPr="004714C6" w:rsidRDefault="00A76826" w:rsidP="00FB1973">
            <w:pPr>
              <w:widowControl w:val="0"/>
              <w:autoSpaceDE w:val="0"/>
              <w:autoSpaceDN w:val="0"/>
              <w:adjustRightInd w:val="0"/>
              <w:ind w:left="551" w:right="-20"/>
              <w:jc w:val="both"/>
              <w:rPr>
                <w:kern w:val="2"/>
                <w:sz w:val="24"/>
                <w:szCs w:val="24"/>
                <w14:ligatures w14:val="standardContextual"/>
              </w:rPr>
            </w:pPr>
            <w:r w:rsidRPr="004714C6">
              <w:rPr>
                <w:kern w:val="2"/>
                <w:sz w:val="24"/>
                <w:szCs w:val="24"/>
                <w14:ligatures w14:val="standardContextual"/>
              </w:rPr>
              <w:t>27 (0,23 </w:t>
            </w:r>
            <w:r w:rsidRPr="004714C6">
              <w:rPr>
                <w:spacing w:val="-2"/>
                <w:kern w:val="2"/>
                <w:sz w:val="24"/>
                <w:szCs w:val="24"/>
                <w14:ligatures w14:val="standardContextual"/>
              </w:rPr>
              <w:t>%)</w:t>
            </w:r>
          </w:p>
        </w:tc>
        <w:tc>
          <w:tcPr>
            <w:tcW w:w="1247" w:type="pct"/>
            <w:tcBorders>
              <w:top w:val="single" w:sz="4" w:space="0" w:color="000000"/>
              <w:left w:val="single" w:sz="4" w:space="0" w:color="000000"/>
              <w:bottom w:val="single" w:sz="4" w:space="0" w:color="000000"/>
              <w:right w:val="single" w:sz="4" w:space="0" w:color="000000"/>
            </w:tcBorders>
            <w:hideMark/>
          </w:tcPr>
          <w:p w14:paraId="6516B1AF" w14:textId="77777777" w:rsidR="00A76826" w:rsidRPr="004714C6" w:rsidRDefault="00A76826" w:rsidP="00FB1973">
            <w:pPr>
              <w:widowControl w:val="0"/>
              <w:autoSpaceDE w:val="0"/>
              <w:autoSpaceDN w:val="0"/>
              <w:adjustRightInd w:val="0"/>
              <w:ind w:left="553" w:right="-20"/>
              <w:jc w:val="both"/>
              <w:rPr>
                <w:kern w:val="2"/>
                <w:sz w:val="24"/>
                <w:szCs w:val="24"/>
                <w14:ligatures w14:val="standardContextual"/>
              </w:rPr>
            </w:pPr>
            <w:r w:rsidRPr="004714C6">
              <w:rPr>
                <w:kern w:val="2"/>
                <w:sz w:val="24"/>
                <w:szCs w:val="24"/>
                <w14:ligatures w14:val="standardContextual"/>
              </w:rPr>
              <w:t>39 (0,32 </w:t>
            </w:r>
            <w:r w:rsidRPr="004714C6">
              <w:rPr>
                <w:spacing w:val="-2"/>
                <w:kern w:val="2"/>
                <w:sz w:val="24"/>
                <w:szCs w:val="24"/>
                <w14:ligatures w14:val="standardContextual"/>
              </w:rPr>
              <w:t>%)</w:t>
            </w:r>
          </w:p>
        </w:tc>
        <w:tc>
          <w:tcPr>
            <w:tcW w:w="1013" w:type="pct"/>
            <w:tcBorders>
              <w:top w:val="single" w:sz="4" w:space="0" w:color="000000"/>
              <w:left w:val="single" w:sz="4" w:space="0" w:color="000000"/>
              <w:bottom w:val="single" w:sz="4" w:space="0" w:color="000000"/>
              <w:right w:val="single" w:sz="4" w:space="0" w:color="000000"/>
            </w:tcBorders>
            <w:hideMark/>
          </w:tcPr>
          <w:p w14:paraId="32AB75FE" w14:textId="77777777" w:rsidR="00A76826" w:rsidRPr="004714C6" w:rsidRDefault="00A76826" w:rsidP="00FB1973">
            <w:pPr>
              <w:widowControl w:val="0"/>
              <w:autoSpaceDE w:val="0"/>
              <w:autoSpaceDN w:val="0"/>
              <w:adjustRightInd w:val="0"/>
              <w:ind w:left="424" w:right="-20"/>
              <w:jc w:val="both"/>
              <w:rPr>
                <w:kern w:val="2"/>
                <w:sz w:val="24"/>
                <w:szCs w:val="24"/>
                <w14:ligatures w14:val="standardContextual"/>
              </w:rPr>
            </w:pPr>
            <w:r w:rsidRPr="004714C6">
              <w:rPr>
                <w:kern w:val="2"/>
                <w:sz w:val="24"/>
                <w:szCs w:val="24"/>
                <w14:ligatures w14:val="standardContextual"/>
              </w:rPr>
              <w:t>91 (0,77 </w:t>
            </w:r>
            <w:r w:rsidRPr="004714C6">
              <w:rPr>
                <w:spacing w:val="-2"/>
                <w:kern w:val="2"/>
                <w:sz w:val="24"/>
                <w:szCs w:val="24"/>
                <w14:ligatures w14:val="standardContextual"/>
              </w:rPr>
              <w:t>%)</w:t>
            </w:r>
          </w:p>
        </w:tc>
      </w:tr>
      <w:tr w:rsidR="00A76826" w:rsidRPr="004714C6" w14:paraId="669C0F48" w14:textId="77777777" w:rsidTr="00FB1973">
        <w:trPr>
          <w:trHeight w:val="20"/>
        </w:trPr>
        <w:tc>
          <w:tcPr>
            <w:tcW w:w="1563" w:type="pct"/>
            <w:tcBorders>
              <w:top w:val="single" w:sz="4" w:space="0" w:color="000000"/>
              <w:left w:val="single" w:sz="4" w:space="0" w:color="000000"/>
              <w:bottom w:val="single" w:sz="4" w:space="0" w:color="000000"/>
              <w:right w:val="single" w:sz="4" w:space="0" w:color="000000"/>
            </w:tcBorders>
            <w:hideMark/>
          </w:tcPr>
          <w:p w14:paraId="34DEA29D" w14:textId="77777777" w:rsidR="00A76826" w:rsidRPr="004714C6" w:rsidRDefault="00A76826" w:rsidP="00FB1973">
            <w:pPr>
              <w:widowControl w:val="0"/>
              <w:autoSpaceDE w:val="0"/>
              <w:autoSpaceDN w:val="0"/>
              <w:adjustRightInd w:val="0"/>
              <w:ind w:left="383" w:right="-20"/>
              <w:jc w:val="both"/>
              <w:rPr>
                <w:kern w:val="2"/>
                <w:sz w:val="24"/>
                <w:szCs w:val="24"/>
                <w14:ligatures w14:val="standardContextual"/>
              </w:rPr>
            </w:pPr>
            <w:r w:rsidRPr="004714C6">
              <w:rPr>
                <w:spacing w:val="-2"/>
                <w:kern w:val="2"/>
                <w:sz w:val="24"/>
                <w:szCs w:val="24"/>
                <w14:ligatures w14:val="standardContextual"/>
              </w:rPr>
              <w:t>Gastrointestinal</w:t>
            </w:r>
            <w:r w:rsidRPr="004714C6">
              <w:rPr>
                <w:kern w:val="2"/>
                <w:sz w:val="24"/>
                <w:szCs w:val="24"/>
                <w14:ligatures w14:val="standardContextual"/>
              </w:rPr>
              <w:t xml:space="preserve"> blødning</w:t>
            </w:r>
          </w:p>
        </w:tc>
        <w:tc>
          <w:tcPr>
            <w:tcW w:w="1177" w:type="pct"/>
            <w:tcBorders>
              <w:top w:val="single" w:sz="4" w:space="0" w:color="000000"/>
              <w:left w:val="single" w:sz="4" w:space="0" w:color="000000"/>
              <w:bottom w:val="single" w:sz="4" w:space="0" w:color="000000"/>
              <w:right w:val="single" w:sz="4" w:space="0" w:color="000000"/>
            </w:tcBorders>
            <w:hideMark/>
          </w:tcPr>
          <w:p w14:paraId="5C112824" w14:textId="77777777" w:rsidR="00A76826" w:rsidRPr="004714C6" w:rsidRDefault="00A76826" w:rsidP="00FB1973">
            <w:pPr>
              <w:widowControl w:val="0"/>
              <w:autoSpaceDE w:val="0"/>
              <w:autoSpaceDN w:val="0"/>
              <w:adjustRightInd w:val="0"/>
              <w:ind w:left="496" w:right="-20"/>
              <w:jc w:val="both"/>
              <w:rPr>
                <w:kern w:val="2"/>
                <w:sz w:val="24"/>
                <w:szCs w:val="24"/>
                <w14:ligatures w14:val="standardContextual"/>
              </w:rPr>
            </w:pPr>
            <w:r w:rsidRPr="004714C6">
              <w:rPr>
                <w:kern w:val="2"/>
                <w:sz w:val="24"/>
                <w:szCs w:val="24"/>
                <w14:ligatures w14:val="standardContextual"/>
              </w:rPr>
              <w:t>134 (1,13 </w:t>
            </w:r>
            <w:r w:rsidRPr="004714C6">
              <w:rPr>
                <w:spacing w:val="-2"/>
                <w:kern w:val="2"/>
                <w:sz w:val="24"/>
                <w:szCs w:val="24"/>
                <w14:ligatures w14:val="standardContextual"/>
              </w:rPr>
              <w:t>%)</w:t>
            </w:r>
          </w:p>
        </w:tc>
        <w:tc>
          <w:tcPr>
            <w:tcW w:w="1247" w:type="pct"/>
            <w:tcBorders>
              <w:top w:val="single" w:sz="4" w:space="0" w:color="000000"/>
              <w:left w:val="single" w:sz="4" w:space="0" w:color="000000"/>
              <w:bottom w:val="single" w:sz="4" w:space="0" w:color="000000"/>
              <w:right w:val="single" w:sz="4" w:space="0" w:color="000000"/>
            </w:tcBorders>
            <w:hideMark/>
          </w:tcPr>
          <w:p w14:paraId="193DD562" w14:textId="77777777" w:rsidR="00A76826" w:rsidRPr="004714C6" w:rsidRDefault="00A76826" w:rsidP="00FB1973">
            <w:pPr>
              <w:widowControl w:val="0"/>
              <w:autoSpaceDE w:val="0"/>
              <w:autoSpaceDN w:val="0"/>
              <w:adjustRightInd w:val="0"/>
              <w:ind w:left="498" w:right="-20"/>
              <w:jc w:val="both"/>
              <w:rPr>
                <w:kern w:val="2"/>
                <w:sz w:val="24"/>
                <w:szCs w:val="24"/>
                <w14:ligatures w14:val="standardContextual"/>
              </w:rPr>
            </w:pPr>
            <w:r w:rsidRPr="004714C6">
              <w:rPr>
                <w:kern w:val="2"/>
                <w:sz w:val="24"/>
                <w:szCs w:val="24"/>
                <w14:ligatures w14:val="standardContextual"/>
              </w:rPr>
              <w:t>192 (1,60 </w:t>
            </w:r>
            <w:r w:rsidRPr="004714C6">
              <w:rPr>
                <w:spacing w:val="-2"/>
                <w:kern w:val="2"/>
                <w:sz w:val="24"/>
                <w:szCs w:val="24"/>
                <w14:ligatures w14:val="standardContextual"/>
              </w:rPr>
              <w:t>%)</w:t>
            </w:r>
          </w:p>
        </w:tc>
        <w:tc>
          <w:tcPr>
            <w:tcW w:w="1013" w:type="pct"/>
            <w:tcBorders>
              <w:top w:val="single" w:sz="4" w:space="0" w:color="000000"/>
              <w:left w:val="single" w:sz="4" w:space="0" w:color="000000"/>
              <w:bottom w:val="single" w:sz="4" w:space="0" w:color="000000"/>
              <w:right w:val="single" w:sz="4" w:space="0" w:color="000000"/>
            </w:tcBorders>
            <w:hideMark/>
          </w:tcPr>
          <w:p w14:paraId="742FBE15" w14:textId="77777777" w:rsidR="00A76826" w:rsidRPr="004714C6" w:rsidRDefault="00A76826" w:rsidP="00FB1973">
            <w:pPr>
              <w:widowControl w:val="0"/>
              <w:autoSpaceDE w:val="0"/>
              <w:autoSpaceDN w:val="0"/>
              <w:adjustRightInd w:val="0"/>
              <w:ind w:left="369" w:right="-20"/>
              <w:jc w:val="both"/>
              <w:rPr>
                <w:kern w:val="2"/>
                <w:sz w:val="24"/>
                <w:szCs w:val="24"/>
                <w14:ligatures w14:val="standardContextual"/>
              </w:rPr>
            </w:pPr>
            <w:r w:rsidRPr="004714C6">
              <w:rPr>
                <w:kern w:val="2"/>
                <w:sz w:val="24"/>
                <w:szCs w:val="24"/>
                <w14:ligatures w14:val="standardContextual"/>
              </w:rPr>
              <w:t>128 (1,09 </w:t>
            </w:r>
            <w:r w:rsidRPr="004714C6">
              <w:rPr>
                <w:spacing w:val="-2"/>
                <w:kern w:val="2"/>
                <w:sz w:val="24"/>
                <w:szCs w:val="24"/>
                <w14:ligatures w14:val="standardContextual"/>
              </w:rPr>
              <w:t>%)</w:t>
            </w:r>
          </w:p>
        </w:tc>
      </w:tr>
      <w:tr w:rsidR="00A76826" w:rsidRPr="004714C6" w14:paraId="38F9F074" w14:textId="77777777" w:rsidTr="00FB1973">
        <w:trPr>
          <w:trHeight w:val="20"/>
        </w:trPr>
        <w:tc>
          <w:tcPr>
            <w:tcW w:w="1563" w:type="pct"/>
            <w:tcBorders>
              <w:top w:val="single" w:sz="4" w:space="0" w:color="000000"/>
              <w:left w:val="single" w:sz="4" w:space="0" w:color="000000"/>
              <w:bottom w:val="single" w:sz="4" w:space="0" w:color="000000"/>
              <w:right w:val="single" w:sz="4" w:space="0" w:color="000000"/>
            </w:tcBorders>
            <w:hideMark/>
          </w:tcPr>
          <w:p w14:paraId="0C032D7A" w14:textId="77777777" w:rsidR="00A76826" w:rsidRPr="004714C6" w:rsidRDefault="00A76826" w:rsidP="00FB1973">
            <w:pPr>
              <w:widowControl w:val="0"/>
              <w:autoSpaceDE w:val="0"/>
              <w:autoSpaceDN w:val="0"/>
              <w:adjustRightInd w:val="0"/>
              <w:ind w:left="383" w:right="-20"/>
              <w:jc w:val="both"/>
              <w:rPr>
                <w:kern w:val="2"/>
                <w:sz w:val="24"/>
                <w:szCs w:val="24"/>
                <w14:ligatures w14:val="standardContextual"/>
              </w:rPr>
            </w:pPr>
            <w:r w:rsidRPr="004714C6">
              <w:rPr>
                <w:kern w:val="2"/>
                <w:sz w:val="24"/>
                <w:szCs w:val="24"/>
                <w14:ligatures w14:val="standardContextual"/>
              </w:rPr>
              <w:t>Letal blødning</w:t>
            </w:r>
          </w:p>
        </w:tc>
        <w:tc>
          <w:tcPr>
            <w:tcW w:w="1177" w:type="pct"/>
            <w:tcBorders>
              <w:top w:val="single" w:sz="4" w:space="0" w:color="000000"/>
              <w:left w:val="single" w:sz="4" w:space="0" w:color="000000"/>
              <w:bottom w:val="single" w:sz="4" w:space="0" w:color="000000"/>
              <w:right w:val="single" w:sz="4" w:space="0" w:color="000000"/>
            </w:tcBorders>
            <w:hideMark/>
          </w:tcPr>
          <w:p w14:paraId="70F45F82" w14:textId="77777777" w:rsidR="00A76826" w:rsidRPr="004714C6" w:rsidRDefault="00A76826" w:rsidP="00FB1973">
            <w:pPr>
              <w:widowControl w:val="0"/>
              <w:autoSpaceDE w:val="0"/>
              <w:autoSpaceDN w:val="0"/>
              <w:adjustRightInd w:val="0"/>
              <w:ind w:left="551" w:right="-20"/>
              <w:jc w:val="both"/>
              <w:rPr>
                <w:kern w:val="2"/>
                <w:sz w:val="24"/>
                <w:szCs w:val="24"/>
                <w14:ligatures w14:val="standardContextual"/>
              </w:rPr>
            </w:pPr>
            <w:r w:rsidRPr="004714C6">
              <w:rPr>
                <w:kern w:val="2"/>
                <w:sz w:val="24"/>
                <w:szCs w:val="24"/>
                <w14:ligatures w14:val="standardContextual"/>
              </w:rPr>
              <w:t>26 (0,22 </w:t>
            </w:r>
            <w:r w:rsidRPr="004714C6">
              <w:rPr>
                <w:spacing w:val="-2"/>
                <w:kern w:val="2"/>
                <w:sz w:val="24"/>
                <w:szCs w:val="24"/>
                <w14:ligatures w14:val="standardContextual"/>
              </w:rPr>
              <w:t>%)</w:t>
            </w:r>
          </w:p>
        </w:tc>
        <w:tc>
          <w:tcPr>
            <w:tcW w:w="1247" w:type="pct"/>
            <w:tcBorders>
              <w:top w:val="single" w:sz="4" w:space="0" w:color="000000"/>
              <w:left w:val="single" w:sz="4" w:space="0" w:color="000000"/>
              <w:bottom w:val="single" w:sz="4" w:space="0" w:color="000000"/>
              <w:right w:val="single" w:sz="4" w:space="0" w:color="000000"/>
            </w:tcBorders>
            <w:hideMark/>
          </w:tcPr>
          <w:p w14:paraId="6A00F549" w14:textId="77777777" w:rsidR="00A76826" w:rsidRPr="004714C6" w:rsidRDefault="00A76826" w:rsidP="00FB1973">
            <w:pPr>
              <w:widowControl w:val="0"/>
              <w:autoSpaceDE w:val="0"/>
              <w:autoSpaceDN w:val="0"/>
              <w:adjustRightInd w:val="0"/>
              <w:ind w:left="553" w:right="-20"/>
              <w:jc w:val="both"/>
              <w:rPr>
                <w:kern w:val="2"/>
                <w:sz w:val="24"/>
                <w:szCs w:val="24"/>
                <w14:ligatures w14:val="standardContextual"/>
              </w:rPr>
            </w:pPr>
            <w:r w:rsidRPr="004714C6">
              <w:rPr>
                <w:kern w:val="2"/>
                <w:sz w:val="24"/>
                <w:szCs w:val="24"/>
                <w14:ligatures w14:val="standardContextual"/>
              </w:rPr>
              <w:t>30 (0,25 </w:t>
            </w:r>
            <w:r w:rsidRPr="004714C6">
              <w:rPr>
                <w:spacing w:val="-2"/>
                <w:kern w:val="2"/>
                <w:sz w:val="24"/>
                <w:szCs w:val="24"/>
                <w14:ligatures w14:val="standardContextual"/>
              </w:rPr>
              <w:t>%)</w:t>
            </w:r>
          </w:p>
        </w:tc>
        <w:tc>
          <w:tcPr>
            <w:tcW w:w="1013" w:type="pct"/>
            <w:tcBorders>
              <w:top w:val="single" w:sz="4" w:space="0" w:color="000000"/>
              <w:left w:val="single" w:sz="4" w:space="0" w:color="000000"/>
              <w:bottom w:val="single" w:sz="4" w:space="0" w:color="000000"/>
              <w:right w:val="single" w:sz="4" w:space="0" w:color="000000"/>
            </w:tcBorders>
            <w:hideMark/>
          </w:tcPr>
          <w:p w14:paraId="41CEE37C" w14:textId="77777777" w:rsidR="00A76826" w:rsidRPr="004714C6" w:rsidRDefault="00A76826" w:rsidP="00FB1973">
            <w:pPr>
              <w:widowControl w:val="0"/>
              <w:autoSpaceDE w:val="0"/>
              <w:autoSpaceDN w:val="0"/>
              <w:adjustRightInd w:val="0"/>
              <w:ind w:left="424" w:right="-20"/>
              <w:jc w:val="both"/>
              <w:rPr>
                <w:kern w:val="2"/>
                <w:sz w:val="24"/>
                <w:szCs w:val="24"/>
                <w14:ligatures w14:val="standardContextual"/>
              </w:rPr>
            </w:pPr>
            <w:r w:rsidRPr="004714C6">
              <w:rPr>
                <w:kern w:val="2"/>
                <w:sz w:val="24"/>
                <w:szCs w:val="24"/>
                <w14:ligatures w14:val="standardContextual"/>
              </w:rPr>
              <w:t>42 (0,36 </w:t>
            </w:r>
            <w:r w:rsidRPr="004714C6">
              <w:rPr>
                <w:spacing w:val="-2"/>
                <w:kern w:val="2"/>
                <w:sz w:val="24"/>
                <w:szCs w:val="24"/>
                <w14:ligatures w14:val="standardContextual"/>
              </w:rPr>
              <w:t>%)</w:t>
            </w:r>
          </w:p>
        </w:tc>
      </w:tr>
      <w:tr w:rsidR="00A76826" w:rsidRPr="004714C6" w14:paraId="652555F7" w14:textId="77777777" w:rsidTr="00FB1973">
        <w:trPr>
          <w:trHeight w:val="20"/>
        </w:trPr>
        <w:tc>
          <w:tcPr>
            <w:tcW w:w="1563" w:type="pct"/>
            <w:tcBorders>
              <w:top w:val="single" w:sz="4" w:space="0" w:color="000000"/>
              <w:left w:val="single" w:sz="4" w:space="0" w:color="000000"/>
              <w:bottom w:val="single" w:sz="4" w:space="0" w:color="000000"/>
              <w:right w:val="single" w:sz="4" w:space="0" w:color="000000"/>
            </w:tcBorders>
            <w:hideMark/>
          </w:tcPr>
          <w:p w14:paraId="678A54E6" w14:textId="77777777" w:rsidR="00A76826" w:rsidRPr="004714C6" w:rsidRDefault="00A76826" w:rsidP="00FB1973">
            <w:pPr>
              <w:widowControl w:val="0"/>
              <w:autoSpaceDE w:val="0"/>
              <w:autoSpaceDN w:val="0"/>
              <w:adjustRightInd w:val="0"/>
              <w:ind w:left="100" w:right="-20"/>
              <w:jc w:val="both"/>
              <w:rPr>
                <w:kern w:val="2"/>
                <w:sz w:val="24"/>
                <w:szCs w:val="24"/>
                <w14:ligatures w14:val="standardContextual"/>
              </w:rPr>
            </w:pPr>
            <w:r w:rsidRPr="004714C6">
              <w:rPr>
                <w:kern w:val="2"/>
                <w:sz w:val="24"/>
                <w:szCs w:val="24"/>
                <w14:ligatures w14:val="standardContextual"/>
              </w:rPr>
              <w:t>Mindre blødning</w:t>
            </w:r>
          </w:p>
        </w:tc>
        <w:tc>
          <w:tcPr>
            <w:tcW w:w="1177" w:type="pct"/>
            <w:tcBorders>
              <w:top w:val="single" w:sz="4" w:space="0" w:color="000000"/>
              <w:left w:val="single" w:sz="4" w:space="0" w:color="000000"/>
              <w:bottom w:val="single" w:sz="4" w:space="0" w:color="000000"/>
              <w:right w:val="single" w:sz="4" w:space="0" w:color="000000"/>
            </w:tcBorders>
            <w:hideMark/>
          </w:tcPr>
          <w:p w14:paraId="40E7F5B0" w14:textId="77777777" w:rsidR="00A76826" w:rsidRPr="004714C6" w:rsidRDefault="00A76826" w:rsidP="00FB1973">
            <w:pPr>
              <w:widowControl w:val="0"/>
              <w:autoSpaceDE w:val="0"/>
              <w:autoSpaceDN w:val="0"/>
              <w:adjustRightInd w:val="0"/>
              <w:ind w:left="357" w:right="-20"/>
              <w:jc w:val="both"/>
              <w:rPr>
                <w:kern w:val="2"/>
                <w:sz w:val="24"/>
                <w:szCs w:val="24"/>
                <w14:ligatures w14:val="standardContextual"/>
              </w:rPr>
            </w:pPr>
            <w:r w:rsidRPr="004714C6">
              <w:rPr>
                <w:kern w:val="2"/>
                <w:sz w:val="24"/>
                <w:szCs w:val="24"/>
                <w14:ligatures w14:val="standardContextual"/>
              </w:rPr>
              <w:t>1.566 (13,16 </w:t>
            </w:r>
            <w:r w:rsidRPr="004714C6">
              <w:rPr>
                <w:spacing w:val="1"/>
                <w:kern w:val="2"/>
                <w:sz w:val="24"/>
                <w:szCs w:val="24"/>
                <w14:ligatures w14:val="standardContextual"/>
              </w:rPr>
              <w:t>%)</w:t>
            </w:r>
          </w:p>
        </w:tc>
        <w:tc>
          <w:tcPr>
            <w:tcW w:w="1247" w:type="pct"/>
            <w:tcBorders>
              <w:top w:val="single" w:sz="4" w:space="0" w:color="000000"/>
              <w:left w:val="single" w:sz="4" w:space="0" w:color="000000"/>
              <w:bottom w:val="single" w:sz="4" w:space="0" w:color="000000"/>
              <w:right w:val="single" w:sz="4" w:space="0" w:color="000000"/>
            </w:tcBorders>
            <w:hideMark/>
          </w:tcPr>
          <w:p w14:paraId="1DC93DA0" w14:textId="77777777" w:rsidR="00A76826" w:rsidRPr="004714C6" w:rsidRDefault="00A76826" w:rsidP="00FB1973">
            <w:pPr>
              <w:widowControl w:val="0"/>
              <w:autoSpaceDE w:val="0"/>
              <w:autoSpaceDN w:val="0"/>
              <w:adjustRightInd w:val="0"/>
              <w:ind w:left="359" w:right="-20"/>
              <w:jc w:val="both"/>
              <w:rPr>
                <w:kern w:val="2"/>
                <w:sz w:val="24"/>
                <w:szCs w:val="24"/>
                <w14:ligatures w14:val="standardContextual"/>
              </w:rPr>
            </w:pPr>
            <w:r w:rsidRPr="004714C6">
              <w:rPr>
                <w:kern w:val="2"/>
                <w:sz w:val="24"/>
                <w:szCs w:val="24"/>
                <w14:ligatures w14:val="standardContextual"/>
              </w:rPr>
              <w:t>1.787 (14,85 </w:t>
            </w:r>
            <w:r w:rsidRPr="004714C6">
              <w:rPr>
                <w:spacing w:val="1"/>
                <w:kern w:val="2"/>
                <w:sz w:val="24"/>
                <w:szCs w:val="24"/>
                <w14:ligatures w14:val="standardContextual"/>
              </w:rPr>
              <w:t>%)</w:t>
            </w:r>
          </w:p>
        </w:tc>
        <w:tc>
          <w:tcPr>
            <w:tcW w:w="1013" w:type="pct"/>
            <w:tcBorders>
              <w:top w:val="single" w:sz="4" w:space="0" w:color="000000"/>
              <w:left w:val="single" w:sz="4" w:space="0" w:color="000000"/>
              <w:bottom w:val="single" w:sz="4" w:space="0" w:color="000000"/>
              <w:right w:val="single" w:sz="4" w:space="0" w:color="000000"/>
            </w:tcBorders>
            <w:hideMark/>
          </w:tcPr>
          <w:p w14:paraId="4C4DF10D" w14:textId="77777777" w:rsidR="00A76826" w:rsidRPr="004714C6" w:rsidRDefault="00A76826" w:rsidP="00FB1973">
            <w:pPr>
              <w:widowControl w:val="0"/>
              <w:autoSpaceDE w:val="0"/>
              <w:autoSpaceDN w:val="0"/>
              <w:adjustRightInd w:val="0"/>
              <w:ind w:left="229" w:right="-20"/>
              <w:jc w:val="both"/>
              <w:rPr>
                <w:kern w:val="2"/>
                <w:sz w:val="24"/>
                <w:szCs w:val="24"/>
                <w14:ligatures w14:val="standardContextual"/>
              </w:rPr>
            </w:pPr>
            <w:r w:rsidRPr="004714C6">
              <w:rPr>
                <w:kern w:val="2"/>
                <w:sz w:val="24"/>
                <w:szCs w:val="24"/>
                <w14:ligatures w14:val="standardContextual"/>
              </w:rPr>
              <w:t>1.931 (16,37 </w:t>
            </w:r>
            <w:r w:rsidRPr="004714C6">
              <w:rPr>
                <w:spacing w:val="1"/>
                <w:kern w:val="2"/>
                <w:sz w:val="24"/>
                <w:szCs w:val="24"/>
                <w14:ligatures w14:val="standardContextual"/>
              </w:rPr>
              <w:t>%)</w:t>
            </w:r>
          </w:p>
        </w:tc>
      </w:tr>
      <w:tr w:rsidR="00A76826" w:rsidRPr="004714C6" w14:paraId="4B6913E2" w14:textId="77777777" w:rsidTr="00FB1973">
        <w:trPr>
          <w:trHeight w:val="20"/>
        </w:trPr>
        <w:tc>
          <w:tcPr>
            <w:tcW w:w="1563" w:type="pct"/>
            <w:tcBorders>
              <w:top w:val="single" w:sz="4" w:space="0" w:color="000000"/>
              <w:left w:val="single" w:sz="4" w:space="0" w:color="000000"/>
              <w:bottom w:val="single" w:sz="4" w:space="0" w:color="000000"/>
              <w:right w:val="single" w:sz="4" w:space="0" w:color="000000"/>
            </w:tcBorders>
            <w:hideMark/>
          </w:tcPr>
          <w:p w14:paraId="645FC131" w14:textId="77777777" w:rsidR="00A76826" w:rsidRPr="004714C6" w:rsidRDefault="00A76826" w:rsidP="00FB1973">
            <w:pPr>
              <w:widowControl w:val="0"/>
              <w:autoSpaceDE w:val="0"/>
              <w:autoSpaceDN w:val="0"/>
              <w:adjustRightInd w:val="0"/>
              <w:ind w:left="100" w:right="-20"/>
              <w:jc w:val="both"/>
              <w:rPr>
                <w:kern w:val="2"/>
                <w:sz w:val="24"/>
                <w:szCs w:val="24"/>
                <w14:ligatures w14:val="standardContextual"/>
              </w:rPr>
            </w:pPr>
            <w:r w:rsidRPr="004714C6">
              <w:rPr>
                <w:kern w:val="2"/>
                <w:sz w:val="24"/>
                <w:szCs w:val="24"/>
                <w14:ligatures w14:val="standardContextual"/>
              </w:rPr>
              <w:t>Alle blødninger</w:t>
            </w:r>
          </w:p>
        </w:tc>
        <w:tc>
          <w:tcPr>
            <w:tcW w:w="1177" w:type="pct"/>
            <w:tcBorders>
              <w:top w:val="single" w:sz="4" w:space="0" w:color="000000"/>
              <w:left w:val="single" w:sz="4" w:space="0" w:color="000000"/>
              <w:bottom w:val="single" w:sz="4" w:space="0" w:color="000000"/>
              <w:right w:val="single" w:sz="4" w:space="0" w:color="000000"/>
            </w:tcBorders>
            <w:hideMark/>
          </w:tcPr>
          <w:p w14:paraId="4883542F" w14:textId="77777777" w:rsidR="00A76826" w:rsidRPr="004714C6" w:rsidRDefault="00A76826" w:rsidP="00FB1973">
            <w:pPr>
              <w:widowControl w:val="0"/>
              <w:autoSpaceDE w:val="0"/>
              <w:autoSpaceDN w:val="0"/>
              <w:adjustRightInd w:val="0"/>
              <w:ind w:left="357" w:right="-20"/>
              <w:jc w:val="both"/>
              <w:rPr>
                <w:kern w:val="2"/>
                <w:sz w:val="24"/>
                <w:szCs w:val="24"/>
                <w14:ligatures w14:val="standardContextual"/>
              </w:rPr>
            </w:pPr>
            <w:r w:rsidRPr="004714C6">
              <w:rPr>
                <w:kern w:val="2"/>
                <w:sz w:val="24"/>
                <w:szCs w:val="24"/>
                <w14:ligatures w14:val="standardContextual"/>
              </w:rPr>
              <w:t>1.759 (14,78 </w:t>
            </w:r>
            <w:r w:rsidRPr="004714C6">
              <w:rPr>
                <w:spacing w:val="1"/>
                <w:kern w:val="2"/>
                <w:sz w:val="24"/>
                <w:szCs w:val="24"/>
                <w14:ligatures w14:val="standardContextual"/>
              </w:rPr>
              <w:t>%)</w:t>
            </w:r>
          </w:p>
        </w:tc>
        <w:tc>
          <w:tcPr>
            <w:tcW w:w="1247" w:type="pct"/>
            <w:tcBorders>
              <w:top w:val="single" w:sz="4" w:space="0" w:color="000000"/>
              <w:left w:val="single" w:sz="4" w:space="0" w:color="000000"/>
              <w:bottom w:val="single" w:sz="4" w:space="0" w:color="000000"/>
              <w:right w:val="single" w:sz="4" w:space="0" w:color="000000"/>
            </w:tcBorders>
            <w:hideMark/>
          </w:tcPr>
          <w:p w14:paraId="714171AD" w14:textId="77777777" w:rsidR="00A76826" w:rsidRPr="004714C6" w:rsidRDefault="00A76826" w:rsidP="00FB1973">
            <w:pPr>
              <w:widowControl w:val="0"/>
              <w:autoSpaceDE w:val="0"/>
              <w:autoSpaceDN w:val="0"/>
              <w:adjustRightInd w:val="0"/>
              <w:ind w:left="359" w:right="-20"/>
              <w:jc w:val="both"/>
              <w:rPr>
                <w:kern w:val="2"/>
                <w:sz w:val="24"/>
                <w:szCs w:val="24"/>
                <w14:ligatures w14:val="standardContextual"/>
              </w:rPr>
            </w:pPr>
            <w:r w:rsidRPr="004714C6">
              <w:rPr>
                <w:kern w:val="2"/>
                <w:sz w:val="24"/>
                <w:szCs w:val="24"/>
                <w14:ligatures w14:val="standardContextual"/>
              </w:rPr>
              <w:t>1.997 (16,60 </w:t>
            </w:r>
            <w:r w:rsidRPr="004714C6">
              <w:rPr>
                <w:spacing w:val="1"/>
                <w:kern w:val="2"/>
                <w:sz w:val="24"/>
                <w:szCs w:val="24"/>
                <w14:ligatures w14:val="standardContextual"/>
              </w:rPr>
              <w:t>%)</w:t>
            </w:r>
          </w:p>
        </w:tc>
        <w:tc>
          <w:tcPr>
            <w:tcW w:w="1013" w:type="pct"/>
            <w:tcBorders>
              <w:top w:val="single" w:sz="4" w:space="0" w:color="000000"/>
              <w:left w:val="single" w:sz="4" w:space="0" w:color="000000"/>
              <w:bottom w:val="single" w:sz="4" w:space="0" w:color="000000"/>
              <w:right w:val="single" w:sz="4" w:space="0" w:color="000000"/>
            </w:tcBorders>
            <w:hideMark/>
          </w:tcPr>
          <w:p w14:paraId="76B2FB8C" w14:textId="77777777" w:rsidR="00A76826" w:rsidRPr="004714C6" w:rsidRDefault="00A76826" w:rsidP="00FB1973">
            <w:pPr>
              <w:widowControl w:val="0"/>
              <w:autoSpaceDE w:val="0"/>
              <w:autoSpaceDN w:val="0"/>
              <w:adjustRightInd w:val="0"/>
              <w:ind w:left="229" w:right="-20"/>
              <w:jc w:val="both"/>
              <w:rPr>
                <w:kern w:val="2"/>
                <w:sz w:val="24"/>
                <w:szCs w:val="24"/>
                <w14:ligatures w14:val="standardContextual"/>
              </w:rPr>
            </w:pPr>
            <w:r w:rsidRPr="004714C6">
              <w:rPr>
                <w:kern w:val="2"/>
                <w:sz w:val="24"/>
                <w:szCs w:val="24"/>
                <w14:ligatures w14:val="standardContextual"/>
              </w:rPr>
              <w:t>2.169 (18,39 </w:t>
            </w:r>
            <w:r w:rsidRPr="004714C6">
              <w:rPr>
                <w:spacing w:val="1"/>
                <w:kern w:val="2"/>
                <w:sz w:val="24"/>
                <w:szCs w:val="24"/>
                <w14:ligatures w14:val="standardContextual"/>
              </w:rPr>
              <w:t>%)</w:t>
            </w:r>
          </w:p>
        </w:tc>
      </w:tr>
    </w:tbl>
    <w:p w14:paraId="192C9FD8" w14:textId="77777777" w:rsidR="00A76826" w:rsidRPr="004714C6" w:rsidRDefault="00A76826" w:rsidP="00FB1973">
      <w:pPr>
        <w:ind w:left="851"/>
        <w:rPr>
          <w:sz w:val="24"/>
          <w:szCs w:val="24"/>
        </w:rPr>
      </w:pPr>
    </w:p>
    <w:p w14:paraId="5FFCD3AB" w14:textId="77777777" w:rsidR="00A76826" w:rsidRPr="004714C6" w:rsidRDefault="00A76826" w:rsidP="00FB1973">
      <w:pPr>
        <w:ind w:left="851"/>
        <w:rPr>
          <w:sz w:val="24"/>
          <w:szCs w:val="24"/>
        </w:rPr>
      </w:pPr>
      <w:r w:rsidRPr="004714C6">
        <w:rPr>
          <w:sz w:val="24"/>
          <w:szCs w:val="24"/>
        </w:rPr>
        <w:t>Patienter randomiseret til 110 mg dabigatranetexilat 2 gange dagligt eller 150 mg 2 gange dagligt, havde en signifikant lavere risiko for livstruende blødning og intrakraniel blødning i forhold til warfarin behandlede [p &lt; 0,05]. For begge doser af dabigatranetexilat var der også en statistisk signifikant lavere forekomst af alle blødninger. Patienter randomiseret til 110 mg dabigatranetexilat 2 gange dagligt havde en signifikant lavere risiko for alvorlige blødninger sammenlignet med warfarin (</w:t>
      </w:r>
      <w:r w:rsidRPr="004714C6">
        <w:rPr>
          <w:i/>
          <w:iCs/>
          <w:sz w:val="24"/>
          <w:szCs w:val="24"/>
        </w:rPr>
        <w:t>hazard ratio</w:t>
      </w:r>
      <w:r w:rsidRPr="004714C6">
        <w:rPr>
          <w:sz w:val="24"/>
          <w:szCs w:val="24"/>
        </w:rPr>
        <w:t> 0,81 [p = 0,0027]). Patienter randomiseret til 150 mg dabigatranetexilat 2 gange dagligt havde en signifikant højere risiko for alvorlige gastrointestinale blødninger sammenlignet med warfarin (</w:t>
      </w:r>
      <w:r w:rsidRPr="004714C6">
        <w:rPr>
          <w:i/>
          <w:iCs/>
          <w:sz w:val="24"/>
          <w:szCs w:val="24"/>
        </w:rPr>
        <w:t>hazard ratio</w:t>
      </w:r>
      <w:r w:rsidRPr="004714C6">
        <w:rPr>
          <w:sz w:val="24"/>
          <w:szCs w:val="24"/>
        </w:rPr>
        <w:t> 1,48 [p = 0,0005]). Denne virkning sås primært hos patienter ≥ 75 år. Den kliniske fordel ved dabigatran i forhold til forebyggelse af apopleksi og systemisk emboli og nedsat risiko for intrakraniel blødning sammenlignet med warfarin er bevaret på tværs af individuelle undergrupper, f.eks. nedsat nyrefunktion, alder og samtidig behandling med lægemidler såsom trombocythæmmere eller P</w:t>
      </w:r>
      <w:r w:rsidRPr="004714C6">
        <w:rPr>
          <w:sz w:val="24"/>
          <w:szCs w:val="24"/>
        </w:rPr>
        <w:noBreakHyphen/>
        <w:t>gp</w:t>
      </w:r>
      <w:r w:rsidRPr="004714C6">
        <w:rPr>
          <w:sz w:val="24"/>
          <w:szCs w:val="24"/>
        </w:rPr>
        <w:noBreakHyphen/>
        <w:t>inhibitorer. Mens visse patient-delpopulationer har en øget risiko for alle alvorlige blødninger, ved behandling med antikoagulantia, er der for dabigatran en øget risiko for gastrointestinal blødning, som typisk ses inden for de første 3</w:t>
      </w:r>
      <w:r w:rsidRPr="004714C6">
        <w:rPr>
          <w:sz w:val="24"/>
          <w:szCs w:val="24"/>
        </w:rPr>
        <w:noBreakHyphen/>
        <w:t>6 måneder af behandlingen med dabigatranetexilat.</w:t>
      </w:r>
    </w:p>
    <w:p w14:paraId="01513BCA" w14:textId="2F684671" w:rsidR="00326117" w:rsidRDefault="00326117">
      <w:pPr>
        <w:rPr>
          <w:sz w:val="24"/>
          <w:szCs w:val="24"/>
        </w:rPr>
      </w:pPr>
      <w:r>
        <w:rPr>
          <w:sz w:val="24"/>
          <w:szCs w:val="24"/>
        </w:rPr>
        <w:br w:type="page"/>
      </w:r>
    </w:p>
    <w:p w14:paraId="4E632E6C" w14:textId="77777777" w:rsidR="00A76826" w:rsidRPr="004714C6" w:rsidRDefault="00A76826" w:rsidP="00FB1973">
      <w:pPr>
        <w:ind w:left="851"/>
        <w:rPr>
          <w:sz w:val="24"/>
          <w:szCs w:val="24"/>
        </w:rPr>
      </w:pPr>
    </w:p>
    <w:p w14:paraId="246F60BE" w14:textId="77777777" w:rsidR="00A76826" w:rsidRPr="004714C6" w:rsidRDefault="00A76826" w:rsidP="00FB1973">
      <w:pPr>
        <w:ind w:left="851"/>
        <w:rPr>
          <w:i/>
          <w:iCs/>
          <w:sz w:val="24"/>
          <w:szCs w:val="24"/>
        </w:rPr>
      </w:pPr>
      <w:r w:rsidRPr="004714C6">
        <w:rPr>
          <w:i/>
          <w:iCs/>
          <w:sz w:val="24"/>
          <w:szCs w:val="24"/>
        </w:rPr>
        <w:t>Behandling af DVT og LE og forebyggelse af recidiverende DVT og LE hos voksne (DVT/LE-behandling)</w:t>
      </w:r>
    </w:p>
    <w:p w14:paraId="5FDF20E1" w14:textId="77777777" w:rsidR="00A76826" w:rsidRPr="004714C6" w:rsidRDefault="00A76826" w:rsidP="00FB1973">
      <w:pPr>
        <w:ind w:left="851"/>
        <w:rPr>
          <w:sz w:val="24"/>
          <w:szCs w:val="24"/>
        </w:rPr>
      </w:pPr>
    </w:p>
    <w:p w14:paraId="0DFD4480" w14:textId="77777777" w:rsidR="00A76826" w:rsidRPr="004714C6" w:rsidRDefault="00A76826" w:rsidP="00FB1973">
      <w:pPr>
        <w:ind w:left="851"/>
        <w:rPr>
          <w:sz w:val="24"/>
          <w:szCs w:val="24"/>
        </w:rPr>
      </w:pPr>
      <w:r w:rsidRPr="004714C6">
        <w:rPr>
          <w:sz w:val="24"/>
          <w:szCs w:val="24"/>
        </w:rPr>
        <w:t>Tabel 15 viser blødningstilfælde i de poolede data fra registreringsstudierne RE-COVER og RE</w:t>
      </w:r>
      <w:r w:rsidRPr="004714C6">
        <w:rPr>
          <w:sz w:val="24"/>
          <w:szCs w:val="24"/>
        </w:rPr>
        <w:noBreakHyphen/>
        <w:t>COVER II, der undersøgte behandling af DVT og LE. I de poolede studier var de primære sikkerhedsendepunkter for alvorlig blødning, alvorlig eller klinisk relevant blødning og alle blødninger signifikant lavere end for warfarin ved et nominelt alfa</w:t>
      </w:r>
      <w:r w:rsidRPr="004714C6">
        <w:rPr>
          <w:sz w:val="24"/>
          <w:szCs w:val="24"/>
        </w:rPr>
        <w:noBreakHyphen/>
        <w:t>niveau på 5 %.</w:t>
      </w:r>
    </w:p>
    <w:p w14:paraId="48399BBF" w14:textId="77777777" w:rsidR="00A76826" w:rsidRPr="004714C6" w:rsidRDefault="00A76826" w:rsidP="00FB1973">
      <w:pPr>
        <w:ind w:left="851"/>
        <w:rPr>
          <w:sz w:val="24"/>
          <w:szCs w:val="24"/>
        </w:rPr>
      </w:pPr>
    </w:p>
    <w:p w14:paraId="6518BF88"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15:</w:t>
      </w:r>
      <w:r w:rsidRPr="004714C6">
        <w:rPr>
          <w:b/>
          <w:bCs/>
          <w:sz w:val="24"/>
          <w:szCs w:val="24"/>
        </w:rPr>
        <w:tab/>
        <w:t>Blødningstilfælde i studierne RE-COVER og RE-COVER II, der undersøgte behandling af DVT og LE</w:t>
      </w:r>
    </w:p>
    <w:p w14:paraId="0178B9C0"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915"/>
        <w:gridCol w:w="2334"/>
        <w:gridCol w:w="2047"/>
        <w:gridCol w:w="2332"/>
      </w:tblGrid>
      <w:tr w:rsidR="00A76826" w:rsidRPr="004714C6" w14:paraId="42071BCC" w14:textId="77777777" w:rsidTr="00FB1973">
        <w:trPr>
          <w:trHeight w:val="20"/>
        </w:trPr>
        <w:tc>
          <w:tcPr>
            <w:tcW w:w="1514" w:type="pct"/>
            <w:tcBorders>
              <w:top w:val="single" w:sz="4" w:space="0" w:color="000000"/>
              <w:left w:val="single" w:sz="4" w:space="0" w:color="000000"/>
              <w:bottom w:val="single" w:sz="4" w:space="0" w:color="000000"/>
              <w:right w:val="single" w:sz="4" w:space="0" w:color="000000"/>
            </w:tcBorders>
          </w:tcPr>
          <w:p w14:paraId="0F7A9919" w14:textId="77777777" w:rsidR="00A76826" w:rsidRPr="004714C6" w:rsidRDefault="00A76826" w:rsidP="00FB1973">
            <w:pPr>
              <w:widowControl w:val="0"/>
              <w:autoSpaceDE w:val="0"/>
              <w:autoSpaceDN w:val="0"/>
              <w:adjustRightInd w:val="0"/>
              <w:rPr>
                <w:b/>
                <w:bCs/>
                <w:kern w:val="2"/>
                <w:sz w:val="24"/>
                <w:szCs w:val="24"/>
                <w14:ligatures w14:val="standardContextual"/>
              </w:rPr>
            </w:pPr>
          </w:p>
        </w:tc>
        <w:tc>
          <w:tcPr>
            <w:tcW w:w="1212" w:type="pct"/>
            <w:tcBorders>
              <w:top w:val="single" w:sz="4" w:space="0" w:color="000000"/>
              <w:left w:val="single" w:sz="4" w:space="0" w:color="000000"/>
              <w:bottom w:val="single" w:sz="4" w:space="0" w:color="000000"/>
              <w:right w:val="single" w:sz="4" w:space="0" w:color="000000"/>
            </w:tcBorders>
            <w:hideMark/>
          </w:tcPr>
          <w:p w14:paraId="6D501D36" w14:textId="77777777" w:rsidR="00A76826" w:rsidRPr="004714C6" w:rsidRDefault="00A76826" w:rsidP="00FB1973">
            <w:pPr>
              <w:widowControl w:val="0"/>
              <w:autoSpaceDE w:val="0"/>
              <w:autoSpaceDN w:val="0"/>
              <w:adjustRightInd w:val="0"/>
              <w:ind w:right="79"/>
              <w:jc w:val="center"/>
              <w:rPr>
                <w:b/>
                <w:bCs/>
                <w:color w:val="000000"/>
                <w:kern w:val="2"/>
                <w:sz w:val="24"/>
                <w:szCs w:val="24"/>
                <w14:ligatures w14:val="standardContextual"/>
              </w:rPr>
            </w:pPr>
            <w:r w:rsidRPr="004714C6">
              <w:rPr>
                <w:b/>
                <w:bCs/>
                <w:color w:val="000000"/>
                <w:kern w:val="2"/>
                <w:sz w:val="24"/>
                <w:szCs w:val="24"/>
                <w14:ligatures w14:val="standardContextual"/>
              </w:rPr>
              <w:t>Dabigatranetexilat</w:t>
            </w:r>
          </w:p>
          <w:p w14:paraId="357D90C0" w14:textId="77777777" w:rsidR="00A76826" w:rsidRPr="004714C6" w:rsidRDefault="00A76826" w:rsidP="00FB1973">
            <w:pPr>
              <w:widowControl w:val="0"/>
              <w:autoSpaceDE w:val="0"/>
              <w:autoSpaceDN w:val="0"/>
              <w:adjustRightInd w:val="0"/>
              <w:ind w:right="79"/>
              <w:jc w:val="center"/>
              <w:rPr>
                <w:b/>
                <w:bCs/>
                <w:kern w:val="2"/>
                <w:sz w:val="24"/>
                <w:szCs w:val="24"/>
                <w14:ligatures w14:val="standardContextual"/>
              </w:rPr>
            </w:pPr>
            <w:r w:rsidRPr="004714C6">
              <w:rPr>
                <w:b/>
                <w:bCs/>
                <w:kern w:val="2"/>
                <w:sz w:val="24"/>
                <w:szCs w:val="24"/>
                <w14:ligatures w14:val="standardContextual"/>
              </w:rPr>
              <w:t xml:space="preserve">150 mg </w:t>
            </w:r>
            <w:r w:rsidRPr="004714C6">
              <w:rPr>
                <w:b/>
                <w:bCs/>
                <w:spacing w:val="-1"/>
                <w:kern w:val="2"/>
                <w:sz w:val="24"/>
                <w:szCs w:val="24"/>
                <w14:ligatures w14:val="standardContextual"/>
              </w:rPr>
              <w:t>2 gange</w:t>
            </w:r>
          </w:p>
          <w:p w14:paraId="2D26D5D1" w14:textId="77777777" w:rsidR="00A76826" w:rsidRPr="004714C6" w:rsidRDefault="00A76826" w:rsidP="00FB1973">
            <w:pPr>
              <w:widowControl w:val="0"/>
              <w:autoSpaceDE w:val="0"/>
              <w:autoSpaceDN w:val="0"/>
              <w:adjustRightInd w:val="0"/>
              <w:ind w:right="840"/>
              <w:jc w:val="center"/>
              <w:rPr>
                <w:b/>
                <w:bCs/>
                <w:kern w:val="2"/>
                <w:sz w:val="24"/>
                <w:szCs w:val="24"/>
                <w14:ligatures w14:val="standardContextual"/>
              </w:rPr>
            </w:pPr>
            <w:r w:rsidRPr="004714C6">
              <w:rPr>
                <w:b/>
                <w:bCs/>
                <w:kern w:val="2"/>
                <w:sz w:val="24"/>
                <w:szCs w:val="24"/>
                <w14:ligatures w14:val="standardContextual"/>
              </w:rPr>
              <w:t>dagligt</w:t>
            </w:r>
          </w:p>
        </w:tc>
        <w:tc>
          <w:tcPr>
            <w:tcW w:w="1063" w:type="pct"/>
            <w:tcBorders>
              <w:top w:val="single" w:sz="4" w:space="0" w:color="000000"/>
              <w:left w:val="single" w:sz="4" w:space="0" w:color="000000"/>
              <w:bottom w:val="single" w:sz="4" w:space="0" w:color="000000"/>
              <w:right w:val="single" w:sz="4" w:space="0" w:color="000000"/>
            </w:tcBorders>
            <w:hideMark/>
          </w:tcPr>
          <w:p w14:paraId="45E57204" w14:textId="77777777" w:rsidR="00A76826" w:rsidRPr="004714C6" w:rsidRDefault="00A76826" w:rsidP="00FB1973">
            <w:pPr>
              <w:widowControl w:val="0"/>
              <w:autoSpaceDE w:val="0"/>
              <w:autoSpaceDN w:val="0"/>
              <w:adjustRightInd w:val="0"/>
              <w:ind w:right="-20"/>
              <w:jc w:val="center"/>
              <w:rPr>
                <w:b/>
                <w:bCs/>
                <w:kern w:val="2"/>
                <w:sz w:val="24"/>
                <w:szCs w:val="24"/>
                <w14:ligatures w14:val="standardContextual"/>
              </w:rPr>
            </w:pPr>
            <w:r w:rsidRPr="004714C6">
              <w:rPr>
                <w:b/>
                <w:bCs/>
                <w:kern w:val="2"/>
                <w:sz w:val="24"/>
                <w:szCs w:val="24"/>
                <w14:ligatures w14:val="standardContextual"/>
              </w:rPr>
              <w:t>Warfarin</w:t>
            </w:r>
          </w:p>
        </w:tc>
        <w:tc>
          <w:tcPr>
            <w:tcW w:w="1211" w:type="pct"/>
            <w:tcBorders>
              <w:top w:val="single" w:sz="4" w:space="0" w:color="000000"/>
              <w:left w:val="single" w:sz="4" w:space="0" w:color="000000"/>
              <w:bottom w:val="single" w:sz="4" w:space="0" w:color="000000"/>
              <w:right w:val="single" w:sz="4" w:space="0" w:color="000000"/>
            </w:tcBorders>
            <w:hideMark/>
          </w:tcPr>
          <w:p w14:paraId="0E53DB0C" w14:textId="77777777" w:rsidR="00A76826" w:rsidRPr="004714C6" w:rsidRDefault="00A76826" w:rsidP="00FB1973">
            <w:pPr>
              <w:widowControl w:val="0"/>
              <w:autoSpaceDE w:val="0"/>
              <w:autoSpaceDN w:val="0"/>
              <w:adjustRightInd w:val="0"/>
              <w:ind w:right="302"/>
              <w:jc w:val="center"/>
              <w:rPr>
                <w:b/>
                <w:bCs/>
                <w:kern w:val="2"/>
                <w:sz w:val="24"/>
                <w:szCs w:val="24"/>
                <w14:ligatures w14:val="standardContextual"/>
              </w:rPr>
            </w:pPr>
            <w:r w:rsidRPr="004714C6">
              <w:rPr>
                <w:b/>
                <w:bCs/>
                <w:i/>
                <w:iCs/>
                <w:kern w:val="2"/>
                <w:sz w:val="24"/>
                <w:szCs w:val="24"/>
                <w14:ligatures w14:val="standardContextual"/>
              </w:rPr>
              <w:t>Hazard ratio</w:t>
            </w:r>
            <w:r w:rsidRPr="004714C6">
              <w:rPr>
                <w:b/>
                <w:bCs/>
                <w:kern w:val="2"/>
                <w:sz w:val="24"/>
                <w:szCs w:val="24"/>
                <w14:ligatures w14:val="standardContextual"/>
              </w:rPr>
              <w:t xml:space="preserve"> </w:t>
            </w:r>
            <w:r w:rsidRPr="004714C6">
              <w:rPr>
                <w:b/>
                <w:bCs/>
                <w:i/>
                <w:iCs/>
                <w:kern w:val="2"/>
                <w:sz w:val="24"/>
                <w:szCs w:val="24"/>
                <w14:ligatures w14:val="standardContextual"/>
              </w:rPr>
              <w:t>vs</w:t>
            </w:r>
            <w:r w:rsidRPr="004714C6">
              <w:rPr>
                <w:b/>
                <w:bCs/>
                <w:kern w:val="2"/>
                <w:sz w:val="24"/>
                <w:szCs w:val="24"/>
                <w14:ligatures w14:val="standardContextual"/>
              </w:rPr>
              <w:t>. warfarin (95 % konfidensinterval)</w:t>
            </w:r>
          </w:p>
        </w:tc>
      </w:tr>
      <w:tr w:rsidR="00A76826" w:rsidRPr="004714C6" w14:paraId="05590FF1" w14:textId="77777777" w:rsidTr="00FB1973">
        <w:trPr>
          <w:trHeight w:val="20"/>
        </w:trPr>
        <w:tc>
          <w:tcPr>
            <w:tcW w:w="1514" w:type="pct"/>
            <w:tcBorders>
              <w:top w:val="single" w:sz="4" w:space="0" w:color="000000"/>
              <w:left w:val="single" w:sz="4" w:space="0" w:color="000000"/>
              <w:bottom w:val="single" w:sz="4" w:space="0" w:color="000000"/>
              <w:right w:val="single" w:sz="4" w:space="0" w:color="000000"/>
            </w:tcBorders>
            <w:hideMark/>
          </w:tcPr>
          <w:p w14:paraId="25C2430B"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Patienter inkluderet i sikkerhedsanalysen</w:t>
            </w:r>
          </w:p>
        </w:tc>
        <w:tc>
          <w:tcPr>
            <w:tcW w:w="1212" w:type="pct"/>
            <w:tcBorders>
              <w:top w:val="single" w:sz="4" w:space="0" w:color="000000"/>
              <w:left w:val="single" w:sz="4" w:space="0" w:color="000000"/>
              <w:bottom w:val="single" w:sz="4" w:space="0" w:color="000000"/>
              <w:right w:val="single" w:sz="4" w:space="0" w:color="000000"/>
            </w:tcBorders>
            <w:hideMark/>
          </w:tcPr>
          <w:p w14:paraId="2892BFFC" w14:textId="77777777" w:rsidR="00A76826" w:rsidRPr="004714C6" w:rsidRDefault="00A76826" w:rsidP="00FB1973">
            <w:pPr>
              <w:widowControl w:val="0"/>
              <w:autoSpaceDE w:val="0"/>
              <w:autoSpaceDN w:val="0"/>
              <w:adjustRightInd w:val="0"/>
              <w:ind w:left="826" w:right="814"/>
              <w:rPr>
                <w:kern w:val="2"/>
                <w:sz w:val="24"/>
                <w:szCs w:val="24"/>
                <w14:ligatures w14:val="standardContextual"/>
              </w:rPr>
            </w:pPr>
            <w:r w:rsidRPr="004714C6">
              <w:rPr>
                <w:kern w:val="2"/>
                <w:sz w:val="24"/>
                <w:szCs w:val="24"/>
                <w14:ligatures w14:val="standardContextual"/>
              </w:rPr>
              <w:t>2.456</w:t>
            </w:r>
          </w:p>
        </w:tc>
        <w:tc>
          <w:tcPr>
            <w:tcW w:w="1063" w:type="pct"/>
            <w:tcBorders>
              <w:top w:val="single" w:sz="4" w:space="0" w:color="000000"/>
              <w:left w:val="single" w:sz="4" w:space="0" w:color="000000"/>
              <w:bottom w:val="single" w:sz="4" w:space="0" w:color="000000"/>
              <w:right w:val="single" w:sz="4" w:space="0" w:color="000000"/>
            </w:tcBorders>
            <w:hideMark/>
          </w:tcPr>
          <w:p w14:paraId="20DBE8DC" w14:textId="77777777" w:rsidR="00A76826" w:rsidRPr="004714C6" w:rsidRDefault="00A76826" w:rsidP="00FB1973">
            <w:pPr>
              <w:widowControl w:val="0"/>
              <w:autoSpaceDE w:val="0"/>
              <w:autoSpaceDN w:val="0"/>
              <w:adjustRightInd w:val="0"/>
              <w:ind w:left="726" w:right="706"/>
              <w:rPr>
                <w:kern w:val="2"/>
                <w:sz w:val="24"/>
                <w:szCs w:val="24"/>
                <w14:ligatures w14:val="standardContextual"/>
              </w:rPr>
            </w:pPr>
            <w:r w:rsidRPr="004714C6">
              <w:rPr>
                <w:kern w:val="2"/>
                <w:sz w:val="24"/>
                <w:szCs w:val="24"/>
                <w14:ligatures w14:val="standardContextual"/>
              </w:rPr>
              <w:t>2.462</w:t>
            </w:r>
          </w:p>
        </w:tc>
        <w:tc>
          <w:tcPr>
            <w:tcW w:w="1211" w:type="pct"/>
            <w:tcBorders>
              <w:top w:val="single" w:sz="4" w:space="0" w:color="000000"/>
              <w:left w:val="single" w:sz="4" w:space="0" w:color="000000"/>
              <w:bottom w:val="single" w:sz="4" w:space="0" w:color="000000"/>
              <w:right w:val="single" w:sz="4" w:space="0" w:color="000000"/>
            </w:tcBorders>
          </w:tcPr>
          <w:p w14:paraId="2F81103F" w14:textId="77777777" w:rsidR="00A76826" w:rsidRPr="004714C6" w:rsidRDefault="00A76826" w:rsidP="00FB1973">
            <w:pPr>
              <w:widowControl w:val="0"/>
              <w:autoSpaceDE w:val="0"/>
              <w:autoSpaceDN w:val="0"/>
              <w:adjustRightInd w:val="0"/>
              <w:rPr>
                <w:kern w:val="2"/>
                <w:sz w:val="24"/>
                <w:szCs w:val="24"/>
                <w14:ligatures w14:val="standardContextual"/>
              </w:rPr>
            </w:pPr>
          </w:p>
        </w:tc>
      </w:tr>
      <w:tr w:rsidR="00A76826" w:rsidRPr="004714C6" w14:paraId="6B60A8BF" w14:textId="77777777" w:rsidTr="00FB1973">
        <w:trPr>
          <w:trHeight w:val="20"/>
        </w:trPr>
        <w:tc>
          <w:tcPr>
            <w:tcW w:w="1514" w:type="pct"/>
            <w:tcBorders>
              <w:top w:val="single" w:sz="4" w:space="0" w:color="000000"/>
              <w:left w:val="single" w:sz="4" w:space="0" w:color="000000"/>
              <w:bottom w:val="single" w:sz="4" w:space="0" w:color="000000"/>
              <w:right w:val="single" w:sz="4" w:space="0" w:color="000000"/>
            </w:tcBorders>
            <w:hideMark/>
          </w:tcPr>
          <w:p w14:paraId="44C535DD"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Alvorlig blødning</w:t>
            </w:r>
          </w:p>
        </w:tc>
        <w:tc>
          <w:tcPr>
            <w:tcW w:w="1212" w:type="pct"/>
            <w:tcBorders>
              <w:top w:val="single" w:sz="4" w:space="0" w:color="000000"/>
              <w:left w:val="single" w:sz="4" w:space="0" w:color="000000"/>
              <w:bottom w:val="single" w:sz="4" w:space="0" w:color="000000"/>
              <w:right w:val="single" w:sz="4" w:space="0" w:color="000000"/>
            </w:tcBorders>
            <w:hideMark/>
          </w:tcPr>
          <w:p w14:paraId="5CB04AA8" w14:textId="77777777" w:rsidR="00A76826" w:rsidRPr="004714C6" w:rsidRDefault="00A76826" w:rsidP="00FB1973">
            <w:pPr>
              <w:widowControl w:val="0"/>
              <w:autoSpaceDE w:val="0"/>
              <w:autoSpaceDN w:val="0"/>
              <w:adjustRightInd w:val="0"/>
              <w:ind w:left="645" w:right="-20"/>
              <w:rPr>
                <w:kern w:val="2"/>
                <w:sz w:val="24"/>
                <w:szCs w:val="24"/>
                <w14:ligatures w14:val="standardContextual"/>
              </w:rPr>
            </w:pPr>
            <w:r w:rsidRPr="004714C6">
              <w:rPr>
                <w:kern w:val="2"/>
                <w:sz w:val="24"/>
                <w:szCs w:val="24"/>
                <w14:ligatures w14:val="standardContextual"/>
              </w:rPr>
              <w:t>24 (1,0 </w:t>
            </w:r>
            <w:r w:rsidRPr="004714C6">
              <w:rPr>
                <w:spacing w:val="1"/>
                <w:kern w:val="2"/>
                <w:sz w:val="24"/>
                <w:szCs w:val="24"/>
                <w14:ligatures w14:val="standardContextual"/>
              </w:rPr>
              <w:t>%)</w:t>
            </w:r>
          </w:p>
        </w:tc>
        <w:tc>
          <w:tcPr>
            <w:tcW w:w="1063" w:type="pct"/>
            <w:tcBorders>
              <w:top w:val="single" w:sz="4" w:space="0" w:color="000000"/>
              <w:left w:val="single" w:sz="4" w:space="0" w:color="000000"/>
              <w:bottom w:val="single" w:sz="4" w:space="0" w:color="000000"/>
              <w:right w:val="single" w:sz="4" w:space="0" w:color="000000"/>
            </w:tcBorders>
            <w:hideMark/>
          </w:tcPr>
          <w:p w14:paraId="722CF408" w14:textId="77777777" w:rsidR="00A76826" w:rsidRPr="004714C6" w:rsidRDefault="00A76826" w:rsidP="00FB1973">
            <w:pPr>
              <w:widowControl w:val="0"/>
              <w:autoSpaceDE w:val="0"/>
              <w:autoSpaceDN w:val="0"/>
              <w:adjustRightInd w:val="0"/>
              <w:ind w:left="541" w:right="-20"/>
              <w:rPr>
                <w:kern w:val="2"/>
                <w:sz w:val="24"/>
                <w:szCs w:val="24"/>
                <w14:ligatures w14:val="standardContextual"/>
              </w:rPr>
            </w:pPr>
            <w:r w:rsidRPr="004714C6">
              <w:rPr>
                <w:kern w:val="2"/>
                <w:sz w:val="24"/>
                <w:szCs w:val="24"/>
                <w14:ligatures w14:val="standardContextual"/>
              </w:rPr>
              <w:t>40 (1,6 </w:t>
            </w:r>
            <w:r w:rsidRPr="004714C6">
              <w:rPr>
                <w:spacing w:val="1"/>
                <w:kern w:val="2"/>
                <w:sz w:val="24"/>
                <w:szCs w:val="24"/>
                <w14:ligatures w14:val="standardContextual"/>
              </w:rPr>
              <w:t>%)</w:t>
            </w:r>
          </w:p>
        </w:tc>
        <w:tc>
          <w:tcPr>
            <w:tcW w:w="1211" w:type="pct"/>
            <w:tcBorders>
              <w:top w:val="single" w:sz="4" w:space="0" w:color="000000"/>
              <w:left w:val="single" w:sz="4" w:space="0" w:color="000000"/>
              <w:bottom w:val="single" w:sz="4" w:space="0" w:color="000000"/>
              <w:right w:val="single" w:sz="4" w:space="0" w:color="000000"/>
            </w:tcBorders>
            <w:hideMark/>
          </w:tcPr>
          <w:p w14:paraId="419AD16A" w14:textId="77777777" w:rsidR="00A76826" w:rsidRPr="004714C6" w:rsidRDefault="00A76826" w:rsidP="00FB1973">
            <w:pPr>
              <w:widowControl w:val="0"/>
              <w:autoSpaceDE w:val="0"/>
              <w:autoSpaceDN w:val="0"/>
              <w:adjustRightInd w:val="0"/>
              <w:ind w:left="323" w:right="-20"/>
              <w:rPr>
                <w:kern w:val="2"/>
                <w:sz w:val="24"/>
                <w:szCs w:val="24"/>
                <w14:ligatures w14:val="standardContextual"/>
              </w:rPr>
            </w:pPr>
            <w:r w:rsidRPr="004714C6">
              <w:rPr>
                <w:kern w:val="2"/>
                <w:sz w:val="24"/>
                <w:szCs w:val="24"/>
                <w14:ligatures w14:val="standardContextual"/>
              </w:rPr>
              <w:t>0,60 (0,36; 0,99)</w:t>
            </w:r>
          </w:p>
        </w:tc>
      </w:tr>
      <w:tr w:rsidR="00A76826" w:rsidRPr="004714C6" w14:paraId="27610B72" w14:textId="77777777" w:rsidTr="00FB1973">
        <w:trPr>
          <w:trHeight w:val="20"/>
        </w:trPr>
        <w:tc>
          <w:tcPr>
            <w:tcW w:w="1514" w:type="pct"/>
            <w:tcBorders>
              <w:top w:val="single" w:sz="4" w:space="0" w:color="000000"/>
              <w:left w:val="single" w:sz="4" w:space="0" w:color="000000"/>
              <w:bottom w:val="single" w:sz="4" w:space="0" w:color="000000"/>
              <w:right w:val="single" w:sz="4" w:space="0" w:color="000000"/>
            </w:tcBorders>
            <w:hideMark/>
          </w:tcPr>
          <w:p w14:paraId="76368E09" w14:textId="77777777" w:rsidR="00A76826" w:rsidRPr="004714C6" w:rsidRDefault="00A76826" w:rsidP="00FB1973">
            <w:pPr>
              <w:widowControl w:val="0"/>
              <w:autoSpaceDE w:val="0"/>
              <w:autoSpaceDN w:val="0"/>
              <w:adjustRightInd w:val="0"/>
              <w:ind w:left="709" w:right="-20"/>
              <w:rPr>
                <w:kern w:val="2"/>
                <w:sz w:val="24"/>
                <w:szCs w:val="24"/>
                <w14:ligatures w14:val="standardContextual"/>
              </w:rPr>
            </w:pPr>
            <w:r w:rsidRPr="004714C6">
              <w:rPr>
                <w:kern w:val="2"/>
                <w:sz w:val="24"/>
                <w:szCs w:val="24"/>
                <w14:ligatures w14:val="standardContextual"/>
              </w:rPr>
              <w:t>Intrakraniel blødning</w:t>
            </w:r>
          </w:p>
        </w:tc>
        <w:tc>
          <w:tcPr>
            <w:tcW w:w="1212" w:type="pct"/>
            <w:tcBorders>
              <w:top w:val="single" w:sz="4" w:space="0" w:color="000000"/>
              <w:left w:val="single" w:sz="4" w:space="0" w:color="000000"/>
              <w:bottom w:val="single" w:sz="4" w:space="0" w:color="000000"/>
              <w:right w:val="single" w:sz="4" w:space="0" w:color="000000"/>
            </w:tcBorders>
            <w:hideMark/>
          </w:tcPr>
          <w:p w14:paraId="25F3E9C7" w14:textId="77777777" w:rsidR="00A76826" w:rsidRPr="004714C6" w:rsidRDefault="00A76826" w:rsidP="00FB1973">
            <w:pPr>
              <w:widowControl w:val="0"/>
              <w:autoSpaceDE w:val="0"/>
              <w:autoSpaceDN w:val="0"/>
              <w:adjustRightInd w:val="0"/>
              <w:ind w:left="700" w:right="-20"/>
              <w:rPr>
                <w:kern w:val="2"/>
                <w:sz w:val="24"/>
                <w:szCs w:val="24"/>
                <w14:ligatures w14:val="standardContextual"/>
              </w:rPr>
            </w:pPr>
            <w:r w:rsidRPr="004714C6">
              <w:rPr>
                <w:kern w:val="2"/>
                <w:sz w:val="24"/>
                <w:szCs w:val="24"/>
                <w14:ligatures w14:val="standardContextual"/>
              </w:rPr>
              <w:t>2 (0,1 </w:t>
            </w:r>
            <w:r w:rsidRPr="004714C6">
              <w:rPr>
                <w:spacing w:val="1"/>
                <w:kern w:val="2"/>
                <w:sz w:val="24"/>
                <w:szCs w:val="24"/>
                <w14:ligatures w14:val="standardContextual"/>
              </w:rPr>
              <w:t>%)</w:t>
            </w:r>
          </w:p>
        </w:tc>
        <w:tc>
          <w:tcPr>
            <w:tcW w:w="1063" w:type="pct"/>
            <w:tcBorders>
              <w:top w:val="single" w:sz="4" w:space="0" w:color="000000"/>
              <w:left w:val="single" w:sz="4" w:space="0" w:color="000000"/>
              <w:bottom w:val="single" w:sz="4" w:space="0" w:color="000000"/>
              <w:right w:val="single" w:sz="4" w:space="0" w:color="000000"/>
            </w:tcBorders>
            <w:hideMark/>
          </w:tcPr>
          <w:p w14:paraId="195C5089" w14:textId="77777777" w:rsidR="00A76826" w:rsidRPr="004714C6" w:rsidRDefault="00A76826" w:rsidP="00FB1973">
            <w:pPr>
              <w:widowControl w:val="0"/>
              <w:autoSpaceDE w:val="0"/>
              <w:autoSpaceDN w:val="0"/>
              <w:adjustRightInd w:val="0"/>
              <w:ind w:left="597" w:right="-20"/>
              <w:rPr>
                <w:kern w:val="2"/>
                <w:sz w:val="24"/>
                <w:szCs w:val="24"/>
                <w14:ligatures w14:val="standardContextual"/>
              </w:rPr>
            </w:pPr>
            <w:r w:rsidRPr="004714C6">
              <w:rPr>
                <w:kern w:val="2"/>
                <w:sz w:val="24"/>
                <w:szCs w:val="24"/>
                <w14:ligatures w14:val="standardContextual"/>
              </w:rPr>
              <w:t>4 (0,2 </w:t>
            </w:r>
            <w:r w:rsidRPr="004714C6">
              <w:rPr>
                <w:spacing w:val="1"/>
                <w:kern w:val="2"/>
                <w:sz w:val="24"/>
                <w:szCs w:val="24"/>
                <w14:ligatures w14:val="standardContextual"/>
              </w:rPr>
              <w:t>%)</w:t>
            </w:r>
          </w:p>
        </w:tc>
        <w:tc>
          <w:tcPr>
            <w:tcW w:w="1211" w:type="pct"/>
            <w:tcBorders>
              <w:top w:val="single" w:sz="4" w:space="0" w:color="000000"/>
              <w:left w:val="single" w:sz="4" w:space="0" w:color="000000"/>
              <w:bottom w:val="single" w:sz="4" w:space="0" w:color="000000"/>
              <w:right w:val="single" w:sz="4" w:space="0" w:color="000000"/>
            </w:tcBorders>
            <w:hideMark/>
          </w:tcPr>
          <w:p w14:paraId="058A5810" w14:textId="77777777" w:rsidR="00A76826" w:rsidRPr="004714C6" w:rsidRDefault="00A76826" w:rsidP="00FB1973">
            <w:pPr>
              <w:widowControl w:val="0"/>
              <w:autoSpaceDE w:val="0"/>
              <w:autoSpaceDN w:val="0"/>
              <w:adjustRightInd w:val="0"/>
              <w:ind w:left="323" w:right="-20"/>
              <w:rPr>
                <w:kern w:val="2"/>
                <w:sz w:val="24"/>
                <w:szCs w:val="24"/>
                <w14:ligatures w14:val="standardContextual"/>
              </w:rPr>
            </w:pPr>
            <w:r w:rsidRPr="004714C6">
              <w:rPr>
                <w:kern w:val="2"/>
                <w:sz w:val="24"/>
                <w:szCs w:val="24"/>
                <w14:ligatures w14:val="standardContextual"/>
              </w:rPr>
              <w:t>0,50 (0,09; 2,74)</w:t>
            </w:r>
          </w:p>
        </w:tc>
      </w:tr>
      <w:tr w:rsidR="00A76826" w:rsidRPr="004714C6" w14:paraId="160EEBD0" w14:textId="77777777" w:rsidTr="00FB1973">
        <w:trPr>
          <w:trHeight w:val="20"/>
        </w:trPr>
        <w:tc>
          <w:tcPr>
            <w:tcW w:w="1514" w:type="pct"/>
            <w:tcBorders>
              <w:top w:val="single" w:sz="4" w:space="0" w:color="000000"/>
              <w:left w:val="single" w:sz="4" w:space="0" w:color="000000"/>
              <w:bottom w:val="single" w:sz="4" w:space="0" w:color="000000"/>
              <w:right w:val="single" w:sz="4" w:space="0" w:color="000000"/>
            </w:tcBorders>
            <w:hideMark/>
          </w:tcPr>
          <w:p w14:paraId="5100DFA4" w14:textId="77777777" w:rsidR="00A76826" w:rsidRPr="004714C6" w:rsidRDefault="00A76826" w:rsidP="00FB1973">
            <w:pPr>
              <w:widowControl w:val="0"/>
              <w:autoSpaceDE w:val="0"/>
              <w:autoSpaceDN w:val="0"/>
              <w:adjustRightInd w:val="0"/>
              <w:ind w:left="709" w:right="-20"/>
              <w:rPr>
                <w:kern w:val="2"/>
                <w:sz w:val="24"/>
                <w:szCs w:val="24"/>
                <w14:ligatures w14:val="standardContextual"/>
              </w:rPr>
            </w:pPr>
            <w:r w:rsidRPr="004714C6">
              <w:rPr>
                <w:kern w:val="2"/>
                <w:sz w:val="24"/>
                <w:szCs w:val="24"/>
                <w14:ligatures w14:val="standardContextual"/>
              </w:rPr>
              <w:t>Alvorlig gastrointestinal blødning</w:t>
            </w:r>
          </w:p>
        </w:tc>
        <w:tc>
          <w:tcPr>
            <w:tcW w:w="1212" w:type="pct"/>
            <w:tcBorders>
              <w:top w:val="single" w:sz="4" w:space="0" w:color="000000"/>
              <w:left w:val="single" w:sz="4" w:space="0" w:color="000000"/>
              <w:bottom w:val="single" w:sz="4" w:space="0" w:color="000000"/>
              <w:right w:val="single" w:sz="4" w:space="0" w:color="000000"/>
            </w:tcBorders>
            <w:hideMark/>
          </w:tcPr>
          <w:p w14:paraId="29907E81" w14:textId="77777777" w:rsidR="00A76826" w:rsidRPr="004714C6" w:rsidRDefault="00A76826" w:rsidP="00FB1973">
            <w:pPr>
              <w:widowControl w:val="0"/>
              <w:autoSpaceDE w:val="0"/>
              <w:autoSpaceDN w:val="0"/>
              <w:adjustRightInd w:val="0"/>
              <w:ind w:left="645" w:right="-20"/>
              <w:rPr>
                <w:kern w:val="2"/>
                <w:sz w:val="24"/>
                <w:szCs w:val="24"/>
                <w14:ligatures w14:val="standardContextual"/>
              </w:rPr>
            </w:pPr>
            <w:r w:rsidRPr="004714C6">
              <w:rPr>
                <w:kern w:val="2"/>
                <w:sz w:val="24"/>
                <w:szCs w:val="24"/>
                <w14:ligatures w14:val="standardContextual"/>
              </w:rPr>
              <w:t>10 (0,4 </w:t>
            </w:r>
            <w:r w:rsidRPr="004714C6">
              <w:rPr>
                <w:spacing w:val="1"/>
                <w:kern w:val="2"/>
                <w:sz w:val="24"/>
                <w:szCs w:val="24"/>
                <w14:ligatures w14:val="standardContextual"/>
              </w:rPr>
              <w:t>%)</w:t>
            </w:r>
          </w:p>
        </w:tc>
        <w:tc>
          <w:tcPr>
            <w:tcW w:w="1063" w:type="pct"/>
            <w:tcBorders>
              <w:top w:val="single" w:sz="4" w:space="0" w:color="000000"/>
              <w:left w:val="single" w:sz="4" w:space="0" w:color="000000"/>
              <w:bottom w:val="single" w:sz="4" w:space="0" w:color="000000"/>
              <w:right w:val="single" w:sz="4" w:space="0" w:color="000000"/>
            </w:tcBorders>
            <w:hideMark/>
          </w:tcPr>
          <w:p w14:paraId="2751F23B" w14:textId="77777777" w:rsidR="00A76826" w:rsidRPr="004714C6" w:rsidRDefault="00A76826" w:rsidP="00FB1973">
            <w:pPr>
              <w:widowControl w:val="0"/>
              <w:autoSpaceDE w:val="0"/>
              <w:autoSpaceDN w:val="0"/>
              <w:adjustRightInd w:val="0"/>
              <w:ind w:left="541" w:right="-20"/>
              <w:rPr>
                <w:kern w:val="2"/>
                <w:sz w:val="24"/>
                <w:szCs w:val="24"/>
                <w14:ligatures w14:val="standardContextual"/>
              </w:rPr>
            </w:pPr>
            <w:r w:rsidRPr="004714C6">
              <w:rPr>
                <w:kern w:val="2"/>
                <w:sz w:val="24"/>
                <w:szCs w:val="24"/>
                <w14:ligatures w14:val="standardContextual"/>
              </w:rPr>
              <w:t xml:space="preserve">12 </w:t>
            </w:r>
            <w:r w:rsidRPr="004714C6">
              <w:rPr>
                <w:spacing w:val="1"/>
                <w:kern w:val="2"/>
                <w:sz w:val="24"/>
                <w:szCs w:val="24"/>
                <w14:ligatures w14:val="standardContextual"/>
              </w:rPr>
              <w:t>(</w:t>
            </w:r>
            <w:r w:rsidRPr="004714C6">
              <w:rPr>
                <w:kern w:val="2"/>
                <w:sz w:val="24"/>
                <w:szCs w:val="24"/>
                <w14:ligatures w14:val="standardContextual"/>
              </w:rPr>
              <w:t>0,5 </w:t>
            </w:r>
            <w:r w:rsidRPr="004714C6">
              <w:rPr>
                <w:spacing w:val="1"/>
                <w:kern w:val="2"/>
                <w:sz w:val="24"/>
                <w:szCs w:val="24"/>
                <w14:ligatures w14:val="standardContextual"/>
              </w:rPr>
              <w:t>%)</w:t>
            </w:r>
          </w:p>
        </w:tc>
        <w:tc>
          <w:tcPr>
            <w:tcW w:w="1211" w:type="pct"/>
            <w:tcBorders>
              <w:top w:val="single" w:sz="4" w:space="0" w:color="000000"/>
              <w:left w:val="single" w:sz="4" w:space="0" w:color="000000"/>
              <w:bottom w:val="single" w:sz="4" w:space="0" w:color="000000"/>
              <w:right w:val="single" w:sz="4" w:space="0" w:color="000000"/>
            </w:tcBorders>
            <w:hideMark/>
          </w:tcPr>
          <w:p w14:paraId="0DC69355" w14:textId="77777777" w:rsidR="00A76826" w:rsidRPr="004714C6" w:rsidRDefault="00A76826" w:rsidP="00FB1973">
            <w:pPr>
              <w:widowControl w:val="0"/>
              <w:autoSpaceDE w:val="0"/>
              <w:autoSpaceDN w:val="0"/>
              <w:adjustRightInd w:val="0"/>
              <w:ind w:left="323" w:right="-20"/>
              <w:rPr>
                <w:kern w:val="2"/>
                <w:sz w:val="24"/>
                <w:szCs w:val="24"/>
                <w14:ligatures w14:val="standardContextual"/>
              </w:rPr>
            </w:pPr>
            <w:r w:rsidRPr="004714C6">
              <w:rPr>
                <w:kern w:val="2"/>
                <w:sz w:val="24"/>
                <w:szCs w:val="24"/>
                <w14:ligatures w14:val="standardContextual"/>
              </w:rPr>
              <w:t>0,83 (0,36; 1,93)</w:t>
            </w:r>
          </w:p>
        </w:tc>
      </w:tr>
      <w:tr w:rsidR="00A76826" w:rsidRPr="004714C6" w14:paraId="5F2781B5" w14:textId="77777777" w:rsidTr="00FB1973">
        <w:trPr>
          <w:trHeight w:val="20"/>
        </w:trPr>
        <w:tc>
          <w:tcPr>
            <w:tcW w:w="1514" w:type="pct"/>
            <w:tcBorders>
              <w:top w:val="single" w:sz="4" w:space="0" w:color="000000"/>
              <w:left w:val="single" w:sz="4" w:space="0" w:color="000000"/>
              <w:bottom w:val="single" w:sz="4" w:space="0" w:color="000000"/>
              <w:right w:val="single" w:sz="4" w:space="0" w:color="000000"/>
            </w:tcBorders>
            <w:hideMark/>
          </w:tcPr>
          <w:p w14:paraId="55794C6C" w14:textId="77777777" w:rsidR="00A76826" w:rsidRPr="004714C6" w:rsidRDefault="00A76826" w:rsidP="00FB1973">
            <w:pPr>
              <w:widowControl w:val="0"/>
              <w:autoSpaceDE w:val="0"/>
              <w:autoSpaceDN w:val="0"/>
              <w:adjustRightInd w:val="0"/>
              <w:ind w:left="709" w:right="-20"/>
              <w:rPr>
                <w:kern w:val="2"/>
                <w:sz w:val="24"/>
                <w:szCs w:val="24"/>
                <w14:ligatures w14:val="standardContextual"/>
              </w:rPr>
            </w:pPr>
            <w:r w:rsidRPr="004714C6">
              <w:rPr>
                <w:kern w:val="2"/>
                <w:sz w:val="24"/>
                <w:szCs w:val="24"/>
                <w14:ligatures w14:val="standardContextual"/>
              </w:rPr>
              <w:t>Livstruende blødning</w:t>
            </w:r>
          </w:p>
        </w:tc>
        <w:tc>
          <w:tcPr>
            <w:tcW w:w="1212" w:type="pct"/>
            <w:tcBorders>
              <w:top w:val="single" w:sz="4" w:space="0" w:color="000000"/>
              <w:left w:val="single" w:sz="4" w:space="0" w:color="000000"/>
              <w:bottom w:val="single" w:sz="4" w:space="0" w:color="000000"/>
              <w:right w:val="single" w:sz="4" w:space="0" w:color="000000"/>
            </w:tcBorders>
            <w:hideMark/>
          </w:tcPr>
          <w:p w14:paraId="2975BE7A" w14:textId="77777777" w:rsidR="00A76826" w:rsidRPr="004714C6" w:rsidRDefault="00A76826" w:rsidP="00FB1973">
            <w:pPr>
              <w:widowControl w:val="0"/>
              <w:autoSpaceDE w:val="0"/>
              <w:autoSpaceDN w:val="0"/>
              <w:adjustRightInd w:val="0"/>
              <w:ind w:left="700" w:right="-20"/>
              <w:rPr>
                <w:kern w:val="2"/>
                <w:sz w:val="24"/>
                <w:szCs w:val="24"/>
                <w14:ligatures w14:val="standardContextual"/>
              </w:rPr>
            </w:pPr>
            <w:r w:rsidRPr="004714C6">
              <w:rPr>
                <w:kern w:val="2"/>
                <w:sz w:val="24"/>
                <w:szCs w:val="24"/>
                <w14:ligatures w14:val="standardContextual"/>
              </w:rPr>
              <w:t>4 (0,2 </w:t>
            </w:r>
            <w:r w:rsidRPr="004714C6">
              <w:rPr>
                <w:spacing w:val="1"/>
                <w:kern w:val="2"/>
                <w:sz w:val="24"/>
                <w:szCs w:val="24"/>
                <w14:ligatures w14:val="standardContextual"/>
              </w:rPr>
              <w:t>%)</w:t>
            </w:r>
          </w:p>
        </w:tc>
        <w:tc>
          <w:tcPr>
            <w:tcW w:w="1063" w:type="pct"/>
            <w:tcBorders>
              <w:top w:val="single" w:sz="4" w:space="0" w:color="000000"/>
              <w:left w:val="single" w:sz="4" w:space="0" w:color="000000"/>
              <w:bottom w:val="single" w:sz="4" w:space="0" w:color="000000"/>
              <w:right w:val="single" w:sz="4" w:space="0" w:color="000000"/>
            </w:tcBorders>
            <w:hideMark/>
          </w:tcPr>
          <w:p w14:paraId="25190FBC" w14:textId="77777777" w:rsidR="00A76826" w:rsidRPr="004714C6" w:rsidRDefault="00A76826" w:rsidP="00FB1973">
            <w:pPr>
              <w:widowControl w:val="0"/>
              <w:autoSpaceDE w:val="0"/>
              <w:autoSpaceDN w:val="0"/>
              <w:adjustRightInd w:val="0"/>
              <w:ind w:left="597" w:right="-20"/>
              <w:rPr>
                <w:kern w:val="2"/>
                <w:sz w:val="24"/>
                <w:szCs w:val="24"/>
                <w14:ligatures w14:val="standardContextual"/>
              </w:rPr>
            </w:pPr>
            <w:r w:rsidRPr="004714C6">
              <w:rPr>
                <w:kern w:val="2"/>
                <w:sz w:val="24"/>
                <w:szCs w:val="24"/>
                <w14:ligatures w14:val="standardContextual"/>
              </w:rPr>
              <w:t>6 (0,2 </w:t>
            </w:r>
            <w:r w:rsidRPr="004714C6">
              <w:rPr>
                <w:spacing w:val="1"/>
                <w:kern w:val="2"/>
                <w:sz w:val="24"/>
                <w:szCs w:val="24"/>
                <w14:ligatures w14:val="standardContextual"/>
              </w:rPr>
              <w:t>%)</w:t>
            </w:r>
          </w:p>
        </w:tc>
        <w:tc>
          <w:tcPr>
            <w:tcW w:w="1211" w:type="pct"/>
            <w:tcBorders>
              <w:top w:val="single" w:sz="4" w:space="0" w:color="000000"/>
              <w:left w:val="single" w:sz="4" w:space="0" w:color="000000"/>
              <w:bottom w:val="single" w:sz="4" w:space="0" w:color="000000"/>
              <w:right w:val="single" w:sz="4" w:space="0" w:color="000000"/>
            </w:tcBorders>
            <w:hideMark/>
          </w:tcPr>
          <w:p w14:paraId="4D7D68BA" w14:textId="77777777" w:rsidR="00A76826" w:rsidRPr="004714C6" w:rsidRDefault="00A76826" w:rsidP="00FB1973">
            <w:pPr>
              <w:widowControl w:val="0"/>
              <w:autoSpaceDE w:val="0"/>
              <w:autoSpaceDN w:val="0"/>
              <w:adjustRightInd w:val="0"/>
              <w:ind w:left="323" w:right="-20"/>
              <w:rPr>
                <w:kern w:val="2"/>
                <w:sz w:val="24"/>
                <w:szCs w:val="24"/>
                <w14:ligatures w14:val="standardContextual"/>
              </w:rPr>
            </w:pPr>
            <w:r w:rsidRPr="004714C6">
              <w:rPr>
                <w:kern w:val="2"/>
                <w:sz w:val="24"/>
                <w:szCs w:val="24"/>
                <w14:ligatures w14:val="standardContextual"/>
              </w:rPr>
              <w:t>0,66 (0,19; 2,36)</w:t>
            </w:r>
          </w:p>
        </w:tc>
      </w:tr>
      <w:tr w:rsidR="00A76826" w:rsidRPr="004714C6" w14:paraId="37EEEAD7" w14:textId="77777777" w:rsidTr="00FB1973">
        <w:trPr>
          <w:trHeight w:val="20"/>
        </w:trPr>
        <w:tc>
          <w:tcPr>
            <w:tcW w:w="1514" w:type="pct"/>
            <w:tcBorders>
              <w:top w:val="single" w:sz="4" w:space="0" w:color="000000"/>
              <w:left w:val="single" w:sz="4" w:space="0" w:color="000000"/>
              <w:bottom w:val="single" w:sz="4" w:space="0" w:color="000000"/>
              <w:right w:val="single" w:sz="4" w:space="0" w:color="000000"/>
            </w:tcBorders>
            <w:hideMark/>
          </w:tcPr>
          <w:p w14:paraId="09A7EA4D"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Alvorlig blødning/klinisk relevant blødning</w:t>
            </w:r>
          </w:p>
        </w:tc>
        <w:tc>
          <w:tcPr>
            <w:tcW w:w="1212" w:type="pct"/>
            <w:tcBorders>
              <w:top w:val="single" w:sz="4" w:space="0" w:color="000000"/>
              <w:left w:val="single" w:sz="4" w:space="0" w:color="000000"/>
              <w:bottom w:val="single" w:sz="4" w:space="0" w:color="000000"/>
              <w:right w:val="single" w:sz="4" w:space="0" w:color="000000"/>
            </w:tcBorders>
            <w:hideMark/>
          </w:tcPr>
          <w:p w14:paraId="09D454E2" w14:textId="77777777" w:rsidR="00A76826" w:rsidRPr="004714C6" w:rsidRDefault="00A76826" w:rsidP="00FB1973">
            <w:pPr>
              <w:widowControl w:val="0"/>
              <w:autoSpaceDE w:val="0"/>
              <w:autoSpaceDN w:val="0"/>
              <w:adjustRightInd w:val="0"/>
              <w:ind w:left="589" w:right="-20"/>
              <w:rPr>
                <w:kern w:val="2"/>
                <w:sz w:val="24"/>
                <w:szCs w:val="24"/>
                <w14:ligatures w14:val="standardContextual"/>
              </w:rPr>
            </w:pPr>
            <w:r w:rsidRPr="004714C6">
              <w:rPr>
                <w:kern w:val="2"/>
                <w:sz w:val="24"/>
                <w:szCs w:val="24"/>
                <w14:ligatures w14:val="standardContextual"/>
              </w:rPr>
              <w:t>109 (4,4 </w:t>
            </w:r>
            <w:r w:rsidRPr="004714C6">
              <w:rPr>
                <w:spacing w:val="-2"/>
                <w:kern w:val="2"/>
                <w:sz w:val="24"/>
                <w:szCs w:val="24"/>
                <w14:ligatures w14:val="standardContextual"/>
              </w:rPr>
              <w:t>%)</w:t>
            </w:r>
          </w:p>
        </w:tc>
        <w:tc>
          <w:tcPr>
            <w:tcW w:w="1063" w:type="pct"/>
            <w:tcBorders>
              <w:top w:val="single" w:sz="4" w:space="0" w:color="000000"/>
              <w:left w:val="single" w:sz="4" w:space="0" w:color="000000"/>
              <w:bottom w:val="single" w:sz="4" w:space="0" w:color="000000"/>
              <w:right w:val="single" w:sz="4" w:space="0" w:color="000000"/>
            </w:tcBorders>
            <w:hideMark/>
          </w:tcPr>
          <w:p w14:paraId="31C90B77" w14:textId="77777777" w:rsidR="00A76826" w:rsidRPr="004714C6" w:rsidRDefault="00A76826" w:rsidP="00FB1973">
            <w:pPr>
              <w:widowControl w:val="0"/>
              <w:autoSpaceDE w:val="0"/>
              <w:autoSpaceDN w:val="0"/>
              <w:adjustRightInd w:val="0"/>
              <w:ind w:left="489" w:right="-20"/>
              <w:rPr>
                <w:kern w:val="2"/>
                <w:sz w:val="24"/>
                <w:szCs w:val="24"/>
                <w14:ligatures w14:val="standardContextual"/>
              </w:rPr>
            </w:pPr>
            <w:r w:rsidRPr="004714C6">
              <w:rPr>
                <w:kern w:val="2"/>
                <w:sz w:val="24"/>
                <w:szCs w:val="24"/>
                <w14:ligatures w14:val="standardContextual"/>
              </w:rPr>
              <w:t>189 (7,7 </w:t>
            </w:r>
            <w:r w:rsidRPr="004714C6">
              <w:rPr>
                <w:spacing w:val="-2"/>
                <w:kern w:val="2"/>
                <w:sz w:val="24"/>
                <w:szCs w:val="24"/>
                <w14:ligatures w14:val="standardContextual"/>
              </w:rPr>
              <w:t>%)</w:t>
            </w:r>
          </w:p>
        </w:tc>
        <w:tc>
          <w:tcPr>
            <w:tcW w:w="1211" w:type="pct"/>
            <w:tcBorders>
              <w:top w:val="single" w:sz="4" w:space="0" w:color="000000"/>
              <w:left w:val="single" w:sz="4" w:space="0" w:color="000000"/>
              <w:bottom w:val="single" w:sz="4" w:space="0" w:color="000000"/>
              <w:right w:val="single" w:sz="4" w:space="0" w:color="000000"/>
            </w:tcBorders>
            <w:hideMark/>
          </w:tcPr>
          <w:p w14:paraId="08C991E6" w14:textId="77777777" w:rsidR="00A76826" w:rsidRPr="004714C6" w:rsidRDefault="00A76826" w:rsidP="00FB1973">
            <w:pPr>
              <w:widowControl w:val="0"/>
              <w:autoSpaceDE w:val="0"/>
              <w:autoSpaceDN w:val="0"/>
              <w:adjustRightInd w:val="0"/>
              <w:ind w:left="323" w:right="-20"/>
              <w:rPr>
                <w:kern w:val="2"/>
                <w:sz w:val="24"/>
                <w:szCs w:val="24"/>
                <w14:ligatures w14:val="standardContextual"/>
              </w:rPr>
            </w:pPr>
            <w:r w:rsidRPr="004714C6">
              <w:rPr>
                <w:kern w:val="2"/>
                <w:sz w:val="24"/>
                <w:szCs w:val="24"/>
                <w14:ligatures w14:val="standardContextual"/>
              </w:rPr>
              <w:t>0,56 (0,45; 0,71)</w:t>
            </w:r>
          </w:p>
        </w:tc>
      </w:tr>
      <w:tr w:rsidR="00A76826" w:rsidRPr="004714C6" w14:paraId="65D36DED" w14:textId="77777777" w:rsidTr="00FB1973">
        <w:trPr>
          <w:trHeight w:val="20"/>
        </w:trPr>
        <w:tc>
          <w:tcPr>
            <w:tcW w:w="1514" w:type="pct"/>
            <w:tcBorders>
              <w:top w:val="single" w:sz="4" w:space="0" w:color="000000"/>
              <w:left w:val="single" w:sz="4" w:space="0" w:color="000000"/>
              <w:bottom w:val="single" w:sz="4" w:space="0" w:color="000000"/>
              <w:right w:val="single" w:sz="4" w:space="0" w:color="000000"/>
            </w:tcBorders>
            <w:hideMark/>
          </w:tcPr>
          <w:p w14:paraId="63B3FC1E"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Alle blødninger</w:t>
            </w:r>
          </w:p>
        </w:tc>
        <w:tc>
          <w:tcPr>
            <w:tcW w:w="1212" w:type="pct"/>
            <w:tcBorders>
              <w:top w:val="single" w:sz="4" w:space="0" w:color="000000"/>
              <w:left w:val="single" w:sz="4" w:space="0" w:color="000000"/>
              <w:bottom w:val="single" w:sz="4" w:space="0" w:color="000000"/>
              <w:right w:val="single" w:sz="4" w:space="0" w:color="000000"/>
            </w:tcBorders>
            <w:hideMark/>
          </w:tcPr>
          <w:p w14:paraId="0ADBE5B7" w14:textId="77777777" w:rsidR="00A76826" w:rsidRPr="004714C6" w:rsidRDefault="00A76826" w:rsidP="00FB1973">
            <w:pPr>
              <w:widowControl w:val="0"/>
              <w:autoSpaceDE w:val="0"/>
              <w:autoSpaceDN w:val="0"/>
              <w:adjustRightInd w:val="0"/>
              <w:ind w:left="534" w:right="-20"/>
              <w:rPr>
                <w:kern w:val="2"/>
                <w:sz w:val="24"/>
                <w:szCs w:val="24"/>
                <w14:ligatures w14:val="standardContextual"/>
              </w:rPr>
            </w:pPr>
            <w:r w:rsidRPr="004714C6">
              <w:rPr>
                <w:kern w:val="2"/>
                <w:sz w:val="24"/>
                <w:szCs w:val="24"/>
                <w14:ligatures w14:val="standardContextual"/>
              </w:rPr>
              <w:t>354 (14,4 </w:t>
            </w:r>
            <w:r w:rsidRPr="004714C6">
              <w:rPr>
                <w:spacing w:val="-2"/>
                <w:kern w:val="2"/>
                <w:sz w:val="24"/>
                <w:szCs w:val="24"/>
                <w14:ligatures w14:val="standardContextual"/>
              </w:rPr>
              <w:t>%)</w:t>
            </w:r>
          </w:p>
        </w:tc>
        <w:tc>
          <w:tcPr>
            <w:tcW w:w="1063" w:type="pct"/>
            <w:tcBorders>
              <w:top w:val="single" w:sz="4" w:space="0" w:color="000000"/>
              <w:left w:val="single" w:sz="4" w:space="0" w:color="000000"/>
              <w:bottom w:val="single" w:sz="4" w:space="0" w:color="000000"/>
              <w:right w:val="single" w:sz="4" w:space="0" w:color="000000"/>
            </w:tcBorders>
            <w:hideMark/>
          </w:tcPr>
          <w:p w14:paraId="310856A7" w14:textId="77777777" w:rsidR="00A76826" w:rsidRPr="004714C6" w:rsidRDefault="00A76826" w:rsidP="00FB1973">
            <w:pPr>
              <w:widowControl w:val="0"/>
              <w:autoSpaceDE w:val="0"/>
              <w:autoSpaceDN w:val="0"/>
              <w:adjustRightInd w:val="0"/>
              <w:ind w:left="433" w:right="-20"/>
              <w:rPr>
                <w:kern w:val="2"/>
                <w:sz w:val="24"/>
                <w:szCs w:val="24"/>
                <w14:ligatures w14:val="standardContextual"/>
              </w:rPr>
            </w:pPr>
            <w:r w:rsidRPr="004714C6">
              <w:rPr>
                <w:kern w:val="2"/>
                <w:sz w:val="24"/>
                <w:szCs w:val="24"/>
                <w14:ligatures w14:val="standardContextual"/>
              </w:rPr>
              <w:t>503 (20,4 </w:t>
            </w:r>
            <w:r w:rsidRPr="004714C6">
              <w:rPr>
                <w:spacing w:val="-2"/>
                <w:kern w:val="2"/>
                <w:sz w:val="24"/>
                <w:szCs w:val="24"/>
                <w14:ligatures w14:val="standardContextual"/>
              </w:rPr>
              <w:t>%)</w:t>
            </w:r>
          </w:p>
        </w:tc>
        <w:tc>
          <w:tcPr>
            <w:tcW w:w="1211" w:type="pct"/>
            <w:tcBorders>
              <w:top w:val="single" w:sz="4" w:space="0" w:color="000000"/>
              <w:left w:val="single" w:sz="4" w:space="0" w:color="000000"/>
              <w:bottom w:val="single" w:sz="4" w:space="0" w:color="000000"/>
              <w:right w:val="single" w:sz="4" w:space="0" w:color="000000"/>
            </w:tcBorders>
            <w:hideMark/>
          </w:tcPr>
          <w:p w14:paraId="27F10ED9" w14:textId="77777777" w:rsidR="00A76826" w:rsidRPr="004714C6" w:rsidRDefault="00A76826" w:rsidP="00FB1973">
            <w:pPr>
              <w:widowControl w:val="0"/>
              <w:autoSpaceDE w:val="0"/>
              <w:autoSpaceDN w:val="0"/>
              <w:adjustRightInd w:val="0"/>
              <w:ind w:left="323" w:right="-20"/>
              <w:rPr>
                <w:kern w:val="2"/>
                <w:sz w:val="24"/>
                <w:szCs w:val="24"/>
                <w14:ligatures w14:val="standardContextual"/>
              </w:rPr>
            </w:pPr>
            <w:r w:rsidRPr="004714C6">
              <w:rPr>
                <w:kern w:val="2"/>
                <w:sz w:val="24"/>
                <w:szCs w:val="24"/>
                <w14:ligatures w14:val="standardContextual"/>
              </w:rPr>
              <w:t>0,67 (0,59; 0</w:t>
            </w:r>
            <w:r w:rsidRPr="004714C6">
              <w:rPr>
                <w:spacing w:val="-1"/>
                <w:kern w:val="2"/>
                <w:sz w:val="24"/>
                <w:szCs w:val="24"/>
                <w14:ligatures w14:val="standardContextual"/>
              </w:rPr>
              <w:t>,77)</w:t>
            </w:r>
          </w:p>
        </w:tc>
      </w:tr>
      <w:tr w:rsidR="00A76826" w:rsidRPr="004714C6" w14:paraId="5F082C8C" w14:textId="77777777" w:rsidTr="00FB1973">
        <w:trPr>
          <w:trHeight w:val="20"/>
        </w:trPr>
        <w:tc>
          <w:tcPr>
            <w:tcW w:w="1514" w:type="pct"/>
            <w:tcBorders>
              <w:top w:val="single" w:sz="4" w:space="0" w:color="000000"/>
              <w:left w:val="single" w:sz="4" w:space="0" w:color="000000"/>
              <w:bottom w:val="single" w:sz="4" w:space="0" w:color="000000"/>
              <w:right w:val="single" w:sz="4" w:space="0" w:color="000000"/>
            </w:tcBorders>
            <w:hideMark/>
          </w:tcPr>
          <w:p w14:paraId="7B2D07CB" w14:textId="77777777" w:rsidR="00A76826" w:rsidRPr="004714C6" w:rsidRDefault="00A76826" w:rsidP="00FB1973">
            <w:pPr>
              <w:widowControl w:val="0"/>
              <w:autoSpaceDE w:val="0"/>
              <w:autoSpaceDN w:val="0"/>
              <w:adjustRightInd w:val="0"/>
              <w:ind w:left="654" w:right="-20"/>
              <w:rPr>
                <w:kern w:val="2"/>
                <w:sz w:val="24"/>
                <w:szCs w:val="24"/>
                <w14:ligatures w14:val="standardContextual"/>
              </w:rPr>
            </w:pPr>
            <w:r w:rsidRPr="004714C6">
              <w:rPr>
                <w:kern w:val="2"/>
                <w:sz w:val="24"/>
                <w:szCs w:val="24"/>
                <w14:ligatures w14:val="standardContextual"/>
              </w:rPr>
              <w:t xml:space="preserve">Alle gastrointestinale </w:t>
            </w:r>
            <w:r w:rsidRPr="004714C6">
              <w:rPr>
                <w:spacing w:val="-1"/>
                <w:kern w:val="2"/>
                <w:sz w:val="24"/>
                <w:szCs w:val="24"/>
                <w14:ligatures w14:val="standardContextual"/>
              </w:rPr>
              <w:t>blødninger</w:t>
            </w:r>
          </w:p>
        </w:tc>
        <w:tc>
          <w:tcPr>
            <w:tcW w:w="1212" w:type="pct"/>
            <w:tcBorders>
              <w:top w:val="single" w:sz="4" w:space="0" w:color="000000"/>
              <w:left w:val="single" w:sz="4" w:space="0" w:color="000000"/>
              <w:bottom w:val="single" w:sz="4" w:space="0" w:color="000000"/>
              <w:right w:val="single" w:sz="4" w:space="0" w:color="000000"/>
            </w:tcBorders>
            <w:hideMark/>
          </w:tcPr>
          <w:p w14:paraId="0990E9C4" w14:textId="77777777" w:rsidR="00A76826" w:rsidRPr="004714C6" w:rsidRDefault="00A76826" w:rsidP="00FB1973">
            <w:pPr>
              <w:widowControl w:val="0"/>
              <w:autoSpaceDE w:val="0"/>
              <w:autoSpaceDN w:val="0"/>
              <w:adjustRightInd w:val="0"/>
              <w:ind w:left="645" w:right="-20"/>
              <w:rPr>
                <w:kern w:val="2"/>
                <w:sz w:val="24"/>
                <w:szCs w:val="24"/>
                <w14:ligatures w14:val="standardContextual"/>
              </w:rPr>
            </w:pPr>
            <w:r w:rsidRPr="004714C6">
              <w:rPr>
                <w:kern w:val="2"/>
                <w:sz w:val="24"/>
                <w:szCs w:val="24"/>
                <w14:ligatures w14:val="standardContextual"/>
              </w:rPr>
              <w:t>70 (2,9 %)</w:t>
            </w:r>
          </w:p>
        </w:tc>
        <w:tc>
          <w:tcPr>
            <w:tcW w:w="1063" w:type="pct"/>
            <w:tcBorders>
              <w:top w:val="single" w:sz="4" w:space="0" w:color="000000"/>
              <w:left w:val="single" w:sz="4" w:space="0" w:color="000000"/>
              <w:bottom w:val="single" w:sz="4" w:space="0" w:color="000000"/>
              <w:right w:val="single" w:sz="4" w:space="0" w:color="000000"/>
            </w:tcBorders>
            <w:hideMark/>
          </w:tcPr>
          <w:p w14:paraId="1764B0CA" w14:textId="77777777" w:rsidR="00A76826" w:rsidRPr="004714C6" w:rsidRDefault="00A76826" w:rsidP="00FB1973">
            <w:pPr>
              <w:widowControl w:val="0"/>
              <w:autoSpaceDE w:val="0"/>
              <w:autoSpaceDN w:val="0"/>
              <w:adjustRightInd w:val="0"/>
              <w:ind w:left="541" w:right="-20"/>
              <w:rPr>
                <w:kern w:val="2"/>
                <w:sz w:val="24"/>
                <w:szCs w:val="24"/>
                <w14:ligatures w14:val="standardContextual"/>
              </w:rPr>
            </w:pPr>
            <w:r w:rsidRPr="004714C6">
              <w:rPr>
                <w:kern w:val="2"/>
                <w:sz w:val="24"/>
                <w:szCs w:val="24"/>
                <w14:ligatures w14:val="standardContextual"/>
              </w:rPr>
              <w:t>55 (2,2 </w:t>
            </w:r>
            <w:r w:rsidRPr="004714C6">
              <w:rPr>
                <w:spacing w:val="1"/>
                <w:kern w:val="2"/>
                <w:sz w:val="24"/>
                <w:szCs w:val="24"/>
                <w14:ligatures w14:val="standardContextual"/>
              </w:rPr>
              <w:t>%)</w:t>
            </w:r>
          </w:p>
        </w:tc>
        <w:tc>
          <w:tcPr>
            <w:tcW w:w="1211" w:type="pct"/>
            <w:tcBorders>
              <w:top w:val="single" w:sz="4" w:space="0" w:color="000000"/>
              <w:left w:val="single" w:sz="4" w:space="0" w:color="000000"/>
              <w:bottom w:val="single" w:sz="4" w:space="0" w:color="000000"/>
              <w:right w:val="single" w:sz="4" w:space="0" w:color="000000"/>
            </w:tcBorders>
            <w:hideMark/>
          </w:tcPr>
          <w:p w14:paraId="0CDEEBC9" w14:textId="77777777" w:rsidR="00A76826" w:rsidRPr="004714C6" w:rsidRDefault="00A76826" w:rsidP="00FB1973">
            <w:pPr>
              <w:widowControl w:val="0"/>
              <w:autoSpaceDE w:val="0"/>
              <w:autoSpaceDN w:val="0"/>
              <w:adjustRightInd w:val="0"/>
              <w:ind w:left="323" w:right="-20"/>
              <w:rPr>
                <w:kern w:val="2"/>
                <w:sz w:val="24"/>
                <w:szCs w:val="24"/>
                <w14:ligatures w14:val="standardContextual"/>
              </w:rPr>
            </w:pPr>
            <w:r w:rsidRPr="004714C6">
              <w:rPr>
                <w:kern w:val="2"/>
                <w:sz w:val="24"/>
                <w:szCs w:val="24"/>
                <w14:ligatures w14:val="standardContextual"/>
              </w:rPr>
              <w:t>1,27 (0,90; 1,82)</w:t>
            </w:r>
          </w:p>
        </w:tc>
      </w:tr>
    </w:tbl>
    <w:p w14:paraId="57A1EF58" w14:textId="77777777" w:rsidR="00A76826" w:rsidRPr="004714C6" w:rsidRDefault="00A76826" w:rsidP="00FB1973">
      <w:pPr>
        <w:ind w:left="851"/>
        <w:rPr>
          <w:sz w:val="24"/>
          <w:szCs w:val="24"/>
        </w:rPr>
      </w:pPr>
    </w:p>
    <w:p w14:paraId="7A67DFCD" w14:textId="4DF8C91D" w:rsidR="00A76826" w:rsidRPr="004714C6" w:rsidRDefault="00A76826" w:rsidP="00FB1973">
      <w:pPr>
        <w:ind w:left="851"/>
        <w:rPr>
          <w:sz w:val="24"/>
          <w:szCs w:val="24"/>
        </w:rPr>
      </w:pPr>
      <w:r w:rsidRPr="004714C6">
        <w:rPr>
          <w:sz w:val="24"/>
          <w:szCs w:val="24"/>
        </w:rPr>
        <w:t>Blødningstilfælde for begge behandlinger tælles fra første indtagelse af dabigatranetexilat eller warfarin efter ophør af parenteral behandling (kun oral behandlingsperiode). Det inkluderer alle blødningstilfælde, som forekom i løbet af behandling med dabigatran</w:t>
      </w:r>
      <w:r w:rsidR="00326117">
        <w:rPr>
          <w:sz w:val="24"/>
          <w:szCs w:val="24"/>
        </w:rPr>
        <w:softHyphen/>
      </w:r>
      <w:r w:rsidRPr="004714C6">
        <w:rPr>
          <w:sz w:val="24"/>
          <w:szCs w:val="24"/>
        </w:rPr>
        <w:t>etexilat. Alle blødningstilfælde, der opstod under behandlingen med warfarin er inkluderet, med undtagelse af de blødninger, der forekom i den overlappende periode mellem warfarin og parenteral behandling.</w:t>
      </w:r>
    </w:p>
    <w:p w14:paraId="7E01BDB2" w14:textId="77777777" w:rsidR="00A76826" w:rsidRPr="004714C6" w:rsidRDefault="00A76826" w:rsidP="00FB1973">
      <w:pPr>
        <w:ind w:left="851"/>
        <w:rPr>
          <w:sz w:val="24"/>
          <w:szCs w:val="24"/>
        </w:rPr>
      </w:pPr>
    </w:p>
    <w:p w14:paraId="23D74A2E" w14:textId="77777777" w:rsidR="00A76826" w:rsidRPr="004714C6" w:rsidRDefault="00A76826" w:rsidP="00FB1973">
      <w:pPr>
        <w:ind w:left="851"/>
        <w:rPr>
          <w:sz w:val="24"/>
          <w:szCs w:val="24"/>
        </w:rPr>
      </w:pPr>
      <w:r w:rsidRPr="004714C6">
        <w:rPr>
          <w:sz w:val="24"/>
          <w:szCs w:val="24"/>
        </w:rPr>
        <w:t>Tabel 16 viser blødningstilfælde i registreringsstudiet RE-MEDY, der undersøgte forebyggelse af DVT og LE. Forekomsten af visse blødningstilfælde (MBE/CRBE; enhver blødning) var signifikant lavere ved et nominelt alfa</w:t>
      </w:r>
      <w:r w:rsidRPr="004714C6">
        <w:rPr>
          <w:sz w:val="24"/>
          <w:szCs w:val="24"/>
        </w:rPr>
        <w:noBreakHyphen/>
        <w:t>niveau på 5 % hos patienter, som fik dabigatranetexilat, sammenlignet med patienter behandlet med warfarin.</w:t>
      </w:r>
    </w:p>
    <w:p w14:paraId="15458B93" w14:textId="77777777" w:rsidR="00A76826" w:rsidRPr="004714C6" w:rsidRDefault="00A76826" w:rsidP="00FB1973">
      <w:pPr>
        <w:ind w:left="851"/>
        <w:rPr>
          <w:sz w:val="24"/>
          <w:szCs w:val="24"/>
        </w:rPr>
      </w:pPr>
    </w:p>
    <w:p w14:paraId="2808371C"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16:</w:t>
      </w:r>
      <w:r w:rsidRPr="004714C6">
        <w:rPr>
          <w:b/>
          <w:bCs/>
          <w:sz w:val="24"/>
          <w:szCs w:val="24"/>
        </w:rPr>
        <w:tab/>
        <w:t>Blødningstilfælde i studiet RE-MEDY, der undersøgte forebyggelse af DVT og LE</w:t>
      </w:r>
    </w:p>
    <w:p w14:paraId="5E36E332"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863"/>
        <w:gridCol w:w="2266"/>
        <w:gridCol w:w="2272"/>
        <w:gridCol w:w="2227"/>
      </w:tblGrid>
      <w:tr w:rsidR="00A76826" w:rsidRPr="004714C6" w14:paraId="45D3238B" w14:textId="77777777" w:rsidTr="00FB1973">
        <w:trPr>
          <w:trHeight w:val="20"/>
        </w:trPr>
        <w:tc>
          <w:tcPr>
            <w:tcW w:w="1520" w:type="pct"/>
            <w:tcBorders>
              <w:top w:val="single" w:sz="4" w:space="0" w:color="000000"/>
              <w:left w:val="single" w:sz="4" w:space="0" w:color="000000"/>
              <w:bottom w:val="single" w:sz="4" w:space="0" w:color="000000"/>
              <w:right w:val="single" w:sz="4" w:space="0" w:color="000000"/>
            </w:tcBorders>
          </w:tcPr>
          <w:p w14:paraId="7AB6CD94" w14:textId="77777777" w:rsidR="00A76826" w:rsidRPr="004714C6" w:rsidRDefault="00A76826" w:rsidP="00FB1973">
            <w:pPr>
              <w:widowControl w:val="0"/>
              <w:autoSpaceDE w:val="0"/>
              <w:autoSpaceDN w:val="0"/>
              <w:adjustRightInd w:val="0"/>
              <w:rPr>
                <w:kern w:val="2"/>
                <w:sz w:val="24"/>
                <w:szCs w:val="24"/>
                <w14:ligatures w14:val="standardContextual"/>
              </w:rPr>
            </w:pPr>
          </w:p>
        </w:tc>
        <w:tc>
          <w:tcPr>
            <w:tcW w:w="1200" w:type="pct"/>
            <w:tcBorders>
              <w:top w:val="single" w:sz="4" w:space="0" w:color="000000"/>
              <w:left w:val="single" w:sz="4" w:space="0" w:color="000000"/>
              <w:bottom w:val="single" w:sz="4" w:space="0" w:color="000000"/>
              <w:right w:val="single" w:sz="4" w:space="0" w:color="000000"/>
            </w:tcBorders>
            <w:hideMark/>
          </w:tcPr>
          <w:p w14:paraId="51F98D7E" w14:textId="77777777" w:rsidR="00A76826" w:rsidRPr="004714C6" w:rsidRDefault="00A76826" w:rsidP="00326117">
            <w:pPr>
              <w:widowControl w:val="0"/>
              <w:autoSpaceDE w:val="0"/>
              <w:autoSpaceDN w:val="0"/>
              <w:adjustRightInd w:val="0"/>
              <w:ind w:left="150" w:right="186"/>
              <w:jc w:val="center"/>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150 mg 2 gange dagligt</w:t>
            </w:r>
          </w:p>
        </w:tc>
        <w:tc>
          <w:tcPr>
            <w:tcW w:w="1223" w:type="pct"/>
            <w:tcBorders>
              <w:top w:val="single" w:sz="4" w:space="0" w:color="000000"/>
              <w:left w:val="single" w:sz="4" w:space="0" w:color="000000"/>
              <w:bottom w:val="single" w:sz="4" w:space="0" w:color="000000"/>
              <w:right w:val="single" w:sz="4" w:space="0" w:color="000000"/>
            </w:tcBorders>
            <w:hideMark/>
          </w:tcPr>
          <w:p w14:paraId="6DB5F5CF" w14:textId="77777777" w:rsidR="00A76826" w:rsidRPr="004714C6" w:rsidRDefault="00A76826" w:rsidP="00326117">
            <w:pPr>
              <w:widowControl w:val="0"/>
              <w:autoSpaceDE w:val="0"/>
              <w:autoSpaceDN w:val="0"/>
              <w:adjustRightInd w:val="0"/>
              <w:ind w:left="150" w:right="186"/>
              <w:jc w:val="center"/>
              <w:rPr>
                <w:b/>
                <w:bCs/>
                <w:kern w:val="2"/>
                <w:sz w:val="24"/>
                <w:szCs w:val="24"/>
                <w14:ligatures w14:val="standardContextual"/>
              </w:rPr>
            </w:pPr>
            <w:r w:rsidRPr="004714C6">
              <w:rPr>
                <w:b/>
                <w:bCs/>
                <w:kern w:val="2"/>
                <w:sz w:val="24"/>
                <w:szCs w:val="24"/>
                <w14:ligatures w14:val="standardContextual"/>
              </w:rPr>
              <w:t>Warfarin</w:t>
            </w:r>
          </w:p>
        </w:tc>
        <w:tc>
          <w:tcPr>
            <w:tcW w:w="1057" w:type="pct"/>
            <w:tcBorders>
              <w:top w:val="single" w:sz="4" w:space="0" w:color="000000"/>
              <w:left w:val="single" w:sz="4" w:space="0" w:color="000000"/>
              <w:bottom w:val="single" w:sz="4" w:space="0" w:color="000000"/>
              <w:right w:val="single" w:sz="4" w:space="0" w:color="000000"/>
            </w:tcBorders>
            <w:hideMark/>
          </w:tcPr>
          <w:p w14:paraId="78A3FAA2" w14:textId="77777777" w:rsidR="00A76826" w:rsidRPr="004714C6" w:rsidRDefault="00A76826" w:rsidP="00326117">
            <w:pPr>
              <w:widowControl w:val="0"/>
              <w:autoSpaceDE w:val="0"/>
              <w:autoSpaceDN w:val="0"/>
              <w:adjustRightInd w:val="0"/>
              <w:ind w:left="150" w:right="186"/>
              <w:jc w:val="center"/>
              <w:rPr>
                <w:b/>
                <w:bCs/>
                <w:kern w:val="2"/>
                <w:sz w:val="24"/>
                <w:szCs w:val="24"/>
                <w14:ligatures w14:val="standardContextual"/>
              </w:rPr>
            </w:pPr>
            <w:r w:rsidRPr="004714C6">
              <w:rPr>
                <w:b/>
                <w:bCs/>
                <w:i/>
                <w:iCs/>
                <w:kern w:val="2"/>
                <w:sz w:val="24"/>
                <w:szCs w:val="24"/>
                <w14:ligatures w14:val="standardContextual"/>
              </w:rPr>
              <w:t>Hazard ratio vs.</w:t>
            </w:r>
            <w:r w:rsidRPr="004714C6">
              <w:rPr>
                <w:b/>
                <w:bCs/>
                <w:kern w:val="2"/>
                <w:sz w:val="24"/>
                <w:szCs w:val="24"/>
                <w14:ligatures w14:val="standardContextual"/>
              </w:rPr>
              <w:t xml:space="preserve"> warfarin (95 % konfidensinterval)</w:t>
            </w:r>
          </w:p>
        </w:tc>
      </w:tr>
      <w:tr w:rsidR="00A76826" w:rsidRPr="004714C6" w14:paraId="3C41DD3D" w14:textId="77777777" w:rsidTr="00FB1973">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50076DBA"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Behandlede patienter</w:t>
            </w:r>
          </w:p>
        </w:tc>
        <w:tc>
          <w:tcPr>
            <w:tcW w:w="1200" w:type="pct"/>
            <w:tcBorders>
              <w:top w:val="single" w:sz="4" w:space="0" w:color="000000"/>
              <w:left w:val="single" w:sz="4" w:space="0" w:color="000000"/>
              <w:bottom w:val="single" w:sz="4" w:space="0" w:color="000000"/>
              <w:right w:val="single" w:sz="4" w:space="0" w:color="000000"/>
            </w:tcBorders>
            <w:hideMark/>
          </w:tcPr>
          <w:p w14:paraId="4809576E"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1.430</w:t>
            </w:r>
          </w:p>
        </w:tc>
        <w:tc>
          <w:tcPr>
            <w:tcW w:w="1223" w:type="pct"/>
            <w:tcBorders>
              <w:top w:val="single" w:sz="4" w:space="0" w:color="000000"/>
              <w:left w:val="single" w:sz="4" w:space="0" w:color="000000"/>
              <w:bottom w:val="single" w:sz="4" w:space="0" w:color="000000"/>
              <w:right w:val="single" w:sz="4" w:space="0" w:color="000000"/>
            </w:tcBorders>
            <w:hideMark/>
          </w:tcPr>
          <w:p w14:paraId="296BEF27"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1.42656666</w:t>
            </w:r>
          </w:p>
        </w:tc>
        <w:tc>
          <w:tcPr>
            <w:tcW w:w="1057" w:type="pct"/>
            <w:tcBorders>
              <w:top w:val="single" w:sz="4" w:space="0" w:color="000000"/>
              <w:left w:val="single" w:sz="4" w:space="0" w:color="000000"/>
              <w:bottom w:val="single" w:sz="4" w:space="0" w:color="000000"/>
              <w:right w:val="single" w:sz="4" w:space="0" w:color="000000"/>
            </w:tcBorders>
          </w:tcPr>
          <w:p w14:paraId="2CC27CFE"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p>
        </w:tc>
      </w:tr>
      <w:tr w:rsidR="00A76826" w:rsidRPr="004714C6" w14:paraId="574154FD" w14:textId="77777777" w:rsidTr="00FB1973">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45D13325"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Alvorlig blødning</w:t>
            </w:r>
          </w:p>
        </w:tc>
        <w:tc>
          <w:tcPr>
            <w:tcW w:w="1200" w:type="pct"/>
            <w:tcBorders>
              <w:top w:val="single" w:sz="4" w:space="0" w:color="000000"/>
              <w:left w:val="single" w:sz="4" w:space="0" w:color="000000"/>
              <w:bottom w:val="single" w:sz="4" w:space="0" w:color="000000"/>
              <w:right w:val="single" w:sz="4" w:space="0" w:color="000000"/>
            </w:tcBorders>
            <w:hideMark/>
          </w:tcPr>
          <w:p w14:paraId="05A3DEF2"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13 (0,9 </w:t>
            </w:r>
            <w:r w:rsidRPr="004714C6">
              <w:rPr>
                <w:spacing w:val="1"/>
                <w:kern w:val="2"/>
                <w:sz w:val="24"/>
                <w:szCs w:val="24"/>
                <w14:ligatures w14:val="standardContextual"/>
              </w:rPr>
              <w:t>%)</w:t>
            </w:r>
          </w:p>
        </w:tc>
        <w:tc>
          <w:tcPr>
            <w:tcW w:w="1223" w:type="pct"/>
            <w:tcBorders>
              <w:top w:val="single" w:sz="4" w:space="0" w:color="000000"/>
              <w:left w:val="single" w:sz="4" w:space="0" w:color="000000"/>
              <w:bottom w:val="single" w:sz="4" w:space="0" w:color="000000"/>
              <w:right w:val="single" w:sz="4" w:space="0" w:color="000000"/>
            </w:tcBorders>
            <w:hideMark/>
          </w:tcPr>
          <w:p w14:paraId="7AACAED8"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25 (1,8 </w:t>
            </w:r>
            <w:r w:rsidRPr="004714C6">
              <w:rPr>
                <w:spacing w:val="1"/>
                <w:kern w:val="2"/>
                <w:sz w:val="24"/>
                <w:szCs w:val="24"/>
                <w14:ligatures w14:val="standardContextual"/>
              </w:rPr>
              <w:t>%)</w:t>
            </w:r>
          </w:p>
        </w:tc>
        <w:tc>
          <w:tcPr>
            <w:tcW w:w="1057" w:type="pct"/>
            <w:tcBorders>
              <w:top w:val="single" w:sz="4" w:space="0" w:color="000000"/>
              <w:left w:val="single" w:sz="4" w:space="0" w:color="000000"/>
              <w:bottom w:val="single" w:sz="4" w:space="0" w:color="000000"/>
              <w:right w:val="single" w:sz="4" w:space="0" w:color="000000"/>
            </w:tcBorders>
            <w:hideMark/>
          </w:tcPr>
          <w:p w14:paraId="4DBC98DE"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0,54 (0,25; 1,16)</w:t>
            </w:r>
          </w:p>
        </w:tc>
      </w:tr>
      <w:tr w:rsidR="00A76826" w:rsidRPr="004714C6" w14:paraId="007D7FD9" w14:textId="77777777" w:rsidTr="00FB1973">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00664DAC" w14:textId="77777777" w:rsidR="00A76826" w:rsidRPr="004714C6" w:rsidRDefault="00A76826" w:rsidP="00FB1973">
            <w:pPr>
              <w:widowControl w:val="0"/>
              <w:autoSpaceDE w:val="0"/>
              <w:autoSpaceDN w:val="0"/>
              <w:adjustRightInd w:val="0"/>
              <w:ind w:left="810" w:right="-20"/>
              <w:rPr>
                <w:kern w:val="2"/>
                <w:sz w:val="24"/>
                <w:szCs w:val="24"/>
                <w14:ligatures w14:val="standardContextual"/>
              </w:rPr>
            </w:pPr>
            <w:r w:rsidRPr="004714C6">
              <w:rPr>
                <w:kern w:val="2"/>
                <w:sz w:val="24"/>
                <w:szCs w:val="24"/>
                <w14:ligatures w14:val="standardContextual"/>
              </w:rPr>
              <w:t>Intrakraniel blødning</w:t>
            </w:r>
          </w:p>
        </w:tc>
        <w:tc>
          <w:tcPr>
            <w:tcW w:w="1200" w:type="pct"/>
            <w:tcBorders>
              <w:top w:val="single" w:sz="4" w:space="0" w:color="000000"/>
              <w:left w:val="single" w:sz="4" w:space="0" w:color="000000"/>
              <w:bottom w:val="single" w:sz="4" w:space="0" w:color="000000"/>
              <w:right w:val="single" w:sz="4" w:space="0" w:color="000000"/>
            </w:tcBorders>
            <w:hideMark/>
          </w:tcPr>
          <w:p w14:paraId="6FBE7834"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2 (0,1 </w:t>
            </w:r>
            <w:r w:rsidRPr="004714C6">
              <w:rPr>
                <w:spacing w:val="1"/>
                <w:kern w:val="2"/>
                <w:sz w:val="24"/>
                <w:szCs w:val="24"/>
                <w14:ligatures w14:val="standardContextual"/>
              </w:rPr>
              <w:t>%)</w:t>
            </w:r>
          </w:p>
        </w:tc>
        <w:tc>
          <w:tcPr>
            <w:tcW w:w="1223" w:type="pct"/>
            <w:tcBorders>
              <w:top w:val="single" w:sz="4" w:space="0" w:color="000000"/>
              <w:left w:val="single" w:sz="4" w:space="0" w:color="000000"/>
              <w:bottom w:val="single" w:sz="4" w:space="0" w:color="000000"/>
              <w:right w:val="single" w:sz="4" w:space="0" w:color="000000"/>
            </w:tcBorders>
            <w:hideMark/>
          </w:tcPr>
          <w:p w14:paraId="79164FFC"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4 (0,3 </w:t>
            </w:r>
            <w:r w:rsidRPr="004714C6">
              <w:rPr>
                <w:spacing w:val="1"/>
                <w:kern w:val="2"/>
                <w:sz w:val="24"/>
                <w:szCs w:val="24"/>
                <w14:ligatures w14:val="standardContextual"/>
              </w:rPr>
              <w:t>%)</w:t>
            </w:r>
          </w:p>
        </w:tc>
        <w:tc>
          <w:tcPr>
            <w:tcW w:w="1057" w:type="pct"/>
            <w:tcBorders>
              <w:top w:val="single" w:sz="4" w:space="0" w:color="000000"/>
              <w:left w:val="single" w:sz="4" w:space="0" w:color="000000"/>
              <w:bottom w:val="single" w:sz="4" w:space="0" w:color="000000"/>
              <w:right w:val="single" w:sz="4" w:space="0" w:color="000000"/>
            </w:tcBorders>
            <w:hideMark/>
          </w:tcPr>
          <w:p w14:paraId="680770C1"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Ikke mulig at beregne*</w:t>
            </w:r>
          </w:p>
        </w:tc>
      </w:tr>
      <w:tr w:rsidR="00A76826" w:rsidRPr="004714C6" w14:paraId="50CC00B0" w14:textId="77777777" w:rsidTr="00FB1973">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699E523D" w14:textId="77777777" w:rsidR="00A76826" w:rsidRPr="004714C6" w:rsidRDefault="00A76826" w:rsidP="00FB1973">
            <w:pPr>
              <w:widowControl w:val="0"/>
              <w:autoSpaceDE w:val="0"/>
              <w:autoSpaceDN w:val="0"/>
              <w:adjustRightInd w:val="0"/>
              <w:ind w:left="810" w:right="-20"/>
              <w:rPr>
                <w:kern w:val="2"/>
                <w:sz w:val="24"/>
                <w:szCs w:val="24"/>
                <w14:ligatures w14:val="standardContextual"/>
              </w:rPr>
            </w:pPr>
            <w:r w:rsidRPr="004714C6">
              <w:rPr>
                <w:kern w:val="2"/>
                <w:sz w:val="24"/>
                <w:szCs w:val="24"/>
                <w14:ligatures w14:val="standardContextual"/>
              </w:rPr>
              <w:t>Alvorlig gastrointestinal blødning</w:t>
            </w:r>
          </w:p>
        </w:tc>
        <w:tc>
          <w:tcPr>
            <w:tcW w:w="1200" w:type="pct"/>
            <w:tcBorders>
              <w:top w:val="single" w:sz="4" w:space="0" w:color="000000"/>
              <w:left w:val="single" w:sz="4" w:space="0" w:color="000000"/>
              <w:bottom w:val="single" w:sz="4" w:space="0" w:color="000000"/>
              <w:right w:val="single" w:sz="4" w:space="0" w:color="000000"/>
            </w:tcBorders>
            <w:hideMark/>
          </w:tcPr>
          <w:p w14:paraId="79C5E704"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4 (0,3 %)</w:t>
            </w:r>
          </w:p>
        </w:tc>
        <w:tc>
          <w:tcPr>
            <w:tcW w:w="1223" w:type="pct"/>
            <w:tcBorders>
              <w:top w:val="single" w:sz="4" w:space="0" w:color="000000"/>
              <w:left w:val="single" w:sz="4" w:space="0" w:color="000000"/>
              <w:bottom w:val="single" w:sz="4" w:space="0" w:color="000000"/>
              <w:right w:val="single" w:sz="4" w:space="0" w:color="000000"/>
            </w:tcBorders>
            <w:hideMark/>
          </w:tcPr>
          <w:p w14:paraId="383C8F99"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8 (0,5 %)</w:t>
            </w:r>
          </w:p>
        </w:tc>
        <w:tc>
          <w:tcPr>
            <w:tcW w:w="1057" w:type="pct"/>
            <w:tcBorders>
              <w:top w:val="single" w:sz="4" w:space="0" w:color="000000"/>
              <w:left w:val="single" w:sz="4" w:space="0" w:color="000000"/>
              <w:bottom w:val="single" w:sz="4" w:space="0" w:color="000000"/>
              <w:right w:val="single" w:sz="4" w:space="0" w:color="000000"/>
            </w:tcBorders>
            <w:hideMark/>
          </w:tcPr>
          <w:p w14:paraId="065D9FE6"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Ikke mulig at beregne*</w:t>
            </w:r>
          </w:p>
        </w:tc>
      </w:tr>
      <w:tr w:rsidR="00A76826" w:rsidRPr="004714C6" w14:paraId="29DC461E" w14:textId="77777777" w:rsidTr="00FB1973">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3D433A60" w14:textId="77777777" w:rsidR="00A76826" w:rsidRPr="004714C6" w:rsidRDefault="00A76826" w:rsidP="00FB1973">
            <w:pPr>
              <w:widowControl w:val="0"/>
              <w:autoSpaceDE w:val="0"/>
              <w:autoSpaceDN w:val="0"/>
              <w:adjustRightInd w:val="0"/>
              <w:ind w:left="810" w:right="-20"/>
              <w:rPr>
                <w:kern w:val="2"/>
                <w:sz w:val="24"/>
                <w:szCs w:val="24"/>
                <w14:ligatures w14:val="standardContextual"/>
              </w:rPr>
            </w:pPr>
            <w:r w:rsidRPr="004714C6">
              <w:rPr>
                <w:kern w:val="2"/>
                <w:sz w:val="24"/>
                <w:szCs w:val="24"/>
                <w14:ligatures w14:val="standardContextual"/>
              </w:rPr>
              <w:t>Livstruende blødning</w:t>
            </w:r>
          </w:p>
        </w:tc>
        <w:tc>
          <w:tcPr>
            <w:tcW w:w="1200" w:type="pct"/>
            <w:tcBorders>
              <w:top w:val="single" w:sz="4" w:space="0" w:color="000000"/>
              <w:left w:val="single" w:sz="4" w:space="0" w:color="000000"/>
              <w:bottom w:val="single" w:sz="4" w:space="0" w:color="000000"/>
              <w:right w:val="single" w:sz="4" w:space="0" w:color="000000"/>
            </w:tcBorders>
            <w:hideMark/>
          </w:tcPr>
          <w:p w14:paraId="572357EE"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1 (0,1 </w:t>
            </w:r>
            <w:r w:rsidRPr="004714C6">
              <w:rPr>
                <w:spacing w:val="1"/>
                <w:kern w:val="2"/>
                <w:sz w:val="24"/>
                <w:szCs w:val="24"/>
                <w14:ligatures w14:val="standardContextual"/>
              </w:rPr>
              <w:t>%)</w:t>
            </w:r>
          </w:p>
        </w:tc>
        <w:tc>
          <w:tcPr>
            <w:tcW w:w="1223" w:type="pct"/>
            <w:tcBorders>
              <w:top w:val="single" w:sz="4" w:space="0" w:color="000000"/>
              <w:left w:val="single" w:sz="4" w:space="0" w:color="000000"/>
              <w:bottom w:val="single" w:sz="4" w:space="0" w:color="000000"/>
              <w:right w:val="single" w:sz="4" w:space="0" w:color="000000"/>
            </w:tcBorders>
            <w:hideMark/>
          </w:tcPr>
          <w:p w14:paraId="01F12440"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3 (0,2 %)</w:t>
            </w:r>
          </w:p>
        </w:tc>
        <w:tc>
          <w:tcPr>
            <w:tcW w:w="1057" w:type="pct"/>
            <w:tcBorders>
              <w:top w:val="single" w:sz="4" w:space="0" w:color="000000"/>
              <w:left w:val="single" w:sz="4" w:space="0" w:color="000000"/>
              <w:bottom w:val="single" w:sz="4" w:space="0" w:color="000000"/>
              <w:right w:val="single" w:sz="4" w:space="0" w:color="000000"/>
            </w:tcBorders>
            <w:hideMark/>
          </w:tcPr>
          <w:p w14:paraId="1B08561D"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Ikke mulig at beregne*</w:t>
            </w:r>
          </w:p>
        </w:tc>
      </w:tr>
      <w:tr w:rsidR="00A76826" w:rsidRPr="004714C6" w14:paraId="373FD54D" w14:textId="77777777" w:rsidTr="00FB1973">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027AC47E"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Alvorlig blødning/klinisk relevant blødning</w:t>
            </w:r>
          </w:p>
        </w:tc>
        <w:tc>
          <w:tcPr>
            <w:tcW w:w="1200" w:type="pct"/>
            <w:tcBorders>
              <w:top w:val="single" w:sz="4" w:space="0" w:color="000000"/>
              <w:left w:val="single" w:sz="4" w:space="0" w:color="000000"/>
              <w:bottom w:val="single" w:sz="4" w:space="0" w:color="000000"/>
              <w:right w:val="single" w:sz="4" w:space="0" w:color="000000"/>
            </w:tcBorders>
            <w:hideMark/>
          </w:tcPr>
          <w:p w14:paraId="3AD0D636"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80 (5,6 </w:t>
            </w:r>
            <w:r w:rsidRPr="004714C6">
              <w:rPr>
                <w:spacing w:val="1"/>
                <w:kern w:val="2"/>
                <w:sz w:val="24"/>
                <w:szCs w:val="24"/>
                <w14:ligatures w14:val="standardContextual"/>
              </w:rPr>
              <w:t>%)</w:t>
            </w:r>
          </w:p>
        </w:tc>
        <w:tc>
          <w:tcPr>
            <w:tcW w:w="1223" w:type="pct"/>
            <w:tcBorders>
              <w:top w:val="single" w:sz="4" w:space="0" w:color="000000"/>
              <w:left w:val="single" w:sz="4" w:space="0" w:color="000000"/>
              <w:bottom w:val="single" w:sz="4" w:space="0" w:color="000000"/>
              <w:right w:val="single" w:sz="4" w:space="0" w:color="000000"/>
            </w:tcBorders>
            <w:hideMark/>
          </w:tcPr>
          <w:p w14:paraId="78B6B78C"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145 (10,2 </w:t>
            </w:r>
            <w:r w:rsidRPr="004714C6">
              <w:rPr>
                <w:spacing w:val="-2"/>
                <w:kern w:val="2"/>
                <w:sz w:val="24"/>
                <w:szCs w:val="24"/>
                <w14:ligatures w14:val="standardContextual"/>
              </w:rPr>
              <w:t>%)</w:t>
            </w:r>
          </w:p>
        </w:tc>
        <w:tc>
          <w:tcPr>
            <w:tcW w:w="1057" w:type="pct"/>
            <w:tcBorders>
              <w:top w:val="single" w:sz="4" w:space="0" w:color="000000"/>
              <w:left w:val="single" w:sz="4" w:space="0" w:color="000000"/>
              <w:bottom w:val="single" w:sz="4" w:space="0" w:color="000000"/>
              <w:right w:val="single" w:sz="4" w:space="0" w:color="000000"/>
            </w:tcBorders>
            <w:hideMark/>
          </w:tcPr>
          <w:p w14:paraId="14AC7637"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 xml:space="preserve">0,55 </w:t>
            </w:r>
            <w:proofErr w:type="gramStart"/>
            <w:r w:rsidRPr="004714C6">
              <w:rPr>
                <w:kern w:val="2"/>
                <w:sz w:val="24"/>
                <w:szCs w:val="24"/>
                <w14:ligatures w14:val="standardContextual"/>
              </w:rPr>
              <w:t>( 0</w:t>
            </w:r>
            <w:proofErr w:type="gramEnd"/>
            <w:r w:rsidRPr="004714C6">
              <w:rPr>
                <w:kern w:val="2"/>
                <w:sz w:val="24"/>
                <w:szCs w:val="24"/>
                <w14:ligatures w14:val="standardContextual"/>
              </w:rPr>
              <w:t>,41; 0,72)</w:t>
            </w:r>
          </w:p>
        </w:tc>
      </w:tr>
      <w:tr w:rsidR="00A76826" w:rsidRPr="004714C6" w14:paraId="257D12C4" w14:textId="77777777" w:rsidTr="00FB1973">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26E6C317"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Alle blødninger</w:t>
            </w:r>
          </w:p>
        </w:tc>
        <w:tc>
          <w:tcPr>
            <w:tcW w:w="1200" w:type="pct"/>
            <w:tcBorders>
              <w:top w:val="single" w:sz="4" w:space="0" w:color="000000"/>
              <w:left w:val="single" w:sz="4" w:space="0" w:color="000000"/>
              <w:bottom w:val="single" w:sz="4" w:space="0" w:color="000000"/>
              <w:right w:val="single" w:sz="4" w:space="0" w:color="000000"/>
            </w:tcBorders>
            <w:hideMark/>
          </w:tcPr>
          <w:p w14:paraId="7DD71435"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278 (19,4 </w:t>
            </w:r>
            <w:r w:rsidRPr="004714C6">
              <w:rPr>
                <w:spacing w:val="-2"/>
                <w:kern w:val="2"/>
                <w:sz w:val="24"/>
                <w:szCs w:val="24"/>
                <w14:ligatures w14:val="standardContextual"/>
              </w:rPr>
              <w:t>%)</w:t>
            </w:r>
          </w:p>
        </w:tc>
        <w:tc>
          <w:tcPr>
            <w:tcW w:w="1223" w:type="pct"/>
            <w:tcBorders>
              <w:top w:val="single" w:sz="4" w:space="0" w:color="000000"/>
              <w:left w:val="single" w:sz="4" w:space="0" w:color="000000"/>
              <w:bottom w:val="single" w:sz="4" w:space="0" w:color="000000"/>
              <w:right w:val="single" w:sz="4" w:space="0" w:color="000000"/>
            </w:tcBorders>
            <w:hideMark/>
          </w:tcPr>
          <w:p w14:paraId="3F2F20B4"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373 (26,2 </w:t>
            </w:r>
            <w:r w:rsidRPr="004714C6">
              <w:rPr>
                <w:spacing w:val="-2"/>
                <w:kern w:val="2"/>
                <w:sz w:val="24"/>
                <w:szCs w:val="24"/>
                <w14:ligatures w14:val="standardContextual"/>
              </w:rPr>
              <w:t>%)</w:t>
            </w:r>
          </w:p>
        </w:tc>
        <w:tc>
          <w:tcPr>
            <w:tcW w:w="1057" w:type="pct"/>
            <w:tcBorders>
              <w:top w:val="single" w:sz="4" w:space="0" w:color="000000"/>
              <w:left w:val="single" w:sz="4" w:space="0" w:color="000000"/>
              <w:bottom w:val="single" w:sz="4" w:space="0" w:color="000000"/>
              <w:right w:val="single" w:sz="4" w:space="0" w:color="000000"/>
            </w:tcBorders>
            <w:hideMark/>
          </w:tcPr>
          <w:p w14:paraId="0E065F27"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0,71 (0,61; 0,83)</w:t>
            </w:r>
          </w:p>
        </w:tc>
      </w:tr>
      <w:tr w:rsidR="00A76826" w:rsidRPr="004714C6" w14:paraId="5004EF7C" w14:textId="77777777" w:rsidTr="00FB1973">
        <w:trPr>
          <w:trHeight w:val="20"/>
        </w:trPr>
        <w:tc>
          <w:tcPr>
            <w:tcW w:w="1520" w:type="pct"/>
            <w:tcBorders>
              <w:top w:val="single" w:sz="4" w:space="0" w:color="000000"/>
              <w:left w:val="single" w:sz="4" w:space="0" w:color="000000"/>
              <w:bottom w:val="single" w:sz="4" w:space="0" w:color="000000"/>
              <w:right w:val="single" w:sz="4" w:space="0" w:color="000000"/>
            </w:tcBorders>
            <w:hideMark/>
          </w:tcPr>
          <w:p w14:paraId="4A45BA80" w14:textId="77777777" w:rsidR="00A76826" w:rsidRPr="004714C6" w:rsidRDefault="00A76826" w:rsidP="00FB1973">
            <w:pPr>
              <w:widowControl w:val="0"/>
              <w:autoSpaceDE w:val="0"/>
              <w:autoSpaceDN w:val="0"/>
              <w:adjustRightInd w:val="0"/>
              <w:ind w:left="669" w:right="-20"/>
              <w:rPr>
                <w:kern w:val="2"/>
                <w:sz w:val="24"/>
                <w:szCs w:val="24"/>
                <w14:ligatures w14:val="standardContextual"/>
              </w:rPr>
            </w:pPr>
            <w:r w:rsidRPr="004714C6">
              <w:rPr>
                <w:kern w:val="2"/>
                <w:sz w:val="24"/>
                <w:szCs w:val="24"/>
                <w14:ligatures w14:val="standardContextual"/>
              </w:rPr>
              <w:t>Alle gastrointestinale blødninger</w:t>
            </w:r>
          </w:p>
        </w:tc>
        <w:tc>
          <w:tcPr>
            <w:tcW w:w="1200" w:type="pct"/>
            <w:tcBorders>
              <w:top w:val="single" w:sz="4" w:space="0" w:color="000000"/>
              <w:left w:val="single" w:sz="4" w:space="0" w:color="000000"/>
              <w:bottom w:val="single" w:sz="4" w:space="0" w:color="000000"/>
              <w:right w:val="single" w:sz="4" w:space="0" w:color="000000"/>
            </w:tcBorders>
            <w:hideMark/>
          </w:tcPr>
          <w:p w14:paraId="70109D69"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45 (3,1 %)</w:t>
            </w:r>
          </w:p>
        </w:tc>
        <w:tc>
          <w:tcPr>
            <w:tcW w:w="1223" w:type="pct"/>
            <w:tcBorders>
              <w:top w:val="single" w:sz="4" w:space="0" w:color="000000"/>
              <w:left w:val="single" w:sz="4" w:space="0" w:color="000000"/>
              <w:bottom w:val="single" w:sz="4" w:space="0" w:color="000000"/>
              <w:right w:val="single" w:sz="4" w:space="0" w:color="000000"/>
            </w:tcBorders>
            <w:hideMark/>
          </w:tcPr>
          <w:p w14:paraId="4873A7FA"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32 (2,2 %)</w:t>
            </w:r>
          </w:p>
        </w:tc>
        <w:tc>
          <w:tcPr>
            <w:tcW w:w="1057" w:type="pct"/>
            <w:tcBorders>
              <w:top w:val="single" w:sz="4" w:space="0" w:color="000000"/>
              <w:left w:val="single" w:sz="4" w:space="0" w:color="000000"/>
              <w:bottom w:val="single" w:sz="4" w:space="0" w:color="000000"/>
              <w:right w:val="single" w:sz="4" w:space="0" w:color="000000"/>
            </w:tcBorders>
            <w:hideMark/>
          </w:tcPr>
          <w:p w14:paraId="17FFEBC7" w14:textId="77777777" w:rsidR="00A76826" w:rsidRPr="004714C6" w:rsidRDefault="00A76826" w:rsidP="00326117">
            <w:pPr>
              <w:widowControl w:val="0"/>
              <w:autoSpaceDE w:val="0"/>
              <w:autoSpaceDN w:val="0"/>
              <w:adjustRightInd w:val="0"/>
              <w:ind w:left="150" w:right="186"/>
              <w:jc w:val="center"/>
              <w:rPr>
                <w:kern w:val="2"/>
                <w:sz w:val="24"/>
                <w:szCs w:val="24"/>
                <w14:ligatures w14:val="standardContextual"/>
              </w:rPr>
            </w:pPr>
            <w:r w:rsidRPr="004714C6">
              <w:rPr>
                <w:kern w:val="2"/>
                <w:sz w:val="24"/>
                <w:szCs w:val="24"/>
                <w14:ligatures w14:val="standardContextual"/>
              </w:rPr>
              <w:t>1,39 (0,87; 2,20)</w:t>
            </w:r>
          </w:p>
        </w:tc>
      </w:tr>
    </w:tbl>
    <w:p w14:paraId="686438BE" w14:textId="77777777" w:rsidR="00A76826" w:rsidRPr="004714C6" w:rsidRDefault="00A76826" w:rsidP="00FB1973">
      <w:pPr>
        <w:rPr>
          <w:sz w:val="24"/>
          <w:szCs w:val="24"/>
        </w:rPr>
      </w:pPr>
      <w:r w:rsidRPr="004714C6">
        <w:rPr>
          <w:sz w:val="24"/>
          <w:szCs w:val="24"/>
        </w:rPr>
        <w:t>*HR er ikke mulig at beregne, da der ikke forekom nogen hændelse i denne</w:t>
      </w:r>
      <w:r w:rsidRPr="004714C6">
        <w:rPr>
          <w:spacing w:val="-1"/>
          <w:sz w:val="24"/>
          <w:szCs w:val="24"/>
        </w:rPr>
        <w:t xml:space="preserve"> </w:t>
      </w:r>
      <w:r w:rsidRPr="004714C6">
        <w:rPr>
          <w:sz w:val="24"/>
          <w:szCs w:val="24"/>
        </w:rPr>
        <w:t>kohorte/behandling</w:t>
      </w:r>
    </w:p>
    <w:p w14:paraId="67E1C2EA" w14:textId="77777777" w:rsidR="00A76826" w:rsidRPr="004714C6" w:rsidRDefault="00A76826" w:rsidP="00FB1973">
      <w:pPr>
        <w:ind w:left="851"/>
        <w:rPr>
          <w:sz w:val="24"/>
          <w:szCs w:val="24"/>
        </w:rPr>
      </w:pPr>
    </w:p>
    <w:p w14:paraId="5AFF6871" w14:textId="77777777" w:rsidR="00A76826" w:rsidRPr="004714C6" w:rsidRDefault="00A76826" w:rsidP="00FB1973">
      <w:pPr>
        <w:ind w:left="851"/>
        <w:rPr>
          <w:sz w:val="24"/>
          <w:szCs w:val="24"/>
        </w:rPr>
      </w:pPr>
      <w:r w:rsidRPr="004714C6">
        <w:rPr>
          <w:sz w:val="24"/>
          <w:szCs w:val="24"/>
        </w:rPr>
        <w:t>Tabel 17 viser blødningstilfælde i registreringsstudiet RE-SONATE, der undersøgte forebyggelse af DVT og LE. Hyppigheden af MBE/CRBE og hyppigheden af enhver blødning var signifikant lavere ved et nominelt alfa</w:t>
      </w:r>
      <w:r w:rsidRPr="004714C6">
        <w:rPr>
          <w:sz w:val="24"/>
          <w:szCs w:val="24"/>
        </w:rPr>
        <w:noBreakHyphen/>
        <w:t>niveau på 5 % ved placebo, sammenlignet med dabigatranetexilat.</w:t>
      </w:r>
    </w:p>
    <w:p w14:paraId="1356A44D" w14:textId="77777777" w:rsidR="00A76826" w:rsidRPr="004714C6" w:rsidRDefault="00A76826" w:rsidP="00FB1973">
      <w:pPr>
        <w:ind w:left="851"/>
        <w:rPr>
          <w:sz w:val="24"/>
          <w:szCs w:val="24"/>
        </w:rPr>
      </w:pPr>
    </w:p>
    <w:p w14:paraId="7DE9CB00"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17:</w:t>
      </w:r>
      <w:r w:rsidRPr="004714C6">
        <w:rPr>
          <w:b/>
          <w:bCs/>
          <w:sz w:val="24"/>
          <w:szCs w:val="24"/>
        </w:rPr>
        <w:tab/>
        <w:t>Blødningstilfælde i studiet RE-SONATE, der undersøgte forebyggelse af DVT og LE</w:t>
      </w:r>
    </w:p>
    <w:p w14:paraId="0D1DC593"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727"/>
        <w:gridCol w:w="2394"/>
        <w:gridCol w:w="2268"/>
        <w:gridCol w:w="2239"/>
      </w:tblGrid>
      <w:tr w:rsidR="00A76826" w:rsidRPr="004714C6" w14:paraId="42FCC174" w14:textId="77777777" w:rsidTr="00FB1973">
        <w:trPr>
          <w:trHeight w:val="20"/>
        </w:trPr>
        <w:tc>
          <w:tcPr>
            <w:tcW w:w="1519" w:type="pct"/>
            <w:tcBorders>
              <w:top w:val="single" w:sz="4" w:space="0" w:color="000000"/>
              <w:left w:val="single" w:sz="4" w:space="0" w:color="000000"/>
              <w:bottom w:val="single" w:sz="4" w:space="0" w:color="000000"/>
              <w:right w:val="single" w:sz="4" w:space="0" w:color="000000"/>
            </w:tcBorders>
          </w:tcPr>
          <w:p w14:paraId="4A315492" w14:textId="77777777" w:rsidR="00A76826" w:rsidRPr="004714C6" w:rsidRDefault="00A76826" w:rsidP="00FB1973">
            <w:pPr>
              <w:widowControl w:val="0"/>
              <w:autoSpaceDE w:val="0"/>
              <w:autoSpaceDN w:val="0"/>
              <w:adjustRightInd w:val="0"/>
              <w:rPr>
                <w:kern w:val="2"/>
                <w:sz w:val="24"/>
                <w:szCs w:val="24"/>
                <w14:ligatures w14:val="standardContextual"/>
              </w:rPr>
            </w:pPr>
          </w:p>
        </w:tc>
        <w:tc>
          <w:tcPr>
            <w:tcW w:w="1204" w:type="pct"/>
            <w:tcBorders>
              <w:top w:val="single" w:sz="4" w:space="0" w:color="000000"/>
              <w:left w:val="single" w:sz="4" w:space="0" w:color="000000"/>
              <w:bottom w:val="single" w:sz="4" w:space="0" w:color="000000"/>
              <w:right w:val="single" w:sz="4" w:space="0" w:color="000000"/>
            </w:tcBorders>
            <w:hideMark/>
          </w:tcPr>
          <w:p w14:paraId="61863968" w14:textId="77777777" w:rsidR="00A76826" w:rsidRPr="004714C6" w:rsidRDefault="00A76826" w:rsidP="00FB1973">
            <w:pPr>
              <w:widowControl w:val="0"/>
              <w:autoSpaceDE w:val="0"/>
              <w:autoSpaceDN w:val="0"/>
              <w:adjustRightInd w:val="0"/>
              <w:ind w:left="241" w:right="223"/>
              <w:jc w:val="center"/>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150 mg 2 gange dagligt</w:t>
            </w:r>
          </w:p>
        </w:tc>
        <w:tc>
          <w:tcPr>
            <w:tcW w:w="1144" w:type="pct"/>
            <w:tcBorders>
              <w:top w:val="single" w:sz="4" w:space="0" w:color="000000"/>
              <w:left w:val="single" w:sz="4" w:space="0" w:color="000000"/>
              <w:bottom w:val="single" w:sz="4" w:space="0" w:color="000000"/>
              <w:right w:val="single" w:sz="4" w:space="0" w:color="000000"/>
            </w:tcBorders>
            <w:hideMark/>
          </w:tcPr>
          <w:p w14:paraId="755538D9" w14:textId="77777777" w:rsidR="00A76826" w:rsidRPr="004714C6" w:rsidRDefault="00A76826" w:rsidP="00FB1973">
            <w:pPr>
              <w:widowControl w:val="0"/>
              <w:autoSpaceDE w:val="0"/>
              <w:autoSpaceDN w:val="0"/>
              <w:adjustRightInd w:val="0"/>
              <w:ind w:left="714" w:right="696"/>
              <w:jc w:val="center"/>
              <w:rPr>
                <w:b/>
                <w:bCs/>
                <w:kern w:val="2"/>
                <w:sz w:val="24"/>
                <w:szCs w:val="24"/>
                <w14:ligatures w14:val="standardContextual"/>
              </w:rPr>
            </w:pPr>
            <w:r w:rsidRPr="004714C6">
              <w:rPr>
                <w:b/>
                <w:bCs/>
                <w:kern w:val="2"/>
                <w:sz w:val="24"/>
                <w:szCs w:val="24"/>
                <w14:ligatures w14:val="standardContextual"/>
              </w:rPr>
              <w:t>Placebo</w:t>
            </w:r>
          </w:p>
        </w:tc>
        <w:tc>
          <w:tcPr>
            <w:tcW w:w="1133" w:type="pct"/>
            <w:tcBorders>
              <w:top w:val="single" w:sz="4" w:space="0" w:color="000000"/>
              <w:left w:val="single" w:sz="4" w:space="0" w:color="000000"/>
              <w:bottom w:val="single" w:sz="4" w:space="0" w:color="000000"/>
              <w:right w:val="single" w:sz="4" w:space="0" w:color="000000"/>
            </w:tcBorders>
            <w:hideMark/>
          </w:tcPr>
          <w:p w14:paraId="6172D684" w14:textId="77777777" w:rsidR="00A76826" w:rsidRPr="004714C6" w:rsidRDefault="00A76826" w:rsidP="00FB1973">
            <w:pPr>
              <w:widowControl w:val="0"/>
              <w:autoSpaceDE w:val="0"/>
              <w:autoSpaceDN w:val="0"/>
              <w:adjustRightInd w:val="0"/>
              <w:ind w:left="243" w:right="225"/>
              <w:jc w:val="center"/>
              <w:rPr>
                <w:b/>
                <w:bCs/>
                <w:kern w:val="2"/>
                <w:sz w:val="24"/>
                <w:szCs w:val="24"/>
                <w14:ligatures w14:val="standardContextual"/>
              </w:rPr>
            </w:pPr>
            <w:r w:rsidRPr="004714C6">
              <w:rPr>
                <w:b/>
                <w:bCs/>
                <w:i/>
                <w:iCs/>
                <w:kern w:val="2"/>
                <w:sz w:val="24"/>
                <w:szCs w:val="24"/>
                <w14:ligatures w14:val="standardContextual"/>
              </w:rPr>
              <w:t>Hazard ratio vs.</w:t>
            </w:r>
          </w:p>
          <w:p w14:paraId="0D9C5F32" w14:textId="77777777" w:rsidR="00A76826" w:rsidRPr="004714C6" w:rsidRDefault="00A76826" w:rsidP="00FB1973">
            <w:pPr>
              <w:widowControl w:val="0"/>
              <w:autoSpaceDE w:val="0"/>
              <w:autoSpaceDN w:val="0"/>
              <w:adjustRightInd w:val="0"/>
              <w:ind w:left="184" w:right="164" w:hanging="3"/>
              <w:jc w:val="center"/>
              <w:rPr>
                <w:b/>
                <w:bCs/>
                <w:kern w:val="2"/>
                <w:sz w:val="24"/>
                <w:szCs w:val="24"/>
                <w14:ligatures w14:val="standardContextual"/>
              </w:rPr>
            </w:pPr>
            <w:r w:rsidRPr="004714C6">
              <w:rPr>
                <w:b/>
                <w:bCs/>
                <w:kern w:val="2"/>
                <w:sz w:val="24"/>
                <w:szCs w:val="24"/>
                <w14:ligatures w14:val="standardContextual"/>
              </w:rPr>
              <w:t>placebo (95 % konfidensinterval)</w:t>
            </w:r>
          </w:p>
        </w:tc>
      </w:tr>
      <w:tr w:rsidR="00A76826" w:rsidRPr="004714C6" w14:paraId="3DBE51D6" w14:textId="77777777" w:rsidTr="00FB1973">
        <w:trPr>
          <w:trHeight w:val="20"/>
        </w:trPr>
        <w:tc>
          <w:tcPr>
            <w:tcW w:w="1519" w:type="pct"/>
            <w:tcBorders>
              <w:top w:val="single" w:sz="4" w:space="0" w:color="000000"/>
              <w:left w:val="single" w:sz="4" w:space="0" w:color="000000"/>
              <w:bottom w:val="single" w:sz="4" w:space="0" w:color="000000"/>
              <w:right w:val="single" w:sz="4" w:space="0" w:color="000000"/>
            </w:tcBorders>
            <w:hideMark/>
          </w:tcPr>
          <w:p w14:paraId="75965322"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Behandlede patienter</w:t>
            </w:r>
          </w:p>
        </w:tc>
        <w:tc>
          <w:tcPr>
            <w:tcW w:w="1204" w:type="pct"/>
            <w:tcBorders>
              <w:top w:val="single" w:sz="4" w:space="0" w:color="000000"/>
              <w:left w:val="single" w:sz="4" w:space="0" w:color="000000"/>
              <w:bottom w:val="single" w:sz="4" w:space="0" w:color="000000"/>
              <w:right w:val="single" w:sz="4" w:space="0" w:color="000000"/>
            </w:tcBorders>
            <w:hideMark/>
          </w:tcPr>
          <w:p w14:paraId="230030F2" w14:textId="77777777" w:rsidR="00A76826" w:rsidRPr="004714C6" w:rsidRDefault="00A76826" w:rsidP="00FB1973">
            <w:pPr>
              <w:widowControl w:val="0"/>
              <w:autoSpaceDE w:val="0"/>
              <w:autoSpaceDN w:val="0"/>
              <w:adjustRightInd w:val="0"/>
              <w:ind w:left="922" w:right="902"/>
              <w:rPr>
                <w:kern w:val="2"/>
                <w:sz w:val="24"/>
                <w:szCs w:val="24"/>
                <w14:ligatures w14:val="standardContextual"/>
              </w:rPr>
            </w:pPr>
            <w:r w:rsidRPr="004714C6">
              <w:rPr>
                <w:kern w:val="2"/>
                <w:sz w:val="24"/>
                <w:szCs w:val="24"/>
                <w14:ligatures w14:val="standardContextual"/>
              </w:rPr>
              <w:t>684</w:t>
            </w:r>
          </w:p>
        </w:tc>
        <w:tc>
          <w:tcPr>
            <w:tcW w:w="1144" w:type="pct"/>
            <w:tcBorders>
              <w:top w:val="single" w:sz="4" w:space="0" w:color="000000"/>
              <w:left w:val="single" w:sz="4" w:space="0" w:color="000000"/>
              <w:bottom w:val="single" w:sz="4" w:space="0" w:color="000000"/>
              <w:right w:val="single" w:sz="4" w:space="0" w:color="000000"/>
            </w:tcBorders>
            <w:hideMark/>
          </w:tcPr>
          <w:p w14:paraId="5962757A" w14:textId="77777777" w:rsidR="00A76826" w:rsidRPr="004714C6" w:rsidRDefault="00A76826" w:rsidP="00FB1973">
            <w:pPr>
              <w:widowControl w:val="0"/>
              <w:autoSpaceDE w:val="0"/>
              <w:autoSpaceDN w:val="0"/>
              <w:adjustRightInd w:val="0"/>
              <w:ind w:left="896" w:right="881"/>
              <w:rPr>
                <w:kern w:val="2"/>
                <w:sz w:val="24"/>
                <w:szCs w:val="24"/>
                <w14:ligatures w14:val="standardContextual"/>
              </w:rPr>
            </w:pPr>
            <w:r w:rsidRPr="004714C6">
              <w:rPr>
                <w:kern w:val="2"/>
                <w:sz w:val="24"/>
                <w:szCs w:val="24"/>
                <w14:ligatures w14:val="standardContextual"/>
              </w:rPr>
              <w:t>6599</w:t>
            </w:r>
          </w:p>
        </w:tc>
        <w:tc>
          <w:tcPr>
            <w:tcW w:w="1133" w:type="pct"/>
            <w:tcBorders>
              <w:top w:val="single" w:sz="4" w:space="0" w:color="000000"/>
              <w:left w:val="single" w:sz="4" w:space="0" w:color="000000"/>
              <w:bottom w:val="single" w:sz="4" w:space="0" w:color="000000"/>
              <w:right w:val="single" w:sz="4" w:space="0" w:color="000000"/>
            </w:tcBorders>
          </w:tcPr>
          <w:p w14:paraId="3141A0B0" w14:textId="77777777" w:rsidR="00A76826" w:rsidRPr="004714C6" w:rsidRDefault="00A76826" w:rsidP="00FB1973">
            <w:pPr>
              <w:widowControl w:val="0"/>
              <w:autoSpaceDE w:val="0"/>
              <w:autoSpaceDN w:val="0"/>
              <w:adjustRightInd w:val="0"/>
              <w:rPr>
                <w:kern w:val="2"/>
                <w:sz w:val="24"/>
                <w:szCs w:val="24"/>
                <w14:ligatures w14:val="standardContextual"/>
              </w:rPr>
            </w:pPr>
          </w:p>
        </w:tc>
      </w:tr>
      <w:tr w:rsidR="00A76826" w:rsidRPr="004714C6" w14:paraId="626D8227" w14:textId="77777777" w:rsidTr="00FB1973">
        <w:trPr>
          <w:trHeight w:val="20"/>
        </w:trPr>
        <w:tc>
          <w:tcPr>
            <w:tcW w:w="1519" w:type="pct"/>
            <w:tcBorders>
              <w:top w:val="single" w:sz="4" w:space="0" w:color="000000"/>
              <w:left w:val="single" w:sz="4" w:space="0" w:color="000000"/>
              <w:bottom w:val="single" w:sz="4" w:space="0" w:color="000000"/>
              <w:right w:val="single" w:sz="4" w:space="0" w:color="000000"/>
            </w:tcBorders>
            <w:hideMark/>
          </w:tcPr>
          <w:p w14:paraId="495646AC"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Alvorlig blødning</w:t>
            </w:r>
          </w:p>
        </w:tc>
        <w:tc>
          <w:tcPr>
            <w:tcW w:w="1204" w:type="pct"/>
            <w:tcBorders>
              <w:top w:val="single" w:sz="4" w:space="0" w:color="000000"/>
              <w:left w:val="single" w:sz="4" w:space="0" w:color="000000"/>
              <w:bottom w:val="single" w:sz="4" w:space="0" w:color="000000"/>
              <w:right w:val="single" w:sz="4" w:space="0" w:color="000000"/>
            </w:tcBorders>
            <w:hideMark/>
          </w:tcPr>
          <w:p w14:paraId="0DE21CB7" w14:textId="77777777" w:rsidR="00A76826" w:rsidRPr="004714C6" w:rsidRDefault="00A76826" w:rsidP="00FB1973">
            <w:pPr>
              <w:widowControl w:val="0"/>
              <w:autoSpaceDE w:val="0"/>
              <w:autoSpaceDN w:val="0"/>
              <w:adjustRightInd w:val="0"/>
              <w:ind w:left="712" w:right="-20"/>
              <w:rPr>
                <w:kern w:val="2"/>
                <w:sz w:val="24"/>
                <w:szCs w:val="24"/>
                <w14:ligatures w14:val="standardContextual"/>
              </w:rPr>
            </w:pPr>
            <w:r w:rsidRPr="004714C6">
              <w:rPr>
                <w:kern w:val="2"/>
                <w:sz w:val="24"/>
                <w:szCs w:val="24"/>
                <w14:ligatures w14:val="standardContextual"/>
              </w:rPr>
              <w:t>2 (0,3 </w:t>
            </w:r>
            <w:r w:rsidRPr="004714C6">
              <w:rPr>
                <w:spacing w:val="1"/>
                <w:kern w:val="2"/>
                <w:sz w:val="24"/>
                <w:szCs w:val="24"/>
                <w14:ligatures w14:val="standardContextual"/>
              </w:rPr>
              <w:t>%)</w:t>
            </w:r>
          </w:p>
        </w:tc>
        <w:tc>
          <w:tcPr>
            <w:tcW w:w="1144" w:type="pct"/>
            <w:tcBorders>
              <w:top w:val="single" w:sz="4" w:space="0" w:color="000000"/>
              <w:left w:val="single" w:sz="4" w:space="0" w:color="000000"/>
              <w:bottom w:val="single" w:sz="4" w:space="0" w:color="000000"/>
              <w:right w:val="single" w:sz="4" w:space="0" w:color="000000"/>
            </w:tcBorders>
            <w:hideMark/>
          </w:tcPr>
          <w:p w14:paraId="36743EFF" w14:textId="77777777" w:rsidR="00A76826" w:rsidRPr="004714C6" w:rsidRDefault="00A76826" w:rsidP="00FB1973">
            <w:pPr>
              <w:widowControl w:val="0"/>
              <w:autoSpaceDE w:val="0"/>
              <w:autoSpaceDN w:val="0"/>
              <w:adjustRightInd w:val="0"/>
              <w:ind w:left="1006" w:right="991"/>
              <w:rPr>
                <w:kern w:val="2"/>
                <w:sz w:val="24"/>
                <w:szCs w:val="24"/>
                <w14:ligatures w14:val="standardContextual"/>
              </w:rPr>
            </w:pPr>
            <w:r w:rsidRPr="004714C6">
              <w:rPr>
                <w:kern w:val="2"/>
                <w:sz w:val="24"/>
                <w:szCs w:val="24"/>
                <w14:ligatures w14:val="standardContextual"/>
              </w:rPr>
              <w:t>0</w:t>
            </w:r>
          </w:p>
        </w:tc>
        <w:tc>
          <w:tcPr>
            <w:tcW w:w="1133" w:type="pct"/>
            <w:tcBorders>
              <w:top w:val="single" w:sz="4" w:space="0" w:color="000000"/>
              <w:left w:val="single" w:sz="4" w:space="0" w:color="000000"/>
              <w:bottom w:val="single" w:sz="4" w:space="0" w:color="000000"/>
              <w:right w:val="single" w:sz="4" w:space="0" w:color="000000"/>
            </w:tcBorders>
            <w:hideMark/>
          </w:tcPr>
          <w:p w14:paraId="24A17E0D" w14:textId="77777777" w:rsidR="00A76826" w:rsidRPr="004714C6" w:rsidRDefault="00A76826" w:rsidP="00FB1973">
            <w:pPr>
              <w:widowControl w:val="0"/>
              <w:autoSpaceDE w:val="0"/>
              <w:autoSpaceDN w:val="0"/>
              <w:adjustRightInd w:val="0"/>
              <w:ind w:left="462" w:right="-20"/>
              <w:rPr>
                <w:kern w:val="2"/>
                <w:sz w:val="24"/>
                <w:szCs w:val="24"/>
                <w14:ligatures w14:val="standardContextual"/>
              </w:rPr>
            </w:pPr>
            <w:r w:rsidRPr="004714C6">
              <w:rPr>
                <w:kern w:val="2"/>
                <w:sz w:val="24"/>
                <w:szCs w:val="24"/>
                <w14:ligatures w14:val="standardContextual"/>
              </w:rPr>
              <w:t>Ikke mulig at beregne*</w:t>
            </w:r>
          </w:p>
        </w:tc>
      </w:tr>
      <w:tr w:rsidR="00A76826" w:rsidRPr="004714C6" w14:paraId="32D327CF" w14:textId="77777777" w:rsidTr="00FB1973">
        <w:trPr>
          <w:trHeight w:val="20"/>
        </w:trPr>
        <w:tc>
          <w:tcPr>
            <w:tcW w:w="1519" w:type="pct"/>
            <w:tcBorders>
              <w:top w:val="single" w:sz="4" w:space="0" w:color="000000"/>
              <w:left w:val="single" w:sz="4" w:space="0" w:color="000000"/>
              <w:bottom w:val="single" w:sz="4" w:space="0" w:color="000000"/>
              <w:right w:val="single" w:sz="4" w:space="0" w:color="000000"/>
            </w:tcBorders>
            <w:hideMark/>
          </w:tcPr>
          <w:p w14:paraId="1E26EC4F" w14:textId="77777777" w:rsidR="00A76826" w:rsidRPr="004714C6" w:rsidRDefault="00A76826" w:rsidP="00FB1973">
            <w:pPr>
              <w:widowControl w:val="0"/>
              <w:autoSpaceDE w:val="0"/>
              <w:autoSpaceDN w:val="0"/>
              <w:adjustRightInd w:val="0"/>
              <w:ind w:left="810" w:right="-20"/>
              <w:rPr>
                <w:kern w:val="2"/>
                <w:sz w:val="24"/>
                <w:szCs w:val="24"/>
                <w14:ligatures w14:val="standardContextual"/>
              </w:rPr>
            </w:pPr>
            <w:r w:rsidRPr="004714C6">
              <w:rPr>
                <w:kern w:val="2"/>
                <w:sz w:val="24"/>
                <w:szCs w:val="24"/>
                <w14:ligatures w14:val="standardContextual"/>
              </w:rPr>
              <w:t>Intrakraniel blødning</w:t>
            </w:r>
          </w:p>
        </w:tc>
        <w:tc>
          <w:tcPr>
            <w:tcW w:w="1204" w:type="pct"/>
            <w:tcBorders>
              <w:top w:val="single" w:sz="4" w:space="0" w:color="000000"/>
              <w:left w:val="single" w:sz="4" w:space="0" w:color="000000"/>
              <w:bottom w:val="single" w:sz="4" w:space="0" w:color="000000"/>
              <w:right w:val="single" w:sz="4" w:space="0" w:color="000000"/>
            </w:tcBorders>
            <w:hideMark/>
          </w:tcPr>
          <w:p w14:paraId="564459E1" w14:textId="77777777" w:rsidR="00A76826" w:rsidRPr="004714C6" w:rsidRDefault="00A76826" w:rsidP="00FB1973">
            <w:pPr>
              <w:widowControl w:val="0"/>
              <w:autoSpaceDE w:val="0"/>
              <w:autoSpaceDN w:val="0"/>
              <w:adjustRightInd w:val="0"/>
              <w:ind w:left="1033" w:right="1013"/>
              <w:rPr>
                <w:kern w:val="2"/>
                <w:sz w:val="24"/>
                <w:szCs w:val="24"/>
                <w14:ligatures w14:val="standardContextual"/>
              </w:rPr>
            </w:pPr>
            <w:r w:rsidRPr="004714C6">
              <w:rPr>
                <w:kern w:val="2"/>
                <w:sz w:val="24"/>
                <w:szCs w:val="24"/>
                <w14:ligatures w14:val="standardContextual"/>
              </w:rPr>
              <w:t>0</w:t>
            </w:r>
          </w:p>
        </w:tc>
        <w:tc>
          <w:tcPr>
            <w:tcW w:w="1144" w:type="pct"/>
            <w:tcBorders>
              <w:top w:val="single" w:sz="4" w:space="0" w:color="000000"/>
              <w:left w:val="single" w:sz="4" w:space="0" w:color="000000"/>
              <w:bottom w:val="single" w:sz="4" w:space="0" w:color="000000"/>
              <w:right w:val="single" w:sz="4" w:space="0" w:color="000000"/>
            </w:tcBorders>
            <w:hideMark/>
          </w:tcPr>
          <w:p w14:paraId="1738FC02" w14:textId="77777777" w:rsidR="00A76826" w:rsidRPr="004714C6" w:rsidRDefault="00A76826" w:rsidP="00FB1973">
            <w:pPr>
              <w:widowControl w:val="0"/>
              <w:autoSpaceDE w:val="0"/>
              <w:autoSpaceDN w:val="0"/>
              <w:adjustRightInd w:val="0"/>
              <w:ind w:left="1006" w:right="991"/>
              <w:rPr>
                <w:kern w:val="2"/>
                <w:sz w:val="24"/>
                <w:szCs w:val="24"/>
                <w14:ligatures w14:val="standardContextual"/>
              </w:rPr>
            </w:pPr>
            <w:r w:rsidRPr="004714C6">
              <w:rPr>
                <w:kern w:val="2"/>
                <w:sz w:val="24"/>
                <w:szCs w:val="24"/>
                <w14:ligatures w14:val="standardContextual"/>
              </w:rPr>
              <w:t>0</w:t>
            </w:r>
          </w:p>
        </w:tc>
        <w:tc>
          <w:tcPr>
            <w:tcW w:w="1133" w:type="pct"/>
            <w:tcBorders>
              <w:top w:val="single" w:sz="4" w:space="0" w:color="000000"/>
              <w:left w:val="single" w:sz="4" w:space="0" w:color="000000"/>
              <w:bottom w:val="single" w:sz="4" w:space="0" w:color="000000"/>
              <w:right w:val="single" w:sz="4" w:space="0" w:color="000000"/>
            </w:tcBorders>
            <w:hideMark/>
          </w:tcPr>
          <w:p w14:paraId="0028A874" w14:textId="77777777" w:rsidR="00A76826" w:rsidRPr="004714C6" w:rsidRDefault="00A76826" w:rsidP="00FB1973">
            <w:pPr>
              <w:widowControl w:val="0"/>
              <w:autoSpaceDE w:val="0"/>
              <w:autoSpaceDN w:val="0"/>
              <w:adjustRightInd w:val="0"/>
              <w:ind w:left="462" w:right="-20"/>
              <w:rPr>
                <w:kern w:val="2"/>
                <w:sz w:val="24"/>
                <w:szCs w:val="24"/>
                <w14:ligatures w14:val="standardContextual"/>
              </w:rPr>
            </w:pPr>
            <w:r w:rsidRPr="004714C6">
              <w:rPr>
                <w:kern w:val="2"/>
                <w:sz w:val="24"/>
                <w:szCs w:val="24"/>
                <w14:ligatures w14:val="standardContextual"/>
              </w:rPr>
              <w:t>Ikke mulig at beregne*</w:t>
            </w:r>
          </w:p>
        </w:tc>
      </w:tr>
      <w:tr w:rsidR="00A76826" w:rsidRPr="004714C6" w14:paraId="23821A7D" w14:textId="77777777" w:rsidTr="00FB1973">
        <w:trPr>
          <w:trHeight w:val="20"/>
        </w:trPr>
        <w:tc>
          <w:tcPr>
            <w:tcW w:w="1519" w:type="pct"/>
            <w:tcBorders>
              <w:top w:val="single" w:sz="4" w:space="0" w:color="000000"/>
              <w:left w:val="single" w:sz="4" w:space="0" w:color="000000"/>
              <w:bottom w:val="single" w:sz="4" w:space="0" w:color="000000"/>
              <w:right w:val="single" w:sz="4" w:space="0" w:color="000000"/>
            </w:tcBorders>
            <w:hideMark/>
          </w:tcPr>
          <w:p w14:paraId="69AAF67B" w14:textId="77777777" w:rsidR="00A76826" w:rsidRPr="004714C6" w:rsidRDefault="00A76826" w:rsidP="00FB1973">
            <w:pPr>
              <w:widowControl w:val="0"/>
              <w:autoSpaceDE w:val="0"/>
              <w:autoSpaceDN w:val="0"/>
              <w:adjustRightInd w:val="0"/>
              <w:ind w:left="810" w:right="-20"/>
              <w:rPr>
                <w:kern w:val="2"/>
                <w:sz w:val="24"/>
                <w:szCs w:val="24"/>
                <w14:ligatures w14:val="standardContextual"/>
              </w:rPr>
            </w:pPr>
            <w:r w:rsidRPr="004714C6">
              <w:rPr>
                <w:kern w:val="2"/>
                <w:sz w:val="24"/>
                <w:szCs w:val="24"/>
                <w14:ligatures w14:val="standardContextual"/>
              </w:rPr>
              <w:t>Alvorlig gastrointestinal blødning</w:t>
            </w:r>
          </w:p>
        </w:tc>
        <w:tc>
          <w:tcPr>
            <w:tcW w:w="1204" w:type="pct"/>
            <w:tcBorders>
              <w:top w:val="single" w:sz="4" w:space="0" w:color="000000"/>
              <w:left w:val="single" w:sz="4" w:space="0" w:color="000000"/>
              <w:bottom w:val="single" w:sz="4" w:space="0" w:color="000000"/>
              <w:right w:val="single" w:sz="4" w:space="0" w:color="000000"/>
            </w:tcBorders>
            <w:hideMark/>
          </w:tcPr>
          <w:p w14:paraId="5EBEC372" w14:textId="77777777" w:rsidR="00A76826" w:rsidRPr="004714C6" w:rsidRDefault="00A76826" w:rsidP="00FB1973">
            <w:pPr>
              <w:widowControl w:val="0"/>
              <w:autoSpaceDE w:val="0"/>
              <w:autoSpaceDN w:val="0"/>
              <w:adjustRightInd w:val="0"/>
              <w:ind w:left="738" w:right="-20"/>
              <w:rPr>
                <w:kern w:val="2"/>
                <w:sz w:val="24"/>
                <w:szCs w:val="24"/>
                <w14:ligatures w14:val="standardContextual"/>
              </w:rPr>
            </w:pPr>
            <w:r w:rsidRPr="004714C6">
              <w:rPr>
                <w:kern w:val="2"/>
                <w:sz w:val="24"/>
                <w:szCs w:val="24"/>
                <w14:ligatures w14:val="standardContextual"/>
              </w:rPr>
              <w:t>2 (0,3 %)</w:t>
            </w:r>
          </w:p>
        </w:tc>
        <w:tc>
          <w:tcPr>
            <w:tcW w:w="1144" w:type="pct"/>
            <w:tcBorders>
              <w:top w:val="single" w:sz="4" w:space="0" w:color="000000"/>
              <w:left w:val="single" w:sz="4" w:space="0" w:color="000000"/>
              <w:bottom w:val="single" w:sz="4" w:space="0" w:color="000000"/>
              <w:right w:val="single" w:sz="4" w:space="0" w:color="000000"/>
            </w:tcBorders>
            <w:hideMark/>
          </w:tcPr>
          <w:p w14:paraId="575CC26E" w14:textId="77777777" w:rsidR="00A76826" w:rsidRPr="004714C6" w:rsidRDefault="00A76826" w:rsidP="00FB1973">
            <w:pPr>
              <w:widowControl w:val="0"/>
              <w:autoSpaceDE w:val="0"/>
              <w:autoSpaceDN w:val="0"/>
              <w:adjustRightInd w:val="0"/>
              <w:ind w:left="1006" w:right="991"/>
              <w:rPr>
                <w:kern w:val="2"/>
                <w:sz w:val="24"/>
                <w:szCs w:val="24"/>
                <w14:ligatures w14:val="standardContextual"/>
              </w:rPr>
            </w:pPr>
            <w:r w:rsidRPr="004714C6">
              <w:rPr>
                <w:kern w:val="2"/>
                <w:sz w:val="24"/>
                <w:szCs w:val="24"/>
                <w14:ligatures w14:val="standardContextual"/>
              </w:rPr>
              <w:t>0</w:t>
            </w:r>
          </w:p>
        </w:tc>
        <w:tc>
          <w:tcPr>
            <w:tcW w:w="1133" w:type="pct"/>
            <w:tcBorders>
              <w:top w:val="single" w:sz="4" w:space="0" w:color="000000"/>
              <w:left w:val="single" w:sz="4" w:space="0" w:color="000000"/>
              <w:bottom w:val="single" w:sz="4" w:space="0" w:color="000000"/>
              <w:right w:val="single" w:sz="4" w:space="0" w:color="000000"/>
            </w:tcBorders>
            <w:hideMark/>
          </w:tcPr>
          <w:p w14:paraId="1C9BE3E2" w14:textId="77777777" w:rsidR="00A76826" w:rsidRPr="004714C6" w:rsidRDefault="00A76826" w:rsidP="00FB1973">
            <w:pPr>
              <w:widowControl w:val="0"/>
              <w:autoSpaceDE w:val="0"/>
              <w:autoSpaceDN w:val="0"/>
              <w:adjustRightInd w:val="0"/>
              <w:ind w:left="462" w:right="-20"/>
              <w:rPr>
                <w:kern w:val="2"/>
                <w:sz w:val="24"/>
                <w:szCs w:val="24"/>
                <w14:ligatures w14:val="standardContextual"/>
              </w:rPr>
            </w:pPr>
            <w:r w:rsidRPr="004714C6">
              <w:rPr>
                <w:kern w:val="2"/>
                <w:sz w:val="24"/>
                <w:szCs w:val="24"/>
                <w14:ligatures w14:val="standardContextual"/>
              </w:rPr>
              <w:t>Ikke mulig at beregne*</w:t>
            </w:r>
          </w:p>
        </w:tc>
      </w:tr>
      <w:tr w:rsidR="00A76826" w:rsidRPr="004714C6" w14:paraId="3B1DEC88" w14:textId="77777777" w:rsidTr="00FB1973">
        <w:trPr>
          <w:trHeight w:val="20"/>
        </w:trPr>
        <w:tc>
          <w:tcPr>
            <w:tcW w:w="1519" w:type="pct"/>
            <w:tcBorders>
              <w:top w:val="single" w:sz="4" w:space="0" w:color="000000"/>
              <w:left w:val="single" w:sz="4" w:space="0" w:color="000000"/>
              <w:bottom w:val="single" w:sz="4" w:space="0" w:color="000000"/>
              <w:right w:val="single" w:sz="4" w:space="0" w:color="000000"/>
            </w:tcBorders>
            <w:hideMark/>
          </w:tcPr>
          <w:p w14:paraId="513EE887" w14:textId="77777777" w:rsidR="00A76826" w:rsidRPr="004714C6" w:rsidRDefault="00A76826" w:rsidP="00FB1973">
            <w:pPr>
              <w:widowControl w:val="0"/>
              <w:autoSpaceDE w:val="0"/>
              <w:autoSpaceDN w:val="0"/>
              <w:adjustRightInd w:val="0"/>
              <w:ind w:left="810" w:right="-20"/>
              <w:rPr>
                <w:kern w:val="2"/>
                <w:sz w:val="24"/>
                <w:szCs w:val="24"/>
                <w14:ligatures w14:val="standardContextual"/>
              </w:rPr>
            </w:pPr>
            <w:r w:rsidRPr="004714C6">
              <w:rPr>
                <w:kern w:val="2"/>
                <w:sz w:val="24"/>
                <w:szCs w:val="24"/>
                <w14:ligatures w14:val="standardContextual"/>
              </w:rPr>
              <w:t>Livstruende blødning</w:t>
            </w:r>
          </w:p>
        </w:tc>
        <w:tc>
          <w:tcPr>
            <w:tcW w:w="1204" w:type="pct"/>
            <w:tcBorders>
              <w:top w:val="single" w:sz="4" w:space="0" w:color="000000"/>
              <w:left w:val="single" w:sz="4" w:space="0" w:color="000000"/>
              <w:bottom w:val="single" w:sz="4" w:space="0" w:color="000000"/>
              <w:right w:val="single" w:sz="4" w:space="0" w:color="000000"/>
            </w:tcBorders>
            <w:hideMark/>
          </w:tcPr>
          <w:p w14:paraId="756B68F1" w14:textId="77777777" w:rsidR="00A76826" w:rsidRPr="004714C6" w:rsidRDefault="00A76826" w:rsidP="00FB1973">
            <w:pPr>
              <w:widowControl w:val="0"/>
              <w:autoSpaceDE w:val="0"/>
              <w:autoSpaceDN w:val="0"/>
              <w:adjustRightInd w:val="0"/>
              <w:ind w:left="1033" w:right="1013"/>
              <w:rPr>
                <w:kern w:val="2"/>
                <w:sz w:val="24"/>
                <w:szCs w:val="24"/>
                <w14:ligatures w14:val="standardContextual"/>
              </w:rPr>
            </w:pPr>
            <w:r w:rsidRPr="004714C6">
              <w:rPr>
                <w:kern w:val="2"/>
                <w:sz w:val="24"/>
                <w:szCs w:val="24"/>
                <w14:ligatures w14:val="standardContextual"/>
              </w:rPr>
              <w:t>0</w:t>
            </w:r>
          </w:p>
        </w:tc>
        <w:tc>
          <w:tcPr>
            <w:tcW w:w="1144" w:type="pct"/>
            <w:tcBorders>
              <w:top w:val="single" w:sz="4" w:space="0" w:color="000000"/>
              <w:left w:val="single" w:sz="4" w:space="0" w:color="000000"/>
              <w:bottom w:val="single" w:sz="4" w:space="0" w:color="000000"/>
              <w:right w:val="single" w:sz="4" w:space="0" w:color="000000"/>
            </w:tcBorders>
            <w:hideMark/>
          </w:tcPr>
          <w:p w14:paraId="34A5E6F4" w14:textId="77777777" w:rsidR="00A76826" w:rsidRPr="004714C6" w:rsidRDefault="00A76826" w:rsidP="00FB1973">
            <w:pPr>
              <w:widowControl w:val="0"/>
              <w:autoSpaceDE w:val="0"/>
              <w:autoSpaceDN w:val="0"/>
              <w:adjustRightInd w:val="0"/>
              <w:ind w:left="1006" w:right="991"/>
              <w:rPr>
                <w:kern w:val="2"/>
                <w:sz w:val="24"/>
                <w:szCs w:val="24"/>
                <w14:ligatures w14:val="standardContextual"/>
              </w:rPr>
            </w:pPr>
            <w:r w:rsidRPr="004714C6">
              <w:rPr>
                <w:kern w:val="2"/>
                <w:sz w:val="24"/>
                <w:szCs w:val="24"/>
                <w14:ligatures w14:val="standardContextual"/>
              </w:rPr>
              <w:t>0</w:t>
            </w:r>
          </w:p>
        </w:tc>
        <w:tc>
          <w:tcPr>
            <w:tcW w:w="1133" w:type="pct"/>
            <w:tcBorders>
              <w:top w:val="single" w:sz="4" w:space="0" w:color="000000"/>
              <w:left w:val="single" w:sz="4" w:space="0" w:color="000000"/>
              <w:bottom w:val="single" w:sz="4" w:space="0" w:color="000000"/>
              <w:right w:val="single" w:sz="4" w:space="0" w:color="000000"/>
            </w:tcBorders>
            <w:hideMark/>
          </w:tcPr>
          <w:p w14:paraId="5B99ECCA" w14:textId="77777777" w:rsidR="00A76826" w:rsidRPr="004714C6" w:rsidRDefault="00A76826" w:rsidP="00FB1973">
            <w:pPr>
              <w:widowControl w:val="0"/>
              <w:autoSpaceDE w:val="0"/>
              <w:autoSpaceDN w:val="0"/>
              <w:adjustRightInd w:val="0"/>
              <w:ind w:left="462" w:right="-20"/>
              <w:rPr>
                <w:kern w:val="2"/>
                <w:sz w:val="24"/>
                <w:szCs w:val="24"/>
                <w14:ligatures w14:val="standardContextual"/>
              </w:rPr>
            </w:pPr>
            <w:r w:rsidRPr="004714C6">
              <w:rPr>
                <w:kern w:val="2"/>
                <w:sz w:val="24"/>
                <w:szCs w:val="24"/>
                <w14:ligatures w14:val="standardContextual"/>
              </w:rPr>
              <w:t>Ikke mulig at beregne*</w:t>
            </w:r>
          </w:p>
        </w:tc>
      </w:tr>
      <w:tr w:rsidR="00A76826" w:rsidRPr="004714C6" w14:paraId="53050408" w14:textId="77777777" w:rsidTr="00FB1973">
        <w:trPr>
          <w:trHeight w:val="20"/>
        </w:trPr>
        <w:tc>
          <w:tcPr>
            <w:tcW w:w="1519" w:type="pct"/>
            <w:tcBorders>
              <w:top w:val="single" w:sz="4" w:space="0" w:color="000000"/>
              <w:left w:val="single" w:sz="4" w:space="0" w:color="000000"/>
              <w:bottom w:val="single" w:sz="4" w:space="0" w:color="000000"/>
              <w:right w:val="single" w:sz="4" w:space="0" w:color="000000"/>
            </w:tcBorders>
            <w:hideMark/>
          </w:tcPr>
          <w:p w14:paraId="0607ED82" w14:textId="77777777" w:rsidR="00A76826" w:rsidRPr="004714C6" w:rsidRDefault="00A76826" w:rsidP="00FB1973">
            <w:pPr>
              <w:widowControl w:val="0"/>
              <w:autoSpaceDE w:val="0"/>
              <w:autoSpaceDN w:val="0"/>
              <w:adjustRightInd w:val="0"/>
              <w:ind w:left="157" w:right="-20"/>
              <w:rPr>
                <w:kern w:val="2"/>
                <w:sz w:val="24"/>
                <w:szCs w:val="24"/>
                <w14:ligatures w14:val="standardContextual"/>
              </w:rPr>
            </w:pPr>
            <w:r w:rsidRPr="004714C6">
              <w:rPr>
                <w:kern w:val="2"/>
                <w:sz w:val="24"/>
                <w:szCs w:val="24"/>
                <w14:ligatures w14:val="standardContextual"/>
              </w:rPr>
              <w:t>Alvorlig blødning/klinisk relevant blødning</w:t>
            </w:r>
          </w:p>
        </w:tc>
        <w:tc>
          <w:tcPr>
            <w:tcW w:w="1204" w:type="pct"/>
            <w:tcBorders>
              <w:top w:val="single" w:sz="4" w:space="0" w:color="000000"/>
              <w:left w:val="single" w:sz="4" w:space="0" w:color="000000"/>
              <w:bottom w:val="single" w:sz="4" w:space="0" w:color="000000"/>
              <w:right w:val="single" w:sz="4" w:space="0" w:color="000000"/>
            </w:tcBorders>
            <w:hideMark/>
          </w:tcPr>
          <w:p w14:paraId="792F4E5E" w14:textId="77777777" w:rsidR="00A76826" w:rsidRPr="004714C6" w:rsidRDefault="00A76826" w:rsidP="00FB1973">
            <w:pPr>
              <w:widowControl w:val="0"/>
              <w:autoSpaceDE w:val="0"/>
              <w:autoSpaceDN w:val="0"/>
              <w:adjustRightInd w:val="0"/>
              <w:ind w:left="657" w:right="-20"/>
              <w:rPr>
                <w:kern w:val="2"/>
                <w:sz w:val="24"/>
                <w:szCs w:val="24"/>
                <w14:ligatures w14:val="standardContextual"/>
              </w:rPr>
            </w:pPr>
            <w:r w:rsidRPr="004714C6">
              <w:rPr>
                <w:kern w:val="2"/>
                <w:sz w:val="24"/>
                <w:szCs w:val="24"/>
                <w14:ligatures w14:val="standardContextual"/>
              </w:rPr>
              <w:t>36 (5,3 </w:t>
            </w:r>
            <w:r w:rsidRPr="004714C6">
              <w:rPr>
                <w:spacing w:val="1"/>
                <w:kern w:val="2"/>
                <w:sz w:val="24"/>
                <w:szCs w:val="24"/>
                <w14:ligatures w14:val="standardContextual"/>
              </w:rPr>
              <w:t>%)</w:t>
            </w:r>
          </w:p>
        </w:tc>
        <w:tc>
          <w:tcPr>
            <w:tcW w:w="1144" w:type="pct"/>
            <w:tcBorders>
              <w:top w:val="single" w:sz="4" w:space="0" w:color="000000"/>
              <w:left w:val="single" w:sz="4" w:space="0" w:color="000000"/>
              <w:bottom w:val="single" w:sz="4" w:space="0" w:color="000000"/>
              <w:right w:val="single" w:sz="4" w:space="0" w:color="000000"/>
            </w:tcBorders>
            <w:hideMark/>
          </w:tcPr>
          <w:p w14:paraId="26DE6A8E" w14:textId="77777777" w:rsidR="00A76826" w:rsidRPr="004714C6" w:rsidRDefault="00A76826" w:rsidP="00FB1973">
            <w:pPr>
              <w:widowControl w:val="0"/>
              <w:autoSpaceDE w:val="0"/>
              <w:autoSpaceDN w:val="0"/>
              <w:adjustRightInd w:val="0"/>
              <w:ind w:left="630" w:right="-20"/>
              <w:rPr>
                <w:kern w:val="2"/>
                <w:sz w:val="24"/>
                <w:szCs w:val="24"/>
                <w14:ligatures w14:val="standardContextual"/>
              </w:rPr>
            </w:pPr>
            <w:r w:rsidRPr="004714C6">
              <w:rPr>
                <w:kern w:val="2"/>
                <w:sz w:val="24"/>
                <w:szCs w:val="24"/>
                <w14:ligatures w14:val="standardContextual"/>
              </w:rPr>
              <w:t>13 (2,0 </w:t>
            </w:r>
            <w:r w:rsidRPr="004714C6">
              <w:rPr>
                <w:spacing w:val="1"/>
                <w:kern w:val="2"/>
                <w:sz w:val="24"/>
                <w:szCs w:val="24"/>
                <w14:ligatures w14:val="standardContextual"/>
              </w:rPr>
              <w:t>%)</w:t>
            </w:r>
          </w:p>
        </w:tc>
        <w:tc>
          <w:tcPr>
            <w:tcW w:w="1133" w:type="pct"/>
            <w:tcBorders>
              <w:top w:val="single" w:sz="4" w:space="0" w:color="000000"/>
              <w:left w:val="single" w:sz="4" w:space="0" w:color="000000"/>
              <w:bottom w:val="single" w:sz="4" w:space="0" w:color="000000"/>
              <w:right w:val="single" w:sz="4" w:space="0" w:color="000000"/>
            </w:tcBorders>
            <w:hideMark/>
          </w:tcPr>
          <w:p w14:paraId="3DAA8D8C"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2,69 (1,43; 5,07)</w:t>
            </w:r>
          </w:p>
        </w:tc>
      </w:tr>
      <w:tr w:rsidR="00A76826" w:rsidRPr="004714C6" w14:paraId="39ADD929" w14:textId="77777777" w:rsidTr="00FB1973">
        <w:trPr>
          <w:trHeight w:val="20"/>
        </w:trPr>
        <w:tc>
          <w:tcPr>
            <w:tcW w:w="1519" w:type="pct"/>
            <w:tcBorders>
              <w:top w:val="single" w:sz="4" w:space="0" w:color="000000"/>
              <w:left w:val="single" w:sz="4" w:space="0" w:color="000000"/>
              <w:bottom w:val="single" w:sz="4" w:space="0" w:color="000000"/>
              <w:right w:val="single" w:sz="4" w:space="0" w:color="000000"/>
            </w:tcBorders>
            <w:hideMark/>
          </w:tcPr>
          <w:p w14:paraId="02788E63"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Alle blødninger</w:t>
            </w:r>
          </w:p>
        </w:tc>
        <w:tc>
          <w:tcPr>
            <w:tcW w:w="1204" w:type="pct"/>
            <w:tcBorders>
              <w:top w:val="single" w:sz="4" w:space="0" w:color="000000"/>
              <w:left w:val="single" w:sz="4" w:space="0" w:color="000000"/>
              <w:bottom w:val="single" w:sz="4" w:space="0" w:color="000000"/>
              <w:right w:val="single" w:sz="4" w:space="0" w:color="000000"/>
            </w:tcBorders>
            <w:hideMark/>
          </w:tcPr>
          <w:p w14:paraId="65FB1985" w14:textId="77777777" w:rsidR="00A76826" w:rsidRPr="004714C6" w:rsidRDefault="00A76826" w:rsidP="00FB1973">
            <w:pPr>
              <w:widowControl w:val="0"/>
              <w:autoSpaceDE w:val="0"/>
              <w:autoSpaceDN w:val="0"/>
              <w:adjustRightInd w:val="0"/>
              <w:ind w:left="601" w:right="-20"/>
              <w:rPr>
                <w:kern w:val="2"/>
                <w:sz w:val="24"/>
                <w:szCs w:val="24"/>
                <w14:ligatures w14:val="standardContextual"/>
              </w:rPr>
            </w:pPr>
            <w:r w:rsidRPr="004714C6">
              <w:rPr>
                <w:kern w:val="2"/>
                <w:sz w:val="24"/>
                <w:szCs w:val="24"/>
                <w14:ligatures w14:val="standardContextual"/>
              </w:rPr>
              <w:t>72 (10,5 </w:t>
            </w:r>
            <w:r w:rsidRPr="004714C6">
              <w:rPr>
                <w:spacing w:val="-2"/>
                <w:kern w:val="2"/>
                <w:sz w:val="24"/>
                <w:szCs w:val="24"/>
                <w14:ligatures w14:val="standardContextual"/>
              </w:rPr>
              <w:t>%)</w:t>
            </w:r>
          </w:p>
        </w:tc>
        <w:tc>
          <w:tcPr>
            <w:tcW w:w="1144" w:type="pct"/>
            <w:tcBorders>
              <w:top w:val="single" w:sz="4" w:space="0" w:color="000000"/>
              <w:left w:val="single" w:sz="4" w:space="0" w:color="000000"/>
              <w:bottom w:val="single" w:sz="4" w:space="0" w:color="000000"/>
              <w:right w:val="single" w:sz="4" w:space="0" w:color="000000"/>
            </w:tcBorders>
            <w:hideMark/>
          </w:tcPr>
          <w:p w14:paraId="6D0EEDF0" w14:textId="77777777" w:rsidR="00A76826" w:rsidRPr="004714C6" w:rsidRDefault="00A76826" w:rsidP="00FB1973">
            <w:pPr>
              <w:widowControl w:val="0"/>
              <w:autoSpaceDE w:val="0"/>
              <w:autoSpaceDN w:val="0"/>
              <w:adjustRightInd w:val="0"/>
              <w:ind w:left="630" w:right="-20"/>
              <w:rPr>
                <w:kern w:val="2"/>
                <w:sz w:val="24"/>
                <w:szCs w:val="24"/>
                <w14:ligatures w14:val="standardContextual"/>
              </w:rPr>
            </w:pPr>
            <w:r w:rsidRPr="004714C6">
              <w:rPr>
                <w:kern w:val="2"/>
                <w:sz w:val="24"/>
                <w:szCs w:val="24"/>
                <w14:ligatures w14:val="standardContextual"/>
              </w:rPr>
              <w:t>40 (6,1 </w:t>
            </w:r>
            <w:r w:rsidRPr="004714C6">
              <w:rPr>
                <w:spacing w:val="1"/>
                <w:kern w:val="2"/>
                <w:sz w:val="24"/>
                <w:szCs w:val="24"/>
                <w14:ligatures w14:val="standardContextual"/>
              </w:rPr>
              <w:t>%)</w:t>
            </w:r>
          </w:p>
        </w:tc>
        <w:tc>
          <w:tcPr>
            <w:tcW w:w="1133" w:type="pct"/>
            <w:tcBorders>
              <w:top w:val="single" w:sz="4" w:space="0" w:color="000000"/>
              <w:left w:val="single" w:sz="4" w:space="0" w:color="000000"/>
              <w:bottom w:val="single" w:sz="4" w:space="0" w:color="000000"/>
              <w:right w:val="single" w:sz="4" w:space="0" w:color="000000"/>
            </w:tcBorders>
            <w:hideMark/>
          </w:tcPr>
          <w:p w14:paraId="70CB133C"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1,77 (1,20; 2,61)</w:t>
            </w:r>
          </w:p>
        </w:tc>
      </w:tr>
      <w:tr w:rsidR="00A76826" w:rsidRPr="004714C6" w14:paraId="7508824E" w14:textId="77777777" w:rsidTr="00FB1973">
        <w:trPr>
          <w:trHeight w:val="20"/>
        </w:trPr>
        <w:tc>
          <w:tcPr>
            <w:tcW w:w="1519" w:type="pct"/>
            <w:tcBorders>
              <w:top w:val="single" w:sz="4" w:space="0" w:color="000000"/>
              <w:left w:val="single" w:sz="4" w:space="0" w:color="000000"/>
              <w:bottom w:val="single" w:sz="4" w:space="0" w:color="000000"/>
              <w:right w:val="single" w:sz="4" w:space="0" w:color="000000"/>
            </w:tcBorders>
            <w:hideMark/>
          </w:tcPr>
          <w:p w14:paraId="5D70D72E" w14:textId="77777777" w:rsidR="00A76826" w:rsidRPr="004714C6" w:rsidRDefault="00A76826" w:rsidP="00FB1973">
            <w:pPr>
              <w:widowControl w:val="0"/>
              <w:autoSpaceDE w:val="0"/>
              <w:autoSpaceDN w:val="0"/>
              <w:adjustRightInd w:val="0"/>
              <w:ind w:left="810" w:right="-20"/>
              <w:rPr>
                <w:kern w:val="2"/>
                <w:sz w:val="24"/>
                <w:szCs w:val="24"/>
                <w14:ligatures w14:val="standardContextual"/>
              </w:rPr>
            </w:pPr>
            <w:r w:rsidRPr="004714C6">
              <w:rPr>
                <w:kern w:val="2"/>
                <w:sz w:val="24"/>
                <w:szCs w:val="24"/>
                <w14:ligatures w14:val="standardContextual"/>
              </w:rPr>
              <w:t>Alle gastrointestinale blødninger</w:t>
            </w:r>
          </w:p>
        </w:tc>
        <w:tc>
          <w:tcPr>
            <w:tcW w:w="1204" w:type="pct"/>
            <w:tcBorders>
              <w:top w:val="single" w:sz="4" w:space="0" w:color="000000"/>
              <w:left w:val="single" w:sz="4" w:space="0" w:color="000000"/>
              <w:bottom w:val="single" w:sz="4" w:space="0" w:color="000000"/>
              <w:right w:val="single" w:sz="4" w:space="0" w:color="000000"/>
            </w:tcBorders>
            <w:hideMark/>
          </w:tcPr>
          <w:p w14:paraId="4CFBDF05" w14:textId="77777777" w:rsidR="00A76826" w:rsidRPr="004714C6" w:rsidRDefault="00A76826" w:rsidP="00FB1973">
            <w:pPr>
              <w:widowControl w:val="0"/>
              <w:autoSpaceDE w:val="0"/>
              <w:autoSpaceDN w:val="0"/>
              <w:adjustRightInd w:val="0"/>
              <w:ind w:left="738" w:right="-20"/>
              <w:rPr>
                <w:kern w:val="2"/>
                <w:sz w:val="24"/>
                <w:szCs w:val="24"/>
                <w14:ligatures w14:val="standardContextual"/>
              </w:rPr>
            </w:pPr>
            <w:r w:rsidRPr="004714C6">
              <w:rPr>
                <w:kern w:val="2"/>
                <w:sz w:val="24"/>
                <w:szCs w:val="24"/>
                <w14:ligatures w14:val="standardContextual"/>
              </w:rPr>
              <w:t>5 (0,7 %)</w:t>
            </w:r>
          </w:p>
        </w:tc>
        <w:tc>
          <w:tcPr>
            <w:tcW w:w="1144" w:type="pct"/>
            <w:tcBorders>
              <w:top w:val="single" w:sz="4" w:space="0" w:color="000000"/>
              <w:left w:val="single" w:sz="4" w:space="0" w:color="000000"/>
              <w:bottom w:val="single" w:sz="4" w:space="0" w:color="000000"/>
              <w:right w:val="single" w:sz="4" w:space="0" w:color="000000"/>
            </w:tcBorders>
            <w:hideMark/>
          </w:tcPr>
          <w:p w14:paraId="75A79E73" w14:textId="77777777" w:rsidR="00A76826" w:rsidRPr="004714C6" w:rsidRDefault="00A76826" w:rsidP="00FB1973">
            <w:pPr>
              <w:widowControl w:val="0"/>
              <w:autoSpaceDE w:val="0"/>
              <w:autoSpaceDN w:val="0"/>
              <w:adjustRightInd w:val="0"/>
              <w:ind w:left="712" w:right="-20"/>
              <w:rPr>
                <w:kern w:val="2"/>
                <w:sz w:val="24"/>
                <w:szCs w:val="24"/>
                <w14:ligatures w14:val="standardContextual"/>
              </w:rPr>
            </w:pPr>
            <w:r w:rsidRPr="004714C6">
              <w:rPr>
                <w:kern w:val="2"/>
                <w:sz w:val="24"/>
                <w:szCs w:val="24"/>
                <w14:ligatures w14:val="standardContextual"/>
              </w:rPr>
              <w:t>2 (0,3 %)</w:t>
            </w:r>
          </w:p>
        </w:tc>
        <w:tc>
          <w:tcPr>
            <w:tcW w:w="1133" w:type="pct"/>
            <w:tcBorders>
              <w:top w:val="single" w:sz="4" w:space="0" w:color="000000"/>
              <w:left w:val="single" w:sz="4" w:space="0" w:color="000000"/>
              <w:bottom w:val="single" w:sz="4" w:space="0" w:color="000000"/>
              <w:right w:val="single" w:sz="4" w:space="0" w:color="000000"/>
            </w:tcBorders>
            <w:hideMark/>
          </w:tcPr>
          <w:p w14:paraId="3A76A79A"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kern w:val="2"/>
                <w:sz w:val="24"/>
                <w:szCs w:val="24"/>
                <w14:ligatures w14:val="standardContextual"/>
              </w:rPr>
              <w:t>2,38 (0,46; 12,27)</w:t>
            </w:r>
          </w:p>
        </w:tc>
      </w:tr>
    </w:tbl>
    <w:p w14:paraId="627BCF7D" w14:textId="77777777" w:rsidR="00A76826" w:rsidRPr="004714C6" w:rsidRDefault="00A76826" w:rsidP="00FB1973">
      <w:pPr>
        <w:rPr>
          <w:sz w:val="24"/>
          <w:szCs w:val="24"/>
        </w:rPr>
      </w:pPr>
      <w:r w:rsidRPr="004714C6">
        <w:rPr>
          <w:sz w:val="24"/>
          <w:szCs w:val="24"/>
        </w:rPr>
        <w:t>*HR er ikke mulig at beregne, da der ikke forekom nogen hændelse i nogen af behandlingerne</w:t>
      </w:r>
    </w:p>
    <w:p w14:paraId="42D3D0A4" w14:textId="77777777" w:rsidR="00A76826" w:rsidRPr="004714C6" w:rsidRDefault="00A76826" w:rsidP="00FB1973">
      <w:pPr>
        <w:rPr>
          <w:sz w:val="24"/>
          <w:szCs w:val="24"/>
        </w:rPr>
      </w:pPr>
    </w:p>
    <w:p w14:paraId="52F80270" w14:textId="77777777" w:rsidR="00A76826" w:rsidRPr="004714C6" w:rsidRDefault="00A76826" w:rsidP="00FB1973">
      <w:pPr>
        <w:ind w:left="851"/>
        <w:rPr>
          <w:sz w:val="24"/>
          <w:szCs w:val="24"/>
          <w:u w:val="single"/>
        </w:rPr>
      </w:pPr>
      <w:bookmarkStart w:id="6" w:name="_Hlk93398680"/>
      <w:r w:rsidRPr="004714C6">
        <w:rPr>
          <w:sz w:val="24"/>
          <w:szCs w:val="24"/>
          <w:u w:val="single"/>
        </w:rPr>
        <w:t>Agranulocytose og neutropeni</w:t>
      </w:r>
    </w:p>
    <w:p w14:paraId="0F825AE2" w14:textId="77777777" w:rsidR="00A76826" w:rsidRPr="004714C6" w:rsidRDefault="00A76826" w:rsidP="00FB1973">
      <w:pPr>
        <w:ind w:left="851"/>
        <w:rPr>
          <w:sz w:val="24"/>
          <w:szCs w:val="24"/>
        </w:rPr>
      </w:pPr>
    </w:p>
    <w:p w14:paraId="16E53B90" w14:textId="77777777" w:rsidR="00A76826" w:rsidRPr="004714C6" w:rsidRDefault="00A76826" w:rsidP="00FB1973">
      <w:pPr>
        <w:ind w:left="851"/>
        <w:rPr>
          <w:sz w:val="24"/>
          <w:szCs w:val="24"/>
        </w:rPr>
      </w:pPr>
      <w:r w:rsidRPr="004714C6">
        <w:rPr>
          <w:sz w:val="24"/>
          <w:szCs w:val="24"/>
        </w:rPr>
        <w:t>Fra anvendelse efter godkendelse af dabigatranetexilat er der rapporteret om meget sjældne tilfælde af agranulocytose og neutropeni. Da bivirkninger ved overvågning efter markedsføring indberettes fra en usikker populationsstørrelse, er det ikke muligt at bestemme hyppigheden på pålidelig vis. Rapporteringshyppigheden blev estimeret til 7 hændelser pr. 1 million patientår for agranulocytose og som 5 hændelser pr. 1 million patientår for neutropeni.</w:t>
      </w:r>
    </w:p>
    <w:bookmarkEnd w:id="6"/>
    <w:p w14:paraId="732AC446" w14:textId="77777777" w:rsidR="00A76826" w:rsidRPr="004714C6" w:rsidRDefault="00A76826" w:rsidP="00FB1973">
      <w:pPr>
        <w:ind w:left="851"/>
        <w:rPr>
          <w:sz w:val="24"/>
          <w:szCs w:val="24"/>
        </w:rPr>
      </w:pPr>
    </w:p>
    <w:p w14:paraId="4AB89DC7" w14:textId="77777777" w:rsidR="00A76826" w:rsidRPr="004714C6" w:rsidRDefault="00A76826" w:rsidP="00FB1973">
      <w:pPr>
        <w:ind w:left="851"/>
        <w:rPr>
          <w:sz w:val="24"/>
          <w:szCs w:val="24"/>
          <w:u w:val="single"/>
        </w:rPr>
      </w:pPr>
      <w:r w:rsidRPr="004714C6">
        <w:rPr>
          <w:sz w:val="24"/>
          <w:szCs w:val="24"/>
          <w:u w:val="single"/>
        </w:rPr>
        <w:t>Pædiatrisk population</w:t>
      </w:r>
    </w:p>
    <w:p w14:paraId="2789A7F2" w14:textId="77777777" w:rsidR="00A76826" w:rsidRPr="004714C6" w:rsidRDefault="00A76826" w:rsidP="00FB1973">
      <w:pPr>
        <w:ind w:left="851"/>
        <w:rPr>
          <w:sz w:val="24"/>
          <w:szCs w:val="24"/>
        </w:rPr>
      </w:pPr>
    </w:p>
    <w:p w14:paraId="66FCC1C8" w14:textId="77777777" w:rsidR="00A76826" w:rsidRPr="004714C6" w:rsidRDefault="00A76826" w:rsidP="00FB1973">
      <w:pPr>
        <w:ind w:left="851"/>
        <w:rPr>
          <w:sz w:val="24"/>
          <w:szCs w:val="24"/>
        </w:rPr>
      </w:pPr>
      <w:r w:rsidRPr="004714C6">
        <w:rPr>
          <w:sz w:val="24"/>
          <w:szCs w:val="24"/>
        </w:rPr>
        <w:t>Sikkerheden af dabigatranetexilat ved behandling af venøs VTE og forebyggelse af recidiverende VTE hos pædiatriske patienter blev undersøgt i to fase III-studier (DIVERSITY og 1160.108). I alt er 328 pædiatriske patienter blevet behandlet med dabigatranetexilat. Patienterne fik alders</w:t>
      </w:r>
      <w:r w:rsidRPr="004714C6">
        <w:rPr>
          <w:sz w:val="24"/>
          <w:szCs w:val="24"/>
        </w:rPr>
        <w:noBreakHyphen/>
        <w:t xml:space="preserve"> og vægtjusterede doser af en aldersrelevant formulering af dabigatranetexilat.</w:t>
      </w:r>
    </w:p>
    <w:p w14:paraId="09A311D1" w14:textId="77777777" w:rsidR="00A76826" w:rsidRPr="004714C6" w:rsidRDefault="00A76826" w:rsidP="00FB1973">
      <w:pPr>
        <w:ind w:left="851"/>
        <w:rPr>
          <w:sz w:val="24"/>
          <w:szCs w:val="24"/>
        </w:rPr>
      </w:pPr>
    </w:p>
    <w:p w14:paraId="4FEF3194" w14:textId="77777777" w:rsidR="00A76826" w:rsidRPr="004714C6" w:rsidRDefault="00A76826" w:rsidP="00FB1973">
      <w:pPr>
        <w:ind w:left="851"/>
        <w:rPr>
          <w:sz w:val="24"/>
          <w:szCs w:val="24"/>
        </w:rPr>
      </w:pPr>
      <w:r w:rsidRPr="004714C6">
        <w:rPr>
          <w:sz w:val="24"/>
          <w:szCs w:val="24"/>
        </w:rPr>
        <w:t>Samlet set forventes sikkerhedsprofilen hos børn at være den samme som hos voksne.</w:t>
      </w:r>
    </w:p>
    <w:p w14:paraId="264DCC84" w14:textId="77777777" w:rsidR="00A76826" w:rsidRPr="004714C6" w:rsidRDefault="00A76826" w:rsidP="00FB1973">
      <w:pPr>
        <w:ind w:left="851"/>
        <w:rPr>
          <w:sz w:val="24"/>
          <w:szCs w:val="24"/>
        </w:rPr>
      </w:pPr>
    </w:p>
    <w:p w14:paraId="11AB9DF3" w14:textId="77777777" w:rsidR="00A76826" w:rsidRPr="004714C6" w:rsidRDefault="00A76826" w:rsidP="00FB1973">
      <w:pPr>
        <w:ind w:left="851"/>
        <w:rPr>
          <w:sz w:val="24"/>
          <w:szCs w:val="24"/>
        </w:rPr>
      </w:pPr>
      <w:r w:rsidRPr="004714C6">
        <w:rPr>
          <w:sz w:val="24"/>
          <w:szCs w:val="24"/>
        </w:rPr>
        <w:t>I alt oplevede 26 % af de pædiatriske patienter, der blev behandlet med dabigatranetexilat for VTE og som forebyggelse mod recidiverende VTE, bivirkninger.</w:t>
      </w:r>
    </w:p>
    <w:p w14:paraId="7FD73D61" w14:textId="77777777" w:rsidR="00A76826" w:rsidRPr="004714C6" w:rsidRDefault="00A76826" w:rsidP="00FB1973">
      <w:pPr>
        <w:ind w:left="851"/>
        <w:rPr>
          <w:sz w:val="24"/>
          <w:szCs w:val="24"/>
        </w:rPr>
      </w:pPr>
    </w:p>
    <w:p w14:paraId="7F5AA4BA" w14:textId="77777777" w:rsidR="00A76826" w:rsidRPr="004714C6" w:rsidRDefault="00A76826" w:rsidP="00FB1973">
      <w:pPr>
        <w:ind w:left="851"/>
        <w:rPr>
          <w:i/>
          <w:iCs/>
          <w:sz w:val="24"/>
          <w:szCs w:val="24"/>
          <w:u w:val="single"/>
        </w:rPr>
      </w:pPr>
      <w:r w:rsidRPr="004714C6">
        <w:rPr>
          <w:i/>
          <w:iCs/>
          <w:sz w:val="24"/>
          <w:szCs w:val="24"/>
          <w:u w:val="single"/>
        </w:rPr>
        <w:t>Tabel over bivirkninger</w:t>
      </w:r>
    </w:p>
    <w:p w14:paraId="536E6263" w14:textId="77777777" w:rsidR="00A76826" w:rsidRPr="004714C6" w:rsidRDefault="00A76826" w:rsidP="00FB1973">
      <w:pPr>
        <w:ind w:left="851"/>
        <w:rPr>
          <w:sz w:val="24"/>
          <w:szCs w:val="24"/>
        </w:rPr>
      </w:pPr>
    </w:p>
    <w:p w14:paraId="4CC162AE" w14:textId="77777777" w:rsidR="00A76826" w:rsidRPr="004714C6" w:rsidRDefault="00A76826" w:rsidP="00FB1973">
      <w:pPr>
        <w:ind w:left="851"/>
        <w:rPr>
          <w:sz w:val="24"/>
          <w:szCs w:val="24"/>
        </w:rPr>
      </w:pPr>
      <w:r w:rsidRPr="004714C6">
        <w:rPr>
          <w:sz w:val="24"/>
          <w:szCs w:val="24"/>
        </w:rPr>
        <w:t>Tabel 18 viser bivirkningerne, der blev identificeret fra studier med behandlingen af VTE og forebyggelse af recidiverende VTE hos pædiatriske patienter. Bivirkningerne er opstillet i henhold til systemorganklasse (SOC) og hyppighed i henhold til følgende klassifikation: meget almindelig (≥ 1/10), almindelig (≥ 1/100 til &lt; 1/10), ikke almindelig (≥ 1/1.000 til &lt; 1/100), sjælden (≥ 1/10.000 til &lt; 1/1.000), meget sjælden (&lt; 1/10.000), ikke kendt (kan ikke estimeres ud fra forhåndenværende data).</w:t>
      </w:r>
    </w:p>
    <w:p w14:paraId="31F38A93" w14:textId="77777777" w:rsidR="00A76826" w:rsidRPr="004714C6" w:rsidRDefault="00A76826" w:rsidP="00FB1973">
      <w:pPr>
        <w:ind w:left="851"/>
        <w:rPr>
          <w:sz w:val="24"/>
          <w:szCs w:val="24"/>
        </w:rPr>
      </w:pPr>
    </w:p>
    <w:p w14:paraId="6717E950" w14:textId="77777777" w:rsidR="00A76826" w:rsidRPr="004714C6" w:rsidRDefault="00A76826" w:rsidP="00A76826">
      <w:pPr>
        <w:keepNext/>
        <w:widowControl w:val="0"/>
        <w:autoSpaceDE w:val="0"/>
        <w:autoSpaceDN w:val="0"/>
        <w:adjustRightInd w:val="0"/>
        <w:spacing w:line="246" w:lineRule="exact"/>
        <w:ind w:right="-20"/>
        <w:rPr>
          <w:b/>
          <w:bCs/>
          <w:sz w:val="24"/>
          <w:szCs w:val="24"/>
        </w:rPr>
      </w:pPr>
      <w:r w:rsidRPr="004714C6">
        <w:rPr>
          <w:b/>
          <w:bCs/>
          <w:sz w:val="24"/>
          <w:szCs w:val="24"/>
        </w:rPr>
        <w:t>Tabel 18:</w:t>
      </w:r>
      <w:r w:rsidRPr="004714C6">
        <w:rPr>
          <w:b/>
          <w:bCs/>
          <w:sz w:val="24"/>
          <w:szCs w:val="24"/>
        </w:rPr>
        <w:tab/>
        <w:t>Bivirkninger</w:t>
      </w:r>
    </w:p>
    <w:p w14:paraId="1B5E9FF2"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1E0" w:firstRow="1" w:lastRow="1" w:firstColumn="1" w:lastColumn="1" w:noHBand="0" w:noVBand="0"/>
      </w:tblPr>
      <w:tblGrid>
        <w:gridCol w:w="4229"/>
        <w:gridCol w:w="5399"/>
      </w:tblGrid>
      <w:tr w:rsidR="00A76826" w:rsidRPr="004714C6" w14:paraId="5599D0A4"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tcPr>
          <w:p w14:paraId="182AC063" w14:textId="77777777" w:rsidR="00A76826" w:rsidRPr="004714C6" w:rsidRDefault="00A76826" w:rsidP="00FB1973">
            <w:pPr>
              <w:keepNext/>
              <w:rPr>
                <w:b/>
                <w:bCs/>
                <w:kern w:val="2"/>
                <w:sz w:val="24"/>
                <w:szCs w:val="24"/>
                <w14:ligatures w14:val="standardContextual"/>
              </w:rPr>
            </w:pPr>
          </w:p>
        </w:tc>
        <w:tc>
          <w:tcPr>
            <w:tcW w:w="2804" w:type="pct"/>
            <w:tcBorders>
              <w:top w:val="single" w:sz="4" w:space="0" w:color="000000"/>
              <w:left w:val="single" w:sz="4" w:space="0" w:color="000000"/>
              <w:bottom w:val="single" w:sz="4" w:space="0" w:color="000000"/>
              <w:right w:val="single" w:sz="4" w:space="0" w:color="000000"/>
            </w:tcBorders>
            <w:hideMark/>
          </w:tcPr>
          <w:p w14:paraId="3B2355A8" w14:textId="77777777" w:rsidR="00A76826" w:rsidRPr="004714C6" w:rsidRDefault="00A76826" w:rsidP="00FB1973">
            <w:pPr>
              <w:keepNext/>
              <w:ind w:left="174" w:right="211"/>
              <w:jc w:val="center"/>
              <w:rPr>
                <w:b/>
                <w:bCs/>
                <w:kern w:val="2"/>
                <w:sz w:val="24"/>
                <w:szCs w:val="24"/>
                <w14:ligatures w14:val="standardContextual"/>
              </w:rPr>
            </w:pPr>
            <w:r w:rsidRPr="004714C6">
              <w:rPr>
                <w:b/>
                <w:bCs/>
                <w:kern w:val="2"/>
                <w:sz w:val="24"/>
                <w:szCs w:val="24"/>
                <w14:ligatures w14:val="standardContextual"/>
              </w:rPr>
              <w:t>Hyppighed</w:t>
            </w:r>
          </w:p>
        </w:tc>
      </w:tr>
      <w:tr w:rsidR="00A76826" w:rsidRPr="004714C6" w14:paraId="51B8DC19"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8E60FC7" w14:textId="77777777" w:rsidR="00A76826" w:rsidRPr="004714C6" w:rsidRDefault="00A76826" w:rsidP="00FB1973">
            <w:pPr>
              <w:keepNext/>
              <w:ind w:left="102" w:right="-20"/>
              <w:rPr>
                <w:b/>
                <w:bCs/>
                <w:kern w:val="2"/>
                <w:sz w:val="24"/>
                <w:szCs w:val="24"/>
                <w14:ligatures w14:val="standardContextual"/>
              </w:rPr>
            </w:pPr>
            <w:r w:rsidRPr="004714C6">
              <w:rPr>
                <w:b/>
                <w:bCs/>
                <w:kern w:val="2"/>
                <w:sz w:val="24"/>
                <w:szCs w:val="24"/>
                <w14:ligatures w14:val="standardContextual"/>
              </w:rPr>
              <w:t>Systemorganklasse/foretrukken term</w:t>
            </w:r>
          </w:p>
        </w:tc>
        <w:tc>
          <w:tcPr>
            <w:tcW w:w="2804" w:type="pct"/>
            <w:tcBorders>
              <w:top w:val="single" w:sz="4" w:space="0" w:color="000000"/>
              <w:left w:val="single" w:sz="4" w:space="0" w:color="000000"/>
              <w:bottom w:val="single" w:sz="4" w:space="0" w:color="000000"/>
              <w:right w:val="single" w:sz="4" w:space="0" w:color="000000"/>
            </w:tcBorders>
            <w:hideMark/>
          </w:tcPr>
          <w:p w14:paraId="7CF803DB" w14:textId="77777777" w:rsidR="00A76826" w:rsidRPr="004714C6" w:rsidRDefault="00A76826" w:rsidP="00FB1973">
            <w:pPr>
              <w:keepNext/>
              <w:ind w:left="174" w:right="211"/>
              <w:jc w:val="center"/>
              <w:rPr>
                <w:b/>
                <w:bCs/>
                <w:kern w:val="2"/>
                <w:sz w:val="24"/>
                <w:szCs w:val="24"/>
                <w14:ligatures w14:val="standardContextual"/>
              </w:rPr>
            </w:pPr>
            <w:r w:rsidRPr="004714C6">
              <w:rPr>
                <w:b/>
                <w:bCs/>
                <w:kern w:val="2"/>
                <w:sz w:val="24"/>
                <w:szCs w:val="24"/>
                <w14:ligatures w14:val="standardContextual"/>
              </w:rPr>
              <w:t xml:space="preserve">Behandling af </w:t>
            </w:r>
            <w:r w:rsidRPr="004714C6">
              <w:rPr>
                <w:b/>
                <w:bCs/>
                <w:spacing w:val="-1"/>
                <w:kern w:val="2"/>
                <w:sz w:val="24"/>
                <w:szCs w:val="24"/>
                <w14:ligatures w14:val="standardContextual"/>
              </w:rPr>
              <w:t xml:space="preserve">VTE </w:t>
            </w:r>
            <w:r w:rsidRPr="004714C6">
              <w:rPr>
                <w:b/>
                <w:bCs/>
                <w:kern w:val="2"/>
                <w:sz w:val="24"/>
                <w:szCs w:val="24"/>
                <w14:ligatures w14:val="standardContextual"/>
              </w:rPr>
              <w:t xml:space="preserve">og forebyggelse af recidiverende VTE </w:t>
            </w:r>
            <w:r w:rsidRPr="004714C6">
              <w:rPr>
                <w:b/>
                <w:bCs/>
                <w:spacing w:val="-1"/>
                <w:kern w:val="2"/>
                <w:sz w:val="24"/>
                <w:szCs w:val="24"/>
                <w14:ligatures w14:val="standardContextual"/>
              </w:rPr>
              <w:t xml:space="preserve">hos </w:t>
            </w:r>
            <w:r w:rsidRPr="004714C6">
              <w:rPr>
                <w:b/>
                <w:bCs/>
                <w:kern w:val="2"/>
                <w:sz w:val="24"/>
                <w:szCs w:val="24"/>
                <w14:ligatures w14:val="standardContextual"/>
              </w:rPr>
              <w:t>pædiatriske patienter</w:t>
            </w:r>
          </w:p>
        </w:tc>
      </w:tr>
      <w:tr w:rsidR="00A76826" w:rsidRPr="004714C6" w14:paraId="2FE21D33"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BE08885" w14:textId="77777777" w:rsidR="00A76826" w:rsidRPr="004714C6" w:rsidRDefault="00A76826" w:rsidP="00FB1973">
            <w:pPr>
              <w:widowControl w:val="0"/>
              <w:autoSpaceDE w:val="0"/>
              <w:autoSpaceDN w:val="0"/>
              <w:adjustRightInd w:val="0"/>
              <w:ind w:left="100" w:right="1383"/>
              <w:rPr>
                <w:b/>
                <w:bCs/>
                <w:kern w:val="2"/>
                <w:sz w:val="24"/>
                <w:szCs w:val="24"/>
                <w14:ligatures w14:val="standardContextual"/>
              </w:rPr>
            </w:pPr>
            <w:r w:rsidRPr="004714C6">
              <w:rPr>
                <w:b/>
                <w:bCs/>
                <w:kern w:val="2"/>
                <w:sz w:val="24"/>
                <w:szCs w:val="24"/>
                <w14:ligatures w14:val="standardContextual"/>
              </w:rPr>
              <w:t>Blod og lymfesystem</w:t>
            </w:r>
          </w:p>
        </w:tc>
      </w:tr>
      <w:tr w:rsidR="00A76826" w:rsidRPr="004714C6" w14:paraId="49C42915"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08700ED"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Anæmi</w:t>
            </w:r>
          </w:p>
        </w:tc>
        <w:tc>
          <w:tcPr>
            <w:tcW w:w="2804" w:type="pct"/>
            <w:tcBorders>
              <w:top w:val="single" w:sz="4" w:space="0" w:color="000000"/>
              <w:left w:val="single" w:sz="4" w:space="0" w:color="000000"/>
              <w:bottom w:val="single" w:sz="4" w:space="0" w:color="000000"/>
              <w:right w:val="single" w:sz="4" w:space="0" w:color="000000"/>
            </w:tcBorders>
            <w:hideMark/>
          </w:tcPr>
          <w:p w14:paraId="263B3DF2"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61505513"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568DF01"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Nedsat hæmoglobin</w:t>
            </w:r>
          </w:p>
        </w:tc>
        <w:tc>
          <w:tcPr>
            <w:tcW w:w="2804" w:type="pct"/>
            <w:tcBorders>
              <w:top w:val="single" w:sz="4" w:space="0" w:color="000000"/>
              <w:left w:val="single" w:sz="4" w:space="0" w:color="000000"/>
              <w:bottom w:val="single" w:sz="4" w:space="0" w:color="000000"/>
              <w:right w:val="single" w:sz="4" w:space="0" w:color="000000"/>
            </w:tcBorders>
            <w:hideMark/>
          </w:tcPr>
          <w:p w14:paraId="233FCAB5"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03A683EF"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1DC9324"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Trombocytopeni</w:t>
            </w:r>
          </w:p>
        </w:tc>
        <w:tc>
          <w:tcPr>
            <w:tcW w:w="2804" w:type="pct"/>
            <w:tcBorders>
              <w:top w:val="single" w:sz="4" w:space="0" w:color="000000"/>
              <w:left w:val="single" w:sz="4" w:space="0" w:color="000000"/>
              <w:bottom w:val="single" w:sz="4" w:space="0" w:color="000000"/>
              <w:right w:val="single" w:sz="4" w:space="0" w:color="000000"/>
            </w:tcBorders>
            <w:hideMark/>
          </w:tcPr>
          <w:p w14:paraId="6605B2BA"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59022CA6"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6200CB1"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Nedsat hæmatokrit</w:t>
            </w:r>
          </w:p>
        </w:tc>
        <w:tc>
          <w:tcPr>
            <w:tcW w:w="2804" w:type="pct"/>
            <w:tcBorders>
              <w:top w:val="single" w:sz="4" w:space="0" w:color="000000"/>
              <w:left w:val="single" w:sz="4" w:space="0" w:color="000000"/>
              <w:bottom w:val="single" w:sz="4" w:space="0" w:color="000000"/>
              <w:right w:val="single" w:sz="4" w:space="0" w:color="000000"/>
            </w:tcBorders>
            <w:hideMark/>
          </w:tcPr>
          <w:p w14:paraId="3693A3DD"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3292D089"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377D491"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Neutropeni</w:t>
            </w:r>
          </w:p>
        </w:tc>
        <w:tc>
          <w:tcPr>
            <w:tcW w:w="2804" w:type="pct"/>
            <w:tcBorders>
              <w:top w:val="single" w:sz="4" w:space="0" w:color="000000"/>
              <w:left w:val="single" w:sz="4" w:space="0" w:color="000000"/>
              <w:bottom w:val="single" w:sz="4" w:space="0" w:color="000000"/>
              <w:right w:val="single" w:sz="4" w:space="0" w:color="000000"/>
            </w:tcBorders>
            <w:hideMark/>
          </w:tcPr>
          <w:p w14:paraId="6722869B"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4146DD46"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556E4A5"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Agranulocytose</w:t>
            </w:r>
          </w:p>
        </w:tc>
        <w:tc>
          <w:tcPr>
            <w:tcW w:w="2804" w:type="pct"/>
            <w:tcBorders>
              <w:top w:val="single" w:sz="4" w:space="0" w:color="000000"/>
              <w:left w:val="single" w:sz="4" w:space="0" w:color="000000"/>
              <w:bottom w:val="single" w:sz="4" w:space="0" w:color="000000"/>
              <w:right w:val="single" w:sz="4" w:space="0" w:color="000000"/>
            </w:tcBorders>
            <w:hideMark/>
          </w:tcPr>
          <w:p w14:paraId="318E75B8"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kendt</w:t>
            </w:r>
          </w:p>
        </w:tc>
      </w:tr>
      <w:tr w:rsidR="00A76826" w:rsidRPr="004714C6" w14:paraId="5E53C838"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56A3A091" w14:textId="77777777" w:rsidR="00A76826" w:rsidRPr="004714C6" w:rsidRDefault="00A76826" w:rsidP="00FB1973">
            <w:pPr>
              <w:widowControl w:val="0"/>
              <w:autoSpaceDE w:val="0"/>
              <w:autoSpaceDN w:val="0"/>
              <w:adjustRightInd w:val="0"/>
              <w:ind w:left="100" w:right="1383"/>
              <w:rPr>
                <w:b/>
                <w:bCs/>
                <w:kern w:val="2"/>
                <w:sz w:val="24"/>
                <w:szCs w:val="24"/>
                <w14:ligatures w14:val="standardContextual"/>
              </w:rPr>
            </w:pPr>
            <w:r w:rsidRPr="004714C6">
              <w:rPr>
                <w:b/>
                <w:bCs/>
                <w:kern w:val="2"/>
                <w:sz w:val="24"/>
                <w:szCs w:val="24"/>
                <w14:ligatures w14:val="standardContextual"/>
              </w:rPr>
              <w:t>Immunsystemet</w:t>
            </w:r>
          </w:p>
        </w:tc>
      </w:tr>
      <w:tr w:rsidR="00A76826" w:rsidRPr="004714C6" w14:paraId="6F094781"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F34FB9D"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Lægemiddeloverfølsomhed</w:t>
            </w:r>
          </w:p>
        </w:tc>
        <w:tc>
          <w:tcPr>
            <w:tcW w:w="2804" w:type="pct"/>
            <w:tcBorders>
              <w:top w:val="single" w:sz="4" w:space="0" w:color="000000"/>
              <w:left w:val="single" w:sz="4" w:space="0" w:color="000000"/>
              <w:bottom w:val="single" w:sz="4" w:space="0" w:color="000000"/>
              <w:right w:val="single" w:sz="4" w:space="0" w:color="000000"/>
            </w:tcBorders>
            <w:hideMark/>
          </w:tcPr>
          <w:p w14:paraId="3EA585C2"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4F961180"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2090C82"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Udslæt</w:t>
            </w:r>
          </w:p>
        </w:tc>
        <w:tc>
          <w:tcPr>
            <w:tcW w:w="2804" w:type="pct"/>
            <w:tcBorders>
              <w:top w:val="single" w:sz="4" w:space="0" w:color="000000"/>
              <w:left w:val="single" w:sz="4" w:space="0" w:color="000000"/>
              <w:bottom w:val="single" w:sz="4" w:space="0" w:color="000000"/>
              <w:right w:val="single" w:sz="4" w:space="0" w:color="000000"/>
            </w:tcBorders>
            <w:hideMark/>
          </w:tcPr>
          <w:p w14:paraId="4031BFC0"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5CE898E6"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B2A32CB"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Pruritus</w:t>
            </w:r>
          </w:p>
        </w:tc>
        <w:tc>
          <w:tcPr>
            <w:tcW w:w="2804" w:type="pct"/>
            <w:tcBorders>
              <w:top w:val="single" w:sz="4" w:space="0" w:color="000000"/>
              <w:left w:val="single" w:sz="4" w:space="0" w:color="000000"/>
              <w:bottom w:val="single" w:sz="4" w:space="0" w:color="000000"/>
              <w:right w:val="single" w:sz="4" w:space="0" w:color="000000"/>
            </w:tcBorders>
            <w:hideMark/>
          </w:tcPr>
          <w:p w14:paraId="2CEB60AD"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2D2857BB"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23E9767"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Anafylaktisk reaktion</w:t>
            </w:r>
          </w:p>
        </w:tc>
        <w:tc>
          <w:tcPr>
            <w:tcW w:w="2804" w:type="pct"/>
            <w:tcBorders>
              <w:top w:val="single" w:sz="4" w:space="0" w:color="000000"/>
              <w:left w:val="single" w:sz="4" w:space="0" w:color="000000"/>
              <w:bottom w:val="single" w:sz="4" w:space="0" w:color="000000"/>
              <w:right w:val="single" w:sz="4" w:space="0" w:color="000000"/>
            </w:tcBorders>
            <w:hideMark/>
          </w:tcPr>
          <w:p w14:paraId="1643412F"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kendt</w:t>
            </w:r>
          </w:p>
        </w:tc>
      </w:tr>
      <w:tr w:rsidR="00A76826" w:rsidRPr="004714C6" w14:paraId="2880332A"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FBA687D"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Angioødem</w:t>
            </w:r>
          </w:p>
        </w:tc>
        <w:tc>
          <w:tcPr>
            <w:tcW w:w="2804" w:type="pct"/>
            <w:tcBorders>
              <w:top w:val="single" w:sz="4" w:space="0" w:color="000000"/>
              <w:left w:val="single" w:sz="4" w:space="0" w:color="000000"/>
              <w:bottom w:val="single" w:sz="4" w:space="0" w:color="000000"/>
              <w:right w:val="single" w:sz="4" w:space="0" w:color="000000"/>
            </w:tcBorders>
            <w:hideMark/>
          </w:tcPr>
          <w:p w14:paraId="2D476F29"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kendt</w:t>
            </w:r>
          </w:p>
        </w:tc>
      </w:tr>
      <w:tr w:rsidR="00A76826" w:rsidRPr="004714C6" w14:paraId="4CDDE18B"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9379FBC"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Urticaria</w:t>
            </w:r>
          </w:p>
        </w:tc>
        <w:tc>
          <w:tcPr>
            <w:tcW w:w="2804" w:type="pct"/>
            <w:tcBorders>
              <w:top w:val="single" w:sz="4" w:space="0" w:color="000000"/>
              <w:left w:val="single" w:sz="4" w:space="0" w:color="000000"/>
              <w:bottom w:val="single" w:sz="4" w:space="0" w:color="000000"/>
              <w:right w:val="single" w:sz="4" w:space="0" w:color="000000"/>
            </w:tcBorders>
            <w:hideMark/>
          </w:tcPr>
          <w:p w14:paraId="45F7C218"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005D84BE"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7226EA1" w14:textId="77777777" w:rsidR="00A76826" w:rsidRPr="004714C6" w:rsidRDefault="00A76826" w:rsidP="00FB1973">
            <w:pPr>
              <w:widowControl w:val="0"/>
              <w:autoSpaceDE w:val="0"/>
              <w:autoSpaceDN w:val="0"/>
              <w:adjustRightInd w:val="0"/>
              <w:ind w:left="280" w:right="-20"/>
              <w:rPr>
                <w:kern w:val="2"/>
                <w:sz w:val="24"/>
                <w:szCs w:val="24"/>
                <w14:ligatures w14:val="standardContextual"/>
              </w:rPr>
            </w:pPr>
            <w:r w:rsidRPr="004714C6">
              <w:rPr>
                <w:kern w:val="2"/>
                <w:sz w:val="24"/>
                <w:szCs w:val="24"/>
                <w14:ligatures w14:val="standardContextual"/>
              </w:rPr>
              <w:t>Bronkospasme</w:t>
            </w:r>
          </w:p>
        </w:tc>
        <w:tc>
          <w:tcPr>
            <w:tcW w:w="2804" w:type="pct"/>
            <w:tcBorders>
              <w:top w:val="single" w:sz="4" w:space="0" w:color="000000"/>
              <w:left w:val="single" w:sz="4" w:space="0" w:color="000000"/>
              <w:bottom w:val="single" w:sz="4" w:space="0" w:color="000000"/>
              <w:right w:val="single" w:sz="4" w:space="0" w:color="000000"/>
            </w:tcBorders>
            <w:hideMark/>
          </w:tcPr>
          <w:p w14:paraId="7EFB0E38"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kendt</w:t>
            </w:r>
          </w:p>
        </w:tc>
      </w:tr>
      <w:tr w:rsidR="00A76826" w:rsidRPr="004714C6" w14:paraId="629241CC"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EBA0D05" w14:textId="77777777" w:rsidR="00A76826" w:rsidRPr="004714C6" w:rsidRDefault="00A76826" w:rsidP="00FB1973">
            <w:pPr>
              <w:ind w:left="102" w:right="-20"/>
              <w:rPr>
                <w:b/>
                <w:bCs/>
                <w:spacing w:val="-2"/>
                <w:kern w:val="2"/>
                <w:sz w:val="24"/>
                <w:szCs w:val="24"/>
                <w14:ligatures w14:val="standardContextual"/>
              </w:rPr>
            </w:pPr>
            <w:r w:rsidRPr="004714C6">
              <w:rPr>
                <w:b/>
                <w:bCs/>
                <w:kern w:val="2"/>
                <w:sz w:val="24"/>
                <w:szCs w:val="24"/>
                <w14:ligatures w14:val="standardContextual"/>
              </w:rPr>
              <w:t>Nervesystemet</w:t>
            </w:r>
          </w:p>
        </w:tc>
      </w:tr>
      <w:tr w:rsidR="00A76826" w:rsidRPr="004714C6" w14:paraId="62D10644"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FF31431" w14:textId="77777777" w:rsidR="00A76826" w:rsidRPr="004714C6" w:rsidRDefault="00A76826" w:rsidP="00FB1973">
            <w:pPr>
              <w:widowControl w:val="0"/>
              <w:autoSpaceDE w:val="0"/>
              <w:autoSpaceDN w:val="0"/>
              <w:adjustRightInd w:val="0"/>
              <w:ind w:left="280" w:right="-20"/>
              <w:rPr>
                <w:spacing w:val="-2"/>
                <w:kern w:val="2"/>
                <w:sz w:val="24"/>
                <w:szCs w:val="24"/>
                <w14:ligatures w14:val="standardContextual"/>
              </w:rPr>
            </w:pPr>
            <w:r w:rsidRPr="004714C6">
              <w:rPr>
                <w:spacing w:val="-2"/>
                <w:kern w:val="2"/>
                <w:sz w:val="24"/>
                <w:szCs w:val="24"/>
                <w14:ligatures w14:val="standardContextual"/>
              </w:rPr>
              <w:t>Intrakraniel blødning</w:t>
            </w:r>
          </w:p>
        </w:tc>
        <w:tc>
          <w:tcPr>
            <w:tcW w:w="2804" w:type="pct"/>
            <w:tcBorders>
              <w:top w:val="single" w:sz="4" w:space="0" w:color="000000"/>
              <w:left w:val="single" w:sz="4" w:space="0" w:color="000000"/>
              <w:bottom w:val="single" w:sz="4" w:space="0" w:color="000000"/>
              <w:right w:val="single" w:sz="4" w:space="0" w:color="000000"/>
            </w:tcBorders>
            <w:hideMark/>
          </w:tcPr>
          <w:p w14:paraId="4B5A508D"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4076936F"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7EA3EC4" w14:textId="77777777" w:rsidR="00A76826" w:rsidRPr="004714C6" w:rsidRDefault="00A76826" w:rsidP="00FB1973">
            <w:pPr>
              <w:ind w:left="102" w:right="-20"/>
              <w:rPr>
                <w:b/>
                <w:bCs/>
                <w:spacing w:val="-2"/>
                <w:kern w:val="2"/>
                <w:sz w:val="24"/>
                <w:szCs w:val="24"/>
                <w14:ligatures w14:val="standardContextual"/>
              </w:rPr>
            </w:pPr>
            <w:r w:rsidRPr="004714C6">
              <w:rPr>
                <w:b/>
                <w:bCs/>
                <w:spacing w:val="-2"/>
                <w:kern w:val="2"/>
                <w:sz w:val="24"/>
                <w:szCs w:val="24"/>
                <w14:ligatures w14:val="standardContextual"/>
              </w:rPr>
              <w:t>Vaskulære sygdomme</w:t>
            </w:r>
          </w:p>
        </w:tc>
      </w:tr>
      <w:tr w:rsidR="00A76826" w:rsidRPr="004714C6" w14:paraId="585238CE"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002E5F0" w14:textId="77777777" w:rsidR="00A76826" w:rsidRPr="004714C6" w:rsidRDefault="00A76826" w:rsidP="00FB1973">
            <w:pPr>
              <w:ind w:left="282" w:right="-20"/>
              <w:rPr>
                <w:kern w:val="2"/>
                <w:sz w:val="24"/>
                <w:szCs w:val="24"/>
                <w14:ligatures w14:val="standardContextual"/>
              </w:rPr>
            </w:pPr>
            <w:r w:rsidRPr="004714C6">
              <w:rPr>
                <w:spacing w:val="-1"/>
                <w:kern w:val="2"/>
                <w:sz w:val="24"/>
                <w:szCs w:val="24"/>
                <w14:ligatures w14:val="standardContextual"/>
              </w:rPr>
              <w:t>Hæmatom</w:t>
            </w:r>
          </w:p>
        </w:tc>
        <w:tc>
          <w:tcPr>
            <w:tcW w:w="2804" w:type="pct"/>
            <w:tcBorders>
              <w:top w:val="single" w:sz="4" w:space="0" w:color="000000"/>
              <w:left w:val="single" w:sz="4" w:space="0" w:color="000000"/>
              <w:bottom w:val="single" w:sz="4" w:space="0" w:color="000000"/>
              <w:right w:val="single" w:sz="4" w:space="0" w:color="000000"/>
            </w:tcBorders>
            <w:hideMark/>
          </w:tcPr>
          <w:p w14:paraId="2A3BEF25"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262EC66D"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55A12EC"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Blødning</w:t>
            </w:r>
          </w:p>
        </w:tc>
        <w:tc>
          <w:tcPr>
            <w:tcW w:w="2804" w:type="pct"/>
            <w:tcBorders>
              <w:top w:val="single" w:sz="4" w:space="0" w:color="000000"/>
              <w:left w:val="single" w:sz="4" w:space="0" w:color="000000"/>
              <w:bottom w:val="single" w:sz="4" w:space="0" w:color="000000"/>
              <w:right w:val="single" w:sz="4" w:space="0" w:color="000000"/>
            </w:tcBorders>
            <w:hideMark/>
          </w:tcPr>
          <w:p w14:paraId="4B94CAA4"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kendt</w:t>
            </w:r>
          </w:p>
        </w:tc>
      </w:tr>
      <w:tr w:rsidR="00A76826" w:rsidRPr="004714C6" w14:paraId="068AC403"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6B7F1D0F" w14:textId="77777777" w:rsidR="00A76826" w:rsidRPr="004714C6" w:rsidRDefault="00A76826" w:rsidP="00FB1973">
            <w:pPr>
              <w:ind w:left="102" w:right="-20"/>
              <w:rPr>
                <w:b/>
                <w:bCs/>
                <w:kern w:val="2"/>
                <w:sz w:val="24"/>
                <w:szCs w:val="24"/>
                <w14:ligatures w14:val="standardContextual"/>
              </w:rPr>
            </w:pPr>
            <w:r w:rsidRPr="004714C6">
              <w:rPr>
                <w:b/>
                <w:bCs/>
                <w:kern w:val="2"/>
                <w:sz w:val="24"/>
                <w:szCs w:val="24"/>
                <w14:ligatures w14:val="standardContextual"/>
              </w:rPr>
              <w:t>Luftveje, thorax og mediastinum</w:t>
            </w:r>
          </w:p>
        </w:tc>
      </w:tr>
      <w:tr w:rsidR="00A76826" w:rsidRPr="004714C6" w14:paraId="3B159C2E"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48E4870"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Næseblod</w:t>
            </w:r>
          </w:p>
        </w:tc>
        <w:tc>
          <w:tcPr>
            <w:tcW w:w="2804" w:type="pct"/>
            <w:tcBorders>
              <w:top w:val="single" w:sz="4" w:space="0" w:color="000000"/>
              <w:left w:val="single" w:sz="4" w:space="0" w:color="000000"/>
              <w:bottom w:val="single" w:sz="4" w:space="0" w:color="000000"/>
              <w:right w:val="single" w:sz="4" w:space="0" w:color="000000"/>
            </w:tcBorders>
            <w:hideMark/>
          </w:tcPr>
          <w:p w14:paraId="317D9DA5"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5E8B09E2"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715775D"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Hæmoptyse</w:t>
            </w:r>
          </w:p>
        </w:tc>
        <w:tc>
          <w:tcPr>
            <w:tcW w:w="2804" w:type="pct"/>
            <w:tcBorders>
              <w:top w:val="single" w:sz="4" w:space="0" w:color="000000"/>
              <w:left w:val="single" w:sz="4" w:space="0" w:color="000000"/>
              <w:bottom w:val="single" w:sz="4" w:space="0" w:color="000000"/>
              <w:right w:val="single" w:sz="4" w:space="0" w:color="000000"/>
            </w:tcBorders>
            <w:hideMark/>
          </w:tcPr>
          <w:p w14:paraId="1D90FEC8"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043EE2EA"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7070B08" w14:textId="77777777" w:rsidR="00A76826" w:rsidRPr="004714C6" w:rsidRDefault="00A76826" w:rsidP="00FB1973">
            <w:pPr>
              <w:ind w:left="102" w:right="-20"/>
              <w:rPr>
                <w:b/>
                <w:bCs/>
                <w:kern w:val="2"/>
                <w:sz w:val="24"/>
                <w:szCs w:val="24"/>
                <w14:ligatures w14:val="standardContextual"/>
              </w:rPr>
            </w:pPr>
            <w:r w:rsidRPr="004714C6">
              <w:rPr>
                <w:b/>
                <w:bCs/>
                <w:kern w:val="2"/>
                <w:sz w:val="24"/>
                <w:szCs w:val="24"/>
                <w14:ligatures w14:val="standardContextual"/>
              </w:rPr>
              <w:t>Mave-tarm-kanalen</w:t>
            </w:r>
          </w:p>
        </w:tc>
      </w:tr>
      <w:tr w:rsidR="00A76826" w:rsidRPr="004714C6" w14:paraId="498BEFD3"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B93D68A"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Gastrointestinal blødning</w:t>
            </w:r>
          </w:p>
        </w:tc>
        <w:tc>
          <w:tcPr>
            <w:tcW w:w="2804" w:type="pct"/>
            <w:tcBorders>
              <w:top w:val="single" w:sz="4" w:space="0" w:color="000000"/>
              <w:left w:val="single" w:sz="4" w:space="0" w:color="000000"/>
              <w:bottom w:val="single" w:sz="4" w:space="0" w:color="000000"/>
              <w:right w:val="single" w:sz="4" w:space="0" w:color="000000"/>
            </w:tcBorders>
            <w:hideMark/>
          </w:tcPr>
          <w:p w14:paraId="719A5A6D"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04DAB39D"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87C3E9B"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Abdominalsmerter</w:t>
            </w:r>
          </w:p>
        </w:tc>
        <w:tc>
          <w:tcPr>
            <w:tcW w:w="2804" w:type="pct"/>
            <w:tcBorders>
              <w:top w:val="single" w:sz="4" w:space="0" w:color="000000"/>
              <w:left w:val="single" w:sz="4" w:space="0" w:color="000000"/>
              <w:bottom w:val="single" w:sz="4" w:space="0" w:color="000000"/>
              <w:right w:val="single" w:sz="4" w:space="0" w:color="000000"/>
            </w:tcBorders>
            <w:hideMark/>
          </w:tcPr>
          <w:p w14:paraId="717A88B0"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6713D6A2"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5294242"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Diarré</w:t>
            </w:r>
          </w:p>
        </w:tc>
        <w:tc>
          <w:tcPr>
            <w:tcW w:w="2804" w:type="pct"/>
            <w:tcBorders>
              <w:top w:val="single" w:sz="4" w:space="0" w:color="000000"/>
              <w:left w:val="single" w:sz="4" w:space="0" w:color="000000"/>
              <w:bottom w:val="single" w:sz="4" w:space="0" w:color="000000"/>
              <w:right w:val="single" w:sz="4" w:space="0" w:color="000000"/>
            </w:tcBorders>
            <w:hideMark/>
          </w:tcPr>
          <w:p w14:paraId="2ADFCEF8"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1EB26C6C"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F1DFD2F"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Dyspepsi</w:t>
            </w:r>
          </w:p>
        </w:tc>
        <w:tc>
          <w:tcPr>
            <w:tcW w:w="2804" w:type="pct"/>
            <w:tcBorders>
              <w:top w:val="single" w:sz="4" w:space="0" w:color="000000"/>
              <w:left w:val="single" w:sz="4" w:space="0" w:color="000000"/>
              <w:bottom w:val="single" w:sz="4" w:space="0" w:color="000000"/>
              <w:right w:val="single" w:sz="4" w:space="0" w:color="000000"/>
            </w:tcBorders>
            <w:hideMark/>
          </w:tcPr>
          <w:p w14:paraId="3C86E956"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66BBC9FD"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DF63F74"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Kvalme</w:t>
            </w:r>
          </w:p>
        </w:tc>
        <w:tc>
          <w:tcPr>
            <w:tcW w:w="2804" w:type="pct"/>
            <w:tcBorders>
              <w:top w:val="single" w:sz="4" w:space="0" w:color="000000"/>
              <w:left w:val="single" w:sz="4" w:space="0" w:color="000000"/>
              <w:bottom w:val="single" w:sz="4" w:space="0" w:color="000000"/>
              <w:right w:val="single" w:sz="4" w:space="0" w:color="000000"/>
            </w:tcBorders>
            <w:hideMark/>
          </w:tcPr>
          <w:p w14:paraId="2AED2546"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2508419D"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D40EDC3"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Rektal blødning</w:t>
            </w:r>
          </w:p>
        </w:tc>
        <w:tc>
          <w:tcPr>
            <w:tcW w:w="2804" w:type="pct"/>
            <w:tcBorders>
              <w:top w:val="single" w:sz="4" w:space="0" w:color="000000"/>
              <w:left w:val="single" w:sz="4" w:space="0" w:color="000000"/>
              <w:bottom w:val="single" w:sz="4" w:space="0" w:color="000000"/>
              <w:right w:val="single" w:sz="4" w:space="0" w:color="000000"/>
            </w:tcBorders>
            <w:hideMark/>
          </w:tcPr>
          <w:p w14:paraId="4EEE3F89"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5D97EA89"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8C9EB84"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Blødning fra hæmorider</w:t>
            </w:r>
          </w:p>
        </w:tc>
        <w:tc>
          <w:tcPr>
            <w:tcW w:w="2804" w:type="pct"/>
            <w:tcBorders>
              <w:top w:val="single" w:sz="4" w:space="0" w:color="000000"/>
              <w:left w:val="single" w:sz="4" w:space="0" w:color="000000"/>
              <w:bottom w:val="single" w:sz="4" w:space="0" w:color="000000"/>
              <w:right w:val="single" w:sz="4" w:space="0" w:color="000000"/>
            </w:tcBorders>
            <w:hideMark/>
          </w:tcPr>
          <w:p w14:paraId="055D0BBC"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kendt</w:t>
            </w:r>
          </w:p>
        </w:tc>
      </w:tr>
      <w:tr w:rsidR="00A76826" w:rsidRPr="004714C6" w14:paraId="3B2E754D"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80D6F4D"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Mave-tarm-sår, inklusive øsofagealt ulcus</w:t>
            </w:r>
          </w:p>
        </w:tc>
        <w:tc>
          <w:tcPr>
            <w:tcW w:w="2804" w:type="pct"/>
            <w:tcBorders>
              <w:top w:val="single" w:sz="4" w:space="0" w:color="000000"/>
              <w:left w:val="single" w:sz="4" w:space="0" w:color="000000"/>
              <w:bottom w:val="single" w:sz="4" w:space="0" w:color="000000"/>
              <w:right w:val="single" w:sz="4" w:space="0" w:color="000000"/>
            </w:tcBorders>
            <w:hideMark/>
          </w:tcPr>
          <w:p w14:paraId="2673952C"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kendt</w:t>
            </w:r>
          </w:p>
        </w:tc>
      </w:tr>
      <w:tr w:rsidR="00A76826" w:rsidRPr="004714C6" w14:paraId="354081D5"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056ED48"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Gastroøsofagitis</w:t>
            </w:r>
          </w:p>
        </w:tc>
        <w:tc>
          <w:tcPr>
            <w:tcW w:w="2804" w:type="pct"/>
            <w:tcBorders>
              <w:top w:val="single" w:sz="4" w:space="0" w:color="000000"/>
              <w:left w:val="single" w:sz="4" w:space="0" w:color="000000"/>
              <w:bottom w:val="single" w:sz="4" w:space="0" w:color="000000"/>
              <w:right w:val="single" w:sz="4" w:space="0" w:color="000000"/>
            </w:tcBorders>
            <w:hideMark/>
          </w:tcPr>
          <w:p w14:paraId="21D9A29F"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7D297D00"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06C1A8F7"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Gastroøsofageal reflukssygdom</w:t>
            </w:r>
          </w:p>
        </w:tc>
        <w:tc>
          <w:tcPr>
            <w:tcW w:w="2804" w:type="pct"/>
            <w:tcBorders>
              <w:top w:val="single" w:sz="4" w:space="0" w:color="000000"/>
              <w:left w:val="single" w:sz="4" w:space="0" w:color="000000"/>
              <w:bottom w:val="single" w:sz="4" w:space="0" w:color="000000"/>
              <w:right w:val="single" w:sz="4" w:space="0" w:color="000000"/>
            </w:tcBorders>
            <w:hideMark/>
          </w:tcPr>
          <w:p w14:paraId="4E7BC460"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3FC9882B"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BAD58F2"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Opkastning</w:t>
            </w:r>
          </w:p>
        </w:tc>
        <w:tc>
          <w:tcPr>
            <w:tcW w:w="2804" w:type="pct"/>
            <w:tcBorders>
              <w:top w:val="single" w:sz="4" w:space="0" w:color="000000"/>
              <w:left w:val="single" w:sz="4" w:space="0" w:color="000000"/>
              <w:bottom w:val="single" w:sz="4" w:space="0" w:color="000000"/>
              <w:right w:val="single" w:sz="4" w:space="0" w:color="000000"/>
            </w:tcBorders>
            <w:hideMark/>
          </w:tcPr>
          <w:p w14:paraId="0439FDC8"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5A13822F"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179C166"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Dysfagi</w:t>
            </w:r>
          </w:p>
        </w:tc>
        <w:tc>
          <w:tcPr>
            <w:tcW w:w="2804" w:type="pct"/>
            <w:tcBorders>
              <w:top w:val="single" w:sz="4" w:space="0" w:color="000000"/>
              <w:left w:val="single" w:sz="4" w:space="0" w:color="000000"/>
              <w:bottom w:val="single" w:sz="4" w:space="0" w:color="000000"/>
              <w:right w:val="single" w:sz="4" w:space="0" w:color="000000"/>
            </w:tcBorders>
            <w:hideMark/>
          </w:tcPr>
          <w:p w14:paraId="26FD2F7C"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0680C6AC"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976329F" w14:textId="77777777" w:rsidR="00A76826" w:rsidRPr="004714C6" w:rsidRDefault="00A76826" w:rsidP="00FB1973">
            <w:pPr>
              <w:ind w:left="102" w:right="-20"/>
              <w:rPr>
                <w:b/>
                <w:bCs/>
                <w:kern w:val="2"/>
                <w:sz w:val="24"/>
                <w:szCs w:val="24"/>
                <w14:ligatures w14:val="standardContextual"/>
              </w:rPr>
            </w:pPr>
            <w:r w:rsidRPr="004714C6">
              <w:rPr>
                <w:b/>
                <w:bCs/>
                <w:kern w:val="2"/>
                <w:sz w:val="24"/>
                <w:szCs w:val="24"/>
                <w14:ligatures w14:val="standardContextual"/>
              </w:rPr>
              <w:t>Lever og galdeveje</w:t>
            </w:r>
          </w:p>
        </w:tc>
      </w:tr>
      <w:tr w:rsidR="00A76826" w:rsidRPr="004714C6" w14:paraId="21B0F3C9"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5525DD9"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Unormal leverfunktion/unormal leverfunktionstest</w:t>
            </w:r>
          </w:p>
        </w:tc>
        <w:tc>
          <w:tcPr>
            <w:tcW w:w="2804" w:type="pct"/>
            <w:tcBorders>
              <w:top w:val="single" w:sz="4" w:space="0" w:color="000000"/>
              <w:left w:val="single" w:sz="4" w:space="0" w:color="000000"/>
              <w:bottom w:val="single" w:sz="4" w:space="0" w:color="000000"/>
              <w:right w:val="single" w:sz="4" w:space="0" w:color="000000"/>
            </w:tcBorders>
            <w:hideMark/>
          </w:tcPr>
          <w:p w14:paraId="13E70B80" w14:textId="77777777" w:rsidR="00A76826" w:rsidRPr="004714C6" w:rsidRDefault="00A76826" w:rsidP="00FB1973">
            <w:pPr>
              <w:ind w:left="2070" w:right="2050"/>
              <w:rPr>
                <w:kern w:val="2"/>
                <w:sz w:val="24"/>
                <w:szCs w:val="24"/>
                <w14:ligatures w14:val="standardContextual"/>
              </w:rPr>
            </w:pPr>
            <w:r w:rsidRPr="004714C6">
              <w:rPr>
                <w:kern w:val="2"/>
                <w:sz w:val="24"/>
                <w:szCs w:val="24"/>
                <w14:ligatures w14:val="standardContextual"/>
              </w:rPr>
              <w:t>Ikke kendt</w:t>
            </w:r>
          </w:p>
        </w:tc>
      </w:tr>
      <w:tr w:rsidR="00A76826" w:rsidRPr="004714C6" w14:paraId="10459361"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C852809"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Forhøjet alaninaminotransferase</w:t>
            </w:r>
          </w:p>
        </w:tc>
        <w:tc>
          <w:tcPr>
            <w:tcW w:w="2804" w:type="pct"/>
            <w:tcBorders>
              <w:top w:val="single" w:sz="4" w:space="0" w:color="000000"/>
              <w:left w:val="single" w:sz="4" w:space="0" w:color="000000"/>
              <w:bottom w:val="single" w:sz="4" w:space="0" w:color="000000"/>
              <w:right w:val="single" w:sz="4" w:space="0" w:color="000000"/>
            </w:tcBorders>
            <w:hideMark/>
          </w:tcPr>
          <w:p w14:paraId="3B5D95B8"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741E876D"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833BA6B"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Forhøjet aspartataminotransferase</w:t>
            </w:r>
          </w:p>
        </w:tc>
        <w:tc>
          <w:tcPr>
            <w:tcW w:w="2804" w:type="pct"/>
            <w:tcBorders>
              <w:top w:val="single" w:sz="4" w:space="0" w:color="000000"/>
              <w:left w:val="single" w:sz="4" w:space="0" w:color="000000"/>
              <w:bottom w:val="single" w:sz="4" w:space="0" w:color="000000"/>
              <w:right w:val="single" w:sz="4" w:space="0" w:color="000000"/>
            </w:tcBorders>
            <w:hideMark/>
          </w:tcPr>
          <w:p w14:paraId="53836DF7"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5FD2F9F1"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523E539D"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Forhøjede leverenzymer</w:t>
            </w:r>
          </w:p>
        </w:tc>
        <w:tc>
          <w:tcPr>
            <w:tcW w:w="2804" w:type="pct"/>
            <w:tcBorders>
              <w:top w:val="single" w:sz="4" w:space="0" w:color="000000"/>
              <w:left w:val="single" w:sz="4" w:space="0" w:color="000000"/>
              <w:bottom w:val="single" w:sz="4" w:space="0" w:color="000000"/>
              <w:right w:val="single" w:sz="4" w:space="0" w:color="000000"/>
            </w:tcBorders>
            <w:hideMark/>
          </w:tcPr>
          <w:p w14:paraId="3C1A80FB"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68DAF6A0"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BCB8DCF"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Hyperbilirubinæmi</w:t>
            </w:r>
          </w:p>
        </w:tc>
        <w:tc>
          <w:tcPr>
            <w:tcW w:w="2804" w:type="pct"/>
            <w:tcBorders>
              <w:top w:val="single" w:sz="4" w:space="0" w:color="000000"/>
              <w:left w:val="single" w:sz="4" w:space="0" w:color="000000"/>
              <w:bottom w:val="single" w:sz="4" w:space="0" w:color="000000"/>
              <w:right w:val="single" w:sz="4" w:space="0" w:color="000000"/>
            </w:tcBorders>
            <w:hideMark/>
          </w:tcPr>
          <w:p w14:paraId="0B0C1053"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74BB3EE8"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333433FD" w14:textId="77777777" w:rsidR="00A76826" w:rsidRPr="004714C6" w:rsidRDefault="00A76826" w:rsidP="00FB1973">
            <w:pPr>
              <w:ind w:left="102" w:right="-20"/>
              <w:rPr>
                <w:b/>
                <w:bCs/>
                <w:kern w:val="2"/>
                <w:sz w:val="24"/>
                <w:szCs w:val="24"/>
                <w14:ligatures w14:val="standardContextual"/>
              </w:rPr>
            </w:pPr>
            <w:r w:rsidRPr="004714C6">
              <w:rPr>
                <w:b/>
                <w:bCs/>
                <w:kern w:val="2"/>
                <w:sz w:val="24"/>
                <w:szCs w:val="24"/>
                <w14:ligatures w14:val="standardContextual"/>
              </w:rPr>
              <w:t>Hud og subkutane væv</w:t>
            </w:r>
          </w:p>
        </w:tc>
      </w:tr>
      <w:tr w:rsidR="00A76826" w:rsidRPr="004714C6" w14:paraId="03623151"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E694DDB"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Blødning i huden</w:t>
            </w:r>
          </w:p>
        </w:tc>
        <w:tc>
          <w:tcPr>
            <w:tcW w:w="2804" w:type="pct"/>
            <w:tcBorders>
              <w:top w:val="single" w:sz="4" w:space="0" w:color="000000"/>
              <w:left w:val="single" w:sz="4" w:space="0" w:color="000000"/>
              <w:bottom w:val="single" w:sz="4" w:space="0" w:color="000000"/>
              <w:right w:val="single" w:sz="4" w:space="0" w:color="000000"/>
            </w:tcBorders>
            <w:hideMark/>
          </w:tcPr>
          <w:p w14:paraId="38DCA2E6"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1DCABC98"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690AA925"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Alopeci</w:t>
            </w:r>
          </w:p>
        </w:tc>
        <w:tc>
          <w:tcPr>
            <w:tcW w:w="2804" w:type="pct"/>
            <w:tcBorders>
              <w:top w:val="single" w:sz="4" w:space="0" w:color="000000"/>
              <w:left w:val="single" w:sz="4" w:space="0" w:color="000000"/>
              <w:bottom w:val="single" w:sz="4" w:space="0" w:color="000000"/>
              <w:right w:val="single" w:sz="4" w:space="0" w:color="000000"/>
            </w:tcBorders>
            <w:hideMark/>
          </w:tcPr>
          <w:p w14:paraId="5907DD89"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Almindelig</w:t>
            </w:r>
          </w:p>
        </w:tc>
      </w:tr>
      <w:tr w:rsidR="00A76826" w:rsidRPr="004714C6" w14:paraId="1250F31F"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5B1D54F" w14:textId="77777777" w:rsidR="00A76826" w:rsidRPr="004714C6" w:rsidRDefault="00A76826" w:rsidP="00FB1973">
            <w:pPr>
              <w:ind w:left="102" w:right="-20"/>
              <w:rPr>
                <w:b/>
                <w:bCs/>
                <w:kern w:val="2"/>
                <w:sz w:val="24"/>
                <w:szCs w:val="24"/>
                <w14:ligatures w14:val="standardContextual"/>
              </w:rPr>
            </w:pPr>
            <w:r w:rsidRPr="004714C6">
              <w:rPr>
                <w:b/>
                <w:bCs/>
                <w:kern w:val="2"/>
                <w:sz w:val="24"/>
                <w:szCs w:val="24"/>
                <w14:ligatures w14:val="standardContextual"/>
              </w:rPr>
              <w:t>Knogler, led, muskler og bindevæv</w:t>
            </w:r>
          </w:p>
        </w:tc>
      </w:tr>
      <w:tr w:rsidR="00A76826" w:rsidRPr="004714C6" w14:paraId="392D30F9"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468BA150"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Hæmartrose</w:t>
            </w:r>
          </w:p>
        </w:tc>
        <w:tc>
          <w:tcPr>
            <w:tcW w:w="2804" w:type="pct"/>
            <w:tcBorders>
              <w:top w:val="single" w:sz="4" w:space="0" w:color="000000"/>
              <w:left w:val="single" w:sz="4" w:space="0" w:color="000000"/>
              <w:bottom w:val="single" w:sz="4" w:space="0" w:color="000000"/>
              <w:right w:val="single" w:sz="4" w:space="0" w:color="000000"/>
            </w:tcBorders>
            <w:hideMark/>
          </w:tcPr>
          <w:p w14:paraId="75B8449D"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kendt</w:t>
            </w:r>
          </w:p>
        </w:tc>
      </w:tr>
      <w:tr w:rsidR="00A76826" w:rsidRPr="004714C6" w14:paraId="7EEE2D7C"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15BC96B4" w14:textId="77777777" w:rsidR="00A76826" w:rsidRPr="004714C6" w:rsidRDefault="00A76826" w:rsidP="00FB1973">
            <w:pPr>
              <w:ind w:left="102" w:right="-20"/>
              <w:rPr>
                <w:b/>
                <w:bCs/>
                <w:kern w:val="2"/>
                <w:sz w:val="24"/>
                <w:szCs w:val="24"/>
                <w14:ligatures w14:val="standardContextual"/>
              </w:rPr>
            </w:pPr>
            <w:r w:rsidRPr="004714C6">
              <w:rPr>
                <w:b/>
                <w:bCs/>
                <w:kern w:val="2"/>
                <w:sz w:val="24"/>
                <w:szCs w:val="24"/>
                <w14:ligatures w14:val="standardContextual"/>
              </w:rPr>
              <w:t>Nyrer og urinveje</w:t>
            </w:r>
          </w:p>
        </w:tc>
      </w:tr>
      <w:tr w:rsidR="00A76826" w:rsidRPr="004714C6" w14:paraId="12BD58E8"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253F3CC"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Urogenital blødning, inklusive hæmaturi</w:t>
            </w:r>
          </w:p>
        </w:tc>
        <w:tc>
          <w:tcPr>
            <w:tcW w:w="2804" w:type="pct"/>
            <w:tcBorders>
              <w:top w:val="single" w:sz="4" w:space="0" w:color="000000"/>
              <w:left w:val="single" w:sz="4" w:space="0" w:color="000000"/>
              <w:bottom w:val="single" w:sz="4" w:space="0" w:color="000000"/>
              <w:right w:val="single" w:sz="4" w:space="0" w:color="000000"/>
            </w:tcBorders>
            <w:hideMark/>
          </w:tcPr>
          <w:p w14:paraId="39BC956D"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kern w:val="2"/>
                <w:sz w:val="24"/>
                <w:szCs w:val="24"/>
                <w14:ligatures w14:val="standardContextual"/>
              </w:rPr>
              <w:t>Ikke almindelig</w:t>
            </w:r>
          </w:p>
        </w:tc>
      </w:tr>
      <w:tr w:rsidR="00A76826" w:rsidRPr="004714C6" w14:paraId="31802275"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05087BC0" w14:textId="77777777" w:rsidR="00A76826" w:rsidRPr="004714C6" w:rsidRDefault="00A76826" w:rsidP="00FB1973">
            <w:pPr>
              <w:ind w:left="102" w:right="-20"/>
              <w:rPr>
                <w:b/>
                <w:bCs/>
                <w:kern w:val="2"/>
                <w:sz w:val="24"/>
                <w:szCs w:val="24"/>
                <w14:ligatures w14:val="standardContextual"/>
              </w:rPr>
            </w:pPr>
            <w:r w:rsidRPr="004714C6">
              <w:rPr>
                <w:b/>
                <w:bCs/>
                <w:kern w:val="2"/>
                <w:sz w:val="24"/>
                <w:szCs w:val="24"/>
                <w14:ligatures w14:val="standardContextual"/>
              </w:rPr>
              <w:t>Almene symptomer og reaktioner på administrationsstedet</w:t>
            </w:r>
          </w:p>
        </w:tc>
      </w:tr>
      <w:tr w:rsidR="00A76826" w:rsidRPr="004714C6" w14:paraId="4EF5351F"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1BB6B4B4"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Blødning ved injektionsstedet</w:t>
            </w:r>
          </w:p>
        </w:tc>
        <w:tc>
          <w:tcPr>
            <w:tcW w:w="2804" w:type="pct"/>
            <w:tcBorders>
              <w:top w:val="single" w:sz="4" w:space="0" w:color="000000"/>
              <w:left w:val="single" w:sz="4" w:space="0" w:color="000000"/>
              <w:bottom w:val="single" w:sz="4" w:space="0" w:color="000000"/>
              <w:right w:val="single" w:sz="4" w:space="0" w:color="000000"/>
            </w:tcBorders>
            <w:hideMark/>
          </w:tcPr>
          <w:p w14:paraId="4B3F1AD5"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kendt</w:t>
            </w:r>
          </w:p>
        </w:tc>
      </w:tr>
      <w:tr w:rsidR="00A76826" w:rsidRPr="004714C6" w14:paraId="3AEA4A04"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3003B4A3"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Blødning omkring kateter</w:t>
            </w:r>
          </w:p>
        </w:tc>
        <w:tc>
          <w:tcPr>
            <w:tcW w:w="2804" w:type="pct"/>
            <w:tcBorders>
              <w:top w:val="single" w:sz="4" w:space="0" w:color="000000"/>
              <w:left w:val="single" w:sz="4" w:space="0" w:color="000000"/>
              <w:bottom w:val="single" w:sz="4" w:space="0" w:color="000000"/>
              <w:right w:val="single" w:sz="4" w:space="0" w:color="000000"/>
            </w:tcBorders>
            <w:hideMark/>
          </w:tcPr>
          <w:p w14:paraId="1935AAE8"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kendt</w:t>
            </w:r>
          </w:p>
        </w:tc>
      </w:tr>
      <w:tr w:rsidR="00A76826" w:rsidRPr="004714C6" w14:paraId="5FCDE277" w14:textId="77777777" w:rsidTr="00FB1973">
        <w:trPr>
          <w:trHeight w:val="20"/>
        </w:trPr>
        <w:tc>
          <w:tcPr>
            <w:tcW w:w="5000" w:type="pct"/>
            <w:gridSpan w:val="2"/>
            <w:tcBorders>
              <w:top w:val="single" w:sz="4" w:space="0" w:color="000000"/>
              <w:left w:val="single" w:sz="4" w:space="0" w:color="000000"/>
              <w:bottom w:val="single" w:sz="4" w:space="0" w:color="000000"/>
              <w:right w:val="single" w:sz="4" w:space="0" w:color="000000"/>
            </w:tcBorders>
            <w:hideMark/>
          </w:tcPr>
          <w:p w14:paraId="49265D16" w14:textId="77777777" w:rsidR="00A76826" w:rsidRPr="004714C6" w:rsidRDefault="00A76826" w:rsidP="00FB1973">
            <w:pPr>
              <w:ind w:left="102" w:right="-20"/>
              <w:rPr>
                <w:b/>
                <w:bCs/>
                <w:kern w:val="2"/>
                <w:sz w:val="24"/>
                <w:szCs w:val="24"/>
                <w14:ligatures w14:val="standardContextual"/>
              </w:rPr>
            </w:pPr>
            <w:r w:rsidRPr="004714C6">
              <w:rPr>
                <w:b/>
                <w:bCs/>
                <w:kern w:val="2"/>
                <w:sz w:val="24"/>
                <w:szCs w:val="24"/>
                <w14:ligatures w14:val="standardContextual"/>
              </w:rPr>
              <w:t>Traumer, forgiftninger og behandlingskomplikationer</w:t>
            </w:r>
          </w:p>
        </w:tc>
      </w:tr>
      <w:tr w:rsidR="00A76826" w:rsidRPr="004714C6" w14:paraId="4D289C4E"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7875E863"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Traumatisk blødning</w:t>
            </w:r>
          </w:p>
        </w:tc>
        <w:tc>
          <w:tcPr>
            <w:tcW w:w="2804" w:type="pct"/>
            <w:tcBorders>
              <w:top w:val="single" w:sz="4" w:space="0" w:color="000000"/>
              <w:left w:val="single" w:sz="4" w:space="0" w:color="000000"/>
              <w:bottom w:val="single" w:sz="4" w:space="0" w:color="000000"/>
              <w:right w:val="single" w:sz="4" w:space="0" w:color="000000"/>
            </w:tcBorders>
            <w:hideMark/>
          </w:tcPr>
          <w:p w14:paraId="5E611327"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almindelig</w:t>
            </w:r>
          </w:p>
        </w:tc>
      </w:tr>
      <w:tr w:rsidR="00A76826" w:rsidRPr="004714C6" w14:paraId="5545918F" w14:textId="77777777" w:rsidTr="00FB1973">
        <w:trPr>
          <w:trHeight w:val="20"/>
        </w:trPr>
        <w:tc>
          <w:tcPr>
            <w:tcW w:w="2196" w:type="pct"/>
            <w:tcBorders>
              <w:top w:val="single" w:sz="4" w:space="0" w:color="000000"/>
              <w:left w:val="single" w:sz="4" w:space="0" w:color="000000"/>
              <w:bottom w:val="single" w:sz="4" w:space="0" w:color="000000"/>
              <w:right w:val="single" w:sz="4" w:space="0" w:color="000000"/>
            </w:tcBorders>
            <w:hideMark/>
          </w:tcPr>
          <w:p w14:paraId="2A012DB6" w14:textId="77777777" w:rsidR="00A76826" w:rsidRPr="004714C6" w:rsidRDefault="00A76826" w:rsidP="00FB1973">
            <w:pPr>
              <w:ind w:left="282" w:right="-20"/>
              <w:rPr>
                <w:kern w:val="2"/>
                <w:sz w:val="24"/>
                <w:szCs w:val="24"/>
                <w14:ligatures w14:val="standardContextual"/>
              </w:rPr>
            </w:pPr>
            <w:r w:rsidRPr="004714C6">
              <w:rPr>
                <w:kern w:val="2"/>
                <w:sz w:val="24"/>
                <w:szCs w:val="24"/>
                <w14:ligatures w14:val="standardContextual"/>
              </w:rPr>
              <w:t>Blødning fra incisionsstedet</w:t>
            </w:r>
          </w:p>
        </w:tc>
        <w:tc>
          <w:tcPr>
            <w:tcW w:w="2804" w:type="pct"/>
            <w:tcBorders>
              <w:top w:val="single" w:sz="4" w:space="0" w:color="000000"/>
              <w:left w:val="single" w:sz="4" w:space="0" w:color="000000"/>
              <w:bottom w:val="single" w:sz="4" w:space="0" w:color="000000"/>
              <w:right w:val="single" w:sz="4" w:space="0" w:color="000000"/>
            </w:tcBorders>
            <w:hideMark/>
          </w:tcPr>
          <w:p w14:paraId="0A435CA3" w14:textId="77777777" w:rsidR="00A76826" w:rsidRPr="004714C6" w:rsidRDefault="00A76826" w:rsidP="00FB1973">
            <w:pPr>
              <w:widowControl w:val="0"/>
              <w:autoSpaceDE w:val="0"/>
              <w:autoSpaceDN w:val="0"/>
              <w:ind w:left="56" w:right="45"/>
              <w:jc w:val="center"/>
              <w:rPr>
                <w:spacing w:val="-2"/>
                <w:kern w:val="2"/>
                <w:sz w:val="24"/>
                <w:szCs w:val="24"/>
                <w14:ligatures w14:val="standardContextual"/>
              </w:rPr>
            </w:pPr>
            <w:r w:rsidRPr="004714C6">
              <w:rPr>
                <w:spacing w:val="-2"/>
                <w:kern w:val="2"/>
                <w:sz w:val="24"/>
                <w:szCs w:val="24"/>
                <w14:ligatures w14:val="standardContextual"/>
              </w:rPr>
              <w:t>Ikke kendt</w:t>
            </w:r>
          </w:p>
        </w:tc>
      </w:tr>
    </w:tbl>
    <w:p w14:paraId="68EE0B90" w14:textId="77777777" w:rsidR="00A76826" w:rsidRPr="004714C6" w:rsidRDefault="00A76826" w:rsidP="00FB1973">
      <w:pPr>
        <w:ind w:left="851"/>
        <w:rPr>
          <w:sz w:val="24"/>
          <w:szCs w:val="24"/>
        </w:rPr>
      </w:pPr>
    </w:p>
    <w:p w14:paraId="0F3E93BE" w14:textId="77777777" w:rsidR="00A76826" w:rsidRPr="004714C6" w:rsidRDefault="00A76826" w:rsidP="00FB1973">
      <w:pPr>
        <w:ind w:left="851"/>
        <w:rPr>
          <w:i/>
          <w:iCs/>
          <w:sz w:val="24"/>
          <w:szCs w:val="24"/>
          <w:u w:val="single"/>
        </w:rPr>
      </w:pPr>
      <w:r w:rsidRPr="004714C6">
        <w:rPr>
          <w:i/>
          <w:iCs/>
          <w:sz w:val="24"/>
          <w:szCs w:val="24"/>
          <w:u w:val="single"/>
        </w:rPr>
        <w:t>Blødningsreaktioner</w:t>
      </w:r>
    </w:p>
    <w:p w14:paraId="6EB6A03C" w14:textId="77777777" w:rsidR="00A76826" w:rsidRPr="004714C6" w:rsidRDefault="00A76826" w:rsidP="00FB1973">
      <w:pPr>
        <w:ind w:left="851"/>
        <w:rPr>
          <w:sz w:val="24"/>
          <w:szCs w:val="24"/>
        </w:rPr>
      </w:pPr>
    </w:p>
    <w:p w14:paraId="6F2E112F" w14:textId="77777777" w:rsidR="00A76826" w:rsidRPr="004714C6" w:rsidRDefault="00A76826" w:rsidP="00FB1973">
      <w:pPr>
        <w:ind w:left="851"/>
        <w:rPr>
          <w:sz w:val="24"/>
          <w:szCs w:val="24"/>
        </w:rPr>
      </w:pPr>
      <w:r w:rsidRPr="004714C6">
        <w:rPr>
          <w:sz w:val="24"/>
          <w:szCs w:val="24"/>
        </w:rPr>
        <w:t>I de to fase III-studier omhandlende indikationen behandling af VTE og forebyggelse af recidiverende VTE hos pædiatriske patienter oplevede i alt 7 patienter (2,1 %) en alvorlig blødning, 5 patienter (1,5 %) en klinisk relevant ikke-alvorlig blødning og 75 patienter (22,9 %) en mindre blødning. Hyppigheden af blødninger var generelt højere hos den ældste aldersgruppe (12 til &lt; 18 år: 28,6 %) end i de yngre aldersgrupper (fødsel til &lt; 2 år: 23,3 %; 2 til &lt; 12 år: 16,2 %). Alvorlig eller svær blødning, uafhængigt af placering, kan have invaliderende, livstruende eller dødelig udgang.</w:t>
      </w:r>
    </w:p>
    <w:p w14:paraId="55562DC9" w14:textId="77777777" w:rsidR="00A76826" w:rsidRPr="004714C6" w:rsidRDefault="00A76826" w:rsidP="00FB1973">
      <w:pPr>
        <w:ind w:left="851"/>
        <w:rPr>
          <w:i/>
          <w:noProof/>
          <w:sz w:val="24"/>
          <w:szCs w:val="24"/>
        </w:rPr>
      </w:pPr>
    </w:p>
    <w:p w14:paraId="66275FA5" w14:textId="77777777" w:rsidR="00A76826" w:rsidRPr="004714C6" w:rsidRDefault="00A76826" w:rsidP="00FB1973">
      <w:pPr>
        <w:ind w:left="851"/>
        <w:rPr>
          <w:sz w:val="24"/>
          <w:szCs w:val="24"/>
          <w:u w:val="single"/>
        </w:rPr>
      </w:pPr>
      <w:r w:rsidRPr="004714C6">
        <w:rPr>
          <w:noProof/>
          <w:sz w:val="24"/>
          <w:szCs w:val="24"/>
          <w:u w:val="single"/>
        </w:rPr>
        <w:t>Indberetning af formodede bivirkninger</w:t>
      </w:r>
    </w:p>
    <w:p w14:paraId="0F8D1ECD" w14:textId="77777777" w:rsidR="00A76826" w:rsidRPr="004714C6" w:rsidRDefault="00A76826" w:rsidP="00FB1973">
      <w:pPr>
        <w:ind w:left="851"/>
        <w:rPr>
          <w:noProof/>
          <w:sz w:val="24"/>
          <w:szCs w:val="24"/>
        </w:rPr>
      </w:pPr>
      <w:r w:rsidRPr="004714C6">
        <w:rPr>
          <w:noProof/>
          <w:sz w:val="24"/>
          <w:szCs w:val="24"/>
        </w:rPr>
        <w:t>Når lægemidlet er godkendt, er indberetning af formodede bivirkninger vigtig.</w:t>
      </w:r>
      <w:r w:rsidRPr="004714C6">
        <w:rPr>
          <w:sz w:val="24"/>
          <w:szCs w:val="24"/>
        </w:rPr>
        <w:t xml:space="preserve"> </w:t>
      </w:r>
      <w:r w:rsidRPr="004714C6">
        <w:rPr>
          <w:noProof/>
          <w:sz w:val="24"/>
          <w:szCs w:val="24"/>
        </w:rPr>
        <w:t>Det muliggør løbende overvågning af benefit/risk-forholdet for lægemidlet.</w:t>
      </w:r>
      <w:r w:rsidRPr="004714C6">
        <w:rPr>
          <w:sz w:val="24"/>
          <w:szCs w:val="24"/>
        </w:rPr>
        <w:t xml:space="preserve"> </w:t>
      </w:r>
      <w:r w:rsidRPr="004714C6">
        <w:rPr>
          <w:noProof/>
          <w:sz w:val="24"/>
          <w:szCs w:val="24"/>
        </w:rPr>
        <w:t xml:space="preserve">Sundhedspersoner anmodes om at indberette alle formodede bivirkninger via </w:t>
      </w:r>
    </w:p>
    <w:p w14:paraId="33E35A7E" w14:textId="61033AA9" w:rsidR="00326117" w:rsidRDefault="00326117">
      <w:pPr>
        <w:rPr>
          <w:noProof/>
          <w:sz w:val="24"/>
          <w:szCs w:val="24"/>
        </w:rPr>
      </w:pPr>
      <w:r>
        <w:rPr>
          <w:noProof/>
          <w:sz w:val="24"/>
          <w:szCs w:val="24"/>
        </w:rPr>
        <w:br w:type="page"/>
      </w:r>
    </w:p>
    <w:p w14:paraId="53EE4048" w14:textId="77777777" w:rsidR="00A76826" w:rsidRPr="004714C6" w:rsidRDefault="00A76826" w:rsidP="00FB1973">
      <w:pPr>
        <w:ind w:left="851"/>
        <w:rPr>
          <w:noProof/>
          <w:sz w:val="24"/>
          <w:szCs w:val="24"/>
        </w:rPr>
      </w:pPr>
    </w:p>
    <w:p w14:paraId="34135A35" w14:textId="77777777" w:rsidR="00A76826" w:rsidRPr="004714C6" w:rsidRDefault="00A76826" w:rsidP="00FB1973">
      <w:pPr>
        <w:ind w:left="851"/>
        <w:rPr>
          <w:rFonts w:eastAsia="Calibri"/>
          <w:color w:val="000000"/>
          <w:sz w:val="24"/>
          <w:szCs w:val="24"/>
          <w:lang w:eastAsia="zh-CN"/>
        </w:rPr>
      </w:pPr>
      <w:r w:rsidRPr="004714C6">
        <w:rPr>
          <w:sz w:val="24"/>
          <w:szCs w:val="24"/>
        </w:rPr>
        <w:t>Lægemiddelstyrelsen</w:t>
      </w:r>
    </w:p>
    <w:p w14:paraId="65787333" w14:textId="77777777" w:rsidR="00A76826" w:rsidRPr="004714C6" w:rsidRDefault="00A76826" w:rsidP="00FB1973">
      <w:pPr>
        <w:ind w:left="851"/>
        <w:rPr>
          <w:rFonts w:eastAsia="Calibri"/>
          <w:noProof/>
          <w:sz w:val="24"/>
          <w:szCs w:val="24"/>
          <w:lang w:eastAsia="zh-CN"/>
        </w:rPr>
      </w:pPr>
      <w:r w:rsidRPr="004714C6">
        <w:rPr>
          <w:rFonts w:eastAsia="Calibri"/>
          <w:sz w:val="24"/>
          <w:szCs w:val="24"/>
          <w:lang w:eastAsia="zh-CN"/>
        </w:rPr>
        <w:t>Axel Heides Gade 1</w:t>
      </w:r>
    </w:p>
    <w:p w14:paraId="58E86476" w14:textId="77777777" w:rsidR="00A76826" w:rsidRPr="004714C6" w:rsidRDefault="00A76826" w:rsidP="00FB1973">
      <w:pPr>
        <w:ind w:left="851"/>
        <w:rPr>
          <w:rFonts w:eastAsia="Calibri"/>
          <w:noProof/>
          <w:sz w:val="24"/>
          <w:szCs w:val="24"/>
          <w:lang w:eastAsia="zh-CN"/>
        </w:rPr>
      </w:pPr>
      <w:r w:rsidRPr="004714C6">
        <w:rPr>
          <w:rFonts w:eastAsia="Calibri"/>
          <w:noProof/>
          <w:sz w:val="24"/>
          <w:szCs w:val="24"/>
          <w:lang w:eastAsia="zh-CN"/>
        </w:rPr>
        <w:t xml:space="preserve">DK-2300 </w:t>
      </w:r>
      <w:r w:rsidRPr="004714C6">
        <w:rPr>
          <w:rFonts w:eastAsia="Calibri"/>
          <w:sz w:val="24"/>
          <w:szCs w:val="24"/>
          <w:lang w:eastAsia="zh-CN"/>
        </w:rPr>
        <w:t>København S</w:t>
      </w:r>
    </w:p>
    <w:p w14:paraId="6662E326" w14:textId="77777777" w:rsidR="00A76826" w:rsidRPr="004714C6" w:rsidRDefault="00A76826" w:rsidP="00FB1973">
      <w:pPr>
        <w:ind w:left="851"/>
        <w:rPr>
          <w:noProof/>
          <w:sz w:val="24"/>
          <w:szCs w:val="24"/>
        </w:rPr>
      </w:pPr>
      <w:r w:rsidRPr="004714C6">
        <w:rPr>
          <w:rFonts w:eastAsia="Calibri"/>
          <w:sz w:val="24"/>
          <w:szCs w:val="24"/>
          <w:lang w:eastAsia="zh-CN"/>
        </w:rPr>
        <w:t>Websted</w:t>
      </w:r>
      <w:r w:rsidRPr="004714C6">
        <w:rPr>
          <w:rFonts w:eastAsia="Calibri"/>
          <w:noProof/>
          <w:sz w:val="24"/>
          <w:szCs w:val="24"/>
          <w:lang w:eastAsia="zh-CN"/>
        </w:rPr>
        <w:t xml:space="preserve">: </w:t>
      </w:r>
      <w:hyperlink r:id="rId8" w:history="1">
        <w:r w:rsidRPr="004714C6">
          <w:rPr>
            <w:rStyle w:val="Hyperlink"/>
            <w:rFonts w:eastAsia="Calibri"/>
            <w:noProof/>
            <w:sz w:val="24"/>
            <w:szCs w:val="24"/>
            <w:lang w:eastAsia="zh-CN"/>
          </w:rPr>
          <w:t>www.meldenbivirkning.dk</w:t>
        </w:r>
      </w:hyperlink>
      <w:r w:rsidRPr="004714C6">
        <w:rPr>
          <w:color w:val="000000"/>
          <w:sz w:val="24"/>
          <w:szCs w:val="24"/>
        </w:rPr>
        <w:t xml:space="preserve"> </w:t>
      </w:r>
    </w:p>
    <w:p w14:paraId="0A2A41BF" w14:textId="77777777" w:rsidR="009260DE" w:rsidRPr="004714C6" w:rsidRDefault="009260DE" w:rsidP="00A10294">
      <w:pPr>
        <w:tabs>
          <w:tab w:val="left" w:pos="851"/>
        </w:tabs>
        <w:ind w:left="851"/>
        <w:rPr>
          <w:sz w:val="24"/>
          <w:szCs w:val="24"/>
        </w:rPr>
      </w:pPr>
    </w:p>
    <w:p w14:paraId="1228F8B5" w14:textId="77777777" w:rsidR="009260DE" w:rsidRPr="004714C6" w:rsidRDefault="009260DE" w:rsidP="009260DE">
      <w:pPr>
        <w:tabs>
          <w:tab w:val="left" w:pos="851"/>
        </w:tabs>
        <w:ind w:left="851" w:hanging="851"/>
        <w:rPr>
          <w:b/>
          <w:sz w:val="24"/>
          <w:szCs w:val="24"/>
        </w:rPr>
      </w:pPr>
      <w:r w:rsidRPr="004714C6">
        <w:rPr>
          <w:b/>
          <w:sz w:val="24"/>
          <w:szCs w:val="24"/>
        </w:rPr>
        <w:t>4.9</w:t>
      </w:r>
      <w:r w:rsidRPr="004714C6">
        <w:rPr>
          <w:b/>
          <w:sz w:val="24"/>
          <w:szCs w:val="24"/>
        </w:rPr>
        <w:tab/>
        <w:t>Overdosering</w:t>
      </w:r>
    </w:p>
    <w:p w14:paraId="3BD52B17" w14:textId="77777777" w:rsidR="00A76826" w:rsidRPr="004714C6" w:rsidRDefault="00A76826" w:rsidP="00FB1973">
      <w:pPr>
        <w:ind w:left="851"/>
        <w:rPr>
          <w:sz w:val="24"/>
          <w:szCs w:val="24"/>
        </w:rPr>
      </w:pPr>
      <w:r w:rsidRPr="004714C6">
        <w:rPr>
          <w:sz w:val="24"/>
          <w:szCs w:val="24"/>
        </w:rPr>
        <w:t>Doser af dabigatranetexilat ud over det anbefalede udsætter patienten for forøget risiko for blødning.</w:t>
      </w:r>
    </w:p>
    <w:p w14:paraId="7BE2DBFB" w14:textId="77777777" w:rsidR="00A76826" w:rsidRPr="004714C6" w:rsidRDefault="00A76826" w:rsidP="00FB1973">
      <w:pPr>
        <w:ind w:left="851"/>
        <w:rPr>
          <w:sz w:val="24"/>
          <w:szCs w:val="24"/>
        </w:rPr>
      </w:pPr>
    </w:p>
    <w:p w14:paraId="491E2917" w14:textId="77777777" w:rsidR="00A76826" w:rsidRPr="004714C6" w:rsidRDefault="00A76826" w:rsidP="00FB1973">
      <w:pPr>
        <w:ind w:left="851"/>
        <w:rPr>
          <w:sz w:val="24"/>
          <w:szCs w:val="24"/>
        </w:rPr>
      </w:pPr>
      <w:r w:rsidRPr="004714C6">
        <w:rPr>
          <w:sz w:val="24"/>
          <w:szCs w:val="24"/>
        </w:rPr>
        <w:t>I tilfælde af mistanke om overdosis, kan koagulationstest hjælpe til at påvise en evt. blødningsrisiko (se pkt. 4.4 og 5.1). En kalibreret kvantitativ dTT-test eller gentagne dTT-målinger kan medvirke til at estimere forventede tidspunkter for, hvornår dabigatrankoncentrationen når bestemte niveauer (se pkt. 5.1), også i tilfælde, hvor yderligere foranstaltninger, f.eks. dialyse er blevet indledt.</w:t>
      </w:r>
    </w:p>
    <w:p w14:paraId="251B2967" w14:textId="77777777" w:rsidR="00A76826" w:rsidRPr="004714C6" w:rsidRDefault="00A76826" w:rsidP="00FB1973">
      <w:pPr>
        <w:ind w:left="851"/>
        <w:rPr>
          <w:sz w:val="24"/>
          <w:szCs w:val="24"/>
        </w:rPr>
      </w:pPr>
    </w:p>
    <w:p w14:paraId="1E102A4A" w14:textId="77777777" w:rsidR="00A76826" w:rsidRPr="004714C6" w:rsidRDefault="00A76826" w:rsidP="00FB1973">
      <w:pPr>
        <w:ind w:left="851"/>
        <w:rPr>
          <w:sz w:val="24"/>
          <w:szCs w:val="24"/>
        </w:rPr>
      </w:pPr>
      <w:r w:rsidRPr="004714C6">
        <w:rPr>
          <w:sz w:val="24"/>
          <w:szCs w:val="24"/>
        </w:rPr>
        <w:t>Overdreven antikoagulation kan kræve afbrydelse af dabigatranetexilat</w:t>
      </w:r>
      <w:r w:rsidRPr="004714C6">
        <w:rPr>
          <w:sz w:val="24"/>
          <w:szCs w:val="24"/>
        </w:rPr>
        <w:noBreakHyphen/>
        <w:t>behandling. Da dabigatran hovedsageligt udskilles via nyrerne, skal tilstrækkelig diurese opretholdes. Da der er en lav proteinbinding, kan dabigatran fjernes ved dialyse, men der foreligger begrænset klinisk erfaring fra de kliniske studier, der kan demonstrere nytten heraf (se pkt. 5.2).</w:t>
      </w:r>
    </w:p>
    <w:p w14:paraId="6D331280" w14:textId="77777777" w:rsidR="00A76826" w:rsidRPr="004714C6" w:rsidRDefault="00A76826" w:rsidP="00FB1973">
      <w:pPr>
        <w:ind w:left="851"/>
        <w:rPr>
          <w:sz w:val="24"/>
          <w:szCs w:val="24"/>
        </w:rPr>
      </w:pPr>
    </w:p>
    <w:p w14:paraId="5B59AC7D" w14:textId="77777777" w:rsidR="00A76826" w:rsidRPr="004714C6" w:rsidRDefault="00A76826" w:rsidP="00FB1973">
      <w:pPr>
        <w:ind w:left="851"/>
        <w:rPr>
          <w:sz w:val="24"/>
          <w:szCs w:val="24"/>
          <w:u w:val="single"/>
        </w:rPr>
      </w:pPr>
      <w:r w:rsidRPr="004714C6">
        <w:rPr>
          <w:sz w:val="24"/>
          <w:szCs w:val="24"/>
          <w:u w:val="single"/>
        </w:rPr>
        <w:t>Behandling af blødningskomplikationer</w:t>
      </w:r>
    </w:p>
    <w:p w14:paraId="1A3B1825" w14:textId="77777777" w:rsidR="00A76826" w:rsidRPr="004714C6" w:rsidRDefault="00A76826" w:rsidP="00FB1973">
      <w:pPr>
        <w:ind w:left="851"/>
        <w:rPr>
          <w:sz w:val="24"/>
          <w:szCs w:val="24"/>
        </w:rPr>
      </w:pPr>
    </w:p>
    <w:p w14:paraId="681A0A06" w14:textId="77777777" w:rsidR="00A76826" w:rsidRPr="004714C6" w:rsidRDefault="00A76826" w:rsidP="00FB1973">
      <w:pPr>
        <w:ind w:left="851"/>
        <w:rPr>
          <w:sz w:val="24"/>
          <w:szCs w:val="24"/>
        </w:rPr>
      </w:pPr>
      <w:r w:rsidRPr="004714C6">
        <w:rPr>
          <w:sz w:val="24"/>
          <w:szCs w:val="24"/>
        </w:rPr>
        <w:t>I tilfælde af blødningskomplikationer skal behandlingen med dabigatranetexilat seponeres og kilden til blødningen undersøges. Afhængigt af den kliniske tilstand bør passende understøttende behandling, såsom kirurgisk hæmostase og erstatning af blodtab, foretages efter den ordinerende læges skøn.</w:t>
      </w:r>
    </w:p>
    <w:p w14:paraId="49FF6611" w14:textId="77777777" w:rsidR="00A76826" w:rsidRPr="004714C6" w:rsidRDefault="00A76826" w:rsidP="00FB1973">
      <w:pPr>
        <w:ind w:left="851"/>
        <w:rPr>
          <w:sz w:val="24"/>
          <w:szCs w:val="24"/>
        </w:rPr>
      </w:pPr>
    </w:p>
    <w:p w14:paraId="65FB6481" w14:textId="77777777" w:rsidR="00A76826" w:rsidRPr="004714C6" w:rsidRDefault="00A76826" w:rsidP="00FB1973">
      <w:pPr>
        <w:ind w:left="851"/>
        <w:rPr>
          <w:sz w:val="24"/>
          <w:szCs w:val="24"/>
        </w:rPr>
      </w:pPr>
      <w:r w:rsidRPr="004714C6">
        <w:rPr>
          <w:sz w:val="24"/>
          <w:szCs w:val="24"/>
        </w:rPr>
        <w:t>I tilfælde, hvor det er nødvendigt hurtigt at modvirke dabigatrans antikoagulerende virkning, er den specifikke antidot (idarucizumab), som modvirker dabigatrans farmakodynamiske virkning, tilgængelig for voksne patienter. Idarucizumabs virkning og sikkerhed hos pædiatriske patienter er ikke klarlagt (se pkt. 4.4).</w:t>
      </w:r>
    </w:p>
    <w:p w14:paraId="784B89E4" w14:textId="77777777" w:rsidR="00A76826" w:rsidRPr="004714C6" w:rsidRDefault="00A76826" w:rsidP="00FB1973">
      <w:pPr>
        <w:ind w:left="851"/>
        <w:rPr>
          <w:sz w:val="24"/>
          <w:szCs w:val="24"/>
        </w:rPr>
      </w:pPr>
    </w:p>
    <w:p w14:paraId="04F5F8A7" w14:textId="77777777" w:rsidR="00A76826" w:rsidRPr="004714C6" w:rsidRDefault="00A76826" w:rsidP="00FB1973">
      <w:pPr>
        <w:ind w:left="851"/>
        <w:rPr>
          <w:sz w:val="24"/>
          <w:szCs w:val="24"/>
        </w:rPr>
      </w:pPr>
      <w:r w:rsidRPr="004714C6">
        <w:rPr>
          <w:sz w:val="24"/>
          <w:szCs w:val="24"/>
        </w:rPr>
        <w:t>Koagulationsfaktor</w:t>
      </w:r>
      <w:r w:rsidRPr="004714C6">
        <w:rPr>
          <w:sz w:val="24"/>
          <w:szCs w:val="24"/>
        </w:rPr>
        <w:noBreakHyphen/>
        <w:t>koncentrater (aktiveret eller ikke</w:t>
      </w:r>
      <w:r w:rsidRPr="004714C6">
        <w:rPr>
          <w:sz w:val="24"/>
          <w:szCs w:val="24"/>
        </w:rPr>
        <w:noBreakHyphen/>
        <w:t xml:space="preserve">aktiveret) eller rekombinant faktor VIIa kan overvejes. Der er nogen eksperimentel evidens, der understøtter, at ovennævnte præparater kan revertere dabigatrans antikoagulerende virkning. Der er dog kun meget få data om anvendeligheden i kliniske situationer og om den potentielle risiko for </w:t>
      </w:r>
      <w:r w:rsidRPr="004714C6">
        <w:rPr>
          <w:i/>
          <w:iCs/>
          <w:sz w:val="24"/>
          <w:szCs w:val="24"/>
        </w:rPr>
        <w:t>rebound</w:t>
      </w:r>
      <w:r w:rsidRPr="004714C6">
        <w:rPr>
          <w:sz w:val="24"/>
          <w:szCs w:val="24"/>
        </w:rPr>
        <w:t xml:space="preserve"> tromboemboli. Koagulationstests kan blive upålidelige efter administration af ovenstående koagulationsfaktor</w:t>
      </w:r>
      <w:r w:rsidRPr="004714C6">
        <w:rPr>
          <w:sz w:val="24"/>
          <w:szCs w:val="24"/>
        </w:rPr>
        <w:noBreakHyphen/>
        <w:t>koncentrater. Testresultaterne bør tolkes med forsigtighed. Det bør tillige overvejes at administrere trombocytkoncentrater ved trombocytopeni, eller hvis langtidsvirkende trombocythæmmende lægemidler har været anvendt. Al symptomatisk behandling skal gives ud fra lægens vurdering.</w:t>
      </w:r>
    </w:p>
    <w:p w14:paraId="6B50C5DA" w14:textId="77777777" w:rsidR="00A76826" w:rsidRPr="004714C6" w:rsidRDefault="00A76826" w:rsidP="00FB1973">
      <w:pPr>
        <w:ind w:left="851"/>
        <w:rPr>
          <w:sz w:val="24"/>
          <w:szCs w:val="24"/>
        </w:rPr>
      </w:pPr>
    </w:p>
    <w:p w14:paraId="14C33C53" w14:textId="77777777" w:rsidR="00A76826" w:rsidRPr="004714C6" w:rsidRDefault="00A76826" w:rsidP="00FB1973">
      <w:pPr>
        <w:ind w:left="851"/>
        <w:rPr>
          <w:sz w:val="24"/>
          <w:szCs w:val="24"/>
        </w:rPr>
      </w:pPr>
      <w:r w:rsidRPr="004714C6">
        <w:rPr>
          <w:sz w:val="24"/>
          <w:szCs w:val="24"/>
        </w:rPr>
        <w:t>I tilfælde af alvorlige blødninger bør det overvejes at konsultere en koagulationsekspert.</w:t>
      </w:r>
    </w:p>
    <w:p w14:paraId="6C66D97D" w14:textId="77777777" w:rsidR="009260DE" w:rsidRPr="004714C6" w:rsidRDefault="009260DE" w:rsidP="009260DE">
      <w:pPr>
        <w:tabs>
          <w:tab w:val="left" w:pos="851"/>
        </w:tabs>
        <w:ind w:left="851"/>
        <w:rPr>
          <w:sz w:val="24"/>
          <w:szCs w:val="24"/>
        </w:rPr>
      </w:pPr>
    </w:p>
    <w:p w14:paraId="40B28AD8" w14:textId="77777777" w:rsidR="009260DE" w:rsidRPr="004714C6" w:rsidRDefault="009260DE" w:rsidP="009260DE">
      <w:pPr>
        <w:tabs>
          <w:tab w:val="left" w:pos="851"/>
        </w:tabs>
        <w:ind w:left="851" w:hanging="851"/>
        <w:rPr>
          <w:b/>
          <w:sz w:val="24"/>
          <w:szCs w:val="24"/>
        </w:rPr>
      </w:pPr>
      <w:r w:rsidRPr="004714C6">
        <w:rPr>
          <w:b/>
          <w:sz w:val="24"/>
          <w:szCs w:val="24"/>
        </w:rPr>
        <w:t>4.10</w:t>
      </w:r>
      <w:r w:rsidRPr="004714C6">
        <w:rPr>
          <w:b/>
          <w:sz w:val="24"/>
          <w:szCs w:val="24"/>
        </w:rPr>
        <w:tab/>
        <w:t>Udlevering</w:t>
      </w:r>
    </w:p>
    <w:p w14:paraId="1C8552D1" w14:textId="6A7D93B3" w:rsidR="009260DE" w:rsidRPr="004714C6" w:rsidRDefault="00570E29" w:rsidP="009260DE">
      <w:pPr>
        <w:tabs>
          <w:tab w:val="left" w:pos="851"/>
        </w:tabs>
        <w:ind w:left="851"/>
        <w:rPr>
          <w:sz w:val="24"/>
          <w:szCs w:val="24"/>
        </w:rPr>
      </w:pPr>
      <w:r w:rsidRPr="004714C6">
        <w:rPr>
          <w:sz w:val="24"/>
          <w:szCs w:val="24"/>
        </w:rPr>
        <w:t>B</w:t>
      </w:r>
    </w:p>
    <w:p w14:paraId="41C6E74E" w14:textId="77777777" w:rsidR="009260DE" w:rsidRPr="004714C6" w:rsidRDefault="009260DE" w:rsidP="009260DE">
      <w:pPr>
        <w:tabs>
          <w:tab w:val="left" w:pos="851"/>
        </w:tabs>
        <w:ind w:left="851"/>
        <w:rPr>
          <w:sz w:val="24"/>
          <w:szCs w:val="24"/>
        </w:rPr>
      </w:pPr>
    </w:p>
    <w:p w14:paraId="06A46AD7" w14:textId="7624F0A8" w:rsidR="00326117" w:rsidRDefault="00326117">
      <w:pPr>
        <w:rPr>
          <w:sz w:val="24"/>
          <w:szCs w:val="24"/>
        </w:rPr>
      </w:pPr>
      <w:r>
        <w:rPr>
          <w:sz w:val="24"/>
          <w:szCs w:val="24"/>
        </w:rPr>
        <w:br w:type="page"/>
      </w:r>
    </w:p>
    <w:p w14:paraId="02314975" w14:textId="77777777" w:rsidR="009260DE" w:rsidRPr="004714C6" w:rsidRDefault="009260DE" w:rsidP="009260DE">
      <w:pPr>
        <w:tabs>
          <w:tab w:val="left" w:pos="851"/>
        </w:tabs>
        <w:ind w:left="851"/>
        <w:rPr>
          <w:sz w:val="24"/>
          <w:szCs w:val="24"/>
        </w:rPr>
      </w:pPr>
    </w:p>
    <w:p w14:paraId="6CA362DD" w14:textId="77777777" w:rsidR="009260DE" w:rsidRPr="004714C6" w:rsidRDefault="009260DE" w:rsidP="009260DE">
      <w:pPr>
        <w:tabs>
          <w:tab w:val="left" w:pos="851"/>
        </w:tabs>
        <w:ind w:left="851" w:hanging="851"/>
        <w:rPr>
          <w:b/>
          <w:sz w:val="24"/>
          <w:szCs w:val="24"/>
        </w:rPr>
      </w:pPr>
      <w:r w:rsidRPr="004714C6">
        <w:rPr>
          <w:b/>
          <w:sz w:val="24"/>
          <w:szCs w:val="24"/>
        </w:rPr>
        <w:t>5.</w:t>
      </w:r>
      <w:r w:rsidRPr="004714C6">
        <w:rPr>
          <w:b/>
          <w:sz w:val="24"/>
          <w:szCs w:val="24"/>
        </w:rPr>
        <w:tab/>
        <w:t>FARMAKOLOGISKE EGENSKABER</w:t>
      </w:r>
    </w:p>
    <w:p w14:paraId="5314B14B" w14:textId="77777777" w:rsidR="009260DE" w:rsidRPr="004714C6" w:rsidRDefault="009260DE" w:rsidP="009260DE">
      <w:pPr>
        <w:tabs>
          <w:tab w:val="left" w:pos="851"/>
        </w:tabs>
        <w:ind w:left="851"/>
        <w:rPr>
          <w:sz w:val="24"/>
          <w:szCs w:val="24"/>
        </w:rPr>
      </w:pPr>
    </w:p>
    <w:p w14:paraId="5BE27192" w14:textId="77777777" w:rsidR="009260DE" w:rsidRPr="004714C6" w:rsidRDefault="009260DE" w:rsidP="009260DE">
      <w:pPr>
        <w:tabs>
          <w:tab w:val="num" w:pos="851"/>
        </w:tabs>
        <w:ind w:left="851" w:hanging="851"/>
        <w:rPr>
          <w:b/>
          <w:sz w:val="24"/>
          <w:szCs w:val="24"/>
        </w:rPr>
      </w:pPr>
      <w:r w:rsidRPr="004714C6">
        <w:rPr>
          <w:b/>
          <w:sz w:val="24"/>
          <w:szCs w:val="24"/>
        </w:rPr>
        <w:t>5.1</w:t>
      </w:r>
      <w:r w:rsidRPr="004714C6">
        <w:rPr>
          <w:b/>
          <w:sz w:val="24"/>
          <w:szCs w:val="24"/>
        </w:rPr>
        <w:tab/>
        <w:t>Farmakodynamiske egenskaber</w:t>
      </w:r>
    </w:p>
    <w:p w14:paraId="55E8C67B" w14:textId="77777777" w:rsidR="00A76826" w:rsidRPr="004714C6" w:rsidRDefault="00A76826" w:rsidP="00FB1973">
      <w:pPr>
        <w:ind w:left="851"/>
        <w:rPr>
          <w:sz w:val="24"/>
          <w:szCs w:val="24"/>
        </w:rPr>
      </w:pPr>
    </w:p>
    <w:p w14:paraId="5E133925" w14:textId="77777777" w:rsidR="00A76826" w:rsidRPr="004714C6" w:rsidRDefault="00A76826" w:rsidP="00FB1973">
      <w:pPr>
        <w:ind w:left="851"/>
        <w:rPr>
          <w:noProof/>
          <w:sz w:val="24"/>
          <w:szCs w:val="24"/>
        </w:rPr>
      </w:pPr>
      <w:r w:rsidRPr="004714C6">
        <w:rPr>
          <w:sz w:val="24"/>
          <w:szCs w:val="24"/>
        </w:rPr>
        <w:t>Farmakoterapeutisk klassifikation: antitrombosemidler, direkte virkende trombin</w:t>
      </w:r>
      <w:r w:rsidRPr="004714C6">
        <w:rPr>
          <w:sz w:val="24"/>
          <w:szCs w:val="24"/>
        </w:rPr>
        <w:noBreakHyphen/>
        <w:t>inhibitorer, ATC-kode: B01AE07.</w:t>
      </w:r>
    </w:p>
    <w:p w14:paraId="22841FD4" w14:textId="77777777" w:rsidR="00A76826" w:rsidRPr="004714C6" w:rsidRDefault="00A76826" w:rsidP="00FB1973">
      <w:pPr>
        <w:ind w:left="851"/>
        <w:rPr>
          <w:sz w:val="24"/>
          <w:szCs w:val="24"/>
        </w:rPr>
      </w:pPr>
    </w:p>
    <w:p w14:paraId="41C5C442" w14:textId="77777777" w:rsidR="00A76826" w:rsidRPr="004714C6" w:rsidRDefault="00A76826" w:rsidP="00FB1973">
      <w:pPr>
        <w:ind w:left="851"/>
        <w:rPr>
          <w:sz w:val="24"/>
          <w:szCs w:val="24"/>
          <w:u w:val="single"/>
        </w:rPr>
      </w:pPr>
      <w:r w:rsidRPr="004714C6">
        <w:rPr>
          <w:sz w:val="24"/>
          <w:szCs w:val="24"/>
          <w:u w:val="single"/>
        </w:rPr>
        <w:t>Virkningsmekanisme</w:t>
      </w:r>
    </w:p>
    <w:p w14:paraId="5B06F350" w14:textId="77777777" w:rsidR="00A76826" w:rsidRPr="004714C6" w:rsidRDefault="00A76826" w:rsidP="00FB1973">
      <w:pPr>
        <w:ind w:left="851"/>
        <w:rPr>
          <w:sz w:val="24"/>
          <w:szCs w:val="24"/>
        </w:rPr>
      </w:pPr>
    </w:p>
    <w:p w14:paraId="34B12E03" w14:textId="77777777" w:rsidR="00A76826" w:rsidRPr="004714C6" w:rsidRDefault="00A76826" w:rsidP="00FB1973">
      <w:pPr>
        <w:ind w:left="851"/>
        <w:rPr>
          <w:sz w:val="24"/>
          <w:szCs w:val="24"/>
        </w:rPr>
      </w:pPr>
      <w:r w:rsidRPr="004714C6">
        <w:rPr>
          <w:sz w:val="24"/>
          <w:szCs w:val="24"/>
        </w:rPr>
        <w:t xml:space="preserve">Dabigatranetexilat er </w:t>
      </w:r>
      <w:proofErr w:type="gramStart"/>
      <w:r w:rsidRPr="004714C6">
        <w:rPr>
          <w:sz w:val="24"/>
          <w:szCs w:val="24"/>
        </w:rPr>
        <w:t>et lavmolekylært prodrug</w:t>
      </w:r>
      <w:proofErr w:type="gramEnd"/>
      <w:r w:rsidRPr="004714C6">
        <w:rPr>
          <w:sz w:val="24"/>
          <w:szCs w:val="24"/>
        </w:rPr>
        <w:t>, som ikke udviser nogen farmakologisk aktivitet. Efter oral indtagelse absorberes dabigatranetexilat hurtigt og omdannes til dabigatran via esterasekatalyseret hydrolyse i plasma og i leveren. Dabigatran er en potent, kompetitiv, reversibel, direkte trombinhæmmer, og er den i plasma primære aktive form af lægemidlet.</w:t>
      </w:r>
    </w:p>
    <w:p w14:paraId="0C3EFCCA" w14:textId="77777777" w:rsidR="00A76826" w:rsidRPr="004714C6" w:rsidRDefault="00A76826" w:rsidP="00FB1973">
      <w:pPr>
        <w:ind w:left="851"/>
        <w:rPr>
          <w:sz w:val="24"/>
          <w:szCs w:val="24"/>
        </w:rPr>
      </w:pPr>
      <w:r w:rsidRPr="004714C6">
        <w:rPr>
          <w:sz w:val="24"/>
          <w:szCs w:val="24"/>
        </w:rPr>
        <w:t>Da trombin (serinprotease) fremmer konverteringen af fibrinogen til fibrin i koagulationskaskaden, vil en hæmning af trombin forhindre udviklingen af tromber. Dabigatran hæmmer frit trombin, fibrinbundet trombin og trombininduceret trombocytaggregation.</w:t>
      </w:r>
    </w:p>
    <w:p w14:paraId="677480BC" w14:textId="77777777" w:rsidR="00A76826" w:rsidRPr="004714C6" w:rsidRDefault="00A76826" w:rsidP="00FB1973">
      <w:pPr>
        <w:ind w:left="851"/>
        <w:rPr>
          <w:sz w:val="24"/>
          <w:szCs w:val="24"/>
        </w:rPr>
      </w:pPr>
    </w:p>
    <w:p w14:paraId="7B7BA4B4" w14:textId="77777777" w:rsidR="00A76826" w:rsidRPr="004714C6" w:rsidRDefault="00A76826" w:rsidP="00FB1973">
      <w:pPr>
        <w:ind w:left="851"/>
        <w:rPr>
          <w:sz w:val="24"/>
          <w:szCs w:val="24"/>
          <w:u w:val="single"/>
        </w:rPr>
      </w:pPr>
      <w:bookmarkStart w:id="7" w:name="_Hlk153784086"/>
      <w:r w:rsidRPr="004714C6">
        <w:rPr>
          <w:sz w:val="24"/>
          <w:szCs w:val="24"/>
          <w:u w:val="single"/>
        </w:rPr>
        <w:t>Farmakodynamisk virkning</w:t>
      </w:r>
      <w:bookmarkEnd w:id="7"/>
    </w:p>
    <w:p w14:paraId="516A899F" w14:textId="77777777" w:rsidR="00A76826" w:rsidRPr="004714C6" w:rsidRDefault="00A76826" w:rsidP="00FB1973">
      <w:pPr>
        <w:ind w:left="851"/>
        <w:rPr>
          <w:sz w:val="24"/>
          <w:szCs w:val="24"/>
        </w:rPr>
      </w:pPr>
    </w:p>
    <w:p w14:paraId="7F2E78E4" w14:textId="77777777" w:rsidR="00A76826" w:rsidRPr="004714C6" w:rsidRDefault="00A76826" w:rsidP="00FB1973">
      <w:pPr>
        <w:ind w:left="851"/>
        <w:rPr>
          <w:sz w:val="24"/>
          <w:szCs w:val="24"/>
        </w:rPr>
      </w:pPr>
      <w:r w:rsidRPr="004714C6">
        <w:rPr>
          <w:i/>
          <w:iCs/>
          <w:sz w:val="24"/>
          <w:szCs w:val="24"/>
        </w:rPr>
        <w:t>In vivo</w:t>
      </w:r>
      <w:r w:rsidRPr="004714C6">
        <w:rPr>
          <w:sz w:val="24"/>
          <w:szCs w:val="24"/>
        </w:rPr>
        <w:t xml:space="preserve"> og </w:t>
      </w:r>
      <w:r w:rsidRPr="004714C6">
        <w:rPr>
          <w:i/>
          <w:iCs/>
          <w:sz w:val="24"/>
          <w:szCs w:val="24"/>
        </w:rPr>
        <w:t>ex vivo</w:t>
      </w:r>
      <w:r w:rsidRPr="004714C6">
        <w:rPr>
          <w:sz w:val="24"/>
          <w:szCs w:val="24"/>
        </w:rPr>
        <w:noBreakHyphen/>
        <w:t>dyrestudier i forskellige trombose</w:t>
      </w:r>
      <w:r w:rsidRPr="004714C6">
        <w:rPr>
          <w:sz w:val="24"/>
          <w:szCs w:val="24"/>
        </w:rPr>
        <w:noBreakHyphen/>
        <w:t>dyremodeller har vist, at dabigatran efter intravenøs administration har antitrombotisk effekt og antikoagulerende aktivitet, og det samme er påvist for dabigatranetexilat efter oral indtagelse.</w:t>
      </w:r>
    </w:p>
    <w:p w14:paraId="34E0C4C1" w14:textId="77777777" w:rsidR="00A76826" w:rsidRPr="004714C6" w:rsidRDefault="00A76826" w:rsidP="00FB1973">
      <w:pPr>
        <w:ind w:left="851"/>
        <w:rPr>
          <w:sz w:val="24"/>
          <w:szCs w:val="24"/>
        </w:rPr>
      </w:pPr>
    </w:p>
    <w:p w14:paraId="2DE8F8C1" w14:textId="77777777" w:rsidR="00A76826" w:rsidRPr="004714C6" w:rsidRDefault="00A76826" w:rsidP="00FB1973">
      <w:pPr>
        <w:ind w:left="851"/>
        <w:rPr>
          <w:sz w:val="24"/>
          <w:szCs w:val="24"/>
        </w:rPr>
      </w:pPr>
      <w:r w:rsidRPr="004714C6">
        <w:rPr>
          <w:sz w:val="24"/>
          <w:szCs w:val="24"/>
        </w:rPr>
        <w:t>Der er i fase II-studier fundet en klar korrelation mellem dabigatran</w:t>
      </w:r>
      <w:r w:rsidRPr="004714C6">
        <w:rPr>
          <w:sz w:val="24"/>
          <w:szCs w:val="24"/>
        </w:rPr>
        <w:noBreakHyphen/>
        <w:t>koncentrationen i plasma og graden af antikoagulerende effekt. Dabigatran forlænger trombintiden (TT), ECT og aPTT.</w:t>
      </w:r>
    </w:p>
    <w:p w14:paraId="5D9BD961" w14:textId="77777777" w:rsidR="00A76826" w:rsidRPr="004714C6" w:rsidRDefault="00A76826" w:rsidP="00FB1973">
      <w:pPr>
        <w:ind w:left="851"/>
        <w:rPr>
          <w:sz w:val="24"/>
          <w:szCs w:val="24"/>
        </w:rPr>
      </w:pPr>
    </w:p>
    <w:p w14:paraId="3EEF5334" w14:textId="77777777" w:rsidR="00A76826" w:rsidRPr="004714C6" w:rsidRDefault="00A76826" w:rsidP="00FB1973">
      <w:pPr>
        <w:ind w:left="851"/>
        <w:rPr>
          <w:sz w:val="24"/>
          <w:szCs w:val="24"/>
        </w:rPr>
      </w:pPr>
      <w:r w:rsidRPr="004714C6">
        <w:rPr>
          <w:sz w:val="24"/>
          <w:szCs w:val="24"/>
        </w:rPr>
        <w:t>Den kalibrerede kvantitative fortyndede TT (dTT)</w:t>
      </w:r>
      <w:r w:rsidRPr="004714C6">
        <w:rPr>
          <w:sz w:val="24"/>
          <w:szCs w:val="24"/>
        </w:rPr>
        <w:noBreakHyphen/>
        <w:t>test giver en estimeret dabigatran</w:t>
      </w:r>
      <w:r w:rsidRPr="004714C6">
        <w:rPr>
          <w:sz w:val="24"/>
          <w:szCs w:val="24"/>
        </w:rPr>
        <w:noBreakHyphen/>
        <w:t>plasmakoncentration, der kan sammenlignes med de forventede dabigatran</w:t>
      </w:r>
      <w:r w:rsidRPr="004714C6">
        <w:rPr>
          <w:sz w:val="24"/>
          <w:szCs w:val="24"/>
        </w:rPr>
        <w:noBreakHyphen/>
        <w:t>plasmakoncentrationer. Når den kalibrerede dTT</w:t>
      </w:r>
      <w:r w:rsidRPr="004714C6">
        <w:rPr>
          <w:sz w:val="24"/>
          <w:szCs w:val="24"/>
        </w:rPr>
        <w:noBreakHyphen/>
        <w:t>analyse angiver en dabigatran</w:t>
      </w:r>
      <w:r w:rsidRPr="004714C6">
        <w:rPr>
          <w:sz w:val="24"/>
          <w:szCs w:val="24"/>
        </w:rPr>
        <w:noBreakHyphen/>
        <w:t>plasmakoncentration på eller under grænsen for kvantificering, bør yderligere en koagulationsanalyse overvejes såsom TT, ECT eller aPTT.</w:t>
      </w:r>
    </w:p>
    <w:p w14:paraId="7E57BA1E" w14:textId="77777777" w:rsidR="00A76826" w:rsidRPr="004714C6" w:rsidRDefault="00A76826" w:rsidP="00FB1973">
      <w:pPr>
        <w:ind w:left="851"/>
        <w:rPr>
          <w:sz w:val="24"/>
          <w:szCs w:val="24"/>
        </w:rPr>
      </w:pPr>
    </w:p>
    <w:p w14:paraId="068C1500" w14:textId="77777777" w:rsidR="00A76826" w:rsidRPr="004714C6" w:rsidRDefault="00A76826" w:rsidP="00FB1973">
      <w:pPr>
        <w:ind w:left="851"/>
        <w:rPr>
          <w:sz w:val="24"/>
          <w:szCs w:val="24"/>
        </w:rPr>
      </w:pPr>
      <w:r w:rsidRPr="004714C6">
        <w:rPr>
          <w:sz w:val="24"/>
          <w:szCs w:val="24"/>
        </w:rPr>
        <w:t>ECT kan give et direkte mål for aktiviteten af direkte trombinhæmmere.</w:t>
      </w:r>
    </w:p>
    <w:p w14:paraId="470E5D78" w14:textId="77777777" w:rsidR="00A76826" w:rsidRPr="004714C6" w:rsidRDefault="00A76826" w:rsidP="00FB1973">
      <w:pPr>
        <w:ind w:left="851"/>
        <w:rPr>
          <w:sz w:val="24"/>
          <w:szCs w:val="24"/>
        </w:rPr>
      </w:pPr>
    </w:p>
    <w:p w14:paraId="0D248E7A" w14:textId="77777777" w:rsidR="00A76826" w:rsidRPr="004714C6" w:rsidRDefault="00A76826" w:rsidP="00FB1973">
      <w:pPr>
        <w:ind w:left="851"/>
        <w:rPr>
          <w:sz w:val="24"/>
          <w:szCs w:val="24"/>
        </w:rPr>
      </w:pPr>
      <w:r w:rsidRPr="004714C6">
        <w:rPr>
          <w:sz w:val="24"/>
          <w:szCs w:val="24"/>
        </w:rPr>
        <w:t>Den vidt udbredte test for aktiveret partiel tromboplastintid (aPTT) giver en omtrentlig indikation for den antikoagulerende virkning, der kan opnås med dabigatran. Følsomheden af aPTT</w:t>
      </w:r>
      <w:r w:rsidRPr="004714C6">
        <w:rPr>
          <w:sz w:val="24"/>
          <w:szCs w:val="24"/>
        </w:rPr>
        <w:noBreakHyphen/>
        <w:t>testen er dog begrænset, og testen er ikke anvendelig til præcis kvantificering af den antikoagulerende virkning - især ikke ved høje dabigatran</w:t>
      </w:r>
      <w:r w:rsidRPr="004714C6">
        <w:rPr>
          <w:sz w:val="24"/>
          <w:szCs w:val="24"/>
        </w:rPr>
        <w:noBreakHyphen/>
        <w:t>plasmakoncentrationer. Selvom høje aPTT</w:t>
      </w:r>
      <w:r w:rsidRPr="004714C6">
        <w:rPr>
          <w:sz w:val="24"/>
          <w:szCs w:val="24"/>
        </w:rPr>
        <w:noBreakHyphen/>
        <w:t>værdier bør tolkes med forsigtighed, indikerer en høj aPTT</w:t>
      </w:r>
      <w:r w:rsidRPr="004714C6">
        <w:rPr>
          <w:sz w:val="24"/>
          <w:szCs w:val="24"/>
        </w:rPr>
        <w:noBreakHyphen/>
        <w:t>værdi, at patienten er antikoaguleret.</w:t>
      </w:r>
    </w:p>
    <w:p w14:paraId="4E7A958B" w14:textId="77777777" w:rsidR="00A76826" w:rsidRPr="004714C6" w:rsidRDefault="00A76826" w:rsidP="00FB1973">
      <w:pPr>
        <w:ind w:left="851"/>
        <w:rPr>
          <w:sz w:val="24"/>
          <w:szCs w:val="24"/>
        </w:rPr>
      </w:pPr>
    </w:p>
    <w:p w14:paraId="4FC7CA50" w14:textId="77777777" w:rsidR="00A76826" w:rsidRPr="004714C6" w:rsidRDefault="00A76826" w:rsidP="00FB1973">
      <w:pPr>
        <w:ind w:left="851"/>
        <w:rPr>
          <w:sz w:val="24"/>
          <w:szCs w:val="24"/>
        </w:rPr>
      </w:pPr>
      <w:r w:rsidRPr="004714C6">
        <w:rPr>
          <w:sz w:val="24"/>
          <w:szCs w:val="24"/>
        </w:rPr>
        <w:t>Generelt kan det antages, at disse mål for antikoagulationsaktiviteten kan reflektere dabigatranniveauerne og være en hjælp til vurdering af blødningsrisikoen. Det vil sige, at en overskridelse af 90</w:t>
      </w:r>
      <w:r w:rsidRPr="004714C6">
        <w:rPr>
          <w:sz w:val="24"/>
          <w:szCs w:val="24"/>
        </w:rPr>
        <w:noBreakHyphen/>
        <w:t>percentilen for dabigatran</w:t>
      </w:r>
      <w:r w:rsidRPr="004714C6">
        <w:rPr>
          <w:sz w:val="24"/>
          <w:szCs w:val="24"/>
        </w:rPr>
        <w:noBreakHyphen/>
      </w:r>
      <w:r w:rsidRPr="004714C6">
        <w:rPr>
          <w:i/>
          <w:iCs/>
          <w:sz w:val="24"/>
          <w:szCs w:val="24"/>
        </w:rPr>
        <w:t>trough</w:t>
      </w:r>
      <w:r w:rsidRPr="004714C6">
        <w:rPr>
          <w:sz w:val="24"/>
          <w:szCs w:val="24"/>
        </w:rPr>
        <w:noBreakHyphen/>
        <w:t xml:space="preserve">niveauerne eller for en koagulationsanalyse </w:t>
      </w:r>
      <w:r w:rsidRPr="004714C6">
        <w:rPr>
          <w:sz w:val="24"/>
          <w:szCs w:val="24"/>
        </w:rPr>
        <w:noBreakHyphen/>
        <w:t xml:space="preserve"> såsom aPTT målt ved </w:t>
      </w:r>
      <w:r w:rsidRPr="004714C6">
        <w:rPr>
          <w:i/>
          <w:iCs/>
          <w:sz w:val="24"/>
          <w:szCs w:val="24"/>
        </w:rPr>
        <w:t>trough</w:t>
      </w:r>
      <w:r w:rsidRPr="004714C6">
        <w:rPr>
          <w:sz w:val="24"/>
          <w:szCs w:val="24"/>
        </w:rPr>
        <w:t xml:space="preserve"> (se grænseværdier for aPTT i pkt. 4.4, tabel 6) </w:t>
      </w:r>
      <w:r w:rsidRPr="004714C6">
        <w:rPr>
          <w:sz w:val="24"/>
          <w:szCs w:val="24"/>
        </w:rPr>
        <w:noBreakHyphen/>
        <w:t xml:space="preserve"> anses for at være forbundet med en øget blødningsrisiko.</w:t>
      </w:r>
    </w:p>
    <w:p w14:paraId="3EA95094" w14:textId="77777777" w:rsidR="00A76826" w:rsidRPr="004714C6" w:rsidRDefault="00A76826" w:rsidP="00FB1973">
      <w:pPr>
        <w:ind w:left="851"/>
        <w:rPr>
          <w:sz w:val="24"/>
          <w:szCs w:val="24"/>
        </w:rPr>
      </w:pPr>
    </w:p>
    <w:p w14:paraId="00851EBA" w14:textId="77777777" w:rsidR="00A76826" w:rsidRPr="004714C6" w:rsidRDefault="00A76826" w:rsidP="00FB1973">
      <w:pPr>
        <w:ind w:left="851"/>
        <w:rPr>
          <w:i/>
          <w:iCs/>
          <w:sz w:val="24"/>
          <w:szCs w:val="24"/>
        </w:rPr>
      </w:pPr>
      <w:r w:rsidRPr="004714C6">
        <w:rPr>
          <w:i/>
          <w:iCs/>
          <w:sz w:val="24"/>
          <w:szCs w:val="24"/>
        </w:rPr>
        <w:t>Primær forebyggelse af VTE ved ortopædkirurgi</w:t>
      </w:r>
    </w:p>
    <w:p w14:paraId="0DF87AB3" w14:textId="77777777" w:rsidR="00A76826" w:rsidRPr="004714C6" w:rsidRDefault="00A76826" w:rsidP="00FB1973">
      <w:pPr>
        <w:ind w:left="851"/>
        <w:rPr>
          <w:sz w:val="24"/>
          <w:szCs w:val="24"/>
        </w:rPr>
      </w:pPr>
    </w:p>
    <w:p w14:paraId="1087D031" w14:textId="77777777" w:rsidR="00A76826" w:rsidRPr="004714C6" w:rsidRDefault="00A76826" w:rsidP="00FB1973">
      <w:pPr>
        <w:ind w:left="851"/>
        <w:rPr>
          <w:sz w:val="24"/>
          <w:szCs w:val="24"/>
        </w:rPr>
      </w:pPr>
      <w:r w:rsidRPr="004714C6">
        <w:rPr>
          <w:i/>
          <w:iCs/>
          <w:sz w:val="24"/>
          <w:szCs w:val="24"/>
        </w:rPr>
        <w:t>Steady state</w:t>
      </w:r>
      <w:r w:rsidRPr="004714C6">
        <w:rPr>
          <w:sz w:val="24"/>
          <w:szCs w:val="24"/>
        </w:rPr>
        <w:t xml:space="preserve"> (efter dag 3) angivet som en geometrisk gennemsnitsværdi af peak</w:t>
      </w:r>
      <w:r w:rsidRPr="004714C6">
        <w:rPr>
          <w:sz w:val="24"/>
          <w:szCs w:val="24"/>
        </w:rPr>
        <w:noBreakHyphen/>
        <w:t>plasmakoncentrationen målt ca. 2 timer efter indtagelse af 220 mg dabigatranetexilat, var 70,8 ng/ml, med et interval på 35,2</w:t>
      </w:r>
      <w:r w:rsidRPr="004714C6">
        <w:rPr>
          <w:sz w:val="24"/>
          <w:szCs w:val="24"/>
        </w:rPr>
        <w:noBreakHyphen/>
        <w:t>162 ng/ml (25.</w:t>
      </w:r>
      <w:r w:rsidRPr="004714C6">
        <w:rPr>
          <w:sz w:val="24"/>
          <w:szCs w:val="24"/>
        </w:rPr>
        <w:noBreakHyphen/>
        <w:t>75. percentil). Dabigatrans geometriske gennemsnits</w:t>
      </w:r>
      <w:r w:rsidRPr="004714C6">
        <w:rPr>
          <w:sz w:val="24"/>
          <w:szCs w:val="24"/>
        </w:rPr>
        <w:noBreakHyphen/>
      </w:r>
      <w:r w:rsidRPr="004714C6">
        <w:rPr>
          <w:i/>
          <w:iCs/>
          <w:sz w:val="24"/>
          <w:szCs w:val="24"/>
        </w:rPr>
        <w:t>trough</w:t>
      </w:r>
      <w:r w:rsidRPr="004714C6">
        <w:rPr>
          <w:sz w:val="24"/>
          <w:szCs w:val="24"/>
        </w:rPr>
        <w:noBreakHyphen/>
        <w:t>koncentration, målt ved slutningen af et doseringsinterval (dvs. 24 timer efter en dosis på 220 mg dabigatran), var gennemsnitlig 22,0 ng/ml, med et interval på 13,0</w:t>
      </w:r>
      <w:r w:rsidRPr="004714C6">
        <w:rPr>
          <w:sz w:val="24"/>
          <w:szCs w:val="24"/>
        </w:rPr>
        <w:noBreakHyphen/>
        <w:t>35,7 ng/ml (25.</w:t>
      </w:r>
      <w:r w:rsidRPr="004714C6">
        <w:rPr>
          <w:sz w:val="24"/>
          <w:szCs w:val="24"/>
        </w:rPr>
        <w:noBreakHyphen/>
        <w:t>75. percentil).</w:t>
      </w:r>
    </w:p>
    <w:p w14:paraId="454A9864" w14:textId="77777777" w:rsidR="00A76826" w:rsidRPr="004714C6" w:rsidRDefault="00A76826" w:rsidP="00FB1973">
      <w:pPr>
        <w:ind w:left="851"/>
        <w:rPr>
          <w:sz w:val="24"/>
          <w:szCs w:val="24"/>
        </w:rPr>
      </w:pPr>
    </w:p>
    <w:p w14:paraId="59C51971" w14:textId="77777777" w:rsidR="00A76826" w:rsidRPr="004714C6" w:rsidRDefault="00A76826" w:rsidP="00FB1973">
      <w:pPr>
        <w:ind w:left="851"/>
        <w:rPr>
          <w:sz w:val="24"/>
          <w:szCs w:val="24"/>
        </w:rPr>
      </w:pPr>
      <w:r w:rsidRPr="004714C6">
        <w:rPr>
          <w:sz w:val="24"/>
          <w:szCs w:val="24"/>
        </w:rPr>
        <w:t>I et studie udelukkende med patienter med moderat nedsat nyrefunktion (kreatininclearance, CrCL 30</w:t>
      </w:r>
      <w:r w:rsidRPr="004714C6">
        <w:rPr>
          <w:sz w:val="24"/>
          <w:szCs w:val="24"/>
        </w:rPr>
        <w:noBreakHyphen/>
        <w:t>50 ml/min), der fik dabigatranetexilat 150 mg én gang daglig, var dabigatrans geometriske gennemsnits</w:t>
      </w:r>
      <w:r w:rsidRPr="004714C6">
        <w:rPr>
          <w:sz w:val="24"/>
          <w:szCs w:val="24"/>
        </w:rPr>
        <w:noBreakHyphen/>
      </w:r>
      <w:r w:rsidRPr="004714C6">
        <w:rPr>
          <w:i/>
          <w:iCs/>
          <w:sz w:val="24"/>
          <w:szCs w:val="24"/>
        </w:rPr>
        <w:t>trough</w:t>
      </w:r>
      <w:r w:rsidRPr="004714C6">
        <w:rPr>
          <w:sz w:val="24"/>
          <w:szCs w:val="24"/>
        </w:rPr>
        <w:noBreakHyphen/>
        <w:t>koncentration, målt ved slutningen af doseringsintervallet gennemsnitligt 47,5 ng/ml, med et interval på 29,6</w:t>
      </w:r>
      <w:r w:rsidRPr="004714C6">
        <w:rPr>
          <w:sz w:val="24"/>
          <w:szCs w:val="24"/>
        </w:rPr>
        <w:noBreakHyphen/>
        <w:t>72,2 ng/ml (25.</w:t>
      </w:r>
      <w:r w:rsidRPr="004714C6">
        <w:rPr>
          <w:sz w:val="24"/>
          <w:szCs w:val="24"/>
        </w:rPr>
        <w:noBreakHyphen/>
        <w:t>75. percentil).</w:t>
      </w:r>
    </w:p>
    <w:p w14:paraId="796DF5CA" w14:textId="77777777" w:rsidR="00A76826" w:rsidRPr="004714C6" w:rsidRDefault="00A76826" w:rsidP="00FB1973">
      <w:pPr>
        <w:ind w:left="851"/>
        <w:rPr>
          <w:sz w:val="24"/>
          <w:szCs w:val="24"/>
        </w:rPr>
      </w:pPr>
    </w:p>
    <w:p w14:paraId="0A7B3C40" w14:textId="77777777" w:rsidR="00A76826" w:rsidRPr="004714C6" w:rsidRDefault="00A76826" w:rsidP="00FB1973">
      <w:pPr>
        <w:ind w:left="851"/>
        <w:rPr>
          <w:sz w:val="24"/>
          <w:szCs w:val="24"/>
        </w:rPr>
      </w:pPr>
      <w:r w:rsidRPr="004714C6">
        <w:rPr>
          <w:sz w:val="24"/>
          <w:szCs w:val="24"/>
        </w:rPr>
        <w:t>Hos patienter, der fik 220 mg dabigatranetexilat én gang dagligt til forebyggelse af VTE efter hofte- eller knæalloplastik, gjaldt følgende:</w:t>
      </w:r>
    </w:p>
    <w:p w14:paraId="34C30C16" w14:textId="5373FFD1" w:rsidR="00A76826" w:rsidRPr="004714C6" w:rsidRDefault="00A76826" w:rsidP="003E2658">
      <w:pPr>
        <w:pStyle w:val="Listeafsnit"/>
        <w:numPr>
          <w:ilvl w:val="0"/>
          <w:numId w:val="10"/>
        </w:numPr>
        <w:tabs>
          <w:tab w:val="clear" w:pos="567"/>
        </w:tabs>
        <w:spacing w:line="240" w:lineRule="auto"/>
        <w:ind w:left="1276" w:hanging="425"/>
        <w:rPr>
          <w:sz w:val="24"/>
          <w:szCs w:val="24"/>
          <w:lang w:val="da-DK"/>
        </w:rPr>
      </w:pPr>
      <w:r w:rsidRPr="004714C6">
        <w:rPr>
          <w:sz w:val="24"/>
          <w:szCs w:val="24"/>
          <w:lang w:val="da-DK"/>
        </w:rPr>
        <w:t>90</w:t>
      </w:r>
      <w:r w:rsidRPr="004714C6">
        <w:rPr>
          <w:sz w:val="24"/>
          <w:szCs w:val="24"/>
          <w:lang w:val="da-DK"/>
        </w:rPr>
        <w:noBreakHyphen/>
        <w:t>percentilen for dabigatran</w:t>
      </w:r>
      <w:r w:rsidRPr="004714C6">
        <w:rPr>
          <w:sz w:val="24"/>
          <w:szCs w:val="24"/>
          <w:lang w:val="da-DK"/>
        </w:rPr>
        <w:noBreakHyphen/>
        <w:t xml:space="preserve">plasmakoncentrationerne ved </w:t>
      </w:r>
      <w:r w:rsidRPr="004714C6">
        <w:rPr>
          <w:i/>
          <w:iCs/>
          <w:sz w:val="24"/>
          <w:szCs w:val="24"/>
          <w:lang w:val="da-DK"/>
        </w:rPr>
        <w:t>trough</w:t>
      </w:r>
      <w:r w:rsidRPr="004714C6">
        <w:rPr>
          <w:sz w:val="24"/>
          <w:szCs w:val="24"/>
          <w:lang w:val="da-DK"/>
        </w:rPr>
        <w:t xml:space="preserve"> (20</w:t>
      </w:r>
      <w:r w:rsidRPr="004714C6">
        <w:rPr>
          <w:sz w:val="24"/>
          <w:szCs w:val="24"/>
          <w:lang w:val="da-DK"/>
        </w:rPr>
        <w:noBreakHyphen/>
        <w:t>28 timer efter den forrige dosis) (se pkt. 4.4 og 4.9) var 67 ng/ml</w:t>
      </w:r>
    </w:p>
    <w:p w14:paraId="39B3819B" w14:textId="460589CA" w:rsidR="00A76826" w:rsidRPr="004714C6" w:rsidRDefault="00A76826" w:rsidP="003E2658">
      <w:pPr>
        <w:pStyle w:val="Listeafsnit"/>
        <w:numPr>
          <w:ilvl w:val="0"/>
          <w:numId w:val="10"/>
        </w:numPr>
        <w:tabs>
          <w:tab w:val="clear" w:pos="567"/>
        </w:tabs>
        <w:spacing w:line="240" w:lineRule="auto"/>
        <w:ind w:left="1276" w:hanging="425"/>
        <w:rPr>
          <w:sz w:val="24"/>
          <w:szCs w:val="24"/>
          <w:lang w:val="da-DK"/>
        </w:rPr>
      </w:pPr>
      <w:r w:rsidRPr="004714C6">
        <w:rPr>
          <w:sz w:val="24"/>
          <w:szCs w:val="24"/>
          <w:lang w:val="da-DK"/>
        </w:rPr>
        <w:t>90</w:t>
      </w:r>
      <w:r w:rsidRPr="004714C6">
        <w:rPr>
          <w:sz w:val="24"/>
          <w:szCs w:val="24"/>
          <w:lang w:val="da-DK"/>
        </w:rPr>
        <w:noBreakHyphen/>
        <w:t xml:space="preserve">percentilen for aPTT ved </w:t>
      </w:r>
      <w:r w:rsidRPr="004714C6">
        <w:rPr>
          <w:i/>
          <w:iCs/>
          <w:sz w:val="24"/>
          <w:szCs w:val="24"/>
          <w:lang w:val="da-DK"/>
        </w:rPr>
        <w:t>trough</w:t>
      </w:r>
      <w:r w:rsidRPr="004714C6">
        <w:rPr>
          <w:sz w:val="24"/>
          <w:szCs w:val="24"/>
          <w:lang w:val="da-DK"/>
        </w:rPr>
        <w:t xml:space="preserve"> (20</w:t>
      </w:r>
      <w:r w:rsidRPr="004714C6">
        <w:rPr>
          <w:sz w:val="24"/>
          <w:szCs w:val="24"/>
          <w:lang w:val="da-DK"/>
        </w:rPr>
        <w:noBreakHyphen/>
        <w:t>28 timer efter den forrige dosis) var 51 sekunder, hvilket er 1,3 gange den øvre normalgrænse.</w:t>
      </w:r>
    </w:p>
    <w:p w14:paraId="367FFA71" w14:textId="77777777" w:rsidR="00A76826" w:rsidRPr="004714C6" w:rsidRDefault="00A76826" w:rsidP="00FB1973">
      <w:pPr>
        <w:ind w:left="851"/>
        <w:rPr>
          <w:sz w:val="24"/>
          <w:szCs w:val="24"/>
        </w:rPr>
      </w:pPr>
    </w:p>
    <w:p w14:paraId="66B78070" w14:textId="77777777" w:rsidR="00A76826" w:rsidRPr="004714C6" w:rsidRDefault="00A76826" w:rsidP="00FB1973">
      <w:pPr>
        <w:ind w:left="851"/>
        <w:rPr>
          <w:sz w:val="24"/>
          <w:szCs w:val="24"/>
        </w:rPr>
      </w:pPr>
      <w:r w:rsidRPr="004714C6">
        <w:rPr>
          <w:sz w:val="24"/>
          <w:szCs w:val="24"/>
        </w:rPr>
        <w:t>ECT blev ikke målt hos patienter, der fik 220 mg dabigatranetexilat én gang dagligt til forebyggelse af VTE efter hofte- eller knæalloplastik.</w:t>
      </w:r>
    </w:p>
    <w:p w14:paraId="28C73C27" w14:textId="77777777" w:rsidR="00A76826" w:rsidRPr="004714C6" w:rsidRDefault="00A76826" w:rsidP="00FB1973">
      <w:pPr>
        <w:ind w:left="851"/>
        <w:rPr>
          <w:sz w:val="24"/>
          <w:szCs w:val="24"/>
        </w:rPr>
      </w:pPr>
    </w:p>
    <w:p w14:paraId="7E5B7A7B" w14:textId="77777777" w:rsidR="00A76826" w:rsidRPr="004714C6" w:rsidRDefault="00A76826" w:rsidP="00FB1973">
      <w:pPr>
        <w:ind w:left="851"/>
        <w:rPr>
          <w:i/>
          <w:iCs/>
          <w:sz w:val="24"/>
          <w:szCs w:val="24"/>
        </w:rPr>
      </w:pPr>
      <w:r w:rsidRPr="004714C6">
        <w:rPr>
          <w:i/>
          <w:iCs/>
          <w:sz w:val="24"/>
          <w:szCs w:val="24"/>
        </w:rPr>
        <w:t>Forebyggelse af apopleksi og systemisk emboli hos voksne patienter med NVAF med en eller flere risikofaktorer (SPAF)</w:t>
      </w:r>
    </w:p>
    <w:p w14:paraId="1676CA7B" w14:textId="77777777" w:rsidR="00A76826" w:rsidRPr="004714C6" w:rsidRDefault="00A76826" w:rsidP="00FB1973">
      <w:pPr>
        <w:ind w:left="851"/>
        <w:rPr>
          <w:sz w:val="24"/>
          <w:szCs w:val="24"/>
        </w:rPr>
      </w:pPr>
    </w:p>
    <w:p w14:paraId="664285A8" w14:textId="77777777" w:rsidR="00A76826" w:rsidRPr="004714C6" w:rsidRDefault="00A76826" w:rsidP="00FB1973">
      <w:pPr>
        <w:ind w:left="851"/>
        <w:rPr>
          <w:sz w:val="24"/>
          <w:szCs w:val="24"/>
        </w:rPr>
      </w:pPr>
      <w:r w:rsidRPr="004714C6">
        <w:rPr>
          <w:i/>
          <w:iCs/>
          <w:sz w:val="24"/>
          <w:szCs w:val="24"/>
        </w:rPr>
        <w:t>Steady state</w:t>
      </w:r>
      <w:r w:rsidRPr="004714C6">
        <w:rPr>
          <w:sz w:val="24"/>
          <w:szCs w:val="24"/>
        </w:rPr>
        <w:t>, angivet som geometrisk gennemsnitsværdi af peak plasmakoncentrationen af dabigatran målt ca. 2 timer efter indtagelse af 150 mg dabigatranetexilat 2 gange dagligt, var 175 ng/ml, med et interval på 117</w:t>
      </w:r>
      <w:r w:rsidRPr="004714C6">
        <w:rPr>
          <w:sz w:val="24"/>
          <w:szCs w:val="24"/>
        </w:rPr>
        <w:noBreakHyphen/>
        <w:t>275 ng/ml (25.</w:t>
      </w:r>
      <w:r w:rsidRPr="004714C6">
        <w:rPr>
          <w:sz w:val="24"/>
          <w:szCs w:val="24"/>
        </w:rPr>
        <w:noBreakHyphen/>
        <w:t>75. percentil). Dabigatrans geometriske gennemsnits-</w:t>
      </w:r>
      <w:r w:rsidRPr="004714C6">
        <w:rPr>
          <w:i/>
          <w:iCs/>
          <w:sz w:val="24"/>
          <w:szCs w:val="24"/>
        </w:rPr>
        <w:t>trough</w:t>
      </w:r>
      <w:r w:rsidRPr="004714C6">
        <w:rPr>
          <w:sz w:val="24"/>
          <w:szCs w:val="24"/>
        </w:rPr>
        <w:noBreakHyphen/>
        <w:t>koncentration, målt om morgenen ved slutningen af et doseringsinterval (dvs. 12 timer efter aftendosen på 150 mg dabigatran), var i gennemsnit 91,0 ng/ml, med et interval på 61,0</w:t>
      </w:r>
      <w:r w:rsidRPr="004714C6">
        <w:rPr>
          <w:sz w:val="24"/>
          <w:szCs w:val="24"/>
        </w:rPr>
        <w:noBreakHyphen/>
        <w:t>143 ng/ml (25.</w:t>
      </w:r>
      <w:r w:rsidRPr="004714C6">
        <w:rPr>
          <w:sz w:val="24"/>
          <w:szCs w:val="24"/>
        </w:rPr>
        <w:noBreakHyphen/>
        <w:t>75. percentil).</w:t>
      </w:r>
    </w:p>
    <w:p w14:paraId="210E67FB" w14:textId="77777777" w:rsidR="00A76826" w:rsidRPr="004714C6" w:rsidRDefault="00A76826" w:rsidP="00FB1973">
      <w:pPr>
        <w:ind w:left="851"/>
        <w:rPr>
          <w:sz w:val="24"/>
          <w:szCs w:val="24"/>
        </w:rPr>
      </w:pPr>
    </w:p>
    <w:p w14:paraId="40B7DBE1" w14:textId="77777777" w:rsidR="00A76826" w:rsidRPr="004714C6" w:rsidRDefault="00A76826" w:rsidP="00FB1973">
      <w:pPr>
        <w:ind w:left="851"/>
        <w:rPr>
          <w:sz w:val="24"/>
          <w:szCs w:val="24"/>
        </w:rPr>
      </w:pPr>
      <w:r w:rsidRPr="004714C6">
        <w:rPr>
          <w:sz w:val="24"/>
          <w:szCs w:val="24"/>
        </w:rPr>
        <w:t>For patienter med NVAF, der fik 150 mg dabigatranetexilat 2 gange dagligt til forebyggelse af apopleksi og systemisk emboli, gjaldt følgende:</w:t>
      </w:r>
    </w:p>
    <w:p w14:paraId="687B1C74" w14:textId="77777777" w:rsidR="00A76826" w:rsidRPr="004714C6" w:rsidRDefault="00A76826" w:rsidP="00FB1973">
      <w:pPr>
        <w:numPr>
          <w:ilvl w:val="0"/>
          <w:numId w:val="10"/>
        </w:numPr>
        <w:ind w:left="1276" w:hanging="425"/>
        <w:rPr>
          <w:sz w:val="24"/>
          <w:szCs w:val="24"/>
        </w:rPr>
      </w:pPr>
      <w:r w:rsidRPr="004714C6">
        <w:rPr>
          <w:sz w:val="24"/>
          <w:szCs w:val="24"/>
        </w:rPr>
        <w:t>90</w:t>
      </w:r>
      <w:r w:rsidRPr="004714C6">
        <w:rPr>
          <w:sz w:val="24"/>
          <w:szCs w:val="24"/>
        </w:rPr>
        <w:noBreakHyphen/>
        <w:t>percentilen for dabigatran</w:t>
      </w:r>
      <w:r w:rsidRPr="004714C6">
        <w:rPr>
          <w:sz w:val="24"/>
          <w:szCs w:val="24"/>
        </w:rPr>
        <w:noBreakHyphen/>
        <w:t xml:space="preserve">plasmakoncentrationerne ved </w:t>
      </w:r>
      <w:r w:rsidRPr="004714C6">
        <w:rPr>
          <w:i/>
          <w:iCs/>
          <w:sz w:val="24"/>
          <w:szCs w:val="24"/>
        </w:rPr>
        <w:t>trough</w:t>
      </w:r>
      <w:r w:rsidRPr="004714C6">
        <w:rPr>
          <w:sz w:val="24"/>
          <w:szCs w:val="24"/>
        </w:rPr>
        <w:t xml:space="preserve"> (10</w:t>
      </w:r>
      <w:r w:rsidRPr="004714C6">
        <w:rPr>
          <w:sz w:val="24"/>
          <w:szCs w:val="24"/>
        </w:rPr>
        <w:noBreakHyphen/>
        <w:t>16 timer efter den forrige dosis) var ca. 200 ng/ml,</w:t>
      </w:r>
    </w:p>
    <w:p w14:paraId="55FF868D" w14:textId="77777777" w:rsidR="00A76826" w:rsidRPr="004714C6" w:rsidRDefault="00A76826" w:rsidP="00FB1973">
      <w:pPr>
        <w:numPr>
          <w:ilvl w:val="0"/>
          <w:numId w:val="10"/>
        </w:numPr>
        <w:ind w:left="1276" w:hanging="425"/>
        <w:rPr>
          <w:sz w:val="24"/>
          <w:szCs w:val="24"/>
        </w:rPr>
      </w:pPr>
      <w:r w:rsidRPr="004714C6">
        <w:rPr>
          <w:sz w:val="24"/>
          <w:szCs w:val="24"/>
        </w:rPr>
        <w:t xml:space="preserve">en ECT ved </w:t>
      </w:r>
      <w:r w:rsidRPr="004714C6">
        <w:rPr>
          <w:i/>
          <w:iCs/>
          <w:sz w:val="24"/>
          <w:szCs w:val="24"/>
        </w:rPr>
        <w:t>trough</w:t>
      </w:r>
      <w:r w:rsidRPr="004714C6">
        <w:rPr>
          <w:sz w:val="24"/>
          <w:szCs w:val="24"/>
        </w:rPr>
        <w:t xml:space="preserve"> (10</w:t>
      </w:r>
      <w:r w:rsidRPr="004714C6">
        <w:rPr>
          <w:sz w:val="24"/>
          <w:szCs w:val="24"/>
        </w:rPr>
        <w:noBreakHyphen/>
        <w:t>16 timer efter den forrige dosis), forhøjet ca. 3 gange i forhold til den øvre normalgrænse, svarer til 90</w:t>
      </w:r>
      <w:r w:rsidRPr="004714C6">
        <w:rPr>
          <w:sz w:val="24"/>
          <w:szCs w:val="24"/>
        </w:rPr>
        <w:noBreakHyphen/>
        <w:t>percentilen for den observerede ECT-forlængelse på 103 sekunder,</w:t>
      </w:r>
    </w:p>
    <w:p w14:paraId="46D9A517" w14:textId="77777777" w:rsidR="00A76826" w:rsidRPr="004714C6" w:rsidRDefault="00A76826" w:rsidP="00FB1973">
      <w:pPr>
        <w:numPr>
          <w:ilvl w:val="0"/>
          <w:numId w:val="10"/>
        </w:numPr>
        <w:ind w:left="1276" w:hanging="425"/>
        <w:rPr>
          <w:sz w:val="24"/>
          <w:szCs w:val="24"/>
        </w:rPr>
      </w:pPr>
      <w:r w:rsidRPr="004714C6">
        <w:rPr>
          <w:sz w:val="24"/>
          <w:szCs w:val="24"/>
        </w:rPr>
        <w:t>en aPTT</w:t>
      </w:r>
      <w:r w:rsidRPr="004714C6">
        <w:rPr>
          <w:sz w:val="24"/>
          <w:szCs w:val="24"/>
        </w:rPr>
        <w:noBreakHyphen/>
        <w:t>ratio, der er større end 2 gange den øvre normalgrænse (aPTT</w:t>
      </w:r>
      <w:r w:rsidRPr="004714C6">
        <w:rPr>
          <w:sz w:val="24"/>
          <w:szCs w:val="24"/>
        </w:rPr>
        <w:noBreakHyphen/>
        <w:t xml:space="preserve">forlængelse på ca. 80 sekunder), ved </w:t>
      </w:r>
      <w:r w:rsidRPr="004714C6">
        <w:rPr>
          <w:i/>
          <w:iCs/>
          <w:sz w:val="24"/>
          <w:szCs w:val="24"/>
        </w:rPr>
        <w:t>trough</w:t>
      </w:r>
      <w:r w:rsidRPr="004714C6">
        <w:rPr>
          <w:sz w:val="24"/>
          <w:szCs w:val="24"/>
        </w:rPr>
        <w:t xml:space="preserve"> (10</w:t>
      </w:r>
      <w:r w:rsidRPr="004714C6">
        <w:rPr>
          <w:sz w:val="24"/>
          <w:szCs w:val="24"/>
        </w:rPr>
        <w:noBreakHyphen/>
        <w:t>16 timer efter den forrige dosis) svarer til 90</w:t>
      </w:r>
      <w:r w:rsidRPr="004714C6">
        <w:rPr>
          <w:sz w:val="24"/>
          <w:szCs w:val="24"/>
        </w:rPr>
        <w:noBreakHyphen/>
        <w:t>percentilen for observationerne.</w:t>
      </w:r>
    </w:p>
    <w:p w14:paraId="269F4357" w14:textId="77777777" w:rsidR="00A76826" w:rsidRPr="004714C6" w:rsidRDefault="00A76826" w:rsidP="00FB1973">
      <w:pPr>
        <w:ind w:left="851"/>
        <w:rPr>
          <w:sz w:val="24"/>
          <w:szCs w:val="24"/>
        </w:rPr>
      </w:pPr>
    </w:p>
    <w:p w14:paraId="46E72E3B" w14:textId="77777777" w:rsidR="00A76826" w:rsidRPr="004714C6" w:rsidRDefault="00A76826" w:rsidP="00FB1973">
      <w:pPr>
        <w:ind w:left="851"/>
        <w:rPr>
          <w:i/>
          <w:iCs/>
          <w:sz w:val="24"/>
          <w:szCs w:val="24"/>
        </w:rPr>
      </w:pPr>
      <w:r w:rsidRPr="004714C6">
        <w:rPr>
          <w:i/>
          <w:iCs/>
          <w:sz w:val="24"/>
          <w:szCs w:val="24"/>
        </w:rPr>
        <w:t>Behandling af DVT og LE samt forebyggelse af recidiverende DVT og LE hos voksne (DVT/LE)</w:t>
      </w:r>
    </w:p>
    <w:p w14:paraId="2DE56E2B" w14:textId="77777777" w:rsidR="00A76826" w:rsidRPr="004714C6" w:rsidRDefault="00A76826" w:rsidP="00FB1973">
      <w:pPr>
        <w:ind w:left="851"/>
        <w:rPr>
          <w:sz w:val="24"/>
          <w:szCs w:val="24"/>
        </w:rPr>
      </w:pPr>
    </w:p>
    <w:p w14:paraId="55C02E34" w14:textId="77777777" w:rsidR="00A76826" w:rsidRPr="004714C6" w:rsidRDefault="00A76826" w:rsidP="00FB1973">
      <w:pPr>
        <w:ind w:left="851"/>
        <w:rPr>
          <w:sz w:val="24"/>
          <w:szCs w:val="24"/>
        </w:rPr>
      </w:pPr>
      <w:r w:rsidRPr="004714C6">
        <w:rPr>
          <w:sz w:val="24"/>
          <w:szCs w:val="24"/>
        </w:rPr>
        <w:t>Hos patienter i behandling for DVT og LE med 150 mg dabigatranetexilat 2 gange dagligt var den geometriske gennemsnits</w:t>
      </w:r>
      <w:r w:rsidRPr="004714C6">
        <w:rPr>
          <w:sz w:val="24"/>
          <w:szCs w:val="24"/>
        </w:rPr>
        <w:noBreakHyphen/>
      </w:r>
      <w:r w:rsidRPr="004714C6">
        <w:rPr>
          <w:i/>
          <w:iCs/>
          <w:sz w:val="24"/>
          <w:szCs w:val="24"/>
        </w:rPr>
        <w:t>trough</w:t>
      </w:r>
      <w:r w:rsidRPr="004714C6">
        <w:rPr>
          <w:sz w:val="24"/>
          <w:szCs w:val="24"/>
        </w:rPr>
        <w:noBreakHyphen/>
        <w:t>koncentration, målt i løbet af 10</w:t>
      </w:r>
      <w:r w:rsidRPr="004714C6">
        <w:rPr>
          <w:sz w:val="24"/>
          <w:szCs w:val="24"/>
        </w:rPr>
        <w:noBreakHyphen/>
        <w:t>16 timer efter dosering, i slutningen af dosisintervallet (dvs. 12 timer efter aftendosis på 150 mg dabigatran), 59,7 ng/ml, med et interval på 38,6</w:t>
      </w:r>
      <w:r w:rsidRPr="004714C6">
        <w:rPr>
          <w:sz w:val="24"/>
          <w:szCs w:val="24"/>
        </w:rPr>
        <w:noBreakHyphen/>
        <w:t>94,5 ng/ml (25.</w:t>
      </w:r>
      <w:r w:rsidRPr="004714C6">
        <w:rPr>
          <w:sz w:val="24"/>
          <w:szCs w:val="24"/>
        </w:rPr>
        <w:noBreakHyphen/>
        <w:t>75. percentil). For behandling af DVT og LE med dabigatranetexilat 150 mg 2 gange dagligt gjaldt følgende:</w:t>
      </w:r>
    </w:p>
    <w:p w14:paraId="48B95EC7" w14:textId="77777777" w:rsidR="00A76826" w:rsidRPr="004714C6" w:rsidRDefault="00A76826" w:rsidP="00FB1973">
      <w:pPr>
        <w:numPr>
          <w:ilvl w:val="0"/>
          <w:numId w:val="10"/>
        </w:numPr>
        <w:ind w:left="1276" w:hanging="425"/>
        <w:rPr>
          <w:sz w:val="24"/>
          <w:szCs w:val="24"/>
        </w:rPr>
      </w:pPr>
      <w:r w:rsidRPr="004714C6">
        <w:rPr>
          <w:sz w:val="24"/>
          <w:szCs w:val="24"/>
        </w:rPr>
        <w:t>90</w:t>
      </w:r>
      <w:r w:rsidRPr="004714C6">
        <w:rPr>
          <w:sz w:val="24"/>
          <w:szCs w:val="24"/>
        </w:rPr>
        <w:noBreakHyphen/>
        <w:t>percentilen for dabigatran</w:t>
      </w:r>
      <w:r w:rsidRPr="004714C6">
        <w:rPr>
          <w:sz w:val="24"/>
          <w:szCs w:val="24"/>
        </w:rPr>
        <w:noBreakHyphen/>
        <w:t>plasmakoncentrationerne ved trough (10</w:t>
      </w:r>
      <w:r w:rsidRPr="004714C6">
        <w:rPr>
          <w:sz w:val="24"/>
          <w:szCs w:val="24"/>
        </w:rPr>
        <w:noBreakHyphen/>
        <w:t>16 timer efter den forrige dosis) var ca. 146 ng/ml,</w:t>
      </w:r>
    </w:p>
    <w:p w14:paraId="0A75C2A0" w14:textId="77777777" w:rsidR="00A76826" w:rsidRPr="004714C6" w:rsidRDefault="00A76826" w:rsidP="00FB1973">
      <w:pPr>
        <w:numPr>
          <w:ilvl w:val="0"/>
          <w:numId w:val="10"/>
        </w:numPr>
        <w:ind w:left="1276" w:hanging="425"/>
        <w:rPr>
          <w:sz w:val="24"/>
          <w:szCs w:val="24"/>
        </w:rPr>
      </w:pPr>
      <w:r w:rsidRPr="004714C6">
        <w:rPr>
          <w:sz w:val="24"/>
          <w:szCs w:val="24"/>
        </w:rPr>
        <w:t>en ECT ved trough (10</w:t>
      </w:r>
      <w:r w:rsidRPr="004714C6">
        <w:rPr>
          <w:sz w:val="24"/>
          <w:szCs w:val="24"/>
        </w:rPr>
        <w:noBreakHyphen/>
        <w:t>16 timer efter den forrige dosis) forhøjet ca. 2,3 gange i forhold til baseline, svarer til 90</w:t>
      </w:r>
      <w:r w:rsidRPr="004714C6">
        <w:rPr>
          <w:sz w:val="24"/>
          <w:szCs w:val="24"/>
        </w:rPr>
        <w:noBreakHyphen/>
        <w:t>percentilen for den observerede ECT</w:t>
      </w:r>
      <w:r w:rsidRPr="004714C6">
        <w:rPr>
          <w:sz w:val="24"/>
          <w:szCs w:val="24"/>
        </w:rPr>
        <w:noBreakHyphen/>
        <w:t>forlængelse på 74 sekunder,</w:t>
      </w:r>
    </w:p>
    <w:p w14:paraId="62B82ECB" w14:textId="77777777" w:rsidR="00A76826" w:rsidRPr="004714C6" w:rsidRDefault="00A76826" w:rsidP="00FB1973">
      <w:pPr>
        <w:numPr>
          <w:ilvl w:val="0"/>
          <w:numId w:val="10"/>
        </w:numPr>
        <w:ind w:left="1276" w:hanging="425"/>
        <w:rPr>
          <w:sz w:val="24"/>
          <w:szCs w:val="24"/>
        </w:rPr>
      </w:pPr>
      <w:r w:rsidRPr="004714C6">
        <w:rPr>
          <w:sz w:val="24"/>
          <w:szCs w:val="24"/>
        </w:rPr>
        <w:t>90</w:t>
      </w:r>
      <w:r w:rsidRPr="004714C6">
        <w:rPr>
          <w:sz w:val="24"/>
          <w:szCs w:val="24"/>
        </w:rPr>
        <w:noBreakHyphen/>
        <w:t>percentilen for aPTT ved trough (10</w:t>
      </w:r>
      <w:r w:rsidRPr="004714C6">
        <w:rPr>
          <w:sz w:val="24"/>
          <w:szCs w:val="24"/>
        </w:rPr>
        <w:noBreakHyphen/>
        <w:t>16 timer efter den forrige dosis) var 62 sekunder, hvilket er 1,8 gange længere end ved baseline.</w:t>
      </w:r>
    </w:p>
    <w:p w14:paraId="4EE80434" w14:textId="77777777" w:rsidR="00A76826" w:rsidRPr="004714C6" w:rsidRDefault="00A76826" w:rsidP="00FB1973">
      <w:pPr>
        <w:ind w:left="851"/>
        <w:rPr>
          <w:sz w:val="24"/>
          <w:szCs w:val="24"/>
        </w:rPr>
      </w:pPr>
    </w:p>
    <w:p w14:paraId="35F60C4B" w14:textId="77777777" w:rsidR="00A76826" w:rsidRPr="004714C6" w:rsidRDefault="00A76826" w:rsidP="00FB1973">
      <w:pPr>
        <w:ind w:left="851"/>
        <w:rPr>
          <w:sz w:val="24"/>
          <w:szCs w:val="24"/>
        </w:rPr>
      </w:pPr>
      <w:r w:rsidRPr="004714C6">
        <w:rPr>
          <w:sz w:val="24"/>
          <w:szCs w:val="24"/>
        </w:rPr>
        <w:t>Der foreligger ingen farmakokinetiske data for patienter i forebyggende behandling for recidiverende DVT og LE med 150 mg dabigatranetexilat 2 gange dagligt.</w:t>
      </w:r>
    </w:p>
    <w:p w14:paraId="3B426513" w14:textId="77777777" w:rsidR="00A76826" w:rsidRPr="004714C6" w:rsidRDefault="00A76826" w:rsidP="00FB1973">
      <w:pPr>
        <w:ind w:left="851"/>
        <w:rPr>
          <w:sz w:val="24"/>
          <w:szCs w:val="24"/>
        </w:rPr>
      </w:pPr>
    </w:p>
    <w:p w14:paraId="7D2C5CD8" w14:textId="77777777" w:rsidR="00A76826" w:rsidRPr="004714C6" w:rsidRDefault="00A76826" w:rsidP="00FB1973">
      <w:pPr>
        <w:ind w:left="851"/>
        <w:rPr>
          <w:sz w:val="24"/>
          <w:szCs w:val="24"/>
          <w:u w:val="single"/>
        </w:rPr>
      </w:pPr>
      <w:r w:rsidRPr="004714C6">
        <w:rPr>
          <w:sz w:val="24"/>
          <w:szCs w:val="24"/>
          <w:u w:val="single"/>
        </w:rPr>
        <w:t>Klinisk virkning og sikkerhed</w:t>
      </w:r>
    </w:p>
    <w:p w14:paraId="29F2CD98" w14:textId="77777777" w:rsidR="00A76826" w:rsidRPr="004714C6" w:rsidRDefault="00A76826" w:rsidP="00FB1973">
      <w:pPr>
        <w:ind w:left="851"/>
        <w:rPr>
          <w:sz w:val="24"/>
          <w:szCs w:val="24"/>
        </w:rPr>
      </w:pPr>
    </w:p>
    <w:p w14:paraId="62C61543" w14:textId="77777777" w:rsidR="00A76826" w:rsidRPr="004714C6" w:rsidRDefault="00A76826" w:rsidP="00FB1973">
      <w:pPr>
        <w:ind w:left="851"/>
        <w:rPr>
          <w:i/>
          <w:iCs/>
          <w:sz w:val="24"/>
          <w:szCs w:val="24"/>
        </w:rPr>
      </w:pPr>
      <w:r w:rsidRPr="004714C6">
        <w:rPr>
          <w:i/>
          <w:iCs/>
          <w:sz w:val="24"/>
          <w:szCs w:val="24"/>
        </w:rPr>
        <w:t>Etnisk oprindelse</w:t>
      </w:r>
    </w:p>
    <w:p w14:paraId="642A8B65" w14:textId="77777777" w:rsidR="00A76826" w:rsidRPr="004714C6" w:rsidRDefault="00A76826" w:rsidP="00FB1973">
      <w:pPr>
        <w:ind w:left="851"/>
        <w:rPr>
          <w:sz w:val="24"/>
          <w:szCs w:val="24"/>
        </w:rPr>
      </w:pPr>
    </w:p>
    <w:p w14:paraId="4F329CA6" w14:textId="77777777" w:rsidR="00A76826" w:rsidRPr="004714C6" w:rsidRDefault="00A76826" w:rsidP="00FB1973">
      <w:pPr>
        <w:ind w:left="851"/>
        <w:rPr>
          <w:sz w:val="24"/>
          <w:szCs w:val="24"/>
        </w:rPr>
      </w:pPr>
      <w:r w:rsidRPr="004714C6">
        <w:rPr>
          <w:sz w:val="24"/>
          <w:szCs w:val="24"/>
        </w:rPr>
        <w:t>Der er ikke observeret klinisk relevante etniske forskelle mellem kaukasiske, afro</w:t>
      </w:r>
      <w:r w:rsidRPr="004714C6">
        <w:rPr>
          <w:sz w:val="24"/>
          <w:szCs w:val="24"/>
        </w:rPr>
        <w:noBreakHyphen/>
        <w:t>amerikanske, latin</w:t>
      </w:r>
      <w:r w:rsidRPr="004714C6">
        <w:rPr>
          <w:sz w:val="24"/>
          <w:szCs w:val="24"/>
        </w:rPr>
        <w:noBreakHyphen/>
        <w:t>amerikanske, japanske eller kinesiske patienter.</w:t>
      </w:r>
    </w:p>
    <w:p w14:paraId="63B068EA" w14:textId="77777777" w:rsidR="00A76826" w:rsidRPr="004714C6" w:rsidRDefault="00A76826" w:rsidP="00FB1973">
      <w:pPr>
        <w:ind w:left="851"/>
        <w:rPr>
          <w:sz w:val="24"/>
          <w:szCs w:val="24"/>
        </w:rPr>
      </w:pPr>
    </w:p>
    <w:p w14:paraId="01B5C655" w14:textId="77777777" w:rsidR="00A76826" w:rsidRPr="004714C6" w:rsidRDefault="00A76826" w:rsidP="00FB1973">
      <w:pPr>
        <w:ind w:left="851"/>
        <w:rPr>
          <w:i/>
          <w:iCs/>
          <w:sz w:val="24"/>
          <w:szCs w:val="24"/>
        </w:rPr>
      </w:pPr>
      <w:r w:rsidRPr="004714C6">
        <w:rPr>
          <w:i/>
          <w:iCs/>
          <w:sz w:val="24"/>
          <w:szCs w:val="24"/>
        </w:rPr>
        <w:t>Kliniske studier med forebyggelse af VTE ved større led</w:t>
      </w:r>
      <w:r w:rsidRPr="004714C6">
        <w:rPr>
          <w:i/>
          <w:iCs/>
          <w:sz w:val="24"/>
          <w:szCs w:val="24"/>
        </w:rPr>
        <w:noBreakHyphen/>
        <w:t>alloplastikoperationer</w:t>
      </w:r>
    </w:p>
    <w:p w14:paraId="35865EE1" w14:textId="77777777" w:rsidR="00A76826" w:rsidRPr="004714C6" w:rsidRDefault="00A76826" w:rsidP="00FB1973">
      <w:pPr>
        <w:ind w:left="851"/>
        <w:rPr>
          <w:sz w:val="24"/>
          <w:szCs w:val="24"/>
        </w:rPr>
      </w:pPr>
    </w:p>
    <w:p w14:paraId="7EF2B9D3" w14:textId="77777777" w:rsidR="00A76826" w:rsidRPr="004714C6" w:rsidRDefault="00A76826" w:rsidP="00FB1973">
      <w:pPr>
        <w:ind w:left="851"/>
        <w:rPr>
          <w:sz w:val="24"/>
          <w:szCs w:val="24"/>
        </w:rPr>
      </w:pPr>
      <w:r w:rsidRPr="004714C6">
        <w:rPr>
          <w:sz w:val="24"/>
          <w:szCs w:val="24"/>
        </w:rPr>
        <w:t>I 2 store randomiserede, dobbeltblinde, dosisbekræftende studier med parallelgrupper, hvor patienterne gennemgik en større elektiv, ortopædkirurgisk operation (en med total knæalloplastik og en med total hoftealloplastik), blev de randomiseret til behandling med dabigatranetexilat eller enoxaparin. Dabigatranetexilat blev givet i en dosis på 75 mg eller 110 mg 1</w:t>
      </w:r>
      <w:r w:rsidRPr="004714C6">
        <w:rPr>
          <w:sz w:val="24"/>
          <w:szCs w:val="24"/>
        </w:rPr>
        <w:noBreakHyphen/>
        <w:t>4 timer efter afsluttet operation. Dette blev efterfulgt af 150 mg eller 220 mg én gang dagligt, forudsat at hæmostasen var sikret. Enoxaparin blev givet i en dosis på 40 mg dagen før operationen og dagligt derefter. I RE-MODEL (knæalloplastik) var behandlingstiden 6</w:t>
      </w:r>
      <w:r w:rsidRPr="004714C6">
        <w:rPr>
          <w:sz w:val="24"/>
          <w:szCs w:val="24"/>
        </w:rPr>
        <w:noBreakHyphen/>
        <w:t>10 dage og i RE-NOVATE (hoftealloplastik) 28</w:t>
      </w:r>
      <w:r w:rsidRPr="004714C6">
        <w:rPr>
          <w:sz w:val="24"/>
          <w:szCs w:val="24"/>
        </w:rPr>
        <w:noBreakHyphen/>
        <w:t>35 dage. I alt blev 2.076 patienter (knæ) og 3.494 (hofte) behandlet.</w:t>
      </w:r>
    </w:p>
    <w:p w14:paraId="40CFCD90" w14:textId="77777777" w:rsidR="00A76826" w:rsidRPr="004714C6" w:rsidRDefault="00A76826" w:rsidP="00FB1973">
      <w:pPr>
        <w:ind w:left="851"/>
        <w:rPr>
          <w:sz w:val="24"/>
          <w:szCs w:val="24"/>
        </w:rPr>
      </w:pPr>
    </w:p>
    <w:p w14:paraId="7F0DD52A" w14:textId="77777777" w:rsidR="00A76826" w:rsidRPr="004714C6" w:rsidRDefault="00A76826" w:rsidP="00FB1973">
      <w:pPr>
        <w:ind w:left="851"/>
        <w:rPr>
          <w:sz w:val="24"/>
          <w:szCs w:val="24"/>
        </w:rPr>
      </w:pPr>
      <w:r w:rsidRPr="004714C6">
        <w:rPr>
          <w:sz w:val="24"/>
          <w:szCs w:val="24"/>
        </w:rPr>
        <w:t>Det primære endepunkt for begge studier var den samlede forekomst af VTE (inklusive LE, proksimal og distal DVT, hvad enten VTE var symptomatisk eller asymptomatisk (påvist ved rutine</w:t>
      </w:r>
      <w:r w:rsidRPr="004714C6">
        <w:rPr>
          <w:sz w:val="24"/>
          <w:szCs w:val="24"/>
        </w:rPr>
        <w:noBreakHyphen/>
        <w:t>flebografi)) samt alle dødsfald uanset årsag. Et sekundært endepunkt, som betragtes med større klinisk relevans, var kombinationen af alvorlig VTE (inklusive LE og proksimal DVT påvist ved rutine</w:t>
      </w:r>
      <w:r w:rsidRPr="004714C6">
        <w:rPr>
          <w:sz w:val="24"/>
          <w:szCs w:val="24"/>
        </w:rPr>
        <w:noBreakHyphen/>
        <w:t>flebografi, hvad enten VTE var symptomatisk eller asymptomatisk) og VTE-relateret død. Resultaterne fra begge studier viste, at den antitrombotiske effekt af 220 mg og 150 mg dabigatranetexilat ved total VTE og død uanset årsag statistisk set var non</w:t>
      </w:r>
      <w:r w:rsidRPr="004714C6">
        <w:rPr>
          <w:sz w:val="24"/>
          <w:szCs w:val="24"/>
        </w:rPr>
        <w:noBreakHyphen/>
        <w:t>inferior i forhold til enoxaparin. Ved 150 mg dabigatran var punktestimatet for alvorlig VTE og VTE-relateret død en anelse ringere end for enoxaparin (tabel 19). Ved en dosis på 220 mg dabigatran var punktestimatet for alvorlig VTE og VTE</w:t>
      </w:r>
      <w:r w:rsidRPr="004714C6">
        <w:rPr>
          <w:sz w:val="24"/>
          <w:szCs w:val="24"/>
        </w:rPr>
        <w:noBreakHyphen/>
        <w:t>relateret død en anelse bedre end for enoxaparin (tabel 19).</w:t>
      </w:r>
    </w:p>
    <w:p w14:paraId="50B7B3E1" w14:textId="77777777" w:rsidR="00A76826" w:rsidRPr="004714C6" w:rsidRDefault="00A76826" w:rsidP="00FB1973">
      <w:pPr>
        <w:ind w:left="851"/>
        <w:rPr>
          <w:sz w:val="24"/>
          <w:szCs w:val="24"/>
        </w:rPr>
      </w:pPr>
    </w:p>
    <w:p w14:paraId="327C8FE3" w14:textId="77777777" w:rsidR="00A76826" w:rsidRPr="004714C6" w:rsidRDefault="00A76826" w:rsidP="00FB1973">
      <w:pPr>
        <w:ind w:left="851"/>
        <w:rPr>
          <w:sz w:val="24"/>
          <w:szCs w:val="24"/>
        </w:rPr>
      </w:pPr>
      <w:r w:rsidRPr="004714C6">
        <w:rPr>
          <w:sz w:val="24"/>
          <w:szCs w:val="24"/>
        </w:rPr>
        <w:t>I de kliniske studier havde patientpopulationen en gennemsnitsalder på &gt; 65 år.</w:t>
      </w:r>
    </w:p>
    <w:p w14:paraId="6FA8C670" w14:textId="77777777" w:rsidR="00A76826" w:rsidRPr="004714C6" w:rsidRDefault="00A76826" w:rsidP="00FB1973">
      <w:pPr>
        <w:ind w:left="851"/>
        <w:rPr>
          <w:sz w:val="24"/>
          <w:szCs w:val="24"/>
        </w:rPr>
      </w:pPr>
    </w:p>
    <w:p w14:paraId="38D1A1C3" w14:textId="77777777" w:rsidR="00A76826" w:rsidRPr="004714C6" w:rsidRDefault="00A76826" w:rsidP="00FB1973">
      <w:pPr>
        <w:ind w:left="851"/>
        <w:rPr>
          <w:sz w:val="24"/>
          <w:szCs w:val="24"/>
        </w:rPr>
      </w:pPr>
      <w:r w:rsidRPr="004714C6">
        <w:rPr>
          <w:sz w:val="24"/>
          <w:szCs w:val="24"/>
        </w:rPr>
        <w:t>Der var ingen forskelle mellem mænd og kvinder i de kliniske fase III</w:t>
      </w:r>
      <w:r w:rsidRPr="004714C6">
        <w:rPr>
          <w:sz w:val="24"/>
          <w:szCs w:val="24"/>
        </w:rPr>
        <w:noBreakHyphen/>
        <w:t>studier med hensyn til virkning og sikkerhed.</w:t>
      </w:r>
    </w:p>
    <w:p w14:paraId="5D377F0B" w14:textId="77777777" w:rsidR="00A76826" w:rsidRPr="004714C6" w:rsidRDefault="00A76826" w:rsidP="00FB1973">
      <w:pPr>
        <w:ind w:left="851"/>
        <w:rPr>
          <w:sz w:val="24"/>
          <w:szCs w:val="24"/>
        </w:rPr>
      </w:pPr>
    </w:p>
    <w:p w14:paraId="3511B498" w14:textId="77777777" w:rsidR="00A76826" w:rsidRPr="004714C6" w:rsidRDefault="00A76826" w:rsidP="00FB1973">
      <w:pPr>
        <w:ind w:left="851"/>
        <w:rPr>
          <w:sz w:val="24"/>
          <w:szCs w:val="24"/>
        </w:rPr>
      </w:pPr>
      <w:r w:rsidRPr="004714C6">
        <w:rPr>
          <w:sz w:val="24"/>
          <w:szCs w:val="24"/>
        </w:rPr>
        <w:t>I den undersøgte patientpopulation i RE-MODEL og RE-NOVATE (5.539 behandlede patienter) havde 51 % samtidig hypertension, 9 % samtidig diabetes, 9 % samtidig koronararterie</w:t>
      </w:r>
      <w:r w:rsidRPr="004714C6">
        <w:rPr>
          <w:sz w:val="24"/>
          <w:szCs w:val="24"/>
        </w:rPr>
        <w:noBreakHyphen/>
        <w:t>sygdom og 20 % havde samtidig dårlig venefunktion. Ingen af disse sygdomme havde indflydelse på dabigatrans effekt på forebyggelse af VTE eller blødningshyppigheder.</w:t>
      </w:r>
    </w:p>
    <w:p w14:paraId="0349FEC5" w14:textId="77777777" w:rsidR="00A76826" w:rsidRPr="004714C6" w:rsidRDefault="00A76826" w:rsidP="00FB1973">
      <w:pPr>
        <w:ind w:left="851"/>
        <w:rPr>
          <w:sz w:val="24"/>
          <w:szCs w:val="24"/>
        </w:rPr>
      </w:pPr>
    </w:p>
    <w:p w14:paraId="48BF6CFC" w14:textId="77777777" w:rsidR="00A76826" w:rsidRPr="004714C6" w:rsidRDefault="00A76826" w:rsidP="00FB1973">
      <w:pPr>
        <w:ind w:left="851"/>
        <w:rPr>
          <w:sz w:val="24"/>
          <w:szCs w:val="24"/>
        </w:rPr>
      </w:pPr>
      <w:r w:rsidRPr="004714C6">
        <w:rPr>
          <w:sz w:val="24"/>
          <w:szCs w:val="24"/>
        </w:rPr>
        <w:t>De data, der vedrører alvorlig VTE og VTE</w:t>
      </w:r>
      <w:r w:rsidRPr="004714C6">
        <w:rPr>
          <w:sz w:val="24"/>
          <w:szCs w:val="24"/>
        </w:rPr>
        <w:noBreakHyphen/>
        <w:t>relateret mortalitet er sammenlignelige mht. det primære endepunkt for virkning. Dette fremgår af tabel 19.</w:t>
      </w:r>
    </w:p>
    <w:p w14:paraId="72C4D9D6" w14:textId="77777777" w:rsidR="00A76826" w:rsidRPr="004714C6" w:rsidRDefault="00A76826" w:rsidP="00FB1973">
      <w:pPr>
        <w:ind w:left="851"/>
        <w:rPr>
          <w:sz w:val="24"/>
          <w:szCs w:val="24"/>
        </w:rPr>
      </w:pPr>
    </w:p>
    <w:p w14:paraId="04E5D2DE" w14:textId="77777777" w:rsidR="00A76826" w:rsidRPr="004714C6" w:rsidRDefault="00A76826" w:rsidP="00FB1973">
      <w:pPr>
        <w:ind w:left="851"/>
        <w:rPr>
          <w:sz w:val="24"/>
          <w:szCs w:val="24"/>
        </w:rPr>
      </w:pPr>
      <w:r w:rsidRPr="004714C6">
        <w:rPr>
          <w:sz w:val="24"/>
          <w:szCs w:val="24"/>
        </w:rPr>
        <w:t>De data, der vedrører endepunktet total VTE og mortalitet uanset årsag, fremgår af tabel 20.</w:t>
      </w:r>
    </w:p>
    <w:p w14:paraId="7FD74651" w14:textId="77777777" w:rsidR="00A76826" w:rsidRPr="004714C6" w:rsidRDefault="00A76826" w:rsidP="00FB1973">
      <w:pPr>
        <w:ind w:left="851"/>
        <w:rPr>
          <w:sz w:val="24"/>
          <w:szCs w:val="24"/>
        </w:rPr>
      </w:pPr>
      <w:r w:rsidRPr="004714C6">
        <w:rPr>
          <w:sz w:val="24"/>
          <w:szCs w:val="24"/>
        </w:rPr>
        <w:t>De data, der vedrører endepunktet alvorlige blødninger, fremgår af tabel 21.</w:t>
      </w:r>
    </w:p>
    <w:p w14:paraId="00B1900F" w14:textId="77777777" w:rsidR="00A76826" w:rsidRPr="004714C6" w:rsidRDefault="00A76826" w:rsidP="00FB1973">
      <w:pPr>
        <w:ind w:left="851"/>
        <w:rPr>
          <w:sz w:val="24"/>
          <w:szCs w:val="24"/>
        </w:rPr>
      </w:pPr>
    </w:p>
    <w:p w14:paraId="36F04207"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19:</w:t>
      </w:r>
      <w:r w:rsidRPr="004714C6">
        <w:rPr>
          <w:b/>
          <w:bCs/>
          <w:sz w:val="24"/>
          <w:szCs w:val="24"/>
        </w:rPr>
        <w:tab/>
        <w:t>Analyse af alvorlig VTE og VTE-relateret mortalitet i behandlingsperioden i de ortopædkirurgiske studier RE-MODEL og RE-NOVATE</w:t>
      </w:r>
    </w:p>
    <w:p w14:paraId="3A21D153"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829"/>
        <w:gridCol w:w="2265"/>
        <w:gridCol w:w="2266"/>
        <w:gridCol w:w="2268"/>
      </w:tblGrid>
      <w:tr w:rsidR="00A76826" w:rsidRPr="004714C6" w14:paraId="2C2EAF75"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3E6826BB" w14:textId="77777777" w:rsidR="00A76826" w:rsidRPr="004714C6" w:rsidRDefault="00A76826" w:rsidP="00FB1973">
            <w:pPr>
              <w:widowControl w:val="0"/>
              <w:autoSpaceDE w:val="0"/>
              <w:autoSpaceDN w:val="0"/>
              <w:adjustRightInd w:val="0"/>
              <w:ind w:left="64" w:right="-20"/>
              <w:rPr>
                <w:b/>
                <w:bCs/>
                <w:kern w:val="2"/>
                <w:sz w:val="24"/>
                <w:szCs w:val="24"/>
                <w14:ligatures w14:val="standardContextual"/>
              </w:rPr>
            </w:pPr>
            <w:r w:rsidRPr="004714C6">
              <w:rPr>
                <w:b/>
                <w:bCs/>
                <w:kern w:val="2"/>
                <w:sz w:val="24"/>
                <w:szCs w:val="24"/>
                <w14:ligatures w14:val="standardContextual"/>
              </w:rPr>
              <w:t>Studier</w:t>
            </w:r>
          </w:p>
        </w:tc>
        <w:tc>
          <w:tcPr>
            <w:tcW w:w="1176" w:type="pct"/>
            <w:tcBorders>
              <w:top w:val="single" w:sz="4" w:space="0" w:color="000000"/>
              <w:left w:val="single" w:sz="4" w:space="0" w:color="000000"/>
              <w:bottom w:val="single" w:sz="4" w:space="0" w:color="000000"/>
              <w:right w:val="single" w:sz="4" w:space="0" w:color="000000"/>
            </w:tcBorders>
            <w:hideMark/>
          </w:tcPr>
          <w:p w14:paraId="3CA2BC02" w14:textId="77777777" w:rsidR="00A76826" w:rsidRPr="004714C6" w:rsidRDefault="00A76826" w:rsidP="00FB1973">
            <w:pPr>
              <w:widowControl w:val="0"/>
              <w:autoSpaceDE w:val="0"/>
              <w:autoSpaceDN w:val="0"/>
              <w:adjustRightInd w:val="0"/>
              <w:ind w:left="64" w:right="-20"/>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220 mg én gang dagligt</w:t>
            </w:r>
          </w:p>
        </w:tc>
        <w:tc>
          <w:tcPr>
            <w:tcW w:w="1177" w:type="pct"/>
            <w:tcBorders>
              <w:top w:val="single" w:sz="4" w:space="0" w:color="000000"/>
              <w:left w:val="single" w:sz="4" w:space="0" w:color="000000"/>
              <w:bottom w:val="single" w:sz="4" w:space="0" w:color="000000"/>
              <w:right w:val="single" w:sz="4" w:space="0" w:color="000000"/>
            </w:tcBorders>
            <w:hideMark/>
          </w:tcPr>
          <w:p w14:paraId="4A137E08" w14:textId="77777777" w:rsidR="00A76826" w:rsidRPr="004714C6" w:rsidRDefault="00A76826" w:rsidP="00FB1973">
            <w:pPr>
              <w:widowControl w:val="0"/>
              <w:autoSpaceDE w:val="0"/>
              <w:autoSpaceDN w:val="0"/>
              <w:adjustRightInd w:val="0"/>
              <w:ind w:left="64" w:right="-20"/>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150 mg én gang dagligt</w:t>
            </w:r>
          </w:p>
        </w:tc>
        <w:tc>
          <w:tcPr>
            <w:tcW w:w="1177" w:type="pct"/>
            <w:tcBorders>
              <w:top w:val="single" w:sz="4" w:space="0" w:color="000000"/>
              <w:left w:val="single" w:sz="4" w:space="0" w:color="000000"/>
              <w:bottom w:val="single" w:sz="4" w:space="0" w:color="000000"/>
              <w:right w:val="single" w:sz="4" w:space="0" w:color="000000"/>
            </w:tcBorders>
            <w:hideMark/>
          </w:tcPr>
          <w:p w14:paraId="68D6C28F" w14:textId="77777777" w:rsidR="00A76826" w:rsidRPr="004714C6" w:rsidRDefault="00A76826" w:rsidP="00FB1973">
            <w:pPr>
              <w:widowControl w:val="0"/>
              <w:autoSpaceDE w:val="0"/>
              <w:autoSpaceDN w:val="0"/>
              <w:adjustRightInd w:val="0"/>
              <w:ind w:left="64" w:right="-20"/>
              <w:rPr>
                <w:b/>
                <w:bCs/>
                <w:kern w:val="2"/>
                <w:sz w:val="24"/>
                <w:szCs w:val="24"/>
                <w14:ligatures w14:val="standardContextual"/>
              </w:rPr>
            </w:pPr>
            <w:r w:rsidRPr="004714C6">
              <w:rPr>
                <w:b/>
                <w:bCs/>
                <w:kern w:val="2"/>
                <w:sz w:val="24"/>
                <w:szCs w:val="24"/>
                <w14:ligatures w14:val="standardContextual"/>
              </w:rPr>
              <w:t>Enoxaparin</w:t>
            </w:r>
          </w:p>
          <w:p w14:paraId="11F2D6FF" w14:textId="77777777" w:rsidR="00A76826" w:rsidRPr="004714C6" w:rsidRDefault="00A76826" w:rsidP="00FB1973">
            <w:pPr>
              <w:widowControl w:val="0"/>
              <w:autoSpaceDE w:val="0"/>
              <w:autoSpaceDN w:val="0"/>
              <w:adjustRightInd w:val="0"/>
              <w:ind w:left="64" w:right="-20"/>
              <w:rPr>
                <w:b/>
                <w:bCs/>
                <w:kern w:val="2"/>
                <w:sz w:val="24"/>
                <w:szCs w:val="24"/>
                <w14:ligatures w14:val="standardContextual"/>
              </w:rPr>
            </w:pPr>
            <w:r w:rsidRPr="004714C6">
              <w:rPr>
                <w:b/>
                <w:bCs/>
                <w:kern w:val="2"/>
                <w:sz w:val="24"/>
                <w:szCs w:val="24"/>
                <w14:ligatures w14:val="standardContextual"/>
              </w:rPr>
              <w:t>40 </w:t>
            </w:r>
            <w:r w:rsidRPr="004714C6">
              <w:rPr>
                <w:b/>
                <w:bCs/>
                <w:spacing w:val="-1"/>
                <w:kern w:val="2"/>
                <w:sz w:val="24"/>
                <w:szCs w:val="24"/>
                <w14:ligatures w14:val="standardContextual"/>
              </w:rPr>
              <w:t>mg</w:t>
            </w:r>
          </w:p>
        </w:tc>
      </w:tr>
      <w:tr w:rsidR="00A76826" w:rsidRPr="004714C6" w14:paraId="2E2B7DEE" w14:textId="77777777" w:rsidTr="00FB197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160DE589"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spacing w:val="-4"/>
                <w:kern w:val="2"/>
                <w:sz w:val="24"/>
                <w:szCs w:val="24"/>
                <w14:ligatures w14:val="standardContextual"/>
              </w:rPr>
              <w:t xml:space="preserve">RE-NOVATE </w:t>
            </w:r>
            <w:r w:rsidRPr="004714C6">
              <w:rPr>
                <w:kern w:val="2"/>
                <w:sz w:val="24"/>
                <w:szCs w:val="24"/>
                <w14:ligatures w14:val="standardContextual"/>
              </w:rPr>
              <w:t>(hofte)</w:t>
            </w:r>
          </w:p>
        </w:tc>
      </w:tr>
      <w:tr w:rsidR="00A76826" w:rsidRPr="004714C6" w14:paraId="4F251D40"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558AE009"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N</w:t>
            </w:r>
          </w:p>
        </w:tc>
        <w:tc>
          <w:tcPr>
            <w:tcW w:w="1176" w:type="pct"/>
            <w:tcBorders>
              <w:top w:val="single" w:sz="4" w:space="0" w:color="000000"/>
              <w:left w:val="single" w:sz="4" w:space="0" w:color="000000"/>
              <w:bottom w:val="single" w:sz="4" w:space="0" w:color="000000"/>
              <w:right w:val="single" w:sz="4" w:space="0" w:color="000000"/>
            </w:tcBorders>
            <w:hideMark/>
          </w:tcPr>
          <w:p w14:paraId="4BC1AB89" w14:textId="77777777" w:rsidR="00A76826" w:rsidRPr="004714C6" w:rsidRDefault="00A76826" w:rsidP="00FB1973">
            <w:pPr>
              <w:widowControl w:val="0"/>
              <w:autoSpaceDE w:val="0"/>
              <w:autoSpaceDN w:val="0"/>
              <w:adjustRightInd w:val="0"/>
              <w:ind w:left="858" w:right="840"/>
              <w:rPr>
                <w:kern w:val="2"/>
                <w:sz w:val="24"/>
                <w:szCs w:val="24"/>
                <w14:ligatures w14:val="standardContextual"/>
              </w:rPr>
            </w:pPr>
            <w:r w:rsidRPr="004714C6">
              <w:rPr>
                <w:kern w:val="2"/>
                <w:sz w:val="24"/>
                <w:szCs w:val="24"/>
                <w14:ligatures w14:val="standardContextual"/>
              </w:rPr>
              <w:t>909</w:t>
            </w:r>
          </w:p>
        </w:tc>
        <w:tc>
          <w:tcPr>
            <w:tcW w:w="1177" w:type="pct"/>
            <w:tcBorders>
              <w:top w:val="single" w:sz="4" w:space="0" w:color="000000"/>
              <w:left w:val="single" w:sz="4" w:space="0" w:color="000000"/>
              <w:bottom w:val="single" w:sz="4" w:space="0" w:color="000000"/>
              <w:right w:val="single" w:sz="4" w:space="0" w:color="000000"/>
            </w:tcBorders>
            <w:hideMark/>
          </w:tcPr>
          <w:p w14:paraId="5FDE80AF" w14:textId="77777777" w:rsidR="00A76826" w:rsidRPr="004714C6" w:rsidRDefault="00A76826" w:rsidP="00FB1973">
            <w:pPr>
              <w:widowControl w:val="0"/>
              <w:autoSpaceDE w:val="0"/>
              <w:autoSpaceDN w:val="0"/>
              <w:adjustRightInd w:val="0"/>
              <w:ind w:left="858" w:right="842"/>
              <w:rPr>
                <w:kern w:val="2"/>
                <w:sz w:val="24"/>
                <w:szCs w:val="24"/>
                <w14:ligatures w14:val="standardContextual"/>
              </w:rPr>
            </w:pPr>
            <w:r w:rsidRPr="004714C6">
              <w:rPr>
                <w:kern w:val="2"/>
                <w:sz w:val="24"/>
                <w:szCs w:val="24"/>
                <w14:ligatures w14:val="standardContextual"/>
              </w:rPr>
              <w:t>888</w:t>
            </w:r>
          </w:p>
        </w:tc>
        <w:tc>
          <w:tcPr>
            <w:tcW w:w="1177" w:type="pct"/>
            <w:tcBorders>
              <w:top w:val="single" w:sz="4" w:space="0" w:color="000000"/>
              <w:left w:val="single" w:sz="4" w:space="0" w:color="000000"/>
              <w:bottom w:val="single" w:sz="4" w:space="0" w:color="000000"/>
              <w:right w:val="single" w:sz="4" w:space="0" w:color="000000"/>
            </w:tcBorders>
            <w:hideMark/>
          </w:tcPr>
          <w:p w14:paraId="75FB9236" w14:textId="77777777" w:rsidR="00A76826" w:rsidRPr="004714C6" w:rsidRDefault="00A76826" w:rsidP="00FB1973">
            <w:pPr>
              <w:widowControl w:val="0"/>
              <w:autoSpaceDE w:val="0"/>
              <w:autoSpaceDN w:val="0"/>
              <w:adjustRightInd w:val="0"/>
              <w:ind w:left="858" w:right="842"/>
              <w:rPr>
                <w:kern w:val="2"/>
                <w:sz w:val="24"/>
                <w:szCs w:val="24"/>
                <w14:ligatures w14:val="standardContextual"/>
              </w:rPr>
            </w:pPr>
            <w:r w:rsidRPr="004714C6">
              <w:rPr>
                <w:kern w:val="2"/>
                <w:sz w:val="24"/>
                <w:szCs w:val="24"/>
                <w14:ligatures w14:val="standardContextual"/>
              </w:rPr>
              <w:t>917</w:t>
            </w:r>
          </w:p>
        </w:tc>
      </w:tr>
      <w:tr w:rsidR="00A76826" w:rsidRPr="004714C6" w14:paraId="033519BD"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5DDFEF00"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Forekomst (%)</w:t>
            </w:r>
          </w:p>
        </w:tc>
        <w:tc>
          <w:tcPr>
            <w:tcW w:w="1176" w:type="pct"/>
            <w:tcBorders>
              <w:top w:val="single" w:sz="4" w:space="0" w:color="000000"/>
              <w:left w:val="single" w:sz="4" w:space="0" w:color="000000"/>
              <w:bottom w:val="single" w:sz="4" w:space="0" w:color="000000"/>
              <w:right w:val="single" w:sz="4" w:space="0" w:color="000000"/>
            </w:tcBorders>
            <w:hideMark/>
          </w:tcPr>
          <w:p w14:paraId="72E0A92A" w14:textId="77777777" w:rsidR="00A76826" w:rsidRPr="004714C6" w:rsidRDefault="00A76826" w:rsidP="00FB1973">
            <w:pPr>
              <w:widowControl w:val="0"/>
              <w:autoSpaceDE w:val="0"/>
              <w:autoSpaceDN w:val="0"/>
              <w:adjustRightInd w:val="0"/>
              <w:ind w:left="675" w:right="656"/>
              <w:rPr>
                <w:kern w:val="2"/>
                <w:sz w:val="24"/>
                <w:szCs w:val="24"/>
                <w14:ligatures w14:val="standardContextual"/>
              </w:rPr>
            </w:pPr>
            <w:r w:rsidRPr="004714C6">
              <w:rPr>
                <w:kern w:val="2"/>
                <w:sz w:val="24"/>
                <w:szCs w:val="24"/>
                <w14:ligatures w14:val="standardContextual"/>
              </w:rPr>
              <w:t>28 (3,1)</w:t>
            </w:r>
          </w:p>
        </w:tc>
        <w:tc>
          <w:tcPr>
            <w:tcW w:w="1177" w:type="pct"/>
            <w:tcBorders>
              <w:top w:val="single" w:sz="4" w:space="0" w:color="000000"/>
              <w:left w:val="single" w:sz="4" w:space="0" w:color="000000"/>
              <w:bottom w:val="single" w:sz="4" w:space="0" w:color="000000"/>
              <w:right w:val="single" w:sz="4" w:space="0" w:color="000000"/>
            </w:tcBorders>
            <w:hideMark/>
          </w:tcPr>
          <w:p w14:paraId="2FC6AC1E" w14:textId="77777777" w:rsidR="00A76826" w:rsidRPr="004714C6" w:rsidRDefault="00A76826" w:rsidP="00FB1973">
            <w:pPr>
              <w:widowControl w:val="0"/>
              <w:autoSpaceDE w:val="0"/>
              <w:autoSpaceDN w:val="0"/>
              <w:adjustRightInd w:val="0"/>
              <w:ind w:left="675" w:right="659"/>
              <w:rPr>
                <w:kern w:val="2"/>
                <w:sz w:val="24"/>
                <w:szCs w:val="24"/>
                <w14:ligatures w14:val="standardContextual"/>
              </w:rPr>
            </w:pPr>
            <w:r w:rsidRPr="004714C6">
              <w:rPr>
                <w:kern w:val="2"/>
                <w:sz w:val="24"/>
                <w:szCs w:val="24"/>
                <w14:ligatures w14:val="standardContextual"/>
              </w:rPr>
              <w:t>38 (4,3)</w:t>
            </w:r>
          </w:p>
        </w:tc>
        <w:tc>
          <w:tcPr>
            <w:tcW w:w="1177" w:type="pct"/>
            <w:tcBorders>
              <w:top w:val="single" w:sz="4" w:space="0" w:color="000000"/>
              <w:left w:val="single" w:sz="4" w:space="0" w:color="000000"/>
              <w:bottom w:val="single" w:sz="4" w:space="0" w:color="000000"/>
              <w:right w:val="single" w:sz="4" w:space="0" w:color="000000"/>
            </w:tcBorders>
            <w:hideMark/>
          </w:tcPr>
          <w:p w14:paraId="73C5B81D" w14:textId="77777777" w:rsidR="00A76826" w:rsidRPr="004714C6" w:rsidRDefault="00A76826" w:rsidP="00FB1973">
            <w:pPr>
              <w:widowControl w:val="0"/>
              <w:autoSpaceDE w:val="0"/>
              <w:autoSpaceDN w:val="0"/>
              <w:adjustRightInd w:val="0"/>
              <w:ind w:left="675" w:right="659"/>
              <w:rPr>
                <w:kern w:val="2"/>
                <w:sz w:val="24"/>
                <w:szCs w:val="24"/>
                <w14:ligatures w14:val="standardContextual"/>
              </w:rPr>
            </w:pPr>
            <w:r w:rsidRPr="004714C6">
              <w:rPr>
                <w:kern w:val="2"/>
                <w:sz w:val="24"/>
                <w:szCs w:val="24"/>
                <w14:ligatures w14:val="standardContextual"/>
              </w:rPr>
              <w:t>36 (3,9)</w:t>
            </w:r>
          </w:p>
        </w:tc>
      </w:tr>
      <w:tr w:rsidR="00A76826" w:rsidRPr="004714C6" w14:paraId="6EA9A022"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27291C09"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Risikoratio sammenlignet med enoxaparin</w:t>
            </w:r>
          </w:p>
        </w:tc>
        <w:tc>
          <w:tcPr>
            <w:tcW w:w="1176" w:type="pct"/>
            <w:tcBorders>
              <w:top w:val="single" w:sz="4" w:space="0" w:color="000000"/>
              <w:left w:val="single" w:sz="4" w:space="0" w:color="000000"/>
              <w:bottom w:val="single" w:sz="4" w:space="0" w:color="000000"/>
              <w:right w:val="single" w:sz="4" w:space="0" w:color="000000"/>
            </w:tcBorders>
            <w:hideMark/>
          </w:tcPr>
          <w:p w14:paraId="6F255DD6" w14:textId="77777777" w:rsidR="00A76826" w:rsidRPr="004714C6" w:rsidRDefault="00A76826" w:rsidP="00FB1973">
            <w:pPr>
              <w:widowControl w:val="0"/>
              <w:autoSpaceDE w:val="0"/>
              <w:autoSpaceDN w:val="0"/>
              <w:adjustRightInd w:val="0"/>
              <w:ind w:left="831" w:right="811"/>
              <w:rPr>
                <w:kern w:val="2"/>
                <w:sz w:val="24"/>
                <w:szCs w:val="24"/>
                <w14:ligatures w14:val="standardContextual"/>
              </w:rPr>
            </w:pPr>
            <w:r w:rsidRPr="004714C6">
              <w:rPr>
                <w:kern w:val="2"/>
                <w:sz w:val="24"/>
                <w:szCs w:val="24"/>
                <w14:ligatures w14:val="standardContextual"/>
              </w:rPr>
              <w:t>0,78</w:t>
            </w:r>
          </w:p>
        </w:tc>
        <w:tc>
          <w:tcPr>
            <w:tcW w:w="1177" w:type="pct"/>
            <w:tcBorders>
              <w:top w:val="single" w:sz="4" w:space="0" w:color="000000"/>
              <w:left w:val="single" w:sz="4" w:space="0" w:color="000000"/>
              <w:bottom w:val="single" w:sz="4" w:space="0" w:color="000000"/>
              <w:right w:val="single" w:sz="4" w:space="0" w:color="000000"/>
            </w:tcBorders>
            <w:hideMark/>
          </w:tcPr>
          <w:p w14:paraId="078DC00D" w14:textId="77777777" w:rsidR="00A76826" w:rsidRPr="004714C6" w:rsidRDefault="00A76826" w:rsidP="00FB1973">
            <w:pPr>
              <w:widowControl w:val="0"/>
              <w:autoSpaceDE w:val="0"/>
              <w:autoSpaceDN w:val="0"/>
              <w:adjustRightInd w:val="0"/>
              <w:ind w:left="831" w:right="814"/>
              <w:rPr>
                <w:kern w:val="2"/>
                <w:sz w:val="24"/>
                <w:szCs w:val="24"/>
                <w14:ligatures w14:val="standardContextual"/>
              </w:rPr>
            </w:pPr>
            <w:r w:rsidRPr="004714C6">
              <w:rPr>
                <w:kern w:val="2"/>
                <w:sz w:val="24"/>
                <w:szCs w:val="24"/>
                <w14:ligatures w14:val="standardContextual"/>
              </w:rPr>
              <w:t>1,09</w:t>
            </w:r>
          </w:p>
        </w:tc>
        <w:tc>
          <w:tcPr>
            <w:tcW w:w="1177" w:type="pct"/>
            <w:tcBorders>
              <w:top w:val="single" w:sz="4" w:space="0" w:color="000000"/>
              <w:left w:val="single" w:sz="4" w:space="0" w:color="000000"/>
              <w:bottom w:val="single" w:sz="4" w:space="0" w:color="000000"/>
              <w:right w:val="single" w:sz="4" w:space="0" w:color="000000"/>
            </w:tcBorders>
          </w:tcPr>
          <w:p w14:paraId="640D5603" w14:textId="77777777" w:rsidR="00A76826" w:rsidRPr="004714C6" w:rsidRDefault="00A76826" w:rsidP="00FB1973">
            <w:pPr>
              <w:widowControl w:val="0"/>
              <w:autoSpaceDE w:val="0"/>
              <w:autoSpaceDN w:val="0"/>
              <w:adjustRightInd w:val="0"/>
              <w:rPr>
                <w:kern w:val="2"/>
                <w:sz w:val="24"/>
                <w:szCs w:val="24"/>
                <w14:ligatures w14:val="standardContextual"/>
              </w:rPr>
            </w:pPr>
          </w:p>
        </w:tc>
      </w:tr>
      <w:tr w:rsidR="00A76826" w:rsidRPr="004714C6" w14:paraId="28BB0BF5"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7C711988"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95 % konfidensinterval</w:t>
            </w:r>
          </w:p>
        </w:tc>
        <w:tc>
          <w:tcPr>
            <w:tcW w:w="1176" w:type="pct"/>
            <w:tcBorders>
              <w:top w:val="single" w:sz="4" w:space="0" w:color="000000"/>
              <w:left w:val="single" w:sz="4" w:space="0" w:color="000000"/>
              <w:bottom w:val="single" w:sz="4" w:space="0" w:color="000000"/>
              <w:right w:val="single" w:sz="4" w:space="0" w:color="000000"/>
            </w:tcBorders>
            <w:hideMark/>
          </w:tcPr>
          <w:p w14:paraId="19ED66E0" w14:textId="77777777" w:rsidR="00A76826" w:rsidRPr="004714C6" w:rsidRDefault="00A76826" w:rsidP="00FB1973">
            <w:pPr>
              <w:widowControl w:val="0"/>
              <w:autoSpaceDE w:val="0"/>
              <w:autoSpaceDN w:val="0"/>
              <w:adjustRightInd w:val="0"/>
              <w:ind w:left="621" w:right="-20"/>
              <w:rPr>
                <w:kern w:val="2"/>
                <w:sz w:val="24"/>
                <w:szCs w:val="24"/>
                <w14:ligatures w14:val="standardContextual"/>
              </w:rPr>
            </w:pPr>
            <w:r w:rsidRPr="004714C6">
              <w:rPr>
                <w:kern w:val="2"/>
                <w:sz w:val="24"/>
                <w:szCs w:val="24"/>
                <w14:ligatures w14:val="standardContextual"/>
              </w:rPr>
              <w:t>0,48; 1,27</w:t>
            </w:r>
          </w:p>
        </w:tc>
        <w:tc>
          <w:tcPr>
            <w:tcW w:w="1177" w:type="pct"/>
            <w:tcBorders>
              <w:top w:val="single" w:sz="4" w:space="0" w:color="000000"/>
              <w:left w:val="single" w:sz="4" w:space="0" w:color="000000"/>
              <w:bottom w:val="single" w:sz="4" w:space="0" w:color="000000"/>
              <w:right w:val="single" w:sz="4" w:space="0" w:color="000000"/>
            </w:tcBorders>
            <w:hideMark/>
          </w:tcPr>
          <w:p w14:paraId="43906B94" w14:textId="77777777" w:rsidR="00A76826" w:rsidRPr="004714C6" w:rsidRDefault="00A76826" w:rsidP="00FB1973">
            <w:pPr>
              <w:widowControl w:val="0"/>
              <w:autoSpaceDE w:val="0"/>
              <w:autoSpaceDN w:val="0"/>
              <w:adjustRightInd w:val="0"/>
              <w:ind w:left="621" w:right="-20"/>
              <w:rPr>
                <w:kern w:val="2"/>
                <w:sz w:val="24"/>
                <w:szCs w:val="24"/>
                <w14:ligatures w14:val="standardContextual"/>
              </w:rPr>
            </w:pPr>
            <w:r w:rsidRPr="004714C6">
              <w:rPr>
                <w:kern w:val="2"/>
                <w:sz w:val="24"/>
                <w:szCs w:val="24"/>
                <w14:ligatures w14:val="standardContextual"/>
              </w:rPr>
              <w:t>0,70; 1,70</w:t>
            </w:r>
          </w:p>
        </w:tc>
        <w:tc>
          <w:tcPr>
            <w:tcW w:w="1177" w:type="pct"/>
            <w:tcBorders>
              <w:top w:val="single" w:sz="4" w:space="0" w:color="000000"/>
              <w:left w:val="single" w:sz="4" w:space="0" w:color="000000"/>
              <w:bottom w:val="single" w:sz="4" w:space="0" w:color="000000"/>
              <w:right w:val="single" w:sz="4" w:space="0" w:color="000000"/>
            </w:tcBorders>
          </w:tcPr>
          <w:p w14:paraId="167BDC31" w14:textId="77777777" w:rsidR="00A76826" w:rsidRPr="004714C6" w:rsidRDefault="00A76826" w:rsidP="00FB1973">
            <w:pPr>
              <w:widowControl w:val="0"/>
              <w:autoSpaceDE w:val="0"/>
              <w:autoSpaceDN w:val="0"/>
              <w:adjustRightInd w:val="0"/>
              <w:rPr>
                <w:kern w:val="2"/>
                <w:sz w:val="24"/>
                <w:szCs w:val="24"/>
                <w14:ligatures w14:val="standardContextual"/>
              </w:rPr>
            </w:pPr>
          </w:p>
        </w:tc>
      </w:tr>
      <w:tr w:rsidR="00A76826" w:rsidRPr="004714C6" w14:paraId="1E134872" w14:textId="77777777" w:rsidTr="00FB197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AC68CC6"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spacing w:val="-4"/>
                <w:kern w:val="2"/>
                <w:sz w:val="24"/>
                <w:szCs w:val="24"/>
                <w14:ligatures w14:val="standardContextual"/>
              </w:rPr>
              <w:t xml:space="preserve">RE-MODEL </w:t>
            </w:r>
            <w:r w:rsidRPr="004714C6">
              <w:rPr>
                <w:kern w:val="2"/>
                <w:sz w:val="24"/>
                <w:szCs w:val="24"/>
                <w14:ligatures w14:val="standardContextual"/>
              </w:rPr>
              <w:t>(knæ)</w:t>
            </w:r>
          </w:p>
        </w:tc>
      </w:tr>
      <w:tr w:rsidR="00A76826" w:rsidRPr="004714C6" w14:paraId="53018DBF"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64CEFFF3"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N</w:t>
            </w:r>
          </w:p>
        </w:tc>
        <w:tc>
          <w:tcPr>
            <w:tcW w:w="1176" w:type="pct"/>
            <w:tcBorders>
              <w:top w:val="single" w:sz="4" w:space="0" w:color="000000"/>
              <w:left w:val="single" w:sz="4" w:space="0" w:color="000000"/>
              <w:bottom w:val="single" w:sz="4" w:space="0" w:color="000000"/>
              <w:right w:val="single" w:sz="4" w:space="0" w:color="000000"/>
            </w:tcBorders>
            <w:hideMark/>
          </w:tcPr>
          <w:p w14:paraId="743DF281" w14:textId="77777777" w:rsidR="00A76826" w:rsidRPr="004714C6" w:rsidRDefault="00A76826" w:rsidP="00FB1973">
            <w:pPr>
              <w:widowControl w:val="0"/>
              <w:autoSpaceDE w:val="0"/>
              <w:autoSpaceDN w:val="0"/>
              <w:adjustRightInd w:val="0"/>
              <w:ind w:left="858" w:right="840"/>
              <w:rPr>
                <w:kern w:val="2"/>
                <w:sz w:val="24"/>
                <w:szCs w:val="24"/>
                <w14:ligatures w14:val="standardContextual"/>
              </w:rPr>
            </w:pPr>
            <w:r w:rsidRPr="004714C6">
              <w:rPr>
                <w:kern w:val="2"/>
                <w:sz w:val="24"/>
                <w:szCs w:val="24"/>
                <w14:ligatures w14:val="standardContextual"/>
              </w:rPr>
              <w:t>506</w:t>
            </w:r>
          </w:p>
        </w:tc>
        <w:tc>
          <w:tcPr>
            <w:tcW w:w="1177" w:type="pct"/>
            <w:tcBorders>
              <w:top w:val="single" w:sz="4" w:space="0" w:color="000000"/>
              <w:left w:val="single" w:sz="4" w:space="0" w:color="000000"/>
              <w:bottom w:val="single" w:sz="4" w:space="0" w:color="000000"/>
              <w:right w:val="single" w:sz="4" w:space="0" w:color="000000"/>
            </w:tcBorders>
            <w:hideMark/>
          </w:tcPr>
          <w:p w14:paraId="078D27EB" w14:textId="77777777" w:rsidR="00A76826" w:rsidRPr="004714C6" w:rsidRDefault="00A76826" w:rsidP="00FB1973">
            <w:pPr>
              <w:widowControl w:val="0"/>
              <w:autoSpaceDE w:val="0"/>
              <w:autoSpaceDN w:val="0"/>
              <w:adjustRightInd w:val="0"/>
              <w:ind w:left="858" w:right="842"/>
              <w:rPr>
                <w:kern w:val="2"/>
                <w:sz w:val="24"/>
                <w:szCs w:val="24"/>
                <w14:ligatures w14:val="standardContextual"/>
              </w:rPr>
            </w:pPr>
            <w:r w:rsidRPr="004714C6">
              <w:rPr>
                <w:kern w:val="2"/>
                <w:sz w:val="24"/>
                <w:szCs w:val="24"/>
                <w14:ligatures w14:val="standardContextual"/>
              </w:rPr>
              <w:t>527</w:t>
            </w:r>
          </w:p>
        </w:tc>
        <w:tc>
          <w:tcPr>
            <w:tcW w:w="1177" w:type="pct"/>
            <w:tcBorders>
              <w:top w:val="single" w:sz="4" w:space="0" w:color="000000"/>
              <w:left w:val="single" w:sz="4" w:space="0" w:color="000000"/>
              <w:bottom w:val="single" w:sz="4" w:space="0" w:color="000000"/>
              <w:right w:val="single" w:sz="4" w:space="0" w:color="000000"/>
            </w:tcBorders>
            <w:hideMark/>
          </w:tcPr>
          <w:p w14:paraId="4D4108F5" w14:textId="77777777" w:rsidR="00A76826" w:rsidRPr="004714C6" w:rsidRDefault="00A76826" w:rsidP="00FB1973">
            <w:pPr>
              <w:widowControl w:val="0"/>
              <w:autoSpaceDE w:val="0"/>
              <w:autoSpaceDN w:val="0"/>
              <w:adjustRightInd w:val="0"/>
              <w:ind w:left="858" w:right="842"/>
              <w:rPr>
                <w:kern w:val="2"/>
                <w:sz w:val="24"/>
                <w:szCs w:val="24"/>
                <w14:ligatures w14:val="standardContextual"/>
              </w:rPr>
            </w:pPr>
            <w:r w:rsidRPr="004714C6">
              <w:rPr>
                <w:kern w:val="2"/>
                <w:sz w:val="24"/>
                <w:szCs w:val="24"/>
                <w14:ligatures w14:val="standardContextual"/>
              </w:rPr>
              <w:t>511</w:t>
            </w:r>
          </w:p>
        </w:tc>
      </w:tr>
      <w:tr w:rsidR="00A76826" w:rsidRPr="004714C6" w14:paraId="2CBA6006"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7DA7C40E"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Forekomst (%)</w:t>
            </w:r>
          </w:p>
        </w:tc>
        <w:tc>
          <w:tcPr>
            <w:tcW w:w="1176" w:type="pct"/>
            <w:tcBorders>
              <w:top w:val="single" w:sz="4" w:space="0" w:color="000000"/>
              <w:left w:val="single" w:sz="4" w:space="0" w:color="000000"/>
              <w:bottom w:val="single" w:sz="4" w:space="0" w:color="000000"/>
              <w:right w:val="single" w:sz="4" w:space="0" w:color="000000"/>
            </w:tcBorders>
            <w:hideMark/>
          </w:tcPr>
          <w:p w14:paraId="28194DF7" w14:textId="77777777" w:rsidR="00A76826" w:rsidRPr="004714C6" w:rsidRDefault="00A76826" w:rsidP="00FB1973">
            <w:pPr>
              <w:widowControl w:val="0"/>
              <w:autoSpaceDE w:val="0"/>
              <w:autoSpaceDN w:val="0"/>
              <w:adjustRightInd w:val="0"/>
              <w:ind w:left="675" w:right="656"/>
              <w:rPr>
                <w:kern w:val="2"/>
                <w:sz w:val="24"/>
                <w:szCs w:val="24"/>
                <w14:ligatures w14:val="standardContextual"/>
              </w:rPr>
            </w:pPr>
            <w:r w:rsidRPr="004714C6">
              <w:rPr>
                <w:kern w:val="2"/>
                <w:sz w:val="24"/>
                <w:szCs w:val="24"/>
                <w14:ligatures w14:val="standardContextual"/>
              </w:rPr>
              <w:t>13 (2,6)</w:t>
            </w:r>
          </w:p>
        </w:tc>
        <w:tc>
          <w:tcPr>
            <w:tcW w:w="1177" w:type="pct"/>
            <w:tcBorders>
              <w:top w:val="single" w:sz="4" w:space="0" w:color="000000"/>
              <w:left w:val="single" w:sz="4" w:space="0" w:color="000000"/>
              <w:bottom w:val="single" w:sz="4" w:space="0" w:color="000000"/>
              <w:right w:val="single" w:sz="4" w:space="0" w:color="000000"/>
            </w:tcBorders>
            <w:hideMark/>
          </w:tcPr>
          <w:p w14:paraId="6DD0C063" w14:textId="77777777" w:rsidR="00A76826" w:rsidRPr="004714C6" w:rsidRDefault="00A76826" w:rsidP="00FB1973">
            <w:pPr>
              <w:widowControl w:val="0"/>
              <w:autoSpaceDE w:val="0"/>
              <w:autoSpaceDN w:val="0"/>
              <w:adjustRightInd w:val="0"/>
              <w:ind w:left="675" w:right="659"/>
              <w:rPr>
                <w:kern w:val="2"/>
                <w:sz w:val="24"/>
                <w:szCs w:val="24"/>
                <w14:ligatures w14:val="standardContextual"/>
              </w:rPr>
            </w:pPr>
            <w:r w:rsidRPr="004714C6">
              <w:rPr>
                <w:kern w:val="2"/>
                <w:sz w:val="24"/>
                <w:szCs w:val="24"/>
                <w14:ligatures w14:val="standardContextual"/>
              </w:rPr>
              <w:t>20 (3,8)</w:t>
            </w:r>
          </w:p>
        </w:tc>
        <w:tc>
          <w:tcPr>
            <w:tcW w:w="1177" w:type="pct"/>
            <w:tcBorders>
              <w:top w:val="single" w:sz="4" w:space="0" w:color="000000"/>
              <w:left w:val="single" w:sz="4" w:space="0" w:color="000000"/>
              <w:bottom w:val="single" w:sz="4" w:space="0" w:color="000000"/>
              <w:right w:val="single" w:sz="4" w:space="0" w:color="000000"/>
            </w:tcBorders>
            <w:hideMark/>
          </w:tcPr>
          <w:p w14:paraId="7C7196FD" w14:textId="77777777" w:rsidR="00A76826" w:rsidRPr="004714C6" w:rsidRDefault="00A76826" w:rsidP="00FB1973">
            <w:pPr>
              <w:widowControl w:val="0"/>
              <w:autoSpaceDE w:val="0"/>
              <w:autoSpaceDN w:val="0"/>
              <w:adjustRightInd w:val="0"/>
              <w:ind w:left="675" w:right="659"/>
              <w:rPr>
                <w:kern w:val="2"/>
                <w:sz w:val="24"/>
                <w:szCs w:val="24"/>
                <w14:ligatures w14:val="standardContextual"/>
              </w:rPr>
            </w:pPr>
            <w:r w:rsidRPr="004714C6">
              <w:rPr>
                <w:kern w:val="2"/>
                <w:sz w:val="24"/>
                <w:szCs w:val="24"/>
                <w14:ligatures w14:val="standardContextual"/>
              </w:rPr>
              <w:t>18 (3,5)</w:t>
            </w:r>
          </w:p>
        </w:tc>
      </w:tr>
      <w:tr w:rsidR="00A76826" w:rsidRPr="004714C6" w14:paraId="46964153"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05028041"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Risikoratio sammenlignet med enoxaparin</w:t>
            </w:r>
          </w:p>
        </w:tc>
        <w:tc>
          <w:tcPr>
            <w:tcW w:w="1176" w:type="pct"/>
            <w:tcBorders>
              <w:top w:val="single" w:sz="4" w:space="0" w:color="000000"/>
              <w:left w:val="single" w:sz="4" w:space="0" w:color="000000"/>
              <w:bottom w:val="single" w:sz="4" w:space="0" w:color="000000"/>
              <w:right w:val="single" w:sz="4" w:space="0" w:color="000000"/>
            </w:tcBorders>
            <w:hideMark/>
          </w:tcPr>
          <w:p w14:paraId="4BFEE852" w14:textId="77777777" w:rsidR="00A76826" w:rsidRPr="004714C6" w:rsidRDefault="00A76826" w:rsidP="00FB1973">
            <w:pPr>
              <w:widowControl w:val="0"/>
              <w:autoSpaceDE w:val="0"/>
              <w:autoSpaceDN w:val="0"/>
              <w:adjustRightInd w:val="0"/>
              <w:ind w:left="831" w:right="811"/>
              <w:rPr>
                <w:kern w:val="2"/>
                <w:sz w:val="24"/>
                <w:szCs w:val="24"/>
                <w14:ligatures w14:val="standardContextual"/>
              </w:rPr>
            </w:pPr>
            <w:r w:rsidRPr="004714C6">
              <w:rPr>
                <w:kern w:val="2"/>
                <w:sz w:val="24"/>
                <w:szCs w:val="24"/>
                <w14:ligatures w14:val="standardContextual"/>
              </w:rPr>
              <w:t>0,73</w:t>
            </w:r>
          </w:p>
        </w:tc>
        <w:tc>
          <w:tcPr>
            <w:tcW w:w="1177" w:type="pct"/>
            <w:tcBorders>
              <w:top w:val="single" w:sz="4" w:space="0" w:color="000000"/>
              <w:left w:val="single" w:sz="4" w:space="0" w:color="000000"/>
              <w:bottom w:val="single" w:sz="4" w:space="0" w:color="000000"/>
              <w:right w:val="single" w:sz="4" w:space="0" w:color="000000"/>
            </w:tcBorders>
            <w:hideMark/>
          </w:tcPr>
          <w:p w14:paraId="0D238029" w14:textId="77777777" w:rsidR="00A76826" w:rsidRPr="004714C6" w:rsidRDefault="00A76826" w:rsidP="00FB1973">
            <w:pPr>
              <w:widowControl w:val="0"/>
              <w:autoSpaceDE w:val="0"/>
              <w:autoSpaceDN w:val="0"/>
              <w:adjustRightInd w:val="0"/>
              <w:ind w:left="831" w:right="814"/>
              <w:rPr>
                <w:kern w:val="2"/>
                <w:sz w:val="24"/>
                <w:szCs w:val="24"/>
                <w14:ligatures w14:val="standardContextual"/>
              </w:rPr>
            </w:pPr>
            <w:r w:rsidRPr="004714C6">
              <w:rPr>
                <w:kern w:val="2"/>
                <w:sz w:val="24"/>
                <w:szCs w:val="24"/>
                <w14:ligatures w14:val="standardContextual"/>
              </w:rPr>
              <w:t>1,08</w:t>
            </w:r>
          </w:p>
        </w:tc>
        <w:tc>
          <w:tcPr>
            <w:tcW w:w="1177" w:type="pct"/>
            <w:tcBorders>
              <w:top w:val="single" w:sz="4" w:space="0" w:color="000000"/>
              <w:left w:val="single" w:sz="4" w:space="0" w:color="000000"/>
              <w:bottom w:val="single" w:sz="4" w:space="0" w:color="000000"/>
              <w:right w:val="single" w:sz="4" w:space="0" w:color="000000"/>
            </w:tcBorders>
          </w:tcPr>
          <w:p w14:paraId="25F86DBA" w14:textId="77777777" w:rsidR="00A76826" w:rsidRPr="004714C6" w:rsidRDefault="00A76826" w:rsidP="00FB1973">
            <w:pPr>
              <w:widowControl w:val="0"/>
              <w:autoSpaceDE w:val="0"/>
              <w:autoSpaceDN w:val="0"/>
              <w:adjustRightInd w:val="0"/>
              <w:rPr>
                <w:kern w:val="2"/>
                <w:sz w:val="24"/>
                <w:szCs w:val="24"/>
                <w14:ligatures w14:val="standardContextual"/>
              </w:rPr>
            </w:pPr>
          </w:p>
        </w:tc>
      </w:tr>
      <w:tr w:rsidR="00A76826" w:rsidRPr="004714C6" w14:paraId="4C55C58B"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0D54F54E"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95 % konfidensinterval</w:t>
            </w:r>
          </w:p>
        </w:tc>
        <w:tc>
          <w:tcPr>
            <w:tcW w:w="1176" w:type="pct"/>
            <w:tcBorders>
              <w:top w:val="single" w:sz="4" w:space="0" w:color="000000"/>
              <w:left w:val="single" w:sz="4" w:space="0" w:color="000000"/>
              <w:bottom w:val="single" w:sz="4" w:space="0" w:color="000000"/>
              <w:right w:val="single" w:sz="4" w:space="0" w:color="000000"/>
            </w:tcBorders>
            <w:hideMark/>
          </w:tcPr>
          <w:p w14:paraId="0F53773F" w14:textId="77777777" w:rsidR="00A76826" w:rsidRPr="004714C6" w:rsidRDefault="00A76826" w:rsidP="00FB1973">
            <w:pPr>
              <w:widowControl w:val="0"/>
              <w:autoSpaceDE w:val="0"/>
              <w:autoSpaceDN w:val="0"/>
              <w:adjustRightInd w:val="0"/>
              <w:ind w:left="621" w:right="-20"/>
              <w:rPr>
                <w:kern w:val="2"/>
                <w:sz w:val="24"/>
                <w:szCs w:val="24"/>
                <w14:ligatures w14:val="standardContextual"/>
              </w:rPr>
            </w:pPr>
            <w:r w:rsidRPr="004714C6">
              <w:rPr>
                <w:kern w:val="2"/>
                <w:sz w:val="24"/>
                <w:szCs w:val="24"/>
                <w14:ligatures w14:val="standardContextual"/>
              </w:rPr>
              <w:t>0,36; 1,47</w:t>
            </w:r>
          </w:p>
        </w:tc>
        <w:tc>
          <w:tcPr>
            <w:tcW w:w="1177" w:type="pct"/>
            <w:tcBorders>
              <w:top w:val="single" w:sz="4" w:space="0" w:color="000000"/>
              <w:left w:val="single" w:sz="4" w:space="0" w:color="000000"/>
              <w:bottom w:val="single" w:sz="4" w:space="0" w:color="000000"/>
              <w:right w:val="single" w:sz="4" w:space="0" w:color="000000"/>
            </w:tcBorders>
            <w:hideMark/>
          </w:tcPr>
          <w:p w14:paraId="1012716C" w14:textId="77777777" w:rsidR="00A76826" w:rsidRPr="004714C6" w:rsidRDefault="00A76826" w:rsidP="00FB1973">
            <w:pPr>
              <w:widowControl w:val="0"/>
              <w:autoSpaceDE w:val="0"/>
              <w:autoSpaceDN w:val="0"/>
              <w:adjustRightInd w:val="0"/>
              <w:ind w:left="621" w:right="-20"/>
              <w:rPr>
                <w:kern w:val="2"/>
                <w:sz w:val="24"/>
                <w:szCs w:val="24"/>
                <w14:ligatures w14:val="standardContextual"/>
              </w:rPr>
            </w:pPr>
            <w:r w:rsidRPr="004714C6">
              <w:rPr>
                <w:kern w:val="2"/>
                <w:sz w:val="24"/>
                <w:szCs w:val="24"/>
                <w14:ligatures w14:val="standardContextual"/>
              </w:rPr>
              <w:t>0,58; 2,01</w:t>
            </w:r>
          </w:p>
        </w:tc>
        <w:tc>
          <w:tcPr>
            <w:tcW w:w="1177" w:type="pct"/>
            <w:tcBorders>
              <w:top w:val="single" w:sz="4" w:space="0" w:color="000000"/>
              <w:left w:val="single" w:sz="4" w:space="0" w:color="000000"/>
              <w:bottom w:val="single" w:sz="4" w:space="0" w:color="000000"/>
              <w:right w:val="single" w:sz="4" w:space="0" w:color="000000"/>
            </w:tcBorders>
          </w:tcPr>
          <w:p w14:paraId="2E96054A" w14:textId="77777777" w:rsidR="00A76826" w:rsidRPr="004714C6" w:rsidRDefault="00A76826" w:rsidP="00FB1973">
            <w:pPr>
              <w:widowControl w:val="0"/>
              <w:autoSpaceDE w:val="0"/>
              <w:autoSpaceDN w:val="0"/>
              <w:adjustRightInd w:val="0"/>
              <w:rPr>
                <w:kern w:val="2"/>
                <w:sz w:val="24"/>
                <w:szCs w:val="24"/>
                <w14:ligatures w14:val="standardContextual"/>
              </w:rPr>
            </w:pPr>
          </w:p>
        </w:tc>
      </w:tr>
    </w:tbl>
    <w:p w14:paraId="11884149" w14:textId="77777777" w:rsidR="00A76826" w:rsidRPr="004714C6" w:rsidRDefault="00A76826" w:rsidP="00A76826">
      <w:pPr>
        <w:widowControl w:val="0"/>
        <w:autoSpaceDE w:val="0"/>
        <w:autoSpaceDN w:val="0"/>
        <w:adjustRightInd w:val="0"/>
        <w:spacing w:line="246" w:lineRule="exact"/>
        <w:ind w:right="-20"/>
        <w:rPr>
          <w:sz w:val="24"/>
          <w:szCs w:val="24"/>
        </w:rPr>
      </w:pPr>
    </w:p>
    <w:p w14:paraId="333D548D"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20:</w:t>
      </w:r>
      <w:r w:rsidRPr="004714C6">
        <w:rPr>
          <w:b/>
          <w:bCs/>
          <w:sz w:val="24"/>
          <w:szCs w:val="24"/>
        </w:rPr>
        <w:tab/>
        <w:t>Analyse af total VTE og dødsfald uanset årsag under behandlingsperioden i de ortopædkirurgiske studier RE-MODEL og RE-NOVATE</w:t>
      </w:r>
    </w:p>
    <w:p w14:paraId="52E1868E"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821"/>
        <w:gridCol w:w="2259"/>
        <w:gridCol w:w="2255"/>
        <w:gridCol w:w="2293"/>
      </w:tblGrid>
      <w:tr w:rsidR="00A76826" w:rsidRPr="004714C6" w14:paraId="52808041" w14:textId="77777777" w:rsidTr="00FB1973">
        <w:trPr>
          <w:trHeight w:val="20"/>
        </w:trPr>
        <w:tc>
          <w:tcPr>
            <w:tcW w:w="1465" w:type="pct"/>
            <w:tcBorders>
              <w:top w:val="single" w:sz="4" w:space="0" w:color="000000"/>
              <w:left w:val="single" w:sz="4" w:space="0" w:color="000000"/>
              <w:bottom w:val="single" w:sz="4" w:space="0" w:color="000000"/>
              <w:right w:val="single" w:sz="4" w:space="0" w:color="000000"/>
            </w:tcBorders>
            <w:hideMark/>
          </w:tcPr>
          <w:p w14:paraId="30F3CD8E" w14:textId="77777777" w:rsidR="00A76826" w:rsidRPr="004714C6" w:rsidRDefault="00A76826" w:rsidP="00FB1973">
            <w:pPr>
              <w:widowControl w:val="0"/>
              <w:autoSpaceDE w:val="0"/>
              <w:autoSpaceDN w:val="0"/>
              <w:adjustRightInd w:val="0"/>
              <w:ind w:left="100" w:right="-20"/>
              <w:rPr>
                <w:b/>
                <w:bCs/>
                <w:kern w:val="2"/>
                <w:sz w:val="24"/>
                <w:szCs w:val="24"/>
                <w14:ligatures w14:val="standardContextual"/>
              </w:rPr>
            </w:pPr>
            <w:r w:rsidRPr="004714C6">
              <w:rPr>
                <w:b/>
                <w:bCs/>
                <w:kern w:val="2"/>
                <w:sz w:val="24"/>
                <w:szCs w:val="24"/>
                <w14:ligatures w14:val="standardContextual"/>
              </w:rPr>
              <w:t>Studier</w:t>
            </w:r>
          </w:p>
        </w:tc>
        <w:tc>
          <w:tcPr>
            <w:tcW w:w="1173" w:type="pct"/>
            <w:tcBorders>
              <w:top w:val="single" w:sz="4" w:space="0" w:color="000000"/>
              <w:left w:val="single" w:sz="4" w:space="0" w:color="000000"/>
              <w:bottom w:val="single" w:sz="4" w:space="0" w:color="000000"/>
              <w:right w:val="single" w:sz="4" w:space="0" w:color="000000"/>
            </w:tcBorders>
            <w:hideMark/>
          </w:tcPr>
          <w:p w14:paraId="14217D81" w14:textId="77777777" w:rsidR="00A76826" w:rsidRPr="004714C6" w:rsidRDefault="00A76826" w:rsidP="00FB1973">
            <w:pPr>
              <w:widowControl w:val="0"/>
              <w:autoSpaceDE w:val="0"/>
              <w:autoSpaceDN w:val="0"/>
              <w:adjustRightInd w:val="0"/>
              <w:ind w:left="102" w:right="-20"/>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220 mg én gang dagligt</w:t>
            </w:r>
          </w:p>
        </w:tc>
        <w:tc>
          <w:tcPr>
            <w:tcW w:w="1171" w:type="pct"/>
            <w:tcBorders>
              <w:top w:val="single" w:sz="4" w:space="0" w:color="000000"/>
              <w:left w:val="single" w:sz="4" w:space="0" w:color="000000"/>
              <w:bottom w:val="single" w:sz="4" w:space="0" w:color="000000"/>
              <w:right w:val="single" w:sz="4" w:space="0" w:color="000000"/>
            </w:tcBorders>
            <w:hideMark/>
          </w:tcPr>
          <w:p w14:paraId="63D88B30" w14:textId="77777777" w:rsidR="00A76826" w:rsidRPr="004714C6" w:rsidRDefault="00A76826" w:rsidP="00FB1973">
            <w:pPr>
              <w:widowControl w:val="0"/>
              <w:autoSpaceDE w:val="0"/>
              <w:autoSpaceDN w:val="0"/>
              <w:adjustRightInd w:val="0"/>
              <w:ind w:left="100" w:right="-20"/>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150 mg én gang dagligt</w:t>
            </w:r>
          </w:p>
        </w:tc>
        <w:tc>
          <w:tcPr>
            <w:tcW w:w="1190" w:type="pct"/>
            <w:tcBorders>
              <w:top w:val="single" w:sz="4" w:space="0" w:color="000000"/>
              <w:left w:val="single" w:sz="4" w:space="0" w:color="000000"/>
              <w:bottom w:val="single" w:sz="4" w:space="0" w:color="000000"/>
              <w:right w:val="single" w:sz="4" w:space="0" w:color="000000"/>
            </w:tcBorders>
            <w:hideMark/>
          </w:tcPr>
          <w:p w14:paraId="05609BAA" w14:textId="77777777" w:rsidR="00A76826" w:rsidRPr="004714C6" w:rsidRDefault="00A76826" w:rsidP="00FB1973">
            <w:pPr>
              <w:widowControl w:val="0"/>
              <w:autoSpaceDE w:val="0"/>
              <w:autoSpaceDN w:val="0"/>
              <w:adjustRightInd w:val="0"/>
              <w:ind w:left="102" w:right="-20"/>
              <w:rPr>
                <w:b/>
                <w:bCs/>
                <w:kern w:val="2"/>
                <w:sz w:val="24"/>
                <w:szCs w:val="24"/>
                <w14:ligatures w14:val="standardContextual"/>
              </w:rPr>
            </w:pPr>
            <w:r w:rsidRPr="004714C6">
              <w:rPr>
                <w:b/>
                <w:bCs/>
                <w:kern w:val="2"/>
                <w:sz w:val="24"/>
                <w:szCs w:val="24"/>
                <w14:ligatures w14:val="standardContextual"/>
              </w:rPr>
              <w:t>Enoxaparin</w:t>
            </w:r>
          </w:p>
          <w:p w14:paraId="66407976" w14:textId="77777777" w:rsidR="00A76826" w:rsidRPr="004714C6" w:rsidRDefault="00A76826" w:rsidP="00FB1973">
            <w:pPr>
              <w:widowControl w:val="0"/>
              <w:autoSpaceDE w:val="0"/>
              <w:autoSpaceDN w:val="0"/>
              <w:adjustRightInd w:val="0"/>
              <w:ind w:left="102" w:right="-20"/>
              <w:rPr>
                <w:b/>
                <w:bCs/>
                <w:kern w:val="2"/>
                <w:sz w:val="24"/>
                <w:szCs w:val="24"/>
                <w14:ligatures w14:val="standardContextual"/>
              </w:rPr>
            </w:pPr>
            <w:r w:rsidRPr="004714C6">
              <w:rPr>
                <w:b/>
                <w:bCs/>
                <w:kern w:val="2"/>
                <w:sz w:val="24"/>
                <w:szCs w:val="24"/>
                <w14:ligatures w14:val="standardContextual"/>
              </w:rPr>
              <w:t>40 </w:t>
            </w:r>
            <w:r w:rsidRPr="004714C6">
              <w:rPr>
                <w:b/>
                <w:bCs/>
                <w:spacing w:val="-1"/>
                <w:kern w:val="2"/>
                <w:sz w:val="24"/>
                <w:szCs w:val="24"/>
                <w14:ligatures w14:val="standardContextual"/>
              </w:rPr>
              <w:t>mg</w:t>
            </w:r>
          </w:p>
        </w:tc>
      </w:tr>
      <w:tr w:rsidR="00A76826" w:rsidRPr="004714C6" w14:paraId="71EAF144" w14:textId="77777777" w:rsidTr="00FB197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26C51608" w14:textId="77777777" w:rsidR="00A76826" w:rsidRPr="004714C6" w:rsidRDefault="00A76826" w:rsidP="00FB1973">
            <w:pPr>
              <w:widowControl w:val="0"/>
              <w:autoSpaceDE w:val="0"/>
              <w:autoSpaceDN w:val="0"/>
              <w:adjustRightInd w:val="0"/>
              <w:ind w:left="100" w:right="-20"/>
              <w:rPr>
                <w:kern w:val="2"/>
                <w:sz w:val="24"/>
                <w:szCs w:val="24"/>
                <w14:ligatures w14:val="standardContextual"/>
              </w:rPr>
            </w:pPr>
            <w:r w:rsidRPr="004714C6">
              <w:rPr>
                <w:spacing w:val="-4"/>
                <w:kern w:val="2"/>
                <w:sz w:val="24"/>
                <w:szCs w:val="24"/>
                <w14:ligatures w14:val="standardContextual"/>
              </w:rPr>
              <w:t xml:space="preserve">RE-NOVATE </w:t>
            </w:r>
            <w:r w:rsidRPr="004714C6">
              <w:rPr>
                <w:kern w:val="2"/>
                <w:sz w:val="24"/>
                <w:szCs w:val="24"/>
                <w14:ligatures w14:val="standardContextual"/>
              </w:rPr>
              <w:t>(hofte)</w:t>
            </w:r>
          </w:p>
        </w:tc>
      </w:tr>
      <w:tr w:rsidR="00A76826" w:rsidRPr="004714C6" w14:paraId="1B72F00C" w14:textId="77777777" w:rsidTr="00FB1973">
        <w:trPr>
          <w:trHeight w:val="20"/>
        </w:trPr>
        <w:tc>
          <w:tcPr>
            <w:tcW w:w="1465" w:type="pct"/>
            <w:tcBorders>
              <w:top w:val="single" w:sz="4" w:space="0" w:color="000000"/>
              <w:left w:val="single" w:sz="4" w:space="0" w:color="000000"/>
              <w:bottom w:val="single" w:sz="4" w:space="0" w:color="000000"/>
              <w:right w:val="single" w:sz="4" w:space="0" w:color="000000"/>
            </w:tcBorders>
            <w:hideMark/>
          </w:tcPr>
          <w:p w14:paraId="5D36BF07" w14:textId="77777777" w:rsidR="00A76826" w:rsidRPr="004714C6" w:rsidRDefault="00A76826" w:rsidP="00FB1973">
            <w:pPr>
              <w:widowControl w:val="0"/>
              <w:autoSpaceDE w:val="0"/>
              <w:autoSpaceDN w:val="0"/>
              <w:adjustRightInd w:val="0"/>
              <w:ind w:left="100" w:right="-20"/>
              <w:rPr>
                <w:kern w:val="2"/>
                <w:sz w:val="24"/>
                <w:szCs w:val="24"/>
                <w14:ligatures w14:val="standardContextual"/>
              </w:rPr>
            </w:pPr>
            <w:r w:rsidRPr="004714C6">
              <w:rPr>
                <w:kern w:val="2"/>
                <w:sz w:val="24"/>
                <w:szCs w:val="24"/>
                <w14:ligatures w14:val="standardContextual"/>
              </w:rPr>
              <w:t>N</w:t>
            </w:r>
          </w:p>
        </w:tc>
        <w:tc>
          <w:tcPr>
            <w:tcW w:w="1173" w:type="pct"/>
            <w:tcBorders>
              <w:top w:val="single" w:sz="4" w:space="0" w:color="000000"/>
              <w:left w:val="single" w:sz="4" w:space="0" w:color="000000"/>
              <w:bottom w:val="single" w:sz="4" w:space="0" w:color="000000"/>
              <w:right w:val="single" w:sz="4" w:space="0" w:color="000000"/>
            </w:tcBorders>
            <w:hideMark/>
          </w:tcPr>
          <w:p w14:paraId="184B5D2A" w14:textId="77777777" w:rsidR="00A76826" w:rsidRPr="004714C6" w:rsidRDefault="00A76826" w:rsidP="00FB1973">
            <w:pPr>
              <w:widowControl w:val="0"/>
              <w:autoSpaceDE w:val="0"/>
              <w:autoSpaceDN w:val="0"/>
              <w:adjustRightInd w:val="0"/>
              <w:ind w:left="855" w:right="838"/>
              <w:rPr>
                <w:kern w:val="2"/>
                <w:sz w:val="24"/>
                <w:szCs w:val="24"/>
                <w14:ligatures w14:val="standardContextual"/>
              </w:rPr>
            </w:pPr>
            <w:r w:rsidRPr="004714C6">
              <w:rPr>
                <w:kern w:val="2"/>
                <w:sz w:val="24"/>
                <w:szCs w:val="24"/>
                <w14:ligatures w14:val="standardContextual"/>
              </w:rPr>
              <w:t>880</w:t>
            </w:r>
          </w:p>
        </w:tc>
        <w:tc>
          <w:tcPr>
            <w:tcW w:w="1171" w:type="pct"/>
            <w:tcBorders>
              <w:top w:val="single" w:sz="4" w:space="0" w:color="000000"/>
              <w:left w:val="single" w:sz="4" w:space="0" w:color="000000"/>
              <w:bottom w:val="single" w:sz="4" w:space="0" w:color="000000"/>
              <w:right w:val="single" w:sz="4" w:space="0" w:color="000000"/>
            </w:tcBorders>
            <w:hideMark/>
          </w:tcPr>
          <w:p w14:paraId="1E41E422" w14:textId="77777777" w:rsidR="00A76826" w:rsidRPr="004714C6" w:rsidRDefault="00A76826" w:rsidP="00FB1973">
            <w:pPr>
              <w:widowControl w:val="0"/>
              <w:autoSpaceDE w:val="0"/>
              <w:autoSpaceDN w:val="0"/>
              <w:adjustRightInd w:val="0"/>
              <w:ind w:left="853" w:right="835"/>
              <w:rPr>
                <w:kern w:val="2"/>
                <w:sz w:val="24"/>
                <w:szCs w:val="24"/>
                <w14:ligatures w14:val="standardContextual"/>
              </w:rPr>
            </w:pPr>
            <w:r w:rsidRPr="004714C6">
              <w:rPr>
                <w:kern w:val="2"/>
                <w:sz w:val="24"/>
                <w:szCs w:val="24"/>
                <w14:ligatures w14:val="standardContextual"/>
              </w:rPr>
              <w:t>874</w:t>
            </w:r>
          </w:p>
        </w:tc>
        <w:tc>
          <w:tcPr>
            <w:tcW w:w="1190" w:type="pct"/>
            <w:tcBorders>
              <w:top w:val="single" w:sz="4" w:space="0" w:color="000000"/>
              <w:left w:val="single" w:sz="4" w:space="0" w:color="000000"/>
              <w:bottom w:val="single" w:sz="4" w:space="0" w:color="000000"/>
              <w:right w:val="single" w:sz="4" w:space="0" w:color="000000"/>
            </w:tcBorders>
            <w:hideMark/>
          </w:tcPr>
          <w:p w14:paraId="60D9B7F4" w14:textId="77777777" w:rsidR="00A76826" w:rsidRPr="004714C6" w:rsidRDefault="00A76826" w:rsidP="00FB1973">
            <w:pPr>
              <w:widowControl w:val="0"/>
              <w:autoSpaceDE w:val="0"/>
              <w:autoSpaceDN w:val="0"/>
              <w:adjustRightInd w:val="0"/>
              <w:ind w:left="870" w:right="854"/>
              <w:rPr>
                <w:kern w:val="2"/>
                <w:sz w:val="24"/>
                <w:szCs w:val="24"/>
                <w14:ligatures w14:val="standardContextual"/>
              </w:rPr>
            </w:pPr>
            <w:r w:rsidRPr="004714C6">
              <w:rPr>
                <w:kern w:val="2"/>
                <w:sz w:val="24"/>
                <w:szCs w:val="24"/>
                <w14:ligatures w14:val="standardContextual"/>
              </w:rPr>
              <w:t>897</w:t>
            </w:r>
          </w:p>
        </w:tc>
      </w:tr>
      <w:tr w:rsidR="00A76826" w:rsidRPr="004714C6" w14:paraId="3C2D95AF" w14:textId="77777777" w:rsidTr="00FB1973">
        <w:trPr>
          <w:trHeight w:val="20"/>
        </w:trPr>
        <w:tc>
          <w:tcPr>
            <w:tcW w:w="1465" w:type="pct"/>
            <w:tcBorders>
              <w:top w:val="single" w:sz="4" w:space="0" w:color="000000"/>
              <w:left w:val="single" w:sz="4" w:space="0" w:color="000000"/>
              <w:bottom w:val="single" w:sz="4" w:space="0" w:color="000000"/>
              <w:right w:val="single" w:sz="4" w:space="0" w:color="000000"/>
            </w:tcBorders>
            <w:hideMark/>
          </w:tcPr>
          <w:p w14:paraId="236FBF1F" w14:textId="77777777" w:rsidR="00A76826" w:rsidRPr="004714C6" w:rsidRDefault="00A76826" w:rsidP="00FB1973">
            <w:pPr>
              <w:widowControl w:val="0"/>
              <w:autoSpaceDE w:val="0"/>
              <w:autoSpaceDN w:val="0"/>
              <w:adjustRightInd w:val="0"/>
              <w:ind w:left="100" w:right="-20"/>
              <w:rPr>
                <w:kern w:val="2"/>
                <w:sz w:val="24"/>
                <w:szCs w:val="24"/>
                <w14:ligatures w14:val="standardContextual"/>
              </w:rPr>
            </w:pPr>
            <w:r w:rsidRPr="004714C6">
              <w:rPr>
                <w:kern w:val="2"/>
                <w:sz w:val="24"/>
                <w:szCs w:val="24"/>
                <w14:ligatures w14:val="standardContextual"/>
              </w:rPr>
              <w:t>Forekomst (%)</w:t>
            </w:r>
          </w:p>
        </w:tc>
        <w:tc>
          <w:tcPr>
            <w:tcW w:w="1173" w:type="pct"/>
            <w:tcBorders>
              <w:top w:val="single" w:sz="4" w:space="0" w:color="000000"/>
              <w:left w:val="single" w:sz="4" w:space="0" w:color="000000"/>
              <w:bottom w:val="single" w:sz="4" w:space="0" w:color="000000"/>
              <w:right w:val="single" w:sz="4" w:space="0" w:color="000000"/>
            </w:tcBorders>
            <w:hideMark/>
          </w:tcPr>
          <w:p w14:paraId="1103DC09" w14:textId="77777777" w:rsidR="00A76826" w:rsidRPr="004714C6" w:rsidRDefault="00A76826" w:rsidP="00FB1973">
            <w:pPr>
              <w:widowControl w:val="0"/>
              <w:autoSpaceDE w:val="0"/>
              <w:autoSpaceDN w:val="0"/>
              <w:adjustRightInd w:val="0"/>
              <w:ind w:left="673" w:right="654"/>
              <w:rPr>
                <w:kern w:val="2"/>
                <w:sz w:val="24"/>
                <w:szCs w:val="24"/>
                <w14:ligatures w14:val="standardContextual"/>
              </w:rPr>
            </w:pPr>
            <w:r w:rsidRPr="004714C6">
              <w:rPr>
                <w:kern w:val="2"/>
                <w:sz w:val="24"/>
                <w:szCs w:val="24"/>
                <w14:ligatures w14:val="standardContextual"/>
              </w:rPr>
              <w:t>53 (6,0)</w:t>
            </w:r>
          </w:p>
        </w:tc>
        <w:tc>
          <w:tcPr>
            <w:tcW w:w="1171" w:type="pct"/>
            <w:tcBorders>
              <w:top w:val="single" w:sz="4" w:space="0" w:color="000000"/>
              <w:left w:val="single" w:sz="4" w:space="0" w:color="000000"/>
              <w:bottom w:val="single" w:sz="4" w:space="0" w:color="000000"/>
              <w:right w:val="single" w:sz="4" w:space="0" w:color="000000"/>
            </w:tcBorders>
            <w:hideMark/>
          </w:tcPr>
          <w:p w14:paraId="5C1CFB97" w14:textId="77777777" w:rsidR="00A76826" w:rsidRPr="004714C6" w:rsidRDefault="00A76826" w:rsidP="00FB1973">
            <w:pPr>
              <w:widowControl w:val="0"/>
              <w:autoSpaceDE w:val="0"/>
              <w:autoSpaceDN w:val="0"/>
              <w:adjustRightInd w:val="0"/>
              <w:ind w:left="670" w:right="651"/>
              <w:rPr>
                <w:kern w:val="2"/>
                <w:sz w:val="24"/>
                <w:szCs w:val="24"/>
                <w14:ligatures w14:val="standardContextual"/>
              </w:rPr>
            </w:pPr>
            <w:r w:rsidRPr="004714C6">
              <w:rPr>
                <w:kern w:val="2"/>
                <w:sz w:val="24"/>
                <w:szCs w:val="24"/>
                <w14:ligatures w14:val="standardContextual"/>
              </w:rPr>
              <w:t>75 (8,6)</w:t>
            </w:r>
          </w:p>
        </w:tc>
        <w:tc>
          <w:tcPr>
            <w:tcW w:w="1190" w:type="pct"/>
            <w:tcBorders>
              <w:top w:val="single" w:sz="4" w:space="0" w:color="000000"/>
              <w:left w:val="single" w:sz="4" w:space="0" w:color="000000"/>
              <w:bottom w:val="single" w:sz="4" w:space="0" w:color="000000"/>
              <w:right w:val="single" w:sz="4" w:space="0" w:color="000000"/>
            </w:tcBorders>
            <w:hideMark/>
          </w:tcPr>
          <w:p w14:paraId="5EECC425" w14:textId="77777777" w:rsidR="00A76826" w:rsidRPr="004714C6" w:rsidRDefault="00A76826" w:rsidP="00FB1973">
            <w:pPr>
              <w:widowControl w:val="0"/>
              <w:autoSpaceDE w:val="0"/>
              <w:autoSpaceDN w:val="0"/>
              <w:adjustRightInd w:val="0"/>
              <w:ind w:left="687" w:right="671"/>
              <w:rPr>
                <w:kern w:val="2"/>
                <w:sz w:val="24"/>
                <w:szCs w:val="24"/>
                <w14:ligatures w14:val="standardContextual"/>
              </w:rPr>
            </w:pPr>
            <w:r w:rsidRPr="004714C6">
              <w:rPr>
                <w:kern w:val="2"/>
                <w:sz w:val="24"/>
                <w:szCs w:val="24"/>
                <w14:ligatures w14:val="standardContextual"/>
              </w:rPr>
              <w:t>60 (6,7)</w:t>
            </w:r>
          </w:p>
        </w:tc>
      </w:tr>
      <w:tr w:rsidR="00A76826" w:rsidRPr="004714C6" w14:paraId="73E73126" w14:textId="77777777" w:rsidTr="00FB1973">
        <w:trPr>
          <w:trHeight w:val="20"/>
        </w:trPr>
        <w:tc>
          <w:tcPr>
            <w:tcW w:w="1465" w:type="pct"/>
            <w:tcBorders>
              <w:top w:val="single" w:sz="4" w:space="0" w:color="000000"/>
              <w:left w:val="single" w:sz="4" w:space="0" w:color="000000"/>
              <w:bottom w:val="single" w:sz="4" w:space="0" w:color="000000"/>
              <w:right w:val="single" w:sz="4" w:space="0" w:color="000000"/>
            </w:tcBorders>
            <w:hideMark/>
          </w:tcPr>
          <w:p w14:paraId="3BD43709" w14:textId="77777777" w:rsidR="00A76826" w:rsidRPr="004714C6" w:rsidRDefault="00A76826" w:rsidP="00FB1973">
            <w:pPr>
              <w:widowControl w:val="0"/>
              <w:autoSpaceDE w:val="0"/>
              <w:autoSpaceDN w:val="0"/>
              <w:adjustRightInd w:val="0"/>
              <w:ind w:left="100" w:right="-20"/>
              <w:rPr>
                <w:kern w:val="2"/>
                <w:sz w:val="24"/>
                <w:szCs w:val="24"/>
                <w14:ligatures w14:val="standardContextual"/>
              </w:rPr>
            </w:pPr>
            <w:r w:rsidRPr="004714C6">
              <w:rPr>
                <w:kern w:val="2"/>
                <w:sz w:val="24"/>
                <w:szCs w:val="24"/>
                <w14:ligatures w14:val="standardContextual"/>
              </w:rPr>
              <w:t>Risikoratio sammenlignet med enoxaparin</w:t>
            </w:r>
          </w:p>
        </w:tc>
        <w:tc>
          <w:tcPr>
            <w:tcW w:w="1173" w:type="pct"/>
            <w:tcBorders>
              <w:top w:val="single" w:sz="4" w:space="0" w:color="000000"/>
              <w:left w:val="single" w:sz="4" w:space="0" w:color="000000"/>
              <w:bottom w:val="single" w:sz="4" w:space="0" w:color="000000"/>
              <w:right w:val="single" w:sz="4" w:space="0" w:color="000000"/>
            </w:tcBorders>
            <w:hideMark/>
          </w:tcPr>
          <w:p w14:paraId="575033A7" w14:textId="77777777" w:rsidR="00A76826" w:rsidRPr="004714C6" w:rsidRDefault="00A76826" w:rsidP="00FB1973">
            <w:pPr>
              <w:widowControl w:val="0"/>
              <w:autoSpaceDE w:val="0"/>
              <w:autoSpaceDN w:val="0"/>
              <w:adjustRightInd w:val="0"/>
              <w:ind w:left="882" w:right="866"/>
              <w:rPr>
                <w:kern w:val="2"/>
                <w:sz w:val="24"/>
                <w:szCs w:val="24"/>
                <w14:ligatures w14:val="standardContextual"/>
              </w:rPr>
            </w:pPr>
            <w:r w:rsidRPr="004714C6">
              <w:rPr>
                <w:kern w:val="2"/>
                <w:sz w:val="24"/>
                <w:szCs w:val="24"/>
                <w14:ligatures w14:val="standardContextual"/>
              </w:rPr>
              <w:t>0,9</w:t>
            </w:r>
          </w:p>
        </w:tc>
        <w:tc>
          <w:tcPr>
            <w:tcW w:w="1171" w:type="pct"/>
            <w:tcBorders>
              <w:top w:val="single" w:sz="4" w:space="0" w:color="000000"/>
              <w:left w:val="single" w:sz="4" w:space="0" w:color="000000"/>
              <w:bottom w:val="single" w:sz="4" w:space="0" w:color="000000"/>
              <w:right w:val="single" w:sz="4" w:space="0" w:color="000000"/>
            </w:tcBorders>
            <w:hideMark/>
          </w:tcPr>
          <w:p w14:paraId="3ADA7046" w14:textId="77777777" w:rsidR="00A76826" w:rsidRPr="004714C6" w:rsidRDefault="00A76826" w:rsidP="00FB1973">
            <w:pPr>
              <w:widowControl w:val="0"/>
              <w:autoSpaceDE w:val="0"/>
              <w:autoSpaceDN w:val="0"/>
              <w:adjustRightInd w:val="0"/>
              <w:ind w:left="826" w:right="806"/>
              <w:rPr>
                <w:kern w:val="2"/>
                <w:sz w:val="24"/>
                <w:szCs w:val="24"/>
                <w14:ligatures w14:val="standardContextual"/>
              </w:rPr>
            </w:pPr>
            <w:r w:rsidRPr="004714C6">
              <w:rPr>
                <w:kern w:val="2"/>
                <w:sz w:val="24"/>
                <w:szCs w:val="24"/>
                <w14:ligatures w14:val="standardContextual"/>
              </w:rPr>
              <w:t>1,28</w:t>
            </w:r>
          </w:p>
        </w:tc>
        <w:tc>
          <w:tcPr>
            <w:tcW w:w="1190" w:type="pct"/>
            <w:tcBorders>
              <w:top w:val="single" w:sz="4" w:space="0" w:color="000000"/>
              <w:left w:val="single" w:sz="4" w:space="0" w:color="000000"/>
              <w:bottom w:val="single" w:sz="4" w:space="0" w:color="000000"/>
              <w:right w:val="single" w:sz="4" w:space="0" w:color="000000"/>
            </w:tcBorders>
          </w:tcPr>
          <w:p w14:paraId="691208C4" w14:textId="77777777" w:rsidR="00A76826" w:rsidRPr="004714C6" w:rsidRDefault="00A76826" w:rsidP="00FB1973">
            <w:pPr>
              <w:widowControl w:val="0"/>
              <w:autoSpaceDE w:val="0"/>
              <w:autoSpaceDN w:val="0"/>
              <w:adjustRightInd w:val="0"/>
              <w:rPr>
                <w:kern w:val="2"/>
                <w:sz w:val="24"/>
                <w:szCs w:val="24"/>
                <w14:ligatures w14:val="standardContextual"/>
              </w:rPr>
            </w:pPr>
          </w:p>
        </w:tc>
      </w:tr>
      <w:tr w:rsidR="00A76826" w:rsidRPr="004714C6" w14:paraId="78422146" w14:textId="77777777" w:rsidTr="00FB1973">
        <w:trPr>
          <w:trHeight w:val="20"/>
        </w:trPr>
        <w:tc>
          <w:tcPr>
            <w:tcW w:w="1465" w:type="pct"/>
            <w:tcBorders>
              <w:top w:val="single" w:sz="4" w:space="0" w:color="000000"/>
              <w:left w:val="single" w:sz="4" w:space="0" w:color="000000"/>
              <w:bottom w:val="single" w:sz="4" w:space="0" w:color="000000"/>
              <w:right w:val="single" w:sz="4" w:space="0" w:color="000000"/>
            </w:tcBorders>
            <w:hideMark/>
          </w:tcPr>
          <w:p w14:paraId="075578DE" w14:textId="77777777" w:rsidR="00A76826" w:rsidRPr="004714C6" w:rsidRDefault="00A76826" w:rsidP="00FB1973">
            <w:pPr>
              <w:widowControl w:val="0"/>
              <w:autoSpaceDE w:val="0"/>
              <w:autoSpaceDN w:val="0"/>
              <w:adjustRightInd w:val="0"/>
              <w:ind w:left="100" w:right="-20"/>
              <w:rPr>
                <w:kern w:val="2"/>
                <w:sz w:val="24"/>
                <w:szCs w:val="24"/>
                <w14:ligatures w14:val="standardContextual"/>
              </w:rPr>
            </w:pPr>
            <w:r w:rsidRPr="004714C6">
              <w:rPr>
                <w:kern w:val="2"/>
                <w:sz w:val="24"/>
                <w:szCs w:val="24"/>
                <w14:ligatures w14:val="standardContextual"/>
              </w:rPr>
              <w:t>95 % konfidensinterval</w:t>
            </w:r>
          </w:p>
        </w:tc>
        <w:tc>
          <w:tcPr>
            <w:tcW w:w="1173" w:type="pct"/>
            <w:tcBorders>
              <w:top w:val="single" w:sz="4" w:space="0" w:color="000000"/>
              <w:left w:val="single" w:sz="4" w:space="0" w:color="000000"/>
              <w:bottom w:val="single" w:sz="4" w:space="0" w:color="000000"/>
              <w:right w:val="single" w:sz="4" w:space="0" w:color="000000"/>
            </w:tcBorders>
            <w:hideMark/>
          </w:tcPr>
          <w:p w14:paraId="750A8C13" w14:textId="77777777" w:rsidR="00A76826" w:rsidRPr="004714C6" w:rsidRDefault="00A76826" w:rsidP="00FB1973">
            <w:pPr>
              <w:widowControl w:val="0"/>
              <w:autoSpaceDE w:val="0"/>
              <w:autoSpaceDN w:val="0"/>
              <w:adjustRightInd w:val="0"/>
              <w:ind w:left="544" w:right="-20"/>
              <w:rPr>
                <w:kern w:val="2"/>
                <w:sz w:val="24"/>
                <w:szCs w:val="24"/>
                <w14:ligatures w14:val="standardContextual"/>
              </w:rPr>
            </w:pPr>
            <w:r w:rsidRPr="004714C6">
              <w:rPr>
                <w:kern w:val="2"/>
                <w:sz w:val="24"/>
                <w:szCs w:val="24"/>
                <w14:ligatures w14:val="standardContextual"/>
              </w:rPr>
              <w:t>(0,63; 1,29)</w:t>
            </w:r>
          </w:p>
        </w:tc>
        <w:tc>
          <w:tcPr>
            <w:tcW w:w="1171" w:type="pct"/>
            <w:tcBorders>
              <w:top w:val="single" w:sz="4" w:space="0" w:color="000000"/>
              <w:left w:val="single" w:sz="4" w:space="0" w:color="000000"/>
              <w:bottom w:val="single" w:sz="4" w:space="0" w:color="000000"/>
              <w:right w:val="single" w:sz="4" w:space="0" w:color="000000"/>
            </w:tcBorders>
            <w:hideMark/>
          </w:tcPr>
          <w:p w14:paraId="30ACB448" w14:textId="77777777" w:rsidR="00A76826" w:rsidRPr="004714C6" w:rsidRDefault="00A76826" w:rsidP="00FB1973">
            <w:pPr>
              <w:widowControl w:val="0"/>
              <w:autoSpaceDE w:val="0"/>
              <w:autoSpaceDN w:val="0"/>
              <w:adjustRightInd w:val="0"/>
              <w:ind w:left="541" w:right="-20"/>
              <w:rPr>
                <w:kern w:val="2"/>
                <w:sz w:val="24"/>
                <w:szCs w:val="24"/>
                <w14:ligatures w14:val="standardContextual"/>
              </w:rPr>
            </w:pPr>
            <w:r w:rsidRPr="004714C6">
              <w:rPr>
                <w:kern w:val="2"/>
                <w:sz w:val="24"/>
                <w:szCs w:val="24"/>
                <w14:ligatures w14:val="standardContextual"/>
              </w:rPr>
              <w:t>(0,93; 1,78)</w:t>
            </w:r>
          </w:p>
        </w:tc>
        <w:tc>
          <w:tcPr>
            <w:tcW w:w="1190" w:type="pct"/>
            <w:tcBorders>
              <w:top w:val="single" w:sz="4" w:space="0" w:color="000000"/>
              <w:left w:val="single" w:sz="4" w:space="0" w:color="000000"/>
              <w:bottom w:val="single" w:sz="4" w:space="0" w:color="000000"/>
              <w:right w:val="single" w:sz="4" w:space="0" w:color="000000"/>
            </w:tcBorders>
          </w:tcPr>
          <w:p w14:paraId="6C8CFFE7" w14:textId="77777777" w:rsidR="00A76826" w:rsidRPr="004714C6" w:rsidRDefault="00A76826" w:rsidP="00FB1973">
            <w:pPr>
              <w:widowControl w:val="0"/>
              <w:autoSpaceDE w:val="0"/>
              <w:autoSpaceDN w:val="0"/>
              <w:adjustRightInd w:val="0"/>
              <w:rPr>
                <w:kern w:val="2"/>
                <w:sz w:val="24"/>
                <w:szCs w:val="24"/>
                <w14:ligatures w14:val="standardContextual"/>
              </w:rPr>
            </w:pPr>
          </w:p>
        </w:tc>
      </w:tr>
      <w:tr w:rsidR="00A76826" w:rsidRPr="004714C6" w14:paraId="4A2E857F" w14:textId="77777777" w:rsidTr="00FB197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1C036B0D" w14:textId="77777777" w:rsidR="00A76826" w:rsidRPr="004714C6" w:rsidRDefault="00A76826" w:rsidP="00FB1973">
            <w:pPr>
              <w:widowControl w:val="0"/>
              <w:autoSpaceDE w:val="0"/>
              <w:autoSpaceDN w:val="0"/>
              <w:adjustRightInd w:val="0"/>
              <w:ind w:left="100" w:right="-20"/>
              <w:rPr>
                <w:kern w:val="2"/>
                <w:sz w:val="24"/>
                <w:szCs w:val="24"/>
                <w14:ligatures w14:val="standardContextual"/>
              </w:rPr>
            </w:pPr>
            <w:r w:rsidRPr="004714C6">
              <w:rPr>
                <w:kern w:val="2"/>
                <w:sz w:val="24"/>
                <w:szCs w:val="24"/>
                <w14:ligatures w14:val="standardContextual"/>
              </w:rPr>
              <w:t xml:space="preserve">RE-MODEL </w:t>
            </w:r>
            <w:r w:rsidRPr="004714C6">
              <w:rPr>
                <w:spacing w:val="-1"/>
                <w:kern w:val="2"/>
                <w:sz w:val="24"/>
                <w:szCs w:val="24"/>
                <w14:ligatures w14:val="standardContextual"/>
              </w:rPr>
              <w:t>(</w:t>
            </w:r>
            <w:r w:rsidRPr="004714C6">
              <w:rPr>
                <w:kern w:val="2"/>
                <w:sz w:val="24"/>
                <w:szCs w:val="24"/>
                <w14:ligatures w14:val="standardContextual"/>
              </w:rPr>
              <w:t>knæ)</w:t>
            </w:r>
          </w:p>
        </w:tc>
      </w:tr>
      <w:tr w:rsidR="00A76826" w:rsidRPr="004714C6" w14:paraId="3FC82EBC" w14:textId="77777777" w:rsidTr="00FB1973">
        <w:trPr>
          <w:trHeight w:val="20"/>
        </w:trPr>
        <w:tc>
          <w:tcPr>
            <w:tcW w:w="1465" w:type="pct"/>
            <w:tcBorders>
              <w:top w:val="single" w:sz="4" w:space="0" w:color="000000"/>
              <w:left w:val="single" w:sz="4" w:space="0" w:color="000000"/>
              <w:bottom w:val="single" w:sz="4" w:space="0" w:color="000000"/>
              <w:right w:val="single" w:sz="4" w:space="0" w:color="000000"/>
            </w:tcBorders>
            <w:hideMark/>
          </w:tcPr>
          <w:p w14:paraId="75C446AE" w14:textId="77777777" w:rsidR="00A76826" w:rsidRPr="004714C6" w:rsidRDefault="00A76826" w:rsidP="00FB1973">
            <w:pPr>
              <w:widowControl w:val="0"/>
              <w:autoSpaceDE w:val="0"/>
              <w:autoSpaceDN w:val="0"/>
              <w:adjustRightInd w:val="0"/>
              <w:ind w:left="100" w:right="-20"/>
              <w:rPr>
                <w:kern w:val="2"/>
                <w:sz w:val="24"/>
                <w:szCs w:val="24"/>
                <w14:ligatures w14:val="standardContextual"/>
              </w:rPr>
            </w:pPr>
            <w:r w:rsidRPr="004714C6">
              <w:rPr>
                <w:kern w:val="2"/>
                <w:sz w:val="24"/>
                <w:szCs w:val="24"/>
                <w14:ligatures w14:val="standardContextual"/>
              </w:rPr>
              <w:t>N</w:t>
            </w:r>
          </w:p>
        </w:tc>
        <w:tc>
          <w:tcPr>
            <w:tcW w:w="1173" w:type="pct"/>
            <w:tcBorders>
              <w:top w:val="single" w:sz="4" w:space="0" w:color="000000"/>
              <w:left w:val="single" w:sz="4" w:space="0" w:color="000000"/>
              <w:bottom w:val="single" w:sz="4" w:space="0" w:color="000000"/>
              <w:right w:val="single" w:sz="4" w:space="0" w:color="000000"/>
            </w:tcBorders>
            <w:hideMark/>
          </w:tcPr>
          <w:p w14:paraId="05D8707C" w14:textId="77777777" w:rsidR="00A76826" w:rsidRPr="004714C6" w:rsidRDefault="00A76826" w:rsidP="00FB1973">
            <w:pPr>
              <w:widowControl w:val="0"/>
              <w:autoSpaceDE w:val="0"/>
              <w:autoSpaceDN w:val="0"/>
              <w:adjustRightInd w:val="0"/>
              <w:ind w:left="855" w:right="838"/>
              <w:rPr>
                <w:kern w:val="2"/>
                <w:sz w:val="24"/>
                <w:szCs w:val="24"/>
                <w14:ligatures w14:val="standardContextual"/>
              </w:rPr>
            </w:pPr>
            <w:r w:rsidRPr="004714C6">
              <w:rPr>
                <w:kern w:val="2"/>
                <w:sz w:val="24"/>
                <w:szCs w:val="24"/>
                <w14:ligatures w14:val="standardContextual"/>
              </w:rPr>
              <w:t>503</w:t>
            </w:r>
          </w:p>
        </w:tc>
        <w:tc>
          <w:tcPr>
            <w:tcW w:w="1171" w:type="pct"/>
            <w:tcBorders>
              <w:top w:val="single" w:sz="4" w:space="0" w:color="000000"/>
              <w:left w:val="single" w:sz="4" w:space="0" w:color="000000"/>
              <w:bottom w:val="single" w:sz="4" w:space="0" w:color="000000"/>
              <w:right w:val="single" w:sz="4" w:space="0" w:color="000000"/>
            </w:tcBorders>
            <w:hideMark/>
          </w:tcPr>
          <w:p w14:paraId="5B5FEE7B" w14:textId="77777777" w:rsidR="00A76826" w:rsidRPr="004714C6" w:rsidRDefault="00A76826" w:rsidP="00FB1973">
            <w:pPr>
              <w:widowControl w:val="0"/>
              <w:autoSpaceDE w:val="0"/>
              <w:autoSpaceDN w:val="0"/>
              <w:adjustRightInd w:val="0"/>
              <w:ind w:left="853" w:right="835"/>
              <w:rPr>
                <w:kern w:val="2"/>
                <w:sz w:val="24"/>
                <w:szCs w:val="24"/>
                <w14:ligatures w14:val="standardContextual"/>
              </w:rPr>
            </w:pPr>
            <w:r w:rsidRPr="004714C6">
              <w:rPr>
                <w:kern w:val="2"/>
                <w:sz w:val="24"/>
                <w:szCs w:val="24"/>
                <w14:ligatures w14:val="standardContextual"/>
              </w:rPr>
              <w:t>526</w:t>
            </w:r>
          </w:p>
        </w:tc>
        <w:tc>
          <w:tcPr>
            <w:tcW w:w="1190" w:type="pct"/>
            <w:tcBorders>
              <w:top w:val="single" w:sz="4" w:space="0" w:color="000000"/>
              <w:left w:val="single" w:sz="4" w:space="0" w:color="000000"/>
              <w:bottom w:val="single" w:sz="4" w:space="0" w:color="000000"/>
              <w:right w:val="single" w:sz="4" w:space="0" w:color="000000"/>
            </w:tcBorders>
            <w:hideMark/>
          </w:tcPr>
          <w:p w14:paraId="0A4CCFAF" w14:textId="77777777" w:rsidR="00A76826" w:rsidRPr="004714C6" w:rsidRDefault="00A76826" w:rsidP="00FB1973">
            <w:pPr>
              <w:widowControl w:val="0"/>
              <w:autoSpaceDE w:val="0"/>
              <w:autoSpaceDN w:val="0"/>
              <w:adjustRightInd w:val="0"/>
              <w:ind w:left="870" w:right="854"/>
              <w:rPr>
                <w:kern w:val="2"/>
                <w:sz w:val="24"/>
                <w:szCs w:val="24"/>
                <w14:ligatures w14:val="standardContextual"/>
              </w:rPr>
            </w:pPr>
            <w:r w:rsidRPr="004714C6">
              <w:rPr>
                <w:kern w:val="2"/>
                <w:sz w:val="24"/>
                <w:szCs w:val="24"/>
                <w14:ligatures w14:val="standardContextual"/>
              </w:rPr>
              <w:t>512</w:t>
            </w:r>
          </w:p>
        </w:tc>
      </w:tr>
      <w:tr w:rsidR="00A76826" w:rsidRPr="004714C6" w14:paraId="5392D098" w14:textId="77777777" w:rsidTr="00FB1973">
        <w:trPr>
          <w:trHeight w:val="20"/>
        </w:trPr>
        <w:tc>
          <w:tcPr>
            <w:tcW w:w="1465" w:type="pct"/>
            <w:tcBorders>
              <w:top w:val="single" w:sz="4" w:space="0" w:color="000000"/>
              <w:left w:val="single" w:sz="4" w:space="0" w:color="000000"/>
              <w:bottom w:val="single" w:sz="4" w:space="0" w:color="000000"/>
              <w:right w:val="single" w:sz="4" w:space="0" w:color="000000"/>
            </w:tcBorders>
            <w:hideMark/>
          </w:tcPr>
          <w:p w14:paraId="7DB5CB0B" w14:textId="77777777" w:rsidR="00A76826" w:rsidRPr="004714C6" w:rsidRDefault="00A76826" w:rsidP="00FB1973">
            <w:pPr>
              <w:widowControl w:val="0"/>
              <w:autoSpaceDE w:val="0"/>
              <w:autoSpaceDN w:val="0"/>
              <w:adjustRightInd w:val="0"/>
              <w:ind w:left="100" w:right="-20"/>
              <w:rPr>
                <w:kern w:val="2"/>
                <w:sz w:val="24"/>
                <w:szCs w:val="24"/>
                <w14:ligatures w14:val="standardContextual"/>
              </w:rPr>
            </w:pPr>
            <w:r w:rsidRPr="004714C6">
              <w:rPr>
                <w:kern w:val="2"/>
                <w:sz w:val="24"/>
                <w:szCs w:val="24"/>
                <w14:ligatures w14:val="standardContextual"/>
              </w:rPr>
              <w:t>Forekomst (%)</w:t>
            </w:r>
          </w:p>
        </w:tc>
        <w:tc>
          <w:tcPr>
            <w:tcW w:w="1173" w:type="pct"/>
            <w:tcBorders>
              <w:top w:val="single" w:sz="4" w:space="0" w:color="000000"/>
              <w:left w:val="single" w:sz="4" w:space="0" w:color="000000"/>
              <w:bottom w:val="single" w:sz="4" w:space="0" w:color="000000"/>
              <w:right w:val="single" w:sz="4" w:space="0" w:color="000000"/>
            </w:tcBorders>
            <w:hideMark/>
          </w:tcPr>
          <w:p w14:paraId="423B62A7" w14:textId="77777777" w:rsidR="00A76826" w:rsidRPr="004714C6" w:rsidRDefault="00A76826" w:rsidP="00FB1973">
            <w:pPr>
              <w:widowControl w:val="0"/>
              <w:autoSpaceDE w:val="0"/>
              <w:autoSpaceDN w:val="0"/>
              <w:adjustRightInd w:val="0"/>
              <w:ind w:left="599" w:right="-20"/>
              <w:rPr>
                <w:kern w:val="2"/>
                <w:sz w:val="24"/>
                <w:szCs w:val="24"/>
                <w14:ligatures w14:val="standardContextual"/>
              </w:rPr>
            </w:pPr>
            <w:r w:rsidRPr="004714C6">
              <w:rPr>
                <w:kern w:val="2"/>
                <w:sz w:val="24"/>
                <w:szCs w:val="24"/>
                <w14:ligatures w14:val="standardContextual"/>
              </w:rPr>
              <w:t>183 (36,4)</w:t>
            </w:r>
          </w:p>
        </w:tc>
        <w:tc>
          <w:tcPr>
            <w:tcW w:w="1171" w:type="pct"/>
            <w:tcBorders>
              <w:top w:val="single" w:sz="4" w:space="0" w:color="000000"/>
              <w:left w:val="single" w:sz="4" w:space="0" w:color="000000"/>
              <w:bottom w:val="single" w:sz="4" w:space="0" w:color="000000"/>
              <w:right w:val="single" w:sz="4" w:space="0" w:color="000000"/>
            </w:tcBorders>
            <w:hideMark/>
          </w:tcPr>
          <w:p w14:paraId="7B446BAB" w14:textId="77777777" w:rsidR="00A76826" w:rsidRPr="004714C6" w:rsidRDefault="00A76826" w:rsidP="00FB1973">
            <w:pPr>
              <w:widowControl w:val="0"/>
              <w:autoSpaceDE w:val="0"/>
              <w:autoSpaceDN w:val="0"/>
              <w:adjustRightInd w:val="0"/>
              <w:ind w:left="597" w:right="-20"/>
              <w:rPr>
                <w:kern w:val="2"/>
                <w:sz w:val="24"/>
                <w:szCs w:val="24"/>
                <w14:ligatures w14:val="standardContextual"/>
              </w:rPr>
            </w:pPr>
            <w:r w:rsidRPr="004714C6">
              <w:rPr>
                <w:kern w:val="2"/>
                <w:sz w:val="24"/>
                <w:szCs w:val="24"/>
                <w14:ligatures w14:val="standardContextual"/>
              </w:rPr>
              <w:t>213 (40,5)</w:t>
            </w:r>
          </w:p>
        </w:tc>
        <w:tc>
          <w:tcPr>
            <w:tcW w:w="1190" w:type="pct"/>
            <w:tcBorders>
              <w:top w:val="single" w:sz="4" w:space="0" w:color="000000"/>
              <w:left w:val="single" w:sz="4" w:space="0" w:color="000000"/>
              <w:bottom w:val="single" w:sz="4" w:space="0" w:color="000000"/>
              <w:right w:val="single" w:sz="4" w:space="0" w:color="000000"/>
            </w:tcBorders>
            <w:hideMark/>
          </w:tcPr>
          <w:p w14:paraId="0AE37882" w14:textId="77777777" w:rsidR="00A76826" w:rsidRPr="004714C6" w:rsidRDefault="00A76826" w:rsidP="00FB1973">
            <w:pPr>
              <w:widowControl w:val="0"/>
              <w:autoSpaceDE w:val="0"/>
              <w:autoSpaceDN w:val="0"/>
              <w:adjustRightInd w:val="0"/>
              <w:ind w:left="613" w:right="-20"/>
              <w:rPr>
                <w:kern w:val="2"/>
                <w:sz w:val="24"/>
                <w:szCs w:val="24"/>
                <w14:ligatures w14:val="standardContextual"/>
              </w:rPr>
            </w:pPr>
            <w:r w:rsidRPr="004714C6">
              <w:rPr>
                <w:kern w:val="2"/>
                <w:sz w:val="24"/>
                <w:szCs w:val="24"/>
                <w14:ligatures w14:val="standardContextual"/>
              </w:rPr>
              <w:t>193 (37,7)</w:t>
            </w:r>
          </w:p>
        </w:tc>
      </w:tr>
      <w:tr w:rsidR="00A76826" w:rsidRPr="004714C6" w14:paraId="1D3C994C" w14:textId="77777777" w:rsidTr="00FB1973">
        <w:trPr>
          <w:trHeight w:val="20"/>
        </w:trPr>
        <w:tc>
          <w:tcPr>
            <w:tcW w:w="1465" w:type="pct"/>
            <w:tcBorders>
              <w:top w:val="single" w:sz="4" w:space="0" w:color="000000"/>
              <w:left w:val="single" w:sz="4" w:space="0" w:color="000000"/>
              <w:bottom w:val="single" w:sz="4" w:space="0" w:color="000000"/>
              <w:right w:val="single" w:sz="4" w:space="0" w:color="000000"/>
            </w:tcBorders>
            <w:hideMark/>
          </w:tcPr>
          <w:p w14:paraId="425927FE" w14:textId="77777777" w:rsidR="00A76826" w:rsidRPr="004714C6" w:rsidRDefault="00A76826" w:rsidP="00FB1973">
            <w:pPr>
              <w:widowControl w:val="0"/>
              <w:autoSpaceDE w:val="0"/>
              <w:autoSpaceDN w:val="0"/>
              <w:adjustRightInd w:val="0"/>
              <w:ind w:left="100" w:right="-20"/>
              <w:rPr>
                <w:kern w:val="2"/>
                <w:sz w:val="24"/>
                <w:szCs w:val="24"/>
                <w14:ligatures w14:val="standardContextual"/>
              </w:rPr>
            </w:pPr>
            <w:r w:rsidRPr="004714C6">
              <w:rPr>
                <w:kern w:val="2"/>
                <w:sz w:val="24"/>
                <w:szCs w:val="24"/>
                <w14:ligatures w14:val="standardContextual"/>
              </w:rPr>
              <w:t>Risikoratio sammenlignet med enoxaparin</w:t>
            </w:r>
          </w:p>
        </w:tc>
        <w:tc>
          <w:tcPr>
            <w:tcW w:w="1173" w:type="pct"/>
            <w:tcBorders>
              <w:top w:val="single" w:sz="4" w:space="0" w:color="000000"/>
              <w:left w:val="single" w:sz="4" w:space="0" w:color="000000"/>
              <w:bottom w:val="single" w:sz="4" w:space="0" w:color="000000"/>
              <w:right w:val="single" w:sz="4" w:space="0" w:color="000000"/>
            </w:tcBorders>
            <w:hideMark/>
          </w:tcPr>
          <w:p w14:paraId="71600DC4" w14:textId="77777777" w:rsidR="00A76826" w:rsidRPr="004714C6" w:rsidRDefault="00A76826" w:rsidP="00FB1973">
            <w:pPr>
              <w:widowControl w:val="0"/>
              <w:autoSpaceDE w:val="0"/>
              <w:autoSpaceDN w:val="0"/>
              <w:adjustRightInd w:val="0"/>
              <w:ind w:left="829" w:right="809"/>
              <w:rPr>
                <w:kern w:val="2"/>
                <w:sz w:val="24"/>
                <w:szCs w:val="24"/>
                <w14:ligatures w14:val="standardContextual"/>
              </w:rPr>
            </w:pPr>
            <w:r w:rsidRPr="004714C6">
              <w:rPr>
                <w:kern w:val="2"/>
                <w:sz w:val="24"/>
                <w:szCs w:val="24"/>
                <w14:ligatures w14:val="standardContextual"/>
              </w:rPr>
              <w:t>0,97</w:t>
            </w:r>
          </w:p>
        </w:tc>
        <w:tc>
          <w:tcPr>
            <w:tcW w:w="1171" w:type="pct"/>
            <w:tcBorders>
              <w:top w:val="single" w:sz="4" w:space="0" w:color="000000"/>
              <w:left w:val="single" w:sz="4" w:space="0" w:color="000000"/>
              <w:bottom w:val="single" w:sz="4" w:space="0" w:color="000000"/>
              <w:right w:val="single" w:sz="4" w:space="0" w:color="000000"/>
            </w:tcBorders>
            <w:hideMark/>
          </w:tcPr>
          <w:p w14:paraId="0CFD17E2" w14:textId="77777777" w:rsidR="00A76826" w:rsidRPr="004714C6" w:rsidRDefault="00A76826" w:rsidP="00FB1973">
            <w:pPr>
              <w:widowControl w:val="0"/>
              <w:autoSpaceDE w:val="0"/>
              <w:autoSpaceDN w:val="0"/>
              <w:adjustRightInd w:val="0"/>
              <w:ind w:left="826" w:right="806"/>
              <w:rPr>
                <w:kern w:val="2"/>
                <w:sz w:val="24"/>
                <w:szCs w:val="24"/>
                <w14:ligatures w14:val="standardContextual"/>
              </w:rPr>
            </w:pPr>
            <w:r w:rsidRPr="004714C6">
              <w:rPr>
                <w:kern w:val="2"/>
                <w:sz w:val="24"/>
                <w:szCs w:val="24"/>
                <w14:ligatures w14:val="standardContextual"/>
              </w:rPr>
              <w:t>1,07</w:t>
            </w:r>
          </w:p>
        </w:tc>
        <w:tc>
          <w:tcPr>
            <w:tcW w:w="1190" w:type="pct"/>
            <w:tcBorders>
              <w:top w:val="single" w:sz="4" w:space="0" w:color="000000"/>
              <w:left w:val="single" w:sz="4" w:space="0" w:color="000000"/>
              <w:bottom w:val="single" w:sz="4" w:space="0" w:color="000000"/>
              <w:right w:val="single" w:sz="4" w:space="0" w:color="000000"/>
            </w:tcBorders>
          </w:tcPr>
          <w:p w14:paraId="648A005B" w14:textId="77777777" w:rsidR="00A76826" w:rsidRPr="004714C6" w:rsidRDefault="00A76826" w:rsidP="00FB1973">
            <w:pPr>
              <w:widowControl w:val="0"/>
              <w:autoSpaceDE w:val="0"/>
              <w:autoSpaceDN w:val="0"/>
              <w:adjustRightInd w:val="0"/>
              <w:rPr>
                <w:kern w:val="2"/>
                <w:sz w:val="24"/>
                <w:szCs w:val="24"/>
                <w14:ligatures w14:val="standardContextual"/>
              </w:rPr>
            </w:pPr>
          </w:p>
        </w:tc>
      </w:tr>
      <w:tr w:rsidR="00A76826" w:rsidRPr="004714C6" w14:paraId="53CD8B79" w14:textId="77777777" w:rsidTr="00FB1973">
        <w:trPr>
          <w:trHeight w:val="20"/>
        </w:trPr>
        <w:tc>
          <w:tcPr>
            <w:tcW w:w="1465" w:type="pct"/>
            <w:tcBorders>
              <w:top w:val="single" w:sz="4" w:space="0" w:color="000000"/>
              <w:left w:val="single" w:sz="4" w:space="0" w:color="000000"/>
              <w:bottom w:val="single" w:sz="4" w:space="0" w:color="000000"/>
              <w:right w:val="single" w:sz="4" w:space="0" w:color="000000"/>
            </w:tcBorders>
            <w:hideMark/>
          </w:tcPr>
          <w:p w14:paraId="38D1C436" w14:textId="77777777" w:rsidR="00A76826" w:rsidRPr="004714C6" w:rsidRDefault="00A76826" w:rsidP="00FB1973">
            <w:pPr>
              <w:widowControl w:val="0"/>
              <w:autoSpaceDE w:val="0"/>
              <w:autoSpaceDN w:val="0"/>
              <w:adjustRightInd w:val="0"/>
              <w:ind w:left="100" w:right="-20"/>
              <w:rPr>
                <w:kern w:val="2"/>
                <w:sz w:val="24"/>
                <w:szCs w:val="24"/>
                <w14:ligatures w14:val="standardContextual"/>
              </w:rPr>
            </w:pPr>
            <w:r w:rsidRPr="004714C6">
              <w:rPr>
                <w:kern w:val="2"/>
                <w:sz w:val="24"/>
                <w:szCs w:val="24"/>
                <w14:ligatures w14:val="standardContextual"/>
              </w:rPr>
              <w:t>95 % konfidensinterval</w:t>
            </w:r>
          </w:p>
        </w:tc>
        <w:tc>
          <w:tcPr>
            <w:tcW w:w="1173" w:type="pct"/>
            <w:tcBorders>
              <w:top w:val="single" w:sz="4" w:space="0" w:color="000000"/>
              <w:left w:val="single" w:sz="4" w:space="0" w:color="000000"/>
              <w:bottom w:val="single" w:sz="4" w:space="0" w:color="000000"/>
              <w:right w:val="single" w:sz="4" w:space="0" w:color="000000"/>
            </w:tcBorders>
            <w:hideMark/>
          </w:tcPr>
          <w:p w14:paraId="62613005" w14:textId="77777777" w:rsidR="00A76826" w:rsidRPr="004714C6" w:rsidRDefault="00A76826" w:rsidP="00FB1973">
            <w:pPr>
              <w:widowControl w:val="0"/>
              <w:autoSpaceDE w:val="0"/>
              <w:autoSpaceDN w:val="0"/>
              <w:adjustRightInd w:val="0"/>
              <w:ind w:left="544" w:right="-20"/>
              <w:rPr>
                <w:kern w:val="2"/>
                <w:sz w:val="24"/>
                <w:szCs w:val="24"/>
                <w14:ligatures w14:val="standardContextual"/>
              </w:rPr>
            </w:pPr>
            <w:r w:rsidRPr="004714C6">
              <w:rPr>
                <w:kern w:val="2"/>
                <w:sz w:val="24"/>
                <w:szCs w:val="24"/>
                <w14:ligatures w14:val="standardContextual"/>
              </w:rPr>
              <w:t>(0,82; 1,13)</w:t>
            </w:r>
          </w:p>
        </w:tc>
        <w:tc>
          <w:tcPr>
            <w:tcW w:w="1171" w:type="pct"/>
            <w:tcBorders>
              <w:top w:val="single" w:sz="4" w:space="0" w:color="000000"/>
              <w:left w:val="single" w:sz="4" w:space="0" w:color="000000"/>
              <w:bottom w:val="single" w:sz="4" w:space="0" w:color="000000"/>
              <w:right w:val="single" w:sz="4" w:space="0" w:color="000000"/>
            </w:tcBorders>
            <w:hideMark/>
          </w:tcPr>
          <w:p w14:paraId="457C18F1" w14:textId="77777777" w:rsidR="00A76826" w:rsidRPr="004714C6" w:rsidRDefault="00A76826" w:rsidP="00FB1973">
            <w:pPr>
              <w:widowControl w:val="0"/>
              <w:autoSpaceDE w:val="0"/>
              <w:autoSpaceDN w:val="0"/>
              <w:adjustRightInd w:val="0"/>
              <w:ind w:left="541" w:right="-20"/>
              <w:rPr>
                <w:kern w:val="2"/>
                <w:sz w:val="24"/>
                <w:szCs w:val="24"/>
                <w14:ligatures w14:val="standardContextual"/>
              </w:rPr>
            </w:pPr>
            <w:r w:rsidRPr="004714C6">
              <w:rPr>
                <w:kern w:val="2"/>
                <w:sz w:val="24"/>
                <w:szCs w:val="24"/>
                <w14:ligatures w14:val="standardContextual"/>
              </w:rPr>
              <w:t>(0,92; 1,25)</w:t>
            </w:r>
          </w:p>
        </w:tc>
        <w:tc>
          <w:tcPr>
            <w:tcW w:w="1190" w:type="pct"/>
            <w:tcBorders>
              <w:top w:val="single" w:sz="4" w:space="0" w:color="000000"/>
              <w:left w:val="single" w:sz="4" w:space="0" w:color="000000"/>
              <w:bottom w:val="single" w:sz="4" w:space="0" w:color="000000"/>
              <w:right w:val="single" w:sz="4" w:space="0" w:color="000000"/>
            </w:tcBorders>
          </w:tcPr>
          <w:p w14:paraId="44D5A952" w14:textId="77777777" w:rsidR="00A76826" w:rsidRPr="004714C6" w:rsidRDefault="00A76826" w:rsidP="00FB1973">
            <w:pPr>
              <w:widowControl w:val="0"/>
              <w:autoSpaceDE w:val="0"/>
              <w:autoSpaceDN w:val="0"/>
              <w:adjustRightInd w:val="0"/>
              <w:rPr>
                <w:kern w:val="2"/>
                <w:sz w:val="24"/>
                <w:szCs w:val="24"/>
                <w14:ligatures w14:val="standardContextual"/>
              </w:rPr>
            </w:pPr>
          </w:p>
        </w:tc>
      </w:tr>
    </w:tbl>
    <w:p w14:paraId="0F6C9540" w14:textId="77777777" w:rsidR="00A76826" w:rsidRPr="004714C6" w:rsidRDefault="00A76826" w:rsidP="00A76826">
      <w:pPr>
        <w:widowControl w:val="0"/>
        <w:autoSpaceDE w:val="0"/>
        <w:autoSpaceDN w:val="0"/>
        <w:adjustRightInd w:val="0"/>
        <w:spacing w:line="246" w:lineRule="exact"/>
        <w:ind w:right="-20"/>
        <w:rPr>
          <w:sz w:val="24"/>
          <w:szCs w:val="24"/>
        </w:rPr>
      </w:pPr>
    </w:p>
    <w:p w14:paraId="53A66821" w14:textId="77777777" w:rsidR="00A76826" w:rsidRPr="004714C6" w:rsidRDefault="00A76826" w:rsidP="00A76826">
      <w:pPr>
        <w:keepNext/>
        <w:autoSpaceDE w:val="0"/>
        <w:autoSpaceDN w:val="0"/>
        <w:adjustRightInd w:val="0"/>
        <w:spacing w:line="246" w:lineRule="exact"/>
        <w:ind w:left="1440" w:right="-23" w:hanging="1440"/>
        <w:rPr>
          <w:b/>
          <w:bCs/>
          <w:sz w:val="24"/>
          <w:szCs w:val="24"/>
        </w:rPr>
      </w:pPr>
      <w:r w:rsidRPr="004714C6">
        <w:rPr>
          <w:b/>
          <w:bCs/>
          <w:sz w:val="24"/>
          <w:szCs w:val="24"/>
        </w:rPr>
        <w:t>Tabel 21:</w:t>
      </w:r>
      <w:r w:rsidRPr="004714C6">
        <w:rPr>
          <w:b/>
          <w:bCs/>
          <w:sz w:val="24"/>
          <w:szCs w:val="24"/>
        </w:rPr>
        <w:tab/>
        <w:t>Alvorlige blødningstilfælde set i henholdsvis RE-MODEL- og RE-NOVATE-studierne</w:t>
      </w:r>
    </w:p>
    <w:p w14:paraId="31F59673" w14:textId="77777777" w:rsidR="00A76826" w:rsidRPr="004714C6" w:rsidRDefault="00A76826" w:rsidP="00A76826">
      <w:pPr>
        <w:keepNext/>
        <w:autoSpaceDE w:val="0"/>
        <w:autoSpaceDN w:val="0"/>
        <w:adjustRightInd w:val="0"/>
        <w:spacing w:line="246" w:lineRule="exact"/>
        <w:ind w:right="-23"/>
        <w:rPr>
          <w:sz w:val="24"/>
          <w:szCs w:val="24"/>
        </w:rPr>
      </w:pPr>
    </w:p>
    <w:tbl>
      <w:tblPr>
        <w:tblW w:w="5000" w:type="pct"/>
        <w:tblCellMar>
          <w:left w:w="0" w:type="dxa"/>
          <w:right w:w="0" w:type="dxa"/>
        </w:tblCellMar>
        <w:tblLook w:val="04A0" w:firstRow="1" w:lastRow="0" w:firstColumn="1" w:lastColumn="0" w:noHBand="0" w:noVBand="1"/>
      </w:tblPr>
      <w:tblGrid>
        <w:gridCol w:w="2829"/>
        <w:gridCol w:w="2265"/>
        <w:gridCol w:w="2266"/>
        <w:gridCol w:w="2268"/>
      </w:tblGrid>
      <w:tr w:rsidR="00A76826" w:rsidRPr="004714C6" w14:paraId="25E4FD5B"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35999929" w14:textId="77777777" w:rsidR="00A76826" w:rsidRPr="004714C6" w:rsidRDefault="00A76826" w:rsidP="00FB1973">
            <w:pPr>
              <w:widowControl w:val="0"/>
              <w:autoSpaceDE w:val="0"/>
              <w:autoSpaceDN w:val="0"/>
              <w:adjustRightInd w:val="0"/>
              <w:ind w:left="64" w:right="-20"/>
              <w:rPr>
                <w:b/>
                <w:bCs/>
                <w:kern w:val="2"/>
                <w:sz w:val="24"/>
                <w:szCs w:val="24"/>
                <w14:ligatures w14:val="standardContextual"/>
              </w:rPr>
            </w:pPr>
            <w:r w:rsidRPr="004714C6">
              <w:rPr>
                <w:b/>
                <w:bCs/>
                <w:kern w:val="2"/>
                <w:sz w:val="24"/>
                <w:szCs w:val="24"/>
                <w14:ligatures w14:val="standardContextual"/>
              </w:rPr>
              <w:t>Studier</w:t>
            </w:r>
          </w:p>
        </w:tc>
        <w:tc>
          <w:tcPr>
            <w:tcW w:w="1176" w:type="pct"/>
            <w:tcBorders>
              <w:top w:val="single" w:sz="4" w:space="0" w:color="000000"/>
              <w:left w:val="single" w:sz="4" w:space="0" w:color="000000"/>
              <w:bottom w:val="single" w:sz="4" w:space="0" w:color="000000"/>
              <w:right w:val="single" w:sz="4" w:space="0" w:color="000000"/>
            </w:tcBorders>
            <w:hideMark/>
          </w:tcPr>
          <w:p w14:paraId="60959C80" w14:textId="77777777" w:rsidR="00A76826" w:rsidRPr="004714C6" w:rsidRDefault="00A76826" w:rsidP="00FB1973">
            <w:pPr>
              <w:widowControl w:val="0"/>
              <w:autoSpaceDE w:val="0"/>
              <w:autoSpaceDN w:val="0"/>
              <w:adjustRightInd w:val="0"/>
              <w:ind w:left="64" w:right="-20"/>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220 mg én gang dagligt</w:t>
            </w:r>
          </w:p>
        </w:tc>
        <w:tc>
          <w:tcPr>
            <w:tcW w:w="1177" w:type="pct"/>
            <w:tcBorders>
              <w:top w:val="single" w:sz="4" w:space="0" w:color="000000"/>
              <w:left w:val="single" w:sz="4" w:space="0" w:color="000000"/>
              <w:bottom w:val="single" w:sz="4" w:space="0" w:color="000000"/>
              <w:right w:val="single" w:sz="4" w:space="0" w:color="000000"/>
            </w:tcBorders>
            <w:hideMark/>
          </w:tcPr>
          <w:p w14:paraId="66A1B5D6" w14:textId="77777777" w:rsidR="00A76826" w:rsidRPr="004714C6" w:rsidRDefault="00A76826" w:rsidP="00FB1973">
            <w:pPr>
              <w:widowControl w:val="0"/>
              <w:autoSpaceDE w:val="0"/>
              <w:autoSpaceDN w:val="0"/>
              <w:adjustRightInd w:val="0"/>
              <w:ind w:left="64" w:right="-20"/>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150 mg én gang dagligt</w:t>
            </w:r>
          </w:p>
        </w:tc>
        <w:tc>
          <w:tcPr>
            <w:tcW w:w="1177" w:type="pct"/>
            <w:tcBorders>
              <w:top w:val="single" w:sz="4" w:space="0" w:color="000000"/>
              <w:left w:val="single" w:sz="4" w:space="0" w:color="000000"/>
              <w:bottom w:val="single" w:sz="4" w:space="0" w:color="000000"/>
              <w:right w:val="single" w:sz="4" w:space="0" w:color="000000"/>
            </w:tcBorders>
            <w:hideMark/>
          </w:tcPr>
          <w:p w14:paraId="64C9BCB0" w14:textId="77777777" w:rsidR="00A76826" w:rsidRPr="004714C6" w:rsidRDefault="00A76826" w:rsidP="00FB1973">
            <w:pPr>
              <w:widowControl w:val="0"/>
              <w:autoSpaceDE w:val="0"/>
              <w:autoSpaceDN w:val="0"/>
              <w:adjustRightInd w:val="0"/>
              <w:ind w:left="64" w:right="-20"/>
              <w:rPr>
                <w:b/>
                <w:bCs/>
                <w:kern w:val="2"/>
                <w:sz w:val="24"/>
                <w:szCs w:val="24"/>
                <w14:ligatures w14:val="standardContextual"/>
              </w:rPr>
            </w:pPr>
            <w:r w:rsidRPr="004714C6">
              <w:rPr>
                <w:b/>
                <w:bCs/>
                <w:kern w:val="2"/>
                <w:sz w:val="24"/>
                <w:szCs w:val="24"/>
                <w14:ligatures w14:val="standardContextual"/>
              </w:rPr>
              <w:t>Enoxaparin</w:t>
            </w:r>
          </w:p>
          <w:p w14:paraId="2A58A5FF" w14:textId="77777777" w:rsidR="00A76826" w:rsidRPr="004714C6" w:rsidRDefault="00A76826" w:rsidP="00FB1973">
            <w:pPr>
              <w:widowControl w:val="0"/>
              <w:autoSpaceDE w:val="0"/>
              <w:autoSpaceDN w:val="0"/>
              <w:adjustRightInd w:val="0"/>
              <w:ind w:left="64" w:right="-20"/>
              <w:rPr>
                <w:b/>
                <w:bCs/>
                <w:kern w:val="2"/>
                <w:sz w:val="24"/>
                <w:szCs w:val="24"/>
                <w14:ligatures w14:val="standardContextual"/>
              </w:rPr>
            </w:pPr>
            <w:r w:rsidRPr="004714C6">
              <w:rPr>
                <w:b/>
                <w:bCs/>
                <w:kern w:val="2"/>
                <w:sz w:val="24"/>
                <w:szCs w:val="24"/>
                <w14:ligatures w14:val="standardContextual"/>
              </w:rPr>
              <w:t>40 </w:t>
            </w:r>
            <w:r w:rsidRPr="004714C6">
              <w:rPr>
                <w:b/>
                <w:bCs/>
                <w:spacing w:val="-1"/>
                <w:kern w:val="2"/>
                <w:sz w:val="24"/>
                <w:szCs w:val="24"/>
                <w14:ligatures w14:val="standardContextual"/>
              </w:rPr>
              <w:t>mg</w:t>
            </w:r>
          </w:p>
        </w:tc>
      </w:tr>
      <w:tr w:rsidR="00A76826" w:rsidRPr="004714C6" w14:paraId="739F07AC" w14:textId="77777777" w:rsidTr="00FB197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5CD85E1B"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spacing w:val="-4"/>
                <w:kern w:val="2"/>
                <w:sz w:val="24"/>
                <w:szCs w:val="24"/>
                <w14:ligatures w14:val="standardContextual"/>
              </w:rPr>
              <w:t xml:space="preserve">RE-NOVATE </w:t>
            </w:r>
            <w:r w:rsidRPr="004714C6">
              <w:rPr>
                <w:kern w:val="2"/>
                <w:sz w:val="24"/>
                <w:szCs w:val="24"/>
                <w14:ligatures w14:val="standardContextual"/>
              </w:rPr>
              <w:t>(hofte)</w:t>
            </w:r>
          </w:p>
        </w:tc>
      </w:tr>
      <w:tr w:rsidR="00A76826" w:rsidRPr="004714C6" w14:paraId="4B1C1BD8"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36F657D5"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Behandlede patienter N</w:t>
            </w:r>
          </w:p>
        </w:tc>
        <w:tc>
          <w:tcPr>
            <w:tcW w:w="1176" w:type="pct"/>
            <w:tcBorders>
              <w:top w:val="single" w:sz="4" w:space="0" w:color="000000"/>
              <w:left w:val="single" w:sz="4" w:space="0" w:color="000000"/>
              <w:bottom w:val="single" w:sz="4" w:space="0" w:color="000000"/>
              <w:right w:val="single" w:sz="4" w:space="0" w:color="000000"/>
            </w:tcBorders>
            <w:hideMark/>
          </w:tcPr>
          <w:p w14:paraId="23945415" w14:textId="77777777" w:rsidR="00A76826" w:rsidRPr="004714C6" w:rsidRDefault="00A76826" w:rsidP="00FB1973">
            <w:pPr>
              <w:widowControl w:val="0"/>
              <w:autoSpaceDE w:val="0"/>
              <w:autoSpaceDN w:val="0"/>
              <w:adjustRightInd w:val="0"/>
              <w:ind w:left="776" w:right="756"/>
              <w:rPr>
                <w:kern w:val="2"/>
                <w:sz w:val="24"/>
                <w:szCs w:val="24"/>
                <w14:ligatures w14:val="standardContextual"/>
              </w:rPr>
            </w:pPr>
            <w:r w:rsidRPr="004714C6">
              <w:rPr>
                <w:kern w:val="2"/>
                <w:sz w:val="24"/>
                <w:szCs w:val="24"/>
                <w14:ligatures w14:val="standardContextual"/>
              </w:rPr>
              <w:t>1.146</w:t>
            </w:r>
          </w:p>
        </w:tc>
        <w:tc>
          <w:tcPr>
            <w:tcW w:w="1177" w:type="pct"/>
            <w:tcBorders>
              <w:top w:val="single" w:sz="4" w:space="0" w:color="000000"/>
              <w:left w:val="single" w:sz="4" w:space="0" w:color="000000"/>
              <w:bottom w:val="single" w:sz="4" w:space="0" w:color="000000"/>
              <w:right w:val="single" w:sz="4" w:space="0" w:color="000000"/>
            </w:tcBorders>
            <w:hideMark/>
          </w:tcPr>
          <w:p w14:paraId="0C6A6AF8" w14:textId="77777777" w:rsidR="00A76826" w:rsidRPr="004714C6" w:rsidRDefault="00A76826" w:rsidP="00FB1973">
            <w:pPr>
              <w:widowControl w:val="0"/>
              <w:autoSpaceDE w:val="0"/>
              <w:autoSpaceDN w:val="0"/>
              <w:adjustRightInd w:val="0"/>
              <w:ind w:left="776" w:right="758"/>
              <w:rPr>
                <w:kern w:val="2"/>
                <w:sz w:val="24"/>
                <w:szCs w:val="24"/>
                <w14:ligatures w14:val="standardContextual"/>
              </w:rPr>
            </w:pPr>
            <w:r w:rsidRPr="004714C6">
              <w:rPr>
                <w:kern w:val="2"/>
                <w:sz w:val="24"/>
                <w:szCs w:val="24"/>
                <w14:ligatures w14:val="standardContextual"/>
              </w:rPr>
              <w:t>1.163</w:t>
            </w:r>
          </w:p>
        </w:tc>
        <w:tc>
          <w:tcPr>
            <w:tcW w:w="1177" w:type="pct"/>
            <w:tcBorders>
              <w:top w:val="single" w:sz="4" w:space="0" w:color="000000"/>
              <w:left w:val="single" w:sz="4" w:space="0" w:color="000000"/>
              <w:bottom w:val="single" w:sz="4" w:space="0" w:color="000000"/>
              <w:right w:val="single" w:sz="4" w:space="0" w:color="000000"/>
            </w:tcBorders>
            <w:hideMark/>
          </w:tcPr>
          <w:p w14:paraId="69966E8E" w14:textId="77777777" w:rsidR="00A76826" w:rsidRPr="004714C6" w:rsidRDefault="00A76826" w:rsidP="00FB1973">
            <w:pPr>
              <w:widowControl w:val="0"/>
              <w:autoSpaceDE w:val="0"/>
              <w:autoSpaceDN w:val="0"/>
              <w:adjustRightInd w:val="0"/>
              <w:ind w:left="776" w:right="758"/>
              <w:rPr>
                <w:kern w:val="2"/>
                <w:sz w:val="24"/>
                <w:szCs w:val="24"/>
                <w14:ligatures w14:val="standardContextual"/>
              </w:rPr>
            </w:pPr>
            <w:r w:rsidRPr="004714C6">
              <w:rPr>
                <w:kern w:val="2"/>
                <w:sz w:val="24"/>
                <w:szCs w:val="24"/>
                <w14:ligatures w14:val="standardContextual"/>
              </w:rPr>
              <w:t>1.154</w:t>
            </w:r>
          </w:p>
        </w:tc>
      </w:tr>
      <w:tr w:rsidR="00A76826" w:rsidRPr="004714C6" w14:paraId="50391C8B"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10651AA4"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Antal alvorlige blødningstilfælde</w:t>
            </w:r>
            <w:r w:rsidRPr="004714C6">
              <w:rPr>
                <w:spacing w:val="-14"/>
                <w:kern w:val="2"/>
                <w:sz w:val="24"/>
                <w:szCs w:val="24"/>
                <w14:ligatures w14:val="standardContextual"/>
              </w:rPr>
              <w:t xml:space="preserve"> </w:t>
            </w:r>
            <w:proofErr w:type="gramStart"/>
            <w:r w:rsidRPr="004714C6">
              <w:rPr>
                <w:kern w:val="2"/>
                <w:sz w:val="24"/>
                <w:szCs w:val="24"/>
                <w14:ligatures w14:val="standardContextual"/>
              </w:rPr>
              <w:t>N(</w:t>
            </w:r>
            <w:proofErr w:type="gramEnd"/>
            <w:r w:rsidRPr="004714C6">
              <w:rPr>
                <w:kern w:val="2"/>
                <w:sz w:val="24"/>
                <w:szCs w:val="24"/>
                <w14:ligatures w14:val="standardContextual"/>
              </w:rPr>
              <w:t>%)</w:t>
            </w:r>
          </w:p>
        </w:tc>
        <w:tc>
          <w:tcPr>
            <w:tcW w:w="1176" w:type="pct"/>
            <w:tcBorders>
              <w:top w:val="single" w:sz="4" w:space="0" w:color="000000"/>
              <w:left w:val="single" w:sz="4" w:space="0" w:color="000000"/>
              <w:bottom w:val="single" w:sz="4" w:space="0" w:color="000000"/>
              <w:right w:val="single" w:sz="4" w:space="0" w:color="000000"/>
            </w:tcBorders>
            <w:hideMark/>
          </w:tcPr>
          <w:p w14:paraId="11BBD202" w14:textId="77777777" w:rsidR="00A76826" w:rsidRPr="004714C6" w:rsidRDefault="00A76826" w:rsidP="00FB1973">
            <w:pPr>
              <w:widowControl w:val="0"/>
              <w:autoSpaceDE w:val="0"/>
              <w:autoSpaceDN w:val="0"/>
              <w:adjustRightInd w:val="0"/>
              <w:ind w:left="675" w:right="656"/>
              <w:rPr>
                <w:kern w:val="2"/>
                <w:sz w:val="24"/>
                <w:szCs w:val="24"/>
                <w14:ligatures w14:val="standardContextual"/>
              </w:rPr>
            </w:pPr>
            <w:r w:rsidRPr="004714C6">
              <w:rPr>
                <w:kern w:val="2"/>
                <w:sz w:val="24"/>
                <w:szCs w:val="24"/>
                <w14:ligatures w14:val="standardContextual"/>
              </w:rPr>
              <w:t>23 (2,0)</w:t>
            </w:r>
          </w:p>
        </w:tc>
        <w:tc>
          <w:tcPr>
            <w:tcW w:w="1177" w:type="pct"/>
            <w:tcBorders>
              <w:top w:val="single" w:sz="4" w:space="0" w:color="000000"/>
              <w:left w:val="single" w:sz="4" w:space="0" w:color="000000"/>
              <w:bottom w:val="single" w:sz="4" w:space="0" w:color="000000"/>
              <w:right w:val="single" w:sz="4" w:space="0" w:color="000000"/>
            </w:tcBorders>
            <w:hideMark/>
          </w:tcPr>
          <w:p w14:paraId="6D7454B1" w14:textId="77777777" w:rsidR="00A76826" w:rsidRPr="004714C6" w:rsidRDefault="00A76826" w:rsidP="00FB1973">
            <w:pPr>
              <w:widowControl w:val="0"/>
              <w:autoSpaceDE w:val="0"/>
              <w:autoSpaceDN w:val="0"/>
              <w:adjustRightInd w:val="0"/>
              <w:ind w:left="675" w:right="659"/>
              <w:rPr>
                <w:kern w:val="2"/>
                <w:sz w:val="24"/>
                <w:szCs w:val="24"/>
                <w14:ligatures w14:val="standardContextual"/>
              </w:rPr>
            </w:pPr>
            <w:r w:rsidRPr="004714C6">
              <w:rPr>
                <w:kern w:val="2"/>
                <w:sz w:val="24"/>
                <w:szCs w:val="24"/>
                <w14:ligatures w14:val="standardContextual"/>
              </w:rPr>
              <w:t>15 (1,3)</w:t>
            </w:r>
          </w:p>
        </w:tc>
        <w:tc>
          <w:tcPr>
            <w:tcW w:w="1177" w:type="pct"/>
            <w:tcBorders>
              <w:top w:val="single" w:sz="4" w:space="0" w:color="000000"/>
              <w:left w:val="single" w:sz="4" w:space="0" w:color="000000"/>
              <w:bottom w:val="single" w:sz="4" w:space="0" w:color="000000"/>
              <w:right w:val="single" w:sz="4" w:space="0" w:color="000000"/>
            </w:tcBorders>
            <w:hideMark/>
          </w:tcPr>
          <w:p w14:paraId="22E1EC75" w14:textId="77777777" w:rsidR="00A76826" w:rsidRPr="004714C6" w:rsidRDefault="00A76826" w:rsidP="00FB1973">
            <w:pPr>
              <w:widowControl w:val="0"/>
              <w:autoSpaceDE w:val="0"/>
              <w:autoSpaceDN w:val="0"/>
              <w:adjustRightInd w:val="0"/>
              <w:ind w:left="675" w:right="659"/>
              <w:rPr>
                <w:kern w:val="2"/>
                <w:sz w:val="24"/>
                <w:szCs w:val="24"/>
                <w14:ligatures w14:val="standardContextual"/>
              </w:rPr>
            </w:pPr>
            <w:r w:rsidRPr="004714C6">
              <w:rPr>
                <w:kern w:val="2"/>
                <w:sz w:val="24"/>
                <w:szCs w:val="24"/>
                <w14:ligatures w14:val="standardContextual"/>
              </w:rPr>
              <w:t>18 (1,6)</w:t>
            </w:r>
          </w:p>
        </w:tc>
      </w:tr>
      <w:tr w:rsidR="00A76826" w:rsidRPr="004714C6" w14:paraId="03226A98" w14:textId="77777777" w:rsidTr="00FB1973">
        <w:trPr>
          <w:trHeight w:val="20"/>
        </w:trPr>
        <w:tc>
          <w:tcPr>
            <w:tcW w:w="5000" w:type="pct"/>
            <w:gridSpan w:val="4"/>
            <w:tcBorders>
              <w:top w:val="single" w:sz="4" w:space="0" w:color="000000"/>
              <w:left w:val="single" w:sz="4" w:space="0" w:color="000000"/>
              <w:bottom w:val="single" w:sz="4" w:space="0" w:color="000000"/>
              <w:right w:val="single" w:sz="4" w:space="0" w:color="000000"/>
            </w:tcBorders>
            <w:hideMark/>
          </w:tcPr>
          <w:p w14:paraId="3A08EABF"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spacing w:val="-4"/>
                <w:kern w:val="2"/>
                <w:sz w:val="24"/>
                <w:szCs w:val="24"/>
                <w14:ligatures w14:val="standardContextual"/>
              </w:rPr>
              <w:t xml:space="preserve">RE-MODEL </w:t>
            </w:r>
            <w:r w:rsidRPr="004714C6">
              <w:rPr>
                <w:kern w:val="2"/>
                <w:sz w:val="24"/>
                <w:szCs w:val="24"/>
                <w14:ligatures w14:val="standardContextual"/>
              </w:rPr>
              <w:t>(knæ)</w:t>
            </w:r>
          </w:p>
        </w:tc>
      </w:tr>
      <w:tr w:rsidR="00A76826" w:rsidRPr="004714C6" w14:paraId="07F598E8"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5A600E74"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Behandlede patienter N</w:t>
            </w:r>
          </w:p>
        </w:tc>
        <w:tc>
          <w:tcPr>
            <w:tcW w:w="1176" w:type="pct"/>
            <w:tcBorders>
              <w:top w:val="single" w:sz="4" w:space="0" w:color="000000"/>
              <w:left w:val="single" w:sz="4" w:space="0" w:color="000000"/>
              <w:bottom w:val="single" w:sz="4" w:space="0" w:color="000000"/>
              <w:right w:val="single" w:sz="4" w:space="0" w:color="000000"/>
            </w:tcBorders>
            <w:hideMark/>
          </w:tcPr>
          <w:p w14:paraId="32174BB0" w14:textId="77777777" w:rsidR="00A76826" w:rsidRPr="004714C6" w:rsidRDefault="00A76826" w:rsidP="00FB1973">
            <w:pPr>
              <w:widowControl w:val="0"/>
              <w:autoSpaceDE w:val="0"/>
              <w:autoSpaceDN w:val="0"/>
              <w:adjustRightInd w:val="0"/>
              <w:ind w:left="858" w:right="840"/>
              <w:rPr>
                <w:kern w:val="2"/>
                <w:sz w:val="24"/>
                <w:szCs w:val="24"/>
                <w14:ligatures w14:val="standardContextual"/>
              </w:rPr>
            </w:pPr>
            <w:r w:rsidRPr="004714C6">
              <w:rPr>
                <w:kern w:val="2"/>
                <w:sz w:val="24"/>
                <w:szCs w:val="24"/>
                <w14:ligatures w14:val="standardContextual"/>
              </w:rPr>
              <w:t>679</w:t>
            </w:r>
          </w:p>
        </w:tc>
        <w:tc>
          <w:tcPr>
            <w:tcW w:w="1177" w:type="pct"/>
            <w:tcBorders>
              <w:top w:val="single" w:sz="4" w:space="0" w:color="000000"/>
              <w:left w:val="single" w:sz="4" w:space="0" w:color="000000"/>
              <w:bottom w:val="single" w:sz="4" w:space="0" w:color="000000"/>
              <w:right w:val="single" w:sz="4" w:space="0" w:color="000000"/>
            </w:tcBorders>
            <w:hideMark/>
          </w:tcPr>
          <w:p w14:paraId="42BF7DB9" w14:textId="77777777" w:rsidR="00A76826" w:rsidRPr="004714C6" w:rsidRDefault="00A76826" w:rsidP="00FB1973">
            <w:pPr>
              <w:widowControl w:val="0"/>
              <w:autoSpaceDE w:val="0"/>
              <w:autoSpaceDN w:val="0"/>
              <w:adjustRightInd w:val="0"/>
              <w:ind w:left="858" w:right="842"/>
              <w:rPr>
                <w:kern w:val="2"/>
                <w:sz w:val="24"/>
                <w:szCs w:val="24"/>
                <w14:ligatures w14:val="standardContextual"/>
              </w:rPr>
            </w:pPr>
            <w:r w:rsidRPr="004714C6">
              <w:rPr>
                <w:kern w:val="2"/>
                <w:sz w:val="24"/>
                <w:szCs w:val="24"/>
                <w14:ligatures w14:val="standardContextual"/>
              </w:rPr>
              <w:t>703</w:t>
            </w:r>
          </w:p>
        </w:tc>
        <w:tc>
          <w:tcPr>
            <w:tcW w:w="1177" w:type="pct"/>
            <w:tcBorders>
              <w:top w:val="single" w:sz="4" w:space="0" w:color="000000"/>
              <w:left w:val="single" w:sz="4" w:space="0" w:color="000000"/>
              <w:bottom w:val="single" w:sz="4" w:space="0" w:color="000000"/>
              <w:right w:val="single" w:sz="4" w:space="0" w:color="000000"/>
            </w:tcBorders>
            <w:hideMark/>
          </w:tcPr>
          <w:p w14:paraId="4746F36E" w14:textId="77777777" w:rsidR="00A76826" w:rsidRPr="004714C6" w:rsidRDefault="00A76826" w:rsidP="00FB1973">
            <w:pPr>
              <w:widowControl w:val="0"/>
              <w:autoSpaceDE w:val="0"/>
              <w:autoSpaceDN w:val="0"/>
              <w:adjustRightInd w:val="0"/>
              <w:ind w:left="858" w:right="842"/>
              <w:rPr>
                <w:kern w:val="2"/>
                <w:sz w:val="24"/>
                <w:szCs w:val="24"/>
                <w14:ligatures w14:val="standardContextual"/>
              </w:rPr>
            </w:pPr>
            <w:r w:rsidRPr="004714C6">
              <w:rPr>
                <w:kern w:val="2"/>
                <w:sz w:val="24"/>
                <w:szCs w:val="24"/>
                <w14:ligatures w14:val="standardContextual"/>
              </w:rPr>
              <w:t>694</w:t>
            </w:r>
          </w:p>
        </w:tc>
      </w:tr>
      <w:tr w:rsidR="00A76826" w:rsidRPr="004714C6" w14:paraId="74BB948C" w14:textId="77777777" w:rsidTr="00FB1973">
        <w:trPr>
          <w:trHeight w:val="20"/>
        </w:trPr>
        <w:tc>
          <w:tcPr>
            <w:tcW w:w="1469" w:type="pct"/>
            <w:tcBorders>
              <w:top w:val="single" w:sz="4" w:space="0" w:color="000000"/>
              <w:left w:val="single" w:sz="4" w:space="0" w:color="000000"/>
              <w:bottom w:val="single" w:sz="4" w:space="0" w:color="000000"/>
              <w:right w:val="single" w:sz="4" w:space="0" w:color="000000"/>
            </w:tcBorders>
            <w:hideMark/>
          </w:tcPr>
          <w:p w14:paraId="73F7BCDE"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 xml:space="preserve">Antal alvorlige blødningstilfælde </w:t>
            </w:r>
            <w:proofErr w:type="gramStart"/>
            <w:r w:rsidRPr="004714C6">
              <w:rPr>
                <w:kern w:val="2"/>
                <w:sz w:val="24"/>
                <w:szCs w:val="24"/>
                <w14:ligatures w14:val="standardContextual"/>
              </w:rPr>
              <w:t>N(</w:t>
            </w:r>
            <w:proofErr w:type="gramEnd"/>
            <w:r w:rsidRPr="004714C6">
              <w:rPr>
                <w:kern w:val="2"/>
                <w:sz w:val="24"/>
                <w:szCs w:val="24"/>
                <w14:ligatures w14:val="standardContextual"/>
              </w:rPr>
              <w:t>%)</w:t>
            </w:r>
          </w:p>
        </w:tc>
        <w:tc>
          <w:tcPr>
            <w:tcW w:w="1176" w:type="pct"/>
            <w:tcBorders>
              <w:top w:val="single" w:sz="4" w:space="0" w:color="000000"/>
              <w:left w:val="single" w:sz="4" w:space="0" w:color="000000"/>
              <w:bottom w:val="single" w:sz="4" w:space="0" w:color="000000"/>
              <w:right w:val="single" w:sz="4" w:space="0" w:color="000000"/>
            </w:tcBorders>
            <w:hideMark/>
          </w:tcPr>
          <w:p w14:paraId="02158085" w14:textId="77777777" w:rsidR="00A76826" w:rsidRPr="004714C6" w:rsidRDefault="00A76826" w:rsidP="00FB1973">
            <w:pPr>
              <w:widowControl w:val="0"/>
              <w:autoSpaceDE w:val="0"/>
              <w:autoSpaceDN w:val="0"/>
              <w:adjustRightInd w:val="0"/>
              <w:ind w:left="675" w:right="656"/>
              <w:rPr>
                <w:kern w:val="2"/>
                <w:sz w:val="24"/>
                <w:szCs w:val="24"/>
                <w14:ligatures w14:val="standardContextual"/>
              </w:rPr>
            </w:pPr>
            <w:r w:rsidRPr="004714C6">
              <w:rPr>
                <w:kern w:val="2"/>
                <w:sz w:val="24"/>
                <w:szCs w:val="24"/>
                <w14:ligatures w14:val="standardContextual"/>
              </w:rPr>
              <w:t>10 (1,5)</w:t>
            </w:r>
          </w:p>
        </w:tc>
        <w:tc>
          <w:tcPr>
            <w:tcW w:w="1177" w:type="pct"/>
            <w:tcBorders>
              <w:top w:val="single" w:sz="4" w:space="0" w:color="000000"/>
              <w:left w:val="single" w:sz="4" w:space="0" w:color="000000"/>
              <w:bottom w:val="single" w:sz="4" w:space="0" w:color="000000"/>
              <w:right w:val="single" w:sz="4" w:space="0" w:color="000000"/>
            </w:tcBorders>
            <w:hideMark/>
          </w:tcPr>
          <w:p w14:paraId="0DF02923" w14:textId="77777777" w:rsidR="00A76826" w:rsidRPr="004714C6" w:rsidRDefault="00A76826" w:rsidP="00FB1973">
            <w:pPr>
              <w:widowControl w:val="0"/>
              <w:autoSpaceDE w:val="0"/>
              <w:autoSpaceDN w:val="0"/>
              <w:adjustRightInd w:val="0"/>
              <w:ind w:left="730" w:right="714"/>
              <w:rPr>
                <w:kern w:val="2"/>
                <w:sz w:val="24"/>
                <w:szCs w:val="24"/>
                <w14:ligatures w14:val="standardContextual"/>
              </w:rPr>
            </w:pPr>
            <w:r w:rsidRPr="004714C6">
              <w:rPr>
                <w:kern w:val="2"/>
                <w:sz w:val="24"/>
                <w:szCs w:val="24"/>
                <w14:ligatures w14:val="standardContextual"/>
              </w:rPr>
              <w:t>9 (1,3)</w:t>
            </w:r>
          </w:p>
        </w:tc>
        <w:tc>
          <w:tcPr>
            <w:tcW w:w="1177" w:type="pct"/>
            <w:tcBorders>
              <w:top w:val="single" w:sz="4" w:space="0" w:color="000000"/>
              <w:left w:val="single" w:sz="4" w:space="0" w:color="000000"/>
              <w:bottom w:val="single" w:sz="4" w:space="0" w:color="000000"/>
              <w:right w:val="single" w:sz="4" w:space="0" w:color="000000"/>
            </w:tcBorders>
            <w:hideMark/>
          </w:tcPr>
          <w:p w14:paraId="5166EDBF" w14:textId="77777777" w:rsidR="00A76826" w:rsidRPr="004714C6" w:rsidRDefault="00A76826" w:rsidP="00FB1973">
            <w:pPr>
              <w:widowControl w:val="0"/>
              <w:autoSpaceDE w:val="0"/>
              <w:autoSpaceDN w:val="0"/>
              <w:adjustRightInd w:val="0"/>
              <w:ind w:left="730" w:right="715"/>
              <w:rPr>
                <w:kern w:val="2"/>
                <w:sz w:val="24"/>
                <w:szCs w:val="24"/>
                <w14:ligatures w14:val="standardContextual"/>
              </w:rPr>
            </w:pPr>
            <w:r w:rsidRPr="004714C6">
              <w:rPr>
                <w:kern w:val="2"/>
                <w:sz w:val="24"/>
                <w:szCs w:val="24"/>
                <w14:ligatures w14:val="standardContextual"/>
              </w:rPr>
              <w:t>9 (1</w:t>
            </w:r>
            <w:r w:rsidRPr="004714C6">
              <w:rPr>
                <w:spacing w:val="-1"/>
                <w:kern w:val="2"/>
                <w:sz w:val="24"/>
                <w:szCs w:val="24"/>
                <w14:ligatures w14:val="standardContextual"/>
              </w:rPr>
              <w:t>,3)</w:t>
            </w:r>
          </w:p>
        </w:tc>
      </w:tr>
    </w:tbl>
    <w:p w14:paraId="5B3EA8BB" w14:textId="77777777" w:rsidR="00A76826" w:rsidRPr="004714C6" w:rsidRDefault="00A76826" w:rsidP="00FB1973">
      <w:pPr>
        <w:ind w:left="851"/>
        <w:rPr>
          <w:sz w:val="24"/>
          <w:szCs w:val="24"/>
        </w:rPr>
      </w:pPr>
    </w:p>
    <w:p w14:paraId="0DDC011A" w14:textId="77777777" w:rsidR="00A76826" w:rsidRPr="004714C6" w:rsidRDefault="00A76826" w:rsidP="00FB1973">
      <w:pPr>
        <w:ind w:left="851"/>
        <w:rPr>
          <w:i/>
          <w:iCs/>
          <w:sz w:val="24"/>
          <w:szCs w:val="24"/>
        </w:rPr>
      </w:pPr>
      <w:r w:rsidRPr="004714C6">
        <w:rPr>
          <w:i/>
          <w:iCs/>
          <w:sz w:val="24"/>
          <w:szCs w:val="24"/>
        </w:rPr>
        <w:t>Forebyggelse af apopleksi og systemisk emboli hos voksne patienter med NVAF med en eller flere risikofaktorer</w:t>
      </w:r>
    </w:p>
    <w:p w14:paraId="4C22FCE4" w14:textId="77777777" w:rsidR="00A76826" w:rsidRPr="004714C6" w:rsidRDefault="00A76826" w:rsidP="00FB1973">
      <w:pPr>
        <w:ind w:left="851"/>
        <w:rPr>
          <w:sz w:val="24"/>
          <w:szCs w:val="24"/>
        </w:rPr>
      </w:pPr>
    </w:p>
    <w:p w14:paraId="754C8460" w14:textId="77777777" w:rsidR="00A76826" w:rsidRPr="004714C6" w:rsidRDefault="00A76826" w:rsidP="00FB1973">
      <w:pPr>
        <w:ind w:left="851"/>
        <w:rPr>
          <w:sz w:val="24"/>
          <w:szCs w:val="24"/>
        </w:rPr>
      </w:pPr>
      <w:r w:rsidRPr="004714C6">
        <w:rPr>
          <w:sz w:val="24"/>
          <w:szCs w:val="24"/>
        </w:rPr>
        <w:t>Den kliniske evidens for effekten af dabigatranetexilat er fra RE</w:t>
      </w:r>
      <w:r w:rsidRPr="004714C6">
        <w:rPr>
          <w:sz w:val="24"/>
          <w:szCs w:val="24"/>
        </w:rPr>
        <w:noBreakHyphen/>
        <w:t>LY</w:t>
      </w:r>
      <w:r w:rsidRPr="004714C6">
        <w:rPr>
          <w:sz w:val="24"/>
          <w:szCs w:val="24"/>
        </w:rPr>
        <w:noBreakHyphen/>
        <w:t>studiet (</w:t>
      </w:r>
      <w:r w:rsidRPr="004714C6">
        <w:rPr>
          <w:i/>
          <w:iCs/>
          <w:sz w:val="24"/>
          <w:szCs w:val="24"/>
        </w:rPr>
        <w:t>Randomised Evaluation of Long-term anticoagulant therapy</w:t>
      </w:r>
      <w:r w:rsidRPr="004714C6">
        <w:rPr>
          <w:sz w:val="24"/>
          <w:szCs w:val="24"/>
        </w:rPr>
        <w:t xml:space="preserve">) et multinationalt, randomiseret multicenterstudie med parallele grupper med 2 blindede doser af dabigatranetexilat (110 mg og 150 mg 2 gange dagligt) sammenlignet med </w:t>
      </w:r>
      <w:r w:rsidRPr="004714C6">
        <w:rPr>
          <w:i/>
          <w:iCs/>
          <w:sz w:val="24"/>
          <w:szCs w:val="24"/>
        </w:rPr>
        <w:t>open-label</w:t>
      </w:r>
      <w:r w:rsidRPr="004714C6">
        <w:rPr>
          <w:sz w:val="24"/>
          <w:szCs w:val="24"/>
        </w:rPr>
        <w:t xml:space="preserve"> warfarin hos patienter med atrieflimren med moderat til høj risiko for apopleksi og systemisk emboli. Det primære mål med dette studie var at fastslå, om dabigatranetexilat var non-inferior til warfarin i at reducere forekomsten af det sammensatte endepunkt af apopleksi og systemisk emboli. Statistisk superioritet blev også analyseret.</w:t>
      </w:r>
    </w:p>
    <w:p w14:paraId="137F5701" w14:textId="77777777" w:rsidR="00A76826" w:rsidRPr="004714C6" w:rsidRDefault="00A76826" w:rsidP="00FB1973">
      <w:pPr>
        <w:ind w:left="851"/>
        <w:rPr>
          <w:sz w:val="24"/>
          <w:szCs w:val="24"/>
        </w:rPr>
      </w:pPr>
    </w:p>
    <w:p w14:paraId="17398C38" w14:textId="77777777" w:rsidR="00A76826" w:rsidRPr="004714C6" w:rsidRDefault="00A76826" w:rsidP="00FB1973">
      <w:pPr>
        <w:ind w:left="851"/>
        <w:rPr>
          <w:sz w:val="24"/>
          <w:szCs w:val="24"/>
        </w:rPr>
      </w:pPr>
      <w:r w:rsidRPr="004714C6">
        <w:rPr>
          <w:sz w:val="24"/>
          <w:szCs w:val="24"/>
        </w:rPr>
        <w:t>I RE</w:t>
      </w:r>
      <w:r w:rsidRPr="004714C6">
        <w:rPr>
          <w:sz w:val="24"/>
          <w:szCs w:val="24"/>
        </w:rPr>
        <w:noBreakHyphen/>
        <w:t>LY</w:t>
      </w:r>
      <w:r w:rsidRPr="004714C6">
        <w:rPr>
          <w:sz w:val="24"/>
          <w:szCs w:val="24"/>
        </w:rPr>
        <w:noBreakHyphen/>
        <w:t>studiet blev i alt 18.113 patienter randomiseret. Disse havde en gennemsnitsalder på 71,5 år og en gennemsnitlig CHADS</w:t>
      </w:r>
      <w:r w:rsidRPr="004714C6">
        <w:rPr>
          <w:sz w:val="24"/>
          <w:szCs w:val="24"/>
          <w:vertAlign w:val="subscript"/>
        </w:rPr>
        <w:t>2</w:t>
      </w:r>
      <w:r w:rsidRPr="004714C6">
        <w:rPr>
          <w:sz w:val="24"/>
          <w:szCs w:val="24"/>
        </w:rPr>
        <w:t>-score på 2,1. I patientpopulationen var 64 % mænd, 70 % var kaukasiske og 16 % asiatiske. For patienter randomiseret til warfarin var den gennemsnitlige tid i terapeutisk interval (TTR) (INR 2</w:t>
      </w:r>
      <w:r w:rsidRPr="004714C6">
        <w:rPr>
          <w:sz w:val="24"/>
          <w:szCs w:val="24"/>
        </w:rPr>
        <w:noBreakHyphen/>
        <w:t>3) 64,4 % (median TTR 67 %).</w:t>
      </w:r>
    </w:p>
    <w:p w14:paraId="15C5056E" w14:textId="77777777" w:rsidR="00A76826" w:rsidRPr="004714C6" w:rsidRDefault="00A76826" w:rsidP="00FB1973">
      <w:pPr>
        <w:ind w:left="851"/>
        <w:rPr>
          <w:sz w:val="24"/>
          <w:szCs w:val="24"/>
        </w:rPr>
      </w:pPr>
    </w:p>
    <w:p w14:paraId="426E1292" w14:textId="77777777" w:rsidR="00A76826" w:rsidRPr="004714C6" w:rsidRDefault="00A76826" w:rsidP="00FB1973">
      <w:pPr>
        <w:ind w:left="851"/>
        <w:rPr>
          <w:sz w:val="24"/>
          <w:szCs w:val="24"/>
        </w:rPr>
      </w:pPr>
      <w:r w:rsidRPr="004714C6">
        <w:rPr>
          <w:sz w:val="24"/>
          <w:szCs w:val="24"/>
        </w:rPr>
        <w:t>RE-LY-studiet viste, at dabigatranetexilat 110 mg 2 gange dagligt er non</w:t>
      </w:r>
      <w:r w:rsidRPr="004714C6">
        <w:rPr>
          <w:sz w:val="24"/>
          <w:szCs w:val="24"/>
        </w:rPr>
        <w:noBreakHyphen/>
        <w:t>inferior til warfarin ved forebyggelse af apopleksi og systemisk emboli hos patienter med atrieflimren og medfører en reduceret risiko for intrakraniel blødning, alle blødninger og alvorlige blødninger. En dosis på 150 mg 2 gange dagligt reducerer signifikant risikoen for iskæmisk og hæmoragisk apopleksi, vaskulær død, intrakraniel blødning og alle blødninger i forhold til warfarin. Hyppigheden af alvorlige blødninger med denne dosis var sammenligneligt med warfarin. Hyppigheden af myokardieinfarkter var med dabigatranetexilat 110 mg 2 gange dagligt og 150 mg 2 gange dagligt lidt forhøjet, når sammenlignet med warfarin (</w:t>
      </w:r>
      <w:r w:rsidRPr="004714C6">
        <w:rPr>
          <w:i/>
          <w:iCs/>
          <w:sz w:val="24"/>
          <w:szCs w:val="24"/>
        </w:rPr>
        <w:t>hazard ratio</w:t>
      </w:r>
      <w:r w:rsidRPr="004714C6">
        <w:rPr>
          <w:sz w:val="24"/>
          <w:szCs w:val="24"/>
        </w:rPr>
        <w:t xml:space="preserve"> 1,29, p = 0,0929 og </w:t>
      </w:r>
      <w:r w:rsidRPr="004714C6">
        <w:rPr>
          <w:i/>
          <w:iCs/>
          <w:sz w:val="24"/>
          <w:szCs w:val="24"/>
        </w:rPr>
        <w:t>hazard ratio</w:t>
      </w:r>
      <w:r w:rsidRPr="004714C6">
        <w:rPr>
          <w:sz w:val="24"/>
          <w:szCs w:val="24"/>
        </w:rPr>
        <w:t> 1,27, p = 0,1240, henholdsvis). Med en forbedret overvågning af INR vil de observerede fordele ved dabigatranetexilat aftage i forhold til warfarin.</w:t>
      </w:r>
    </w:p>
    <w:p w14:paraId="13CB3B11" w14:textId="77777777" w:rsidR="00A76826" w:rsidRPr="004714C6" w:rsidRDefault="00A76826" w:rsidP="00FB1973">
      <w:pPr>
        <w:ind w:left="851"/>
        <w:rPr>
          <w:sz w:val="24"/>
          <w:szCs w:val="24"/>
        </w:rPr>
      </w:pPr>
    </w:p>
    <w:p w14:paraId="76A5AE59" w14:textId="77777777" w:rsidR="00A76826" w:rsidRPr="004714C6" w:rsidRDefault="00A76826" w:rsidP="00FB1973">
      <w:pPr>
        <w:ind w:left="851"/>
        <w:rPr>
          <w:sz w:val="24"/>
          <w:szCs w:val="24"/>
        </w:rPr>
      </w:pPr>
      <w:r w:rsidRPr="004714C6">
        <w:rPr>
          <w:sz w:val="24"/>
          <w:szCs w:val="24"/>
        </w:rPr>
        <w:t>Tabel 22</w:t>
      </w:r>
      <w:r w:rsidRPr="004714C6">
        <w:rPr>
          <w:sz w:val="24"/>
          <w:szCs w:val="24"/>
        </w:rPr>
        <w:noBreakHyphen/>
        <w:t>24 viser i detaljer de vigtigste resultater i den samlede population:</w:t>
      </w:r>
    </w:p>
    <w:p w14:paraId="4D1E8EDB" w14:textId="37DBBAB0" w:rsidR="00326117" w:rsidRDefault="00326117">
      <w:pPr>
        <w:rPr>
          <w:sz w:val="24"/>
          <w:szCs w:val="24"/>
        </w:rPr>
      </w:pPr>
      <w:r>
        <w:rPr>
          <w:sz w:val="24"/>
          <w:szCs w:val="24"/>
        </w:rPr>
        <w:br w:type="page"/>
      </w:r>
    </w:p>
    <w:p w14:paraId="0395B9BA" w14:textId="77777777" w:rsidR="00A76826" w:rsidRPr="004714C6" w:rsidRDefault="00A76826" w:rsidP="00FB1973">
      <w:pPr>
        <w:ind w:left="851"/>
        <w:rPr>
          <w:sz w:val="24"/>
          <w:szCs w:val="24"/>
        </w:rPr>
      </w:pPr>
    </w:p>
    <w:p w14:paraId="285B5195"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22:</w:t>
      </w:r>
      <w:r w:rsidRPr="004714C6">
        <w:rPr>
          <w:b/>
          <w:bCs/>
          <w:sz w:val="24"/>
          <w:szCs w:val="24"/>
        </w:rPr>
        <w:tab/>
        <w:t>Analyse af første forekomst af apopleksi eller systemisk emboli (primært endepunkt) i studieperioden i RE-LY</w:t>
      </w:r>
    </w:p>
    <w:p w14:paraId="52559BCB"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626"/>
        <w:gridCol w:w="2519"/>
        <w:gridCol w:w="2403"/>
        <w:gridCol w:w="2080"/>
      </w:tblGrid>
      <w:tr w:rsidR="00A76826" w:rsidRPr="004714C6" w14:paraId="5D5F6C91" w14:textId="77777777" w:rsidTr="00FB1973">
        <w:trPr>
          <w:trHeight w:val="20"/>
        </w:trPr>
        <w:tc>
          <w:tcPr>
            <w:tcW w:w="1364" w:type="pct"/>
            <w:tcBorders>
              <w:top w:val="single" w:sz="4" w:space="0" w:color="000000"/>
              <w:left w:val="single" w:sz="4" w:space="0" w:color="000000"/>
              <w:bottom w:val="single" w:sz="4" w:space="0" w:color="000000"/>
              <w:right w:val="single" w:sz="4" w:space="0" w:color="000000"/>
            </w:tcBorders>
          </w:tcPr>
          <w:p w14:paraId="39468C58" w14:textId="77777777" w:rsidR="00A76826" w:rsidRPr="004714C6" w:rsidRDefault="00A76826" w:rsidP="00FB1973">
            <w:pPr>
              <w:widowControl w:val="0"/>
              <w:autoSpaceDE w:val="0"/>
              <w:autoSpaceDN w:val="0"/>
              <w:adjustRightInd w:val="0"/>
              <w:jc w:val="both"/>
              <w:rPr>
                <w:b/>
                <w:bCs/>
                <w:kern w:val="2"/>
                <w:sz w:val="24"/>
                <w:szCs w:val="24"/>
                <w14:ligatures w14:val="standardContextual"/>
              </w:rPr>
            </w:pPr>
          </w:p>
        </w:tc>
        <w:tc>
          <w:tcPr>
            <w:tcW w:w="1308" w:type="pct"/>
            <w:tcBorders>
              <w:top w:val="single" w:sz="4" w:space="0" w:color="000000"/>
              <w:left w:val="single" w:sz="4" w:space="0" w:color="000000"/>
              <w:bottom w:val="single" w:sz="4" w:space="0" w:color="000000"/>
              <w:right w:val="single" w:sz="4" w:space="0" w:color="000000"/>
            </w:tcBorders>
            <w:hideMark/>
          </w:tcPr>
          <w:p w14:paraId="6282DE63" w14:textId="77777777" w:rsidR="00A76826" w:rsidRPr="004714C6" w:rsidRDefault="00A76826" w:rsidP="00FB1973">
            <w:pPr>
              <w:widowControl w:val="0"/>
              <w:autoSpaceDE w:val="0"/>
              <w:autoSpaceDN w:val="0"/>
              <w:adjustRightInd w:val="0"/>
              <w:ind w:right="276"/>
              <w:jc w:val="center"/>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110 mg 2 gange dagligt</w:t>
            </w:r>
          </w:p>
        </w:tc>
        <w:tc>
          <w:tcPr>
            <w:tcW w:w="1248" w:type="pct"/>
            <w:tcBorders>
              <w:top w:val="single" w:sz="4" w:space="0" w:color="000000"/>
              <w:left w:val="single" w:sz="4" w:space="0" w:color="000000"/>
              <w:bottom w:val="single" w:sz="4" w:space="0" w:color="000000"/>
              <w:right w:val="single" w:sz="4" w:space="0" w:color="000000"/>
            </w:tcBorders>
            <w:hideMark/>
          </w:tcPr>
          <w:p w14:paraId="519A74AC" w14:textId="77777777" w:rsidR="00A76826" w:rsidRPr="004714C6" w:rsidRDefault="00A76826" w:rsidP="00FB1973">
            <w:pPr>
              <w:widowControl w:val="0"/>
              <w:autoSpaceDE w:val="0"/>
              <w:autoSpaceDN w:val="0"/>
              <w:adjustRightInd w:val="0"/>
              <w:ind w:right="214"/>
              <w:jc w:val="center"/>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150 mg 2 gange dagligt</w:t>
            </w:r>
          </w:p>
        </w:tc>
        <w:tc>
          <w:tcPr>
            <w:tcW w:w="1080" w:type="pct"/>
            <w:tcBorders>
              <w:top w:val="single" w:sz="4" w:space="0" w:color="000000"/>
              <w:left w:val="single" w:sz="4" w:space="0" w:color="000000"/>
              <w:bottom w:val="single" w:sz="4" w:space="0" w:color="000000"/>
              <w:right w:val="single" w:sz="4" w:space="0" w:color="000000"/>
            </w:tcBorders>
            <w:hideMark/>
          </w:tcPr>
          <w:p w14:paraId="2D7ADC3A" w14:textId="77777777" w:rsidR="00A76826" w:rsidRPr="004714C6" w:rsidRDefault="00A76826" w:rsidP="00FB1973">
            <w:pPr>
              <w:widowControl w:val="0"/>
              <w:autoSpaceDE w:val="0"/>
              <w:autoSpaceDN w:val="0"/>
              <w:adjustRightInd w:val="0"/>
              <w:ind w:right="-20"/>
              <w:jc w:val="center"/>
              <w:rPr>
                <w:b/>
                <w:bCs/>
                <w:kern w:val="2"/>
                <w:sz w:val="24"/>
                <w:szCs w:val="24"/>
                <w14:ligatures w14:val="standardContextual"/>
              </w:rPr>
            </w:pPr>
            <w:r w:rsidRPr="004714C6">
              <w:rPr>
                <w:b/>
                <w:bCs/>
                <w:kern w:val="2"/>
                <w:sz w:val="24"/>
                <w:szCs w:val="24"/>
                <w14:ligatures w14:val="standardContextual"/>
              </w:rPr>
              <w:t>Warfarin</w:t>
            </w:r>
          </w:p>
        </w:tc>
      </w:tr>
      <w:tr w:rsidR="00A76826" w:rsidRPr="004714C6" w14:paraId="5E53D55D" w14:textId="77777777" w:rsidTr="00FB1973">
        <w:trPr>
          <w:trHeight w:val="20"/>
        </w:trPr>
        <w:tc>
          <w:tcPr>
            <w:tcW w:w="1364" w:type="pct"/>
            <w:tcBorders>
              <w:top w:val="single" w:sz="4" w:space="0" w:color="000000"/>
              <w:left w:val="single" w:sz="4" w:space="0" w:color="000000"/>
              <w:bottom w:val="single" w:sz="4" w:space="0" w:color="000000"/>
              <w:right w:val="single" w:sz="4" w:space="0" w:color="000000"/>
            </w:tcBorders>
            <w:hideMark/>
          </w:tcPr>
          <w:p w14:paraId="30D4EC2A"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Randomiserede patienter</w:t>
            </w:r>
          </w:p>
        </w:tc>
        <w:tc>
          <w:tcPr>
            <w:tcW w:w="1308" w:type="pct"/>
            <w:tcBorders>
              <w:top w:val="single" w:sz="4" w:space="0" w:color="000000"/>
              <w:left w:val="single" w:sz="4" w:space="0" w:color="000000"/>
              <w:bottom w:val="single" w:sz="4" w:space="0" w:color="000000"/>
              <w:right w:val="single" w:sz="4" w:space="0" w:color="000000"/>
            </w:tcBorders>
            <w:hideMark/>
          </w:tcPr>
          <w:p w14:paraId="7374D9E7" w14:textId="77777777" w:rsidR="00A76826" w:rsidRPr="004714C6" w:rsidRDefault="00A76826" w:rsidP="00FB1973">
            <w:pPr>
              <w:widowControl w:val="0"/>
              <w:autoSpaceDE w:val="0"/>
              <w:autoSpaceDN w:val="0"/>
              <w:adjustRightInd w:val="0"/>
              <w:ind w:left="896" w:right="876"/>
              <w:jc w:val="both"/>
              <w:rPr>
                <w:kern w:val="2"/>
                <w:sz w:val="24"/>
                <w:szCs w:val="24"/>
                <w14:ligatures w14:val="standardContextual"/>
              </w:rPr>
            </w:pPr>
            <w:r w:rsidRPr="004714C6">
              <w:rPr>
                <w:kern w:val="2"/>
                <w:sz w:val="24"/>
                <w:szCs w:val="24"/>
                <w14:ligatures w14:val="standardContextual"/>
              </w:rPr>
              <w:t>6.015</w:t>
            </w:r>
          </w:p>
        </w:tc>
        <w:tc>
          <w:tcPr>
            <w:tcW w:w="1248" w:type="pct"/>
            <w:tcBorders>
              <w:top w:val="single" w:sz="4" w:space="0" w:color="000000"/>
              <w:left w:val="single" w:sz="4" w:space="0" w:color="000000"/>
              <w:bottom w:val="single" w:sz="4" w:space="0" w:color="000000"/>
              <w:right w:val="single" w:sz="4" w:space="0" w:color="000000"/>
            </w:tcBorders>
            <w:hideMark/>
          </w:tcPr>
          <w:p w14:paraId="64D85A2B" w14:textId="77777777" w:rsidR="00A76826" w:rsidRPr="004714C6" w:rsidRDefault="00A76826" w:rsidP="00FB1973">
            <w:pPr>
              <w:widowControl w:val="0"/>
              <w:autoSpaceDE w:val="0"/>
              <w:autoSpaceDN w:val="0"/>
              <w:adjustRightInd w:val="0"/>
              <w:ind w:left="831" w:right="811"/>
              <w:jc w:val="both"/>
              <w:rPr>
                <w:kern w:val="2"/>
                <w:sz w:val="24"/>
                <w:szCs w:val="24"/>
                <w14:ligatures w14:val="standardContextual"/>
              </w:rPr>
            </w:pPr>
            <w:r w:rsidRPr="004714C6">
              <w:rPr>
                <w:kern w:val="2"/>
                <w:sz w:val="24"/>
                <w:szCs w:val="24"/>
                <w14:ligatures w14:val="standardContextual"/>
              </w:rPr>
              <w:t>6.076</w:t>
            </w:r>
          </w:p>
        </w:tc>
        <w:tc>
          <w:tcPr>
            <w:tcW w:w="1080" w:type="pct"/>
            <w:tcBorders>
              <w:top w:val="single" w:sz="4" w:space="0" w:color="000000"/>
              <w:left w:val="single" w:sz="4" w:space="0" w:color="000000"/>
              <w:bottom w:val="single" w:sz="4" w:space="0" w:color="000000"/>
              <w:right w:val="single" w:sz="4" w:space="0" w:color="000000"/>
            </w:tcBorders>
            <w:hideMark/>
          </w:tcPr>
          <w:p w14:paraId="5B080926" w14:textId="77777777" w:rsidR="00A76826" w:rsidRPr="004714C6" w:rsidRDefault="00A76826" w:rsidP="00FB1973">
            <w:pPr>
              <w:widowControl w:val="0"/>
              <w:autoSpaceDE w:val="0"/>
              <w:autoSpaceDN w:val="0"/>
              <w:adjustRightInd w:val="0"/>
              <w:ind w:left="699" w:right="679"/>
              <w:jc w:val="both"/>
              <w:rPr>
                <w:kern w:val="2"/>
                <w:sz w:val="24"/>
                <w:szCs w:val="24"/>
                <w14:ligatures w14:val="standardContextual"/>
              </w:rPr>
            </w:pPr>
            <w:r w:rsidRPr="004714C6">
              <w:rPr>
                <w:kern w:val="2"/>
                <w:sz w:val="24"/>
                <w:szCs w:val="24"/>
                <w14:ligatures w14:val="standardContextual"/>
              </w:rPr>
              <w:t>6.022</w:t>
            </w:r>
          </w:p>
        </w:tc>
      </w:tr>
      <w:tr w:rsidR="00A76826" w:rsidRPr="004714C6" w14:paraId="447DC0DD" w14:textId="77777777" w:rsidTr="00FB1973">
        <w:trPr>
          <w:trHeight w:val="20"/>
        </w:trPr>
        <w:tc>
          <w:tcPr>
            <w:tcW w:w="1364" w:type="pct"/>
            <w:tcBorders>
              <w:top w:val="single" w:sz="4" w:space="0" w:color="000000"/>
              <w:left w:val="single" w:sz="4" w:space="0" w:color="000000"/>
              <w:bottom w:val="single" w:sz="4" w:space="0" w:color="000000"/>
              <w:right w:val="single" w:sz="4" w:space="0" w:color="000000"/>
            </w:tcBorders>
            <w:hideMark/>
          </w:tcPr>
          <w:p w14:paraId="512D3377" w14:textId="77777777" w:rsidR="00A76826" w:rsidRPr="004714C6" w:rsidRDefault="00A76826" w:rsidP="00FB1973">
            <w:pPr>
              <w:widowControl w:val="0"/>
              <w:autoSpaceDE w:val="0"/>
              <w:autoSpaceDN w:val="0"/>
              <w:adjustRightInd w:val="0"/>
              <w:ind w:left="64" w:right="-20"/>
              <w:rPr>
                <w:kern w:val="2"/>
                <w:sz w:val="24"/>
                <w:szCs w:val="24"/>
                <w14:ligatures w14:val="standardContextual"/>
              </w:rPr>
            </w:pPr>
            <w:r w:rsidRPr="004714C6">
              <w:rPr>
                <w:kern w:val="2"/>
                <w:sz w:val="24"/>
                <w:szCs w:val="24"/>
                <w14:ligatures w14:val="standardContextual"/>
              </w:rPr>
              <w:t>Apopleksi og/eller systemisk emboli</w:t>
            </w:r>
          </w:p>
        </w:tc>
        <w:tc>
          <w:tcPr>
            <w:tcW w:w="1308" w:type="pct"/>
            <w:tcBorders>
              <w:top w:val="single" w:sz="4" w:space="0" w:color="000000"/>
              <w:left w:val="single" w:sz="4" w:space="0" w:color="000000"/>
              <w:bottom w:val="single" w:sz="4" w:space="0" w:color="000000"/>
              <w:right w:val="single" w:sz="4" w:space="0" w:color="000000"/>
            </w:tcBorders>
          </w:tcPr>
          <w:p w14:paraId="4E1C3E89"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1248" w:type="pct"/>
            <w:tcBorders>
              <w:top w:val="single" w:sz="4" w:space="0" w:color="000000"/>
              <w:left w:val="single" w:sz="4" w:space="0" w:color="000000"/>
              <w:bottom w:val="single" w:sz="4" w:space="0" w:color="000000"/>
              <w:right w:val="single" w:sz="4" w:space="0" w:color="000000"/>
            </w:tcBorders>
          </w:tcPr>
          <w:p w14:paraId="2C97F399"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1080" w:type="pct"/>
            <w:tcBorders>
              <w:top w:val="single" w:sz="4" w:space="0" w:color="000000"/>
              <w:left w:val="single" w:sz="4" w:space="0" w:color="000000"/>
              <w:bottom w:val="single" w:sz="4" w:space="0" w:color="000000"/>
              <w:right w:val="single" w:sz="4" w:space="0" w:color="000000"/>
            </w:tcBorders>
          </w:tcPr>
          <w:p w14:paraId="5C6908A6"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16AB64FA" w14:textId="77777777" w:rsidTr="00FB1973">
        <w:trPr>
          <w:trHeight w:val="20"/>
        </w:trPr>
        <w:tc>
          <w:tcPr>
            <w:tcW w:w="1364" w:type="pct"/>
            <w:tcBorders>
              <w:top w:val="single" w:sz="4" w:space="0" w:color="000000"/>
              <w:left w:val="single" w:sz="4" w:space="0" w:color="000000"/>
              <w:bottom w:val="single" w:sz="4" w:space="0" w:color="000000"/>
              <w:right w:val="single" w:sz="4" w:space="0" w:color="000000"/>
            </w:tcBorders>
            <w:hideMark/>
          </w:tcPr>
          <w:p w14:paraId="275CC217" w14:textId="77777777" w:rsidR="00A76826" w:rsidRPr="004714C6" w:rsidRDefault="00A76826" w:rsidP="00FB1973">
            <w:pPr>
              <w:widowControl w:val="0"/>
              <w:autoSpaceDE w:val="0"/>
              <w:autoSpaceDN w:val="0"/>
              <w:adjustRightInd w:val="0"/>
              <w:ind w:left="424" w:right="-20"/>
              <w:jc w:val="both"/>
              <w:rPr>
                <w:kern w:val="2"/>
                <w:sz w:val="24"/>
                <w:szCs w:val="24"/>
                <w14:ligatures w14:val="standardContextual"/>
              </w:rPr>
            </w:pPr>
            <w:r w:rsidRPr="004714C6">
              <w:rPr>
                <w:kern w:val="2"/>
                <w:sz w:val="24"/>
                <w:szCs w:val="24"/>
                <w14:ligatures w14:val="standardContextual"/>
              </w:rPr>
              <w:t>Forekomst (%)</w:t>
            </w:r>
          </w:p>
        </w:tc>
        <w:tc>
          <w:tcPr>
            <w:tcW w:w="1308" w:type="pct"/>
            <w:tcBorders>
              <w:top w:val="single" w:sz="4" w:space="0" w:color="000000"/>
              <w:left w:val="single" w:sz="4" w:space="0" w:color="000000"/>
              <w:bottom w:val="single" w:sz="4" w:space="0" w:color="000000"/>
              <w:right w:val="single" w:sz="4" w:space="0" w:color="000000"/>
            </w:tcBorders>
            <w:hideMark/>
          </w:tcPr>
          <w:p w14:paraId="2C8EC419" w14:textId="77777777" w:rsidR="00A76826" w:rsidRPr="004714C6" w:rsidRDefault="00A76826" w:rsidP="00FB1973">
            <w:pPr>
              <w:widowControl w:val="0"/>
              <w:autoSpaceDE w:val="0"/>
              <w:autoSpaceDN w:val="0"/>
              <w:adjustRightInd w:val="0"/>
              <w:ind w:left="721" w:right="-20"/>
              <w:jc w:val="both"/>
              <w:rPr>
                <w:kern w:val="2"/>
                <w:sz w:val="24"/>
                <w:szCs w:val="24"/>
                <w14:ligatures w14:val="standardContextual"/>
              </w:rPr>
            </w:pPr>
            <w:r w:rsidRPr="004714C6">
              <w:rPr>
                <w:kern w:val="2"/>
                <w:sz w:val="24"/>
                <w:szCs w:val="24"/>
                <w14:ligatures w14:val="standardContextual"/>
              </w:rPr>
              <w:t>183 (1,54)</w:t>
            </w:r>
          </w:p>
        </w:tc>
        <w:tc>
          <w:tcPr>
            <w:tcW w:w="1248" w:type="pct"/>
            <w:tcBorders>
              <w:top w:val="single" w:sz="4" w:space="0" w:color="000000"/>
              <w:left w:val="single" w:sz="4" w:space="0" w:color="000000"/>
              <w:bottom w:val="single" w:sz="4" w:space="0" w:color="000000"/>
              <w:right w:val="single" w:sz="4" w:space="0" w:color="000000"/>
            </w:tcBorders>
            <w:hideMark/>
          </w:tcPr>
          <w:p w14:paraId="7C05C174" w14:textId="77777777" w:rsidR="00A76826" w:rsidRPr="004714C6" w:rsidRDefault="00A76826" w:rsidP="00FB1973">
            <w:pPr>
              <w:widowControl w:val="0"/>
              <w:autoSpaceDE w:val="0"/>
              <w:autoSpaceDN w:val="0"/>
              <w:adjustRightInd w:val="0"/>
              <w:ind w:left="657" w:right="-20"/>
              <w:jc w:val="both"/>
              <w:rPr>
                <w:kern w:val="2"/>
                <w:sz w:val="24"/>
                <w:szCs w:val="24"/>
                <w14:ligatures w14:val="standardContextual"/>
              </w:rPr>
            </w:pPr>
            <w:r w:rsidRPr="004714C6">
              <w:rPr>
                <w:kern w:val="2"/>
                <w:sz w:val="24"/>
                <w:szCs w:val="24"/>
                <w14:ligatures w14:val="standardContextual"/>
              </w:rPr>
              <w:t>135 (1,12)</w:t>
            </w:r>
          </w:p>
        </w:tc>
        <w:tc>
          <w:tcPr>
            <w:tcW w:w="1080" w:type="pct"/>
            <w:tcBorders>
              <w:top w:val="single" w:sz="4" w:space="0" w:color="000000"/>
              <w:left w:val="single" w:sz="4" w:space="0" w:color="000000"/>
              <w:bottom w:val="single" w:sz="4" w:space="0" w:color="000000"/>
              <w:right w:val="single" w:sz="4" w:space="0" w:color="000000"/>
            </w:tcBorders>
            <w:hideMark/>
          </w:tcPr>
          <w:p w14:paraId="03DB7F32" w14:textId="77777777" w:rsidR="00A76826" w:rsidRPr="004714C6" w:rsidRDefault="00A76826" w:rsidP="00FB1973">
            <w:pPr>
              <w:widowControl w:val="0"/>
              <w:autoSpaceDE w:val="0"/>
              <w:autoSpaceDN w:val="0"/>
              <w:adjustRightInd w:val="0"/>
              <w:ind w:left="525" w:right="-20"/>
              <w:jc w:val="both"/>
              <w:rPr>
                <w:kern w:val="2"/>
                <w:sz w:val="24"/>
                <w:szCs w:val="24"/>
                <w14:ligatures w14:val="standardContextual"/>
              </w:rPr>
            </w:pPr>
            <w:r w:rsidRPr="004714C6">
              <w:rPr>
                <w:kern w:val="2"/>
                <w:sz w:val="24"/>
                <w:szCs w:val="24"/>
                <w14:ligatures w14:val="standardContextual"/>
              </w:rPr>
              <w:t>203 (1,72)</w:t>
            </w:r>
          </w:p>
        </w:tc>
      </w:tr>
      <w:tr w:rsidR="00A76826" w:rsidRPr="004714C6" w14:paraId="7EAEBA6F" w14:textId="77777777" w:rsidTr="00FB1973">
        <w:trPr>
          <w:trHeight w:val="20"/>
        </w:trPr>
        <w:tc>
          <w:tcPr>
            <w:tcW w:w="1364" w:type="pct"/>
            <w:tcBorders>
              <w:top w:val="single" w:sz="4" w:space="0" w:color="000000"/>
              <w:left w:val="single" w:sz="4" w:space="0" w:color="000000"/>
              <w:bottom w:val="single" w:sz="4" w:space="0" w:color="000000"/>
              <w:right w:val="single" w:sz="4" w:space="0" w:color="000000"/>
            </w:tcBorders>
            <w:hideMark/>
          </w:tcPr>
          <w:p w14:paraId="484D8D0F"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i/>
                <w:iCs/>
                <w:kern w:val="2"/>
                <w:sz w:val="24"/>
                <w:szCs w:val="24"/>
                <w14:ligatures w14:val="standardContextual"/>
              </w:rPr>
              <w:t>Hazard ratio</w:t>
            </w:r>
            <w:r w:rsidRPr="004714C6">
              <w:rPr>
                <w:kern w:val="2"/>
                <w:sz w:val="24"/>
                <w:szCs w:val="24"/>
                <w14:ligatures w14:val="standardContextual"/>
              </w:rPr>
              <w:t xml:space="preserve"> sammenlignet med warfarin (95 % konfidensinterval)</w:t>
            </w:r>
          </w:p>
        </w:tc>
        <w:tc>
          <w:tcPr>
            <w:tcW w:w="1308" w:type="pct"/>
            <w:tcBorders>
              <w:top w:val="single" w:sz="4" w:space="0" w:color="000000"/>
              <w:left w:val="single" w:sz="4" w:space="0" w:color="000000"/>
              <w:bottom w:val="single" w:sz="4" w:space="0" w:color="000000"/>
              <w:right w:val="single" w:sz="4" w:space="0" w:color="000000"/>
            </w:tcBorders>
            <w:hideMark/>
          </w:tcPr>
          <w:p w14:paraId="622941CD" w14:textId="77777777" w:rsidR="00A76826" w:rsidRPr="004714C6" w:rsidRDefault="00A76826" w:rsidP="00FB1973">
            <w:pPr>
              <w:widowControl w:val="0"/>
              <w:autoSpaceDE w:val="0"/>
              <w:autoSpaceDN w:val="0"/>
              <w:adjustRightInd w:val="0"/>
              <w:ind w:left="448" w:right="-20"/>
              <w:jc w:val="both"/>
              <w:rPr>
                <w:kern w:val="2"/>
                <w:sz w:val="24"/>
                <w:szCs w:val="24"/>
                <w14:ligatures w14:val="standardContextual"/>
              </w:rPr>
            </w:pPr>
            <w:r w:rsidRPr="004714C6">
              <w:rPr>
                <w:kern w:val="2"/>
                <w:sz w:val="24"/>
                <w:szCs w:val="24"/>
                <w14:ligatures w14:val="standardContextual"/>
              </w:rPr>
              <w:t>0,89 (0,73; 1,09)</w:t>
            </w:r>
          </w:p>
        </w:tc>
        <w:tc>
          <w:tcPr>
            <w:tcW w:w="1248" w:type="pct"/>
            <w:tcBorders>
              <w:top w:val="single" w:sz="4" w:space="0" w:color="000000"/>
              <w:left w:val="single" w:sz="4" w:space="0" w:color="000000"/>
              <w:bottom w:val="single" w:sz="4" w:space="0" w:color="000000"/>
              <w:right w:val="single" w:sz="4" w:space="0" w:color="000000"/>
            </w:tcBorders>
            <w:hideMark/>
          </w:tcPr>
          <w:p w14:paraId="63CE4F01" w14:textId="77777777" w:rsidR="00A76826" w:rsidRPr="004714C6" w:rsidRDefault="00A76826" w:rsidP="00FB1973">
            <w:pPr>
              <w:widowControl w:val="0"/>
              <w:autoSpaceDE w:val="0"/>
              <w:autoSpaceDN w:val="0"/>
              <w:adjustRightInd w:val="0"/>
              <w:ind w:left="381" w:right="-20"/>
              <w:jc w:val="both"/>
              <w:rPr>
                <w:kern w:val="2"/>
                <w:sz w:val="24"/>
                <w:szCs w:val="24"/>
                <w14:ligatures w14:val="standardContextual"/>
              </w:rPr>
            </w:pPr>
            <w:r w:rsidRPr="004714C6">
              <w:rPr>
                <w:kern w:val="2"/>
                <w:sz w:val="24"/>
                <w:szCs w:val="24"/>
                <w14:ligatures w14:val="standardContextual"/>
              </w:rPr>
              <w:t>0,65 (0,52; 0,81)</w:t>
            </w:r>
          </w:p>
        </w:tc>
        <w:tc>
          <w:tcPr>
            <w:tcW w:w="1080" w:type="pct"/>
            <w:tcBorders>
              <w:top w:val="single" w:sz="4" w:space="0" w:color="000000"/>
              <w:left w:val="single" w:sz="4" w:space="0" w:color="000000"/>
              <w:bottom w:val="single" w:sz="4" w:space="0" w:color="000000"/>
              <w:right w:val="single" w:sz="4" w:space="0" w:color="000000"/>
            </w:tcBorders>
          </w:tcPr>
          <w:p w14:paraId="7CB9CB07"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2CA6C9A5" w14:textId="77777777" w:rsidTr="00FB1973">
        <w:trPr>
          <w:trHeight w:val="20"/>
        </w:trPr>
        <w:tc>
          <w:tcPr>
            <w:tcW w:w="1364" w:type="pct"/>
            <w:tcBorders>
              <w:top w:val="single" w:sz="4" w:space="0" w:color="000000"/>
              <w:left w:val="single" w:sz="4" w:space="0" w:color="000000"/>
              <w:bottom w:val="single" w:sz="4" w:space="0" w:color="000000"/>
              <w:right w:val="single" w:sz="4" w:space="0" w:color="000000"/>
            </w:tcBorders>
            <w:hideMark/>
          </w:tcPr>
          <w:p w14:paraId="10332DF0" w14:textId="77777777" w:rsidR="00A76826" w:rsidRPr="004714C6" w:rsidRDefault="00A76826" w:rsidP="00FB1973">
            <w:pPr>
              <w:widowControl w:val="0"/>
              <w:autoSpaceDE w:val="0"/>
              <w:autoSpaceDN w:val="0"/>
              <w:adjustRightInd w:val="0"/>
              <w:ind w:left="424" w:right="-20"/>
              <w:jc w:val="both"/>
              <w:rPr>
                <w:kern w:val="2"/>
                <w:sz w:val="24"/>
                <w:szCs w:val="24"/>
                <w14:ligatures w14:val="standardContextual"/>
              </w:rPr>
            </w:pPr>
            <w:r w:rsidRPr="004714C6">
              <w:rPr>
                <w:kern w:val="2"/>
                <w:sz w:val="24"/>
                <w:szCs w:val="24"/>
                <w14:ligatures w14:val="standardContextual"/>
              </w:rPr>
              <w:t xml:space="preserve">p-værdi </w:t>
            </w:r>
            <w:r w:rsidRPr="004714C6">
              <w:rPr>
                <w:spacing w:val="-2"/>
                <w:kern w:val="2"/>
                <w:sz w:val="24"/>
                <w:szCs w:val="24"/>
                <w14:ligatures w14:val="standardContextual"/>
              </w:rPr>
              <w:t>superiority</w:t>
            </w:r>
          </w:p>
        </w:tc>
        <w:tc>
          <w:tcPr>
            <w:tcW w:w="1308" w:type="pct"/>
            <w:tcBorders>
              <w:top w:val="single" w:sz="4" w:space="0" w:color="000000"/>
              <w:left w:val="single" w:sz="4" w:space="0" w:color="000000"/>
              <w:bottom w:val="single" w:sz="4" w:space="0" w:color="000000"/>
              <w:right w:val="single" w:sz="4" w:space="0" w:color="000000"/>
            </w:tcBorders>
            <w:hideMark/>
          </w:tcPr>
          <w:p w14:paraId="1675FC2C" w14:textId="77777777" w:rsidR="00A76826" w:rsidRPr="004714C6" w:rsidRDefault="00A76826" w:rsidP="00FB1973">
            <w:pPr>
              <w:widowControl w:val="0"/>
              <w:autoSpaceDE w:val="0"/>
              <w:autoSpaceDN w:val="0"/>
              <w:adjustRightInd w:val="0"/>
              <w:ind w:left="760" w:right="-20"/>
              <w:jc w:val="both"/>
              <w:rPr>
                <w:kern w:val="2"/>
                <w:sz w:val="24"/>
                <w:szCs w:val="24"/>
                <w14:ligatures w14:val="standardContextual"/>
              </w:rPr>
            </w:pPr>
            <w:r w:rsidRPr="004714C6">
              <w:rPr>
                <w:kern w:val="2"/>
                <w:sz w:val="24"/>
                <w:szCs w:val="24"/>
                <w14:ligatures w14:val="standardContextual"/>
              </w:rPr>
              <w:t>p = 0,2721</w:t>
            </w:r>
          </w:p>
        </w:tc>
        <w:tc>
          <w:tcPr>
            <w:tcW w:w="1248" w:type="pct"/>
            <w:tcBorders>
              <w:top w:val="single" w:sz="4" w:space="0" w:color="000000"/>
              <w:left w:val="single" w:sz="4" w:space="0" w:color="000000"/>
              <w:bottom w:val="single" w:sz="4" w:space="0" w:color="000000"/>
              <w:right w:val="single" w:sz="4" w:space="0" w:color="000000"/>
            </w:tcBorders>
            <w:hideMark/>
          </w:tcPr>
          <w:p w14:paraId="4757EF5D" w14:textId="77777777" w:rsidR="00A76826" w:rsidRPr="004714C6" w:rsidRDefault="00A76826" w:rsidP="00FB1973">
            <w:pPr>
              <w:widowControl w:val="0"/>
              <w:autoSpaceDE w:val="0"/>
              <w:autoSpaceDN w:val="0"/>
              <w:adjustRightInd w:val="0"/>
              <w:ind w:left="695" w:right="-20"/>
              <w:jc w:val="both"/>
              <w:rPr>
                <w:kern w:val="2"/>
                <w:sz w:val="24"/>
                <w:szCs w:val="24"/>
                <w14:ligatures w14:val="standardContextual"/>
              </w:rPr>
            </w:pPr>
            <w:r w:rsidRPr="004714C6">
              <w:rPr>
                <w:kern w:val="2"/>
                <w:sz w:val="24"/>
                <w:szCs w:val="24"/>
                <w14:ligatures w14:val="standardContextual"/>
              </w:rPr>
              <w:t>p = 0,0001</w:t>
            </w:r>
          </w:p>
        </w:tc>
        <w:tc>
          <w:tcPr>
            <w:tcW w:w="1080" w:type="pct"/>
            <w:tcBorders>
              <w:top w:val="single" w:sz="4" w:space="0" w:color="000000"/>
              <w:left w:val="single" w:sz="4" w:space="0" w:color="000000"/>
              <w:bottom w:val="single" w:sz="4" w:space="0" w:color="000000"/>
              <w:right w:val="single" w:sz="4" w:space="0" w:color="000000"/>
            </w:tcBorders>
          </w:tcPr>
          <w:p w14:paraId="1386924A"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bl>
    <w:p w14:paraId="15929197" w14:textId="77777777" w:rsidR="00A76826" w:rsidRPr="004714C6" w:rsidRDefault="00A76826" w:rsidP="00A76826">
      <w:pPr>
        <w:widowControl w:val="0"/>
        <w:autoSpaceDE w:val="0"/>
        <w:autoSpaceDN w:val="0"/>
        <w:adjustRightInd w:val="0"/>
        <w:spacing w:line="246" w:lineRule="exact"/>
        <w:ind w:right="-20"/>
        <w:rPr>
          <w:sz w:val="24"/>
          <w:szCs w:val="24"/>
        </w:rPr>
      </w:pPr>
      <w:r w:rsidRPr="004714C6">
        <w:rPr>
          <w:sz w:val="24"/>
          <w:szCs w:val="24"/>
        </w:rPr>
        <w:t>% refererer til den årlige hændelseshyppighed</w:t>
      </w:r>
    </w:p>
    <w:p w14:paraId="32E80EBF" w14:textId="77777777" w:rsidR="00A76826" w:rsidRPr="004714C6" w:rsidRDefault="00A76826" w:rsidP="00A76826">
      <w:pPr>
        <w:widowControl w:val="0"/>
        <w:autoSpaceDE w:val="0"/>
        <w:autoSpaceDN w:val="0"/>
        <w:adjustRightInd w:val="0"/>
        <w:spacing w:line="246" w:lineRule="exact"/>
        <w:ind w:right="-20"/>
        <w:rPr>
          <w:sz w:val="24"/>
          <w:szCs w:val="24"/>
        </w:rPr>
      </w:pPr>
    </w:p>
    <w:p w14:paraId="0B8A7468"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23:</w:t>
      </w:r>
      <w:r w:rsidRPr="004714C6">
        <w:rPr>
          <w:b/>
          <w:bCs/>
          <w:sz w:val="24"/>
          <w:szCs w:val="24"/>
        </w:rPr>
        <w:tab/>
        <w:t>Analyse af første forekomst af iskæmisk eller hæmoragisk apopleksi i løbet af studieperioden i RE-LY</w:t>
      </w:r>
    </w:p>
    <w:p w14:paraId="59A0640A"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537"/>
        <w:gridCol w:w="2514"/>
        <w:gridCol w:w="2662"/>
        <w:gridCol w:w="1915"/>
      </w:tblGrid>
      <w:tr w:rsidR="00A76826" w:rsidRPr="004714C6" w14:paraId="3F672157"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tcPr>
          <w:p w14:paraId="792ABE8D" w14:textId="77777777" w:rsidR="00A76826" w:rsidRPr="004714C6" w:rsidRDefault="00A76826" w:rsidP="00FB1973">
            <w:pPr>
              <w:widowControl w:val="0"/>
              <w:autoSpaceDE w:val="0"/>
              <w:autoSpaceDN w:val="0"/>
              <w:adjustRightInd w:val="0"/>
              <w:jc w:val="both"/>
              <w:rPr>
                <w:b/>
                <w:bCs/>
                <w:kern w:val="2"/>
                <w:sz w:val="24"/>
                <w:szCs w:val="24"/>
                <w14:ligatures w14:val="standardContextual"/>
              </w:rPr>
            </w:pPr>
          </w:p>
        </w:tc>
        <w:tc>
          <w:tcPr>
            <w:tcW w:w="1329" w:type="pct"/>
            <w:tcBorders>
              <w:top w:val="single" w:sz="4" w:space="0" w:color="000000"/>
              <w:left w:val="single" w:sz="4" w:space="0" w:color="000000"/>
              <w:bottom w:val="single" w:sz="4" w:space="0" w:color="000000"/>
              <w:right w:val="single" w:sz="4" w:space="0" w:color="000000"/>
            </w:tcBorders>
            <w:hideMark/>
          </w:tcPr>
          <w:p w14:paraId="77DD2F24" w14:textId="77777777" w:rsidR="00A76826" w:rsidRPr="004714C6" w:rsidRDefault="00A76826" w:rsidP="00FB1973">
            <w:pPr>
              <w:widowControl w:val="0"/>
              <w:autoSpaceDE w:val="0"/>
              <w:autoSpaceDN w:val="0"/>
              <w:adjustRightInd w:val="0"/>
              <w:ind w:right="259"/>
              <w:jc w:val="center"/>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110 mg 2 gange dagligt</w:t>
            </w:r>
          </w:p>
        </w:tc>
        <w:tc>
          <w:tcPr>
            <w:tcW w:w="1406" w:type="pct"/>
            <w:tcBorders>
              <w:top w:val="single" w:sz="4" w:space="0" w:color="000000"/>
              <w:left w:val="single" w:sz="4" w:space="0" w:color="000000"/>
              <w:bottom w:val="single" w:sz="4" w:space="0" w:color="000000"/>
              <w:right w:val="single" w:sz="4" w:space="0" w:color="000000"/>
            </w:tcBorders>
            <w:hideMark/>
          </w:tcPr>
          <w:p w14:paraId="7B666518" w14:textId="77777777" w:rsidR="00A76826" w:rsidRPr="004714C6" w:rsidRDefault="00A76826" w:rsidP="00FB1973">
            <w:pPr>
              <w:widowControl w:val="0"/>
              <w:autoSpaceDE w:val="0"/>
              <w:autoSpaceDN w:val="0"/>
              <w:adjustRightInd w:val="0"/>
              <w:ind w:right="259"/>
              <w:jc w:val="center"/>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150 mg 2 gange dagligt</w:t>
            </w:r>
          </w:p>
        </w:tc>
        <w:tc>
          <w:tcPr>
            <w:tcW w:w="924" w:type="pct"/>
            <w:tcBorders>
              <w:top w:val="single" w:sz="4" w:space="0" w:color="000000"/>
              <w:left w:val="single" w:sz="4" w:space="0" w:color="000000"/>
              <w:bottom w:val="single" w:sz="4" w:space="0" w:color="000000"/>
              <w:right w:val="single" w:sz="4" w:space="0" w:color="000000"/>
            </w:tcBorders>
            <w:hideMark/>
          </w:tcPr>
          <w:p w14:paraId="22415503" w14:textId="77777777" w:rsidR="00A76826" w:rsidRPr="004714C6" w:rsidRDefault="00A76826" w:rsidP="00FB1973">
            <w:pPr>
              <w:widowControl w:val="0"/>
              <w:autoSpaceDE w:val="0"/>
              <w:autoSpaceDN w:val="0"/>
              <w:adjustRightInd w:val="0"/>
              <w:ind w:right="-20"/>
              <w:jc w:val="center"/>
              <w:rPr>
                <w:b/>
                <w:bCs/>
                <w:kern w:val="2"/>
                <w:sz w:val="24"/>
                <w:szCs w:val="24"/>
                <w14:ligatures w14:val="standardContextual"/>
              </w:rPr>
            </w:pPr>
            <w:r w:rsidRPr="004714C6">
              <w:rPr>
                <w:b/>
                <w:bCs/>
                <w:kern w:val="2"/>
                <w:sz w:val="24"/>
                <w:szCs w:val="24"/>
                <w14:ligatures w14:val="standardContextual"/>
              </w:rPr>
              <w:t>Warfarin</w:t>
            </w:r>
          </w:p>
        </w:tc>
      </w:tr>
      <w:tr w:rsidR="00A76826" w:rsidRPr="004714C6" w14:paraId="668AC3F2"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7276EADB" w14:textId="77777777" w:rsidR="00A76826" w:rsidRPr="004714C6" w:rsidRDefault="00A76826" w:rsidP="00FB1973">
            <w:pPr>
              <w:widowControl w:val="0"/>
              <w:autoSpaceDE w:val="0"/>
              <w:autoSpaceDN w:val="0"/>
              <w:adjustRightInd w:val="0"/>
              <w:ind w:right="-20"/>
              <w:jc w:val="both"/>
              <w:rPr>
                <w:kern w:val="2"/>
                <w:sz w:val="24"/>
                <w:szCs w:val="24"/>
                <w14:ligatures w14:val="standardContextual"/>
              </w:rPr>
            </w:pPr>
            <w:r w:rsidRPr="004714C6">
              <w:rPr>
                <w:kern w:val="2"/>
                <w:sz w:val="24"/>
                <w:szCs w:val="24"/>
                <w14:ligatures w14:val="standardContextual"/>
              </w:rPr>
              <w:t>Randomiserede patienter</w:t>
            </w:r>
          </w:p>
        </w:tc>
        <w:tc>
          <w:tcPr>
            <w:tcW w:w="1329" w:type="pct"/>
            <w:tcBorders>
              <w:top w:val="single" w:sz="4" w:space="0" w:color="000000"/>
              <w:left w:val="single" w:sz="4" w:space="0" w:color="000000"/>
              <w:bottom w:val="single" w:sz="4" w:space="0" w:color="000000"/>
              <w:right w:val="single" w:sz="4" w:space="0" w:color="000000"/>
            </w:tcBorders>
            <w:hideMark/>
          </w:tcPr>
          <w:p w14:paraId="571CD51C" w14:textId="77777777" w:rsidR="00A76826" w:rsidRPr="004714C6" w:rsidRDefault="00A76826" w:rsidP="00FB1973">
            <w:pPr>
              <w:widowControl w:val="0"/>
              <w:autoSpaceDE w:val="0"/>
              <w:autoSpaceDN w:val="0"/>
              <w:adjustRightInd w:val="0"/>
              <w:ind w:left="877" w:right="859"/>
              <w:jc w:val="both"/>
              <w:rPr>
                <w:kern w:val="2"/>
                <w:sz w:val="24"/>
                <w:szCs w:val="24"/>
                <w14:ligatures w14:val="standardContextual"/>
              </w:rPr>
            </w:pPr>
            <w:r w:rsidRPr="004714C6">
              <w:rPr>
                <w:kern w:val="2"/>
                <w:sz w:val="24"/>
                <w:szCs w:val="24"/>
                <w14:ligatures w14:val="standardContextual"/>
              </w:rPr>
              <w:t>6.015</w:t>
            </w:r>
          </w:p>
        </w:tc>
        <w:tc>
          <w:tcPr>
            <w:tcW w:w="1406" w:type="pct"/>
            <w:tcBorders>
              <w:top w:val="single" w:sz="4" w:space="0" w:color="000000"/>
              <w:left w:val="single" w:sz="4" w:space="0" w:color="000000"/>
              <w:bottom w:val="single" w:sz="4" w:space="0" w:color="000000"/>
              <w:right w:val="single" w:sz="4" w:space="0" w:color="000000"/>
            </w:tcBorders>
            <w:hideMark/>
          </w:tcPr>
          <w:p w14:paraId="08286F43" w14:textId="77777777" w:rsidR="00A76826" w:rsidRPr="004714C6" w:rsidRDefault="00A76826" w:rsidP="00FB1973">
            <w:pPr>
              <w:widowControl w:val="0"/>
              <w:autoSpaceDE w:val="0"/>
              <w:autoSpaceDN w:val="0"/>
              <w:adjustRightInd w:val="0"/>
              <w:ind w:left="874" w:right="859"/>
              <w:jc w:val="both"/>
              <w:rPr>
                <w:kern w:val="2"/>
                <w:sz w:val="24"/>
                <w:szCs w:val="24"/>
                <w14:ligatures w14:val="standardContextual"/>
              </w:rPr>
            </w:pPr>
            <w:r w:rsidRPr="004714C6">
              <w:rPr>
                <w:kern w:val="2"/>
                <w:sz w:val="24"/>
                <w:szCs w:val="24"/>
                <w14:ligatures w14:val="standardContextual"/>
              </w:rPr>
              <w:t>6.076</w:t>
            </w:r>
          </w:p>
        </w:tc>
        <w:tc>
          <w:tcPr>
            <w:tcW w:w="924" w:type="pct"/>
            <w:tcBorders>
              <w:top w:val="single" w:sz="4" w:space="0" w:color="000000"/>
              <w:left w:val="single" w:sz="4" w:space="0" w:color="000000"/>
              <w:bottom w:val="single" w:sz="4" w:space="0" w:color="000000"/>
              <w:right w:val="single" w:sz="4" w:space="0" w:color="000000"/>
            </w:tcBorders>
            <w:hideMark/>
          </w:tcPr>
          <w:p w14:paraId="124119E3" w14:textId="77777777" w:rsidR="00A76826" w:rsidRPr="004714C6" w:rsidRDefault="00A76826" w:rsidP="00FB1973">
            <w:pPr>
              <w:widowControl w:val="0"/>
              <w:autoSpaceDE w:val="0"/>
              <w:autoSpaceDN w:val="0"/>
              <w:adjustRightInd w:val="0"/>
              <w:ind w:left="692" w:right="672"/>
              <w:jc w:val="both"/>
              <w:rPr>
                <w:kern w:val="2"/>
                <w:sz w:val="24"/>
                <w:szCs w:val="24"/>
                <w14:ligatures w14:val="standardContextual"/>
              </w:rPr>
            </w:pPr>
            <w:r w:rsidRPr="004714C6">
              <w:rPr>
                <w:kern w:val="2"/>
                <w:sz w:val="24"/>
                <w:szCs w:val="24"/>
                <w14:ligatures w14:val="standardContextual"/>
              </w:rPr>
              <w:t>6.022</w:t>
            </w:r>
          </w:p>
        </w:tc>
      </w:tr>
      <w:tr w:rsidR="00A76826" w:rsidRPr="004714C6" w14:paraId="3581B93D"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748C1ABD" w14:textId="77777777" w:rsidR="00A76826" w:rsidRPr="004714C6" w:rsidRDefault="00A76826" w:rsidP="00FB1973">
            <w:pPr>
              <w:widowControl w:val="0"/>
              <w:autoSpaceDE w:val="0"/>
              <w:autoSpaceDN w:val="0"/>
              <w:adjustRightInd w:val="0"/>
              <w:ind w:left="64" w:right="-20"/>
              <w:jc w:val="both"/>
              <w:rPr>
                <w:kern w:val="2"/>
                <w:sz w:val="24"/>
                <w:szCs w:val="24"/>
                <w14:ligatures w14:val="standardContextual"/>
              </w:rPr>
            </w:pPr>
            <w:r w:rsidRPr="004714C6">
              <w:rPr>
                <w:kern w:val="2"/>
                <w:sz w:val="24"/>
                <w:szCs w:val="24"/>
                <w14:ligatures w14:val="standardContextual"/>
              </w:rPr>
              <w:t>Apopleksi</w:t>
            </w:r>
          </w:p>
        </w:tc>
        <w:tc>
          <w:tcPr>
            <w:tcW w:w="1329" w:type="pct"/>
            <w:tcBorders>
              <w:top w:val="single" w:sz="4" w:space="0" w:color="000000"/>
              <w:left w:val="single" w:sz="4" w:space="0" w:color="000000"/>
              <w:bottom w:val="single" w:sz="4" w:space="0" w:color="000000"/>
              <w:right w:val="single" w:sz="4" w:space="0" w:color="000000"/>
            </w:tcBorders>
          </w:tcPr>
          <w:p w14:paraId="3DEAC038"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1406" w:type="pct"/>
            <w:tcBorders>
              <w:top w:val="single" w:sz="4" w:space="0" w:color="000000"/>
              <w:left w:val="single" w:sz="4" w:space="0" w:color="000000"/>
              <w:bottom w:val="single" w:sz="4" w:space="0" w:color="000000"/>
              <w:right w:val="single" w:sz="4" w:space="0" w:color="000000"/>
            </w:tcBorders>
          </w:tcPr>
          <w:p w14:paraId="71DCEC0C"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924" w:type="pct"/>
            <w:tcBorders>
              <w:top w:val="single" w:sz="4" w:space="0" w:color="000000"/>
              <w:left w:val="single" w:sz="4" w:space="0" w:color="000000"/>
              <w:bottom w:val="single" w:sz="4" w:space="0" w:color="000000"/>
              <w:right w:val="single" w:sz="4" w:space="0" w:color="000000"/>
            </w:tcBorders>
          </w:tcPr>
          <w:p w14:paraId="4358820B"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0D301C56"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4CAC1973"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Forekomst (%)</w:t>
            </w:r>
          </w:p>
        </w:tc>
        <w:tc>
          <w:tcPr>
            <w:tcW w:w="1329" w:type="pct"/>
            <w:tcBorders>
              <w:top w:val="single" w:sz="4" w:space="0" w:color="000000"/>
              <w:left w:val="single" w:sz="4" w:space="0" w:color="000000"/>
              <w:bottom w:val="single" w:sz="4" w:space="0" w:color="000000"/>
              <w:right w:val="single" w:sz="4" w:space="0" w:color="000000"/>
            </w:tcBorders>
            <w:hideMark/>
          </w:tcPr>
          <w:p w14:paraId="015924C7" w14:textId="77777777" w:rsidR="00A76826" w:rsidRPr="004714C6" w:rsidRDefault="00A76826" w:rsidP="00FB1973">
            <w:pPr>
              <w:widowControl w:val="0"/>
              <w:autoSpaceDE w:val="0"/>
              <w:autoSpaceDN w:val="0"/>
              <w:adjustRightInd w:val="0"/>
              <w:ind w:left="702" w:right="-20"/>
              <w:jc w:val="both"/>
              <w:rPr>
                <w:kern w:val="2"/>
                <w:sz w:val="24"/>
                <w:szCs w:val="24"/>
                <w14:ligatures w14:val="standardContextual"/>
              </w:rPr>
            </w:pPr>
            <w:r w:rsidRPr="004714C6">
              <w:rPr>
                <w:kern w:val="2"/>
                <w:sz w:val="24"/>
                <w:szCs w:val="24"/>
                <w14:ligatures w14:val="standardContextual"/>
              </w:rPr>
              <w:t>171 (1,44)</w:t>
            </w:r>
          </w:p>
        </w:tc>
        <w:tc>
          <w:tcPr>
            <w:tcW w:w="1406" w:type="pct"/>
            <w:tcBorders>
              <w:top w:val="single" w:sz="4" w:space="0" w:color="000000"/>
              <w:left w:val="single" w:sz="4" w:space="0" w:color="000000"/>
              <w:bottom w:val="single" w:sz="4" w:space="0" w:color="000000"/>
              <w:right w:val="single" w:sz="4" w:space="0" w:color="000000"/>
            </w:tcBorders>
            <w:hideMark/>
          </w:tcPr>
          <w:p w14:paraId="53E48B28" w14:textId="77777777" w:rsidR="00A76826" w:rsidRPr="004714C6" w:rsidRDefault="00A76826" w:rsidP="00FB1973">
            <w:pPr>
              <w:widowControl w:val="0"/>
              <w:autoSpaceDE w:val="0"/>
              <w:autoSpaceDN w:val="0"/>
              <w:adjustRightInd w:val="0"/>
              <w:ind w:left="700" w:right="-20"/>
              <w:jc w:val="both"/>
              <w:rPr>
                <w:kern w:val="2"/>
                <w:sz w:val="24"/>
                <w:szCs w:val="24"/>
                <w14:ligatures w14:val="standardContextual"/>
              </w:rPr>
            </w:pPr>
            <w:r w:rsidRPr="004714C6">
              <w:rPr>
                <w:kern w:val="2"/>
                <w:sz w:val="24"/>
                <w:szCs w:val="24"/>
                <w14:ligatures w14:val="standardContextual"/>
              </w:rPr>
              <w:t>123 (1,02)</w:t>
            </w:r>
          </w:p>
        </w:tc>
        <w:tc>
          <w:tcPr>
            <w:tcW w:w="924" w:type="pct"/>
            <w:tcBorders>
              <w:top w:val="single" w:sz="4" w:space="0" w:color="000000"/>
              <w:left w:val="single" w:sz="4" w:space="0" w:color="000000"/>
              <w:bottom w:val="single" w:sz="4" w:space="0" w:color="000000"/>
              <w:right w:val="single" w:sz="4" w:space="0" w:color="000000"/>
            </w:tcBorders>
            <w:hideMark/>
          </w:tcPr>
          <w:p w14:paraId="01BB6576" w14:textId="77777777" w:rsidR="00A76826" w:rsidRPr="004714C6" w:rsidRDefault="00A76826" w:rsidP="00FB1973">
            <w:pPr>
              <w:widowControl w:val="0"/>
              <w:autoSpaceDE w:val="0"/>
              <w:autoSpaceDN w:val="0"/>
              <w:adjustRightInd w:val="0"/>
              <w:ind w:left="517" w:right="-20"/>
              <w:jc w:val="both"/>
              <w:rPr>
                <w:kern w:val="2"/>
                <w:sz w:val="24"/>
                <w:szCs w:val="24"/>
                <w14:ligatures w14:val="standardContextual"/>
              </w:rPr>
            </w:pPr>
            <w:r w:rsidRPr="004714C6">
              <w:rPr>
                <w:kern w:val="2"/>
                <w:sz w:val="24"/>
                <w:szCs w:val="24"/>
                <w14:ligatures w14:val="standardContextual"/>
              </w:rPr>
              <w:t>187 (1,59)</w:t>
            </w:r>
          </w:p>
        </w:tc>
      </w:tr>
      <w:tr w:rsidR="00A76826" w:rsidRPr="004714C6" w14:paraId="72EC7E70"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09BBD921"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i/>
                <w:iCs/>
                <w:kern w:val="2"/>
                <w:sz w:val="24"/>
                <w:szCs w:val="24"/>
                <w14:ligatures w14:val="standardContextual"/>
              </w:rPr>
              <w:t>Hazard ratio</w:t>
            </w:r>
            <w:r w:rsidRPr="004714C6">
              <w:rPr>
                <w:kern w:val="2"/>
                <w:sz w:val="24"/>
                <w:szCs w:val="24"/>
                <w14:ligatures w14:val="standardContextual"/>
              </w:rPr>
              <w:t xml:space="preserve"> sammenlignet med warfarin (95 % CI)</w:t>
            </w:r>
          </w:p>
        </w:tc>
        <w:tc>
          <w:tcPr>
            <w:tcW w:w="1329" w:type="pct"/>
            <w:tcBorders>
              <w:top w:val="single" w:sz="4" w:space="0" w:color="000000"/>
              <w:left w:val="single" w:sz="4" w:space="0" w:color="000000"/>
              <w:bottom w:val="single" w:sz="4" w:space="0" w:color="000000"/>
              <w:right w:val="single" w:sz="4" w:space="0" w:color="000000"/>
            </w:tcBorders>
            <w:hideMark/>
          </w:tcPr>
          <w:p w14:paraId="06856ED8" w14:textId="77777777" w:rsidR="00A76826" w:rsidRPr="004714C6" w:rsidRDefault="00A76826" w:rsidP="00FB1973">
            <w:pPr>
              <w:widowControl w:val="0"/>
              <w:autoSpaceDE w:val="0"/>
              <w:autoSpaceDN w:val="0"/>
              <w:adjustRightInd w:val="0"/>
              <w:ind w:left="429" w:right="-20"/>
              <w:jc w:val="both"/>
              <w:rPr>
                <w:kern w:val="2"/>
                <w:sz w:val="24"/>
                <w:szCs w:val="24"/>
                <w14:ligatures w14:val="standardContextual"/>
              </w:rPr>
            </w:pPr>
            <w:r w:rsidRPr="004714C6">
              <w:rPr>
                <w:kern w:val="2"/>
                <w:sz w:val="24"/>
                <w:szCs w:val="24"/>
                <w14:ligatures w14:val="standardContextual"/>
              </w:rPr>
              <w:t>0,91 (0,74; 1,12)</w:t>
            </w:r>
          </w:p>
        </w:tc>
        <w:tc>
          <w:tcPr>
            <w:tcW w:w="1406" w:type="pct"/>
            <w:tcBorders>
              <w:top w:val="single" w:sz="4" w:space="0" w:color="000000"/>
              <w:left w:val="single" w:sz="4" w:space="0" w:color="000000"/>
              <w:bottom w:val="single" w:sz="4" w:space="0" w:color="000000"/>
              <w:right w:val="single" w:sz="4" w:space="0" w:color="000000"/>
            </w:tcBorders>
            <w:hideMark/>
          </w:tcPr>
          <w:p w14:paraId="47FA10F7" w14:textId="77777777" w:rsidR="00A76826" w:rsidRPr="004714C6" w:rsidRDefault="00A76826" w:rsidP="00FB1973">
            <w:pPr>
              <w:widowControl w:val="0"/>
              <w:autoSpaceDE w:val="0"/>
              <w:autoSpaceDN w:val="0"/>
              <w:adjustRightInd w:val="0"/>
              <w:ind w:left="426" w:right="-20"/>
              <w:jc w:val="both"/>
              <w:rPr>
                <w:kern w:val="2"/>
                <w:sz w:val="24"/>
                <w:szCs w:val="24"/>
                <w14:ligatures w14:val="standardContextual"/>
              </w:rPr>
            </w:pPr>
            <w:r w:rsidRPr="004714C6">
              <w:rPr>
                <w:kern w:val="2"/>
                <w:sz w:val="24"/>
                <w:szCs w:val="24"/>
                <w14:ligatures w14:val="standardContextual"/>
              </w:rPr>
              <w:t>0,64 (0,51; 0,81)</w:t>
            </w:r>
          </w:p>
        </w:tc>
        <w:tc>
          <w:tcPr>
            <w:tcW w:w="924" w:type="pct"/>
            <w:tcBorders>
              <w:top w:val="single" w:sz="4" w:space="0" w:color="000000"/>
              <w:left w:val="single" w:sz="4" w:space="0" w:color="000000"/>
              <w:bottom w:val="single" w:sz="4" w:space="0" w:color="000000"/>
              <w:right w:val="single" w:sz="4" w:space="0" w:color="000000"/>
            </w:tcBorders>
          </w:tcPr>
          <w:p w14:paraId="5F69A504"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36D1D308"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75BB95C8"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p-værdi</w:t>
            </w:r>
          </w:p>
        </w:tc>
        <w:tc>
          <w:tcPr>
            <w:tcW w:w="1329" w:type="pct"/>
            <w:tcBorders>
              <w:top w:val="single" w:sz="4" w:space="0" w:color="000000"/>
              <w:left w:val="single" w:sz="4" w:space="0" w:color="000000"/>
              <w:bottom w:val="single" w:sz="4" w:space="0" w:color="000000"/>
              <w:right w:val="single" w:sz="4" w:space="0" w:color="000000"/>
            </w:tcBorders>
            <w:hideMark/>
          </w:tcPr>
          <w:p w14:paraId="386E06AD" w14:textId="77777777" w:rsidR="00A76826" w:rsidRPr="004714C6" w:rsidRDefault="00A76826" w:rsidP="00FB1973">
            <w:pPr>
              <w:widowControl w:val="0"/>
              <w:autoSpaceDE w:val="0"/>
              <w:autoSpaceDN w:val="0"/>
              <w:adjustRightInd w:val="0"/>
              <w:ind w:left="822" w:right="804"/>
              <w:jc w:val="both"/>
              <w:rPr>
                <w:kern w:val="2"/>
                <w:sz w:val="24"/>
                <w:szCs w:val="24"/>
                <w14:ligatures w14:val="standardContextual"/>
              </w:rPr>
            </w:pPr>
            <w:r w:rsidRPr="004714C6">
              <w:rPr>
                <w:kern w:val="2"/>
                <w:sz w:val="24"/>
                <w:szCs w:val="24"/>
                <w14:ligatures w14:val="standardContextual"/>
              </w:rPr>
              <w:t>0,3553</w:t>
            </w:r>
          </w:p>
        </w:tc>
        <w:tc>
          <w:tcPr>
            <w:tcW w:w="1406" w:type="pct"/>
            <w:tcBorders>
              <w:top w:val="single" w:sz="4" w:space="0" w:color="000000"/>
              <w:left w:val="single" w:sz="4" w:space="0" w:color="000000"/>
              <w:bottom w:val="single" w:sz="4" w:space="0" w:color="000000"/>
              <w:right w:val="single" w:sz="4" w:space="0" w:color="000000"/>
            </w:tcBorders>
            <w:hideMark/>
          </w:tcPr>
          <w:p w14:paraId="7002FFC6" w14:textId="77777777" w:rsidR="00A76826" w:rsidRPr="004714C6" w:rsidRDefault="00A76826" w:rsidP="00FB1973">
            <w:pPr>
              <w:widowControl w:val="0"/>
              <w:autoSpaceDE w:val="0"/>
              <w:autoSpaceDN w:val="0"/>
              <w:adjustRightInd w:val="0"/>
              <w:ind w:left="819" w:right="804"/>
              <w:jc w:val="both"/>
              <w:rPr>
                <w:kern w:val="2"/>
                <w:sz w:val="24"/>
                <w:szCs w:val="24"/>
                <w14:ligatures w14:val="standardContextual"/>
              </w:rPr>
            </w:pPr>
            <w:r w:rsidRPr="004714C6">
              <w:rPr>
                <w:kern w:val="2"/>
                <w:sz w:val="24"/>
                <w:szCs w:val="24"/>
                <w14:ligatures w14:val="standardContextual"/>
              </w:rPr>
              <w:t>0,0001</w:t>
            </w:r>
          </w:p>
        </w:tc>
        <w:tc>
          <w:tcPr>
            <w:tcW w:w="924" w:type="pct"/>
            <w:tcBorders>
              <w:top w:val="single" w:sz="4" w:space="0" w:color="000000"/>
              <w:left w:val="single" w:sz="4" w:space="0" w:color="000000"/>
              <w:bottom w:val="single" w:sz="4" w:space="0" w:color="000000"/>
              <w:right w:val="single" w:sz="4" w:space="0" w:color="000000"/>
            </w:tcBorders>
          </w:tcPr>
          <w:p w14:paraId="3E1B4278"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718D0E46"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2A99A0CA" w14:textId="77777777" w:rsidR="00A76826" w:rsidRPr="004714C6" w:rsidRDefault="00A76826" w:rsidP="00FB1973">
            <w:pPr>
              <w:widowControl w:val="0"/>
              <w:autoSpaceDE w:val="0"/>
              <w:autoSpaceDN w:val="0"/>
              <w:adjustRightInd w:val="0"/>
              <w:ind w:left="64" w:right="-20"/>
              <w:jc w:val="both"/>
              <w:rPr>
                <w:kern w:val="2"/>
                <w:sz w:val="24"/>
                <w:szCs w:val="24"/>
                <w14:ligatures w14:val="standardContextual"/>
              </w:rPr>
            </w:pPr>
            <w:r w:rsidRPr="004714C6">
              <w:rPr>
                <w:kern w:val="2"/>
                <w:sz w:val="24"/>
                <w:szCs w:val="24"/>
                <w14:ligatures w14:val="standardContextual"/>
              </w:rPr>
              <w:t>Systemisk emboli</w:t>
            </w:r>
          </w:p>
        </w:tc>
        <w:tc>
          <w:tcPr>
            <w:tcW w:w="1329" w:type="pct"/>
            <w:tcBorders>
              <w:top w:val="single" w:sz="4" w:space="0" w:color="000000"/>
              <w:left w:val="single" w:sz="4" w:space="0" w:color="000000"/>
              <w:bottom w:val="single" w:sz="4" w:space="0" w:color="000000"/>
              <w:right w:val="single" w:sz="4" w:space="0" w:color="000000"/>
            </w:tcBorders>
          </w:tcPr>
          <w:p w14:paraId="62BA38C7"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1406" w:type="pct"/>
            <w:tcBorders>
              <w:top w:val="single" w:sz="4" w:space="0" w:color="000000"/>
              <w:left w:val="single" w:sz="4" w:space="0" w:color="000000"/>
              <w:bottom w:val="single" w:sz="4" w:space="0" w:color="000000"/>
              <w:right w:val="single" w:sz="4" w:space="0" w:color="000000"/>
            </w:tcBorders>
          </w:tcPr>
          <w:p w14:paraId="1D210A81"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924" w:type="pct"/>
            <w:tcBorders>
              <w:top w:val="single" w:sz="4" w:space="0" w:color="000000"/>
              <w:left w:val="single" w:sz="4" w:space="0" w:color="000000"/>
              <w:bottom w:val="single" w:sz="4" w:space="0" w:color="000000"/>
              <w:right w:val="single" w:sz="4" w:space="0" w:color="000000"/>
            </w:tcBorders>
          </w:tcPr>
          <w:p w14:paraId="179CB309"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606CBCDC"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4B698180"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Forekomst (%)</w:t>
            </w:r>
          </w:p>
        </w:tc>
        <w:tc>
          <w:tcPr>
            <w:tcW w:w="1329" w:type="pct"/>
            <w:tcBorders>
              <w:top w:val="single" w:sz="4" w:space="0" w:color="000000"/>
              <w:left w:val="single" w:sz="4" w:space="0" w:color="000000"/>
              <w:bottom w:val="single" w:sz="4" w:space="0" w:color="000000"/>
              <w:right w:val="single" w:sz="4" w:space="0" w:color="000000"/>
            </w:tcBorders>
            <w:hideMark/>
          </w:tcPr>
          <w:p w14:paraId="2999DEE6" w14:textId="77777777" w:rsidR="00A76826" w:rsidRPr="004714C6" w:rsidRDefault="00A76826" w:rsidP="00FB1973">
            <w:pPr>
              <w:widowControl w:val="0"/>
              <w:autoSpaceDE w:val="0"/>
              <w:autoSpaceDN w:val="0"/>
              <w:adjustRightInd w:val="0"/>
              <w:ind w:left="757" w:right="-20"/>
              <w:jc w:val="both"/>
              <w:rPr>
                <w:kern w:val="2"/>
                <w:sz w:val="24"/>
                <w:szCs w:val="24"/>
                <w14:ligatures w14:val="standardContextual"/>
              </w:rPr>
            </w:pPr>
            <w:r w:rsidRPr="004714C6">
              <w:rPr>
                <w:kern w:val="2"/>
                <w:sz w:val="24"/>
                <w:szCs w:val="24"/>
                <w14:ligatures w14:val="standardContextual"/>
              </w:rPr>
              <w:t>15 (0,13)</w:t>
            </w:r>
          </w:p>
        </w:tc>
        <w:tc>
          <w:tcPr>
            <w:tcW w:w="1406" w:type="pct"/>
            <w:tcBorders>
              <w:top w:val="single" w:sz="4" w:space="0" w:color="000000"/>
              <w:left w:val="single" w:sz="4" w:space="0" w:color="000000"/>
              <w:bottom w:val="single" w:sz="4" w:space="0" w:color="000000"/>
              <w:right w:val="single" w:sz="4" w:space="0" w:color="000000"/>
            </w:tcBorders>
            <w:hideMark/>
          </w:tcPr>
          <w:p w14:paraId="0F08D767" w14:textId="77777777" w:rsidR="00A76826" w:rsidRPr="004714C6" w:rsidRDefault="00A76826" w:rsidP="00FB1973">
            <w:pPr>
              <w:widowControl w:val="0"/>
              <w:autoSpaceDE w:val="0"/>
              <w:autoSpaceDN w:val="0"/>
              <w:adjustRightInd w:val="0"/>
              <w:ind w:left="755" w:right="-20"/>
              <w:jc w:val="both"/>
              <w:rPr>
                <w:kern w:val="2"/>
                <w:sz w:val="24"/>
                <w:szCs w:val="24"/>
                <w14:ligatures w14:val="standardContextual"/>
              </w:rPr>
            </w:pPr>
            <w:r w:rsidRPr="004714C6">
              <w:rPr>
                <w:kern w:val="2"/>
                <w:sz w:val="24"/>
                <w:szCs w:val="24"/>
                <w14:ligatures w14:val="standardContextual"/>
              </w:rPr>
              <w:t>13 (0,11)</w:t>
            </w:r>
          </w:p>
        </w:tc>
        <w:tc>
          <w:tcPr>
            <w:tcW w:w="924" w:type="pct"/>
            <w:tcBorders>
              <w:top w:val="single" w:sz="4" w:space="0" w:color="000000"/>
              <w:left w:val="single" w:sz="4" w:space="0" w:color="000000"/>
              <w:bottom w:val="single" w:sz="4" w:space="0" w:color="000000"/>
              <w:right w:val="single" w:sz="4" w:space="0" w:color="000000"/>
            </w:tcBorders>
            <w:hideMark/>
          </w:tcPr>
          <w:p w14:paraId="613C4695" w14:textId="77777777" w:rsidR="00A76826" w:rsidRPr="004714C6" w:rsidRDefault="00A76826" w:rsidP="00FB1973">
            <w:pPr>
              <w:widowControl w:val="0"/>
              <w:autoSpaceDE w:val="0"/>
              <w:autoSpaceDN w:val="0"/>
              <w:adjustRightInd w:val="0"/>
              <w:ind w:left="573" w:right="-20"/>
              <w:jc w:val="both"/>
              <w:rPr>
                <w:kern w:val="2"/>
                <w:sz w:val="24"/>
                <w:szCs w:val="24"/>
                <w14:ligatures w14:val="standardContextual"/>
              </w:rPr>
            </w:pPr>
            <w:r w:rsidRPr="004714C6">
              <w:rPr>
                <w:kern w:val="2"/>
                <w:sz w:val="24"/>
                <w:szCs w:val="24"/>
                <w14:ligatures w14:val="standardContextual"/>
              </w:rPr>
              <w:t>21 (0,18)</w:t>
            </w:r>
          </w:p>
        </w:tc>
      </w:tr>
      <w:tr w:rsidR="00A76826" w:rsidRPr="004714C6" w14:paraId="065F3588"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469631FE" w14:textId="77777777" w:rsidR="00A76826" w:rsidRPr="004714C6" w:rsidRDefault="00A76826" w:rsidP="00FB1973">
            <w:pPr>
              <w:widowControl w:val="0"/>
              <w:autoSpaceDE w:val="0"/>
              <w:autoSpaceDN w:val="0"/>
              <w:adjustRightInd w:val="0"/>
              <w:ind w:left="424" w:right="-20"/>
              <w:rPr>
                <w:i/>
                <w:iCs/>
                <w:kern w:val="2"/>
                <w:sz w:val="24"/>
                <w:szCs w:val="24"/>
                <w14:ligatures w14:val="standardContextual"/>
              </w:rPr>
            </w:pPr>
            <w:r w:rsidRPr="004714C6">
              <w:rPr>
                <w:i/>
                <w:iCs/>
                <w:kern w:val="2"/>
                <w:sz w:val="24"/>
                <w:szCs w:val="24"/>
                <w14:ligatures w14:val="standardContextual"/>
              </w:rPr>
              <w:t xml:space="preserve">Hazard ratio </w:t>
            </w:r>
            <w:r w:rsidRPr="004714C6">
              <w:rPr>
                <w:kern w:val="2"/>
                <w:sz w:val="24"/>
                <w:szCs w:val="24"/>
                <w14:ligatures w14:val="standardContextual"/>
              </w:rPr>
              <w:t>sammenlignet med warfarin (95 % CI)</w:t>
            </w:r>
          </w:p>
        </w:tc>
        <w:tc>
          <w:tcPr>
            <w:tcW w:w="1329" w:type="pct"/>
            <w:tcBorders>
              <w:top w:val="single" w:sz="4" w:space="0" w:color="000000"/>
              <w:left w:val="single" w:sz="4" w:space="0" w:color="000000"/>
              <w:bottom w:val="single" w:sz="4" w:space="0" w:color="000000"/>
              <w:right w:val="single" w:sz="4" w:space="0" w:color="000000"/>
            </w:tcBorders>
            <w:hideMark/>
          </w:tcPr>
          <w:p w14:paraId="0B08B099" w14:textId="77777777" w:rsidR="00A76826" w:rsidRPr="004714C6" w:rsidRDefault="00A76826" w:rsidP="00FB1973">
            <w:pPr>
              <w:widowControl w:val="0"/>
              <w:autoSpaceDE w:val="0"/>
              <w:autoSpaceDN w:val="0"/>
              <w:adjustRightInd w:val="0"/>
              <w:ind w:left="429" w:right="-20"/>
              <w:jc w:val="both"/>
              <w:rPr>
                <w:kern w:val="2"/>
                <w:sz w:val="24"/>
                <w:szCs w:val="24"/>
                <w14:ligatures w14:val="standardContextual"/>
              </w:rPr>
            </w:pPr>
            <w:r w:rsidRPr="004714C6">
              <w:rPr>
                <w:kern w:val="2"/>
                <w:sz w:val="24"/>
                <w:szCs w:val="24"/>
                <w14:ligatures w14:val="standardContextual"/>
              </w:rPr>
              <w:t>0,71 (0,37; 1,38)</w:t>
            </w:r>
          </w:p>
        </w:tc>
        <w:tc>
          <w:tcPr>
            <w:tcW w:w="1406" w:type="pct"/>
            <w:tcBorders>
              <w:top w:val="single" w:sz="4" w:space="0" w:color="000000"/>
              <w:left w:val="single" w:sz="4" w:space="0" w:color="000000"/>
              <w:bottom w:val="single" w:sz="4" w:space="0" w:color="000000"/>
              <w:right w:val="single" w:sz="4" w:space="0" w:color="000000"/>
            </w:tcBorders>
            <w:hideMark/>
          </w:tcPr>
          <w:p w14:paraId="676B9075" w14:textId="77777777" w:rsidR="00A76826" w:rsidRPr="004714C6" w:rsidRDefault="00A76826" w:rsidP="00FB1973">
            <w:pPr>
              <w:widowControl w:val="0"/>
              <w:autoSpaceDE w:val="0"/>
              <w:autoSpaceDN w:val="0"/>
              <w:adjustRightInd w:val="0"/>
              <w:ind w:left="426" w:right="-20"/>
              <w:jc w:val="both"/>
              <w:rPr>
                <w:kern w:val="2"/>
                <w:sz w:val="24"/>
                <w:szCs w:val="24"/>
                <w14:ligatures w14:val="standardContextual"/>
              </w:rPr>
            </w:pPr>
            <w:r w:rsidRPr="004714C6">
              <w:rPr>
                <w:kern w:val="2"/>
                <w:sz w:val="24"/>
                <w:szCs w:val="24"/>
                <w14:ligatures w14:val="standardContextual"/>
              </w:rPr>
              <w:t>0,61 (0,30; 1,21)</w:t>
            </w:r>
          </w:p>
        </w:tc>
        <w:tc>
          <w:tcPr>
            <w:tcW w:w="924" w:type="pct"/>
            <w:tcBorders>
              <w:top w:val="single" w:sz="4" w:space="0" w:color="000000"/>
              <w:left w:val="single" w:sz="4" w:space="0" w:color="000000"/>
              <w:bottom w:val="single" w:sz="4" w:space="0" w:color="000000"/>
              <w:right w:val="single" w:sz="4" w:space="0" w:color="000000"/>
            </w:tcBorders>
          </w:tcPr>
          <w:p w14:paraId="2491BF28"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1D894D41"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0D954746"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p-værdi</w:t>
            </w:r>
          </w:p>
        </w:tc>
        <w:tc>
          <w:tcPr>
            <w:tcW w:w="1329" w:type="pct"/>
            <w:tcBorders>
              <w:top w:val="single" w:sz="4" w:space="0" w:color="000000"/>
              <w:left w:val="single" w:sz="4" w:space="0" w:color="000000"/>
              <w:bottom w:val="single" w:sz="4" w:space="0" w:color="000000"/>
              <w:right w:val="single" w:sz="4" w:space="0" w:color="000000"/>
            </w:tcBorders>
            <w:hideMark/>
          </w:tcPr>
          <w:p w14:paraId="32DC09FE" w14:textId="77777777" w:rsidR="00A76826" w:rsidRPr="004714C6" w:rsidRDefault="00A76826" w:rsidP="00FB1973">
            <w:pPr>
              <w:widowControl w:val="0"/>
              <w:autoSpaceDE w:val="0"/>
              <w:autoSpaceDN w:val="0"/>
              <w:adjustRightInd w:val="0"/>
              <w:ind w:left="822" w:right="804"/>
              <w:jc w:val="both"/>
              <w:rPr>
                <w:kern w:val="2"/>
                <w:sz w:val="24"/>
                <w:szCs w:val="24"/>
                <w14:ligatures w14:val="standardContextual"/>
              </w:rPr>
            </w:pPr>
            <w:r w:rsidRPr="004714C6">
              <w:rPr>
                <w:kern w:val="2"/>
                <w:sz w:val="24"/>
                <w:szCs w:val="24"/>
                <w14:ligatures w14:val="standardContextual"/>
              </w:rPr>
              <w:t>0,3099</w:t>
            </w:r>
          </w:p>
        </w:tc>
        <w:tc>
          <w:tcPr>
            <w:tcW w:w="1406" w:type="pct"/>
            <w:tcBorders>
              <w:top w:val="single" w:sz="4" w:space="0" w:color="000000"/>
              <w:left w:val="single" w:sz="4" w:space="0" w:color="000000"/>
              <w:bottom w:val="single" w:sz="4" w:space="0" w:color="000000"/>
              <w:right w:val="single" w:sz="4" w:space="0" w:color="000000"/>
            </w:tcBorders>
            <w:hideMark/>
          </w:tcPr>
          <w:p w14:paraId="3E782CA4" w14:textId="77777777" w:rsidR="00A76826" w:rsidRPr="004714C6" w:rsidRDefault="00A76826" w:rsidP="00FB1973">
            <w:pPr>
              <w:widowControl w:val="0"/>
              <w:autoSpaceDE w:val="0"/>
              <w:autoSpaceDN w:val="0"/>
              <w:adjustRightInd w:val="0"/>
              <w:ind w:left="819" w:right="804"/>
              <w:jc w:val="both"/>
              <w:rPr>
                <w:kern w:val="2"/>
                <w:sz w:val="24"/>
                <w:szCs w:val="24"/>
                <w14:ligatures w14:val="standardContextual"/>
              </w:rPr>
            </w:pPr>
            <w:r w:rsidRPr="004714C6">
              <w:rPr>
                <w:kern w:val="2"/>
                <w:sz w:val="24"/>
                <w:szCs w:val="24"/>
                <w14:ligatures w14:val="standardContextual"/>
              </w:rPr>
              <w:t>0,1582</w:t>
            </w:r>
          </w:p>
        </w:tc>
        <w:tc>
          <w:tcPr>
            <w:tcW w:w="924" w:type="pct"/>
            <w:tcBorders>
              <w:top w:val="single" w:sz="4" w:space="0" w:color="000000"/>
              <w:left w:val="single" w:sz="4" w:space="0" w:color="000000"/>
              <w:bottom w:val="single" w:sz="4" w:space="0" w:color="000000"/>
              <w:right w:val="single" w:sz="4" w:space="0" w:color="000000"/>
            </w:tcBorders>
          </w:tcPr>
          <w:p w14:paraId="2355617A"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16D0B354"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3765787A" w14:textId="77777777" w:rsidR="00A76826" w:rsidRPr="004714C6" w:rsidRDefault="00A76826" w:rsidP="00FB1973">
            <w:pPr>
              <w:widowControl w:val="0"/>
              <w:autoSpaceDE w:val="0"/>
              <w:autoSpaceDN w:val="0"/>
              <w:adjustRightInd w:val="0"/>
              <w:ind w:left="64" w:right="-20"/>
              <w:jc w:val="both"/>
              <w:rPr>
                <w:kern w:val="2"/>
                <w:sz w:val="24"/>
                <w:szCs w:val="24"/>
                <w14:ligatures w14:val="standardContextual"/>
              </w:rPr>
            </w:pPr>
            <w:r w:rsidRPr="004714C6">
              <w:rPr>
                <w:kern w:val="2"/>
                <w:sz w:val="24"/>
                <w:szCs w:val="24"/>
                <w14:ligatures w14:val="standardContextual"/>
              </w:rPr>
              <w:t>Iskæmisk apopleksi</w:t>
            </w:r>
          </w:p>
        </w:tc>
        <w:tc>
          <w:tcPr>
            <w:tcW w:w="1329" w:type="pct"/>
            <w:tcBorders>
              <w:top w:val="single" w:sz="4" w:space="0" w:color="000000"/>
              <w:left w:val="single" w:sz="4" w:space="0" w:color="000000"/>
              <w:bottom w:val="single" w:sz="4" w:space="0" w:color="000000"/>
              <w:right w:val="single" w:sz="4" w:space="0" w:color="000000"/>
            </w:tcBorders>
          </w:tcPr>
          <w:p w14:paraId="4ACBAD32"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1406" w:type="pct"/>
            <w:tcBorders>
              <w:top w:val="single" w:sz="4" w:space="0" w:color="000000"/>
              <w:left w:val="single" w:sz="4" w:space="0" w:color="000000"/>
              <w:bottom w:val="single" w:sz="4" w:space="0" w:color="000000"/>
              <w:right w:val="single" w:sz="4" w:space="0" w:color="000000"/>
            </w:tcBorders>
          </w:tcPr>
          <w:p w14:paraId="02C03EF2"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924" w:type="pct"/>
            <w:tcBorders>
              <w:top w:val="single" w:sz="4" w:space="0" w:color="000000"/>
              <w:left w:val="single" w:sz="4" w:space="0" w:color="000000"/>
              <w:bottom w:val="single" w:sz="4" w:space="0" w:color="000000"/>
              <w:right w:val="single" w:sz="4" w:space="0" w:color="000000"/>
            </w:tcBorders>
          </w:tcPr>
          <w:p w14:paraId="243B6CFC"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08996B9F"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5F7C5556"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Forekomst (%)</w:t>
            </w:r>
          </w:p>
        </w:tc>
        <w:tc>
          <w:tcPr>
            <w:tcW w:w="1329" w:type="pct"/>
            <w:tcBorders>
              <w:top w:val="single" w:sz="4" w:space="0" w:color="000000"/>
              <w:left w:val="single" w:sz="4" w:space="0" w:color="000000"/>
              <w:bottom w:val="single" w:sz="4" w:space="0" w:color="000000"/>
              <w:right w:val="single" w:sz="4" w:space="0" w:color="000000"/>
            </w:tcBorders>
            <w:hideMark/>
          </w:tcPr>
          <w:p w14:paraId="3FE2AA72" w14:textId="77777777" w:rsidR="00A76826" w:rsidRPr="004714C6" w:rsidRDefault="00A76826" w:rsidP="00FB1973">
            <w:pPr>
              <w:widowControl w:val="0"/>
              <w:autoSpaceDE w:val="0"/>
              <w:autoSpaceDN w:val="0"/>
              <w:adjustRightInd w:val="0"/>
              <w:ind w:left="702" w:right="-20"/>
              <w:jc w:val="both"/>
              <w:rPr>
                <w:kern w:val="2"/>
                <w:sz w:val="24"/>
                <w:szCs w:val="24"/>
                <w14:ligatures w14:val="standardContextual"/>
              </w:rPr>
            </w:pPr>
            <w:r w:rsidRPr="004714C6">
              <w:rPr>
                <w:kern w:val="2"/>
                <w:sz w:val="24"/>
                <w:szCs w:val="24"/>
                <w14:ligatures w14:val="standardContextual"/>
              </w:rPr>
              <w:t>152 (1,28)</w:t>
            </w:r>
          </w:p>
        </w:tc>
        <w:tc>
          <w:tcPr>
            <w:tcW w:w="1406" w:type="pct"/>
            <w:tcBorders>
              <w:top w:val="single" w:sz="4" w:space="0" w:color="000000"/>
              <w:left w:val="single" w:sz="4" w:space="0" w:color="000000"/>
              <w:bottom w:val="single" w:sz="4" w:space="0" w:color="000000"/>
              <w:right w:val="single" w:sz="4" w:space="0" w:color="000000"/>
            </w:tcBorders>
            <w:hideMark/>
          </w:tcPr>
          <w:p w14:paraId="75B1A7F6" w14:textId="77777777" w:rsidR="00A76826" w:rsidRPr="004714C6" w:rsidRDefault="00A76826" w:rsidP="00FB1973">
            <w:pPr>
              <w:widowControl w:val="0"/>
              <w:autoSpaceDE w:val="0"/>
              <w:autoSpaceDN w:val="0"/>
              <w:adjustRightInd w:val="0"/>
              <w:ind w:left="700" w:right="-20"/>
              <w:jc w:val="both"/>
              <w:rPr>
                <w:kern w:val="2"/>
                <w:sz w:val="24"/>
                <w:szCs w:val="24"/>
                <w14:ligatures w14:val="standardContextual"/>
              </w:rPr>
            </w:pPr>
            <w:r w:rsidRPr="004714C6">
              <w:rPr>
                <w:kern w:val="2"/>
                <w:sz w:val="24"/>
                <w:szCs w:val="24"/>
                <w14:ligatures w14:val="standardContextual"/>
              </w:rPr>
              <w:t>104 (0,86)</w:t>
            </w:r>
          </w:p>
        </w:tc>
        <w:tc>
          <w:tcPr>
            <w:tcW w:w="924" w:type="pct"/>
            <w:tcBorders>
              <w:top w:val="single" w:sz="4" w:space="0" w:color="000000"/>
              <w:left w:val="single" w:sz="4" w:space="0" w:color="000000"/>
              <w:bottom w:val="single" w:sz="4" w:space="0" w:color="000000"/>
              <w:right w:val="single" w:sz="4" w:space="0" w:color="000000"/>
            </w:tcBorders>
            <w:hideMark/>
          </w:tcPr>
          <w:p w14:paraId="3B856C52" w14:textId="77777777" w:rsidR="00A76826" w:rsidRPr="004714C6" w:rsidRDefault="00A76826" w:rsidP="00FB1973">
            <w:pPr>
              <w:widowControl w:val="0"/>
              <w:autoSpaceDE w:val="0"/>
              <w:autoSpaceDN w:val="0"/>
              <w:adjustRightInd w:val="0"/>
              <w:ind w:left="517" w:right="-20"/>
              <w:jc w:val="both"/>
              <w:rPr>
                <w:kern w:val="2"/>
                <w:sz w:val="24"/>
                <w:szCs w:val="24"/>
                <w14:ligatures w14:val="standardContextual"/>
              </w:rPr>
            </w:pPr>
            <w:r w:rsidRPr="004714C6">
              <w:rPr>
                <w:kern w:val="2"/>
                <w:sz w:val="24"/>
                <w:szCs w:val="24"/>
                <w14:ligatures w14:val="standardContextual"/>
              </w:rPr>
              <w:t>134 (1,14)</w:t>
            </w:r>
          </w:p>
        </w:tc>
      </w:tr>
      <w:tr w:rsidR="00A76826" w:rsidRPr="004714C6" w14:paraId="17A3564D"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00C26079" w14:textId="77777777" w:rsidR="00A76826" w:rsidRPr="004714C6" w:rsidRDefault="00A76826" w:rsidP="00FB1973">
            <w:pPr>
              <w:widowControl w:val="0"/>
              <w:autoSpaceDE w:val="0"/>
              <w:autoSpaceDN w:val="0"/>
              <w:adjustRightInd w:val="0"/>
              <w:ind w:left="424" w:right="-20"/>
              <w:rPr>
                <w:i/>
                <w:iCs/>
                <w:kern w:val="2"/>
                <w:sz w:val="24"/>
                <w:szCs w:val="24"/>
                <w14:ligatures w14:val="standardContextual"/>
              </w:rPr>
            </w:pPr>
            <w:r w:rsidRPr="004714C6">
              <w:rPr>
                <w:i/>
                <w:iCs/>
                <w:kern w:val="2"/>
                <w:sz w:val="24"/>
                <w:szCs w:val="24"/>
                <w14:ligatures w14:val="standardContextual"/>
              </w:rPr>
              <w:t xml:space="preserve">Hazard ratio </w:t>
            </w:r>
            <w:r w:rsidRPr="004714C6">
              <w:rPr>
                <w:kern w:val="2"/>
                <w:sz w:val="24"/>
                <w:szCs w:val="24"/>
                <w14:ligatures w14:val="standardContextual"/>
              </w:rPr>
              <w:t>sammenlignet med warfarin (95 % CI)</w:t>
            </w:r>
          </w:p>
        </w:tc>
        <w:tc>
          <w:tcPr>
            <w:tcW w:w="1329" w:type="pct"/>
            <w:tcBorders>
              <w:top w:val="single" w:sz="4" w:space="0" w:color="000000"/>
              <w:left w:val="single" w:sz="4" w:space="0" w:color="000000"/>
              <w:bottom w:val="single" w:sz="4" w:space="0" w:color="000000"/>
              <w:right w:val="single" w:sz="4" w:space="0" w:color="000000"/>
            </w:tcBorders>
            <w:hideMark/>
          </w:tcPr>
          <w:p w14:paraId="3BFBADCA" w14:textId="77777777" w:rsidR="00A76826" w:rsidRPr="004714C6" w:rsidRDefault="00A76826" w:rsidP="00FB1973">
            <w:pPr>
              <w:widowControl w:val="0"/>
              <w:autoSpaceDE w:val="0"/>
              <w:autoSpaceDN w:val="0"/>
              <w:adjustRightInd w:val="0"/>
              <w:ind w:left="429" w:right="-20"/>
              <w:jc w:val="both"/>
              <w:rPr>
                <w:kern w:val="2"/>
                <w:sz w:val="24"/>
                <w:szCs w:val="24"/>
                <w14:ligatures w14:val="standardContextual"/>
              </w:rPr>
            </w:pPr>
            <w:r w:rsidRPr="004714C6">
              <w:rPr>
                <w:kern w:val="2"/>
                <w:sz w:val="24"/>
                <w:szCs w:val="24"/>
                <w14:ligatures w14:val="standardContextual"/>
              </w:rPr>
              <w:t>1,13 (0,89; 1,42)</w:t>
            </w:r>
          </w:p>
        </w:tc>
        <w:tc>
          <w:tcPr>
            <w:tcW w:w="1406" w:type="pct"/>
            <w:tcBorders>
              <w:top w:val="single" w:sz="4" w:space="0" w:color="000000"/>
              <w:left w:val="single" w:sz="4" w:space="0" w:color="000000"/>
              <w:bottom w:val="single" w:sz="4" w:space="0" w:color="000000"/>
              <w:right w:val="single" w:sz="4" w:space="0" w:color="000000"/>
            </w:tcBorders>
            <w:hideMark/>
          </w:tcPr>
          <w:p w14:paraId="41470230" w14:textId="77777777" w:rsidR="00A76826" w:rsidRPr="004714C6" w:rsidRDefault="00A76826" w:rsidP="00FB1973">
            <w:pPr>
              <w:widowControl w:val="0"/>
              <w:autoSpaceDE w:val="0"/>
              <w:autoSpaceDN w:val="0"/>
              <w:adjustRightInd w:val="0"/>
              <w:ind w:left="426" w:right="-20"/>
              <w:jc w:val="both"/>
              <w:rPr>
                <w:kern w:val="2"/>
                <w:sz w:val="24"/>
                <w:szCs w:val="24"/>
                <w14:ligatures w14:val="standardContextual"/>
              </w:rPr>
            </w:pPr>
            <w:r w:rsidRPr="004714C6">
              <w:rPr>
                <w:kern w:val="2"/>
                <w:sz w:val="24"/>
                <w:szCs w:val="24"/>
                <w14:ligatures w14:val="standardContextual"/>
              </w:rPr>
              <w:t>0,76 (0,59; 0,98)</w:t>
            </w:r>
          </w:p>
        </w:tc>
        <w:tc>
          <w:tcPr>
            <w:tcW w:w="924" w:type="pct"/>
            <w:tcBorders>
              <w:top w:val="single" w:sz="4" w:space="0" w:color="000000"/>
              <w:left w:val="single" w:sz="4" w:space="0" w:color="000000"/>
              <w:bottom w:val="single" w:sz="4" w:space="0" w:color="000000"/>
              <w:right w:val="single" w:sz="4" w:space="0" w:color="000000"/>
            </w:tcBorders>
          </w:tcPr>
          <w:p w14:paraId="5C2BCEA4"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55AE3960"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703290F3"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p-værdi</w:t>
            </w:r>
          </w:p>
        </w:tc>
        <w:tc>
          <w:tcPr>
            <w:tcW w:w="1329" w:type="pct"/>
            <w:tcBorders>
              <w:top w:val="single" w:sz="4" w:space="0" w:color="000000"/>
              <w:left w:val="single" w:sz="4" w:space="0" w:color="000000"/>
              <w:bottom w:val="single" w:sz="4" w:space="0" w:color="000000"/>
              <w:right w:val="single" w:sz="4" w:space="0" w:color="000000"/>
            </w:tcBorders>
            <w:hideMark/>
          </w:tcPr>
          <w:p w14:paraId="5EEFB755" w14:textId="77777777" w:rsidR="00A76826" w:rsidRPr="004714C6" w:rsidRDefault="00A76826" w:rsidP="00FB1973">
            <w:pPr>
              <w:widowControl w:val="0"/>
              <w:autoSpaceDE w:val="0"/>
              <w:autoSpaceDN w:val="0"/>
              <w:adjustRightInd w:val="0"/>
              <w:ind w:left="822" w:right="804"/>
              <w:jc w:val="both"/>
              <w:rPr>
                <w:kern w:val="2"/>
                <w:sz w:val="24"/>
                <w:szCs w:val="24"/>
                <w14:ligatures w14:val="standardContextual"/>
              </w:rPr>
            </w:pPr>
            <w:r w:rsidRPr="004714C6">
              <w:rPr>
                <w:kern w:val="2"/>
                <w:sz w:val="24"/>
                <w:szCs w:val="24"/>
                <w14:ligatures w14:val="standardContextual"/>
              </w:rPr>
              <w:t>0,3138</w:t>
            </w:r>
          </w:p>
        </w:tc>
        <w:tc>
          <w:tcPr>
            <w:tcW w:w="1406" w:type="pct"/>
            <w:tcBorders>
              <w:top w:val="single" w:sz="4" w:space="0" w:color="000000"/>
              <w:left w:val="single" w:sz="4" w:space="0" w:color="000000"/>
              <w:bottom w:val="single" w:sz="4" w:space="0" w:color="000000"/>
              <w:right w:val="single" w:sz="4" w:space="0" w:color="000000"/>
            </w:tcBorders>
            <w:hideMark/>
          </w:tcPr>
          <w:p w14:paraId="2D5917DD" w14:textId="77777777" w:rsidR="00A76826" w:rsidRPr="004714C6" w:rsidRDefault="00A76826" w:rsidP="00FB1973">
            <w:pPr>
              <w:widowControl w:val="0"/>
              <w:autoSpaceDE w:val="0"/>
              <w:autoSpaceDN w:val="0"/>
              <w:adjustRightInd w:val="0"/>
              <w:ind w:left="819" w:right="804"/>
              <w:jc w:val="both"/>
              <w:rPr>
                <w:kern w:val="2"/>
                <w:sz w:val="24"/>
                <w:szCs w:val="24"/>
                <w14:ligatures w14:val="standardContextual"/>
              </w:rPr>
            </w:pPr>
            <w:r w:rsidRPr="004714C6">
              <w:rPr>
                <w:kern w:val="2"/>
                <w:sz w:val="24"/>
                <w:szCs w:val="24"/>
                <w14:ligatures w14:val="standardContextual"/>
              </w:rPr>
              <w:t>0,0351</w:t>
            </w:r>
          </w:p>
        </w:tc>
        <w:tc>
          <w:tcPr>
            <w:tcW w:w="924" w:type="pct"/>
            <w:tcBorders>
              <w:top w:val="single" w:sz="4" w:space="0" w:color="000000"/>
              <w:left w:val="single" w:sz="4" w:space="0" w:color="000000"/>
              <w:bottom w:val="single" w:sz="4" w:space="0" w:color="000000"/>
              <w:right w:val="single" w:sz="4" w:space="0" w:color="000000"/>
            </w:tcBorders>
          </w:tcPr>
          <w:p w14:paraId="4DF546E9"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6DBBCD31"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17DC04D3" w14:textId="77777777" w:rsidR="00A76826" w:rsidRPr="004714C6" w:rsidRDefault="00A76826" w:rsidP="00FB1973">
            <w:pPr>
              <w:widowControl w:val="0"/>
              <w:autoSpaceDE w:val="0"/>
              <w:autoSpaceDN w:val="0"/>
              <w:adjustRightInd w:val="0"/>
              <w:ind w:left="64" w:right="-20"/>
              <w:jc w:val="both"/>
              <w:rPr>
                <w:kern w:val="2"/>
                <w:sz w:val="24"/>
                <w:szCs w:val="24"/>
                <w14:ligatures w14:val="standardContextual"/>
              </w:rPr>
            </w:pPr>
            <w:r w:rsidRPr="004714C6">
              <w:rPr>
                <w:kern w:val="2"/>
                <w:sz w:val="24"/>
                <w:szCs w:val="24"/>
                <w14:ligatures w14:val="standardContextual"/>
              </w:rPr>
              <w:t>Hæmoragisk apopleksi</w:t>
            </w:r>
          </w:p>
        </w:tc>
        <w:tc>
          <w:tcPr>
            <w:tcW w:w="1329" w:type="pct"/>
            <w:tcBorders>
              <w:top w:val="single" w:sz="4" w:space="0" w:color="000000"/>
              <w:left w:val="single" w:sz="4" w:space="0" w:color="000000"/>
              <w:bottom w:val="single" w:sz="4" w:space="0" w:color="000000"/>
              <w:right w:val="single" w:sz="4" w:space="0" w:color="000000"/>
            </w:tcBorders>
          </w:tcPr>
          <w:p w14:paraId="6EB1CA2C"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1406" w:type="pct"/>
            <w:tcBorders>
              <w:top w:val="single" w:sz="4" w:space="0" w:color="000000"/>
              <w:left w:val="single" w:sz="4" w:space="0" w:color="000000"/>
              <w:bottom w:val="single" w:sz="4" w:space="0" w:color="000000"/>
              <w:right w:val="single" w:sz="4" w:space="0" w:color="000000"/>
            </w:tcBorders>
          </w:tcPr>
          <w:p w14:paraId="35A5EAAD"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924" w:type="pct"/>
            <w:tcBorders>
              <w:top w:val="single" w:sz="4" w:space="0" w:color="000000"/>
              <w:left w:val="single" w:sz="4" w:space="0" w:color="000000"/>
              <w:bottom w:val="single" w:sz="4" w:space="0" w:color="000000"/>
              <w:right w:val="single" w:sz="4" w:space="0" w:color="000000"/>
            </w:tcBorders>
          </w:tcPr>
          <w:p w14:paraId="3928CFE1"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12620078"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58BBC490"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Forekomst (%)</w:t>
            </w:r>
          </w:p>
        </w:tc>
        <w:tc>
          <w:tcPr>
            <w:tcW w:w="1329" w:type="pct"/>
            <w:tcBorders>
              <w:top w:val="single" w:sz="4" w:space="0" w:color="000000"/>
              <w:left w:val="single" w:sz="4" w:space="0" w:color="000000"/>
              <w:bottom w:val="single" w:sz="4" w:space="0" w:color="000000"/>
              <w:right w:val="single" w:sz="4" w:space="0" w:color="000000"/>
            </w:tcBorders>
            <w:hideMark/>
          </w:tcPr>
          <w:p w14:paraId="3670BA94" w14:textId="77777777" w:rsidR="00A76826" w:rsidRPr="004714C6" w:rsidRDefault="00A76826" w:rsidP="00FB1973">
            <w:pPr>
              <w:widowControl w:val="0"/>
              <w:autoSpaceDE w:val="0"/>
              <w:autoSpaceDN w:val="0"/>
              <w:adjustRightInd w:val="0"/>
              <w:ind w:left="757" w:right="-20"/>
              <w:jc w:val="both"/>
              <w:rPr>
                <w:kern w:val="2"/>
                <w:sz w:val="24"/>
                <w:szCs w:val="24"/>
                <w14:ligatures w14:val="standardContextual"/>
              </w:rPr>
            </w:pPr>
            <w:r w:rsidRPr="004714C6">
              <w:rPr>
                <w:kern w:val="2"/>
                <w:sz w:val="24"/>
                <w:szCs w:val="24"/>
                <w14:ligatures w14:val="standardContextual"/>
              </w:rPr>
              <w:t>14 (0,12)</w:t>
            </w:r>
          </w:p>
        </w:tc>
        <w:tc>
          <w:tcPr>
            <w:tcW w:w="1406" w:type="pct"/>
            <w:tcBorders>
              <w:top w:val="single" w:sz="4" w:space="0" w:color="000000"/>
              <w:left w:val="single" w:sz="4" w:space="0" w:color="000000"/>
              <w:bottom w:val="single" w:sz="4" w:space="0" w:color="000000"/>
              <w:right w:val="single" w:sz="4" w:space="0" w:color="000000"/>
            </w:tcBorders>
            <w:hideMark/>
          </w:tcPr>
          <w:p w14:paraId="1DB299AF" w14:textId="77777777" w:rsidR="00A76826" w:rsidRPr="004714C6" w:rsidRDefault="00A76826" w:rsidP="00FB1973">
            <w:pPr>
              <w:widowControl w:val="0"/>
              <w:autoSpaceDE w:val="0"/>
              <w:autoSpaceDN w:val="0"/>
              <w:adjustRightInd w:val="0"/>
              <w:ind w:left="755" w:right="-20"/>
              <w:jc w:val="both"/>
              <w:rPr>
                <w:kern w:val="2"/>
                <w:sz w:val="24"/>
                <w:szCs w:val="24"/>
                <w14:ligatures w14:val="standardContextual"/>
              </w:rPr>
            </w:pPr>
            <w:r w:rsidRPr="004714C6">
              <w:rPr>
                <w:kern w:val="2"/>
                <w:sz w:val="24"/>
                <w:szCs w:val="24"/>
                <w14:ligatures w14:val="standardContextual"/>
              </w:rPr>
              <w:t>12 (0,10)</w:t>
            </w:r>
          </w:p>
        </w:tc>
        <w:tc>
          <w:tcPr>
            <w:tcW w:w="924" w:type="pct"/>
            <w:tcBorders>
              <w:top w:val="single" w:sz="4" w:space="0" w:color="000000"/>
              <w:left w:val="single" w:sz="4" w:space="0" w:color="000000"/>
              <w:bottom w:val="single" w:sz="4" w:space="0" w:color="000000"/>
              <w:right w:val="single" w:sz="4" w:space="0" w:color="000000"/>
            </w:tcBorders>
            <w:hideMark/>
          </w:tcPr>
          <w:p w14:paraId="67BE80D9" w14:textId="77777777" w:rsidR="00A76826" w:rsidRPr="004714C6" w:rsidRDefault="00A76826" w:rsidP="00FB1973">
            <w:pPr>
              <w:widowControl w:val="0"/>
              <w:autoSpaceDE w:val="0"/>
              <w:autoSpaceDN w:val="0"/>
              <w:adjustRightInd w:val="0"/>
              <w:ind w:left="573" w:right="-20"/>
              <w:jc w:val="both"/>
              <w:rPr>
                <w:kern w:val="2"/>
                <w:sz w:val="24"/>
                <w:szCs w:val="24"/>
                <w14:ligatures w14:val="standardContextual"/>
              </w:rPr>
            </w:pPr>
            <w:r w:rsidRPr="004714C6">
              <w:rPr>
                <w:kern w:val="2"/>
                <w:sz w:val="24"/>
                <w:szCs w:val="24"/>
                <w14:ligatures w14:val="standardContextual"/>
              </w:rPr>
              <w:t>45 (0,38)</w:t>
            </w:r>
          </w:p>
        </w:tc>
      </w:tr>
      <w:tr w:rsidR="00A76826" w:rsidRPr="004714C6" w14:paraId="528D490B"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54B8A3D4"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i/>
                <w:iCs/>
                <w:kern w:val="2"/>
                <w:sz w:val="24"/>
                <w:szCs w:val="24"/>
                <w14:ligatures w14:val="standardContextual"/>
              </w:rPr>
              <w:t>Hazard ratio</w:t>
            </w:r>
            <w:r w:rsidRPr="004714C6">
              <w:rPr>
                <w:kern w:val="2"/>
                <w:sz w:val="24"/>
                <w:szCs w:val="24"/>
                <w14:ligatures w14:val="standardContextual"/>
              </w:rPr>
              <w:t xml:space="preserve"> sammenlignet med warfarin (95 % CI)</w:t>
            </w:r>
          </w:p>
        </w:tc>
        <w:tc>
          <w:tcPr>
            <w:tcW w:w="1329" w:type="pct"/>
            <w:tcBorders>
              <w:top w:val="single" w:sz="4" w:space="0" w:color="000000"/>
              <w:left w:val="single" w:sz="4" w:space="0" w:color="000000"/>
              <w:bottom w:val="single" w:sz="4" w:space="0" w:color="000000"/>
              <w:right w:val="single" w:sz="4" w:space="0" w:color="000000"/>
            </w:tcBorders>
            <w:hideMark/>
          </w:tcPr>
          <w:p w14:paraId="4A71EA9C" w14:textId="77777777" w:rsidR="00A76826" w:rsidRPr="004714C6" w:rsidRDefault="00A76826" w:rsidP="00FB1973">
            <w:pPr>
              <w:widowControl w:val="0"/>
              <w:autoSpaceDE w:val="0"/>
              <w:autoSpaceDN w:val="0"/>
              <w:adjustRightInd w:val="0"/>
              <w:ind w:left="429" w:right="-20"/>
              <w:jc w:val="both"/>
              <w:rPr>
                <w:kern w:val="2"/>
                <w:sz w:val="24"/>
                <w:szCs w:val="24"/>
                <w14:ligatures w14:val="standardContextual"/>
              </w:rPr>
            </w:pPr>
            <w:r w:rsidRPr="004714C6">
              <w:rPr>
                <w:kern w:val="2"/>
                <w:sz w:val="24"/>
                <w:szCs w:val="24"/>
                <w14:ligatures w14:val="standardContextual"/>
              </w:rPr>
              <w:t>0,31 (0,17; 0,56)</w:t>
            </w:r>
          </w:p>
        </w:tc>
        <w:tc>
          <w:tcPr>
            <w:tcW w:w="1406" w:type="pct"/>
            <w:tcBorders>
              <w:top w:val="single" w:sz="4" w:space="0" w:color="000000"/>
              <w:left w:val="single" w:sz="4" w:space="0" w:color="000000"/>
              <w:bottom w:val="single" w:sz="4" w:space="0" w:color="000000"/>
              <w:right w:val="single" w:sz="4" w:space="0" w:color="000000"/>
            </w:tcBorders>
            <w:hideMark/>
          </w:tcPr>
          <w:p w14:paraId="0F424069" w14:textId="77777777" w:rsidR="00A76826" w:rsidRPr="004714C6" w:rsidRDefault="00A76826" w:rsidP="00FB1973">
            <w:pPr>
              <w:widowControl w:val="0"/>
              <w:autoSpaceDE w:val="0"/>
              <w:autoSpaceDN w:val="0"/>
              <w:adjustRightInd w:val="0"/>
              <w:ind w:left="426" w:right="-20"/>
              <w:jc w:val="both"/>
              <w:rPr>
                <w:kern w:val="2"/>
                <w:sz w:val="24"/>
                <w:szCs w:val="24"/>
                <w14:ligatures w14:val="standardContextual"/>
              </w:rPr>
            </w:pPr>
            <w:r w:rsidRPr="004714C6">
              <w:rPr>
                <w:kern w:val="2"/>
                <w:sz w:val="24"/>
                <w:szCs w:val="24"/>
                <w14:ligatures w14:val="standardContextual"/>
              </w:rPr>
              <w:t>0,26 (0,14; 0,49)</w:t>
            </w:r>
          </w:p>
        </w:tc>
        <w:tc>
          <w:tcPr>
            <w:tcW w:w="924" w:type="pct"/>
            <w:tcBorders>
              <w:top w:val="single" w:sz="4" w:space="0" w:color="000000"/>
              <w:left w:val="single" w:sz="4" w:space="0" w:color="000000"/>
              <w:bottom w:val="single" w:sz="4" w:space="0" w:color="000000"/>
              <w:right w:val="single" w:sz="4" w:space="0" w:color="000000"/>
            </w:tcBorders>
          </w:tcPr>
          <w:p w14:paraId="7BADB889"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0D5B8887"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11380CC8"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p-værdi</w:t>
            </w:r>
          </w:p>
        </w:tc>
        <w:tc>
          <w:tcPr>
            <w:tcW w:w="1329" w:type="pct"/>
            <w:tcBorders>
              <w:top w:val="single" w:sz="4" w:space="0" w:color="000000"/>
              <w:left w:val="single" w:sz="4" w:space="0" w:color="000000"/>
              <w:bottom w:val="single" w:sz="4" w:space="0" w:color="000000"/>
              <w:right w:val="single" w:sz="4" w:space="0" w:color="000000"/>
            </w:tcBorders>
            <w:hideMark/>
          </w:tcPr>
          <w:p w14:paraId="2E4F09B5" w14:textId="77777777" w:rsidR="00A76826" w:rsidRPr="004714C6" w:rsidRDefault="00A76826" w:rsidP="00FB1973">
            <w:pPr>
              <w:widowControl w:val="0"/>
              <w:autoSpaceDE w:val="0"/>
              <w:autoSpaceDN w:val="0"/>
              <w:adjustRightInd w:val="0"/>
              <w:ind w:left="822" w:right="804"/>
              <w:jc w:val="both"/>
              <w:rPr>
                <w:kern w:val="2"/>
                <w:sz w:val="24"/>
                <w:szCs w:val="24"/>
                <w14:ligatures w14:val="standardContextual"/>
              </w:rPr>
            </w:pPr>
            <w:r w:rsidRPr="004714C6">
              <w:rPr>
                <w:kern w:val="2"/>
                <w:sz w:val="24"/>
                <w:szCs w:val="24"/>
                <w14:ligatures w14:val="standardContextual"/>
              </w:rPr>
              <w:t>0,0001</w:t>
            </w:r>
          </w:p>
        </w:tc>
        <w:tc>
          <w:tcPr>
            <w:tcW w:w="1406" w:type="pct"/>
            <w:tcBorders>
              <w:top w:val="single" w:sz="4" w:space="0" w:color="000000"/>
              <w:left w:val="single" w:sz="4" w:space="0" w:color="000000"/>
              <w:bottom w:val="single" w:sz="4" w:space="0" w:color="000000"/>
              <w:right w:val="single" w:sz="4" w:space="0" w:color="000000"/>
            </w:tcBorders>
            <w:hideMark/>
          </w:tcPr>
          <w:p w14:paraId="29342F4F" w14:textId="77777777" w:rsidR="00A76826" w:rsidRPr="004714C6" w:rsidRDefault="00A76826" w:rsidP="00FB1973">
            <w:pPr>
              <w:widowControl w:val="0"/>
              <w:autoSpaceDE w:val="0"/>
              <w:autoSpaceDN w:val="0"/>
              <w:adjustRightInd w:val="0"/>
              <w:ind w:left="767" w:right="-20"/>
              <w:jc w:val="both"/>
              <w:rPr>
                <w:kern w:val="2"/>
                <w:sz w:val="24"/>
                <w:szCs w:val="24"/>
                <w14:ligatures w14:val="standardContextual"/>
              </w:rPr>
            </w:pPr>
            <w:r w:rsidRPr="004714C6">
              <w:rPr>
                <w:kern w:val="2"/>
                <w:sz w:val="24"/>
                <w:szCs w:val="24"/>
                <w14:ligatures w14:val="standardContextual"/>
              </w:rPr>
              <w:t>&lt; 0,0001</w:t>
            </w:r>
          </w:p>
        </w:tc>
        <w:tc>
          <w:tcPr>
            <w:tcW w:w="924" w:type="pct"/>
            <w:tcBorders>
              <w:top w:val="single" w:sz="4" w:space="0" w:color="000000"/>
              <w:left w:val="single" w:sz="4" w:space="0" w:color="000000"/>
              <w:bottom w:val="single" w:sz="4" w:space="0" w:color="000000"/>
              <w:right w:val="single" w:sz="4" w:space="0" w:color="000000"/>
            </w:tcBorders>
          </w:tcPr>
          <w:p w14:paraId="5207B946"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bl>
    <w:p w14:paraId="0B914B35" w14:textId="77777777" w:rsidR="00A76826" w:rsidRPr="004714C6" w:rsidRDefault="00A76826" w:rsidP="00A76826">
      <w:pPr>
        <w:widowControl w:val="0"/>
        <w:autoSpaceDE w:val="0"/>
        <w:autoSpaceDN w:val="0"/>
        <w:adjustRightInd w:val="0"/>
        <w:spacing w:line="246" w:lineRule="exact"/>
        <w:ind w:right="-20"/>
        <w:rPr>
          <w:sz w:val="24"/>
          <w:szCs w:val="24"/>
        </w:rPr>
      </w:pPr>
      <w:r w:rsidRPr="004714C6">
        <w:rPr>
          <w:sz w:val="24"/>
          <w:szCs w:val="24"/>
        </w:rPr>
        <w:t>% refererer til den årlige hændelseshyppighed</w:t>
      </w:r>
    </w:p>
    <w:p w14:paraId="5FFEF184" w14:textId="2202B923" w:rsidR="00326117" w:rsidRDefault="00326117">
      <w:pPr>
        <w:rPr>
          <w:sz w:val="24"/>
          <w:szCs w:val="24"/>
        </w:rPr>
      </w:pPr>
      <w:r>
        <w:rPr>
          <w:sz w:val="24"/>
          <w:szCs w:val="24"/>
        </w:rPr>
        <w:br w:type="page"/>
      </w:r>
    </w:p>
    <w:p w14:paraId="5D853FC4" w14:textId="77777777" w:rsidR="00A76826" w:rsidRPr="004714C6" w:rsidRDefault="00A76826" w:rsidP="00A76826">
      <w:pPr>
        <w:widowControl w:val="0"/>
        <w:autoSpaceDE w:val="0"/>
        <w:autoSpaceDN w:val="0"/>
        <w:adjustRightInd w:val="0"/>
        <w:spacing w:line="246" w:lineRule="exact"/>
        <w:ind w:right="-20"/>
        <w:rPr>
          <w:sz w:val="24"/>
          <w:szCs w:val="24"/>
        </w:rPr>
      </w:pPr>
    </w:p>
    <w:p w14:paraId="528436CF"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24:</w:t>
      </w:r>
      <w:r w:rsidRPr="004714C6">
        <w:rPr>
          <w:b/>
          <w:bCs/>
          <w:sz w:val="24"/>
          <w:szCs w:val="24"/>
        </w:rPr>
        <w:tab/>
        <w:t>Analyse af overlevelse uanset årsag og kardiovaskulær overlevelse i studieperioden i</w:t>
      </w:r>
      <w:r w:rsidRPr="004714C6">
        <w:rPr>
          <w:sz w:val="24"/>
          <w:szCs w:val="24"/>
        </w:rPr>
        <w:t xml:space="preserve"> </w:t>
      </w:r>
      <w:r w:rsidRPr="004714C6">
        <w:rPr>
          <w:b/>
          <w:bCs/>
          <w:sz w:val="24"/>
          <w:szCs w:val="24"/>
        </w:rPr>
        <w:t>RE</w:t>
      </w:r>
      <w:r w:rsidRPr="004714C6">
        <w:rPr>
          <w:b/>
          <w:bCs/>
          <w:sz w:val="24"/>
          <w:szCs w:val="24"/>
        </w:rPr>
        <w:noBreakHyphen/>
        <w:t>LY</w:t>
      </w:r>
    </w:p>
    <w:p w14:paraId="35378595"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583"/>
        <w:gridCol w:w="2482"/>
        <w:gridCol w:w="2528"/>
        <w:gridCol w:w="2035"/>
      </w:tblGrid>
      <w:tr w:rsidR="00A76826" w:rsidRPr="004714C6" w14:paraId="25E3DA99"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tcPr>
          <w:p w14:paraId="2E0C6B90" w14:textId="77777777" w:rsidR="00A76826" w:rsidRPr="004714C6" w:rsidRDefault="00A76826" w:rsidP="00FB1973">
            <w:pPr>
              <w:widowControl w:val="0"/>
              <w:autoSpaceDE w:val="0"/>
              <w:autoSpaceDN w:val="0"/>
              <w:adjustRightInd w:val="0"/>
              <w:jc w:val="both"/>
              <w:rPr>
                <w:b/>
                <w:bCs/>
                <w:kern w:val="2"/>
                <w:sz w:val="24"/>
                <w:szCs w:val="24"/>
                <w14:ligatures w14:val="standardContextual"/>
              </w:rPr>
            </w:pPr>
          </w:p>
        </w:tc>
        <w:tc>
          <w:tcPr>
            <w:tcW w:w="1289" w:type="pct"/>
            <w:tcBorders>
              <w:top w:val="single" w:sz="4" w:space="0" w:color="000000"/>
              <w:left w:val="single" w:sz="4" w:space="0" w:color="000000"/>
              <w:bottom w:val="single" w:sz="4" w:space="0" w:color="000000"/>
              <w:right w:val="single" w:sz="4" w:space="0" w:color="000000"/>
            </w:tcBorders>
            <w:hideMark/>
          </w:tcPr>
          <w:p w14:paraId="2D874343" w14:textId="77777777" w:rsidR="00A76826" w:rsidRPr="004714C6" w:rsidRDefault="00A76826" w:rsidP="00FB1973">
            <w:pPr>
              <w:widowControl w:val="0"/>
              <w:autoSpaceDE w:val="0"/>
              <w:autoSpaceDN w:val="0"/>
              <w:adjustRightInd w:val="0"/>
              <w:ind w:right="259"/>
              <w:jc w:val="center"/>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110 mg 2 gange dagligt</w:t>
            </w:r>
          </w:p>
        </w:tc>
        <w:tc>
          <w:tcPr>
            <w:tcW w:w="1313" w:type="pct"/>
            <w:tcBorders>
              <w:top w:val="single" w:sz="4" w:space="0" w:color="000000"/>
              <w:left w:val="single" w:sz="4" w:space="0" w:color="000000"/>
              <w:bottom w:val="single" w:sz="4" w:space="0" w:color="000000"/>
              <w:right w:val="single" w:sz="4" w:space="0" w:color="000000"/>
            </w:tcBorders>
            <w:hideMark/>
          </w:tcPr>
          <w:p w14:paraId="392C33E9" w14:textId="77777777" w:rsidR="00A76826" w:rsidRPr="004714C6" w:rsidRDefault="00A76826" w:rsidP="00FB1973">
            <w:pPr>
              <w:widowControl w:val="0"/>
              <w:autoSpaceDE w:val="0"/>
              <w:autoSpaceDN w:val="0"/>
              <w:adjustRightInd w:val="0"/>
              <w:ind w:right="259"/>
              <w:jc w:val="center"/>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150 mg 2 gange dagligt</w:t>
            </w:r>
          </w:p>
        </w:tc>
        <w:tc>
          <w:tcPr>
            <w:tcW w:w="1058" w:type="pct"/>
            <w:tcBorders>
              <w:top w:val="single" w:sz="4" w:space="0" w:color="000000"/>
              <w:left w:val="single" w:sz="4" w:space="0" w:color="000000"/>
              <w:bottom w:val="single" w:sz="4" w:space="0" w:color="000000"/>
              <w:right w:val="single" w:sz="4" w:space="0" w:color="000000"/>
            </w:tcBorders>
            <w:hideMark/>
          </w:tcPr>
          <w:p w14:paraId="6FD051ED" w14:textId="77777777" w:rsidR="00A76826" w:rsidRPr="004714C6" w:rsidRDefault="00A76826" w:rsidP="00FB1973">
            <w:pPr>
              <w:widowControl w:val="0"/>
              <w:autoSpaceDE w:val="0"/>
              <w:autoSpaceDN w:val="0"/>
              <w:adjustRightInd w:val="0"/>
              <w:ind w:right="-20"/>
              <w:jc w:val="center"/>
              <w:rPr>
                <w:b/>
                <w:bCs/>
                <w:kern w:val="2"/>
                <w:sz w:val="24"/>
                <w:szCs w:val="24"/>
                <w14:ligatures w14:val="standardContextual"/>
              </w:rPr>
            </w:pPr>
            <w:r w:rsidRPr="004714C6">
              <w:rPr>
                <w:b/>
                <w:bCs/>
                <w:kern w:val="2"/>
                <w:sz w:val="24"/>
                <w:szCs w:val="24"/>
                <w14:ligatures w14:val="standardContextual"/>
              </w:rPr>
              <w:t>Warfarin</w:t>
            </w:r>
          </w:p>
        </w:tc>
      </w:tr>
      <w:tr w:rsidR="00A76826" w:rsidRPr="004714C6" w14:paraId="34E3B4A4"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3145EFD5" w14:textId="77777777" w:rsidR="00A76826" w:rsidRPr="004714C6" w:rsidRDefault="00A76826" w:rsidP="00FB1973">
            <w:pPr>
              <w:widowControl w:val="0"/>
              <w:autoSpaceDE w:val="0"/>
              <w:autoSpaceDN w:val="0"/>
              <w:adjustRightInd w:val="0"/>
              <w:ind w:left="64" w:right="-20"/>
              <w:jc w:val="both"/>
              <w:rPr>
                <w:kern w:val="2"/>
                <w:sz w:val="24"/>
                <w:szCs w:val="24"/>
                <w14:ligatures w14:val="standardContextual"/>
              </w:rPr>
            </w:pPr>
            <w:r w:rsidRPr="004714C6">
              <w:rPr>
                <w:kern w:val="2"/>
                <w:sz w:val="24"/>
                <w:szCs w:val="24"/>
                <w14:ligatures w14:val="standardContextual"/>
              </w:rPr>
              <w:t>Randomiserede patienter</w:t>
            </w:r>
          </w:p>
        </w:tc>
        <w:tc>
          <w:tcPr>
            <w:tcW w:w="1289" w:type="pct"/>
            <w:tcBorders>
              <w:top w:val="single" w:sz="4" w:space="0" w:color="000000"/>
              <w:left w:val="single" w:sz="4" w:space="0" w:color="000000"/>
              <w:bottom w:val="single" w:sz="4" w:space="0" w:color="000000"/>
              <w:right w:val="single" w:sz="4" w:space="0" w:color="000000"/>
            </w:tcBorders>
            <w:hideMark/>
          </w:tcPr>
          <w:p w14:paraId="630E8675" w14:textId="77777777" w:rsidR="00A76826" w:rsidRPr="004714C6" w:rsidRDefault="00A76826" w:rsidP="00FB1973">
            <w:pPr>
              <w:widowControl w:val="0"/>
              <w:autoSpaceDE w:val="0"/>
              <w:autoSpaceDN w:val="0"/>
              <w:adjustRightInd w:val="0"/>
              <w:ind w:left="877" w:right="859"/>
              <w:jc w:val="both"/>
              <w:rPr>
                <w:kern w:val="2"/>
                <w:sz w:val="24"/>
                <w:szCs w:val="24"/>
                <w14:ligatures w14:val="standardContextual"/>
              </w:rPr>
            </w:pPr>
            <w:r w:rsidRPr="004714C6">
              <w:rPr>
                <w:kern w:val="2"/>
                <w:sz w:val="24"/>
                <w:szCs w:val="24"/>
                <w14:ligatures w14:val="standardContextual"/>
              </w:rPr>
              <w:t>6.015</w:t>
            </w:r>
          </w:p>
        </w:tc>
        <w:tc>
          <w:tcPr>
            <w:tcW w:w="1313" w:type="pct"/>
            <w:tcBorders>
              <w:top w:val="single" w:sz="4" w:space="0" w:color="000000"/>
              <w:left w:val="single" w:sz="4" w:space="0" w:color="000000"/>
              <w:bottom w:val="single" w:sz="4" w:space="0" w:color="000000"/>
              <w:right w:val="single" w:sz="4" w:space="0" w:color="000000"/>
            </w:tcBorders>
            <w:hideMark/>
          </w:tcPr>
          <w:p w14:paraId="3F492CAB" w14:textId="77777777" w:rsidR="00A76826" w:rsidRPr="004714C6" w:rsidRDefault="00A76826" w:rsidP="00FB1973">
            <w:pPr>
              <w:widowControl w:val="0"/>
              <w:autoSpaceDE w:val="0"/>
              <w:autoSpaceDN w:val="0"/>
              <w:adjustRightInd w:val="0"/>
              <w:ind w:left="113"/>
              <w:jc w:val="center"/>
              <w:rPr>
                <w:kern w:val="2"/>
                <w:sz w:val="24"/>
                <w:szCs w:val="24"/>
                <w14:ligatures w14:val="standardContextual"/>
              </w:rPr>
            </w:pPr>
            <w:r w:rsidRPr="004714C6">
              <w:rPr>
                <w:kern w:val="2"/>
                <w:sz w:val="24"/>
                <w:szCs w:val="24"/>
                <w14:ligatures w14:val="standardContextual"/>
              </w:rPr>
              <w:t>6.076</w:t>
            </w:r>
          </w:p>
        </w:tc>
        <w:tc>
          <w:tcPr>
            <w:tcW w:w="1058" w:type="pct"/>
            <w:tcBorders>
              <w:top w:val="single" w:sz="4" w:space="0" w:color="000000"/>
              <w:left w:val="single" w:sz="4" w:space="0" w:color="000000"/>
              <w:bottom w:val="single" w:sz="4" w:space="0" w:color="000000"/>
              <w:right w:val="single" w:sz="4" w:space="0" w:color="000000"/>
            </w:tcBorders>
            <w:hideMark/>
          </w:tcPr>
          <w:p w14:paraId="754360C1" w14:textId="77777777" w:rsidR="00A76826" w:rsidRPr="004714C6" w:rsidRDefault="00A76826" w:rsidP="00FB1973">
            <w:pPr>
              <w:widowControl w:val="0"/>
              <w:autoSpaceDE w:val="0"/>
              <w:autoSpaceDN w:val="0"/>
              <w:adjustRightInd w:val="0"/>
              <w:ind w:left="690" w:right="674"/>
              <w:jc w:val="both"/>
              <w:rPr>
                <w:kern w:val="2"/>
                <w:sz w:val="24"/>
                <w:szCs w:val="24"/>
                <w14:ligatures w14:val="standardContextual"/>
              </w:rPr>
            </w:pPr>
            <w:r w:rsidRPr="004714C6">
              <w:rPr>
                <w:kern w:val="2"/>
                <w:sz w:val="24"/>
                <w:szCs w:val="24"/>
                <w14:ligatures w14:val="standardContextual"/>
              </w:rPr>
              <w:t>6.022</w:t>
            </w:r>
          </w:p>
        </w:tc>
      </w:tr>
      <w:tr w:rsidR="00A76826" w:rsidRPr="004714C6" w14:paraId="36C2B8CC"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1E95BA0B" w14:textId="77777777" w:rsidR="00A76826" w:rsidRPr="004714C6" w:rsidRDefault="00A76826" w:rsidP="00FB1973">
            <w:pPr>
              <w:widowControl w:val="0"/>
              <w:autoSpaceDE w:val="0"/>
              <w:autoSpaceDN w:val="0"/>
              <w:adjustRightInd w:val="0"/>
              <w:ind w:left="64" w:right="-20"/>
              <w:jc w:val="both"/>
              <w:rPr>
                <w:kern w:val="2"/>
                <w:sz w:val="24"/>
                <w:szCs w:val="24"/>
                <w14:ligatures w14:val="standardContextual"/>
              </w:rPr>
            </w:pPr>
            <w:r w:rsidRPr="004714C6">
              <w:rPr>
                <w:spacing w:val="1"/>
                <w:kern w:val="2"/>
                <w:sz w:val="24"/>
                <w:szCs w:val="24"/>
                <w14:ligatures w14:val="standardContextual"/>
              </w:rPr>
              <w:t xml:space="preserve">Mortalitet uanset </w:t>
            </w:r>
            <w:r w:rsidRPr="004714C6">
              <w:rPr>
                <w:spacing w:val="-4"/>
                <w:kern w:val="2"/>
                <w:sz w:val="24"/>
                <w:szCs w:val="24"/>
                <w14:ligatures w14:val="standardContextual"/>
              </w:rPr>
              <w:t>årsag</w:t>
            </w:r>
          </w:p>
        </w:tc>
        <w:tc>
          <w:tcPr>
            <w:tcW w:w="1289" w:type="pct"/>
            <w:tcBorders>
              <w:top w:val="single" w:sz="4" w:space="0" w:color="000000"/>
              <w:left w:val="single" w:sz="4" w:space="0" w:color="000000"/>
              <w:bottom w:val="single" w:sz="4" w:space="0" w:color="000000"/>
              <w:right w:val="single" w:sz="4" w:space="0" w:color="000000"/>
            </w:tcBorders>
          </w:tcPr>
          <w:p w14:paraId="710EEFE4"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1313" w:type="pct"/>
            <w:tcBorders>
              <w:top w:val="single" w:sz="4" w:space="0" w:color="000000"/>
              <w:left w:val="single" w:sz="4" w:space="0" w:color="000000"/>
              <w:bottom w:val="single" w:sz="4" w:space="0" w:color="000000"/>
              <w:right w:val="single" w:sz="4" w:space="0" w:color="000000"/>
            </w:tcBorders>
          </w:tcPr>
          <w:p w14:paraId="6515EAFF"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1058" w:type="pct"/>
            <w:tcBorders>
              <w:top w:val="single" w:sz="4" w:space="0" w:color="000000"/>
              <w:left w:val="single" w:sz="4" w:space="0" w:color="000000"/>
              <w:bottom w:val="single" w:sz="4" w:space="0" w:color="000000"/>
              <w:right w:val="single" w:sz="4" w:space="0" w:color="000000"/>
            </w:tcBorders>
          </w:tcPr>
          <w:p w14:paraId="14E52B81"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3BAC89B2"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67384824"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75348BB4" w14:textId="77777777" w:rsidR="00A76826" w:rsidRPr="004714C6" w:rsidRDefault="00A76826" w:rsidP="00FB1973">
            <w:pPr>
              <w:widowControl w:val="0"/>
              <w:autoSpaceDE w:val="0"/>
              <w:autoSpaceDN w:val="0"/>
              <w:adjustRightInd w:val="0"/>
              <w:ind w:left="702" w:right="-20"/>
              <w:jc w:val="both"/>
              <w:rPr>
                <w:kern w:val="2"/>
                <w:sz w:val="24"/>
                <w:szCs w:val="24"/>
                <w14:ligatures w14:val="standardContextual"/>
              </w:rPr>
            </w:pPr>
            <w:r w:rsidRPr="004714C6">
              <w:rPr>
                <w:kern w:val="2"/>
                <w:sz w:val="24"/>
                <w:szCs w:val="24"/>
                <w14:ligatures w14:val="standardContextual"/>
              </w:rPr>
              <w:t>446 (3,75)</w:t>
            </w:r>
          </w:p>
        </w:tc>
        <w:tc>
          <w:tcPr>
            <w:tcW w:w="1313" w:type="pct"/>
            <w:tcBorders>
              <w:top w:val="single" w:sz="4" w:space="0" w:color="000000"/>
              <w:left w:val="single" w:sz="4" w:space="0" w:color="000000"/>
              <w:bottom w:val="single" w:sz="4" w:space="0" w:color="000000"/>
              <w:right w:val="single" w:sz="4" w:space="0" w:color="000000"/>
            </w:tcBorders>
            <w:hideMark/>
          </w:tcPr>
          <w:p w14:paraId="7BE0778A" w14:textId="77777777" w:rsidR="00A76826" w:rsidRPr="004714C6" w:rsidRDefault="00A76826" w:rsidP="00FB1973">
            <w:pPr>
              <w:widowControl w:val="0"/>
              <w:autoSpaceDE w:val="0"/>
              <w:autoSpaceDN w:val="0"/>
              <w:adjustRightInd w:val="0"/>
              <w:ind w:left="700" w:right="-20"/>
              <w:jc w:val="both"/>
              <w:rPr>
                <w:kern w:val="2"/>
                <w:sz w:val="24"/>
                <w:szCs w:val="24"/>
                <w14:ligatures w14:val="standardContextual"/>
              </w:rPr>
            </w:pPr>
            <w:r w:rsidRPr="004714C6">
              <w:rPr>
                <w:kern w:val="2"/>
                <w:sz w:val="24"/>
                <w:szCs w:val="24"/>
                <w14:ligatures w14:val="standardContextual"/>
              </w:rPr>
              <w:t>438 (3,64)</w:t>
            </w:r>
          </w:p>
        </w:tc>
        <w:tc>
          <w:tcPr>
            <w:tcW w:w="1058" w:type="pct"/>
            <w:tcBorders>
              <w:top w:val="single" w:sz="4" w:space="0" w:color="000000"/>
              <w:left w:val="single" w:sz="4" w:space="0" w:color="000000"/>
              <w:bottom w:val="single" w:sz="4" w:space="0" w:color="000000"/>
              <w:right w:val="single" w:sz="4" w:space="0" w:color="000000"/>
            </w:tcBorders>
            <w:hideMark/>
          </w:tcPr>
          <w:p w14:paraId="6D56F2C6" w14:textId="77777777" w:rsidR="00A76826" w:rsidRPr="004714C6" w:rsidRDefault="00A76826" w:rsidP="00FB1973">
            <w:pPr>
              <w:widowControl w:val="0"/>
              <w:autoSpaceDE w:val="0"/>
              <w:autoSpaceDN w:val="0"/>
              <w:adjustRightInd w:val="0"/>
              <w:ind w:left="517" w:right="-20"/>
              <w:jc w:val="both"/>
              <w:rPr>
                <w:kern w:val="2"/>
                <w:sz w:val="24"/>
                <w:szCs w:val="24"/>
                <w14:ligatures w14:val="standardContextual"/>
              </w:rPr>
            </w:pPr>
            <w:r w:rsidRPr="004714C6">
              <w:rPr>
                <w:kern w:val="2"/>
                <w:sz w:val="24"/>
                <w:szCs w:val="24"/>
                <w14:ligatures w14:val="standardContextual"/>
              </w:rPr>
              <w:t>487 (4,13)</w:t>
            </w:r>
          </w:p>
        </w:tc>
      </w:tr>
      <w:tr w:rsidR="00A76826" w:rsidRPr="004714C6" w14:paraId="1BD15F89"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652B3D91" w14:textId="77777777" w:rsidR="00A76826" w:rsidRPr="004714C6" w:rsidRDefault="00A76826" w:rsidP="00FB1973">
            <w:pPr>
              <w:widowControl w:val="0"/>
              <w:autoSpaceDE w:val="0"/>
              <w:autoSpaceDN w:val="0"/>
              <w:adjustRightInd w:val="0"/>
              <w:ind w:left="424" w:right="-20"/>
              <w:rPr>
                <w:i/>
                <w:iCs/>
                <w:kern w:val="2"/>
                <w:sz w:val="24"/>
                <w:szCs w:val="24"/>
                <w14:ligatures w14:val="standardContextual"/>
              </w:rPr>
            </w:pPr>
            <w:r w:rsidRPr="004714C6">
              <w:rPr>
                <w:i/>
                <w:iCs/>
                <w:kern w:val="2"/>
                <w:sz w:val="24"/>
                <w:szCs w:val="24"/>
                <w14:ligatures w14:val="standardContextual"/>
              </w:rPr>
              <w:t xml:space="preserve">Hazard ratio </w:t>
            </w:r>
            <w:r w:rsidRPr="004714C6">
              <w:rPr>
                <w:kern w:val="2"/>
                <w:sz w:val="24"/>
                <w:szCs w:val="24"/>
                <w14:ligatures w14:val="standardContextual"/>
              </w:rPr>
              <w:t>sammenlignet med warfarin (95 % CI)</w:t>
            </w:r>
          </w:p>
        </w:tc>
        <w:tc>
          <w:tcPr>
            <w:tcW w:w="1289" w:type="pct"/>
            <w:tcBorders>
              <w:top w:val="single" w:sz="4" w:space="0" w:color="000000"/>
              <w:left w:val="single" w:sz="4" w:space="0" w:color="000000"/>
              <w:bottom w:val="single" w:sz="4" w:space="0" w:color="000000"/>
              <w:right w:val="single" w:sz="4" w:space="0" w:color="000000"/>
            </w:tcBorders>
            <w:hideMark/>
          </w:tcPr>
          <w:p w14:paraId="46E5BD97" w14:textId="77777777" w:rsidR="00A76826" w:rsidRPr="004714C6" w:rsidRDefault="00A76826" w:rsidP="00FB1973">
            <w:pPr>
              <w:widowControl w:val="0"/>
              <w:autoSpaceDE w:val="0"/>
              <w:autoSpaceDN w:val="0"/>
              <w:adjustRightInd w:val="0"/>
              <w:ind w:left="429" w:right="-20"/>
              <w:jc w:val="both"/>
              <w:rPr>
                <w:kern w:val="2"/>
                <w:sz w:val="24"/>
                <w:szCs w:val="24"/>
                <w14:ligatures w14:val="standardContextual"/>
              </w:rPr>
            </w:pPr>
            <w:r w:rsidRPr="004714C6">
              <w:rPr>
                <w:kern w:val="2"/>
                <w:sz w:val="24"/>
                <w:szCs w:val="24"/>
                <w14:ligatures w14:val="standardContextual"/>
              </w:rPr>
              <w:t>0,91 (0,80; 1,03)</w:t>
            </w:r>
          </w:p>
        </w:tc>
        <w:tc>
          <w:tcPr>
            <w:tcW w:w="1313" w:type="pct"/>
            <w:tcBorders>
              <w:top w:val="single" w:sz="4" w:space="0" w:color="000000"/>
              <w:left w:val="single" w:sz="4" w:space="0" w:color="000000"/>
              <w:bottom w:val="single" w:sz="4" w:space="0" w:color="000000"/>
              <w:right w:val="single" w:sz="4" w:space="0" w:color="000000"/>
            </w:tcBorders>
            <w:hideMark/>
          </w:tcPr>
          <w:p w14:paraId="76A7227E" w14:textId="77777777" w:rsidR="00A76826" w:rsidRPr="004714C6" w:rsidRDefault="00A76826" w:rsidP="00FB1973">
            <w:pPr>
              <w:widowControl w:val="0"/>
              <w:autoSpaceDE w:val="0"/>
              <w:autoSpaceDN w:val="0"/>
              <w:adjustRightInd w:val="0"/>
              <w:ind w:left="426" w:right="-20"/>
              <w:jc w:val="both"/>
              <w:rPr>
                <w:kern w:val="2"/>
                <w:sz w:val="24"/>
                <w:szCs w:val="24"/>
                <w14:ligatures w14:val="standardContextual"/>
              </w:rPr>
            </w:pPr>
            <w:r w:rsidRPr="004714C6">
              <w:rPr>
                <w:kern w:val="2"/>
                <w:sz w:val="24"/>
                <w:szCs w:val="24"/>
                <w14:ligatures w14:val="standardContextual"/>
              </w:rPr>
              <w:t>0,88 (0,77; 1,00)</w:t>
            </w:r>
          </w:p>
        </w:tc>
        <w:tc>
          <w:tcPr>
            <w:tcW w:w="1058" w:type="pct"/>
            <w:tcBorders>
              <w:top w:val="single" w:sz="4" w:space="0" w:color="000000"/>
              <w:left w:val="single" w:sz="4" w:space="0" w:color="000000"/>
              <w:bottom w:val="single" w:sz="4" w:space="0" w:color="000000"/>
              <w:right w:val="single" w:sz="4" w:space="0" w:color="000000"/>
            </w:tcBorders>
          </w:tcPr>
          <w:p w14:paraId="04E33769"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647BC00C"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4A4ABA93"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2FE46EE6" w14:textId="77777777" w:rsidR="00A76826" w:rsidRPr="004714C6" w:rsidRDefault="00A76826" w:rsidP="00FB1973">
            <w:pPr>
              <w:widowControl w:val="0"/>
              <w:autoSpaceDE w:val="0"/>
              <w:autoSpaceDN w:val="0"/>
              <w:adjustRightInd w:val="0"/>
              <w:ind w:left="822" w:right="804"/>
              <w:jc w:val="both"/>
              <w:rPr>
                <w:kern w:val="2"/>
                <w:sz w:val="24"/>
                <w:szCs w:val="24"/>
                <w14:ligatures w14:val="standardContextual"/>
              </w:rPr>
            </w:pPr>
            <w:r w:rsidRPr="004714C6">
              <w:rPr>
                <w:kern w:val="2"/>
                <w:sz w:val="24"/>
                <w:szCs w:val="24"/>
                <w14:ligatures w14:val="standardContextual"/>
              </w:rPr>
              <w:t>0,1308</w:t>
            </w:r>
          </w:p>
        </w:tc>
        <w:tc>
          <w:tcPr>
            <w:tcW w:w="1313" w:type="pct"/>
            <w:tcBorders>
              <w:top w:val="single" w:sz="4" w:space="0" w:color="000000"/>
              <w:left w:val="single" w:sz="4" w:space="0" w:color="000000"/>
              <w:bottom w:val="single" w:sz="4" w:space="0" w:color="000000"/>
              <w:right w:val="single" w:sz="4" w:space="0" w:color="000000"/>
            </w:tcBorders>
            <w:hideMark/>
          </w:tcPr>
          <w:p w14:paraId="697F2AB2" w14:textId="77777777" w:rsidR="00A76826" w:rsidRPr="004714C6" w:rsidRDefault="00A76826" w:rsidP="00FB1973">
            <w:pPr>
              <w:widowControl w:val="0"/>
              <w:autoSpaceDE w:val="0"/>
              <w:autoSpaceDN w:val="0"/>
              <w:adjustRightInd w:val="0"/>
              <w:ind w:left="819" w:right="804"/>
              <w:jc w:val="both"/>
              <w:rPr>
                <w:kern w:val="2"/>
                <w:sz w:val="24"/>
                <w:szCs w:val="24"/>
                <w14:ligatures w14:val="standardContextual"/>
              </w:rPr>
            </w:pPr>
            <w:r w:rsidRPr="004714C6">
              <w:rPr>
                <w:kern w:val="2"/>
                <w:sz w:val="24"/>
                <w:szCs w:val="24"/>
                <w14:ligatures w14:val="standardContextual"/>
              </w:rPr>
              <w:t>0,0517</w:t>
            </w:r>
          </w:p>
        </w:tc>
        <w:tc>
          <w:tcPr>
            <w:tcW w:w="1058" w:type="pct"/>
            <w:tcBorders>
              <w:top w:val="single" w:sz="4" w:space="0" w:color="000000"/>
              <w:left w:val="single" w:sz="4" w:space="0" w:color="000000"/>
              <w:bottom w:val="single" w:sz="4" w:space="0" w:color="000000"/>
              <w:right w:val="single" w:sz="4" w:space="0" w:color="000000"/>
            </w:tcBorders>
          </w:tcPr>
          <w:p w14:paraId="4E95D0E5"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5B757E24"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7A838AE9" w14:textId="77777777" w:rsidR="00A76826" w:rsidRPr="004714C6" w:rsidRDefault="00A76826" w:rsidP="00FB1973">
            <w:pPr>
              <w:widowControl w:val="0"/>
              <w:autoSpaceDE w:val="0"/>
              <w:autoSpaceDN w:val="0"/>
              <w:adjustRightInd w:val="0"/>
              <w:ind w:left="64" w:right="-20"/>
              <w:jc w:val="both"/>
              <w:rPr>
                <w:kern w:val="2"/>
                <w:sz w:val="24"/>
                <w:szCs w:val="24"/>
                <w14:ligatures w14:val="standardContextual"/>
              </w:rPr>
            </w:pPr>
            <w:r w:rsidRPr="004714C6">
              <w:rPr>
                <w:kern w:val="2"/>
                <w:sz w:val="24"/>
                <w:szCs w:val="24"/>
                <w14:ligatures w14:val="standardContextual"/>
              </w:rPr>
              <w:t>Vaskulær mortalitet</w:t>
            </w:r>
          </w:p>
        </w:tc>
        <w:tc>
          <w:tcPr>
            <w:tcW w:w="1289" w:type="pct"/>
            <w:tcBorders>
              <w:top w:val="single" w:sz="4" w:space="0" w:color="000000"/>
              <w:left w:val="single" w:sz="4" w:space="0" w:color="000000"/>
              <w:bottom w:val="single" w:sz="4" w:space="0" w:color="000000"/>
              <w:right w:val="single" w:sz="4" w:space="0" w:color="000000"/>
            </w:tcBorders>
          </w:tcPr>
          <w:p w14:paraId="237504D5"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1313" w:type="pct"/>
            <w:tcBorders>
              <w:top w:val="single" w:sz="4" w:space="0" w:color="000000"/>
              <w:left w:val="single" w:sz="4" w:space="0" w:color="000000"/>
              <w:bottom w:val="single" w:sz="4" w:space="0" w:color="000000"/>
              <w:right w:val="single" w:sz="4" w:space="0" w:color="000000"/>
            </w:tcBorders>
          </w:tcPr>
          <w:p w14:paraId="5B472057"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c>
          <w:tcPr>
            <w:tcW w:w="1058" w:type="pct"/>
            <w:tcBorders>
              <w:top w:val="single" w:sz="4" w:space="0" w:color="000000"/>
              <w:left w:val="single" w:sz="4" w:space="0" w:color="000000"/>
              <w:bottom w:val="single" w:sz="4" w:space="0" w:color="000000"/>
              <w:right w:val="single" w:sz="4" w:space="0" w:color="000000"/>
            </w:tcBorders>
          </w:tcPr>
          <w:p w14:paraId="52B095F3"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0D1BE488"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45751660"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Forekomst (%)</w:t>
            </w:r>
          </w:p>
        </w:tc>
        <w:tc>
          <w:tcPr>
            <w:tcW w:w="1289" w:type="pct"/>
            <w:tcBorders>
              <w:top w:val="single" w:sz="4" w:space="0" w:color="000000"/>
              <w:left w:val="single" w:sz="4" w:space="0" w:color="000000"/>
              <w:bottom w:val="single" w:sz="4" w:space="0" w:color="000000"/>
              <w:right w:val="single" w:sz="4" w:space="0" w:color="000000"/>
            </w:tcBorders>
            <w:hideMark/>
          </w:tcPr>
          <w:p w14:paraId="37E83EE9" w14:textId="77777777" w:rsidR="00A76826" w:rsidRPr="004714C6" w:rsidRDefault="00A76826" w:rsidP="00FB1973">
            <w:pPr>
              <w:widowControl w:val="0"/>
              <w:autoSpaceDE w:val="0"/>
              <w:autoSpaceDN w:val="0"/>
              <w:adjustRightInd w:val="0"/>
              <w:ind w:left="702" w:right="-20"/>
              <w:jc w:val="both"/>
              <w:rPr>
                <w:kern w:val="2"/>
                <w:sz w:val="24"/>
                <w:szCs w:val="24"/>
                <w14:ligatures w14:val="standardContextual"/>
              </w:rPr>
            </w:pPr>
            <w:r w:rsidRPr="004714C6">
              <w:rPr>
                <w:kern w:val="2"/>
                <w:sz w:val="24"/>
                <w:szCs w:val="24"/>
                <w14:ligatures w14:val="standardContextual"/>
              </w:rPr>
              <w:t>289 (2,43)</w:t>
            </w:r>
          </w:p>
        </w:tc>
        <w:tc>
          <w:tcPr>
            <w:tcW w:w="1313" w:type="pct"/>
            <w:tcBorders>
              <w:top w:val="single" w:sz="4" w:space="0" w:color="000000"/>
              <w:left w:val="single" w:sz="4" w:space="0" w:color="000000"/>
              <w:bottom w:val="single" w:sz="4" w:space="0" w:color="000000"/>
              <w:right w:val="single" w:sz="4" w:space="0" w:color="000000"/>
            </w:tcBorders>
            <w:hideMark/>
          </w:tcPr>
          <w:p w14:paraId="63C248E8" w14:textId="77777777" w:rsidR="00A76826" w:rsidRPr="004714C6" w:rsidRDefault="00A76826" w:rsidP="00FB1973">
            <w:pPr>
              <w:widowControl w:val="0"/>
              <w:autoSpaceDE w:val="0"/>
              <w:autoSpaceDN w:val="0"/>
              <w:adjustRightInd w:val="0"/>
              <w:ind w:left="700" w:right="-20"/>
              <w:jc w:val="both"/>
              <w:rPr>
                <w:kern w:val="2"/>
                <w:sz w:val="24"/>
                <w:szCs w:val="24"/>
                <w14:ligatures w14:val="standardContextual"/>
              </w:rPr>
            </w:pPr>
            <w:r w:rsidRPr="004714C6">
              <w:rPr>
                <w:kern w:val="2"/>
                <w:sz w:val="24"/>
                <w:szCs w:val="24"/>
                <w14:ligatures w14:val="standardContextual"/>
              </w:rPr>
              <w:t>274 (2,28)</w:t>
            </w:r>
          </w:p>
        </w:tc>
        <w:tc>
          <w:tcPr>
            <w:tcW w:w="1058" w:type="pct"/>
            <w:tcBorders>
              <w:top w:val="single" w:sz="4" w:space="0" w:color="000000"/>
              <w:left w:val="single" w:sz="4" w:space="0" w:color="000000"/>
              <w:bottom w:val="single" w:sz="4" w:space="0" w:color="000000"/>
              <w:right w:val="single" w:sz="4" w:space="0" w:color="000000"/>
            </w:tcBorders>
            <w:hideMark/>
          </w:tcPr>
          <w:p w14:paraId="2F73EB70" w14:textId="77777777" w:rsidR="00A76826" w:rsidRPr="004714C6" w:rsidRDefault="00A76826" w:rsidP="00FB1973">
            <w:pPr>
              <w:widowControl w:val="0"/>
              <w:autoSpaceDE w:val="0"/>
              <w:autoSpaceDN w:val="0"/>
              <w:adjustRightInd w:val="0"/>
              <w:ind w:left="517" w:right="-20"/>
              <w:jc w:val="both"/>
              <w:rPr>
                <w:kern w:val="2"/>
                <w:sz w:val="24"/>
                <w:szCs w:val="24"/>
                <w14:ligatures w14:val="standardContextual"/>
              </w:rPr>
            </w:pPr>
            <w:r w:rsidRPr="004714C6">
              <w:rPr>
                <w:kern w:val="2"/>
                <w:sz w:val="24"/>
                <w:szCs w:val="24"/>
                <w14:ligatures w14:val="standardContextual"/>
              </w:rPr>
              <w:t>317 (2,69)</w:t>
            </w:r>
          </w:p>
        </w:tc>
      </w:tr>
      <w:tr w:rsidR="00A76826" w:rsidRPr="004714C6" w14:paraId="7305D67D"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021AFBC5"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i/>
                <w:iCs/>
                <w:kern w:val="2"/>
                <w:sz w:val="24"/>
                <w:szCs w:val="24"/>
                <w14:ligatures w14:val="standardContextual"/>
              </w:rPr>
              <w:t xml:space="preserve">Hazard ratio </w:t>
            </w:r>
            <w:r w:rsidRPr="004714C6">
              <w:rPr>
                <w:kern w:val="2"/>
                <w:sz w:val="24"/>
                <w:szCs w:val="24"/>
                <w14:ligatures w14:val="standardContextual"/>
              </w:rPr>
              <w:t>sammenlignet med warfarin (95 % CI)</w:t>
            </w:r>
          </w:p>
        </w:tc>
        <w:tc>
          <w:tcPr>
            <w:tcW w:w="1289" w:type="pct"/>
            <w:tcBorders>
              <w:top w:val="single" w:sz="4" w:space="0" w:color="000000"/>
              <w:left w:val="single" w:sz="4" w:space="0" w:color="000000"/>
              <w:bottom w:val="single" w:sz="4" w:space="0" w:color="000000"/>
              <w:right w:val="single" w:sz="4" w:space="0" w:color="000000"/>
            </w:tcBorders>
            <w:hideMark/>
          </w:tcPr>
          <w:p w14:paraId="6039572F" w14:textId="77777777" w:rsidR="00A76826" w:rsidRPr="004714C6" w:rsidRDefault="00A76826" w:rsidP="00FB1973">
            <w:pPr>
              <w:widowControl w:val="0"/>
              <w:autoSpaceDE w:val="0"/>
              <w:autoSpaceDN w:val="0"/>
              <w:adjustRightInd w:val="0"/>
              <w:ind w:left="429" w:right="-20"/>
              <w:jc w:val="both"/>
              <w:rPr>
                <w:kern w:val="2"/>
                <w:sz w:val="24"/>
                <w:szCs w:val="24"/>
                <w14:ligatures w14:val="standardContextual"/>
              </w:rPr>
            </w:pPr>
            <w:r w:rsidRPr="004714C6">
              <w:rPr>
                <w:kern w:val="2"/>
                <w:sz w:val="24"/>
                <w:szCs w:val="24"/>
                <w14:ligatures w14:val="standardContextual"/>
              </w:rPr>
              <w:t>0,90 (0,77; 1,06)</w:t>
            </w:r>
          </w:p>
        </w:tc>
        <w:tc>
          <w:tcPr>
            <w:tcW w:w="1313" w:type="pct"/>
            <w:tcBorders>
              <w:top w:val="single" w:sz="4" w:space="0" w:color="000000"/>
              <w:left w:val="single" w:sz="4" w:space="0" w:color="000000"/>
              <w:bottom w:val="single" w:sz="4" w:space="0" w:color="000000"/>
              <w:right w:val="single" w:sz="4" w:space="0" w:color="000000"/>
            </w:tcBorders>
            <w:hideMark/>
          </w:tcPr>
          <w:p w14:paraId="12D27CC6" w14:textId="77777777" w:rsidR="00A76826" w:rsidRPr="004714C6" w:rsidRDefault="00A76826" w:rsidP="00FB1973">
            <w:pPr>
              <w:widowControl w:val="0"/>
              <w:autoSpaceDE w:val="0"/>
              <w:autoSpaceDN w:val="0"/>
              <w:adjustRightInd w:val="0"/>
              <w:ind w:left="426" w:right="-20"/>
              <w:jc w:val="both"/>
              <w:rPr>
                <w:kern w:val="2"/>
                <w:sz w:val="24"/>
                <w:szCs w:val="24"/>
                <w14:ligatures w14:val="standardContextual"/>
              </w:rPr>
            </w:pPr>
            <w:r w:rsidRPr="004714C6">
              <w:rPr>
                <w:kern w:val="2"/>
                <w:sz w:val="24"/>
                <w:szCs w:val="24"/>
                <w14:ligatures w14:val="standardContextual"/>
              </w:rPr>
              <w:t>0,85 (0,72; 0,99)</w:t>
            </w:r>
          </w:p>
        </w:tc>
        <w:tc>
          <w:tcPr>
            <w:tcW w:w="1058" w:type="pct"/>
            <w:tcBorders>
              <w:top w:val="single" w:sz="4" w:space="0" w:color="000000"/>
              <w:left w:val="single" w:sz="4" w:space="0" w:color="000000"/>
              <w:bottom w:val="single" w:sz="4" w:space="0" w:color="000000"/>
              <w:right w:val="single" w:sz="4" w:space="0" w:color="000000"/>
            </w:tcBorders>
          </w:tcPr>
          <w:p w14:paraId="3009621E"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r w:rsidR="00A76826" w:rsidRPr="004714C6" w14:paraId="164A4274" w14:textId="77777777" w:rsidTr="00FB1973">
        <w:trPr>
          <w:trHeight w:val="20"/>
        </w:trPr>
        <w:tc>
          <w:tcPr>
            <w:tcW w:w="1341" w:type="pct"/>
            <w:tcBorders>
              <w:top w:val="single" w:sz="4" w:space="0" w:color="000000"/>
              <w:left w:val="single" w:sz="4" w:space="0" w:color="000000"/>
              <w:bottom w:val="single" w:sz="4" w:space="0" w:color="000000"/>
              <w:right w:val="single" w:sz="4" w:space="0" w:color="000000"/>
            </w:tcBorders>
            <w:hideMark/>
          </w:tcPr>
          <w:p w14:paraId="42025F17" w14:textId="77777777" w:rsidR="00A76826" w:rsidRPr="004714C6" w:rsidRDefault="00A76826" w:rsidP="00FB1973">
            <w:pPr>
              <w:widowControl w:val="0"/>
              <w:autoSpaceDE w:val="0"/>
              <w:autoSpaceDN w:val="0"/>
              <w:adjustRightInd w:val="0"/>
              <w:ind w:left="424" w:right="-20"/>
              <w:rPr>
                <w:kern w:val="2"/>
                <w:sz w:val="24"/>
                <w:szCs w:val="24"/>
                <w14:ligatures w14:val="standardContextual"/>
              </w:rPr>
            </w:pPr>
            <w:r w:rsidRPr="004714C6">
              <w:rPr>
                <w:kern w:val="2"/>
                <w:sz w:val="24"/>
                <w:szCs w:val="24"/>
                <w14:ligatures w14:val="standardContextual"/>
              </w:rPr>
              <w:t>p-værdi</w:t>
            </w:r>
          </w:p>
        </w:tc>
        <w:tc>
          <w:tcPr>
            <w:tcW w:w="1289" w:type="pct"/>
            <w:tcBorders>
              <w:top w:val="single" w:sz="4" w:space="0" w:color="000000"/>
              <w:left w:val="single" w:sz="4" w:space="0" w:color="000000"/>
              <w:bottom w:val="single" w:sz="4" w:space="0" w:color="000000"/>
              <w:right w:val="single" w:sz="4" w:space="0" w:color="000000"/>
            </w:tcBorders>
            <w:hideMark/>
          </w:tcPr>
          <w:p w14:paraId="7006BB90" w14:textId="77777777" w:rsidR="00A76826" w:rsidRPr="004714C6" w:rsidRDefault="00A76826" w:rsidP="00FB1973">
            <w:pPr>
              <w:widowControl w:val="0"/>
              <w:autoSpaceDE w:val="0"/>
              <w:autoSpaceDN w:val="0"/>
              <w:adjustRightInd w:val="0"/>
              <w:ind w:left="822" w:right="804"/>
              <w:jc w:val="both"/>
              <w:rPr>
                <w:kern w:val="2"/>
                <w:sz w:val="24"/>
                <w:szCs w:val="24"/>
                <w14:ligatures w14:val="standardContextual"/>
              </w:rPr>
            </w:pPr>
            <w:r w:rsidRPr="004714C6">
              <w:rPr>
                <w:kern w:val="2"/>
                <w:sz w:val="24"/>
                <w:szCs w:val="24"/>
                <w14:ligatures w14:val="standardContextual"/>
              </w:rPr>
              <w:t>0,2081</w:t>
            </w:r>
          </w:p>
        </w:tc>
        <w:tc>
          <w:tcPr>
            <w:tcW w:w="1313" w:type="pct"/>
            <w:tcBorders>
              <w:top w:val="single" w:sz="4" w:space="0" w:color="000000"/>
              <w:left w:val="single" w:sz="4" w:space="0" w:color="000000"/>
              <w:bottom w:val="single" w:sz="4" w:space="0" w:color="000000"/>
              <w:right w:val="single" w:sz="4" w:space="0" w:color="000000"/>
            </w:tcBorders>
            <w:hideMark/>
          </w:tcPr>
          <w:p w14:paraId="4D5664B8" w14:textId="77777777" w:rsidR="00A76826" w:rsidRPr="004714C6" w:rsidRDefault="00A76826" w:rsidP="00FB1973">
            <w:pPr>
              <w:widowControl w:val="0"/>
              <w:autoSpaceDE w:val="0"/>
              <w:autoSpaceDN w:val="0"/>
              <w:adjustRightInd w:val="0"/>
              <w:ind w:left="819" w:right="804"/>
              <w:jc w:val="both"/>
              <w:rPr>
                <w:kern w:val="2"/>
                <w:sz w:val="24"/>
                <w:szCs w:val="24"/>
                <w14:ligatures w14:val="standardContextual"/>
              </w:rPr>
            </w:pPr>
            <w:r w:rsidRPr="004714C6">
              <w:rPr>
                <w:kern w:val="2"/>
                <w:sz w:val="24"/>
                <w:szCs w:val="24"/>
                <w14:ligatures w14:val="standardContextual"/>
              </w:rPr>
              <w:t>0,0430</w:t>
            </w:r>
          </w:p>
        </w:tc>
        <w:tc>
          <w:tcPr>
            <w:tcW w:w="1058" w:type="pct"/>
            <w:tcBorders>
              <w:top w:val="single" w:sz="4" w:space="0" w:color="000000"/>
              <w:left w:val="single" w:sz="4" w:space="0" w:color="000000"/>
              <w:bottom w:val="single" w:sz="4" w:space="0" w:color="000000"/>
              <w:right w:val="single" w:sz="4" w:space="0" w:color="000000"/>
            </w:tcBorders>
          </w:tcPr>
          <w:p w14:paraId="0662C5C8" w14:textId="77777777" w:rsidR="00A76826" w:rsidRPr="004714C6" w:rsidRDefault="00A76826" w:rsidP="00FB1973">
            <w:pPr>
              <w:widowControl w:val="0"/>
              <w:autoSpaceDE w:val="0"/>
              <w:autoSpaceDN w:val="0"/>
              <w:adjustRightInd w:val="0"/>
              <w:jc w:val="both"/>
              <w:rPr>
                <w:kern w:val="2"/>
                <w:sz w:val="24"/>
                <w:szCs w:val="24"/>
                <w14:ligatures w14:val="standardContextual"/>
              </w:rPr>
            </w:pPr>
          </w:p>
        </w:tc>
      </w:tr>
    </w:tbl>
    <w:p w14:paraId="39E429D8" w14:textId="77777777" w:rsidR="00A76826" w:rsidRPr="004714C6" w:rsidRDefault="00A76826" w:rsidP="00A76826">
      <w:pPr>
        <w:widowControl w:val="0"/>
        <w:autoSpaceDE w:val="0"/>
        <w:autoSpaceDN w:val="0"/>
        <w:adjustRightInd w:val="0"/>
        <w:spacing w:line="246" w:lineRule="exact"/>
        <w:ind w:right="-20"/>
        <w:rPr>
          <w:sz w:val="24"/>
          <w:szCs w:val="24"/>
        </w:rPr>
      </w:pPr>
      <w:r w:rsidRPr="004714C6">
        <w:rPr>
          <w:sz w:val="24"/>
          <w:szCs w:val="24"/>
        </w:rPr>
        <w:t>% refererer til den årlige hændelseshyppighed</w:t>
      </w:r>
    </w:p>
    <w:p w14:paraId="012604CF" w14:textId="77777777" w:rsidR="00A76826" w:rsidRPr="004714C6" w:rsidRDefault="00A76826" w:rsidP="00FB1973">
      <w:pPr>
        <w:ind w:left="851"/>
        <w:rPr>
          <w:sz w:val="24"/>
          <w:szCs w:val="24"/>
        </w:rPr>
      </w:pPr>
    </w:p>
    <w:p w14:paraId="2A933BAA" w14:textId="77777777" w:rsidR="00A76826" w:rsidRPr="004714C6" w:rsidRDefault="00A76826" w:rsidP="00FB1973">
      <w:pPr>
        <w:ind w:left="851"/>
        <w:rPr>
          <w:sz w:val="24"/>
          <w:szCs w:val="24"/>
        </w:rPr>
      </w:pPr>
      <w:r w:rsidRPr="004714C6">
        <w:rPr>
          <w:sz w:val="24"/>
          <w:szCs w:val="24"/>
        </w:rPr>
        <w:t>Tabel 25</w:t>
      </w:r>
      <w:r w:rsidRPr="004714C6">
        <w:rPr>
          <w:sz w:val="24"/>
          <w:szCs w:val="24"/>
        </w:rPr>
        <w:noBreakHyphen/>
        <w:t>26 viser resultater af de primære sikkerhedsendepunkter i relevante delpopulationer: For de primære endepunkter, apopleksi og systemisk emboli, blev der ikke identificeret nogen undergrupper (såsom alder, vægt, køn, nyrefunktion, etnicitet, mv.) med en anden risikoratio sammenlignet med warfarin.</w:t>
      </w:r>
    </w:p>
    <w:p w14:paraId="6D64A0A7" w14:textId="77777777" w:rsidR="00A76826" w:rsidRPr="004714C6" w:rsidRDefault="00A76826" w:rsidP="00FB1973">
      <w:pPr>
        <w:ind w:left="851"/>
        <w:rPr>
          <w:sz w:val="24"/>
          <w:szCs w:val="24"/>
        </w:rPr>
      </w:pPr>
    </w:p>
    <w:p w14:paraId="48741F57" w14:textId="77777777" w:rsidR="00A76826" w:rsidRPr="004714C6" w:rsidRDefault="00A76826" w:rsidP="00A76826">
      <w:pPr>
        <w:keepNext/>
        <w:widowControl w:val="0"/>
        <w:autoSpaceDE w:val="0"/>
        <w:autoSpaceDN w:val="0"/>
        <w:adjustRightInd w:val="0"/>
        <w:spacing w:line="246" w:lineRule="exact"/>
        <w:ind w:right="-20"/>
        <w:rPr>
          <w:b/>
          <w:bCs/>
          <w:sz w:val="24"/>
          <w:szCs w:val="24"/>
        </w:rPr>
      </w:pPr>
      <w:r w:rsidRPr="004714C6">
        <w:rPr>
          <w:b/>
          <w:bCs/>
          <w:sz w:val="24"/>
          <w:szCs w:val="24"/>
        </w:rPr>
        <w:t>Tabel 25:</w:t>
      </w:r>
      <w:r w:rsidRPr="004714C6">
        <w:rPr>
          <w:b/>
          <w:bCs/>
          <w:sz w:val="24"/>
          <w:szCs w:val="24"/>
        </w:rPr>
        <w:tab/>
      </w:r>
      <w:r w:rsidRPr="004714C6">
        <w:rPr>
          <w:b/>
          <w:bCs/>
          <w:i/>
          <w:iCs/>
          <w:sz w:val="24"/>
          <w:szCs w:val="24"/>
        </w:rPr>
        <w:t>Hazard ratio</w:t>
      </w:r>
      <w:r w:rsidRPr="004714C6">
        <w:rPr>
          <w:b/>
          <w:bCs/>
          <w:sz w:val="24"/>
          <w:szCs w:val="24"/>
        </w:rPr>
        <w:t xml:space="preserve"> og 95 % CI for apopleksi/systemisk emboli i delpopulationer</w:t>
      </w:r>
    </w:p>
    <w:p w14:paraId="29E327CB"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3030"/>
        <w:gridCol w:w="3301"/>
        <w:gridCol w:w="3297"/>
      </w:tblGrid>
      <w:tr w:rsidR="00A76826" w:rsidRPr="004714C6" w14:paraId="65CDB468" w14:textId="77777777" w:rsidTr="00FB1973">
        <w:trPr>
          <w:trHeight w:val="20"/>
        </w:trPr>
        <w:tc>
          <w:tcPr>
            <w:tcW w:w="1573" w:type="pct"/>
            <w:tcBorders>
              <w:top w:val="single" w:sz="4" w:space="0" w:color="000000"/>
              <w:left w:val="single" w:sz="4" w:space="0" w:color="000000"/>
              <w:bottom w:val="single" w:sz="4" w:space="0" w:color="000000"/>
              <w:right w:val="single" w:sz="4" w:space="0" w:color="000000"/>
            </w:tcBorders>
            <w:hideMark/>
          </w:tcPr>
          <w:p w14:paraId="0A7A72C3" w14:textId="77777777" w:rsidR="00A76826" w:rsidRPr="004714C6" w:rsidRDefault="00A76826" w:rsidP="00FB1973">
            <w:pPr>
              <w:widowControl w:val="0"/>
              <w:autoSpaceDE w:val="0"/>
              <w:autoSpaceDN w:val="0"/>
              <w:adjustRightInd w:val="0"/>
              <w:ind w:left="102" w:right="-20"/>
              <w:rPr>
                <w:b/>
                <w:bCs/>
                <w:kern w:val="2"/>
                <w:sz w:val="24"/>
                <w:szCs w:val="24"/>
                <w14:ligatures w14:val="standardContextual"/>
              </w:rPr>
            </w:pPr>
            <w:r w:rsidRPr="004714C6">
              <w:rPr>
                <w:b/>
                <w:bCs/>
                <w:kern w:val="2"/>
                <w:sz w:val="24"/>
                <w:szCs w:val="24"/>
                <w14:ligatures w14:val="standardContextual"/>
              </w:rPr>
              <w:t>Endepunkt</w:t>
            </w:r>
          </w:p>
        </w:tc>
        <w:tc>
          <w:tcPr>
            <w:tcW w:w="1714" w:type="pct"/>
            <w:tcBorders>
              <w:top w:val="single" w:sz="4" w:space="0" w:color="000000"/>
              <w:left w:val="single" w:sz="4" w:space="0" w:color="000000"/>
              <w:bottom w:val="single" w:sz="4" w:space="0" w:color="000000"/>
              <w:right w:val="single" w:sz="4" w:space="0" w:color="000000"/>
            </w:tcBorders>
            <w:hideMark/>
          </w:tcPr>
          <w:p w14:paraId="1691586B" w14:textId="77777777" w:rsidR="00A76826" w:rsidRPr="004714C6" w:rsidRDefault="00A76826" w:rsidP="00FB1973">
            <w:pPr>
              <w:widowControl w:val="0"/>
              <w:autoSpaceDE w:val="0"/>
              <w:autoSpaceDN w:val="0"/>
              <w:adjustRightInd w:val="0"/>
              <w:ind w:left="102" w:right="-20"/>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 xml:space="preserve">110 mg 2 gange dagligt </w:t>
            </w:r>
            <w:r w:rsidRPr="004714C6">
              <w:rPr>
                <w:b/>
                <w:bCs/>
                <w:i/>
                <w:iCs/>
                <w:kern w:val="2"/>
                <w:sz w:val="24"/>
                <w:szCs w:val="24"/>
                <w14:ligatures w14:val="standardContextual"/>
              </w:rPr>
              <w:t>vs.</w:t>
            </w:r>
            <w:r w:rsidRPr="004714C6">
              <w:rPr>
                <w:b/>
                <w:bCs/>
                <w:kern w:val="2"/>
                <w:sz w:val="24"/>
                <w:szCs w:val="24"/>
                <w14:ligatures w14:val="standardContextual"/>
              </w:rPr>
              <w:t xml:space="preserve"> warfarin</w:t>
            </w:r>
          </w:p>
        </w:tc>
        <w:tc>
          <w:tcPr>
            <w:tcW w:w="1712" w:type="pct"/>
            <w:tcBorders>
              <w:top w:val="single" w:sz="4" w:space="0" w:color="000000"/>
              <w:left w:val="single" w:sz="4" w:space="0" w:color="000000"/>
              <w:bottom w:val="single" w:sz="4" w:space="0" w:color="000000"/>
              <w:right w:val="single" w:sz="4" w:space="0" w:color="000000"/>
            </w:tcBorders>
            <w:hideMark/>
          </w:tcPr>
          <w:p w14:paraId="60F9AF7A" w14:textId="77777777" w:rsidR="00A76826" w:rsidRPr="004714C6" w:rsidRDefault="00A76826" w:rsidP="00FB1973">
            <w:pPr>
              <w:widowControl w:val="0"/>
              <w:autoSpaceDE w:val="0"/>
              <w:autoSpaceDN w:val="0"/>
              <w:adjustRightInd w:val="0"/>
              <w:ind w:left="100" w:right="-20"/>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 xml:space="preserve">150 mg 2 gange dagligt </w:t>
            </w:r>
            <w:r w:rsidRPr="004714C6">
              <w:rPr>
                <w:b/>
                <w:bCs/>
                <w:i/>
                <w:iCs/>
                <w:kern w:val="2"/>
                <w:sz w:val="24"/>
                <w:szCs w:val="24"/>
                <w14:ligatures w14:val="standardContextual"/>
              </w:rPr>
              <w:t>vs</w:t>
            </w:r>
            <w:r w:rsidRPr="004714C6">
              <w:rPr>
                <w:b/>
                <w:bCs/>
                <w:kern w:val="2"/>
                <w:sz w:val="24"/>
                <w:szCs w:val="24"/>
                <w14:ligatures w14:val="standardContextual"/>
              </w:rPr>
              <w:t>. warfarin</w:t>
            </w:r>
          </w:p>
        </w:tc>
      </w:tr>
      <w:tr w:rsidR="00A76826" w:rsidRPr="004714C6" w14:paraId="50804A7B" w14:textId="77777777" w:rsidTr="00FB1973">
        <w:trPr>
          <w:trHeight w:val="20"/>
        </w:trPr>
        <w:tc>
          <w:tcPr>
            <w:tcW w:w="1573" w:type="pct"/>
            <w:tcBorders>
              <w:top w:val="single" w:sz="4" w:space="0" w:color="000000"/>
              <w:left w:val="single" w:sz="4" w:space="0" w:color="000000"/>
              <w:bottom w:val="single" w:sz="4" w:space="0" w:color="000000"/>
              <w:right w:val="single" w:sz="4" w:space="0" w:color="000000"/>
            </w:tcBorders>
            <w:hideMark/>
          </w:tcPr>
          <w:p w14:paraId="1F8EF8DD" w14:textId="77777777" w:rsidR="00A76826" w:rsidRPr="004714C6" w:rsidRDefault="00A76826" w:rsidP="00FB1973">
            <w:pPr>
              <w:widowControl w:val="0"/>
              <w:autoSpaceDE w:val="0"/>
              <w:autoSpaceDN w:val="0"/>
              <w:adjustRightInd w:val="0"/>
              <w:ind w:left="102" w:right="-20"/>
              <w:rPr>
                <w:b/>
                <w:bCs/>
                <w:kern w:val="2"/>
                <w:sz w:val="24"/>
                <w:szCs w:val="24"/>
                <w14:ligatures w14:val="standardContextual"/>
              </w:rPr>
            </w:pPr>
            <w:r w:rsidRPr="004714C6">
              <w:rPr>
                <w:b/>
                <w:bCs/>
                <w:kern w:val="2"/>
                <w:sz w:val="24"/>
                <w:szCs w:val="24"/>
                <w14:ligatures w14:val="standardContextual"/>
              </w:rPr>
              <w:t>Alder (år)</w:t>
            </w:r>
          </w:p>
        </w:tc>
        <w:tc>
          <w:tcPr>
            <w:tcW w:w="1714" w:type="pct"/>
            <w:tcBorders>
              <w:top w:val="single" w:sz="4" w:space="0" w:color="000000"/>
              <w:left w:val="single" w:sz="4" w:space="0" w:color="000000"/>
              <w:bottom w:val="single" w:sz="4" w:space="0" w:color="000000"/>
              <w:right w:val="single" w:sz="4" w:space="0" w:color="000000"/>
            </w:tcBorders>
          </w:tcPr>
          <w:p w14:paraId="4AEDEC29" w14:textId="77777777" w:rsidR="00A76826" w:rsidRPr="004714C6" w:rsidRDefault="00A76826" w:rsidP="00FB1973">
            <w:pPr>
              <w:widowControl w:val="0"/>
              <w:autoSpaceDE w:val="0"/>
              <w:autoSpaceDN w:val="0"/>
              <w:adjustRightInd w:val="0"/>
              <w:rPr>
                <w:b/>
                <w:bCs/>
                <w:kern w:val="2"/>
                <w:sz w:val="24"/>
                <w:szCs w:val="24"/>
                <w14:ligatures w14:val="standardContextual"/>
              </w:rPr>
            </w:pPr>
          </w:p>
        </w:tc>
        <w:tc>
          <w:tcPr>
            <w:tcW w:w="1712" w:type="pct"/>
            <w:tcBorders>
              <w:top w:val="single" w:sz="4" w:space="0" w:color="000000"/>
              <w:left w:val="single" w:sz="4" w:space="0" w:color="000000"/>
              <w:bottom w:val="single" w:sz="4" w:space="0" w:color="000000"/>
              <w:right w:val="single" w:sz="4" w:space="0" w:color="000000"/>
            </w:tcBorders>
          </w:tcPr>
          <w:p w14:paraId="2489AB60" w14:textId="77777777" w:rsidR="00A76826" w:rsidRPr="004714C6" w:rsidRDefault="00A76826" w:rsidP="00FB1973">
            <w:pPr>
              <w:widowControl w:val="0"/>
              <w:autoSpaceDE w:val="0"/>
              <w:autoSpaceDN w:val="0"/>
              <w:adjustRightInd w:val="0"/>
              <w:rPr>
                <w:b/>
                <w:bCs/>
                <w:kern w:val="2"/>
                <w:sz w:val="24"/>
                <w:szCs w:val="24"/>
                <w14:ligatures w14:val="standardContextual"/>
              </w:rPr>
            </w:pPr>
          </w:p>
        </w:tc>
      </w:tr>
      <w:tr w:rsidR="00A76826" w:rsidRPr="004714C6" w14:paraId="03E4513C" w14:textId="77777777" w:rsidTr="00FB1973">
        <w:trPr>
          <w:trHeight w:val="20"/>
        </w:trPr>
        <w:tc>
          <w:tcPr>
            <w:tcW w:w="1573" w:type="pct"/>
            <w:tcBorders>
              <w:top w:val="single" w:sz="4" w:space="0" w:color="000000"/>
              <w:left w:val="single" w:sz="4" w:space="0" w:color="000000"/>
              <w:bottom w:val="single" w:sz="4" w:space="0" w:color="000000"/>
              <w:right w:val="single" w:sz="4" w:space="0" w:color="000000"/>
            </w:tcBorders>
            <w:hideMark/>
          </w:tcPr>
          <w:p w14:paraId="64B62AE5" w14:textId="77777777" w:rsidR="00A76826" w:rsidRPr="004714C6" w:rsidRDefault="00A76826" w:rsidP="00FB1973">
            <w:pPr>
              <w:widowControl w:val="0"/>
              <w:autoSpaceDE w:val="0"/>
              <w:autoSpaceDN w:val="0"/>
              <w:adjustRightInd w:val="0"/>
              <w:ind w:left="1191" w:right="1169"/>
              <w:rPr>
                <w:kern w:val="2"/>
                <w:sz w:val="24"/>
                <w:szCs w:val="24"/>
                <w14:ligatures w14:val="standardContextual"/>
              </w:rPr>
            </w:pPr>
            <w:r w:rsidRPr="004714C6">
              <w:rPr>
                <w:kern w:val="2"/>
                <w:sz w:val="24"/>
                <w:szCs w:val="24"/>
                <w14:ligatures w14:val="standardContextual"/>
              </w:rPr>
              <w:t>&lt; 65</w:t>
            </w:r>
          </w:p>
        </w:tc>
        <w:tc>
          <w:tcPr>
            <w:tcW w:w="1714" w:type="pct"/>
            <w:tcBorders>
              <w:top w:val="single" w:sz="4" w:space="0" w:color="000000"/>
              <w:left w:val="single" w:sz="4" w:space="0" w:color="000000"/>
              <w:bottom w:val="single" w:sz="4" w:space="0" w:color="000000"/>
              <w:right w:val="single" w:sz="4" w:space="0" w:color="000000"/>
            </w:tcBorders>
            <w:hideMark/>
          </w:tcPr>
          <w:p w14:paraId="3B9887B5" w14:textId="77777777" w:rsidR="00A76826" w:rsidRPr="004714C6" w:rsidRDefault="00A76826" w:rsidP="00FB1973">
            <w:pPr>
              <w:widowControl w:val="0"/>
              <w:autoSpaceDE w:val="0"/>
              <w:autoSpaceDN w:val="0"/>
              <w:adjustRightInd w:val="0"/>
              <w:ind w:left="865" w:right="-20"/>
              <w:rPr>
                <w:kern w:val="2"/>
                <w:sz w:val="24"/>
                <w:szCs w:val="24"/>
                <w14:ligatures w14:val="standardContextual"/>
              </w:rPr>
            </w:pPr>
            <w:r w:rsidRPr="004714C6">
              <w:rPr>
                <w:kern w:val="2"/>
                <w:sz w:val="24"/>
                <w:szCs w:val="24"/>
                <w14:ligatures w14:val="standardContextual"/>
              </w:rPr>
              <w:t>1,10 (0,64; 1,87)</w:t>
            </w:r>
          </w:p>
        </w:tc>
        <w:tc>
          <w:tcPr>
            <w:tcW w:w="1712" w:type="pct"/>
            <w:tcBorders>
              <w:top w:val="single" w:sz="4" w:space="0" w:color="000000"/>
              <w:left w:val="single" w:sz="4" w:space="0" w:color="000000"/>
              <w:bottom w:val="single" w:sz="4" w:space="0" w:color="000000"/>
              <w:right w:val="single" w:sz="4" w:space="0" w:color="000000"/>
            </w:tcBorders>
            <w:hideMark/>
          </w:tcPr>
          <w:p w14:paraId="659AEF89" w14:textId="77777777" w:rsidR="00A76826" w:rsidRPr="004714C6" w:rsidRDefault="00A76826" w:rsidP="00FB1973">
            <w:pPr>
              <w:widowControl w:val="0"/>
              <w:autoSpaceDE w:val="0"/>
              <w:autoSpaceDN w:val="0"/>
              <w:adjustRightInd w:val="0"/>
              <w:ind w:left="863" w:right="-20"/>
              <w:rPr>
                <w:kern w:val="2"/>
                <w:sz w:val="24"/>
                <w:szCs w:val="24"/>
                <w14:ligatures w14:val="standardContextual"/>
              </w:rPr>
            </w:pPr>
            <w:r w:rsidRPr="004714C6">
              <w:rPr>
                <w:kern w:val="2"/>
                <w:sz w:val="24"/>
                <w:szCs w:val="24"/>
                <w14:ligatures w14:val="standardContextual"/>
              </w:rPr>
              <w:t>0,51 (0,26; 0,98)</w:t>
            </w:r>
          </w:p>
        </w:tc>
      </w:tr>
      <w:tr w:rsidR="00A76826" w:rsidRPr="004714C6" w14:paraId="044F6504" w14:textId="77777777" w:rsidTr="00FB1973">
        <w:trPr>
          <w:trHeight w:val="20"/>
        </w:trPr>
        <w:tc>
          <w:tcPr>
            <w:tcW w:w="1573" w:type="pct"/>
            <w:tcBorders>
              <w:top w:val="single" w:sz="4" w:space="0" w:color="000000"/>
              <w:left w:val="single" w:sz="4" w:space="0" w:color="000000"/>
              <w:bottom w:val="single" w:sz="4" w:space="0" w:color="000000"/>
              <w:right w:val="single" w:sz="4" w:space="0" w:color="000000"/>
            </w:tcBorders>
            <w:hideMark/>
          </w:tcPr>
          <w:p w14:paraId="690D24F0" w14:textId="77777777" w:rsidR="00A76826" w:rsidRPr="004714C6" w:rsidRDefault="00A76826" w:rsidP="00FB1973">
            <w:pPr>
              <w:widowControl w:val="0"/>
              <w:autoSpaceDE w:val="0"/>
              <w:autoSpaceDN w:val="0"/>
              <w:adjustRightInd w:val="0"/>
              <w:ind w:left="815" w:right="-20"/>
              <w:rPr>
                <w:kern w:val="2"/>
                <w:sz w:val="24"/>
                <w:szCs w:val="24"/>
                <w14:ligatures w14:val="standardContextual"/>
              </w:rPr>
            </w:pPr>
            <w:r w:rsidRPr="004714C6">
              <w:rPr>
                <w:kern w:val="2"/>
                <w:sz w:val="24"/>
                <w:szCs w:val="24"/>
                <w14:ligatures w14:val="standardContextual"/>
              </w:rPr>
              <w:t>65 ≤ og &lt; </w:t>
            </w:r>
            <w:r w:rsidRPr="004714C6">
              <w:rPr>
                <w:spacing w:val="-2"/>
                <w:kern w:val="2"/>
                <w:sz w:val="24"/>
                <w:szCs w:val="24"/>
                <w14:ligatures w14:val="standardContextual"/>
              </w:rPr>
              <w:t>75</w:t>
            </w:r>
          </w:p>
        </w:tc>
        <w:tc>
          <w:tcPr>
            <w:tcW w:w="1714" w:type="pct"/>
            <w:tcBorders>
              <w:top w:val="single" w:sz="4" w:space="0" w:color="000000"/>
              <w:left w:val="single" w:sz="4" w:space="0" w:color="000000"/>
              <w:bottom w:val="single" w:sz="4" w:space="0" w:color="000000"/>
              <w:right w:val="single" w:sz="4" w:space="0" w:color="000000"/>
            </w:tcBorders>
            <w:hideMark/>
          </w:tcPr>
          <w:p w14:paraId="384F0998" w14:textId="77777777" w:rsidR="00A76826" w:rsidRPr="004714C6" w:rsidRDefault="00A76826" w:rsidP="00FB1973">
            <w:pPr>
              <w:widowControl w:val="0"/>
              <w:autoSpaceDE w:val="0"/>
              <w:autoSpaceDN w:val="0"/>
              <w:adjustRightInd w:val="0"/>
              <w:ind w:left="865" w:right="-20"/>
              <w:rPr>
                <w:kern w:val="2"/>
                <w:sz w:val="24"/>
                <w:szCs w:val="24"/>
                <w14:ligatures w14:val="standardContextual"/>
              </w:rPr>
            </w:pPr>
            <w:r w:rsidRPr="004714C6">
              <w:rPr>
                <w:kern w:val="2"/>
                <w:sz w:val="24"/>
                <w:szCs w:val="24"/>
                <w14:ligatures w14:val="standardContextual"/>
              </w:rPr>
              <w:t>0,86 (0,62; 1,19)</w:t>
            </w:r>
          </w:p>
        </w:tc>
        <w:tc>
          <w:tcPr>
            <w:tcW w:w="1712" w:type="pct"/>
            <w:tcBorders>
              <w:top w:val="single" w:sz="4" w:space="0" w:color="000000"/>
              <w:left w:val="single" w:sz="4" w:space="0" w:color="000000"/>
              <w:bottom w:val="single" w:sz="4" w:space="0" w:color="000000"/>
              <w:right w:val="single" w:sz="4" w:space="0" w:color="000000"/>
            </w:tcBorders>
            <w:hideMark/>
          </w:tcPr>
          <w:p w14:paraId="4B2FD01A" w14:textId="77777777" w:rsidR="00A76826" w:rsidRPr="004714C6" w:rsidRDefault="00A76826" w:rsidP="00FB1973">
            <w:pPr>
              <w:widowControl w:val="0"/>
              <w:autoSpaceDE w:val="0"/>
              <w:autoSpaceDN w:val="0"/>
              <w:adjustRightInd w:val="0"/>
              <w:ind w:left="863" w:right="-20"/>
              <w:rPr>
                <w:kern w:val="2"/>
                <w:sz w:val="24"/>
                <w:szCs w:val="24"/>
                <w14:ligatures w14:val="standardContextual"/>
              </w:rPr>
            </w:pPr>
            <w:r w:rsidRPr="004714C6">
              <w:rPr>
                <w:kern w:val="2"/>
                <w:sz w:val="24"/>
                <w:szCs w:val="24"/>
                <w14:ligatures w14:val="standardContextual"/>
              </w:rPr>
              <w:t>0,67 (0,47; 0,95)</w:t>
            </w:r>
          </w:p>
        </w:tc>
      </w:tr>
      <w:tr w:rsidR="00A76826" w:rsidRPr="004714C6" w14:paraId="75D1412C" w14:textId="77777777" w:rsidTr="00FB1973">
        <w:trPr>
          <w:trHeight w:val="20"/>
        </w:trPr>
        <w:tc>
          <w:tcPr>
            <w:tcW w:w="1573" w:type="pct"/>
            <w:tcBorders>
              <w:top w:val="single" w:sz="4" w:space="0" w:color="000000"/>
              <w:left w:val="single" w:sz="4" w:space="0" w:color="000000"/>
              <w:bottom w:val="single" w:sz="4" w:space="0" w:color="000000"/>
              <w:right w:val="single" w:sz="4" w:space="0" w:color="000000"/>
            </w:tcBorders>
            <w:hideMark/>
          </w:tcPr>
          <w:p w14:paraId="74E30FAF" w14:textId="77777777" w:rsidR="00A76826" w:rsidRPr="004714C6" w:rsidRDefault="00A76826" w:rsidP="00FB1973">
            <w:pPr>
              <w:widowControl w:val="0"/>
              <w:autoSpaceDE w:val="0"/>
              <w:autoSpaceDN w:val="0"/>
              <w:adjustRightInd w:val="0"/>
              <w:ind w:left="1191" w:right="1171"/>
              <w:rPr>
                <w:kern w:val="2"/>
                <w:sz w:val="24"/>
                <w:szCs w:val="24"/>
                <w14:ligatures w14:val="standardContextual"/>
              </w:rPr>
            </w:pPr>
            <w:r w:rsidRPr="004714C6">
              <w:rPr>
                <w:kern w:val="2"/>
                <w:sz w:val="24"/>
                <w:szCs w:val="24"/>
                <w14:ligatures w14:val="standardContextual"/>
              </w:rPr>
              <w:t>≥ 75</w:t>
            </w:r>
          </w:p>
        </w:tc>
        <w:tc>
          <w:tcPr>
            <w:tcW w:w="1714" w:type="pct"/>
            <w:tcBorders>
              <w:top w:val="single" w:sz="4" w:space="0" w:color="000000"/>
              <w:left w:val="single" w:sz="4" w:space="0" w:color="000000"/>
              <w:bottom w:val="single" w:sz="4" w:space="0" w:color="000000"/>
              <w:right w:val="single" w:sz="4" w:space="0" w:color="000000"/>
            </w:tcBorders>
            <w:hideMark/>
          </w:tcPr>
          <w:p w14:paraId="45DDA67C" w14:textId="77777777" w:rsidR="00A76826" w:rsidRPr="004714C6" w:rsidRDefault="00A76826" w:rsidP="00FB1973">
            <w:pPr>
              <w:widowControl w:val="0"/>
              <w:autoSpaceDE w:val="0"/>
              <w:autoSpaceDN w:val="0"/>
              <w:adjustRightInd w:val="0"/>
              <w:ind w:left="865" w:right="-20"/>
              <w:rPr>
                <w:kern w:val="2"/>
                <w:sz w:val="24"/>
                <w:szCs w:val="24"/>
                <w14:ligatures w14:val="standardContextual"/>
              </w:rPr>
            </w:pPr>
            <w:r w:rsidRPr="004714C6">
              <w:rPr>
                <w:kern w:val="2"/>
                <w:sz w:val="24"/>
                <w:szCs w:val="24"/>
                <w14:ligatures w14:val="standardContextual"/>
              </w:rPr>
              <w:t>0,88 (0,66; 1,17)</w:t>
            </w:r>
          </w:p>
        </w:tc>
        <w:tc>
          <w:tcPr>
            <w:tcW w:w="1712" w:type="pct"/>
            <w:tcBorders>
              <w:top w:val="single" w:sz="4" w:space="0" w:color="000000"/>
              <w:left w:val="single" w:sz="4" w:space="0" w:color="000000"/>
              <w:bottom w:val="single" w:sz="4" w:space="0" w:color="000000"/>
              <w:right w:val="single" w:sz="4" w:space="0" w:color="000000"/>
            </w:tcBorders>
            <w:hideMark/>
          </w:tcPr>
          <w:p w14:paraId="6348AAE7" w14:textId="77777777" w:rsidR="00A76826" w:rsidRPr="004714C6" w:rsidRDefault="00A76826" w:rsidP="00FB1973">
            <w:pPr>
              <w:widowControl w:val="0"/>
              <w:autoSpaceDE w:val="0"/>
              <w:autoSpaceDN w:val="0"/>
              <w:adjustRightInd w:val="0"/>
              <w:ind w:left="863" w:right="-20"/>
              <w:rPr>
                <w:kern w:val="2"/>
                <w:sz w:val="24"/>
                <w:szCs w:val="24"/>
                <w14:ligatures w14:val="standardContextual"/>
              </w:rPr>
            </w:pPr>
            <w:r w:rsidRPr="004714C6">
              <w:rPr>
                <w:kern w:val="2"/>
                <w:sz w:val="24"/>
                <w:szCs w:val="24"/>
                <w14:ligatures w14:val="standardContextual"/>
              </w:rPr>
              <w:t>0,68 (0,50; 0,92)</w:t>
            </w:r>
          </w:p>
        </w:tc>
      </w:tr>
      <w:tr w:rsidR="00A76826" w:rsidRPr="004714C6" w14:paraId="461E175F" w14:textId="77777777" w:rsidTr="00FB1973">
        <w:trPr>
          <w:trHeight w:val="20"/>
        </w:trPr>
        <w:tc>
          <w:tcPr>
            <w:tcW w:w="1573" w:type="pct"/>
            <w:tcBorders>
              <w:top w:val="single" w:sz="4" w:space="0" w:color="000000"/>
              <w:left w:val="single" w:sz="4" w:space="0" w:color="000000"/>
              <w:bottom w:val="single" w:sz="4" w:space="0" w:color="000000"/>
              <w:right w:val="single" w:sz="4" w:space="0" w:color="000000"/>
            </w:tcBorders>
            <w:hideMark/>
          </w:tcPr>
          <w:p w14:paraId="77BE2C58" w14:textId="77777777" w:rsidR="00A76826" w:rsidRPr="004714C6" w:rsidRDefault="00A76826" w:rsidP="00FB1973">
            <w:pPr>
              <w:widowControl w:val="0"/>
              <w:autoSpaceDE w:val="0"/>
              <w:autoSpaceDN w:val="0"/>
              <w:adjustRightInd w:val="0"/>
              <w:ind w:left="1191" w:right="1171"/>
              <w:rPr>
                <w:kern w:val="2"/>
                <w:sz w:val="24"/>
                <w:szCs w:val="24"/>
                <w14:ligatures w14:val="standardContextual"/>
              </w:rPr>
            </w:pPr>
            <w:r w:rsidRPr="004714C6">
              <w:rPr>
                <w:kern w:val="2"/>
                <w:sz w:val="24"/>
                <w:szCs w:val="24"/>
                <w14:ligatures w14:val="standardContextual"/>
              </w:rPr>
              <w:t>≥ 80</w:t>
            </w:r>
          </w:p>
        </w:tc>
        <w:tc>
          <w:tcPr>
            <w:tcW w:w="1714" w:type="pct"/>
            <w:tcBorders>
              <w:top w:val="single" w:sz="4" w:space="0" w:color="000000"/>
              <w:left w:val="single" w:sz="4" w:space="0" w:color="000000"/>
              <w:bottom w:val="single" w:sz="4" w:space="0" w:color="000000"/>
              <w:right w:val="single" w:sz="4" w:space="0" w:color="000000"/>
            </w:tcBorders>
            <w:hideMark/>
          </w:tcPr>
          <w:p w14:paraId="55B81372" w14:textId="77777777" w:rsidR="00A76826" w:rsidRPr="004714C6" w:rsidRDefault="00A76826" w:rsidP="00FB1973">
            <w:pPr>
              <w:widowControl w:val="0"/>
              <w:autoSpaceDE w:val="0"/>
              <w:autoSpaceDN w:val="0"/>
              <w:adjustRightInd w:val="0"/>
              <w:ind w:left="865" w:right="-20"/>
              <w:rPr>
                <w:kern w:val="2"/>
                <w:sz w:val="24"/>
                <w:szCs w:val="24"/>
                <w14:ligatures w14:val="standardContextual"/>
              </w:rPr>
            </w:pPr>
            <w:r w:rsidRPr="004714C6">
              <w:rPr>
                <w:kern w:val="2"/>
                <w:sz w:val="24"/>
                <w:szCs w:val="24"/>
                <w14:ligatures w14:val="standardContextual"/>
              </w:rPr>
              <w:t>0,68 (0,44; 1,05)</w:t>
            </w:r>
          </w:p>
        </w:tc>
        <w:tc>
          <w:tcPr>
            <w:tcW w:w="1712" w:type="pct"/>
            <w:tcBorders>
              <w:top w:val="single" w:sz="4" w:space="0" w:color="000000"/>
              <w:left w:val="single" w:sz="4" w:space="0" w:color="000000"/>
              <w:bottom w:val="single" w:sz="4" w:space="0" w:color="000000"/>
              <w:right w:val="single" w:sz="4" w:space="0" w:color="000000"/>
            </w:tcBorders>
            <w:hideMark/>
          </w:tcPr>
          <w:p w14:paraId="11CED069" w14:textId="77777777" w:rsidR="00A76826" w:rsidRPr="004714C6" w:rsidRDefault="00A76826" w:rsidP="00FB1973">
            <w:pPr>
              <w:widowControl w:val="0"/>
              <w:autoSpaceDE w:val="0"/>
              <w:autoSpaceDN w:val="0"/>
              <w:adjustRightInd w:val="0"/>
              <w:ind w:left="863" w:right="-20"/>
              <w:rPr>
                <w:kern w:val="2"/>
                <w:sz w:val="24"/>
                <w:szCs w:val="24"/>
                <w14:ligatures w14:val="standardContextual"/>
              </w:rPr>
            </w:pPr>
            <w:r w:rsidRPr="004714C6">
              <w:rPr>
                <w:kern w:val="2"/>
                <w:sz w:val="24"/>
                <w:szCs w:val="24"/>
                <w14:ligatures w14:val="standardContextual"/>
              </w:rPr>
              <w:t>0,67 (0,44; 1,02)</w:t>
            </w:r>
          </w:p>
        </w:tc>
      </w:tr>
      <w:tr w:rsidR="00A76826" w:rsidRPr="004714C6" w14:paraId="5135A87A" w14:textId="77777777" w:rsidTr="00FB1973">
        <w:trPr>
          <w:trHeight w:val="20"/>
        </w:trPr>
        <w:tc>
          <w:tcPr>
            <w:tcW w:w="1573" w:type="pct"/>
            <w:tcBorders>
              <w:top w:val="single" w:sz="4" w:space="0" w:color="000000"/>
              <w:left w:val="single" w:sz="4" w:space="0" w:color="000000"/>
              <w:bottom w:val="single" w:sz="4" w:space="0" w:color="000000"/>
              <w:right w:val="single" w:sz="4" w:space="0" w:color="000000"/>
            </w:tcBorders>
            <w:hideMark/>
          </w:tcPr>
          <w:p w14:paraId="0B737F71" w14:textId="77777777" w:rsidR="00A76826" w:rsidRPr="004714C6" w:rsidRDefault="00A76826" w:rsidP="00FB1973">
            <w:pPr>
              <w:widowControl w:val="0"/>
              <w:autoSpaceDE w:val="0"/>
              <w:autoSpaceDN w:val="0"/>
              <w:adjustRightInd w:val="0"/>
              <w:ind w:left="102" w:right="-20"/>
              <w:rPr>
                <w:kern w:val="2"/>
                <w:sz w:val="24"/>
                <w:szCs w:val="24"/>
                <w14:ligatures w14:val="standardContextual"/>
              </w:rPr>
            </w:pPr>
            <w:r w:rsidRPr="004714C6">
              <w:rPr>
                <w:spacing w:val="-1"/>
                <w:kern w:val="2"/>
                <w:sz w:val="24"/>
                <w:szCs w:val="24"/>
                <w14:ligatures w14:val="standardContextual"/>
              </w:rPr>
              <w:t>CrCL (ml/min)</w:t>
            </w:r>
          </w:p>
        </w:tc>
        <w:tc>
          <w:tcPr>
            <w:tcW w:w="1714" w:type="pct"/>
            <w:tcBorders>
              <w:top w:val="single" w:sz="4" w:space="0" w:color="000000"/>
              <w:left w:val="single" w:sz="4" w:space="0" w:color="000000"/>
              <w:bottom w:val="single" w:sz="4" w:space="0" w:color="000000"/>
              <w:right w:val="single" w:sz="4" w:space="0" w:color="000000"/>
            </w:tcBorders>
          </w:tcPr>
          <w:p w14:paraId="68ECC30D" w14:textId="77777777" w:rsidR="00A76826" w:rsidRPr="004714C6" w:rsidRDefault="00A76826" w:rsidP="00FB1973">
            <w:pPr>
              <w:widowControl w:val="0"/>
              <w:autoSpaceDE w:val="0"/>
              <w:autoSpaceDN w:val="0"/>
              <w:adjustRightInd w:val="0"/>
              <w:rPr>
                <w:kern w:val="2"/>
                <w:sz w:val="24"/>
                <w:szCs w:val="24"/>
                <w14:ligatures w14:val="standardContextual"/>
              </w:rPr>
            </w:pPr>
          </w:p>
        </w:tc>
        <w:tc>
          <w:tcPr>
            <w:tcW w:w="1712" w:type="pct"/>
            <w:tcBorders>
              <w:top w:val="single" w:sz="4" w:space="0" w:color="000000"/>
              <w:left w:val="single" w:sz="4" w:space="0" w:color="000000"/>
              <w:bottom w:val="single" w:sz="4" w:space="0" w:color="000000"/>
              <w:right w:val="single" w:sz="4" w:space="0" w:color="000000"/>
            </w:tcBorders>
          </w:tcPr>
          <w:p w14:paraId="5E03C1FB" w14:textId="77777777" w:rsidR="00A76826" w:rsidRPr="004714C6" w:rsidRDefault="00A76826" w:rsidP="00FB1973">
            <w:pPr>
              <w:widowControl w:val="0"/>
              <w:autoSpaceDE w:val="0"/>
              <w:autoSpaceDN w:val="0"/>
              <w:adjustRightInd w:val="0"/>
              <w:rPr>
                <w:kern w:val="2"/>
                <w:sz w:val="24"/>
                <w:szCs w:val="24"/>
                <w14:ligatures w14:val="standardContextual"/>
              </w:rPr>
            </w:pPr>
          </w:p>
        </w:tc>
      </w:tr>
      <w:tr w:rsidR="00A76826" w:rsidRPr="004714C6" w14:paraId="20E63D56" w14:textId="77777777" w:rsidTr="00FB1973">
        <w:trPr>
          <w:trHeight w:val="20"/>
        </w:trPr>
        <w:tc>
          <w:tcPr>
            <w:tcW w:w="1573" w:type="pct"/>
            <w:tcBorders>
              <w:top w:val="single" w:sz="4" w:space="0" w:color="000000"/>
              <w:left w:val="single" w:sz="4" w:space="0" w:color="000000"/>
              <w:bottom w:val="single" w:sz="4" w:space="0" w:color="000000"/>
              <w:right w:val="single" w:sz="4" w:space="0" w:color="000000"/>
            </w:tcBorders>
            <w:hideMark/>
          </w:tcPr>
          <w:p w14:paraId="128D388C" w14:textId="77777777" w:rsidR="00A76826" w:rsidRPr="004714C6" w:rsidRDefault="00A76826" w:rsidP="00FB1973">
            <w:pPr>
              <w:widowControl w:val="0"/>
              <w:autoSpaceDE w:val="0"/>
              <w:autoSpaceDN w:val="0"/>
              <w:adjustRightInd w:val="0"/>
              <w:ind w:left="815" w:right="-20"/>
              <w:rPr>
                <w:kern w:val="2"/>
                <w:sz w:val="24"/>
                <w:szCs w:val="24"/>
                <w14:ligatures w14:val="standardContextual"/>
              </w:rPr>
            </w:pPr>
            <w:r w:rsidRPr="004714C6">
              <w:rPr>
                <w:kern w:val="2"/>
                <w:sz w:val="24"/>
                <w:szCs w:val="24"/>
                <w14:ligatures w14:val="standardContextual"/>
              </w:rPr>
              <w:t>30 ≤ og &lt; </w:t>
            </w:r>
            <w:r w:rsidRPr="004714C6">
              <w:rPr>
                <w:spacing w:val="-2"/>
                <w:kern w:val="2"/>
                <w:sz w:val="24"/>
                <w:szCs w:val="24"/>
                <w14:ligatures w14:val="standardContextual"/>
              </w:rPr>
              <w:t>50</w:t>
            </w:r>
          </w:p>
        </w:tc>
        <w:tc>
          <w:tcPr>
            <w:tcW w:w="1714" w:type="pct"/>
            <w:tcBorders>
              <w:top w:val="single" w:sz="4" w:space="0" w:color="000000"/>
              <w:left w:val="single" w:sz="4" w:space="0" w:color="000000"/>
              <w:bottom w:val="single" w:sz="4" w:space="0" w:color="000000"/>
              <w:right w:val="single" w:sz="4" w:space="0" w:color="000000"/>
            </w:tcBorders>
            <w:hideMark/>
          </w:tcPr>
          <w:p w14:paraId="4EBF1FBC" w14:textId="77777777" w:rsidR="00A76826" w:rsidRPr="004714C6" w:rsidRDefault="00A76826" w:rsidP="00FB1973">
            <w:pPr>
              <w:widowControl w:val="0"/>
              <w:autoSpaceDE w:val="0"/>
              <w:autoSpaceDN w:val="0"/>
              <w:adjustRightInd w:val="0"/>
              <w:ind w:left="865" w:right="-20"/>
              <w:rPr>
                <w:kern w:val="2"/>
                <w:sz w:val="24"/>
                <w:szCs w:val="24"/>
                <w14:ligatures w14:val="standardContextual"/>
              </w:rPr>
            </w:pPr>
            <w:r w:rsidRPr="004714C6">
              <w:rPr>
                <w:kern w:val="2"/>
                <w:sz w:val="24"/>
                <w:szCs w:val="24"/>
                <w14:ligatures w14:val="standardContextual"/>
              </w:rPr>
              <w:t>0,89 (0,61; 1,31)</w:t>
            </w:r>
          </w:p>
        </w:tc>
        <w:tc>
          <w:tcPr>
            <w:tcW w:w="1712" w:type="pct"/>
            <w:tcBorders>
              <w:top w:val="single" w:sz="4" w:space="0" w:color="000000"/>
              <w:left w:val="single" w:sz="4" w:space="0" w:color="000000"/>
              <w:bottom w:val="single" w:sz="4" w:space="0" w:color="000000"/>
              <w:right w:val="single" w:sz="4" w:space="0" w:color="000000"/>
            </w:tcBorders>
            <w:hideMark/>
          </w:tcPr>
          <w:p w14:paraId="15315713" w14:textId="77777777" w:rsidR="00A76826" w:rsidRPr="004714C6" w:rsidRDefault="00A76826" w:rsidP="00FB1973">
            <w:pPr>
              <w:widowControl w:val="0"/>
              <w:autoSpaceDE w:val="0"/>
              <w:autoSpaceDN w:val="0"/>
              <w:adjustRightInd w:val="0"/>
              <w:ind w:left="863" w:right="-20"/>
              <w:rPr>
                <w:kern w:val="2"/>
                <w:sz w:val="24"/>
                <w:szCs w:val="24"/>
                <w14:ligatures w14:val="standardContextual"/>
              </w:rPr>
            </w:pPr>
            <w:r w:rsidRPr="004714C6">
              <w:rPr>
                <w:kern w:val="2"/>
                <w:sz w:val="24"/>
                <w:szCs w:val="24"/>
                <w14:ligatures w14:val="standardContextual"/>
              </w:rPr>
              <w:t>0,48 (0,31; 0,76)</w:t>
            </w:r>
          </w:p>
        </w:tc>
      </w:tr>
      <w:tr w:rsidR="00A76826" w:rsidRPr="004714C6" w14:paraId="60C8FB01" w14:textId="77777777" w:rsidTr="00FB1973">
        <w:trPr>
          <w:trHeight w:val="20"/>
        </w:trPr>
        <w:tc>
          <w:tcPr>
            <w:tcW w:w="1573" w:type="pct"/>
            <w:tcBorders>
              <w:top w:val="single" w:sz="4" w:space="0" w:color="000000"/>
              <w:left w:val="single" w:sz="4" w:space="0" w:color="000000"/>
              <w:bottom w:val="single" w:sz="4" w:space="0" w:color="000000"/>
              <w:right w:val="single" w:sz="4" w:space="0" w:color="000000"/>
            </w:tcBorders>
            <w:hideMark/>
          </w:tcPr>
          <w:p w14:paraId="3BCBC005" w14:textId="77777777" w:rsidR="00A76826" w:rsidRPr="004714C6" w:rsidRDefault="00A76826" w:rsidP="00FB1973">
            <w:pPr>
              <w:widowControl w:val="0"/>
              <w:autoSpaceDE w:val="0"/>
              <w:autoSpaceDN w:val="0"/>
              <w:adjustRightInd w:val="0"/>
              <w:ind w:left="815" w:right="-20"/>
              <w:rPr>
                <w:kern w:val="2"/>
                <w:sz w:val="24"/>
                <w:szCs w:val="24"/>
                <w14:ligatures w14:val="standardContextual"/>
              </w:rPr>
            </w:pPr>
            <w:r w:rsidRPr="004714C6">
              <w:rPr>
                <w:kern w:val="2"/>
                <w:sz w:val="24"/>
                <w:szCs w:val="24"/>
                <w14:ligatures w14:val="standardContextual"/>
              </w:rPr>
              <w:t>50 ≤ og &lt; </w:t>
            </w:r>
            <w:r w:rsidRPr="004714C6">
              <w:rPr>
                <w:spacing w:val="-2"/>
                <w:kern w:val="2"/>
                <w:sz w:val="24"/>
                <w:szCs w:val="24"/>
                <w14:ligatures w14:val="standardContextual"/>
              </w:rPr>
              <w:t>80</w:t>
            </w:r>
          </w:p>
        </w:tc>
        <w:tc>
          <w:tcPr>
            <w:tcW w:w="1714" w:type="pct"/>
            <w:tcBorders>
              <w:top w:val="single" w:sz="4" w:space="0" w:color="000000"/>
              <w:left w:val="single" w:sz="4" w:space="0" w:color="000000"/>
              <w:bottom w:val="single" w:sz="4" w:space="0" w:color="000000"/>
              <w:right w:val="single" w:sz="4" w:space="0" w:color="000000"/>
            </w:tcBorders>
            <w:hideMark/>
          </w:tcPr>
          <w:p w14:paraId="12924700" w14:textId="77777777" w:rsidR="00A76826" w:rsidRPr="004714C6" w:rsidRDefault="00A76826" w:rsidP="00FB1973">
            <w:pPr>
              <w:widowControl w:val="0"/>
              <w:autoSpaceDE w:val="0"/>
              <w:autoSpaceDN w:val="0"/>
              <w:adjustRightInd w:val="0"/>
              <w:ind w:left="865" w:right="-20"/>
              <w:rPr>
                <w:kern w:val="2"/>
                <w:sz w:val="24"/>
                <w:szCs w:val="24"/>
                <w14:ligatures w14:val="standardContextual"/>
              </w:rPr>
            </w:pPr>
            <w:r w:rsidRPr="004714C6">
              <w:rPr>
                <w:kern w:val="2"/>
                <w:sz w:val="24"/>
                <w:szCs w:val="24"/>
                <w14:ligatures w14:val="standardContextual"/>
              </w:rPr>
              <w:t>0,91 (0,68; 1,20)</w:t>
            </w:r>
          </w:p>
        </w:tc>
        <w:tc>
          <w:tcPr>
            <w:tcW w:w="1712" w:type="pct"/>
            <w:tcBorders>
              <w:top w:val="single" w:sz="4" w:space="0" w:color="000000"/>
              <w:left w:val="single" w:sz="4" w:space="0" w:color="000000"/>
              <w:bottom w:val="single" w:sz="4" w:space="0" w:color="000000"/>
              <w:right w:val="single" w:sz="4" w:space="0" w:color="000000"/>
            </w:tcBorders>
            <w:hideMark/>
          </w:tcPr>
          <w:p w14:paraId="10BA93E9" w14:textId="77777777" w:rsidR="00A76826" w:rsidRPr="004714C6" w:rsidRDefault="00A76826" w:rsidP="00FB1973">
            <w:pPr>
              <w:widowControl w:val="0"/>
              <w:autoSpaceDE w:val="0"/>
              <w:autoSpaceDN w:val="0"/>
              <w:adjustRightInd w:val="0"/>
              <w:ind w:left="863" w:right="-20"/>
              <w:rPr>
                <w:kern w:val="2"/>
                <w:sz w:val="24"/>
                <w:szCs w:val="24"/>
                <w14:ligatures w14:val="standardContextual"/>
              </w:rPr>
            </w:pPr>
            <w:r w:rsidRPr="004714C6">
              <w:rPr>
                <w:kern w:val="2"/>
                <w:sz w:val="24"/>
                <w:szCs w:val="24"/>
                <w14:ligatures w14:val="standardContextual"/>
              </w:rPr>
              <w:t>0,65 (0,47; 0,88)</w:t>
            </w:r>
          </w:p>
        </w:tc>
      </w:tr>
      <w:tr w:rsidR="00A76826" w:rsidRPr="004714C6" w14:paraId="220F6332" w14:textId="77777777" w:rsidTr="00FB1973">
        <w:trPr>
          <w:trHeight w:val="20"/>
        </w:trPr>
        <w:tc>
          <w:tcPr>
            <w:tcW w:w="1573" w:type="pct"/>
            <w:tcBorders>
              <w:top w:val="single" w:sz="4" w:space="0" w:color="000000"/>
              <w:left w:val="single" w:sz="4" w:space="0" w:color="000000"/>
              <w:bottom w:val="single" w:sz="4" w:space="0" w:color="000000"/>
              <w:right w:val="single" w:sz="4" w:space="0" w:color="000000"/>
            </w:tcBorders>
            <w:hideMark/>
          </w:tcPr>
          <w:p w14:paraId="19523965" w14:textId="77777777" w:rsidR="00A76826" w:rsidRPr="004714C6" w:rsidRDefault="00A76826" w:rsidP="00FB1973">
            <w:pPr>
              <w:widowControl w:val="0"/>
              <w:autoSpaceDE w:val="0"/>
              <w:autoSpaceDN w:val="0"/>
              <w:adjustRightInd w:val="0"/>
              <w:ind w:left="1191" w:right="1171"/>
              <w:rPr>
                <w:kern w:val="2"/>
                <w:sz w:val="24"/>
                <w:szCs w:val="24"/>
                <w14:ligatures w14:val="standardContextual"/>
              </w:rPr>
            </w:pPr>
            <w:r w:rsidRPr="004714C6">
              <w:rPr>
                <w:kern w:val="2"/>
                <w:sz w:val="24"/>
                <w:szCs w:val="24"/>
                <w14:ligatures w14:val="standardContextual"/>
              </w:rPr>
              <w:t>≥ 80</w:t>
            </w:r>
          </w:p>
        </w:tc>
        <w:tc>
          <w:tcPr>
            <w:tcW w:w="1714" w:type="pct"/>
            <w:tcBorders>
              <w:top w:val="single" w:sz="4" w:space="0" w:color="000000"/>
              <w:left w:val="single" w:sz="4" w:space="0" w:color="000000"/>
              <w:bottom w:val="single" w:sz="4" w:space="0" w:color="000000"/>
              <w:right w:val="single" w:sz="4" w:space="0" w:color="000000"/>
            </w:tcBorders>
            <w:hideMark/>
          </w:tcPr>
          <w:p w14:paraId="02709DFA" w14:textId="77777777" w:rsidR="00A76826" w:rsidRPr="004714C6" w:rsidRDefault="00A76826" w:rsidP="00FB1973">
            <w:pPr>
              <w:widowControl w:val="0"/>
              <w:autoSpaceDE w:val="0"/>
              <w:autoSpaceDN w:val="0"/>
              <w:adjustRightInd w:val="0"/>
              <w:ind w:left="865" w:right="-20"/>
              <w:rPr>
                <w:kern w:val="2"/>
                <w:sz w:val="24"/>
                <w:szCs w:val="24"/>
                <w14:ligatures w14:val="standardContextual"/>
              </w:rPr>
            </w:pPr>
            <w:r w:rsidRPr="004714C6">
              <w:rPr>
                <w:kern w:val="2"/>
                <w:sz w:val="24"/>
                <w:szCs w:val="24"/>
                <w14:ligatures w14:val="standardContextual"/>
              </w:rPr>
              <w:t>0,81 (0,51; 1,28)</w:t>
            </w:r>
          </w:p>
        </w:tc>
        <w:tc>
          <w:tcPr>
            <w:tcW w:w="1712" w:type="pct"/>
            <w:tcBorders>
              <w:top w:val="single" w:sz="4" w:space="0" w:color="000000"/>
              <w:left w:val="single" w:sz="4" w:space="0" w:color="000000"/>
              <w:bottom w:val="single" w:sz="4" w:space="0" w:color="000000"/>
              <w:right w:val="single" w:sz="4" w:space="0" w:color="000000"/>
            </w:tcBorders>
            <w:hideMark/>
          </w:tcPr>
          <w:p w14:paraId="356941D5" w14:textId="77777777" w:rsidR="00A76826" w:rsidRPr="004714C6" w:rsidRDefault="00A76826" w:rsidP="00FB1973">
            <w:pPr>
              <w:widowControl w:val="0"/>
              <w:autoSpaceDE w:val="0"/>
              <w:autoSpaceDN w:val="0"/>
              <w:adjustRightInd w:val="0"/>
              <w:ind w:left="863" w:right="-20"/>
              <w:rPr>
                <w:kern w:val="2"/>
                <w:sz w:val="24"/>
                <w:szCs w:val="24"/>
                <w14:ligatures w14:val="standardContextual"/>
              </w:rPr>
            </w:pPr>
            <w:r w:rsidRPr="004714C6">
              <w:rPr>
                <w:kern w:val="2"/>
                <w:sz w:val="24"/>
                <w:szCs w:val="24"/>
                <w14:ligatures w14:val="standardContextual"/>
              </w:rPr>
              <w:t>0,69 (0,43; 1,12)</w:t>
            </w:r>
          </w:p>
        </w:tc>
      </w:tr>
    </w:tbl>
    <w:p w14:paraId="435D4556" w14:textId="77777777" w:rsidR="00A76826" w:rsidRPr="004714C6" w:rsidRDefault="00A76826" w:rsidP="00FB1973">
      <w:pPr>
        <w:ind w:left="851"/>
        <w:rPr>
          <w:sz w:val="24"/>
          <w:szCs w:val="24"/>
        </w:rPr>
      </w:pPr>
    </w:p>
    <w:p w14:paraId="6C39DBB7" w14:textId="77777777" w:rsidR="00A76826" w:rsidRPr="004714C6" w:rsidRDefault="00A76826" w:rsidP="00FB1973">
      <w:pPr>
        <w:ind w:left="851"/>
        <w:rPr>
          <w:sz w:val="24"/>
          <w:szCs w:val="24"/>
        </w:rPr>
      </w:pPr>
      <w:r w:rsidRPr="004714C6">
        <w:rPr>
          <w:sz w:val="24"/>
          <w:szCs w:val="24"/>
        </w:rPr>
        <w:t>Alder havde en indvirkning på det primære sikkerhedsendepunkt alvorlig blødning. Den relative risiko for blødning ved behandling med dabigatran sammenlignet med warfarin var større med stigende alder. Den relative risiko var størst hos patienter ≥ 75 år. Samtidig behandling med trombocythæmmerne ASA eller clopidogrel ca. fordobler MBE</w:t>
      </w:r>
      <w:r w:rsidRPr="004714C6">
        <w:rPr>
          <w:sz w:val="24"/>
          <w:szCs w:val="24"/>
        </w:rPr>
        <w:noBreakHyphen/>
        <w:t>raterne for både dabigatranetexilat og warfarin. Der var ingen signifikant indvirkning på behandlingseffekten mellem undergrupper af forskellig nyrefunktionsstatus og CHADS</w:t>
      </w:r>
      <w:r w:rsidRPr="004714C6">
        <w:rPr>
          <w:sz w:val="24"/>
          <w:szCs w:val="24"/>
          <w:vertAlign w:val="subscript"/>
        </w:rPr>
        <w:t>2</w:t>
      </w:r>
      <w:r w:rsidRPr="004714C6">
        <w:rPr>
          <w:sz w:val="24"/>
          <w:szCs w:val="24"/>
        </w:rPr>
        <w:t>-score.</w:t>
      </w:r>
    </w:p>
    <w:p w14:paraId="02AEF5C4" w14:textId="77777777" w:rsidR="00A76826" w:rsidRPr="004714C6" w:rsidRDefault="00A76826" w:rsidP="00FB1973">
      <w:pPr>
        <w:ind w:left="851"/>
        <w:rPr>
          <w:sz w:val="24"/>
          <w:szCs w:val="24"/>
        </w:rPr>
      </w:pPr>
    </w:p>
    <w:p w14:paraId="0D172477" w14:textId="77777777" w:rsidR="00A76826" w:rsidRPr="004714C6" w:rsidRDefault="00A76826" w:rsidP="00A76826">
      <w:pPr>
        <w:keepNext/>
        <w:widowControl w:val="0"/>
        <w:autoSpaceDE w:val="0"/>
        <w:autoSpaceDN w:val="0"/>
        <w:adjustRightInd w:val="0"/>
        <w:spacing w:line="246" w:lineRule="exact"/>
        <w:ind w:right="-20"/>
        <w:rPr>
          <w:b/>
          <w:bCs/>
          <w:sz w:val="24"/>
          <w:szCs w:val="24"/>
        </w:rPr>
      </w:pPr>
      <w:r w:rsidRPr="004714C6">
        <w:rPr>
          <w:b/>
          <w:bCs/>
          <w:sz w:val="24"/>
          <w:szCs w:val="24"/>
        </w:rPr>
        <w:t>Tabel 26:</w:t>
      </w:r>
      <w:r w:rsidRPr="004714C6">
        <w:rPr>
          <w:b/>
          <w:bCs/>
          <w:sz w:val="24"/>
          <w:szCs w:val="24"/>
        </w:rPr>
        <w:tab/>
      </w:r>
      <w:r w:rsidRPr="004714C6">
        <w:rPr>
          <w:b/>
          <w:bCs/>
          <w:i/>
          <w:iCs/>
          <w:sz w:val="24"/>
          <w:szCs w:val="24"/>
        </w:rPr>
        <w:t>Hazard ratio</w:t>
      </w:r>
      <w:r w:rsidRPr="004714C6">
        <w:rPr>
          <w:b/>
          <w:bCs/>
          <w:sz w:val="24"/>
          <w:szCs w:val="24"/>
        </w:rPr>
        <w:t xml:space="preserve"> og 95 % CI for alvorlige blødninger i delpopulationer</w:t>
      </w:r>
    </w:p>
    <w:p w14:paraId="4BDEAEEA"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970"/>
        <w:gridCol w:w="3329"/>
        <w:gridCol w:w="3329"/>
      </w:tblGrid>
      <w:tr w:rsidR="00A76826" w:rsidRPr="004714C6" w14:paraId="50ABBCA6"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38E934FE" w14:textId="77777777" w:rsidR="00A76826" w:rsidRPr="004714C6" w:rsidRDefault="00A76826" w:rsidP="00FB1973">
            <w:pPr>
              <w:widowControl w:val="0"/>
              <w:autoSpaceDE w:val="0"/>
              <w:autoSpaceDN w:val="0"/>
              <w:adjustRightInd w:val="0"/>
              <w:ind w:left="100" w:right="-20"/>
              <w:rPr>
                <w:b/>
                <w:bCs/>
                <w:kern w:val="2"/>
                <w:sz w:val="24"/>
                <w:szCs w:val="24"/>
                <w14:ligatures w14:val="standardContextual"/>
              </w:rPr>
            </w:pPr>
            <w:bookmarkStart w:id="8" w:name="_Hlk166701676"/>
            <w:r w:rsidRPr="004714C6">
              <w:rPr>
                <w:b/>
                <w:bCs/>
                <w:kern w:val="2"/>
                <w:sz w:val="24"/>
                <w:szCs w:val="24"/>
                <w14:ligatures w14:val="standardContextual"/>
              </w:rPr>
              <w:t>Endepunkt</w:t>
            </w:r>
          </w:p>
        </w:tc>
        <w:tc>
          <w:tcPr>
            <w:tcW w:w="1729" w:type="pct"/>
            <w:tcBorders>
              <w:top w:val="single" w:sz="4" w:space="0" w:color="000000"/>
              <w:left w:val="single" w:sz="4" w:space="0" w:color="000000"/>
              <w:bottom w:val="single" w:sz="4" w:space="0" w:color="000000"/>
              <w:right w:val="single" w:sz="4" w:space="0" w:color="000000"/>
            </w:tcBorders>
            <w:hideMark/>
          </w:tcPr>
          <w:p w14:paraId="65A2D7B4" w14:textId="77777777" w:rsidR="00A76826" w:rsidRPr="004714C6" w:rsidRDefault="00A76826" w:rsidP="00FB1973">
            <w:pPr>
              <w:widowControl w:val="0"/>
              <w:autoSpaceDE w:val="0"/>
              <w:autoSpaceDN w:val="0"/>
              <w:adjustRightInd w:val="0"/>
              <w:ind w:left="102" w:right="-20"/>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 xml:space="preserve">110 mg 2 gange dagligt </w:t>
            </w:r>
            <w:r w:rsidRPr="004714C6">
              <w:rPr>
                <w:b/>
                <w:bCs/>
                <w:i/>
                <w:iCs/>
                <w:kern w:val="2"/>
                <w:sz w:val="24"/>
                <w:szCs w:val="24"/>
                <w14:ligatures w14:val="standardContextual"/>
              </w:rPr>
              <w:t>vs.</w:t>
            </w:r>
            <w:r w:rsidRPr="004714C6">
              <w:rPr>
                <w:b/>
                <w:bCs/>
                <w:kern w:val="2"/>
                <w:sz w:val="24"/>
                <w:szCs w:val="24"/>
                <w14:ligatures w14:val="standardContextual"/>
              </w:rPr>
              <w:t xml:space="preserve"> warfarin</w:t>
            </w:r>
          </w:p>
        </w:tc>
        <w:tc>
          <w:tcPr>
            <w:tcW w:w="1729" w:type="pct"/>
            <w:tcBorders>
              <w:top w:val="single" w:sz="4" w:space="0" w:color="000000"/>
              <w:left w:val="single" w:sz="4" w:space="0" w:color="000000"/>
              <w:bottom w:val="single" w:sz="4" w:space="0" w:color="000000"/>
              <w:right w:val="single" w:sz="4" w:space="0" w:color="000000"/>
            </w:tcBorders>
            <w:hideMark/>
          </w:tcPr>
          <w:p w14:paraId="3339EFA8" w14:textId="77777777" w:rsidR="00A76826" w:rsidRPr="004714C6" w:rsidRDefault="00A76826" w:rsidP="00FB1973">
            <w:pPr>
              <w:widowControl w:val="0"/>
              <w:autoSpaceDE w:val="0"/>
              <w:autoSpaceDN w:val="0"/>
              <w:adjustRightInd w:val="0"/>
              <w:ind w:left="102" w:right="-20"/>
              <w:rPr>
                <w:b/>
                <w:bCs/>
                <w:kern w:val="2"/>
                <w:sz w:val="24"/>
                <w:szCs w:val="24"/>
                <w14:ligatures w14:val="standardContextual"/>
              </w:rPr>
            </w:pPr>
            <w:r w:rsidRPr="004714C6">
              <w:rPr>
                <w:b/>
                <w:bCs/>
                <w:color w:val="000000"/>
                <w:kern w:val="2"/>
                <w:sz w:val="24"/>
                <w:szCs w:val="24"/>
                <w14:ligatures w14:val="standardContextual"/>
              </w:rPr>
              <w:t xml:space="preserve">Dabigatranetexilat </w:t>
            </w:r>
            <w:r w:rsidRPr="004714C6">
              <w:rPr>
                <w:b/>
                <w:bCs/>
                <w:kern w:val="2"/>
                <w:sz w:val="24"/>
                <w:szCs w:val="24"/>
                <w14:ligatures w14:val="standardContextual"/>
              </w:rPr>
              <w:t xml:space="preserve">150 mg 2 gange dagligt </w:t>
            </w:r>
            <w:r w:rsidRPr="004714C6">
              <w:rPr>
                <w:b/>
                <w:bCs/>
                <w:i/>
                <w:iCs/>
                <w:kern w:val="2"/>
                <w:sz w:val="24"/>
                <w:szCs w:val="24"/>
                <w14:ligatures w14:val="standardContextual"/>
              </w:rPr>
              <w:t>vs.</w:t>
            </w:r>
            <w:r w:rsidRPr="004714C6">
              <w:rPr>
                <w:b/>
                <w:bCs/>
                <w:kern w:val="2"/>
                <w:sz w:val="24"/>
                <w:szCs w:val="24"/>
                <w14:ligatures w14:val="standardContextual"/>
              </w:rPr>
              <w:t xml:space="preserve"> warfarin</w:t>
            </w:r>
          </w:p>
        </w:tc>
      </w:tr>
      <w:tr w:rsidR="00A76826" w:rsidRPr="004714C6" w14:paraId="1BA1CD00"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6771041E" w14:textId="77777777" w:rsidR="00A76826" w:rsidRPr="004714C6" w:rsidRDefault="00A76826" w:rsidP="00FB1973">
            <w:pPr>
              <w:widowControl w:val="0"/>
              <w:autoSpaceDE w:val="0"/>
              <w:autoSpaceDN w:val="0"/>
              <w:adjustRightInd w:val="0"/>
              <w:ind w:left="100" w:right="-20"/>
              <w:rPr>
                <w:b/>
                <w:bCs/>
                <w:kern w:val="2"/>
                <w:sz w:val="24"/>
                <w:szCs w:val="24"/>
                <w14:ligatures w14:val="standardContextual"/>
              </w:rPr>
            </w:pPr>
            <w:r w:rsidRPr="004714C6">
              <w:rPr>
                <w:b/>
                <w:bCs/>
                <w:kern w:val="2"/>
                <w:sz w:val="24"/>
                <w:szCs w:val="24"/>
                <w14:ligatures w14:val="standardContextual"/>
              </w:rPr>
              <w:t>Alder (år)</w:t>
            </w:r>
          </w:p>
        </w:tc>
        <w:tc>
          <w:tcPr>
            <w:tcW w:w="1729" w:type="pct"/>
            <w:tcBorders>
              <w:top w:val="single" w:sz="4" w:space="0" w:color="000000"/>
              <w:left w:val="single" w:sz="4" w:space="0" w:color="000000"/>
              <w:bottom w:val="single" w:sz="4" w:space="0" w:color="000000"/>
              <w:right w:val="single" w:sz="4" w:space="0" w:color="000000"/>
            </w:tcBorders>
          </w:tcPr>
          <w:p w14:paraId="75B7EE9A" w14:textId="77777777" w:rsidR="00A76826" w:rsidRPr="004714C6" w:rsidRDefault="00A76826" w:rsidP="00FB1973">
            <w:pPr>
              <w:widowControl w:val="0"/>
              <w:autoSpaceDE w:val="0"/>
              <w:autoSpaceDN w:val="0"/>
              <w:adjustRightInd w:val="0"/>
              <w:rPr>
                <w:kern w:val="2"/>
                <w:sz w:val="24"/>
                <w:szCs w:val="24"/>
                <w14:ligatures w14:val="standardContextual"/>
              </w:rPr>
            </w:pPr>
          </w:p>
        </w:tc>
        <w:tc>
          <w:tcPr>
            <w:tcW w:w="1729" w:type="pct"/>
            <w:tcBorders>
              <w:top w:val="single" w:sz="4" w:space="0" w:color="000000"/>
              <w:left w:val="single" w:sz="4" w:space="0" w:color="000000"/>
              <w:bottom w:val="single" w:sz="4" w:space="0" w:color="000000"/>
              <w:right w:val="single" w:sz="4" w:space="0" w:color="000000"/>
            </w:tcBorders>
          </w:tcPr>
          <w:p w14:paraId="2C4985E1" w14:textId="77777777" w:rsidR="00A76826" w:rsidRPr="004714C6" w:rsidRDefault="00A76826" w:rsidP="00FB1973">
            <w:pPr>
              <w:widowControl w:val="0"/>
              <w:autoSpaceDE w:val="0"/>
              <w:autoSpaceDN w:val="0"/>
              <w:adjustRightInd w:val="0"/>
              <w:rPr>
                <w:kern w:val="2"/>
                <w:sz w:val="24"/>
                <w:szCs w:val="24"/>
                <w14:ligatures w14:val="standardContextual"/>
              </w:rPr>
            </w:pPr>
          </w:p>
        </w:tc>
      </w:tr>
      <w:tr w:rsidR="00A76826" w:rsidRPr="004714C6" w14:paraId="59358B41"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29423EAF" w14:textId="77777777" w:rsidR="00A76826" w:rsidRPr="004714C6" w:rsidRDefault="00A76826" w:rsidP="00FB1973">
            <w:pPr>
              <w:widowControl w:val="0"/>
              <w:autoSpaceDE w:val="0"/>
              <w:autoSpaceDN w:val="0"/>
              <w:adjustRightInd w:val="0"/>
              <w:ind w:left="1155" w:right="1138"/>
              <w:rPr>
                <w:kern w:val="2"/>
                <w:sz w:val="24"/>
                <w:szCs w:val="24"/>
                <w14:ligatures w14:val="standardContextual"/>
              </w:rPr>
            </w:pPr>
            <w:r w:rsidRPr="004714C6">
              <w:rPr>
                <w:kern w:val="2"/>
                <w:sz w:val="24"/>
                <w:szCs w:val="24"/>
                <w14:ligatures w14:val="standardContextual"/>
              </w:rPr>
              <w:t>&lt; 65</w:t>
            </w:r>
          </w:p>
        </w:tc>
        <w:tc>
          <w:tcPr>
            <w:tcW w:w="1729" w:type="pct"/>
            <w:tcBorders>
              <w:top w:val="single" w:sz="4" w:space="0" w:color="000000"/>
              <w:left w:val="single" w:sz="4" w:space="0" w:color="000000"/>
              <w:bottom w:val="single" w:sz="4" w:space="0" w:color="000000"/>
              <w:right w:val="single" w:sz="4" w:space="0" w:color="000000"/>
            </w:tcBorders>
            <w:hideMark/>
          </w:tcPr>
          <w:p w14:paraId="6D6B9690"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0,32 (0,18, 0,57)</w:t>
            </w:r>
          </w:p>
        </w:tc>
        <w:tc>
          <w:tcPr>
            <w:tcW w:w="1729" w:type="pct"/>
            <w:tcBorders>
              <w:top w:val="single" w:sz="4" w:space="0" w:color="000000"/>
              <w:left w:val="single" w:sz="4" w:space="0" w:color="000000"/>
              <w:bottom w:val="single" w:sz="4" w:space="0" w:color="000000"/>
              <w:right w:val="single" w:sz="4" w:space="0" w:color="000000"/>
            </w:tcBorders>
            <w:hideMark/>
          </w:tcPr>
          <w:p w14:paraId="537C0E18"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0,35 (0,20; 0,61)</w:t>
            </w:r>
          </w:p>
        </w:tc>
      </w:tr>
      <w:tr w:rsidR="00A76826" w:rsidRPr="004714C6" w14:paraId="2EFB7D9A"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762C22F6" w14:textId="77777777" w:rsidR="00A76826" w:rsidRPr="004714C6" w:rsidRDefault="00A76826" w:rsidP="00FB1973">
            <w:pPr>
              <w:widowControl w:val="0"/>
              <w:autoSpaceDE w:val="0"/>
              <w:autoSpaceDN w:val="0"/>
              <w:adjustRightInd w:val="0"/>
              <w:ind w:left="781" w:right="-20"/>
              <w:rPr>
                <w:kern w:val="2"/>
                <w:sz w:val="24"/>
                <w:szCs w:val="24"/>
                <w14:ligatures w14:val="standardContextual"/>
              </w:rPr>
            </w:pPr>
            <w:r w:rsidRPr="004714C6">
              <w:rPr>
                <w:kern w:val="2"/>
                <w:sz w:val="24"/>
                <w:szCs w:val="24"/>
                <w14:ligatures w14:val="standardContextual"/>
              </w:rPr>
              <w:t>65 ≤ og &lt; </w:t>
            </w:r>
            <w:r w:rsidRPr="004714C6">
              <w:rPr>
                <w:spacing w:val="-2"/>
                <w:kern w:val="2"/>
                <w:sz w:val="24"/>
                <w:szCs w:val="24"/>
                <w14:ligatures w14:val="standardContextual"/>
              </w:rPr>
              <w:t>75</w:t>
            </w:r>
          </w:p>
        </w:tc>
        <w:tc>
          <w:tcPr>
            <w:tcW w:w="1729" w:type="pct"/>
            <w:tcBorders>
              <w:top w:val="single" w:sz="4" w:space="0" w:color="000000"/>
              <w:left w:val="single" w:sz="4" w:space="0" w:color="000000"/>
              <w:bottom w:val="single" w:sz="4" w:space="0" w:color="000000"/>
              <w:right w:val="single" w:sz="4" w:space="0" w:color="000000"/>
            </w:tcBorders>
            <w:hideMark/>
          </w:tcPr>
          <w:p w14:paraId="16463C38"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0,71 (0,56; 0</w:t>
            </w:r>
            <w:r w:rsidRPr="004714C6">
              <w:rPr>
                <w:spacing w:val="-1"/>
                <w:kern w:val="2"/>
                <w:sz w:val="24"/>
                <w:szCs w:val="24"/>
                <w14:ligatures w14:val="standardContextual"/>
              </w:rPr>
              <w:t>,89)</w:t>
            </w:r>
          </w:p>
        </w:tc>
        <w:tc>
          <w:tcPr>
            <w:tcW w:w="1729" w:type="pct"/>
            <w:tcBorders>
              <w:top w:val="single" w:sz="4" w:space="0" w:color="000000"/>
              <w:left w:val="single" w:sz="4" w:space="0" w:color="000000"/>
              <w:bottom w:val="single" w:sz="4" w:space="0" w:color="000000"/>
              <w:right w:val="single" w:sz="4" w:space="0" w:color="000000"/>
            </w:tcBorders>
            <w:hideMark/>
          </w:tcPr>
          <w:p w14:paraId="1F80E5C5"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0,82 (0,66; 1,03)</w:t>
            </w:r>
          </w:p>
        </w:tc>
      </w:tr>
      <w:tr w:rsidR="00A76826" w:rsidRPr="004714C6" w14:paraId="341BED7D"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010E37EB" w14:textId="77777777" w:rsidR="00A76826" w:rsidRPr="004714C6" w:rsidRDefault="00A76826" w:rsidP="00FB1973">
            <w:pPr>
              <w:widowControl w:val="0"/>
              <w:autoSpaceDE w:val="0"/>
              <w:autoSpaceDN w:val="0"/>
              <w:adjustRightInd w:val="0"/>
              <w:ind w:left="1158" w:right="1138"/>
              <w:rPr>
                <w:kern w:val="2"/>
                <w:sz w:val="24"/>
                <w:szCs w:val="24"/>
                <w14:ligatures w14:val="standardContextual"/>
              </w:rPr>
            </w:pPr>
            <w:r w:rsidRPr="004714C6">
              <w:rPr>
                <w:kern w:val="2"/>
                <w:sz w:val="24"/>
                <w:szCs w:val="24"/>
                <w14:ligatures w14:val="standardContextual"/>
              </w:rPr>
              <w:t>≥ 75</w:t>
            </w:r>
          </w:p>
        </w:tc>
        <w:tc>
          <w:tcPr>
            <w:tcW w:w="1729" w:type="pct"/>
            <w:tcBorders>
              <w:top w:val="single" w:sz="4" w:space="0" w:color="000000"/>
              <w:left w:val="single" w:sz="4" w:space="0" w:color="000000"/>
              <w:bottom w:val="single" w:sz="4" w:space="0" w:color="000000"/>
              <w:right w:val="single" w:sz="4" w:space="0" w:color="000000"/>
            </w:tcBorders>
            <w:hideMark/>
          </w:tcPr>
          <w:p w14:paraId="1983E3FA"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1,01 (0,84; 1,23)</w:t>
            </w:r>
          </w:p>
        </w:tc>
        <w:tc>
          <w:tcPr>
            <w:tcW w:w="1729" w:type="pct"/>
            <w:tcBorders>
              <w:top w:val="single" w:sz="4" w:space="0" w:color="000000"/>
              <w:left w:val="single" w:sz="4" w:space="0" w:color="000000"/>
              <w:bottom w:val="single" w:sz="4" w:space="0" w:color="000000"/>
              <w:right w:val="single" w:sz="4" w:space="0" w:color="000000"/>
            </w:tcBorders>
            <w:hideMark/>
          </w:tcPr>
          <w:p w14:paraId="73CDAABC"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1,19 (0,99; 1,43)</w:t>
            </w:r>
          </w:p>
        </w:tc>
      </w:tr>
      <w:tr w:rsidR="00A76826" w:rsidRPr="004714C6" w14:paraId="604251E4"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2E72A7F5" w14:textId="77777777" w:rsidR="00A76826" w:rsidRPr="004714C6" w:rsidRDefault="00A76826" w:rsidP="00FB1973">
            <w:pPr>
              <w:widowControl w:val="0"/>
              <w:autoSpaceDE w:val="0"/>
              <w:autoSpaceDN w:val="0"/>
              <w:adjustRightInd w:val="0"/>
              <w:ind w:left="1158" w:right="1138"/>
              <w:rPr>
                <w:kern w:val="2"/>
                <w:sz w:val="24"/>
                <w:szCs w:val="24"/>
                <w14:ligatures w14:val="standardContextual"/>
              </w:rPr>
            </w:pPr>
            <w:r w:rsidRPr="004714C6">
              <w:rPr>
                <w:kern w:val="2"/>
                <w:sz w:val="24"/>
                <w:szCs w:val="24"/>
                <w14:ligatures w14:val="standardContextual"/>
              </w:rPr>
              <w:t>≥ 80</w:t>
            </w:r>
          </w:p>
        </w:tc>
        <w:tc>
          <w:tcPr>
            <w:tcW w:w="1729" w:type="pct"/>
            <w:tcBorders>
              <w:top w:val="single" w:sz="4" w:space="0" w:color="000000"/>
              <w:left w:val="single" w:sz="4" w:space="0" w:color="000000"/>
              <w:bottom w:val="single" w:sz="4" w:space="0" w:color="000000"/>
              <w:right w:val="single" w:sz="4" w:space="0" w:color="000000"/>
            </w:tcBorders>
            <w:hideMark/>
          </w:tcPr>
          <w:p w14:paraId="7FA229C8"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1,14 (0,86; 1,51)</w:t>
            </w:r>
          </w:p>
        </w:tc>
        <w:tc>
          <w:tcPr>
            <w:tcW w:w="1729" w:type="pct"/>
            <w:tcBorders>
              <w:top w:val="single" w:sz="4" w:space="0" w:color="000000"/>
              <w:left w:val="single" w:sz="4" w:space="0" w:color="000000"/>
              <w:bottom w:val="single" w:sz="4" w:space="0" w:color="000000"/>
              <w:right w:val="single" w:sz="4" w:space="0" w:color="000000"/>
            </w:tcBorders>
            <w:hideMark/>
          </w:tcPr>
          <w:p w14:paraId="0B29DE50"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1,35 (1,03; 1,76)</w:t>
            </w:r>
          </w:p>
        </w:tc>
      </w:tr>
      <w:tr w:rsidR="00A76826" w:rsidRPr="004714C6" w14:paraId="529D326E"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6B4C85D2" w14:textId="77777777" w:rsidR="00A76826" w:rsidRPr="004714C6" w:rsidRDefault="00A76826" w:rsidP="00FB1973">
            <w:pPr>
              <w:widowControl w:val="0"/>
              <w:autoSpaceDE w:val="0"/>
              <w:autoSpaceDN w:val="0"/>
              <w:adjustRightInd w:val="0"/>
              <w:ind w:left="100" w:right="-20"/>
              <w:rPr>
                <w:kern w:val="2"/>
                <w:sz w:val="24"/>
                <w:szCs w:val="24"/>
                <w14:ligatures w14:val="standardContextual"/>
              </w:rPr>
            </w:pPr>
            <w:r w:rsidRPr="004714C6">
              <w:rPr>
                <w:spacing w:val="-1"/>
                <w:kern w:val="2"/>
                <w:sz w:val="24"/>
                <w:szCs w:val="24"/>
                <w14:ligatures w14:val="standardContextual"/>
              </w:rPr>
              <w:t>CrCL(ml/min)</w:t>
            </w:r>
          </w:p>
        </w:tc>
        <w:tc>
          <w:tcPr>
            <w:tcW w:w="1729" w:type="pct"/>
            <w:tcBorders>
              <w:top w:val="single" w:sz="4" w:space="0" w:color="000000"/>
              <w:left w:val="single" w:sz="4" w:space="0" w:color="000000"/>
              <w:bottom w:val="single" w:sz="4" w:space="0" w:color="000000"/>
              <w:right w:val="single" w:sz="4" w:space="0" w:color="000000"/>
            </w:tcBorders>
          </w:tcPr>
          <w:p w14:paraId="71B6BC00" w14:textId="77777777" w:rsidR="00A76826" w:rsidRPr="004714C6" w:rsidRDefault="00A76826" w:rsidP="00FB1973">
            <w:pPr>
              <w:widowControl w:val="0"/>
              <w:autoSpaceDE w:val="0"/>
              <w:autoSpaceDN w:val="0"/>
              <w:adjustRightInd w:val="0"/>
              <w:rPr>
                <w:kern w:val="2"/>
                <w:sz w:val="24"/>
                <w:szCs w:val="24"/>
                <w14:ligatures w14:val="standardContextual"/>
              </w:rPr>
            </w:pPr>
          </w:p>
        </w:tc>
        <w:tc>
          <w:tcPr>
            <w:tcW w:w="1729" w:type="pct"/>
            <w:tcBorders>
              <w:top w:val="single" w:sz="4" w:space="0" w:color="000000"/>
              <w:left w:val="single" w:sz="4" w:space="0" w:color="000000"/>
              <w:bottom w:val="single" w:sz="4" w:space="0" w:color="000000"/>
              <w:right w:val="single" w:sz="4" w:space="0" w:color="000000"/>
            </w:tcBorders>
          </w:tcPr>
          <w:p w14:paraId="0A574FCD" w14:textId="77777777" w:rsidR="00A76826" w:rsidRPr="004714C6" w:rsidRDefault="00A76826" w:rsidP="00FB1973">
            <w:pPr>
              <w:widowControl w:val="0"/>
              <w:autoSpaceDE w:val="0"/>
              <w:autoSpaceDN w:val="0"/>
              <w:adjustRightInd w:val="0"/>
              <w:rPr>
                <w:kern w:val="2"/>
                <w:sz w:val="24"/>
                <w:szCs w:val="24"/>
                <w14:ligatures w14:val="standardContextual"/>
              </w:rPr>
            </w:pPr>
          </w:p>
        </w:tc>
      </w:tr>
      <w:tr w:rsidR="00A76826" w:rsidRPr="004714C6" w14:paraId="254BF3E5"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73A48052" w14:textId="77777777" w:rsidR="00A76826" w:rsidRPr="004714C6" w:rsidRDefault="00A76826" w:rsidP="00FB1973">
            <w:pPr>
              <w:widowControl w:val="0"/>
              <w:autoSpaceDE w:val="0"/>
              <w:autoSpaceDN w:val="0"/>
              <w:adjustRightInd w:val="0"/>
              <w:ind w:left="781" w:right="-20"/>
              <w:rPr>
                <w:kern w:val="2"/>
                <w:sz w:val="24"/>
                <w:szCs w:val="24"/>
                <w14:ligatures w14:val="standardContextual"/>
              </w:rPr>
            </w:pPr>
            <w:r w:rsidRPr="004714C6">
              <w:rPr>
                <w:kern w:val="2"/>
                <w:sz w:val="24"/>
                <w:szCs w:val="24"/>
                <w14:ligatures w14:val="standardContextual"/>
              </w:rPr>
              <w:t>30 ≤ og &lt; </w:t>
            </w:r>
            <w:r w:rsidRPr="004714C6">
              <w:rPr>
                <w:spacing w:val="-2"/>
                <w:kern w:val="2"/>
                <w:sz w:val="24"/>
                <w:szCs w:val="24"/>
                <w14:ligatures w14:val="standardContextual"/>
              </w:rPr>
              <w:t>50</w:t>
            </w:r>
          </w:p>
        </w:tc>
        <w:tc>
          <w:tcPr>
            <w:tcW w:w="1729" w:type="pct"/>
            <w:tcBorders>
              <w:top w:val="single" w:sz="4" w:space="0" w:color="000000"/>
              <w:left w:val="single" w:sz="4" w:space="0" w:color="000000"/>
              <w:bottom w:val="single" w:sz="4" w:space="0" w:color="000000"/>
              <w:right w:val="single" w:sz="4" w:space="0" w:color="000000"/>
            </w:tcBorders>
            <w:hideMark/>
          </w:tcPr>
          <w:p w14:paraId="08DBCC3E"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1,02 (0,79; 1,32)</w:t>
            </w:r>
          </w:p>
        </w:tc>
        <w:tc>
          <w:tcPr>
            <w:tcW w:w="1729" w:type="pct"/>
            <w:tcBorders>
              <w:top w:val="single" w:sz="4" w:space="0" w:color="000000"/>
              <w:left w:val="single" w:sz="4" w:space="0" w:color="000000"/>
              <w:bottom w:val="single" w:sz="4" w:space="0" w:color="000000"/>
              <w:right w:val="single" w:sz="4" w:space="0" w:color="000000"/>
            </w:tcBorders>
            <w:hideMark/>
          </w:tcPr>
          <w:p w14:paraId="73372323"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0,94 (0,73; 1,22)</w:t>
            </w:r>
          </w:p>
        </w:tc>
      </w:tr>
      <w:tr w:rsidR="00A76826" w:rsidRPr="004714C6" w14:paraId="2B38A955"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6DD86D88" w14:textId="77777777" w:rsidR="00A76826" w:rsidRPr="004714C6" w:rsidRDefault="00A76826" w:rsidP="00FB1973">
            <w:pPr>
              <w:widowControl w:val="0"/>
              <w:autoSpaceDE w:val="0"/>
              <w:autoSpaceDN w:val="0"/>
              <w:adjustRightInd w:val="0"/>
              <w:ind w:left="781" w:right="-20"/>
              <w:rPr>
                <w:kern w:val="2"/>
                <w:sz w:val="24"/>
                <w:szCs w:val="24"/>
                <w14:ligatures w14:val="standardContextual"/>
              </w:rPr>
            </w:pPr>
            <w:r w:rsidRPr="004714C6">
              <w:rPr>
                <w:kern w:val="2"/>
                <w:sz w:val="24"/>
                <w:szCs w:val="24"/>
                <w14:ligatures w14:val="standardContextual"/>
              </w:rPr>
              <w:t>50 ≤ og &lt; </w:t>
            </w:r>
            <w:r w:rsidRPr="004714C6">
              <w:rPr>
                <w:spacing w:val="-2"/>
                <w:kern w:val="2"/>
                <w:sz w:val="24"/>
                <w:szCs w:val="24"/>
                <w14:ligatures w14:val="standardContextual"/>
              </w:rPr>
              <w:t>80</w:t>
            </w:r>
          </w:p>
        </w:tc>
        <w:tc>
          <w:tcPr>
            <w:tcW w:w="1729" w:type="pct"/>
            <w:tcBorders>
              <w:top w:val="single" w:sz="4" w:space="0" w:color="000000"/>
              <w:left w:val="single" w:sz="4" w:space="0" w:color="000000"/>
              <w:bottom w:val="single" w:sz="4" w:space="0" w:color="000000"/>
              <w:right w:val="single" w:sz="4" w:space="0" w:color="000000"/>
            </w:tcBorders>
            <w:hideMark/>
          </w:tcPr>
          <w:p w14:paraId="22EEF657"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0,75 (0,61; 0,92)</w:t>
            </w:r>
          </w:p>
        </w:tc>
        <w:tc>
          <w:tcPr>
            <w:tcW w:w="1729" w:type="pct"/>
            <w:tcBorders>
              <w:top w:val="single" w:sz="4" w:space="0" w:color="000000"/>
              <w:left w:val="single" w:sz="4" w:space="0" w:color="000000"/>
              <w:bottom w:val="single" w:sz="4" w:space="0" w:color="000000"/>
              <w:right w:val="single" w:sz="4" w:space="0" w:color="000000"/>
            </w:tcBorders>
            <w:hideMark/>
          </w:tcPr>
          <w:p w14:paraId="446D2BDD"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0,90 (0,74; 1,09)</w:t>
            </w:r>
          </w:p>
        </w:tc>
      </w:tr>
      <w:tr w:rsidR="00A76826" w:rsidRPr="004714C6" w14:paraId="6D01FE7D"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37C4F8DF" w14:textId="77777777" w:rsidR="00A76826" w:rsidRPr="004714C6" w:rsidRDefault="00A76826" w:rsidP="00FB1973">
            <w:pPr>
              <w:widowControl w:val="0"/>
              <w:autoSpaceDE w:val="0"/>
              <w:autoSpaceDN w:val="0"/>
              <w:adjustRightInd w:val="0"/>
              <w:ind w:left="1158" w:right="1138"/>
              <w:rPr>
                <w:kern w:val="2"/>
                <w:sz w:val="24"/>
                <w:szCs w:val="24"/>
                <w14:ligatures w14:val="standardContextual"/>
              </w:rPr>
            </w:pPr>
            <w:r w:rsidRPr="004714C6">
              <w:rPr>
                <w:kern w:val="2"/>
                <w:sz w:val="24"/>
                <w:szCs w:val="24"/>
                <w14:ligatures w14:val="standardContextual"/>
              </w:rPr>
              <w:t>≥ 80</w:t>
            </w:r>
          </w:p>
        </w:tc>
        <w:tc>
          <w:tcPr>
            <w:tcW w:w="1729" w:type="pct"/>
            <w:tcBorders>
              <w:top w:val="single" w:sz="4" w:space="0" w:color="000000"/>
              <w:left w:val="single" w:sz="4" w:space="0" w:color="000000"/>
              <w:bottom w:val="single" w:sz="4" w:space="0" w:color="000000"/>
              <w:right w:val="single" w:sz="4" w:space="0" w:color="000000"/>
            </w:tcBorders>
            <w:hideMark/>
          </w:tcPr>
          <w:p w14:paraId="1A8C586F"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0,59 (0,43; 0,82)</w:t>
            </w:r>
          </w:p>
        </w:tc>
        <w:tc>
          <w:tcPr>
            <w:tcW w:w="1729" w:type="pct"/>
            <w:tcBorders>
              <w:top w:val="single" w:sz="4" w:space="0" w:color="000000"/>
              <w:left w:val="single" w:sz="4" w:space="0" w:color="000000"/>
              <w:bottom w:val="single" w:sz="4" w:space="0" w:color="000000"/>
              <w:right w:val="single" w:sz="4" w:space="0" w:color="000000"/>
            </w:tcBorders>
            <w:hideMark/>
          </w:tcPr>
          <w:p w14:paraId="15295080"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 xml:space="preserve">0,87 </w:t>
            </w:r>
            <w:r w:rsidRPr="004714C6">
              <w:rPr>
                <w:spacing w:val="1"/>
                <w:kern w:val="2"/>
                <w:sz w:val="24"/>
                <w:szCs w:val="24"/>
                <w14:ligatures w14:val="standardContextual"/>
              </w:rPr>
              <w:t>(</w:t>
            </w:r>
            <w:r w:rsidRPr="004714C6">
              <w:rPr>
                <w:kern w:val="2"/>
                <w:sz w:val="24"/>
                <w:szCs w:val="24"/>
                <w14:ligatures w14:val="standardContextual"/>
              </w:rPr>
              <w:t>0,65; 1,17)</w:t>
            </w:r>
          </w:p>
        </w:tc>
      </w:tr>
      <w:tr w:rsidR="00A76826" w:rsidRPr="004714C6" w14:paraId="54B965C7"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008CDFE6" w14:textId="77777777" w:rsidR="00A76826" w:rsidRPr="004714C6" w:rsidRDefault="00A76826" w:rsidP="00FB1973">
            <w:pPr>
              <w:pStyle w:val="TableParagraph"/>
              <w:spacing w:line="240" w:lineRule="auto"/>
              <w:ind w:left="0"/>
              <w:jc w:val="center"/>
              <w:rPr>
                <w:spacing w:val="-3"/>
                <w:kern w:val="2"/>
                <w:sz w:val="24"/>
                <w:szCs w:val="24"/>
                <w:lang w:val="da-DK"/>
                <w14:ligatures w14:val="standardContextual"/>
              </w:rPr>
            </w:pPr>
            <w:r w:rsidRPr="004714C6">
              <w:rPr>
                <w:spacing w:val="-3"/>
                <w:kern w:val="2"/>
                <w:sz w:val="24"/>
                <w:szCs w:val="24"/>
                <w:lang w:val="da-DK"/>
                <w14:ligatures w14:val="standardContextual"/>
              </w:rPr>
              <w:t>Brug af ASA</w:t>
            </w:r>
          </w:p>
        </w:tc>
        <w:tc>
          <w:tcPr>
            <w:tcW w:w="1729" w:type="pct"/>
            <w:tcBorders>
              <w:top w:val="single" w:sz="4" w:space="0" w:color="000000"/>
              <w:left w:val="single" w:sz="4" w:space="0" w:color="000000"/>
              <w:bottom w:val="single" w:sz="4" w:space="0" w:color="000000"/>
              <w:right w:val="single" w:sz="4" w:space="0" w:color="000000"/>
            </w:tcBorders>
            <w:hideMark/>
          </w:tcPr>
          <w:p w14:paraId="37762FFB"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0,84 (0,69; 1,03)</w:t>
            </w:r>
          </w:p>
        </w:tc>
        <w:tc>
          <w:tcPr>
            <w:tcW w:w="1729" w:type="pct"/>
            <w:tcBorders>
              <w:top w:val="single" w:sz="4" w:space="0" w:color="000000"/>
              <w:left w:val="single" w:sz="4" w:space="0" w:color="000000"/>
              <w:bottom w:val="single" w:sz="4" w:space="0" w:color="000000"/>
              <w:right w:val="single" w:sz="4" w:space="0" w:color="000000"/>
            </w:tcBorders>
            <w:hideMark/>
          </w:tcPr>
          <w:p w14:paraId="4C1B7737"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0,97 (0,79; 1,18)</w:t>
            </w:r>
          </w:p>
        </w:tc>
      </w:tr>
      <w:tr w:rsidR="00A76826" w:rsidRPr="004714C6" w14:paraId="5C28427F" w14:textId="77777777" w:rsidTr="00FB1973">
        <w:trPr>
          <w:trHeight w:val="20"/>
        </w:trPr>
        <w:tc>
          <w:tcPr>
            <w:tcW w:w="1542" w:type="pct"/>
            <w:tcBorders>
              <w:top w:val="single" w:sz="4" w:space="0" w:color="000000"/>
              <w:left w:val="single" w:sz="4" w:space="0" w:color="000000"/>
              <w:bottom w:val="single" w:sz="4" w:space="0" w:color="000000"/>
              <w:right w:val="single" w:sz="4" w:space="0" w:color="000000"/>
            </w:tcBorders>
            <w:hideMark/>
          </w:tcPr>
          <w:p w14:paraId="6782533D" w14:textId="77777777" w:rsidR="00A76826" w:rsidRPr="004714C6" w:rsidRDefault="00A76826" w:rsidP="00FB1973">
            <w:pPr>
              <w:pStyle w:val="TableParagraph"/>
              <w:spacing w:line="240" w:lineRule="auto"/>
              <w:ind w:left="0"/>
              <w:jc w:val="center"/>
              <w:rPr>
                <w:spacing w:val="-3"/>
                <w:kern w:val="2"/>
                <w:sz w:val="24"/>
                <w:szCs w:val="24"/>
                <w:lang w:val="da-DK"/>
                <w14:ligatures w14:val="standardContextual"/>
              </w:rPr>
            </w:pPr>
            <w:r w:rsidRPr="004714C6">
              <w:rPr>
                <w:spacing w:val="-3"/>
                <w:kern w:val="2"/>
                <w:sz w:val="24"/>
                <w:szCs w:val="24"/>
                <w:lang w:val="da-DK"/>
                <w14:ligatures w14:val="standardContextual"/>
              </w:rPr>
              <w:t>Brug af clopidogrel</w:t>
            </w:r>
          </w:p>
        </w:tc>
        <w:tc>
          <w:tcPr>
            <w:tcW w:w="1729" w:type="pct"/>
            <w:tcBorders>
              <w:top w:val="single" w:sz="4" w:space="0" w:color="000000"/>
              <w:left w:val="single" w:sz="4" w:space="0" w:color="000000"/>
              <w:bottom w:val="single" w:sz="4" w:space="0" w:color="000000"/>
              <w:right w:val="single" w:sz="4" w:space="0" w:color="000000"/>
            </w:tcBorders>
            <w:hideMark/>
          </w:tcPr>
          <w:p w14:paraId="0DC04419"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0,89 (0,55; 1,45)</w:t>
            </w:r>
          </w:p>
        </w:tc>
        <w:tc>
          <w:tcPr>
            <w:tcW w:w="1729" w:type="pct"/>
            <w:tcBorders>
              <w:top w:val="single" w:sz="4" w:space="0" w:color="000000"/>
              <w:left w:val="single" w:sz="4" w:space="0" w:color="000000"/>
              <w:bottom w:val="single" w:sz="4" w:space="0" w:color="000000"/>
              <w:right w:val="single" w:sz="4" w:space="0" w:color="000000"/>
            </w:tcBorders>
            <w:hideMark/>
          </w:tcPr>
          <w:p w14:paraId="24012D01" w14:textId="77777777" w:rsidR="00A76826" w:rsidRPr="004714C6" w:rsidRDefault="00A76826" w:rsidP="00FB1973">
            <w:pPr>
              <w:widowControl w:val="0"/>
              <w:autoSpaceDE w:val="0"/>
              <w:autoSpaceDN w:val="0"/>
              <w:adjustRightInd w:val="0"/>
              <w:ind w:left="829" w:right="-20"/>
              <w:rPr>
                <w:kern w:val="2"/>
                <w:sz w:val="24"/>
                <w:szCs w:val="24"/>
                <w14:ligatures w14:val="standardContextual"/>
              </w:rPr>
            </w:pPr>
            <w:r w:rsidRPr="004714C6">
              <w:rPr>
                <w:kern w:val="2"/>
                <w:sz w:val="24"/>
                <w:szCs w:val="24"/>
                <w14:ligatures w14:val="standardContextual"/>
              </w:rPr>
              <w:t>0,92 (0,57; 1,48)</w:t>
            </w:r>
          </w:p>
        </w:tc>
      </w:tr>
      <w:bookmarkEnd w:id="8"/>
    </w:tbl>
    <w:p w14:paraId="0F8BF8C0" w14:textId="77777777" w:rsidR="00A76826" w:rsidRPr="004714C6" w:rsidRDefault="00A76826" w:rsidP="00FB1973">
      <w:pPr>
        <w:ind w:left="851"/>
        <w:rPr>
          <w:sz w:val="24"/>
          <w:szCs w:val="24"/>
        </w:rPr>
      </w:pPr>
    </w:p>
    <w:p w14:paraId="07D2A5D6" w14:textId="77777777" w:rsidR="00A76826" w:rsidRPr="004714C6" w:rsidRDefault="00A76826" w:rsidP="00FB1973">
      <w:pPr>
        <w:ind w:left="851"/>
        <w:rPr>
          <w:i/>
          <w:iCs/>
          <w:sz w:val="24"/>
          <w:szCs w:val="24"/>
        </w:rPr>
      </w:pPr>
      <w:r w:rsidRPr="004714C6">
        <w:rPr>
          <w:i/>
          <w:iCs/>
          <w:sz w:val="24"/>
          <w:szCs w:val="24"/>
        </w:rPr>
        <w:t>RELY-ABLE (langtids</w:t>
      </w:r>
      <w:r w:rsidRPr="004714C6">
        <w:rPr>
          <w:i/>
          <w:iCs/>
          <w:sz w:val="24"/>
          <w:szCs w:val="24"/>
        </w:rPr>
        <w:noBreakHyphen/>
        <w:t>multicenterstudie med fortsat dabigatranbehandling for patienter med atrieflimren, som havde fuldført RE-LY-studiet)</w:t>
      </w:r>
    </w:p>
    <w:p w14:paraId="3730AC2E" w14:textId="77777777" w:rsidR="00A76826" w:rsidRPr="004714C6" w:rsidRDefault="00A76826" w:rsidP="00FB1973">
      <w:pPr>
        <w:ind w:left="851"/>
        <w:rPr>
          <w:sz w:val="24"/>
          <w:szCs w:val="24"/>
        </w:rPr>
      </w:pPr>
    </w:p>
    <w:p w14:paraId="614A2558" w14:textId="77777777" w:rsidR="00A76826" w:rsidRPr="004714C6" w:rsidRDefault="00A76826" w:rsidP="00FB1973">
      <w:pPr>
        <w:ind w:left="851"/>
        <w:rPr>
          <w:sz w:val="24"/>
          <w:szCs w:val="24"/>
        </w:rPr>
      </w:pPr>
      <w:r w:rsidRPr="004714C6">
        <w:rPr>
          <w:sz w:val="24"/>
          <w:szCs w:val="24"/>
        </w:rPr>
        <w:t>Opfølgningsstudiet for RE-LY (RELY-ABLE) indsamlede yderligere sikkerhedsoplysninger fra en gruppe patienter i fortsat behandling med samme dosis dabigatranetexilat som i RE-LY-studiet. Patienter kunne inkluderes i RELY-ABLE, hvis de ikke havde afbrudt studielægemidlet permanent efter sidste RE</w:t>
      </w:r>
      <w:r w:rsidRPr="004714C6">
        <w:rPr>
          <w:sz w:val="24"/>
          <w:szCs w:val="24"/>
        </w:rPr>
        <w:noBreakHyphen/>
        <w:t>LY</w:t>
      </w:r>
      <w:r w:rsidRPr="004714C6">
        <w:rPr>
          <w:sz w:val="24"/>
          <w:szCs w:val="24"/>
        </w:rPr>
        <w:noBreakHyphen/>
        <w:t>besøg. De inkluderede patienter fortsatte med samme dobbeltblindede dabigatranetexilatdosis, som de blev randomiseret til i RE-LY, i op til 43 måneder efter RE-LY (samlet gennemsnitlig opfølgning RE</w:t>
      </w:r>
      <w:r w:rsidRPr="004714C6">
        <w:rPr>
          <w:sz w:val="24"/>
          <w:szCs w:val="24"/>
        </w:rPr>
        <w:noBreakHyphen/>
        <w:t>LY + RELY-ABLE var 4,5 år). 5.897 patienter blev inkluderet, svarende til 49 % af de patienter, der oprindeligt blev randomiseret til at få dabigatranetexilat i RE-LY og til 86 % af de RELY</w:t>
      </w:r>
      <w:r w:rsidRPr="004714C6">
        <w:rPr>
          <w:sz w:val="24"/>
          <w:szCs w:val="24"/>
        </w:rPr>
        <w:noBreakHyphen/>
        <w:t>ABLE-inkluderbare patienter.</w:t>
      </w:r>
    </w:p>
    <w:p w14:paraId="7487897E" w14:textId="77777777" w:rsidR="00A76826" w:rsidRPr="004714C6" w:rsidRDefault="00A76826" w:rsidP="00FB1973">
      <w:pPr>
        <w:ind w:left="851"/>
        <w:rPr>
          <w:sz w:val="24"/>
          <w:szCs w:val="24"/>
        </w:rPr>
      </w:pPr>
      <w:r w:rsidRPr="004714C6">
        <w:rPr>
          <w:sz w:val="24"/>
          <w:szCs w:val="24"/>
        </w:rPr>
        <w:t>Gennem de yderligere 2,5 års behandling i RELY-ABLE, med en maksimal eksponering på over 6 år (total eksponering i RELY + RELY-ABLE) bekræftedes langtids-sikkerhedsprofilen for dabigatranetexilat for begge studiedoser, hhv. 110 mg 2 gange dagligt og 150 mg 2 gange dagligt. Der blev ikke observeret nye sikkerhedsfund.</w:t>
      </w:r>
    </w:p>
    <w:p w14:paraId="0EB28F87" w14:textId="77777777" w:rsidR="00A76826" w:rsidRPr="004714C6" w:rsidRDefault="00A76826" w:rsidP="00FB1973">
      <w:pPr>
        <w:ind w:left="851"/>
        <w:rPr>
          <w:sz w:val="24"/>
          <w:szCs w:val="24"/>
        </w:rPr>
      </w:pPr>
      <w:r w:rsidRPr="004714C6">
        <w:rPr>
          <w:sz w:val="24"/>
          <w:szCs w:val="24"/>
        </w:rPr>
        <w:t>Hyppigheden af alvorlige blødninger og andre blødningstilfælde var i overensstemmelse med den, der blev set i RE-LY.</w:t>
      </w:r>
    </w:p>
    <w:p w14:paraId="7338DF1E" w14:textId="77777777" w:rsidR="00A76826" w:rsidRPr="004714C6" w:rsidRDefault="00A76826" w:rsidP="00FB1973">
      <w:pPr>
        <w:ind w:left="851"/>
        <w:rPr>
          <w:sz w:val="24"/>
          <w:szCs w:val="24"/>
        </w:rPr>
      </w:pPr>
    </w:p>
    <w:p w14:paraId="67D48120" w14:textId="77777777" w:rsidR="00A76826" w:rsidRPr="004714C6" w:rsidRDefault="00A76826" w:rsidP="00FB1973">
      <w:pPr>
        <w:ind w:left="851"/>
        <w:rPr>
          <w:i/>
          <w:iCs/>
          <w:sz w:val="24"/>
          <w:szCs w:val="24"/>
        </w:rPr>
      </w:pPr>
      <w:r w:rsidRPr="004714C6">
        <w:rPr>
          <w:i/>
          <w:iCs/>
          <w:sz w:val="24"/>
          <w:szCs w:val="24"/>
        </w:rPr>
        <w:t>Data fra non-interventionsstudier</w:t>
      </w:r>
    </w:p>
    <w:p w14:paraId="5E6A92F2" w14:textId="77777777" w:rsidR="00A76826" w:rsidRPr="004714C6" w:rsidRDefault="00A76826" w:rsidP="00FB1973">
      <w:pPr>
        <w:ind w:left="851"/>
        <w:rPr>
          <w:sz w:val="24"/>
          <w:szCs w:val="24"/>
        </w:rPr>
      </w:pPr>
    </w:p>
    <w:p w14:paraId="39944474" w14:textId="77777777" w:rsidR="00A76826" w:rsidRPr="004714C6" w:rsidRDefault="00A76826" w:rsidP="00FB1973">
      <w:pPr>
        <w:ind w:left="851"/>
        <w:rPr>
          <w:sz w:val="24"/>
          <w:szCs w:val="24"/>
        </w:rPr>
      </w:pPr>
      <w:r w:rsidRPr="004714C6">
        <w:rPr>
          <w:sz w:val="24"/>
          <w:szCs w:val="24"/>
        </w:rPr>
        <w:t>Under anden fase af et non-interventionsstudie (GLORIA-AF) blev der prospektivt indsamlet data for sikkerhed og virkning hos nydiagnosticerede NVAF-patienter på dabigatranetexilat i daglig klinisk praksis. Studiet omfattede 4.859 patienter på dabigatranetexilat (55 % behandlet med 150 mg 2 gange dagligt, 43 % behandlet med 110 mg 2 gange dagligt, 2 % behandlet med 75 mg 2 gange dagligt). Patienterne blev fulgt i 2 år. Gennemsnitlige CHADS</w:t>
      </w:r>
      <w:r w:rsidRPr="004714C6">
        <w:rPr>
          <w:sz w:val="24"/>
          <w:szCs w:val="24"/>
          <w:vertAlign w:val="subscript"/>
        </w:rPr>
        <w:t>2</w:t>
      </w:r>
      <w:r w:rsidRPr="004714C6">
        <w:rPr>
          <w:sz w:val="24"/>
          <w:szCs w:val="24"/>
        </w:rPr>
        <w:noBreakHyphen/>
        <w:t xml:space="preserve"> og HAS-BLED</w:t>
      </w:r>
      <w:r w:rsidRPr="004714C6">
        <w:rPr>
          <w:sz w:val="24"/>
          <w:szCs w:val="24"/>
        </w:rPr>
        <w:noBreakHyphen/>
        <w:t>scorer var hhv. 1,9 og 1,2. Gennemsnitlig opfølgningstid for behandlingen var 18,3 måneder. Alvorlige blødningstilfælde opstod hos 0,97 pr. 100 patientår. Livstruende blødning blev rapporteret hos 0,46 pr. 100 patientår, intrakraniel blødning hos 0,17 pr. 100 patientår og gastrointestinal blødning hos 0,60 pr. 100 patientår. Apopleksi opstod hos 0,65 pr. 100 patientår.</w:t>
      </w:r>
    </w:p>
    <w:p w14:paraId="0812D742" w14:textId="77777777" w:rsidR="00A76826" w:rsidRPr="004714C6" w:rsidRDefault="00A76826" w:rsidP="00FB1973">
      <w:pPr>
        <w:ind w:left="851"/>
        <w:rPr>
          <w:sz w:val="24"/>
          <w:szCs w:val="24"/>
        </w:rPr>
      </w:pPr>
    </w:p>
    <w:p w14:paraId="55D8AC88" w14:textId="7B77B94F" w:rsidR="00A76826" w:rsidRPr="004714C6" w:rsidRDefault="00A76826" w:rsidP="00FB1973">
      <w:pPr>
        <w:ind w:left="851"/>
        <w:rPr>
          <w:sz w:val="24"/>
          <w:szCs w:val="24"/>
        </w:rPr>
      </w:pPr>
      <w:r w:rsidRPr="004714C6">
        <w:rPr>
          <w:sz w:val="24"/>
          <w:szCs w:val="24"/>
        </w:rPr>
        <w:t>Ydermere, i et non-interventionsstudie [Graham DJ et al, Circulation. 2015;131:157-164] hos over 134.000 ældre patienter med NVAF i USA (der bidrager med behandlings</w:t>
      </w:r>
      <w:r w:rsidR="003E2658" w:rsidRPr="004714C6">
        <w:rPr>
          <w:sz w:val="24"/>
          <w:szCs w:val="24"/>
        </w:rPr>
        <w:softHyphen/>
      </w:r>
      <w:r w:rsidRPr="004714C6">
        <w:rPr>
          <w:sz w:val="24"/>
          <w:szCs w:val="24"/>
        </w:rPr>
        <w:t>opfølgningstid på over 37.500 patientår), var dabigatranetexilat (84 % patienter behandlet med 150 mg 2 gange dagligt, 16 % patienter behandlet med 75 mg 2 gange dagligt) forbundet med en nedsat risiko for iskæmisk apopleksi (</w:t>
      </w:r>
      <w:r w:rsidRPr="004714C6">
        <w:rPr>
          <w:i/>
          <w:iCs/>
          <w:sz w:val="24"/>
          <w:szCs w:val="24"/>
        </w:rPr>
        <w:t>hazard ratio</w:t>
      </w:r>
      <w:r w:rsidRPr="004714C6">
        <w:rPr>
          <w:sz w:val="24"/>
          <w:szCs w:val="24"/>
        </w:rPr>
        <w:t xml:space="preserve"> 0,80; 95 % konfidensinterval [CI] 0,67</w:t>
      </w:r>
      <w:r w:rsidRPr="004714C6">
        <w:rPr>
          <w:sz w:val="24"/>
          <w:szCs w:val="24"/>
        </w:rPr>
        <w:noBreakHyphen/>
        <w:t>0,96), intrakraniel blødning (</w:t>
      </w:r>
      <w:r w:rsidRPr="004714C6">
        <w:rPr>
          <w:i/>
          <w:iCs/>
          <w:sz w:val="24"/>
          <w:szCs w:val="24"/>
        </w:rPr>
        <w:t>hazard ratio</w:t>
      </w:r>
      <w:r w:rsidRPr="004714C6">
        <w:rPr>
          <w:sz w:val="24"/>
          <w:szCs w:val="24"/>
        </w:rPr>
        <w:t xml:space="preserve"> 0,34; CI 0,26</w:t>
      </w:r>
      <w:r w:rsidRPr="004714C6">
        <w:rPr>
          <w:sz w:val="24"/>
          <w:szCs w:val="24"/>
        </w:rPr>
        <w:noBreakHyphen/>
        <w:t>0,46), og mortalitet (</w:t>
      </w:r>
      <w:r w:rsidRPr="004714C6">
        <w:rPr>
          <w:i/>
          <w:iCs/>
          <w:sz w:val="24"/>
          <w:szCs w:val="24"/>
        </w:rPr>
        <w:t>hazard ratio</w:t>
      </w:r>
      <w:r w:rsidRPr="004714C6">
        <w:rPr>
          <w:sz w:val="24"/>
          <w:szCs w:val="24"/>
        </w:rPr>
        <w:t xml:space="preserve"> 0,86; CI 0,77</w:t>
      </w:r>
      <w:r w:rsidRPr="004714C6">
        <w:rPr>
          <w:sz w:val="24"/>
          <w:szCs w:val="24"/>
        </w:rPr>
        <w:noBreakHyphen/>
        <w:t>0,96) og en øget risiko for gastrointestinal blødning (</w:t>
      </w:r>
      <w:r w:rsidRPr="004714C6">
        <w:rPr>
          <w:i/>
          <w:iCs/>
          <w:sz w:val="24"/>
          <w:szCs w:val="24"/>
        </w:rPr>
        <w:t>hazard ratio</w:t>
      </w:r>
      <w:r w:rsidRPr="004714C6">
        <w:rPr>
          <w:sz w:val="24"/>
          <w:szCs w:val="24"/>
        </w:rPr>
        <w:t> 1,28; CI 1,14</w:t>
      </w:r>
      <w:r w:rsidRPr="004714C6">
        <w:rPr>
          <w:sz w:val="24"/>
          <w:szCs w:val="24"/>
        </w:rPr>
        <w:noBreakHyphen/>
        <w:t>1,44) sammenlignet med warfarin. Der blev ikke fundet nogen forskel for alvorlig blødning (</w:t>
      </w:r>
      <w:r w:rsidRPr="004714C6">
        <w:rPr>
          <w:i/>
          <w:iCs/>
          <w:sz w:val="24"/>
          <w:szCs w:val="24"/>
        </w:rPr>
        <w:t>hazard ratio</w:t>
      </w:r>
      <w:r w:rsidRPr="004714C6">
        <w:rPr>
          <w:sz w:val="24"/>
          <w:szCs w:val="24"/>
        </w:rPr>
        <w:t> 0,97; CI 0,88</w:t>
      </w:r>
      <w:r w:rsidRPr="004714C6">
        <w:rPr>
          <w:sz w:val="24"/>
          <w:szCs w:val="24"/>
        </w:rPr>
        <w:noBreakHyphen/>
        <w:t>1,07).</w:t>
      </w:r>
    </w:p>
    <w:p w14:paraId="745FC807" w14:textId="77777777" w:rsidR="00A76826" w:rsidRPr="004714C6" w:rsidRDefault="00A76826" w:rsidP="00FB1973">
      <w:pPr>
        <w:ind w:left="851"/>
        <w:rPr>
          <w:sz w:val="24"/>
          <w:szCs w:val="24"/>
        </w:rPr>
      </w:pPr>
    </w:p>
    <w:p w14:paraId="1989A098" w14:textId="77777777" w:rsidR="00A76826" w:rsidRPr="004714C6" w:rsidRDefault="00A76826" w:rsidP="00FB1973">
      <w:pPr>
        <w:ind w:left="851"/>
        <w:rPr>
          <w:sz w:val="24"/>
          <w:szCs w:val="24"/>
        </w:rPr>
      </w:pPr>
      <w:r w:rsidRPr="004714C6">
        <w:rPr>
          <w:sz w:val="24"/>
          <w:szCs w:val="24"/>
        </w:rPr>
        <w:t>Disse observationer fra daglig klinisk praksis er i overensstemmelse med de etablerede profiler for sikkerhed og virkning for dabigatranetexilat i RE-LY-studiet for denne indikation.</w:t>
      </w:r>
    </w:p>
    <w:p w14:paraId="4FE297FF" w14:textId="77777777" w:rsidR="00A76826" w:rsidRPr="004714C6" w:rsidRDefault="00A76826" w:rsidP="00FB1973">
      <w:pPr>
        <w:ind w:left="851"/>
        <w:rPr>
          <w:sz w:val="24"/>
          <w:szCs w:val="24"/>
        </w:rPr>
      </w:pPr>
    </w:p>
    <w:p w14:paraId="42EDF4FE" w14:textId="77777777" w:rsidR="00A76826" w:rsidRPr="004714C6" w:rsidRDefault="00A76826" w:rsidP="00FB1973">
      <w:pPr>
        <w:ind w:left="851"/>
        <w:rPr>
          <w:i/>
          <w:iCs/>
          <w:sz w:val="24"/>
          <w:szCs w:val="24"/>
        </w:rPr>
      </w:pPr>
      <w:r w:rsidRPr="004714C6">
        <w:rPr>
          <w:i/>
          <w:iCs/>
          <w:sz w:val="24"/>
          <w:szCs w:val="24"/>
        </w:rPr>
        <w:t>Patienter, som gennemgik perkutan koronar intervention (PCI) med stenting</w:t>
      </w:r>
    </w:p>
    <w:p w14:paraId="3DDC8891" w14:textId="77777777" w:rsidR="00A76826" w:rsidRPr="004714C6" w:rsidRDefault="00A76826" w:rsidP="00FB1973">
      <w:pPr>
        <w:ind w:left="851"/>
        <w:rPr>
          <w:sz w:val="24"/>
          <w:szCs w:val="24"/>
        </w:rPr>
      </w:pPr>
    </w:p>
    <w:p w14:paraId="507009C7" w14:textId="77777777" w:rsidR="00A76826" w:rsidRPr="004714C6" w:rsidRDefault="00A76826" w:rsidP="00FB1973">
      <w:pPr>
        <w:ind w:left="851"/>
        <w:rPr>
          <w:sz w:val="24"/>
          <w:szCs w:val="24"/>
        </w:rPr>
      </w:pPr>
      <w:r w:rsidRPr="004714C6">
        <w:rPr>
          <w:sz w:val="24"/>
          <w:szCs w:val="24"/>
        </w:rPr>
        <w:t xml:space="preserve">Et prospektivt, randomiseret, </w:t>
      </w:r>
      <w:r w:rsidRPr="004714C6">
        <w:rPr>
          <w:i/>
          <w:iCs/>
          <w:sz w:val="24"/>
          <w:szCs w:val="24"/>
        </w:rPr>
        <w:t>open-label</w:t>
      </w:r>
      <w:r w:rsidRPr="004714C6">
        <w:rPr>
          <w:sz w:val="24"/>
          <w:szCs w:val="24"/>
        </w:rPr>
        <w:t xml:space="preserve"> studie (fase IIIb) med blindet endepunkt (PROBE) til evaluering af dobbeltterapi med dabigatranetexilat (110 mg eller 150 mg 2 gange dagligt) plus clopidogrel eller ticagrelor (P2Y12-antagonist) </w:t>
      </w:r>
      <w:r w:rsidRPr="004714C6">
        <w:rPr>
          <w:i/>
          <w:iCs/>
          <w:sz w:val="24"/>
          <w:szCs w:val="24"/>
        </w:rPr>
        <w:t>vs.</w:t>
      </w:r>
      <w:r w:rsidRPr="004714C6">
        <w:rPr>
          <w:sz w:val="24"/>
          <w:szCs w:val="24"/>
        </w:rPr>
        <w:t xml:space="preserve"> tripelterapi med warfarin (justeret til INR 2,0</w:t>
      </w:r>
      <w:r w:rsidRPr="004714C6">
        <w:rPr>
          <w:sz w:val="24"/>
          <w:szCs w:val="24"/>
        </w:rPr>
        <w:noBreakHyphen/>
        <w:t>3,0) plus clopidogrel eller ticagrelor og ASA, blev udført hos 2.725 patienter med non-valvulær atrieflimren, der gennemgik PCI med stenting (RE-DUAL PCI). Patienterne blev randomiseret til dabigatranetexilat 110 mg 2 gange dagligt dobbeltterapi, dabigatranetexilat 150 mg 2 gange dagligt dobbeltterapi eller warfarin tripelterapi. Ældre patienter uden for USA (≥ 80 år i alle lande, ≥ 70 år i Japan) blev randomiseret til gruppen med dabigatranetexilat 110 mg dobbeltterapi eller til gruppen med warfarin tripelterapi. Det primære endepunkt var et kombineret endepunkt med alvorlige blødninger, baseret på ISTH-definitionen, eller klinisk relevante ikke</w:t>
      </w:r>
      <w:r w:rsidRPr="004714C6">
        <w:rPr>
          <w:sz w:val="24"/>
          <w:szCs w:val="24"/>
        </w:rPr>
        <w:noBreakHyphen/>
        <w:t>alvorlige blødningstilfælde.</w:t>
      </w:r>
    </w:p>
    <w:p w14:paraId="7533EEBB" w14:textId="77777777" w:rsidR="00A76826" w:rsidRPr="004714C6" w:rsidRDefault="00A76826" w:rsidP="00FB1973">
      <w:pPr>
        <w:ind w:left="851"/>
        <w:rPr>
          <w:sz w:val="24"/>
          <w:szCs w:val="24"/>
        </w:rPr>
      </w:pPr>
    </w:p>
    <w:p w14:paraId="645A7B29" w14:textId="77777777" w:rsidR="00A76826" w:rsidRPr="004714C6" w:rsidRDefault="00A76826" w:rsidP="00FB1973">
      <w:pPr>
        <w:ind w:left="851"/>
        <w:rPr>
          <w:sz w:val="24"/>
          <w:szCs w:val="24"/>
        </w:rPr>
      </w:pPr>
      <w:r w:rsidRPr="004714C6">
        <w:rPr>
          <w:sz w:val="24"/>
          <w:szCs w:val="24"/>
        </w:rPr>
        <w:t xml:space="preserve">Forekomsten af det primære endepunkt var 15,4 % (151 patienter) i gruppen med dabigatranetexilat 110 mg dobbeltterapi, sammenlignet med 26,9 % (264 patienter) i gruppen med warfarin tripelterapi (HR 0,52; 95 % CI 0,42; 0,63; p &lt; 0,0001 for non-inferioritet og p &lt; 0,0001 for superioritet) og 20,2 % (154 patienter) i gruppen med dabigatranetexilat 150 mg dobbeltterapi, sammenlignet med 25,7 % (196 patienter) i den tilsvarende gruppe med warfarin tripelterapi (HR 0,72; 95 % CI 0,58; 0,88; p &lt; 0,0001 for non-inferioritet og p = 0,002 for superioritet). Som en del af den beskrivende analyse var TIMI (trombolyse ved myokardieinfarkt) alvorlige blødningstilfælde lavere i begge grupper med dabigatranetexilat dobbeltterapi, end i gruppen med warfarin tripelterapi: 14 hændelser (1,4 %) i gruppen med dabigatranetexilat 110 mg dobbeltterapi, sammenlignet med 37 hændelser (3,8 %) i gruppen med warfarin tripelterapi (HR 0,37; 95 % CI 0,20; 0,68; p = 0,002) og 16 hændelser (2,1 %) i gruppen med dabigatranetexilat 150 mg dobbeltterapi, sammenlignet med 30 hændelser (3,9 %) i den tilsvarende gruppe med warfarin tripelterapi (HR 0,51; 95 % CI 0,28; 0,93; p = 0,03). Begge grupper med dabigatranetexilat dobbeltterapi havde lavere hyppigheder af intrakraniel blødning end den tilsvarende gruppe med warfarin tripelterapi: 3 hændelser (0,3 %) i gruppen med 110 mg dabigatranetexilat dobbeltterapi, sammenlignet med 10 hændelser (1,0 %) i gruppen med warfarin tripelterapi (HR 0,30; 95% CI 0,08; 1,07; p = 0,06) og 1 hændelse (0,1 %) i gruppen med 150 mg dabigatranetexilat dobbeltterapi, sammenlignet med 8 hændelser (1,0%) i den tilsvarende gruppe med warfarin tripelterapi (HR 0,12; 95 % CI 0,02; 0,98; p = 0,047). Forekomsten af det sammensatte endepunkt af død, tromboemboliske hændelser (myokardieinfarkt, apopleksi eller systemisk emboli) eller ikke planlagt revaskularisering i de to kombinerede grupper med dabigatranetexilat dobbeltterapi var non-inferior til gruppen med warfarin tripelterapi (hhv. 13.7 % </w:t>
      </w:r>
      <w:r w:rsidRPr="004714C6">
        <w:rPr>
          <w:i/>
          <w:iCs/>
          <w:sz w:val="24"/>
          <w:szCs w:val="24"/>
        </w:rPr>
        <w:t>vs.</w:t>
      </w:r>
      <w:r w:rsidRPr="004714C6">
        <w:rPr>
          <w:sz w:val="24"/>
          <w:szCs w:val="24"/>
        </w:rPr>
        <w:t xml:space="preserve"> 13,4 %; HR 1,04; 95 % CI: 0,84; 1,29; p = 0,0047 for non-inferioritet). Der var ingen statistiske forskelle i de individuelle komponenter af endepunkterne for virkning, hverken mellem grupperne med dabigatranetexilat dobbeltterapi eller med warfarin tripelterapi.</w:t>
      </w:r>
    </w:p>
    <w:p w14:paraId="7E33BE37" w14:textId="77777777" w:rsidR="00A76826" w:rsidRPr="004714C6" w:rsidRDefault="00A76826" w:rsidP="00FB1973">
      <w:pPr>
        <w:ind w:left="851"/>
        <w:rPr>
          <w:sz w:val="24"/>
          <w:szCs w:val="24"/>
        </w:rPr>
      </w:pPr>
    </w:p>
    <w:p w14:paraId="22153A85" w14:textId="77777777" w:rsidR="00A76826" w:rsidRPr="004714C6" w:rsidRDefault="00A76826" w:rsidP="00FB1973">
      <w:pPr>
        <w:ind w:left="851"/>
        <w:rPr>
          <w:sz w:val="24"/>
          <w:szCs w:val="24"/>
        </w:rPr>
      </w:pPr>
      <w:r w:rsidRPr="004714C6">
        <w:rPr>
          <w:sz w:val="24"/>
          <w:szCs w:val="24"/>
        </w:rPr>
        <w:t>Dette studie viste, at dobbeltterapi med dabigatranetexilat og en P2Y12</w:t>
      </w:r>
      <w:r w:rsidRPr="004714C6">
        <w:rPr>
          <w:sz w:val="24"/>
          <w:szCs w:val="24"/>
        </w:rPr>
        <w:noBreakHyphen/>
        <w:t xml:space="preserve">antagonist reducerede blødningsrisikoen signifikant </w:t>
      </w:r>
      <w:r w:rsidRPr="004714C6">
        <w:rPr>
          <w:i/>
          <w:iCs/>
          <w:sz w:val="24"/>
          <w:szCs w:val="24"/>
        </w:rPr>
        <w:t>vs.</w:t>
      </w:r>
      <w:r w:rsidRPr="004714C6">
        <w:rPr>
          <w:sz w:val="24"/>
          <w:szCs w:val="24"/>
        </w:rPr>
        <w:t xml:space="preserve"> warfarin tripelterapi, med non-inferioritet for de samlede tromboemboliske hændelser, hos patienter med atrieflimren, der gennemgik PCI med stenting.</w:t>
      </w:r>
    </w:p>
    <w:p w14:paraId="2372C195" w14:textId="77777777" w:rsidR="00A76826" w:rsidRPr="004714C6" w:rsidRDefault="00A76826" w:rsidP="00FB1973">
      <w:pPr>
        <w:ind w:left="851"/>
        <w:rPr>
          <w:sz w:val="24"/>
          <w:szCs w:val="24"/>
        </w:rPr>
      </w:pPr>
    </w:p>
    <w:p w14:paraId="04792CA0" w14:textId="77777777" w:rsidR="00A76826" w:rsidRPr="004714C6" w:rsidRDefault="00A76826" w:rsidP="00FB1973">
      <w:pPr>
        <w:ind w:left="851"/>
        <w:rPr>
          <w:i/>
          <w:iCs/>
          <w:sz w:val="24"/>
          <w:szCs w:val="24"/>
        </w:rPr>
      </w:pPr>
      <w:r w:rsidRPr="004714C6">
        <w:rPr>
          <w:i/>
          <w:iCs/>
          <w:sz w:val="24"/>
          <w:szCs w:val="24"/>
        </w:rPr>
        <w:t>Behandling af DVT og LE hos voksne (DVT/LE-behandling)</w:t>
      </w:r>
    </w:p>
    <w:p w14:paraId="37B1B225" w14:textId="77777777" w:rsidR="00A76826" w:rsidRPr="004714C6" w:rsidRDefault="00A76826" w:rsidP="00FB1973">
      <w:pPr>
        <w:ind w:left="851"/>
        <w:rPr>
          <w:sz w:val="24"/>
          <w:szCs w:val="24"/>
        </w:rPr>
      </w:pPr>
    </w:p>
    <w:p w14:paraId="370BFBE0" w14:textId="77777777" w:rsidR="00A76826" w:rsidRPr="004714C6" w:rsidRDefault="00A76826" w:rsidP="00FB1973">
      <w:pPr>
        <w:ind w:left="851"/>
        <w:rPr>
          <w:sz w:val="24"/>
          <w:szCs w:val="24"/>
        </w:rPr>
      </w:pPr>
      <w:r w:rsidRPr="004714C6">
        <w:rPr>
          <w:sz w:val="24"/>
          <w:szCs w:val="24"/>
        </w:rPr>
        <w:t>Virkning og sikkerhed hos patienter med akut DVT og/eller LE blev undersøgt i to multicenter, randomiserede, dobbeltblindede, parallelgruppe, duplikat</w:t>
      </w:r>
      <w:r w:rsidRPr="004714C6">
        <w:rPr>
          <w:sz w:val="24"/>
          <w:szCs w:val="24"/>
        </w:rPr>
        <w:noBreakHyphen/>
        <w:t>studier, RE-COVER og RE-COVER II. Disse studier sammenlignede dabigatranetexilat (150 mg 2 gange dagligt) med warfarin (behandlingsmål INR 2,0</w:t>
      </w:r>
      <w:r w:rsidRPr="004714C6">
        <w:rPr>
          <w:sz w:val="24"/>
          <w:szCs w:val="24"/>
        </w:rPr>
        <w:noBreakHyphen/>
        <w:t>3,0). Det primære mål var, om dabigatranetexilat var non-inferior i forhold til warfarin til reduktion af forekomsten af det sammensatte primære endepunkt, recidiverende symptomatisk DVT og/eller LE og relateret død inden for den 6 måneder lange behandlingsperiode.</w:t>
      </w:r>
    </w:p>
    <w:p w14:paraId="61CA9052" w14:textId="77777777" w:rsidR="00A76826" w:rsidRPr="004714C6" w:rsidRDefault="00A76826" w:rsidP="00FB1973">
      <w:pPr>
        <w:ind w:left="851"/>
        <w:rPr>
          <w:sz w:val="24"/>
          <w:szCs w:val="24"/>
        </w:rPr>
      </w:pPr>
    </w:p>
    <w:p w14:paraId="330F92B9" w14:textId="77777777" w:rsidR="00A76826" w:rsidRPr="004714C6" w:rsidRDefault="00A76826" w:rsidP="00FB1973">
      <w:pPr>
        <w:ind w:left="851"/>
        <w:rPr>
          <w:sz w:val="24"/>
          <w:szCs w:val="24"/>
        </w:rPr>
      </w:pPr>
      <w:r w:rsidRPr="004714C6">
        <w:rPr>
          <w:sz w:val="24"/>
          <w:szCs w:val="24"/>
        </w:rPr>
        <w:t>I alt 5.153 patienter blev randomiseret i de poolede RE-COVER og RE-COVER II</w:t>
      </w:r>
      <w:r w:rsidRPr="004714C6">
        <w:rPr>
          <w:sz w:val="24"/>
          <w:szCs w:val="24"/>
        </w:rPr>
        <w:noBreakHyphen/>
        <w:t>studier, og 5.107 patienter blev behandlet.</w:t>
      </w:r>
    </w:p>
    <w:p w14:paraId="777CA37D" w14:textId="77777777" w:rsidR="00A76826" w:rsidRPr="004714C6" w:rsidRDefault="00A76826" w:rsidP="00FB1973">
      <w:pPr>
        <w:ind w:left="851"/>
        <w:rPr>
          <w:sz w:val="24"/>
          <w:szCs w:val="24"/>
        </w:rPr>
      </w:pPr>
    </w:p>
    <w:p w14:paraId="0398DBEA" w14:textId="77777777" w:rsidR="00A76826" w:rsidRPr="004714C6" w:rsidRDefault="00A76826" w:rsidP="00FB1973">
      <w:pPr>
        <w:ind w:left="851"/>
        <w:rPr>
          <w:sz w:val="24"/>
          <w:szCs w:val="24"/>
        </w:rPr>
      </w:pPr>
      <w:r w:rsidRPr="004714C6">
        <w:rPr>
          <w:sz w:val="24"/>
          <w:szCs w:val="24"/>
        </w:rPr>
        <w:t>I behandlingsperioden på 174,0 dage med fast dabigatrandosis blev koagulationen ikke monitoreret. Patienter randomiseret til warfarin var i det terapeutiske interval (INR 2,0 til 3,0) i en mediantid på 60,6 %.</w:t>
      </w:r>
    </w:p>
    <w:p w14:paraId="1A3949E5" w14:textId="77777777" w:rsidR="00A76826" w:rsidRPr="004714C6" w:rsidRDefault="00A76826" w:rsidP="00FB1973">
      <w:pPr>
        <w:ind w:left="851"/>
        <w:rPr>
          <w:sz w:val="24"/>
          <w:szCs w:val="24"/>
        </w:rPr>
      </w:pPr>
    </w:p>
    <w:p w14:paraId="22D49E46" w14:textId="77777777" w:rsidR="00A76826" w:rsidRPr="004714C6" w:rsidRDefault="00A76826" w:rsidP="00FB1973">
      <w:pPr>
        <w:ind w:left="851"/>
        <w:rPr>
          <w:sz w:val="24"/>
          <w:szCs w:val="24"/>
        </w:rPr>
      </w:pPr>
      <w:r w:rsidRPr="004714C6">
        <w:rPr>
          <w:sz w:val="24"/>
          <w:szCs w:val="24"/>
        </w:rPr>
        <w:t>Studierne viste, at dabigatranetexilat 150 mg 2 gange dagligt er non-inferior til warfarin (non-inferioritet for RE-COVER og RE-COVER II var 3,6 i risiko</w:t>
      </w:r>
      <w:r w:rsidRPr="004714C6">
        <w:rPr>
          <w:sz w:val="24"/>
          <w:szCs w:val="24"/>
        </w:rPr>
        <w:noBreakHyphen/>
        <w:t xml:space="preserve">forskel og 2,75 for </w:t>
      </w:r>
      <w:r w:rsidRPr="004714C6">
        <w:rPr>
          <w:i/>
          <w:iCs/>
          <w:sz w:val="24"/>
          <w:szCs w:val="24"/>
        </w:rPr>
        <w:t>hazard ratio</w:t>
      </w:r>
      <w:r w:rsidRPr="004714C6">
        <w:rPr>
          <w:sz w:val="24"/>
          <w:szCs w:val="24"/>
        </w:rPr>
        <w:t>).</w:t>
      </w:r>
    </w:p>
    <w:p w14:paraId="51C8B33A" w14:textId="77777777" w:rsidR="00A76826" w:rsidRPr="004714C6" w:rsidRDefault="00A76826" w:rsidP="00FB1973">
      <w:pPr>
        <w:ind w:left="851"/>
        <w:rPr>
          <w:sz w:val="24"/>
          <w:szCs w:val="24"/>
        </w:rPr>
      </w:pPr>
    </w:p>
    <w:p w14:paraId="1B90A312"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27:</w:t>
      </w:r>
      <w:r w:rsidRPr="004714C6">
        <w:rPr>
          <w:b/>
          <w:bCs/>
          <w:sz w:val="24"/>
          <w:szCs w:val="24"/>
        </w:rPr>
        <w:tab/>
        <w:t>Analyse af de primære og sekundære virkningsendepunkter (VTE er summen af DVT og/eller LE) for de poolede studier RE-COVER og RE-COVER II indtil slutningen af perioden efter behandlingen</w:t>
      </w:r>
    </w:p>
    <w:p w14:paraId="16CCABB4" w14:textId="77777777" w:rsidR="00A76826" w:rsidRPr="004714C6" w:rsidRDefault="00A76826" w:rsidP="00A76826">
      <w:pPr>
        <w:keepNext/>
        <w:widowControl w:val="0"/>
        <w:autoSpaceDE w:val="0"/>
        <w:autoSpaceDN w:val="0"/>
        <w:adjustRightInd w:val="0"/>
        <w:spacing w:line="246" w:lineRule="exact"/>
        <w:ind w:left="1440" w:right="-20" w:hanging="1440"/>
        <w:rPr>
          <w:sz w:val="24"/>
          <w:szCs w:val="24"/>
        </w:rPr>
      </w:pPr>
    </w:p>
    <w:tbl>
      <w:tblPr>
        <w:tblW w:w="5000" w:type="pct"/>
        <w:tblCellMar>
          <w:left w:w="0" w:type="dxa"/>
          <w:right w:w="0" w:type="dxa"/>
        </w:tblCellMar>
        <w:tblLook w:val="04A0" w:firstRow="1" w:lastRow="0" w:firstColumn="1" w:lastColumn="0" w:noHBand="0" w:noVBand="1"/>
      </w:tblPr>
      <w:tblGrid>
        <w:gridCol w:w="2806"/>
        <w:gridCol w:w="3539"/>
        <w:gridCol w:w="3283"/>
      </w:tblGrid>
      <w:tr w:rsidR="00A76826" w:rsidRPr="004714C6" w14:paraId="2631FF4A"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tcPr>
          <w:p w14:paraId="44E3DAC7" w14:textId="77777777" w:rsidR="00A76826" w:rsidRPr="004714C6" w:rsidRDefault="00A76826" w:rsidP="00F93262">
            <w:pPr>
              <w:widowControl w:val="0"/>
              <w:autoSpaceDE w:val="0"/>
              <w:autoSpaceDN w:val="0"/>
              <w:adjustRightInd w:val="0"/>
              <w:ind w:left="132"/>
              <w:rPr>
                <w:kern w:val="2"/>
                <w:sz w:val="24"/>
                <w:szCs w:val="24"/>
                <w14:ligatures w14:val="standardContextual"/>
              </w:rPr>
            </w:pPr>
          </w:p>
        </w:tc>
        <w:tc>
          <w:tcPr>
            <w:tcW w:w="1838" w:type="pct"/>
            <w:tcBorders>
              <w:top w:val="single" w:sz="4" w:space="0" w:color="000000"/>
              <w:left w:val="single" w:sz="4" w:space="0" w:color="000000"/>
              <w:bottom w:val="single" w:sz="4" w:space="0" w:color="000000"/>
              <w:right w:val="single" w:sz="4" w:space="0" w:color="000000"/>
            </w:tcBorders>
            <w:hideMark/>
          </w:tcPr>
          <w:p w14:paraId="744CDB95" w14:textId="77777777" w:rsidR="00A76826" w:rsidRPr="004714C6" w:rsidRDefault="00A76826" w:rsidP="00F93262">
            <w:pPr>
              <w:widowControl w:val="0"/>
              <w:autoSpaceDE w:val="0"/>
              <w:autoSpaceDN w:val="0"/>
              <w:adjustRightInd w:val="0"/>
              <w:ind w:left="132" w:right="544"/>
              <w:jc w:val="center"/>
              <w:rPr>
                <w:b/>
                <w:bCs/>
                <w:kern w:val="2"/>
                <w:sz w:val="24"/>
                <w:szCs w:val="24"/>
                <w14:ligatures w14:val="standardContextual"/>
              </w:rPr>
            </w:pPr>
            <w:r w:rsidRPr="004714C6">
              <w:rPr>
                <w:b/>
                <w:bCs/>
                <w:kern w:val="2"/>
                <w:sz w:val="24"/>
                <w:szCs w:val="24"/>
                <w14:ligatures w14:val="standardContextual"/>
              </w:rPr>
              <w:t>Dabigatranetexilat 150 mg 2 gange dagligt</w:t>
            </w:r>
          </w:p>
        </w:tc>
        <w:tc>
          <w:tcPr>
            <w:tcW w:w="1705" w:type="pct"/>
            <w:tcBorders>
              <w:top w:val="single" w:sz="4" w:space="0" w:color="000000"/>
              <w:left w:val="single" w:sz="4" w:space="0" w:color="000000"/>
              <w:bottom w:val="single" w:sz="4" w:space="0" w:color="000000"/>
              <w:right w:val="single" w:sz="4" w:space="0" w:color="000000"/>
            </w:tcBorders>
            <w:hideMark/>
          </w:tcPr>
          <w:p w14:paraId="4390D46C" w14:textId="77777777" w:rsidR="00A76826" w:rsidRPr="004714C6" w:rsidRDefault="00A76826" w:rsidP="00F93262">
            <w:pPr>
              <w:widowControl w:val="0"/>
              <w:autoSpaceDE w:val="0"/>
              <w:autoSpaceDN w:val="0"/>
              <w:adjustRightInd w:val="0"/>
              <w:ind w:left="132" w:right="878"/>
              <w:jc w:val="center"/>
              <w:rPr>
                <w:b/>
                <w:bCs/>
                <w:kern w:val="2"/>
                <w:sz w:val="24"/>
                <w:szCs w:val="24"/>
                <w14:ligatures w14:val="standardContextual"/>
              </w:rPr>
            </w:pPr>
            <w:r w:rsidRPr="004714C6">
              <w:rPr>
                <w:b/>
                <w:bCs/>
                <w:kern w:val="2"/>
                <w:sz w:val="24"/>
                <w:szCs w:val="24"/>
                <w14:ligatures w14:val="standardContextual"/>
              </w:rPr>
              <w:t>Warfarin</w:t>
            </w:r>
          </w:p>
        </w:tc>
      </w:tr>
      <w:tr w:rsidR="00A76826" w:rsidRPr="004714C6" w14:paraId="22B8D451"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671B7B5E" w14:textId="77777777" w:rsidR="00A76826" w:rsidRPr="004714C6" w:rsidRDefault="00A76826" w:rsidP="00F93262">
            <w:pPr>
              <w:widowControl w:val="0"/>
              <w:autoSpaceDE w:val="0"/>
              <w:autoSpaceDN w:val="0"/>
              <w:adjustRightInd w:val="0"/>
              <w:ind w:left="132" w:right="-20"/>
              <w:rPr>
                <w:kern w:val="2"/>
                <w:sz w:val="24"/>
                <w:szCs w:val="24"/>
                <w14:ligatures w14:val="standardContextual"/>
              </w:rPr>
            </w:pPr>
            <w:r w:rsidRPr="004714C6">
              <w:rPr>
                <w:kern w:val="2"/>
                <w:sz w:val="24"/>
                <w:szCs w:val="24"/>
                <w14:ligatures w14:val="standardContextual"/>
              </w:rPr>
              <w:t>Behandlede patienter</w:t>
            </w:r>
          </w:p>
        </w:tc>
        <w:tc>
          <w:tcPr>
            <w:tcW w:w="1838" w:type="pct"/>
            <w:tcBorders>
              <w:top w:val="single" w:sz="4" w:space="0" w:color="000000"/>
              <w:left w:val="single" w:sz="4" w:space="0" w:color="000000"/>
              <w:bottom w:val="single" w:sz="4" w:space="0" w:color="000000"/>
              <w:right w:val="single" w:sz="4" w:space="0" w:color="000000"/>
            </w:tcBorders>
            <w:hideMark/>
          </w:tcPr>
          <w:p w14:paraId="2458BBE9"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2.553</w:t>
            </w:r>
          </w:p>
        </w:tc>
        <w:tc>
          <w:tcPr>
            <w:tcW w:w="1705" w:type="pct"/>
            <w:tcBorders>
              <w:top w:val="single" w:sz="4" w:space="0" w:color="000000"/>
              <w:left w:val="single" w:sz="4" w:space="0" w:color="000000"/>
              <w:bottom w:val="single" w:sz="4" w:space="0" w:color="000000"/>
              <w:right w:val="single" w:sz="4" w:space="0" w:color="000000"/>
            </w:tcBorders>
            <w:hideMark/>
          </w:tcPr>
          <w:p w14:paraId="7B2DAFA9"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2.554</w:t>
            </w:r>
          </w:p>
        </w:tc>
      </w:tr>
      <w:tr w:rsidR="00A76826" w:rsidRPr="004714C6" w14:paraId="07AF2AC8"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27B5ECE3" w14:textId="77777777" w:rsidR="00A76826" w:rsidRPr="004714C6" w:rsidRDefault="00A76826" w:rsidP="00F93262">
            <w:pPr>
              <w:widowControl w:val="0"/>
              <w:autoSpaceDE w:val="0"/>
              <w:autoSpaceDN w:val="0"/>
              <w:adjustRightInd w:val="0"/>
              <w:ind w:left="132" w:right="214"/>
              <w:rPr>
                <w:kern w:val="2"/>
                <w:sz w:val="24"/>
                <w:szCs w:val="24"/>
                <w14:ligatures w14:val="standardContextual"/>
              </w:rPr>
            </w:pPr>
            <w:r w:rsidRPr="004714C6">
              <w:rPr>
                <w:kern w:val="2"/>
                <w:sz w:val="24"/>
                <w:szCs w:val="24"/>
                <w14:ligatures w14:val="standardContextual"/>
              </w:rPr>
              <w:t>Recidiverende symptomatisk VTE og VTE-relateret død</w:t>
            </w:r>
          </w:p>
        </w:tc>
        <w:tc>
          <w:tcPr>
            <w:tcW w:w="1838" w:type="pct"/>
            <w:tcBorders>
              <w:top w:val="single" w:sz="4" w:space="0" w:color="000000"/>
              <w:left w:val="single" w:sz="4" w:space="0" w:color="000000"/>
              <w:bottom w:val="single" w:sz="4" w:space="0" w:color="000000"/>
              <w:right w:val="single" w:sz="4" w:space="0" w:color="000000"/>
            </w:tcBorders>
            <w:hideMark/>
          </w:tcPr>
          <w:p w14:paraId="094D828E"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68 (2,7 %)</w:t>
            </w:r>
          </w:p>
        </w:tc>
        <w:tc>
          <w:tcPr>
            <w:tcW w:w="1705" w:type="pct"/>
            <w:tcBorders>
              <w:top w:val="single" w:sz="4" w:space="0" w:color="000000"/>
              <w:left w:val="single" w:sz="4" w:space="0" w:color="000000"/>
              <w:bottom w:val="single" w:sz="4" w:space="0" w:color="000000"/>
              <w:right w:val="single" w:sz="4" w:space="0" w:color="000000"/>
            </w:tcBorders>
            <w:hideMark/>
          </w:tcPr>
          <w:p w14:paraId="7D963D00"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62 (2,4 %)</w:t>
            </w:r>
          </w:p>
        </w:tc>
      </w:tr>
      <w:tr w:rsidR="00A76826" w:rsidRPr="004714C6" w14:paraId="0B9A88FA"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6608DED8" w14:textId="77777777" w:rsidR="00A76826" w:rsidRPr="004714C6" w:rsidRDefault="00A76826" w:rsidP="00F93262">
            <w:pPr>
              <w:widowControl w:val="0"/>
              <w:autoSpaceDE w:val="0"/>
              <w:autoSpaceDN w:val="0"/>
              <w:adjustRightInd w:val="0"/>
              <w:ind w:left="132" w:right="670"/>
              <w:rPr>
                <w:kern w:val="2"/>
                <w:sz w:val="24"/>
                <w:szCs w:val="24"/>
                <w14:ligatures w14:val="standardContextual"/>
              </w:rPr>
            </w:pPr>
            <w:r w:rsidRPr="004714C6">
              <w:rPr>
                <w:kern w:val="2"/>
                <w:sz w:val="24"/>
                <w:szCs w:val="24"/>
                <w14:ligatures w14:val="standardContextual"/>
              </w:rPr>
              <w:t>Hazard ratio vs. warfarin (95 % konfidensinterval)</w:t>
            </w:r>
          </w:p>
        </w:tc>
        <w:tc>
          <w:tcPr>
            <w:tcW w:w="1838" w:type="pct"/>
            <w:tcBorders>
              <w:top w:val="single" w:sz="4" w:space="0" w:color="000000"/>
              <w:left w:val="single" w:sz="4" w:space="0" w:color="000000"/>
              <w:bottom w:val="single" w:sz="4" w:space="0" w:color="000000"/>
              <w:right w:val="single" w:sz="4" w:space="0" w:color="000000"/>
            </w:tcBorders>
            <w:hideMark/>
          </w:tcPr>
          <w:p w14:paraId="7D59FA67" w14:textId="77777777" w:rsidR="00A76826" w:rsidRPr="004714C6" w:rsidRDefault="00A76826" w:rsidP="00F93262">
            <w:pPr>
              <w:widowControl w:val="0"/>
              <w:autoSpaceDE w:val="0"/>
              <w:autoSpaceDN w:val="0"/>
              <w:adjustRightInd w:val="0"/>
              <w:ind w:left="132" w:right="254" w:firstLine="322"/>
              <w:jc w:val="center"/>
              <w:rPr>
                <w:kern w:val="2"/>
                <w:sz w:val="24"/>
                <w:szCs w:val="24"/>
                <w14:ligatures w14:val="standardContextual"/>
              </w:rPr>
            </w:pPr>
            <w:r w:rsidRPr="004714C6">
              <w:rPr>
                <w:kern w:val="2"/>
                <w:sz w:val="24"/>
                <w:szCs w:val="24"/>
                <w14:ligatures w14:val="standardContextual"/>
              </w:rPr>
              <w:t>1,09 (0,77; 1,54)</w:t>
            </w:r>
          </w:p>
        </w:tc>
        <w:tc>
          <w:tcPr>
            <w:tcW w:w="1705" w:type="pct"/>
            <w:tcBorders>
              <w:top w:val="single" w:sz="4" w:space="0" w:color="000000"/>
              <w:left w:val="single" w:sz="4" w:space="0" w:color="000000"/>
              <w:bottom w:val="single" w:sz="4" w:space="0" w:color="000000"/>
              <w:right w:val="single" w:sz="4" w:space="0" w:color="000000"/>
            </w:tcBorders>
          </w:tcPr>
          <w:p w14:paraId="7FE83DDF"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p>
        </w:tc>
      </w:tr>
      <w:tr w:rsidR="00A76826" w:rsidRPr="004714C6" w14:paraId="36978F74"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4285A720" w14:textId="77777777" w:rsidR="00A76826" w:rsidRPr="004714C6" w:rsidRDefault="00A76826" w:rsidP="00F93262">
            <w:pPr>
              <w:widowControl w:val="0"/>
              <w:autoSpaceDE w:val="0"/>
              <w:autoSpaceDN w:val="0"/>
              <w:adjustRightInd w:val="0"/>
              <w:ind w:left="132" w:right="-20"/>
              <w:rPr>
                <w:kern w:val="2"/>
                <w:sz w:val="24"/>
                <w:szCs w:val="24"/>
                <w14:ligatures w14:val="standardContextual"/>
              </w:rPr>
            </w:pPr>
            <w:r w:rsidRPr="004714C6">
              <w:rPr>
                <w:kern w:val="2"/>
                <w:sz w:val="24"/>
                <w:szCs w:val="24"/>
                <w14:ligatures w14:val="standardContextual"/>
              </w:rPr>
              <w:t>Sekundære virkningsendepunkter</w:t>
            </w:r>
          </w:p>
        </w:tc>
        <w:tc>
          <w:tcPr>
            <w:tcW w:w="1838" w:type="pct"/>
            <w:tcBorders>
              <w:top w:val="single" w:sz="4" w:space="0" w:color="000000"/>
              <w:left w:val="single" w:sz="4" w:space="0" w:color="000000"/>
              <w:bottom w:val="single" w:sz="4" w:space="0" w:color="000000"/>
              <w:right w:val="single" w:sz="4" w:space="0" w:color="000000"/>
            </w:tcBorders>
          </w:tcPr>
          <w:p w14:paraId="1C695B55"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p>
        </w:tc>
        <w:tc>
          <w:tcPr>
            <w:tcW w:w="1705" w:type="pct"/>
            <w:tcBorders>
              <w:top w:val="single" w:sz="4" w:space="0" w:color="000000"/>
              <w:left w:val="single" w:sz="4" w:space="0" w:color="000000"/>
              <w:bottom w:val="single" w:sz="4" w:space="0" w:color="000000"/>
              <w:right w:val="single" w:sz="4" w:space="0" w:color="000000"/>
            </w:tcBorders>
          </w:tcPr>
          <w:p w14:paraId="10E18427"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p>
        </w:tc>
      </w:tr>
      <w:tr w:rsidR="00A76826" w:rsidRPr="004714C6" w14:paraId="5C106A43"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6F673353" w14:textId="77777777" w:rsidR="00A76826" w:rsidRPr="004714C6" w:rsidRDefault="00A76826" w:rsidP="00F93262">
            <w:pPr>
              <w:widowControl w:val="0"/>
              <w:autoSpaceDE w:val="0"/>
              <w:autoSpaceDN w:val="0"/>
              <w:adjustRightInd w:val="0"/>
              <w:ind w:left="132" w:right="142"/>
              <w:rPr>
                <w:kern w:val="2"/>
                <w:sz w:val="24"/>
                <w:szCs w:val="24"/>
                <w14:ligatures w14:val="standardContextual"/>
              </w:rPr>
            </w:pPr>
            <w:r w:rsidRPr="004714C6">
              <w:rPr>
                <w:kern w:val="2"/>
                <w:sz w:val="24"/>
                <w:szCs w:val="24"/>
                <w14:ligatures w14:val="standardContextual"/>
              </w:rPr>
              <w:t>Recidiverende symptomatisk VTE og død uanset årsag</w:t>
            </w:r>
          </w:p>
        </w:tc>
        <w:tc>
          <w:tcPr>
            <w:tcW w:w="1838" w:type="pct"/>
            <w:tcBorders>
              <w:top w:val="single" w:sz="4" w:space="0" w:color="000000"/>
              <w:left w:val="single" w:sz="4" w:space="0" w:color="000000"/>
              <w:bottom w:val="single" w:sz="4" w:space="0" w:color="000000"/>
              <w:right w:val="single" w:sz="4" w:space="0" w:color="000000"/>
            </w:tcBorders>
            <w:hideMark/>
          </w:tcPr>
          <w:p w14:paraId="6528DD5A"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109 (4,3 %)</w:t>
            </w:r>
          </w:p>
        </w:tc>
        <w:tc>
          <w:tcPr>
            <w:tcW w:w="1705" w:type="pct"/>
            <w:tcBorders>
              <w:top w:val="single" w:sz="4" w:space="0" w:color="000000"/>
              <w:left w:val="single" w:sz="4" w:space="0" w:color="000000"/>
              <w:bottom w:val="single" w:sz="4" w:space="0" w:color="000000"/>
              <w:right w:val="single" w:sz="4" w:space="0" w:color="000000"/>
            </w:tcBorders>
            <w:hideMark/>
          </w:tcPr>
          <w:p w14:paraId="6BC0BC9B"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104 (4,1 %)</w:t>
            </w:r>
          </w:p>
        </w:tc>
      </w:tr>
      <w:tr w:rsidR="00A76826" w:rsidRPr="004714C6" w14:paraId="0D920AB0"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7CC9722A" w14:textId="77777777" w:rsidR="00A76826" w:rsidRPr="004714C6" w:rsidRDefault="00A76826" w:rsidP="00F93262">
            <w:pPr>
              <w:widowControl w:val="0"/>
              <w:autoSpaceDE w:val="0"/>
              <w:autoSpaceDN w:val="0"/>
              <w:adjustRightInd w:val="0"/>
              <w:ind w:left="132" w:right="-20"/>
              <w:rPr>
                <w:kern w:val="2"/>
                <w:sz w:val="24"/>
                <w:szCs w:val="24"/>
                <w14:ligatures w14:val="standardContextual"/>
              </w:rPr>
            </w:pPr>
            <w:r w:rsidRPr="004714C6">
              <w:rPr>
                <w:kern w:val="2"/>
                <w:sz w:val="24"/>
                <w:szCs w:val="24"/>
                <w14:ligatures w14:val="standardContextual"/>
              </w:rPr>
              <w:t>95 % konfidensinterval</w:t>
            </w:r>
          </w:p>
        </w:tc>
        <w:tc>
          <w:tcPr>
            <w:tcW w:w="1838" w:type="pct"/>
            <w:tcBorders>
              <w:top w:val="single" w:sz="4" w:space="0" w:color="000000"/>
              <w:left w:val="single" w:sz="4" w:space="0" w:color="000000"/>
              <w:bottom w:val="single" w:sz="4" w:space="0" w:color="000000"/>
              <w:right w:val="single" w:sz="4" w:space="0" w:color="000000"/>
            </w:tcBorders>
            <w:hideMark/>
          </w:tcPr>
          <w:p w14:paraId="572DAFB1"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3,52; 5;13</w:t>
            </w:r>
          </w:p>
        </w:tc>
        <w:tc>
          <w:tcPr>
            <w:tcW w:w="1705" w:type="pct"/>
            <w:tcBorders>
              <w:top w:val="single" w:sz="4" w:space="0" w:color="000000"/>
              <w:left w:val="single" w:sz="4" w:space="0" w:color="000000"/>
              <w:bottom w:val="single" w:sz="4" w:space="0" w:color="000000"/>
              <w:right w:val="single" w:sz="4" w:space="0" w:color="000000"/>
            </w:tcBorders>
            <w:hideMark/>
          </w:tcPr>
          <w:p w14:paraId="0EB9EBA6"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3,34; 4,91</w:t>
            </w:r>
          </w:p>
        </w:tc>
      </w:tr>
      <w:tr w:rsidR="00A76826" w:rsidRPr="004714C6" w14:paraId="2C965AB1"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36B0AB13" w14:textId="77777777" w:rsidR="00A76826" w:rsidRPr="004714C6" w:rsidRDefault="00A76826" w:rsidP="00F93262">
            <w:pPr>
              <w:widowControl w:val="0"/>
              <w:autoSpaceDE w:val="0"/>
              <w:autoSpaceDN w:val="0"/>
              <w:adjustRightInd w:val="0"/>
              <w:ind w:left="132" w:right="-20"/>
              <w:rPr>
                <w:kern w:val="2"/>
                <w:sz w:val="24"/>
                <w:szCs w:val="24"/>
                <w14:ligatures w14:val="standardContextual"/>
              </w:rPr>
            </w:pPr>
            <w:r w:rsidRPr="004714C6">
              <w:rPr>
                <w:kern w:val="2"/>
                <w:sz w:val="24"/>
                <w:szCs w:val="24"/>
                <w14:ligatures w14:val="standardContextual"/>
              </w:rPr>
              <w:t>Symptomatisk DVT</w:t>
            </w:r>
          </w:p>
        </w:tc>
        <w:tc>
          <w:tcPr>
            <w:tcW w:w="1838" w:type="pct"/>
            <w:tcBorders>
              <w:top w:val="single" w:sz="4" w:space="0" w:color="000000"/>
              <w:left w:val="single" w:sz="4" w:space="0" w:color="000000"/>
              <w:bottom w:val="single" w:sz="4" w:space="0" w:color="000000"/>
              <w:right w:val="single" w:sz="4" w:space="0" w:color="000000"/>
            </w:tcBorders>
            <w:hideMark/>
          </w:tcPr>
          <w:p w14:paraId="329FC707"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45 (1,8 %)</w:t>
            </w:r>
          </w:p>
        </w:tc>
        <w:tc>
          <w:tcPr>
            <w:tcW w:w="1705" w:type="pct"/>
            <w:tcBorders>
              <w:top w:val="single" w:sz="4" w:space="0" w:color="000000"/>
              <w:left w:val="single" w:sz="4" w:space="0" w:color="000000"/>
              <w:bottom w:val="single" w:sz="4" w:space="0" w:color="000000"/>
              <w:right w:val="single" w:sz="4" w:space="0" w:color="000000"/>
            </w:tcBorders>
            <w:hideMark/>
          </w:tcPr>
          <w:p w14:paraId="36A32A31"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39 (1,5 %)</w:t>
            </w:r>
          </w:p>
        </w:tc>
      </w:tr>
      <w:tr w:rsidR="00A76826" w:rsidRPr="004714C6" w14:paraId="16F78DCA"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1F21F751" w14:textId="77777777" w:rsidR="00A76826" w:rsidRPr="004714C6" w:rsidRDefault="00A76826" w:rsidP="00F93262">
            <w:pPr>
              <w:widowControl w:val="0"/>
              <w:autoSpaceDE w:val="0"/>
              <w:autoSpaceDN w:val="0"/>
              <w:adjustRightInd w:val="0"/>
              <w:ind w:left="132" w:right="-20"/>
              <w:rPr>
                <w:kern w:val="2"/>
                <w:sz w:val="24"/>
                <w:szCs w:val="24"/>
                <w14:ligatures w14:val="standardContextual"/>
              </w:rPr>
            </w:pPr>
            <w:r w:rsidRPr="004714C6">
              <w:rPr>
                <w:kern w:val="2"/>
                <w:sz w:val="24"/>
                <w:szCs w:val="24"/>
                <w14:ligatures w14:val="standardContextual"/>
              </w:rPr>
              <w:t>95 % konfidensinterval</w:t>
            </w:r>
          </w:p>
        </w:tc>
        <w:tc>
          <w:tcPr>
            <w:tcW w:w="1838" w:type="pct"/>
            <w:tcBorders>
              <w:top w:val="single" w:sz="4" w:space="0" w:color="000000"/>
              <w:left w:val="single" w:sz="4" w:space="0" w:color="000000"/>
              <w:bottom w:val="single" w:sz="4" w:space="0" w:color="000000"/>
              <w:right w:val="single" w:sz="4" w:space="0" w:color="000000"/>
            </w:tcBorders>
            <w:hideMark/>
          </w:tcPr>
          <w:p w14:paraId="7519AF0C"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1,29; 2,35</w:t>
            </w:r>
          </w:p>
        </w:tc>
        <w:tc>
          <w:tcPr>
            <w:tcW w:w="1705" w:type="pct"/>
            <w:tcBorders>
              <w:top w:val="single" w:sz="4" w:space="0" w:color="000000"/>
              <w:left w:val="single" w:sz="4" w:space="0" w:color="000000"/>
              <w:bottom w:val="single" w:sz="4" w:space="0" w:color="000000"/>
              <w:right w:val="single" w:sz="4" w:space="0" w:color="000000"/>
            </w:tcBorders>
            <w:hideMark/>
          </w:tcPr>
          <w:p w14:paraId="755D4A47"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1,09; 2,08</w:t>
            </w:r>
          </w:p>
        </w:tc>
      </w:tr>
      <w:tr w:rsidR="00A76826" w:rsidRPr="004714C6" w14:paraId="53561B75"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32074BEF" w14:textId="77777777" w:rsidR="00A76826" w:rsidRPr="004714C6" w:rsidRDefault="00A76826" w:rsidP="00F93262">
            <w:pPr>
              <w:widowControl w:val="0"/>
              <w:autoSpaceDE w:val="0"/>
              <w:autoSpaceDN w:val="0"/>
              <w:adjustRightInd w:val="0"/>
              <w:ind w:left="132" w:right="-20"/>
              <w:rPr>
                <w:kern w:val="2"/>
                <w:sz w:val="24"/>
                <w:szCs w:val="24"/>
                <w14:ligatures w14:val="standardContextual"/>
              </w:rPr>
            </w:pPr>
            <w:r w:rsidRPr="004714C6">
              <w:rPr>
                <w:kern w:val="2"/>
                <w:sz w:val="24"/>
                <w:szCs w:val="24"/>
                <w14:ligatures w14:val="standardContextual"/>
              </w:rPr>
              <w:t>Symptomatisk LE</w:t>
            </w:r>
          </w:p>
        </w:tc>
        <w:tc>
          <w:tcPr>
            <w:tcW w:w="1838" w:type="pct"/>
            <w:tcBorders>
              <w:top w:val="single" w:sz="4" w:space="0" w:color="000000"/>
              <w:left w:val="single" w:sz="4" w:space="0" w:color="000000"/>
              <w:bottom w:val="single" w:sz="4" w:space="0" w:color="000000"/>
              <w:right w:val="single" w:sz="4" w:space="0" w:color="000000"/>
            </w:tcBorders>
            <w:hideMark/>
          </w:tcPr>
          <w:p w14:paraId="5CF8E996"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27 (1,1 %)</w:t>
            </w:r>
          </w:p>
        </w:tc>
        <w:tc>
          <w:tcPr>
            <w:tcW w:w="1705" w:type="pct"/>
            <w:tcBorders>
              <w:top w:val="single" w:sz="4" w:space="0" w:color="000000"/>
              <w:left w:val="single" w:sz="4" w:space="0" w:color="000000"/>
              <w:bottom w:val="single" w:sz="4" w:space="0" w:color="000000"/>
              <w:right w:val="single" w:sz="4" w:space="0" w:color="000000"/>
            </w:tcBorders>
            <w:hideMark/>
          </w:tcPr>
          <w:p w14:paraId="5426108F"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26 (1,0 %)</w:t>
            </w:r>
          </w:p>
        </w:tc>
      </w:tr>
      <w:tr w:rsidR="00A76826" w:rsidRPr="004714C6" w14:paraId="603939B1"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29684BB8" w14:textId="77777777" w:rsidR="00A76826" w:rsidRPr="004714C6" w:rsidRDefault="00A76826" w:rsidP="00F93262">
            <w:pPr>
              <w:widowControl w:val="0"/>
              <w:autoSpaceDE w:val="0"/>
              <w:autoSpaceDN w:val="0"/>
              <w:adjustRightInd w:val="0"/>
              <w:ind w:left="132" w:right="-20"/>
              <w:rPr>
                <w:kern w:val="2"/>
                <w:sz w:val="24"/>
                <w:szCs w:val="24"/>
                <w14:ligatures w14:val="standardContextual"/>
              </w:rPr>
            </w:pPr>
            <w:r w:rsidRPr="004714C6">
              <w:rPr>
                <w:kern w:val="2"/>
                <w:sz w:val="24"/>
                <w:szCs w:val="24"/>
                <w14:ligatures w14:val="standardContextual"/>
              </w:rPr>
              <w:t>95 % konfidensinterval</w:t>
            </w:r>
          </w:p>
        </w:tc>
        <w:tc>
          <w:tcPr>
            <w:tcW w:w="1838" w:type="pct"/>
            <w:tcBorders>
              <w:top w:val="single" w:sz="4" w:space="0" w:color="000000"/>
              <w:left w:val="single" w:sz="4" w:space="0" w:color="000000"/>
              <w:bottom w:val="single" w:sz="4" w:space="0" w:color="000000"/>
              <w:right w:val="single" w:sz="4" w:space="0" w:color="000000"/>
            </w:tcBorders>
            <w:hideMark/>
          </w:tcPr>
          <w:p w14:paraId="212DA11F"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0,70; 1,54</w:t>
            </w:r>
          </w:p>
        </w:tc>
        <w:tc>
          <w:tcPr>
            <w:tcW w:w="1705" w:type="pct"/>
            <w:tcBorders>
              <w:top w:val="single" w:sz="4" w:space="0" w:color="000000"/>
              <w:left w:val="single" w:sz="4" w:space="0" w:color="000000"/>
              <w:bottom w:val="single" w:sz="4" w:space="0" w:color="000000"/>
              <w:right w:val="single" w:sz="4" w:space="0" w:color="000000"/>
            </w:tcBorders>
            <w:hideMark/>
          </w:tcPr>
          <w:p w14:paraId="6E8ADC7A"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0,67; 1,49</w:t>
            </w:r>
          </w:p>
        </w:tc>
      </w:tr>
      <w:tr w:rsidR="00A76826" w:rsidRPr="004714C6" w14:paraId="6044268E"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0E67216E" w14:textId="77777777" w:rsidR="00A76826" w:rsidRPr="004714C6" w:rsidRDefault="00A76826" w:rsidP="00F93262">
            <w:pPr>
              <w:widowControl w:val="0"/>
              <w:autoSpaceDE w:val="0"/>
              <w:autoSpaceDN w:val="0"/>
              <w:adjustRightInd w:val="0"/>
              <w:ind w:left="132" w:right="-20"/>
              <w:rPr>
                <w:kern w:val="2"/>
                <w:sz w:val="24"/>
                <w:szCs w:val="24"/>
                <w14:ligatures w14:val="standardContextual"/>
              </w:rPr>
            </w:pPr>
            <w:r w:rsidRPr="004714C6">
              <w:rPr>
                <w:kern w:val="2"/>
                <w:sz w:val="24"/>
                <w:szCs w:val="24"/>
                <w14:ligatures w14:val="standardContextual"/>
              </w:rPr>
              <w:t>VTE relateret død</w:t>
            </w:r>
          </w:p>
        </w:tc>
        <w:tc>
          <w:tcPr>
            <w:tcW w:w="1838" w:type="pct"/>
            <w:tcBorders>
              <w:top w:val="single" w:sz="4" w:space="0" w:color="000000"/>
              <w:left w:val="single" w:sz="4" w:space="0" w:color="000000"/>
              <w:bottom w:val="single" w:sz="4" w:space="0" w:color="000000"/>
              <w:right w:val="single" w:sz="4" w:space="0" w:color="000000"/>
            </w:tcBorders>
            <w:hideMark/>
          </w:tcPr>
          <w:p w14:paraId="257A428B"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4 (0,2 %)</w:t>
            </w:r>
          </w:p>
        </w:tc>
        <w:tc>
          <w:tcPr>
            <w:tcW w:w="1705" w:type="pct"/>
            <w:tcBorders>
              <w:top w:val="single" w:sz="4" w:space="0" w:color="000000"/>
              <w:left w:val="single" w:sz="4" w:space="0" w:color="000000"/>
              <w:bottom w:val="single" w:sz="4" w:space="0" w:color="000000"/>
              <w:right w:val="single" w:sz="4" w:space="0" w:color="000000"/>
            </w:tcBorders>
            <w:hideMark/>
          </w:tcPr>
          <w:p w14:paraId="5E579035"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3 (0,1 %)</w:t>
            </w:r>
          </w:p>
        </w:tc>
      </w:tr>
      <w:tr w:rsidR="00A76826" w:rsidRPr="004714C6" w14:paraId="43F5CCBF"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3188059B" w14:textId="77777777" w:rsidR="00A76826" w:rsidRPr="004714C6" w:rsidRDefault="00A76826" w:rsidP="00F93262">
            <w:pPr>
              <w:widowControl w:val="0"/>
              <w:autoSpaceDE w:val="0"/>
              <w:autoSpaceDN w:val="0"/>
              <w:adjustRightInd w:val="0"/>
              <w:ind w:left="132" w:right="-20"/>
              <w:rPr>
                <w:kern w:val="2"/>
                <w:sz w:val="24"/>
                <w:szCs w:val="24"/>
                <w14:ligatures w14:val="standardContextual"/>
              </w:rPr>
            </w:pPr>
            <w:r w:rsidRPr="004714C6">
              <w:rPr>
                <w:kern w:val="2"/>
                <w:sz w:val="24"/>
                <w:szCs w:val="24"/>
                <w14:ligatures w14:val="standardContextual"/>
              </w:rPr>
              <w:t>95 % konfidensinterval</w:t>
            </w:r>
          </w:p>
        </w:tc>
        <w:tc>
          <w:tcPr>
            <w:tcW w:w="1838" w:type="pct"/>
            <w:tcBorders>
              <w:top w:val="single" w:sz="4" w:space="0" w:color="000000"/>
              <w:left w:val="single" w:sz="4" w:space="0" w:color="000000"/>
              <w:bottom w:val="single" w:sz="4" w:space="0" w:color="000000"/>
              <w:right w:val="single" w:sz="4" w:space="0" w:color="000000"/>
            </w:tcBorders>
            <w:hideMark/>
          </w:tcPr>
          <w:p w14:paraId="4A4BD3FD"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0,04; 0,40</w:t>
            </w:r>
          </w:p>
        </w:tc>
        <w:tc>
          <w:tcPr>
            <w:tcW w:w="1705" w:type="pct"/>
            <w:tcBorders>
              <w:top w:val="single" w:sz="4" w:space="0" w:color="000000"/>
              <w:left w:val="single" w:sz="4" w:space="0" w:color="000000"/>
              <w:bottom w:val="single" w:sz="4" w:space="0" w:color="000000"/>
              <w:right w:val="single" w:sz="4" w:space="0" w:color="000000"/>
            </w:tcBorders>
            <w:hideMark/>
          </w:tcPr>
          <w:p w14:paraId="5A107217"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0,02; 0,34</w:t>
            </w:r>
          </w:p>
        </w:tc>
      </w:tr>
      <w:tr w:rsidR="00A76826" w:rsidRPr="004714C6" w14:paraId="52996596"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47BCA6E9" w14:textId="77777777" w:rsidR="00A76826" w:rsidRPr="004714C6" w:rsidRDefault="00A76826" w:rsidP="00F93262">
            <w:pPr>
              <w:widowControl w:val="0"/>
              <w:autoSpaceDE w:val="0"/>
              <w:autoSpaceDN w:val="0"/>
              <w:adjustRightInd w:val="0"/>
              <w:ind w:left="132" w:right="-20"/>
              <w:rPr>
                <w:kern w:val="2"/>
                <w:sz w:val="24"/>
                <w:szCs w:val="24"/>
                <w14:ligatures w14:val="standardContextual"/>
              </w:rPr>
            </w:pPr>
            <w:r w:rsidRPr="004714C6">
              <w:rPr>
                <w:kern w:val="2"/>
                <w:sz w:val="24"/>
                <w:szCs w:val="24"/>
                <w14:ligatures w14:val="standardContextual"/>
              </w:rPr>
              <w:t>Død uanset årsag</w:t>
            </w:r>
          </w:p>
        </w:tc>
        <w:tc>
          <w:tcPr>
            <w:tcW w:w="1838" w:type="pct"/>
            <w:tcBorders>
              <w:top w:val="single" w:sz="4" w:space="0" w:color="000000"/>
              <w:left w:val="single" w:sz="4" w:space="0" w:color="000000"/>
              <w:bottom w:val="single" w:sz="4" w:space="0" w:color="000000"/>
              <w:right w:val="single" w:sz="4" w:space="0" w:color="000000"/>
            </w:tcBorders>
            <w:hideMark/>
          </w:tcPr>
          <w:p w14:paraId="2B5C0539"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51 (2,0 %)</w:t>
            </w:r>
          </w:p>
        </w:tc>
        <w:tc>
          <w:tcPr>
            <w:tcW w:w="1705" w:type="pct"/>
            <w:tcBorders>
              <w:top w:val="single" w:sz="4" w:space="0" w:color="000000"/>
              <w:left w:val="single" w:sz="4" w:space="0" w:color="000000"/>
              <w:bottom w:val="single" w:sz="4" w:space="0" w:color="000000"/>
              <w:right w:val="single" w:sz="4" w:space="0" w:color="000000"/>
            </w:tcBorders>
            <w:hideMark/>
          </w:tcPr>
          <w:p w14:paraId="0441279D"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52 (2,0 %)</w:t>
            </w:r>
          </w:p>
        </w:tc>
      </w:tr>
      <w:tr w:rsidR="00A76826" w:rsidRPr="004714C6" w14:paraId="07E8BB05" w14:textId="77777777" w:rsidTr="00FB1973">
        <w:trPr>
          <w:trHeight w:val="20"/>
        </w:trPr>
        <w:tc>
          <w:tcPr>
            <w:tcW w:w="1457" w:type="pct"/>
            <w:tcBorders>
              <w:top w:val="single" w:sz="4" w:space="0" w:color="000000"/>
              <w:left w:val="single" w:sz="4" w:space="0" w:color="000000"/>
              <w:bottom w:val="single" w:sz="4" w:space="0" w:color="000000"/>
              <w:right w:val="single" w:sz="4" w:space="0" w:color="000000"/>
            </w:tcBorders>
            <w:hideMark/>
          </w:tcPr>
          <w:p w14:paraId="61DB0421" w14:textId="77777777" w:rsidR="00A76826" w:rsidRPr="004714C6" w:rsidRDefault="00A76826" w:rsidP="00F93262">
            <w:pPr>
              <w:widowControl w:val="0"/>
              <w:autoSpaceDE w:val="0"/>
              <w:autoSpaceDN w:val="0"/>
              <w:adjustRightInd w:val="0"/>
              <w:ind w:left="132" w:right="-20"/>
              <w:rPr>
                <w:kern w:val="2"/>
                <w:sz w:val="24"/>
                <w:szCs w:val="24"/>
                <w14:ligatures w14:val="standardContextual"/>
              </w:rPr>
            </w:pPr>
            <w:r w:rsidRPr="004714C6">
              <w:rPr>
                <w:kern w:val="2"/>
                <w:sz w:val="24"/>
                <w:szCs w:val="24"/>
                <w14:ligatures w14:val="standardContextual"/>
              </w:rPr>
              <w:t>95 % konfidensinterval</w:t>
            </w:r>
          </w:p>
        </w:tc>
        <w:tc>
          <w:tcPr>
            <w:tcW w:w="1838" w:type="pct"/>
            <w:tcBorders>
              <w:top w:val="single" w:sz="4" w:space="0" w:color="000000"/>
              <w:left w:val="single" w:sz="4" w:space="0" w:color="000000"/>
              <w:bottom w:val="single" w:sz="4" w:space="0" w:color="000000"/>
              <w:right w:val="single" w:sz="4" w:space="0" w:color="000000"/>
            </w:tcBorders>
            <w:hideMark/>
          </w:tcPr>
          <w:p w14:paraId="2A3A619F"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1,49; 2,62</w:t>
            </w:r>
          </w:p>
        </w:tc>
        <w:tc>
          <w:tcPr>
            <w:tcW w:w="1705" w:type="pct"/>
            <w:tcBorders>
              <w:top w:val="single" w:sz="4" w:space="0" w:color="000000"/>
              <w:left w:val="single" w:sz="4" w:space="0" w:color="000000"/>
              <w:bottom w:val="single" w:sz="4" w:space="0" w:color="000000"/>
              <w:right w:val="single" w:sz="4" w:space="0" w:color="000000"/>
            </w:tcBorders>
            <w:hideMark/>
          </w:tcPr>
          <w:p w14:paraId="1CBFDF5D" w14:textId="77777777" w:rsidR="00A76826" w:rsidRPr="004714C6" w:rsidRDefault="00A76826" w:rsidP="00F93262">
            <w:pPr>
              <w:widowControl w:val="0"/>
              <w:autoSpaceDE w:val="0"/>
              <w:autoSpaceDN w:val="0"/>
              <w:adjustRightInd w:val="0"/>
              <w:ind w:left="132" w:right="254"/>
              <w:jc w:val="center"/>
              <w:rPr>
                <w:kern w:val="2"/>
                <w:sz w:val="24"/>
                <w:szCs w:val="24"/>
                <w14:ligatures w14:val="standardContextual"/>
              </w:rPr>
            </w:pPr>
            <w:r w:rsidRPr="004714C6">
              <w:rPr>
                <w:kern w:val="2"/>
                <w:sz w:val="24"/>
                <w:szCs w:val="24"/>
                <w14:ligatures w14:val="standardContextual"/>
              </w:rPr>
              <w:t>1,52; 2,66</w:t>
            </w:r>
          </w:p>
        </w:tc>
      </w:tr>
    </w:tbl>
    <w:p w14:paraId="065B6631" w14:textId="77777777" w:rsidR="00A76826" w:rsidRPr="004714C6" w:rsidRDefault="00A76826" w:rsidP="00FB1973">
      <w:pPr>
        <w:ind w:left="851"/>
        <w:rPr>
          <w:sz w:val="24"/>
          <w:szCs w:val="24"/>
        </w:rPr>
      </w:pPr>
    </w:p>
    <w:p w14:paraId="7B6C2231" w14:textId="77777777" w:rsidR="00A76826" w:rsidRPr="004714C6" w:rsidRDefault="00A76826" w:rsidP="00FB1973">
      <w:pPr>
        <w:ind w:left="851"/>
        <w:rPr>
          <w:i/>
          <w:iCs/>
          <w:sz w:val="24"/>
          <w:szCs w:val="24"/>
        </w:rPr>
      </w:pPr>
      <w:r w:rsidRPr="004714C6">
        <w:rPr>
          <w:i/>
          <w:iCs/>
          <w:sz w:val="24"/>
          <w:szCs w:val="24"/>
        </w:rPr>
        <w:t>Forebyggelse af recidiverende DVT og LE hos voksne</w:t>
      </w:r>
    </w:p>
    <w:p w14:paraId="7E689B12" w14:textId="77777777" w:rsidR="00A76826" w:rsidRPr="004714C6" w:rsidRDefault="00A76826" w:rsidP="00FB1973">
      <w:pPr>
        <w:ind w:left="851"/>
        <w:rPr>
          <w:sz w:val="24"/>
          <w:szCs w:val="24"/>
        </w:rPr>
      </w:pPr>
    </w:p>
    <w:p w14:paraId="0E1209B0" w14:textId="77777777" w:rsidR="00A76826" w:rsidRPr="004714C6" w:rsidRDefault="00A76826" w:rsidP="00FB1973">
      <w:pPr>
        <w:ind w:left="851"/>
        <w:rPr>
          <w:sz w:val="24"/>
          <w:szCs w:val="24"/>
        </w:rPr>
      </w:pPr>
      <w:r w:rsidRPr="004714C6">
        <w:rPr>
          <w:sz w:val="24"/>
          <w:szCs w:val="24"/>
        </w:rPr>
        <w:t>I 2 randomiserede, dobbeltblinde, parallelgruppe</w:t>
      </w:r>
      <w:r w:rsidRPr="004714C6">
        <w:rPr>
          <w:sz w:val="24"/>
          <w:szCs w:val="24"/>
        </w:rPr>
        <w:noBreakHyphen/>
        <w:t>studier indgik tidligere antikoagulansbehandlede patienter. I RE-MEDY, som er et warfarinkontrolleret studie, indgik patienter tidligere behandlet i 3 til 12 måneder og med behov for yderligere antikoagulansbehandling, og i RE-SONATE, som er et placebokontrolleret studie, indgik patienter tidligere behandlet i 6 til 18 måneder med vitamin K</w:t>
      </w:r>
      <w:r w:rsidRPr="004714C6">
        <w:rPr>
          <w:sz w:val="24"/>
          <w:szCs w:val="24"/>
        </w:rPr>
        <w:noBreakHyphen/>
        <w:t>antagonist.</w:t>
      </w:r>
    </w:p>
    <w:p w14:paraId="650A5A0F" w14:textId="77777777" w:rsidR="00A76826" w:rsidRPr="004714C6" w:rsidRDefault="00A76826" w:rsidP="00FB1973">
      <w:pPr>
        <w:ind w:left="851"/>
        <w:rPr>
          <w:sz w:val="24"/>
          <w:szCs w:val="24"/>
        </w:rPr>
      </w:pPr>
    </w:p>
    <w:p w14:paraId="592DE955" w14:textId="77777777" w:rsidR="00A76826" w:rsidRPr="004714C6" w:rsidRDefault="00A76826" w:rsidP="00FB1973">
      <w:pPr>
        <w:ind w:left="851"/>
        <w:rPr>
          <w:sz w:val="24"/>
          <w:szCs w:val="24"/>
        </w:rPr>
      </w:pPr>
      <w:r w:rsidRPr="004714C6">
        <w:rPr>
          <w:sz w:val="24"/>
          <w:szCs w:val="24"/>
        </w:rPr>
        <w:t>Formålet med RE-MEDY</w:t>
      </w:r>
      <w:r w:rsidRPr="004714C6">
        <w:rPr>
          <w:sz w:val="24"/>
          <w:szCs w:val="24"/>
        </w:rPr>
        <w:noBreakHyphen/>
        <w:t>studiet var at sammenligne virkning og sikkerhed af oral dabigatranetexilat (150 mg 2 gange dagligt) med warfarin (behandlingsmål for INR: 2,0</w:t>
      </w:r>
      <w:r w:rsidRPr="004714C6">
        <w:rPr>
          <w:sz w:val="24"/>
          <w:szCs w:val="24"/>
        </w:rPr>
        <w:noBreakHyphen/>
        <w:t>3,0) ved langtidsbehandling og forebyggelse af recidiverende symptomatisk DVT og/eller LE. I alt randomiseredes 2.866 patienter, og 2.856 patienter blev behandlet. Varigheden af dabigatranetexilat</w:t>
      </w:r>
      <w:r w:rsidRPr="004714C6">
        <w:rPr>
          <w:sz w:val="24"/>
          <w:szCs w:val="24"/>
        </w:rPr>
        <w:noBreakHyphen/>
        <w:t>behandlingen varierede fra 6 til 36 måneder (median 534,0 dage). Patienter randomiseret til warfarin var i det terapeutiske interval (INR 2,0</w:t>
      </w:r>
      <w:r w:rsidRPr="004714C6">
        <w:rPr>
          <w:sz w:val="24"/>
          <w:szCs w:val="24"/>
        </w:rPr>
        <w:noBreakHyphen/>
        <w:t>3,0) i en mediantid på 64,9 %.</w:t>
      </w:r>
    </w:p>
    <w:p w14:paraId="515D53B2" w14:textId="77777777" w:rsidR="00A76826" w:rsidRPr="004714C6" w:rsidRDefault="00A76826" w:rsidP="00FB1973">
      <w:pPr>
        <w:ind w:left="851"/>
        <w:rPr>
          <w:sz w:val="24"/>
          <w:szCs w:val="24"/>
        </w:rPr>
      </w:pPr>
    </w:p>
    <w:p w14:paraId="0460AA23" w14:textId="77777777" w:rsidR="00A76826" w:rsidRPr="004714C6" w:rsidRDefault="00A76826" w:rsidP="00FB1973">
      <w:pPr>
        <w:ind w:left="851"/>
        <w:rPr>
          <w:sz w:val="24"/>
          <w:szCs w:val="24"/>
        </w:rPr>
      </w:pPr>
      <w:r w:rsidRPr="004714C6">
        <w:rPr>
          <w:sz w:val="24"/>
          <w:szCs w:val="24"/>
        </w:rPr>
        <w:t xml:space="preserve">RE-MEDY viste, at behandling med dabigatranetexilat 150 mg 2 gange dagligt er non-inferior i forhold til warfarin; non-inferioritetsmargin: 2,85 for </w:t>
      </w:r>
      <w:r w:rsidRPr="004714C6">
        <w:rPr>
          <w:i/>
          <w:iCs/>
          <w:sz w:val="24"/>
          <w:szCs w:val="24"/>
        </w:rPr>
        <w:t>hazard ratio</w:t>
      </w:r>
      <w:r w:rsidRPr="004714C6">
        <w:rPr>
          <w:sz w:val="24"/>
          <w:szCs w:val="24"/>
        </w:rPr>
        <w:t xml:space="preserve"> og 2,8 i risiko</w:t>
      </w:r>
      <w:r w:rsidRPr="004714C6">
        <w:rPr>
          <w:sz w:val="24"/>
          <w:szCs w:val="24"/>
        </w:rPr>
        <w:noBreakHyphen/>
        <w:t>forskel.</w:t>
      </w:r>
    </w:p>
    <w:p w14:paraId="0B6BA55C" w14:textId="77777777" w:rsidR="00A76826" w:rsidRPr="004714C6" w:rsidRDefault="00A76826" w:rsidP="00FB1973">
      <w:pPr>
        <w:ind w:left="851"/>
        <w:rPr>
          <w:sz w:val="24"/>
          <w:szCs w:val="24"/>
        </w:rPr>
      </w:pPr>
    </w:p>
    <w:p w14:paraId="3BB36714"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28:</w:t>
      </w:r>
      <w:r w:rsidRPr="004714C6">
        <w:rPr>
          <w:b/>
          <w:bCs/>
          <w:sz w:val="24"/>
          <w:szCs w:val="24"/>
        </w:rPr>
        <w:tab/>
        <w:t>Analyse af de primære og sekundære virkningsendepunkter (VTE er summen af DVT og/eller LE) indtil afslutning af perioden efter behandling for RE-MEDY-studiet</w:t>
      </w:r>
    </w:p>
    <w:p w14:paraId="6C864DFE"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4371"/>
        <w:gridCol w:w="2374"/>
        <w:gridCol w:w="2883"/>
      </w:tblGrid>
      <w:tr w:rsidR="00A76826" w:rsidRPr="004714C6" w14:paraId="1FB7861A"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tcPr>
          <w:p w14:paraId="776B0068" w14:textId="77777777" w:rsidR="00A76826" w:rsidRPr="004714C6" w:rsidRDefault="00A76826" w:rsidP="00FB1973">
            <w:pPr>
              <w:widowControl w:val="0"/>
              <w:autoSpaceDE w:val="0"/>
              <w:autoSpaceDN w:val="0"/>
              <w:adjustRightInd w:val="0"/>
              <w:ind w:right="74"/>
              <w:rPr>
                <w:kern w:val="2"/>
                <w:sz w:val="24"/>
                <w:szCs w:val="24"/>
                <w14:ligatures w14:val="standardContextual"/>
              </w:rPr>
            </w:pPr>
          </w:p>
        </w:tc>
        <w:tc>
          <w:tcPr>
            <w:tcW w:w="1233" w:type="pct"/>
            <w:tcBorders>
              <w:top w:val="single" w:sz="4" w:space="0" w:color="000000"/>
              <w:left w:val="single" w:sz="4" w:space="0" w:color="000000"/>
              <w:bottom w:val="single" w:sz="4" w:space="0" w:color="000000"/>
              <w:right w:val="single" w:sz="4" w:space="0" w:color="000000"/>
            </w:tcBorders>
            <w:hideMark/>
          </w:tcPr>
          <w:p w14:paraId="5EFB8ECA" w14:textId="77777777" w:rsidR="00A76826" w:rsidRPr="004714C6" w:rsidRDefault="00A76826" w:rsidP="00FB1973">
            <w:pPr>
              <w:widowControl w:val="0"/>
              <w:autoSpaceDE w:val="0"/>
              <w:autoSpaceDN w:val="0"/>
              <w:adjustRightInd w:val="0"/>
              <w:ind w:right="-20"/>
              <w:jc w:val="center"/>
              <w:rPr>
                <w:b/>
                <w:bCs/>
                <w:kern w:val="2"/>
                <w:sz w:val="24"/>
                <w:szCs w:val="24"/>
                <w14:ligatures w14:val="standardContextual"/>
              </w:rPr>
            </w:pPr>
            <w:r w:rsidRPr="004714C6">
              <w:rPr>
                <w:b/>
                <w:bCs/>
                <w:kern w:val="2"/>
                <w:sz w:val="24"/>
                <w:szCs w:val="24"/>
                <w14:ligatures w14:val="standardContextual"/>
              </w:rPr>
              <w:t>Dabigatranetexilat 150 mg 2 gange dagligt</w:t>
            </w:r>
          </w:p>
        </w:tc>
        <w:tc>
          <w:tcPr>
            <w:tcW w:w="1497" w:type="pct"/>
            <w:tcBorders>
              <w:top w:val="single" w:sz="4" w:space="0" w:color="000000"/>
              <w:left w:val="single" w:sz="4" w:space="0" w:color="000000"/>
              <w:bottom w:val="single" w:sz="4" w:space="0" w:color="000000"/>
              <w:right w:val="single" w:sz="4" w:space="0" w:color="000000"/>
            </w:tcBorders>
            <w:hideMark/>
          </w:tcPr>
          <w:p w14:paraId="73A1C2B5" w14:textId="77777777" w:rsidR="00A76826" w:rsidRPr="004714C6" w:rsidRDefault="00A76826" w:rsidP="00FB1973">
            <w:pPr>
              <w:widowControl w:val="0"/>
              <w:autoSpaceDE w:val="0"/>
              <w:autoSpaceDN w:val="0"/>
              <w:adjustRightInd w:val="0"/>
              <w:ind w:right="-20"/>
              <w:jc w:val="center"/>
              <w:rPr>
                <w:b/>
                <w:bCs/>
                <w:kern w:val="2"/>
                <w:sz w:val="24"/>
                <w:szCs w:val="24"/>
                <w14:ligatures w14:val="standardContextual"/>
              </w:rPr>
            </w:pPr>
            <w:r w:rsidRPr="004714C6">
              <w:rPr>
                <w:b/>
                <w:bCs/>
                <w:kern w:val="2"/>
                <w:sz w:val="24"/>
                <w:szCs w:val="24"/>
                <w14:ligatures w14:val="standardContextual"/>
              </w:rPr>
              <w:t>Warfarin</w:t>
            </w:r>
          </w:p>
        </w:tc>
      </w:tr>
      <w:tr w:rsidR="00A76826" w:rsidRPr="004714C6" w14:paraId="3F644257"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tcPr>
          <w:p w14:paraId="5EA06018" w14:textId="77777777" w:rsidR="00A76826" w:rsidRPr="004714C6" w:rsidRDefault="00A76826" w:rsidP="00FB1973">
            <w:pPr>
              <w:widowControl w:val="0"/>
              <w:autoSpaceDE w:val="0"/>
              <w:autoSpaceDN w:val="0"/>
              <w:adjustRightInd w:val="0"/>
              <w:ind w:right="74"/>
              <w:rPr>
                <w:kern w:val="2"/>
                <w:sz w:val="24"/>
                <w:szCs w:val="24"/>
                <w14:ligatures w14:val="standardContextual"/>
              </w:rPr>
            </w:pPr>
          </w:p>
        </w:tc>
        <w:tc>
          <w:tcPr>
            <w:tcW w:w="1233" w:type="pct"/>
            <w:tcBorders>
              <w:top w:val="single" w:sz="4" w:space="0" w:color="000000"/>
              <w:left w:val="single" w:sz="4" w:space="0" w:color="000000"/>
              <w:bottom w:val="single" w:sz="4" w:space="0" w:color="000000"/>
              <w:right w:val="single" w:sz="4" w:space="0" w:color="000000"/>
            </w:tcBorders>
            <w:hideMark/>
          </w:tcPr>
          <w:p w14:paraId="499371F4"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1.430</w:t>
            </w:r>
          </w:p>
        </w:tc>
        <w:tc>
          <w:tcPr>
            <w:tcW w:w="1497" w:type="pct"/>
            <w:tcBorders>
              <w:top w:val="single" w:sz="4" w:space="0" w:color="000000"/>
              <w:left w:val="single" w:sz="4" w:space="0" w:color="000000"/>
              <w:bottom w:val="single" w:sz="4" w:space="0" w:color="000000"/>
              <w:right w:val="single" w:sz="4" w:space="0" w:color="000000"/>
            </w:tcBorders>
            <w:hideMark/>
          </w:tcPr>
          <w:p w14:paraId="3887736F"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1.426</w:t>
            </w:r>
          </w:p>
        </w:tc>
      </w:tr>
      <w:tr w:rsidR="00A76826" w:rsidRPr="004714C6" w14:paraId="598BC8ED"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0451D55B"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Behandlede patienter</w:t>
            </w:r>
          </w:p>
        </w:tc>
        <w:tc>
          <w:tcPr>
            <w:tcW w:w="1233" w:type="pct"/>
            <w:tcBorders>
              <w:top w:val="single" w:sz="4" w:space="0" w:color="000000"/>
              <w:left w:val="single" w:sz="4" w:space="0" w:color="000000"/>
              <w:bottom w:val="single" w:sz="4" w:space="0" w:color="000000"/>
              <w:right w:val="single" w:sz="4" w:space="0" w:color="000000"/>
            </w:tcBorders>
            <w:hideMark/>
          </w:tcPr>
          <w:p w14:paraId="5272BE0D"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26 (1,8 %)</w:t>
            </w:r>
          </w:p>
        </w:tc>
        <w:tc>
          <w:tcPr>
            <w:tcW w:w="1497" w:type="pct"/>
            <w:tcBorders>
              <w:top w:val="single" w:sz="4" w:space="0" w:color="000000"/>
              <w:left w:val="single" w:sz="4" w:space="0" w:color="000000"/>
              <w:bottom w:val="single" w:sz="4" w:space="0" w:color="000000"/>
              <w:right w:val="single" w:sz="4" w:space="0" w:color="000000"/>
            </w:tcBorders>
            <w:hideMark/>
          </w:tcPr>
          <w:p w14:paraId="16F1E931"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18 (1,3 %)</w:t>
            </w:r>
          </w:p>
        </w:tc>
      </w:tr>
      <w:tr w:rsidR="00A76826" w:rsidRPr="004714C6" w14:paraId="48609210"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2A81AEA"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Recidiverende symptomatisk VTE og VTE-relateret død</w:t>
            </w:r>
          </w:p>
        </w:tc>
        <w:tc>
          <w:tcPr>
            <w:tcW w:w="1233" w:type="pct"/>
            <w:tcBorders>
              <w:top w:val="single" w:sz="4" w:space="0" w:color="000000"/>
              <w:left w:val="single" w:sz="4" w:space="0" w:color="000000"/>
              <w:bottom w:val="single" w:sz="4" w:space="0" w:color="000000"/>
              <w:right w:val="single" w:sz="4" w:space="0" w:color="000000"/>
            </w:tcBorders>
            <w:hideMark/>
          </w:tcPr>
          <w:p w14:paraId="661D75A5"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1.44</w:t>
            </w:r>
          </w:p>
        </w:tc>
        <w:tc>
          <w:tcPr>
            <w:tcW w:w="1497" w:type="pct"/>
            <w:tcBorders>
              <w:top w:val="single" w:sz="4" w:space="0" w:color="000000"/>
              <w:left w:val="single" w:sz="4" w:space="0" w:color="000000"/>
              <w:bottom w:val="single" w:sz="4" w:space="0" w:color="000000"/>
              <w:right w:val="single" w:sz="4" w:space="0" w:color="000000"/>
            </w:tcBorders>
          </w:tcPr>
          <w:p w14:paraId="133737B3"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p>
        </w:tc>
      </w:tr>
      <w:tr w:rsidR="00A76826" w:rsidRPr="004714C6" w14:paraId="4CB2DC90"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3BD046F4"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Hazard ratio vs. warfarin (95 % konfidensinterval)</w:t>
            </w:r>
          </w:p>
        </w:tc>
        <w:tc>
          <w:tcPr>
            <w:tcW w:w="1233" w:type="pct"/>
            <w:tcBorders>
              <w:top w:val="single" w:sz="4" w:space="0" w:color="000000"/>
              <w:left w:val="single" w:sz="4" w:space="0" w:color="000000"/>
              <w:bottom w:val="single" w:sz="4" w:space="0" w:color="000000"/>
              <w:right w:val="single" w:sz="4" w:space="0" w:color="000000"/>
            </w:tcBorders>
            <w:hideMark/>
          </w:tcPr>
          <w:p w14:paraId="403EE1FF"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(0,78; 2,64)</w:t>
            </w:r>
          </w:p>
        </w:tc>
        <w:tc>
          <w:tcPr>
            <w:tcW w:w="1497" w:type="pct"/>
            <w:tcBorders>
              <w:top w:val="single" w:sz="4" w:space="0" w:color="000000"/>
              <w:left w:val="single" w:sz="4" w:space="0" w:color="000000"/>
              <w:bottom w:val="single" w:sz="4" w:space="0" w:color="000000"/>
              <w:right w:val="single" w:sz="4" w:space="0" w:color="000000"/>
            </w:tcBorders>
          </w:tcPr>
          <w:p w14:paraId="4770C7EE"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p>
        </w:tc>
      </w:tr>
      <w:tr w:rsidR="00A76826" w:rsidRPr="004714C6" w14:paraId="0D0C6FF4"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04C457C2"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Non-inferioritetsmargin</w:t>
            </w:r>
          </w:p>
        </w:tc>
        <w:tc>
          <w:tcPr>
            <w:tcW w:w="1233" w:type="pct"/>
            <w:tcBorders>
              <w:top w:val="single" w:sz="4" w:space="0" w:color="000000"/>
              <w:left w:val="single" w:sz="4" w:space="0" w:color="000000"/>
              <w:bottom w:val="single" w:sz="4" w:space="0" w:color="000000"/>
              <w:right w:val="single" w:sz="4" w:space="0" w:color="000000"/>
            </w:tcBorders>
            <w:hideMark/>
          </w:tcPr>
          <w:p w14:paraId="7B675FFA"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2,85</w:t>
            </w:r>
          </w:p>
        </w:tc>
        <w:tc>
          <w:tcPr>
            <w:tcW w:w="1497" w:type="pct"/>
            <w:tcBorders>
              <w:top w:val="single" w:sz="4" w:space="0" w:color="000000"/>
              <w:left w:val="single" w:sz="4" w:space="0" w:color="000000"/>
              <w:bottom w:val="single" w:sz="4" w:space="0" w:color="000000"/>
              <w:right w:val="single" w:sz="4" w:space="0" w:color="000000"/>
            </w:tcBorders>
            <w:hideMark/>
          </w:tcPr>
          <w:p w14:paraId="47D9E3FE"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17</w:t>
            </w:r>
          </w:p>
        </w:tc>
      </w:tr>
      <w:tr w:rsidR="00A76826" w:rsidRPr="004714C6" w14:paraId="4D08D56F"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312F8D9A"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Patienter med bivirkning ved 18 måneder</w:t>
            </w:r>
          </w:p>
        </w:tc>
        <w:tc>
          <w:tcPr>
            <w:tcW w:w="1233" w:type="pct"/>
            <w:tcBorders>
              <w:top w:val="single" w:sz="4" w:space="0" w:color="000000"/>
              <w:left w:val="single" w:sz="4" w:space="0" w:color="000000"/>
              <w:bottom w:val="single" w:sz="4" w:space="0" w:color="000000"/>
              <w:right w:val="single" w:sz="4" w:space="0" w:color="000000"/>
            </w:tcBorders>
            <w:hideMark/>
          </w:tcPr>
          <w:p w14:paraId="08581C00"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22</w:t>
            </w:r>
          </w:p>
        </w:tc>
        <w:tc>
          <w:tcPr>
            <w:tcW w:w="1497" w:type="pct"/>
            <w:tcBorders>
              <w:top w:val="single" w:sz="4" w:space="0" w:color="000000"/>
              <w:left w:val="single" w:sz="4" w:space="0" w:color="000000"/>
              <w:bottom w:val="single" w:sz="4" w:space="0" w:color="000000"/>
              <w:right w:val="single" w:sz="4" w:space="0" w:color="000000"/>
            </w:tcBorders>
            <w:hideMark/>
          </w:tcPr>
          <w:p w14:paraId="3736D151"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1,4</w:t>
            </w:r>
          </w:p>
        </w:tc>
      </w:tr>
      <w:tr w:rsidR="00A76826" w:rsidRPr="004714C6" w14:paraId="32B30BA2"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6F0E853"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Samlet risiko ved 18 måneder (%)</w:t>
            </w:r>
          </w:p>
        </w:tc>
        <w:tc>
          <w:tcPr>
            <w:tcW w:w="1233" w:type="pct"/>
            <w:tcBorders>
              <w:top w:val="single" w:sz="4" w:space="0" w:color="000000"/>
              <w:left w:val="single" w:sz="4" w:space="0" w:color="000000"/>
              <w:bottom w:val="single" w:sz="4" w:space="0" w:color="000000"/>
              <w:right w:val="single" w:sz="4" w:space="0" w:color="000000"/>
            </w:tcBorders>
            <w:hideMark/>
          </w:tcPr>
          <w:p w14:paraId="430DB2A9"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1,7</w:t>
            </w:r>
          </w:p>
        </w:tc>
        <w:tc>
          <w:tcPr>
            <w:tcW w:w="1497" w:type="pct"/>
            <w:tcBorders>
              <w:top w:val="single" w:sz="4" w:space="0" w:color="000000"/>
              <w:left w:val="single" w:sz="4" w:space="0" w:color="000000"/>
              <w:bottom w:val="single" w:sz="4" w:space="0" w:color="000000"/>
              <w:right w:val="single" w:sz="4" w:space="0" w:color="000000"/>
            </w:tcBorders>
          </w:tcPr>
          <w:p w14:paraId="7F8BD68E"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p>
        </w:tc>
      </w:tr>
      <w:tr w:rsidR="00A76826" w:rsidRPr="004714C6" w14:paraId="225E3D99"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9D21E0B"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Risikoforskel vs. warfarin (%)</w:t>
            </w:r>
          </w:p>
        </w:tc>
        <w:tc>
          <w:tcPr>
            <w:tcW w:w="1233" w:type="pct"/>
            <w:tcBorders>
              <w:top w:val="single" w:sz="4" w:space="0" w:color="000000"/>
              <w:left w:val="single" w:sz="4" w:space="0" w:color="000000"/>
              <w:bottom w:val="single" w:sz="4" w:space="0" w:color="000000"/>
              <w:right w:val="single" w:sz="4" w:space="0" w:color="000000"/>
            </w:tcBorders>
            <w:hideMark/>
          </w:tcPr>
          <w:p w14:paraId="2CD75DD2"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0,4</w:t>
            </w:r>
          </w:p>
        </w:tc>
        <w:tc>
          <w:tcPr>
            <w:tcW w:w="1497" w:type="pct"/>
            <w:tcBorders>
              <w:top w:val="single" w:sz="4" w:space="0" w:color="000000"/>
              <w:left w:val="single" w:sz="4" w:space="0" w:color="000000"/>
              <w:bottom w:val="single" w:sz="4" w:space="0" w:color="000000"/>
              <w:right w:val="single" w:sz="4" w:space="0" w:color="000000"/>
            </w:tcBorders>
          </w:tcPr>
          <w:p w14:paraId="5D370240"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p>
        </w:tc>
      </w:tr>
      <w:tr w:rsidR="00A76826" w:rsidRPr="004714C6" w14:paraId="0E1B899F"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46DE316"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95 % konfidensinterval</w:t>
            </w:r>
          </w:p>
        </w:tc>
        <w:tc>
          <w:tcPr>
            <w:tcW w:w="1233" w:type="pct"/>
            <w:tcBorders>
              <w:top w:val="single" w:sz="4" w:space="0" w:color="000000"/>
              <w:left w:val="single" w:sz="4" w:space="0" w:color="000000"/>
              <w:bottom w:val="single" w:sz="4" w:space="0" w:color="000000"/>
              <w:right w:val="single" w:sz="4" w:space="0" w:color="000000"/>
            </w:tcBorders>
          </w:tcPr>
          <w:p w14:paraId="56AD87ED"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p>
        </w:tc>
        <w:tc>
          <w:tcPr>
            <w:tcW w:w="1497" w:type="pct"/>
            <w:tcBorders>
              <w:top w:val="single" w:sz="4" w:space="0" w:color="000000"/>
              <w:left w:val="single" w:sz="4" w:space="0" w:color="000000"/>
              <w:bottom w:val="single" w:sz="4" w:space="0" w:color="000000"/>
              <w:right w:val="single" w:sz="4" w:space="0" w:color="000000"/>
            </w:tcBorders>
          </w:tcPr>
          <w:p w14:paraId="5A446D22"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p>
        </w:tc>
      </w:tr>
      <w:tr w:rsidR="00A76826" w:rsidRPr="004714C6" w14:paraId="453FFDF5"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517B4B30"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Non-inferioritetsmargin</w:t>
            </w:r>
          </w:p>
        </w:tc>
        <w:tc>
          <w:tcPr>
            <w:tcW w:w="1233" w:type="pct"/>
            <w:tcBorders>
              <w:top w:val="single" w:sz="4" w:space="0" w:color="000000"/>
              <w:left w:val="single" w:sz="4" w:space="0" w:color="000000"/>
              <w:bottom w:val="single" w:sz="4" w:space="0" w:color="000000"/>
              <w:right w:val="single" w:sz="4" w:space="0" w:color="000000"/>
            </w:tcBorders>
            <w:hideMark/>
          </w:tcPr>
          <w:p w14:paraId="020053A6"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2,8</w:t>
            </w:r>
          </w:p>
        </w:tc>
        <w:tc>
          <w:tcPr>
            <w:tcW w:w="1497" w:type="pct"/>
            <w:tcBorders>
              <w:top w:val="single" w:sz="4" w:space="0" w:color="000000"/>
              <w:left w:val="single" w:sz="4" w:space="0" w:color="000000"/>
              <w:bottom w:val="single" w:sz="4" w:space="0" w:color="000000"/>
              <w:right w:val="single" w:sz="4" w:space="0" w:color="000000"/>
            </w:tcBorders>
          </w:tcPr>
          <w:p w14:paraId="6195A74C"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p>
        </w:tc>
      </w:tr>
      <w:tr w:rsidR="00A76826" w:rsidRPr="004714C6" w14:paraId="52BCFABC"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42FE6756"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Sekundære virkningsendepunkter</w:t>
            </w:r>
          </w:p>
        </w:tc>
        <w:tc>
          <w:tcPr>
            <w:tcW w:w="1233" w:type="pct"/>
            <w:tcBorders>
              <w:top w:val="single" w:sz="4" w:space="0" w:color="000000"/>
              <w:left w:val="single" w:sz="4" w:space="0" w:color="000000"/>
              <w:bottom w:val="single" w:sz="4" w:space="0" w:color="000000"/>
              <w:right w:val="single" w:sz="4" w:space="0" w:color="000000"/>
            </w:tcBorders>
          </w:tcPr>
          <w:p w14:paraId="34CF2516"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p>
        </w:tc>
        <w:tc>
          <w:tcPr>
            <w:tcW w:w="1497" w:type="pct"/>
            <w:tcBorders>
              <w:top w:val="single" w:sz="4" w:space="0" w:color="000000"/>
              <w:left w:val="single" w:sz="4" w:space="0" w:color="000000"/>
              <w:bottom w:val="single" w:sz="4" w:space="0" w:color="000000"/>
              <w:right w:val="single" w:sz="4" w:space="0" w:color="000000"/>
            </w:tcBorders>
            <w:hideMark/>
          </w:tcPr>
          <w:p w14:paraId="09CE847A"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36 (2,5 %)</w:t>
            </w:r>
          </w:p>
        </w:tc>
      </w:tr>
      <w:tr w:rsidR="00A76826" w:rsidRPr="004714C6" w14:paraId="7849FC1D"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36EBE3E7"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Recidiverende symptomatisk VTE og død uanset årsag</w:t>
            </w:r>
          </w:p>
        </w:tc>
        <w:tc>
          <w:tcPr>
            <w:tcW w:w="1233" w:type="pct"/>
            <w:tcBorders>
              <w:top w:val="single" w:sz="4" w:space="0" w:color="000000"/>
              <w:left w:val="single" w:sz="4" w:space="0" w:color="000000"/>
              <w:bottom w:val="single" w:sz="4" w:space="0" w:color="000000"/>
              <w:right w:val="single" w:sz="4" w:space="0" w:color="000000"/>
            </w:tcBorders>
            <w:hideMark/>
          </w:tcPr>
          <w:p w14:paraId="1292D416"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42 (2,9 %)</w:t>
            </w:r>
          </w:p>
        </w:tc>
        <w:tc>
          <w:tcPr>
            <w:tcW w:w="1497" w:type="pct"/>
            <w:tcBorders>
              <w:top w:val="single" w:sz="4" w:space="0" w:color="000000"/>
              <w:left w:val="single" w:sz="4" w:space="0" w:color="000000"/>
              <w:bottom w:val="single" w:sz="4" w:space="0" w:color="000000"/>
              <w:right w:val="single" w:sz="4" w:space="0" w:color="000000"/>
            </w:tcBorders>
            <w:hideMark/>
          </w:tcPr>
          <w:p w14:paraId="25DF0831"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1,77; 3,48</w:t>
            </w:r>
          </w:p>
        </w:tc>
      </w:tr>
      <w:tr w:rsidR="00A76826" w:rsidRPr="004714C6" w14:paraId="5818C234"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4959ED34"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95 % konfidensinterval</w:t>
            </w:r>
          </w:p>
        </w:tc>
        <w:tc>
          <w:tcPr>
            <w:tcW w:w="1233" w:type="pct"/>
            <w:tcBorders>
              <w:top w:val="single" w:sz="4" w:space="0" w:color="000000"/>
              <w:left w:val="single" w:sz="4" w:space="0" w:color="000000"/>
              <w:bottom w:val="single" w:sz="4" w:space="0" w:color="000000"/>
              <w:right w:val="single" w:sz="4" w:space="0" w:color="000000"/>
            </w:tcBorders>
            <w:hideMark/>
          </w:tcPr>
          <w:p w14:paraId="19EDC9B9"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2,12; 3,95</w:t>
            </w:r>
          </w:p>
        </w:tc>
        <w:tc>
          <w:tcPr>
            <w:tcW w:w="1497" w:type="pct"/>
            <w:tcBorders>
              <w:top w:val="single" w:sz="4" w:space="0" w:color="000000"/>
              <w:left w:val="single" w:sz="4" w:space="0" w:color="000000"/>
              <w:bottom w:val="single" w:sz="4" w:space="0" w:color="000000"/>
              <w:right w:val="single" w:sz="4" w:space="0" w:color="000000"/>
            </w:tcBorders>
            <w:hideMark/>
          </w:tcPr>
          <w:p w14:paraId="52606BEA"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13 (0,9 %)</w:t>
            </w:r>
          </w:p>
        </w:tc>
      </w:tr>
      <w:tr w:rsidR="00A76826" w:rsidRPr="004714C6" w14:paraId="61519838"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48DF28B2"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Symptomatisk DVT</w:t>
            </w:r>
          </w:p>
        </w:tc>
        <w:tc>
          <w:tcPr>
            <w:tcW w:w="1233" w:type="pct"/>
            <w:tcBorders>
              <w:top w:val="single" w:sz="4" w:space="0" w:color="000000"/>
              <w:left w:val="single" w:sz="4" w:space="0" w:color="000000"/>
              <w:bottom w:val="single" w:sz="4" w:space="0" w:color="000000"/>
              <w:right w:val="single" w:sz="4" w:space="0" w:color="000000"/>
            </w:tcBorders>
            <w:hideMark/>
          </w:tcPr>
          <w:p w14:paraId="34290C68"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17 (1,2 %)</w:t>
            </w:r>
          </w:p>
        </w:tc>
        <w:tc>
          <w:tcPr>
            <w:tcW w:w="1497" w:type="pct"/>
            <w:tcBorders>
              <w:top w:val="single" w:sz="4" w:space="0" w:color="000000"/>
              <w:left w:val="single" w:sz="4" w:space="0" w:color="000000"/>
              <w:bottom w:val="single" w:sz="4" w:space="0" w:color="000000"/>
              <w:right w:val="single" w:sz="4" w:space="0" w:color="000000"/>
            </w:tcBorders>
            <w:hideMark/>
          </w:tcPr>
          <w:p w14:paraId="25CDC028"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0,49; 1,55</w:t>
            </w:r>
          </w:p>
        </w:tc>
      </w:tr>
      <w:tr w:rsidR="00A76826" w:rsidRPr="004714C6" w14:paraId="7E5E3E84"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2498672"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95 % konfidensinterval</w:t>
            </w:r>
          </w:p>
        </w:tc>
        <w:tc>
          <w:tcPr>
            <w:tcW w:w="1233" w:type="pct"/>
            <w:tcBorders>
              <w:top w:val="single" w:sz="4" w:space="0" w:color="000000"/>
              <w:left w:val="single" w:sz="4" w:space="0" w:color="000000"/>
              <w:bottom w:val="single" w:sz="4" w:space="0" w:color="000000"/>
              <w:right w:val="single" w:sz="4" w:space="0" w:color="000000"/>
            </w:tcBorders>
            <w:hideMark/>
          </w:tcPr>
          <w:p w14:paraId="29B77EAF"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0,69; 1,90</w:t>
            </w:r>
          </w:p>
        </w:tc>
        <w:tc>
          <w:tcPr>
            <w:tcW w:w="1497" w:type="pct"/>
            <w:tcBorders>
              <w:top w:val="single" w:sz="4" w:space="0" w:color="000000"/>
              <w:left w:val="single" w:sz="4" w:space="0" w:color="000000"/>
              <w:bottom w:val="single" w:sz="4" w:space="0" w:color="000000"/>
              <w:right w:val="single" w:sz="4" w:space="0" w:color="000000"/>
            </w:tcBorders>
            <w:hideMark/>
          </w:tcPr>
          <w:p w14:paraId="7F83CD0C"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5 (0,4 %)</w:t>
            </w:r>
          </w:p>
        </w:tc>
      </w:tr>
      <w:tr w:rsidR="00A76826" w:rsidRPr="004714C6" w14:paraId="35CBBA22"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00914338"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Symptomatisk LE</w:t>
            </w:r>
          </w:p>
        </w:tc>
        <w:tc>
          <w:tcPr>
            <w:tcW w:w="1233" w:type="pct"/>
            <w:tcBorders>
              <w:top w:val="single" w:sz="4" w:space="0" w:color="000000"/>
              <w:left w:val="single" w:sz="4" w:space="0" w:color="000000"/>
              <w:bottom w:val="single" w:sz="4" w:space="0" w:color="000000"/>
              <w:right w:val="single" w:sz="4" w:space="0" w:color="000000"/>
            </w:tcBorders>
            <w:hideMark/>
          </w:tcPr>
          <w:p w14:paraId="5FCC7928"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10 (0,7 %)</w:t>
            </w:r>
          </w:p>
        </w:tc>
        <w:tc>
          <w:tcPr>
            <w:tcW w:w="1497" w:type="pct"/>
            <w:tcBorders>
              <w:top w:val="single" w:sz="4" w:space="0" w:color="000000"/>
              <w:left w:val="single" w:sz="4" w:space="0" w:color="000000"/>
              <w:bottom w:val="single" w:sz="4" w:space="0" w:color="000000"/>
              <w:right w:val="single" w:sz="4" w:space="0" w:color="000000"/>
            </w:tcBorders>
            <w:hideMark/>
          </w:tcPr>
          <w:p w14:paraId="4250EE1E"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0,11; 0,82</w:t>
            </w:r>
          </w:p>
        </w:tc>
      </w:tr>
      <w:tr w:rsidR="00A76826" w:rsidRPr="004714C6" w14:paraId="5B3EC786"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3B07DE5"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95 % konfidensinterval</w:t>
            </w:r>
          </w:p>
        </w:tc>
        <w:tc>
          <w:tcPr>
            <w:tcW w:w="1233" w:type="pct"/>
            <w:tcBorders>
              <w:top w:val="single" w:sz="4" w:space="0" w:color="000000"/>
              <w:left w:val="single" w:sz="4" w:space="0" w:color="000000"/>
              <w:bottom w:val="single" w:sz="4" w:space="0" w:color="000000"/>
              <w:right w:val="single" w:sz="4" w:space="0" w:color="000000"/>
            </w:tcBorders>
            <w:hideMark/>
          </w:tcPr>
          <w:p w14:paraId="04DAA857"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0,34; 1,28</w:t>
            </w:r>
          </w:p>
        </w:tc>
        <w:tc>
          <w:tcPr>
            <w:tcW w:w="1497" w:type="pct"/>
            <w:tcBorders>
              <w:top w:val="single" w:sz="4" w:space="0" w:color="000000"/>
              <w:left w:val="single" w:sz="4" w:space="0" w:color="000000"/>
              <w:bottom w:val="single" w:sz="4" w:space="0" w:color="000000"/>
              <w:right w:val="single" w:sz="4" w:space="0" w:color="000000"/>
            </w:tcBorders>
            <w:hideMark/>
          </w:tcPr>
          <w:p w14:paraId="5378C588"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 (0,1 %)</w:t>
            </w:r>
          </w:p>
        </w:tc>
      </w:tr>
      <w:tr w:rsidR="00A76826" w:rsidRPr="004714C6" w14:paraId="509166E2"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127946B6"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VTE-relateret død</w:t>
            </w:r>
          </w:p>
        </w:tc>
        <w:tc>
          <w:tcPr>
            <w:tcW w:w="1233" w:type="pct"/>
            <w:tcBorders>
              <w:top w:val="single" w:sz="4" w:space="0" w:color="000000"/>
              <w:left w:val="single" w:sz="4" w:space="0" w:color="000000"/>
              <w:bottom w:val="single" w:sz="4" w:space="0" w:color="000000"/>
              <w:right w:val="single" w:sz="4" w:space="0" w:color="000000"/>
            </w:tcBorders>
            <w:hideMark/>
          </w:tcPr>
          <w:p w14:paraId="519A5E3A"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 (0,1 %)</w:t>
            </w:r>
          </w:p>
        </w:tc>
        <w:tc>
          <w:tcPr>
            <w:tcW w:w="1497" w:type="pct"/>
            <w:tcBorders>
              <w:top w:val="single" w:sz="4" w:space="0" w:color="000000"/>
              <w:left w:val="single" w:sz="4" w:space="0" w:color="000000"/>
              <w:bottom w:val="single" w:sz="4" w:space="0" w:color="000000"/>
              <w:right w:val="single" w:sz="4" w:space="0" w:color="000000"/>
            </w:tcBorders>
            <w:hideMark/>
          </w:tcPr>
          <w:p w14:paraId="2A1DB40F"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0,00; 0,39</w:t>
            </w:r>
          </w:p>
        </w:tc>
      </w:tr>
      <w:tr w:rsidR="00A76826" w:rsidRPr="004714C6" w14:paraId="70EE9285"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7524D838"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95 % konfidensinterval</w:t>
            </w:r>
          </w:p>
        </w:tc>
        <w:tc>
          <w:tcPr>
            <w:tcW w:w="1233" w:type="pct"/>
            <w:tcBorders>
              <w:top w:val="single" w:sz="4" w:space="0" w:color="000000"/>
              <w:left w:val="single" w:sz="4" w:space="0" w:color="000000"/>
              <w:bottom w:val="single" w:sz="4" w:space="0" w:color="000000"/>
              <w:right w:val="single" w:sz="4" w:space="0" w:color="000000"/>
            </w:tcBorders>
            <w:hideMark/>
          </w:tcPr>
          <w:p w14:paraId="2187E0AB"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0,00; 0,39</w:t>
            </w:r>
          </w:p>
        </w:tc>
        <w:tc>
          <w:tcPr>
            <w:tcW w:w="1497" w:type="pct"/>
            <w:tcBorders>
              <w:top w:val="single" w:sz="4" w:space="0" w:color="000000"/>
              <w:left w:val="single" w:sz="4" w:space="0" w:color="000000"/>
              <w:bottom w:val="single" w:sz="4" w:space="0" w:color="000000"/>
              <w:right w:val="single" w:sz="4" w:space="0" w:color="000000"/>
            </w:tcBorders>
            <w:hideMark/>
          </w:tcPr>
          <w:p w14:paraId="74C2D191"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19 (1,3 %)</w:t>
            </w:r>
          </w:p>
        </w:tc>
      </w:tr>
      <w:tr w:rsidR="00A76826" w:rsidRPr="004714C6" w14:paraId="71262A85"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0B77F96C"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Død uanset årsag</w:t>
            </w:r>
          </w:p>
        </w:tc>
        <w:tc>
          <w:tcPr>
            <w:tcW w:w="1233" w:type="pct"/>
            <w:tcBorders>
              <w:top w:val="single" w:sz="4" w:space="0" w:color="000000"/>
              <w:left w:val="single" w:sz="4" w:space="0" w:color="000000"/>
              <w:bottom w:val="single" w:sz="4" w:space="0" w:color="000000"/>
              <w:right w:val="single" w:sz="4" w:space="0" w:color="000000"/>
            </w:tcBorders>
            <w:hideMark/>
          </w:tcPr>
          <w:p w14:paraId="14A85684"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17 (1,2 %)</w:t>
            </w:r>
          </w:p>
        </w:tc>
        <w:tc>
          <w:tcPr>
            <w:tcW w:w="1497" w:type="pct"/>
            <w:tcBorders>
              <w:top w:val="single" w:sz="4" w:space="0" w:color="000000"/>
              <w:left w:val="single" w:sz="4" w:space="0" w:color="000000"/>
              <w:bottom w:val="single" w:sz="4" w:space="0" w:color="000000"/>
              <w:right w:val="single" w:sz="4" w:space="0" w:color="000000"/>
            </w:tcBorders>
            <w:hideMark/>
          </w:tcPr>
          <w:p w14:paraId="190BB4DC"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0,80; 2,07</w:t>
            </w:r>
          </w:p>
        </w:tc>
      </w:tr>
      <w:tr w:rsidR="00A76826" w:rsidRPr="004714C6" w14:paraId="5FC9768C" w14:textId="77777777" w:rsidTr="00FB1973">
        <w:trPr>
          <w:trHeight w:val="20"/>
        </w:trPr>
        <w:tc>
          <w:tcPr>
            <w:tcW w:w="2270" w:type="pct"/>
            <w:tcBorders>
              <w:top w:val="single" w:sz="4" w:space="0" w:color="000000"/>
              <w:left w:val="single" w:sz="4" w:space="0" w:color="000000"/>
              <w:bottom w:val="single" w:sz="4" w:space="0" w:color="000000"/>
              <w:right w:val="single" w:sz="4" w:space="0" w:color="000000"/>
            </w:tcBorders>
            <w:hideMark/>
          </w:tcPr>
          <w:p w14:paraId="603A1EE9" w14:textId="77777777" w:rsidR="00A76826" w:rsidRPr="004714C6" w:rsidRDefault="00A76826" w:rsidP="00FB1973">
            <w:pPr>
              <w:widowControl w:val="0"/>
              <w:autoSpaceDE w:val="0"/>
              <w:autoSpaceDN w:val="0"/>
              <w:adjustRightInd w:val="0"/>
              <w:ind w:right="74"/>
              <w:rPr>
                <w:kern w:val="2"/>
                <w:sz w:val="24"/>
                <w:szCs w:val="24"/>
                <w14:ligatures w14:val="standardContextual"/>
              </w:rPr>
            </w:pPr>
            <w:r w:rsidRPr="004714C6">
              <w:rPr>
                <w:kern w:val="2"/>
                <w:sz w:val="24"/>
                <w:szCs w:val="24"/>
                <w14:ligatures w14:val="standardContextual"/>
              </w:rPr>
              <w:t>95 % konfidensinterval</w:t>
            </w:r>
          </w:p>
        </w:tc>
        <w:tc>
          <w:tcPr>
            <w:tcW w:w="1233" w:type="pct"/>
            <w:tcBorders>
              <w:top w:val="single" w:sz="4" w:space="0" w:color="000000"/>
              <w:left w:val="single" w:sz="4" w:space="0" w:color="000000"/>
              <w:bottom w:val="single" w:sz="4" w:space="0" w:color="000000"/>
              <w:right w:val="single" w:sz="4" w:space="0" w:color="000000"/>
            </w:tcBorders>
            <w:hideMark/>
          </w:tcPr>
          <w:p w14:paraId="30C0AE62"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0,69; 1,90</w:t>
            </w:r>
          </w:p>
        </w:tc>
        <w:tc>
          <w:tcPr>
            <w:tcW w:w="1497" w:type="pct"/>
            <w:tcBorders>
              <w:top w:val="single" w:sz="4" w:space="0" w:color="000000"/>
              <w:left w:val="single" w:sz="4" w:space="0" w:color="000000"/>
              <w:bottom w:val="single" w:sz="4" w:space="0" w:color="000000"/>
              <w:right w:val="single" w:sz="4" w:space="0" w:color="000000"/>
            </w:tcBorders>
            <w:hideMark/>
          </w:tcPr>
          <w:p w14:paraId="6AEEA1FE" w14:textId="77777777" w:rsidR="00A76826" w:rsidRPr="004714C6" w:rsidRDefault="00A76826" w:rsidP="00FB1973">
            <w:pPr>
              <w:widowControl w:val="0"/>
              <w:autoSpaceDE w:val="0"/>
              <w:autoSpaceDN w:val="0"/>
              <w:adjustRightInd w:val="0"/>
              <w:ind w:right="-20"/>
              <w:jc w:val="center"/>
              <w:rPr>
                <w:kern w:val="2"/>
                <w:sz w:val="24"/>
                <w:szCs w:val="24"/>
                <w14:ligatures w14:val="standardContextual"/>
              </w:rPr>
            </w:pPr>
            <w:r w:rsidRPr="004714C6">
              <w:rPr>
                <w:kern w:val="2"/>
                <w:sz w:val="24"/>
                <w:szCs w:val="24"/>
                <w14:ligatures w14:val="standardContextual"/>
              </w:rPr>
              <w:t>0,80; 2,07</w:t>
            </w:r>
          </w:p>
        </w:tc>
      </w:tr>
    </w:tbl>
    <w:p w14:paraId="786600FD" w14:textId="77777777" w:rsidR="00A76826" w:rsidRPr="004714C6" w:rsidRDefault="00A76826" w:rsidP="00FB1973">
      <w:pPr>
        <w:ind w:left="851"/>
        <w:rPr>
          <w:sz w:val="24"/>
          <w:szCs w:val="24"/>
        </w:rPr>
      </w:pPr>
    </w:p>
    <w:p w14:paraId="7C40DAD3" w14:textId="77777777" w:rsidR="00A76826" w:rsidRPr="004714C6" w:rsidRDefault="00A76826" w:rsidP="00FB1973">
      <w:pPr>
        <w:ind w:left="851"/>
        <w:rPr>
          <w:sz w:val="24"/>
          <w:szCs w:val="24"/>
        </w:rPr>
      </w:pPr>
      <w:r w:rsidRPr="004714C6">
        <w:rPr>
          <w:sz w:val="24"/>
          <w:szCs w:val="24"/>
        </w:rPr>
        <w:t>Formålet med RE-SONATE</w:t>
      </w:r>
      <w:r w:rsidRPr="004714C6">
        <w:rPr>
          <w:sz w:val="24"/>
          <w:szCs w:val="24"/>
        </w:rPr>
        <w:noBreakHyphen/>
        <w:t xml:space="preserve">studiet var at vurdere dabigatranetexilats superioritet </w:t>
      </w:r>
      <w:r w:rsidRPr="004714C6">
        <w:rPr>
          <w:i/>
          <w:iCs/>
          <w:sz w:val="24"/>
          <w:szCs w:val="24"/>
        </w:rPr>
        <w:t>versus</w:t>
      </w:r>
      <w:r w:rsidRPr="004714C6">
        <w:rPr>
          <w:sz w:val="24"/>
          <w:szCs w:val="24"/>
        </w:rPr>
        <w:t xml:space="preserve"> placebo ved forebyggelse af recidiverende symptomatisk DVT og/eller LE hos patienter tidligere behandlet med VKA i 6 til 18 måneder. Den tilsigtede behandling var 6 måneders dabigatranetexilat 150 mg 2 gange dagligt uden behov for monitorering.</w:t>
      </w:r>
    </w:p>
    <w:p w14:paraId="5F17C6AA" w14:textId="77777777" w:rsidR="00A76826" w:rsidRPr="004714C6" w:rsidRDefault="00A76826" w:rsidP="00FB1973">
      <w:pPr>
        <w:ind w:left="851"/>
        <w:rPr>
          <w:sz w:val="24"/>
          <w:szCs w:val="24"/>
        </w:rPr>
      </w:pPr>
    </w:p>
    <w:p w14:paraId="2E2D44E5" w14:textId="77777777" w:rsidR="00A76826" w:rsidRPr="004714C6" w:rsidRDefault="00A76826" w:rsidP="00FB1973">
      <w:pPr>
        <w:ind w:left="851"/>
        <w:rPr>
          <w:sz w:val="24"/>
          <w:szCs w:val="24"/>
        </w:rPr>
      </w:pPr>
      <w:r w:rsidRPr="004714C6">
        <w:rPr>
          <w:sz w:val="24"/>
          <w:szCs w:val="24"/>
        </w:rPr>
        <w:t xml:space="preserve">RE-SONATE viste, at dabigatranetexilat var superior overfor placebo til forebyggelse af recidiverende symptomatisk DVT/LE inklusive uforklarlig død i behandlingsperioden (p &lt; 0,0001), med en risikoreduktion fra 5,6 % til 0,4 % (relativ risikoreduktion på 92 % baseret på </w:t>
      </w:r>
      <w:r w:rsidRPr="004714C6">
        <w:rPr>
          <w:i/>
          <w:iCs/>
          <w:sz w:val="24"/>
          <w:szCs w:val="24"/>
        </w:rPr>
        <w:t>hazard ratio</w:t>
      </w:r>
      <w:r w:rsidRPr="004714C6">
        <w:rPr>
          <w:sz w:val="24"/>
          <w:szCs w:val="24"/>
        </w:rPr>
        <w:t>). Alle sekundære analyser og sensitivitetsanalyser af det primære endepunkt og alle sekundære endepunkter viste, at dabigatranetexilat var superior overfor placebo.</w:t>
      </w:r>
    </w:p>
    <w:p w14:paraId="19B8D691" w14:textId="77777777" w:rsidR="00A76826" w:rsidRPr="004714C6" w:rsidRDefault="00A76826" w:rsidP="00FB1973">
      <w:pPr>
        <w:ind w:left="851"/>
        <w:rPr>
          <w:sz w:val="24"/>
          <w:szCs w:val="24"/>
        </w:rPr>
      </w:pPr>
    </w:p>
    <w:p w14:paraId="630C3631" w14:textId="77777777" w:rsidR="00A76826" w:rsidRPr="004714C6" w:rsidRDefault="00A76826" w:rsidP="00FB1973">
      <w:pPr>
        <w:ind w:left="851"/>
        <w:rPr>
          <w:sz w:val="24"/>
          <w:szCs w:val="24"/>
        </w:rPr>
      </w:pPr>
      <w:r w:rsidRPr="004714C6">
        <w:rPr>
          <w:sz w:val="24"/>
          <w:szCs w:val="24"/>
        </w:rPr>
        <w:t>RE</w:t>
      </w:r>
      <w:r w:rsidRPr="004714C6">
        <w:rPr>
          <w:sz w:val="24"/>
          <w:szCs w:val="24"/>
        </w:rPr>
        <w:noBreakHyphen/>
        <w:t>SONATE</w:t>
      </w:r>
      <w:r w:rsidRPr="004714C6">
        <w:rPr>
          <w:sz w:val="24"/>
          <w:szCs w:val="24"/>
        </w:rPr>
        <w:noBreakHyphen/>
        <w:t xml:space="preserve">studiet inkluderede en opfølgende observationsperiode på 12 måneder efter endt behandling. Virkningen af dabigatranetexilat blev fastholdt, indtil opfølgningen var færdig, hvilket indikerer, at der efterfølgende var en virkning af dabigatranetexilat i 12 måneder. Der blev ikke observeret nogen </w:t>
      </w:r>
      <w:r w:rsidRPr="004714C6">
        <w:rPr>
          <w:i/>
          <w:iCs/>
          <w:sz w:val="24"/>
          <w:szCs w:val="24"/>
        </w:rPr>
        <w:t>rebound</w:t>
      </w:r>
      <w:r w:rsidRPr="004714C6">
        <w:rPr>
          <w:sz w:val="24"/>
          <w:szCs w:val="24"/>
        </w:rPr>
        <w:noBreakHyphen/>
        <w:t>effekt. Ved afslutningen af observationsperioden havde 6,9 % af de dabigatranbehandlede patienter haft en VTE mod 10,7 % af patienterne i placebogruppen (</w:t>
      </w:r>
      <w:r w:rsidRPr="004714C6">
        <w:rPr>
          <w:i/>
          <w:iCs/>
          <w:sz w:val="24"/>
          <w:szCs w:val="24"/>
        </w:rPr>
        <w:t>hazard ratio</w:t>
      </w:r>
      <w:r w:rsidRPr="004714C6">
        <w:rPr>
          <w:sz w:val="24"/>
          <w:szCs w:val="24"/>
        </w:rPr>
        <w:t xml:space="preserve"> 0,61 (95 % CI 0,42; 0,88), p = 0,0082).</w:t>
      </w:r>
    </w:p>
    <w:p w14:paraId="6687D482" w14:textId="77777777" w:rsidR="00A76826" w:rsidRPr="004714C6" w:rsidRDefault="00A76826" w:rsidP="00FB1973">
      <w:pPr>
        <w:ind w:left="851"/>
        <w:rPr>
          <w:sz w:val="24"/>
          <w:szCs w:val="24"/>
        </w:rPr>
      </w:pPr>
    </w:p>
    <w:p w14:paraId="03F06FD9"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29:</w:t>
      </w:r>
      <w:r w:rsidRPr="004714C6">
        <w:rPr>
          <w:b/>
          <w:bCs/>
          <w:sz w:val="24"/>
          <w:szCs w:val="24"/>
        </w:rPr>
        <w:tab/>
        <w:t>Analyse af de primære og sekundære virkningsendepunkter (VTE er summen af DVT og/eller LE) indtil afslutningen af perioden efter behandling for RE-SONATE</w:t>
      </w:r>
      <w:r w:rsidRPr="004714C6">
        <w:rPr>
          <w:b/>
          <w:bCs/>
          <w:sz w:val="24"/>
          <w:szCs w:val="24"/>
        </w:rPr>
        <w:noBreakHyphen/>
        <w:t>studiet</w:t>
      </w:r>
    </w:p>
    <w:p w14:paraId="39FF8B89"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3122"/>
        <w:gridCol w:w="3253"/>
        <w:gridCol w:w="3253"/>
      </w:tblGrid>
      <w:tr w:rsidR="00A76826" w:rsidRPr="004714C6" w14:paraId="5844594D" w14:textId="77777777" w:rsidTr="00FB1973">
        <w:trPr>
          <w:trHeight w:val="20"/>
        </w:trPr>
        <w:tc>
          <w:tcPr>
            <w:tcW w:w="1621" w:type="pct"/>
            <w:tcBorders>
              <w:top w:val="single" w:sz="4" w:space="0" w:color="000000"/>
              <w:left w:val="single" w:sz="4" w:space="0" w:color="000000"/>
              <w:bottom w:val="single" w:sz="4" w:space="0" w:color="000000"/>
              <w:right w:val="single" w:sz="4" w:space="0" w:color="auto"/>
            </w:tcBorders>
          </w:tcPr>
          <w:p w14:paraId="1B98C6FC"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p>
        </w:tc>
        <w:tc>
          <w:tcPr>
            <w:tcW w:w="1689" w:type="pct"/>
            <w:tcBorders>
              <w:top w:val="single" w:sz="4" w:space="0" w:color="000000"/>
              <w:left w:val="single" w:sz="4" w:space="0" w:color="auto"/>
              <w:bottom w:val="single" w:sz="4" w:space="0" w:color="000000"/>
              <w:right w:val="single" w:sz="6" w:space="0" w:color="000000"/>
            </w:tcBorders>
            <w:hideMark/>
          </w:tcPr>
          <w:p w14:paraId="4F167E93" w14:textId="77777777" w:rsidR="00A76826" w:rsidRPr="004714C6" w:rsidRDefault="00A76826" w:rsidP="00FB1973">
            <w:pPr>
              <w:widowControl w:val="0"/>
              <w:autoSpaceDE w:val="0"/>
              <w:autoSpaceDN w:val="0"/>
              <w:adjustRightInd w:val="0"/>
              <w:ind w:left="142" w:right="-20"/>
              <w:jc w:val="center"/>
              <w:rPr>
                <w:b/>
                <w:bCs/>
                <w:kern w:val="2"/>
                <w:sz w:val="24"/>
                <w:szCs w:val="24"/>
                <w14:ligatures w14:val="standardContextual"/>
              </w:rPr>
            </w:pPr>
            <w:r w:rsidRPr="004714C6">
              <w:rPr>
                <w:b/>
                <w:bCs/>
                <w:kern w:val="2"/>
                <w:sz w:val="24"/>
                <w:szCs w:val="24"/>
                <w14:ligatures w14:val="standardContextual"/>
              </w:rPr>
              <w:t>Dabigatranetexilat 150 mg 2 gange dagligt</w:t>
            </w:r>
          </w:p>
        </w:tc>
        <w:tc>
          <w:tcPr>
            <w:tcW w:w="1689" w:type="pct"/>
            <w:tcBorders>
              <w:top w:val="single" w:sz="4" w:space="0" w:color="000000"/>
              <w:left w:val="single" w:sz="6" w:space="0" w:color="000000"/>
              <w:bottom w:val="single" w:sz="4" w:space="0" w:color="000000"/>
              <w:right w:val="single" w:sz="4" w:space="0" w:color="000000"/>
            </w:tcBorders>
            <w:hideMark/>
          </w:tcPr>
          <w:p w14:paraId="2D029CC1" w14:textId="77777777" w:rsidR="00A76826" w:rsidRPr="004714C6" w:rsidRDefault="00A76826" w:rsidP="00FB1973">
            <w:pPr>
              <w:widowControl w:val="0"/>
              <w:autoSpaceDE w:val="0"/>
              <w:autoSpaceDN w:val="0"/>
              <w:adjustRightInd w:val="0"/>
              <w:ind w:left="142" w:right="-20"/>
              <w:jc w:val="center"/>
              <w:rPr>
                <w:b/>
                <w:bCs/>
                <w:kern w:val="2"/>
                <w:sz w:val="24"/>
                <w:szCs w:val="24"/>
                <w14:ligatures w14:val="standardContextual"/>
              </w:rPr>
            </w:pPr>
            <w:r w:rsidRPr="004714C6">
              <w:rPr>
                <w:b/>
                <w:bCs/>
                <w:kern w:val="2"/>
                <w:sz w:val="24"/>
                <w:szCs w:val="24"/>
                <w14:ligatures w14:val="standardContextual"/>
              </w:rPr>
              <w:t>Placebo</w:t>
            </w:r>
          </w:p>
        </w:tc>
      </w:tr>
      <w:tr w:rsidR="00A76826" w:rsidRPr="004714C6" w14:paraId="4DD9BA80" w14:textId="77777777" w:rsidTr="00FB1973">
        <w:trPr>
          <w:trHeight w:val="20"/>
        </w:trPr>
        <w:tc>
          <w:tcPr>
            <w:tcW w:w="1621" w:type="pct"/>
            <w:tcBorders>
              <w:top w:val="single" w:sz="4" w:space="0" w:color="000000"/>
              <w:left w:val="single" w:sz="4" w:space="0" w:color="000000"/>
              <w:bottom w:val="single" w:sz="4" w:space="0" w:color="000000"/>
              <w:right w:val="single" w:sz="4" w:space="0" w:color="auto"/>
            </w:tcBorders>
            <w:hideMark/>
          </w:tcPr>
          <w:p w14:paraId="5122B9DC"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Behandlede patienter</w:t>
            </w:r>
          </w:p>
        </w:tc>
        <w:tc>
          <w:tcPr>
            <w:tcW w:w="1689" w:type="pct"/>
            <w:tcBorders>
              <w:top w:val="single" w:sz="4" w:space="0" w:color="000000"/>
              <w:left w:val="single" w:sz="4" w:space="0" w:color="auto"/>
              <w:bottom w:val="single" w:sz="4" w:space="0" w:color="000000"/>
              <w:right w:val="single" w:sz="6" w:space="0" w:color="000000"/>
            </w:tcBorders>
            <w:hideMark/>
          </w:tcPr>
          <w:p w14:paraId="3C41136D"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681</w:t>
            </w:r>
          </w:p>
        </w:tc>
        <w:tc>
          <w:tcPr>
            <w:tcW w:w="1689" w:type="pct"/>
            <w:tcBorders>
              <w:top w:val="single" w:sz="4" w:space="0" w:color="000000"/>
              <w:left w:val="single" w:sz="6" w:space="0" w:color="000000"/>
              <w:bottom w:val="single" w:sz="4" w:space="0" w:color="000000"/>
              <w:right w:val="single" w:sz="4" w:space="0" w:color="000000"/>
            </w:tcBorders>
            <w:hideMark/>
          </w:tcPr>
          <w:p w14:paraId="279302A8"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662</w:t>
            </w:r>
          </w:p>
        </w:tc>
      </w:tr>
      <w:tr w:rsidR="00A76826" w:rsidRPr="004714C6" w14:paraId="0BACFB65"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34D4A7AD"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Recidiverende symptomatisk VTE og VTE relateret død</w:t>
            </w:r>
          </w:p>
        </w:tc>
        <w:tc>
          <w:tcPr>
            <w:tcW w:w="1689" w:type="pct"/>
            <w:tcBorders>
              <w:top w:val="single" w:sz="4" w:space="0" w:color="000000"/>
              <w:left w:val="single" w:sz="4" w:space="0" w:color="000000"/>
              <w:bottom w:val="single" w:sz="4" w:space="0" w:color="000000"/>
              <w:right w:val="single" w:sz="6" w:space="0" w:color="000000"/>
            </w:tcBorders>
            <w:hideMark/>
          </w:tcPr>
          <w:p w14:paraId="5D317641"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3 (0,4 %)</w:t>
            </w:r>
          </w:p>
        </w:tc>
        <w:tc>
          <w:tcPr>
            <w:tcW w:w="1689" w:type="pct"/>
            <w:tcBorders>
              <w:top w:val="single" w:sz="4" w:space="0" w:color="000000"/>
              <w:left w:val="single" w:sz="6" w:space="0" w:color="000000"/>
              <w:bottom w:val="single" w:sz="4" w:space="0" w:color="000000"/>
              <w:right w:val="single" w:sz="4" w:space="0" w:color="000000"/>
            </w:tcBorders>
            <w:hideMark/>
          </w:tcPr>
          <w:p w14:paraId="4D9296B8"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37 (5,6 %)</w:t>
            </w:r>
          </w:p>
        </w:tc>
      </w:tr>
      <w:tr w:rsidR="00A76826" w:rsidRPr="004714C6" w14:paraId="1667EBDC"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06351069"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Hazard ratio vs. placebo (95 % konfidensinterval)</w:t>
            </w:r>
          </w:p>
        </w:tc>
        <w:tc>
          <w:tcPr>
            <w:tcW w:w="1689" w:type="pct"/>
            <w:tcBorders>
              <w:top w:val="single" w:sz="4" w:space="0" w:color="000000"/>
              <w:left w:val="single" w:sz="4" w:space="0" w:color="000000"/>
              <w:bottom w:val="single" w:sz="4" w:space="0" w:color="000000"/>
              <w:right w:val="single" w:sz="6" w:space="0" w:color="000000"/>
            </w:tcBorders>
            <w:hideMark/>
          </w:tcPr>
          <w:p w14:paraId="3CC340E5"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0,08 (0,02; 0,25)</w:t>
            </w:r>
          </w:p>
        </w:tc>
        <w:tc>
          <w:tcPr>
            <w:tcW w:w="1689" w:type="pct"/>
            <w:tcBorders>
              <w:top w:val="single" w:sz="4" w:space="0" w:color="000000"/>
              <w:left w:val="single" w:sz="6" w:space="0" w:color="000000"/>
              <w:bottom w:val="single" w:sz="4" w:space="0" w:color="000000"/>
              <w:right w:val="single" w:sz="4" w:space="0" w:color="000000"/>
            </w:tcBorders>
          </w:tcPr>
          <w:p w14:paraId="299D663D"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p>
        </w:tc>
      </w:tr>
      <w:tr w:rsidR="00A76826" w:rsidRPr="004714C6" w14:paraId="2C913166"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2BD00527"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p-værdi for superioritet</w:t>
            </w:r>
          </w:p>
        </w:tc>
        <w:tc>
          <w:tcPr>
            <w:tcW w:w="1689" w:type="pct"/>
            <w:tcBorders>
              <w:top w:val="single" w:sz="4" w:space="0" w:color="000000"/>
              <w:left w:val="single" w:sz="4" w:space="0" w:color="000000"/>
              <w:bottom w:val="single" w:sz="4" w:space="0" w:color="000000"/>
              <w:right w:val="single" w:sz="6" w:space="0" w:color="000000"/>
            </w:tcBorders>
            <w:hideMark/>
          </w:tcPr>
          <w:p w14:paraId="666285C7"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&lt; 0,0001</w:t>
            </w:r>
          </w:p>
        </w:tc>
        <w:tc>
          <w:tcPr>
            <w:tcW w:w="1689" w:type="pct"/>
            <w:tcBorders>
              <w:top w:val="single" w:sz="4" w:space="0" w:color="000000"/>
              <w:left w:val="single" w:sz="6" w:space="0" w:color="000000"/>
              <w:bottom w:val="single" w:sz="4" w:space="0" w:color="000000"/>
              <w:right w:val="single" w:sz="4" w:space="0" w:color="000000"/>
            </w:tcBorders>
          </w:tcPr>
          <w:p w14:paraId="6CB3109C"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p>
        </w:tc>
      </w:tr>
      <w:tr w:rsidR="00A76826" w:rsidRPr="004714C6" w14:paraId="2E85D990"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5920F24A"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Sekundære virkningsendepunkter</w:t>
            </w:r>
          </w:p>
        </w:tc>
        <w:tc>
          <w:tcPr>
            <w:tcW w:w="1689" w:type="pct"/>
            <w:tcBorders>
              <w:top w:val="single" w:sz="4" w:space="0" w:color="000000"/>
              <w:left w:val="single" w:sz="4" w:space="0" w:color="000000"/>
              <w:bottom w:val="single" w:sz="4" w:space="0" w:color="000000"/>
              <w:right w:val="single" w:sz="6" w:space="0" w:color="000000"/>
            </w:tcBorders>
          </w:tcPr>
          <w:p w14:paraId="5FFBF1B9"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p>
        </w:tc>
        <w:tc>
          <w:tcPr>
            <w:tcW w:w="1689" w:type="pct"/>
            <w:tcBorders>
              <w:top w:val="single" w:sz="4" w:space="0" w:color="000000"/>
              <w:left w:val="single" w:sz="6" w:space="0" w:color="000000"/>
              <w:bottom w:val="single" w:sz="4" w:space="0" w:color="000000"/>
              <w:right w:val="single" w:sz="4" w:space="0" w:color="000000"/>
            </w:tcBorders>
          </w:tcPr>
          <w:p w14:paraId="5F75352D"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p>
        </w:tc>
      </w:tr>
      <w:tr w:rsidR="00A76826" w:rsidRPr="004714C6" w14:paraId="552123BB"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5FF83776"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Recidiverende symptomatisk VTE og død uanset årsag</w:t>
            </w:r>
          </w:p>
        </w:tc>
        <w:tc>
          <w:tcPr>
            <w:tcW w:w="1689" w:type="pct"/>
            <w:tcBorders>
              <w:top w:val="single" w:sz="4" w:space="0" w:color="000000"/>
              <w:left w:val="single" w:sz="4" w:space="0" w:color="000000"/>
              <w:bottom w:val="single" w:sz="4" w:space="0" w:color="000000"/>
              <w:right w:val="single" w:sz="6" w:space="0" w:color="000000"/>
            </w:tcBorders>
            <w:hideMark/>
          </w:tcPr>
          <w:p w14:paraId="50749504"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3 (0,4 %)</w:t>
            </w:r>
          </w:p>
        </w:tc>
        <w:tc>
          <w:tcPr>
            <w:tcW w:w="1689" w:type="pct"/>
            <w:tcBorders>
              <w:top w:val="single" w:sz="4" w:space="0" w:color="000000"/>
              <w:left w:val="single" w:sz="6" w:space="0" w:color="000000"/>
              <w:bottom w:val="single" w:sz="4" w:space="0" w:color="000000"/>
              <w:right w:val="single" w:sz="4" w:space="0" w:color="000000"/>
            </w:tcBorders>
            <w:hideMark/>
          </w:tcPr>
          <w:p w14:paraId="23858A8E"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37 (5,6 %)</w:t>
            </w:r>
          </w:p>
        </w:tc>
      </w:tr>
      <w:tr w:rsidR="00A76826" w:rsidRPr="004714C6" w14:paraId="6AFF186A"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736494F9"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95 % konfidensinterval</w:t>
            </w:r>
          </w:p>
        </w:tc>
        <w:tc>
          <w:tcPr>
            <w:tcW w:w="1689" w:type="pct"/>
            <w:tcBorders>
              <w:top w:val="single" w:sz="4" w:space="0" w:color="000000"/>
              <w:left w:val="single" w:sz="4" w:space="0" w:color="000000"/>
              <w:bottom w:val="single" w:sz="4" w:space="0" w:color="000000"/>
              <w:right w:val="single" w:sz="6" w:space="0" w:color="000000"/>
            </w:tcBorders>
            <w:hideMark/>
          </w:tcPr>
          <w:p w14:paraId="74B3FEB4"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0,09; 1,28</w:t>
            </w:r>
          </w:p>
        </w:tc>
        <w:tc>
          <w:tcPr>
            <w:tcW w:w="1689" w:type="pct"/>
            <w:tcBorders>
              <w:top w:val="single" w:sz="4" w:space="0" w:color="000000"/>
              <w:left w:val="single" w:sz="6" w:space="0" w:color="000000"/>
              <w:bottom w:val="single" w:sz="4" w:space="0" w:color="000000"/>
              <w:right w:val="single" w:sz="4" w:space="0" w:color="000000"/>
            </w:tcBorders>
            <w:hideMark/>
          </w:tcPr>
          <w:p w14:paraId="383F2F1C"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3,97; 7,62</w:t>
            </w:r>
          </w:p>
        </w:tc>
      </w:tr>
      <w:tr w:rsidR="00A76826" w:rsidRPr="004714C6" w14:paraId="5F39A09B"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57589324"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Symptomatisk DVT</w:t>
            </w:r>
          </w:p>
        </w:tc>
        <w:tc>
          <w:tcPr>
            <w:tcW w:w="1689" w:type="pct"/>
            <w:tcBorders>
              <w:top w:val="single" w:sz="4" w:space="0" w:color="000000"/>
              <w:left w:val="single" w:sz="4" w:space="0" w:color="000000"/>
              <w:bottom w:val="single" w:sz="4" w:space="0" w:color="000000"/>
              <w:right w:val="single" w:sz="6" w:space="0" w:color="000000"/>
            </w:tcBorders>
            <w:hideMark/>
          </w:tcPr>
          <w:p w14:paraId="7C11B6FF"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2 (0,3 %)</w:t>
            </w:r>
          </w:p>
        </w:tc>
        <w:tc>
          <w:tcPr>
            <w:tcW w:w="1689" w:type="pct"/>
            <w:tcBorders>
              <w:top w:val="single" w:sz="4" w:space="0" w:color="000000"/>
              <w:left w:val="single" w:sz="6" w:space="0" w:color="000000"/>
              <w:bottom w:val="single" w:sz="4" w:space="0" w:color="000000"/>
              <w:right w:val="single" w:sz="4" w:space="0" w:color="000000"/>
            </w:tcBorders>
            <w:hideMark/>
          </w:tcPr>
          <w:p w14:paraId="4EA65C8E"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23 (3,5 %)</w:t>
            </w:r>
          </w:p>
        </w:tc>
      </w:tr>
      <w:tr w:rsidR="00A76826" w:rsidRPr="004714C6" w14:paraId="432EFE27"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40D33F2A"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95 % konfidensinterval</w:t>
            </w:r>
          </w:p>
        </w:tc>
        <w:tc>
          <w:tcPr>
            <w:tcW w:w="1689" w:type="pct"/>
            <w:tcBorders>
              <w:top w:val="single" w:sz="4" w:space="0" w:color="000000"/>
              <w:left w:val="single" w:sz="4" w:space="0" w:color="000000"/>
              <w:bottom w:val="single" w:sz="4" w:space="0" w:color="000000"/>
              <w:right w:val="single" w:sz="6" w:space="0" w:color="000000"/>
            </w:tcBorders>
            <w:hideMark/>
          </w:tcPr>
          <w:p w14:paraId="032AF478"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0,04; 1,06</w:t>
            </w:r>
          </w:p>
        </w:tc>
        <w:tc>
          <w:tcPr>
            <w:tcW w:w="1689" w:type="pct"/>
            <w:tcBorders>
              <w:top w:val="single" w:sz="4" w:space="0" w:color="000000"/>
              <w:left w:val="single" w:sz="6" w:space="0" w:color="000000"/>
              <w:bottom w:val="single" w:sz="4" w:space="0" w:color="000000"/>
              <w:right w:val="single" w:sz="4" w:space="0" w:color="000000"/>
            </w:tcBorders>
            <w:hideMark/>
          </w:tcPr>
          <w:p w14:paraId="21F15AA4"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2,21; 5,17</w:t>
            </w:r>
          </w:p>
        </w:tc>
      </w:tr>
      <w:tr w:rsidR="00A76826" w:rsidRPr="004714C6" w14:paraId="0FDFA879"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7CD8EDF7"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Symptomatisk LE</w:t>
            </w:r>
          </w:p>
        </w:tc>
        <w:tc>
          <w:tcPr>
            <w:tcW w:w="1689" w:type="pct"/>
            <w:tcBorders>
              <w:top w:val="single" w:sz="4" w:space="0" w:color="000000"/>
              <w:left w:val="single" w:sz="4" w:space="0" w:color="000000"/>
              <w:bottom w:val="single" w:sz="4" w:space="0" w:color="000000"/>
              <w:right w:val="single" w:sz="6" w:space="0" w:color="000000"/>
            </w:tcBorders>
            <w:hideMark/>
          </w:tcPr>
          <w:p w14:paraId="292E07BB"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1 (0,1 %)</w:t>
            </w:r>
          </w:p>
        </w:tc>
        <w:tc>
          <w:tcPr>
            <w:tcW w:w="1689" w:type="pct"/>
            <w:tcBorders>
              <w:top w:val="single" w:sz="4" w:space="0" w:color="000000"/>
              <w:left w:val="single" w:sz="6" w:space="0" w:color="000000"/>
              <w:bottom w:val="single" w:sz="4" w:space="0" w:color="000000"/>
              <w:right w:val="single" w:sz="4" w:space="0" w:color="000000"/>
            </w:tcBorders>
            <w:hideMark/>
          </w:tcPr>
          <w:p w14:paraId="65EB5318"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14 (2,1 %)</w:t>
            </w:r>
          </w:p>
        </w:tc>
      </w:tr>
      <w:tr w:rsidR="00A76826" w:rsidRPr="004714C6" w14:paraId="15109FF4"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124EDAE3"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95 % konfidensinterval</w:t>
            </w:r>
          </w:p>
        </w:tc>
        <w:tc>
          <w:tcPr>
            <w:tcW w:w="1689" w:type="pct"/>
            <w:tcBorders>
              <w:top w:val="single" w:sz="4" w:space="0" w:color="000000"/>
              <w:left w:val="single" w:sz="4" w:space="0" w:color="000000"/>
              <w:bottom w:val="single" w:sz="4" w:space="0" w:color="000000"/>
              <w:right w:val="single" w:sz="6" w:space="0" w:color="000000"/>
            </w:tcBorders>
            <w:hideMark/>
          </w:tcPr>
          <w:p w14:paraId="76300164"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0,00; 0,82</w:t>
            </w:r>
          </w:p>
        </w:tc>
        <w:tc>
          <w:tcPr>
            <w:tcW w:w="1689" w:type="pct"/>
            <w:tcBorders>
              <w:top w:val="single" w:sz="4" w:space="0" w:color="000000"/>
              <w:left w:val="single" w:sz="6" w:space="0" w:color="000000"/>
              <w:bottom w:val="single" w:sz="4" w:space="0" w:color="000000"/>
              <w:right w:val="single" w:sz="4" w:space="0" w:color="000000"/>
            </w:tcBorders>
            <w:hideMark/>
          </w:tcPr>
          <w:p w14:paraId="2AB24BBF"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1,16; 3,52</w:t>
            </w:r>
          </w:p>
        </w:tc>
      </w:tr>
      <w:tr w:rsidR="00A76826" w:rsidRPr="004714C6" w14:paraId="3DC9787F"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39D504A5"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VTE-relateret død</w:t>
            </w:r>
          </w:p>
        </w:tc>
        <w:tc>
          <w:tcPr>
            <w:tcW w:w="1689" w:type="pct"/>
            <w:tcBorders>
              <w:top w:val="single" w:sz="4" w:space="0" w:color="000000"/>
              <w:left w:val="single" w:sz="4" w:space="0" w:color="000000"/>
              <w:bottom w:val="single" w:sz="4" w:space="0" w:color="000000"/>
              <w:right w:val="single" w:sz="6" w:space="0" w:color="000000"/>
            </w:tcBorders>
            <w:hideMark/>
          </w:tcPr>
          <w:p w14:paraId="3C1FFFD7"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 (0)</w:t>
            </w:r>
          </w:p>
        </w:tc>
        <w:tc>
          <w:tcPr>
            <w:tcW w:w="1689" w:type="pct"/>
            <w:tcBorders>
              <w:top w:val="single" w:sz="4" w:space="0" w:color="000000"/>
              <w:left w:val="single" w:sz="6" w:space="0" w:color="000000"/>
              <w:bottom w:val="single" w:sz="4" w:space="0" w:color="000000"/>
              <w:right w:val="single" w:sz="4" w:space="0" w:color="000000"/>
            </w:tcBorders>
            <w:hideMark/>
          </w:tcPr>
          <w:p w14:paraId="32A6A30A"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 (0)</w:t>
            </w:r>
          </w:p>
        </w:tc>
      </w:tr>
      <w:tr w:rsidR="00A76826" w:rsidRPr="004714C6" w14:paraId="05999A5B"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75206D03"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95 % konfidensinterval</w:t>
            </w:r>
          </w:p>
        </w:tc>
        <w:tc>
          <w:tcPr>
            <w:tcW w:w="1689" w:type="pct"/>
            <w:tcBorders>
              <w:top w:val="single" w:sz="4" w:space="0" w:color="000000"/>
              <w:left w:val="single" w:sz="4" w:space="0" w:color="000000"/>
              <w:bottom w:val="single" w:sz="4" w:space="0" w:color="000000"/>
              <w:right w:val="single" w:sz="6" w:space="0" w:color="000000"/>
            </w:tcBorders>
            <w:hideMark/>
          </w:tcPr>
          <w:p w14:paraId="7802F3DD"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0,00; 0,54</w:t>
            </w:r>
          </w:p>
        </w:tc>
        <w:tc>
          <w:tcPr>
            <w:tcW w:w="1689" w:type="pct"/>
            <w:tcBorders>
              <w:top w:val="single" w:sz="4" w:space="0" w:color="000000"/>
              <w:left w:val="single" w:sz="6" w:space="0" w:color="000000"/>
              <w:bottom w:val="single" w:sz="4" w:space="0" w:color="000000"/>
              <w:right w:val="single" w:sz="4" w:space="0" w:color="000000"/>
            </w:tcBorders>
            <w:hideMark/>
          </w:tcPr>
          <w:p w14:paraId="24525528"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0,00; 0,56</w:t>
            </w:r>
          </w:p>
        </w:tc>
      </w:tr>
      <w:tr w:rsidR="00A76826" w:rsidRPr="004714C6" w14:paraId="17B0735E"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70C338B9"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Uforklarlig død</w:t>
            </w:r>
          </w:p>
        </w:tc>
        <w:tc>
          <w:tcPr>
            <w:tcW w:w="1689" w:type="pct"/>
            <w:tcBorders>
              <w:top w:val="single" w:sz="4" w:space="0" w:color="000000"/>
              <w:left w:val="single" w:sz="4" w:space="0" w:color="000000"/>
              <w:bottom w:val="single" w:sz="4" w:space="0" w:color="000000"/>
              <w:right w:val="single" w:sz="6" w:space="0" w:color="000000"/>
            </w:tcBorders>
            <w:hideMark/>
          </w:tcPr>
          <w:p w14:paraId="0C63FCBC"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 (0)</w:t>
            </w:r>
          </w:p>
        </w:tc>
        <w:tc>
          <w:tcPr>
            <w:tcW w:w="1689" w:type="pct"/>
            <w:tcBorders>
              <w:top w:val="single" w:sz="4" w:space="0" w:color="000000"/>
              <w:left w:val="single" w:sz="6" w:space="0" w:color="000000"/>
              <w:bottom w:val="single" w:sz="4" w:space="0" w:color="000000"/>
              <w:right w:val="single" w:sz="4" w:space="0" w:color="000000"/>
            </w:tcBorders>
            <w:hideMark/>
          </w:tcPr>
          <w:p w14:paraId="72E35E95"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2 (0,3 %)</w:t>
            </w:r>
          </w:p>
        </w:tc>
      </w:tr>
      <w:tr w:rsidR="00A76826" w:rsidRPr="004714C6" w14:paraId="03EAC42F"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67468CBA"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95 % konfidensinterval</w:t>
            </w:r>
          </w:p>
        </w:tc>
        <w:tc>
          <w:tcPr>
            <w:tcW w:w="1689" w:type="pct"/>
            <w:tcBorders>
              <w:top w:val="single" w:sz="4" w:space="0" w:color="000000"/>
              <w:left w:val="single" w:sz="4" w:space="0" w:color="000000"/>
              <w:bottom w:val="single" w:sz="4" w:space="0" w:color="000000"/>
              <w:right w:val="single" w:sz="6" w:space="0" w:color="000000"/>
            </w:tcBorders>
            <w:hideMark/>
          </w:tcPr>
          <w:p w14:paraId="1891A286"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0,00; 0,54</w:t>
            </w:r>
          </w:p>
        </w:tc>
        <w:tc>
          <w:tcPr>
            <w:tcW w:w="1689" w:type="pct"/>
            <w:tcBorders>
              <w:top w:val="single" w:sz="4" w:space="0" w:color="000000"/>
              <w:left w:val="single" w:sz="6" w:space="0" w:color="000000"/>
              <w:bottom w:val="single" w:sz="4" w:space="0" w:color="000000"/>
              <w:right w:val="single" w:sz="4" w:space="0" w:color="000000"/>
            </w:tcBorders>
            <w:hideMark/>
          </w:tcPr>
          <w:p w14:paraId="2614B830"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0,04; 1,09</w:t>
            </w:r>
          </w:p>
        </w:tc>
      </w:tr>
      <w:tr w:rsidR="00A76826" w:rsidRPr="004714C6" w14:paraId="4A2C4A87"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60750222"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Død uanset årsag</w:t>
            </w:r>
          </w:p>
        </w:tc>
        <w:tc>
          <w:tcPr>
            <w:tcW w:w="1689" w:type="pct"/>
            <w:tcBorders>
              <w:top w:val="single" w:sz="4" w:space="0" w:color="000000"/>
              <w:left w:val="single" w:sz="4" w:space="0" w:color="000000"/>
              <w:bottom w:val="single" w:sz="4" w:space="0" w:color="000000"/>
              <w:right w:val="single" w:sz="6" w:space="0" w:color="000000"/>
            </w:tcBorders>
            <w:hideMark/>
          </w:tcPr>
          <w:p w14:paraId="03DFC200"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 (0)</w:t>
            </w:r>
          </w:p>
        </w:tc>
        <w:tc>
          <w:tcPr>
            <w:tcW w:w="1689" w:type="pct"/>
            <w:tcBorders>
              <w:top w:val="single" w:sz="4" w:space="0" w:color="000000"/>
              <w:left w:val="single" w:sz="6" w:space="0" w:color="000000"/>
              <w:bottom w:val="single" w:sz="4" w:space="0" w:color="000000"/>
              <w:right w:val="single" w:sz="4" w:space="0" w:color="000000"/>
            </w:tcBorders>
            <w:hideMark/>
          </w:tcPr>
          <w:p w14:paraId="3A221FD7"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2 (0,3 %)</w:t>
            </w:r>
          </w:p>
        </w:tc>
      </w:tr>
      <w:tr w:rsidR="00A76826" w:rsidRPr="004714C6" w14:paraId="329E15FB" w14:textId="77777777" w:rsidTr="00FB1973">
        <w:trPr>
          <w:trHeight w:val="20"/>
        </w:trPr>
        <w:tc>
          <w:tcPr>
            <w:tcW w:w="1621" w:type="pct"/>
            <w:tcBorders>
              <w:top w:val="single" w:sz="4" w:space="0" w:color="000000"/>
              <w:left w:val="single" w:sz="4" w:space="0" w:color="000000"/>
              <w:bottom w:val="single" w:sz="4" w:space="0" w:color="000000"/>
              <w:right w:val="single" w:sz="4" w:space="0" w:color="000000"/>
            </w:tcBorders>
            <w:hideMark/>
          </w:tcPr>
          <w:p w14:paraId="20340B91" w14:textId="77777777" w:rsidR="00A76826" w:rsidRPr="004714C6" w:rsidRDefault="00A76826" w:rsidP="00FB1973">
            <w:pPr>
              <w:widowControl w:val="0"/>
              <w:autoSpaceDE w:val="0"/>
              <w:autoSpaceDN w:val="0"/>
              <w:adjustRightInd w:val="0"/>
              <w:ind w:left="142" w:right="142"/>
              <w:rPr>
                <w:kern w:val="2"/>
                <w:sz w:val="24"/>
                <w:szCs w:val="24"/>
                <w14:ligatures w14:val="standardContextual"/>
              </w:rPr>
            </w:pPr>
            <w:r w:rsidRPr="004714C6">
              <w:rPr>
                <w:kern w:val="2"/>
                <w:sz w:val="24"/>
                <w:szCs w:val="24"/>
                <w14:ligatures w14:val="standardContextual"/>
              </w:rPr>
              <w:t>95 % konfidensinterval</w:t>
            </w:r>
          </w:p>
        </w:tc>
        <w:tc>
          <w:tcPr>
            <w:tcW w:w="1689" w:type="pct"/>
            <w:tcBorders>
              <w:top w:val="single" w:sz="4" w:space="0" w:color="000000"/>
              <w:left w:val="single" w:sz="4" w:space="0" w:color="000000"/>
              <w:bottom w:val="single" w:sz="4" w:space="0" w:color="000000"/>
              <w:right w:val="single" w:sz="6" w:space="0" w:color="000000"/>
            </w:tcBorders>
            <w:hideMark/>
          </w:tcPr>
          <w:p w14:paraId="07AC6A15"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0,00; 0,54</w:t>
            </w:r>
          </w:p>
        </w:tc>
        <w:tc>
          <w:tcPr>
            <w:tcW w:w="1689" w:type="pct"/>
            <w:tcBorders>
              <w:top w:val="single" w:sz="4" w:space="0" w:color="000000"/>
              <w:left w:val="single" w:sz="6" w:space="0" w:color="000000"/>
              <w:bottom w:val="single" w:sz="4" w:space="0" w:color="000000"/>
              <w:right w:val="single" w:sz="4" w:space="0" w:color="000000"/>
            </w:tcBorders>
            <w:hideMark/>
          </w:tcPr>
          <w:p w14:paraId="7C6E6824" w14:textId="77777777" w:rsidR="00A76826" w:rsidRPr="004714C6" w:rsidRDefault="00A76826" w:rsidP="00FB1973">
            <w:pPr>
              <w:widowControl w:val="0"/>
              <w:autoSpaceDE w:val="0"/>
              <w:autoSpaceDN w:val="0"/>
              <w:adjustRightInd w:val="0"/>
              <w:ind w:left="142" w:right="-20"/>
              <w:jc w:val="center"/>
              <w:rPr>
                <w:kern w:val="2"/>
                <w:sz w:val="24"/>
                <w:szCs w:val="24"/>
                <w14:ligatures w14:val="standardContextual"/>
              </w:rPr>
            </w:pPr>
            <w:r w:rsidRPr="004714C6">
              <w:rPr>
                <w:kern w:val="2"/>
                <w:sz w:val="24"/>
                <w:szCs w:val="24"/>
                <w14:ligatures w14:val="standardContextual"/>
              </w:rPr>
              <w:t>0,04; 1,09</w:t>
            </w:r>
          </w:p>
        </w:tc>
      </w:tr>
    </w:tbl>
    <w:p w14:paraId="75BDFD0C" w14:textId="77777777" w:rsidR="00A76826" w:rsidRPr="004714C6" w:rsidRDefault="00A76826" w:rsidP="00FB1973">
      <w:pPr>
        <w:ind w:left="851"/>
        <w:rPr>
          <w:sz w:val="24"/>
          <w:szCs w:val="24"/>
        </w:rPr>
      </w:pPr>
    </w:p>
    <w:p w14:paraId="14A19E69" w14:textId="77777777" w:rsidR="00A76826" w:rsidRPr="004714C6" w:rsidRDefault="00A76826" w:rsidP="00FB1973">
      <w:pPr>
        <w:ind w:left="851"/>
        <w:rPr>
          <w:i/>
          <w:iCs/>
          <w:sz w:val="24"/>
          <w:szCs w:val="24"/>
        </w:rPr>
      </w:pPr>
      <w:r w:rsidRPr="004714C6">
        <w:rPr>
          <w:i/>
          <w:iCs/>
          <w:sz w:val="24"/>
          <w:szCs w:val="24"/>
        </w:rPr>
        <w:t>Kliniske studier med forebyggelse af tromboemboli hos patienter med kunstige hjerteklapper</w:t>
      </w:r>
    </w:p>
    <w:p w14:paraId="1746EF19" w14:textId="77777777" w:rsidR="00A76826" w:rsidRPr="004714C6" w:rsidRDefault="00A76826" w:rsidP="00FB1973">
      <w:pPr>
        <w:ind w:left="851"/>
        <w:rPr>
          <w:sz w:val="24"/>
          <w:szCs w:val="24"/>
        </w:rPr>
      </w:pPr>
    </w:p>
    <w:p w14:paraId="174F5A77" w14:textId="77777777" w:rsidR="00A76826" w:rsidRPr="004714C6" w:rsidRDefault="00A76826" w:rsidP="00FB1973">
      <w:pPr>
        <w:ind w:left="851"/>
        <w:rPr>
          <w:sz w:val="24"/>
          <w:szCs w:val="24"/>
        </w:rPr>
      </w:pPr>
      <w:r w:rsidRPr="004714C6">
        <w:rPr>
          <w:sz w:val="24"/>
          <w:szCs w:val="24"/>
        </w:rPr>
        <w:t>Et fase II</w:t>
      </w:r>
      <w:r w:rsidRPr="004714C6">
        <w:rPr>
          <w:sz w:val="24"/>
          <w:szCs w:val="24"/>
        </w:rPr>
        <w:noBreakHyphen/>
        <w:t>studie undersøgte dabigatranetexilat og warfarin hos i alt 252 patienter, som enten for nylig havde fået udskiftet en hjerteklap (dvs. i forbindelse med det aktuelle hospitalsophold) eller hos patienter, der for mere end 3 måneder siden har fået udskiftet en hjerteklap. Der blev observeret flere tromboemboliske hændelser (hovedsageligt apopleksi og symptomatisk/asymptomatisk kunstig hjerteklaptrombose) og flere blødningstilfælde ved behandling med dabigatranetexilat end med warfarin. Hos de nyligt opererede patienter blev der overvejende set alvorlige blødninger som hæmoragiske perikardie</w:t>
      </w:r>
      <w:r w:rsidRPr="004714C6">
        <w:rPr>
          <w:sz w:val="24"/>
          <w:szCs w:val="24"/>
        </w:rPr>
        <w:noBreakHyphen/>
        <w:t>effusioner, specielt hos patienter, som startede behandling med dabigatranetexilat hurtigt (på dag 3) efter udskiftning af hjerteklap (se pkt. 4.3).</w:t>
      </w:r>
    </w:p>
    <w:p w14:paraId="5A4E4C8A" w14:textId="77777777" w:rsidR="00A76826" w:rsidRPr="004714C6" w:rsidRDefault="00A76826" w:rsidP="00FB1973">
      <w:pPr>
        <w:ind w:left="851"/>
        <w:rPr>
          <w:sz w:val="24"/>
          <w:szCs w:val="24"/>
        </w:rPr>
      </w:pPr>
    </w:p>
    <w:p w14:paraId="08DB24A6" w14:textId="77777777" w:rsidR="00A76826" w:rsidRPr="004714C6" w:rsidRDefault="00A76826" w:rsidP="00FB1973">
      <w:pPr>
        <w:ind w:left="851"/>
        <w:rPr>
          <w:i/>
          <w:iCs/>
          <w:sz w:val="24"/>
          <w:szCs w:val="24"/>
          <w:u w:val="single"/>
        </w:rPr>
      </w:pPr>
      <w:r w:rsidRPr="004714C6">
        <w:rPr>
          <w:i/>
          <w:iCs/>
          <w:sz w:val="24"/>
          <w:szCs w:val="24"/>
          <w:u w:val="single"/>
        </w:rPr>
        <w:t>Pædiatrisk population</w:t>
      </w:r>
    </w:p>
    <w:p w14:paraId="5A19B7F7" w14:textId="77777777" w:rsidR="00A76826" w:rsidRPr="004714C6" w:rsidRDefault="00A76826" w:rsidP="00FB1973">
      <w:pPr>
        <w:ind w:left="851"/>
        <w:rPr>
          <w:sz w:val="24"/>
          <w:szCs w:val="24"/>
        </w:rPr>
      </w:pPr>
    </w:p>
    <w:p w14:paraId="27B35965" w14:textId="77777777" w:rsidR="00A76826" w:rsidRPr="004714C6" w:rsidRDefault="00A76826" w:rsidP="00FB1973">
      <w:pPr>
        <w:ind w:left="851"/>
        <w:rPr>
          <w:i/>
          <w:iCs/>
          <w:sz w:val="24"/>
          <w:szCs w:val="24"/>
        </w:rPr>
      </w:pPr>
      <w:r w:rsidRPr="004714C6">
        <w:rPr>
          <w:i/>
          <w:iCs/>
          <w:sz w:val="24"/>
          <w:szCs w:val="24"/>
        </w:rPr>
        <w:t>Kliniske studier med forebyggelse af VTE ved større led</w:t>
      </w:r>
      <w:r w:rsidRPr="004714C6">
        <w:rPr>
          <w:i/>
          <w:iCs/>
          <w:sz w:val="24"/>
          <w:szCs w:val="24"/>
        </w:rPr>
        <w:noBreakHyphen/>
        <w:t>alloplastikoperationer</w:t>
      </w:r>
    </w:p>
    <w:p w14:paraId="2679494A" w14:textId="77777777" w:rsidR="00A76826" w:rsidRPr="004714C6" w:rsidRDefault="00A76826" w:rsidP="00FB1973">
      <w:pPr>
        <w:ind w:left="851"/>
        <w:rPr>
          <w:i/>
          <w:iCs/>
          <w:sz w:val="24"/>
          <w:szCs w:val="24"/>
        </w:rPr>
      </w:pPr>
      <w:r w:rsidRPr="004714C6">
        <w:rPr>
          <w:i/>
          <w:iCs/>
          <w:sz w:val="24"/>
          <w:szCs w:val="24"/>
        </w:rPr>
        <w:t>Forebyggelse af apopleksi og systemisk emboli hos voksne patienter med NVAF med en eller flere risikofaktorer</w:t>
      </w:r>
    </w:p>
    <w:p w14:paraId="15FD6E4F" w14:textId="77777777" w:rsidR="00A76826" w:rsidRPr="004714C6" w:rsidRDefault="00A76826" w:rsidP="00FB1973">
      <w:pPr>
        <w:ind w:left="851"/>
        <w:rPr>
          <w:sz w:val="24"/>
          <w:szCs w:val="24"/>
        </w:rPr>
      </w:pPr>
    </w:p>
    <w:p w14:paraId="367D78AF" w14:textId="77777777" w:rsidR="00A76826" w:rsidRPr="004714C6" w:rsidRDefault="00A76826" w:rsidP="00FB1973">
      <w:pPr>
        <w:ind w:left="851"/>
        <w:rPr>
          <w:sz w:val="24"/>
          <w:szCs w:val="24"/>
        </w:rPr>
      </w:pPr>
      <w:r w:rsidRPr="004714C6">
        <w:rPr>
          <w:sz w:val="24"/>
          <w:szCs w:val="24"/>
        </w:rPr>
        <w:t>Det Europæiske Lægemiddelagentur har dispenseret fra kravet om at fremlægge resultaterne af studier med dabigatranetexilat i alle undergrupper af den pædiatriske population for indikationen primær forebyggelse af VTE hos patienter efter elektiv hofte</w:t>
      </w:r>
      <w:r w:rsidRPr="004714C6">
        <w:rPr>
          <w:sz w:val="24"/>
          <w:szCs w:val="24"/>
        </w:rPr>
        <w:noBreakHyphen/>
        <w:t xml:space="preserve"> eller knæalloplastik og indikationen forebyggelse af apopleksi og systemisk emboli hos patienter med NVAF (se pkt. 4.2 for oplysninger om pædiatrisk anvendelse).</w:t>
      </w:r>
    </w:p>
    <w:p w14:paraId="068B9CF5" w14:textId="77777777" w:rsidR="00A76826" w:rsidRPr="004714C6" w:rsidRDefault="00A76826" w:rsidP="00FB1973">
      <w:pPr>
        <w:ind w:left="851"/>
        <w:rPr>
          <w:sz w:val="24"/>
          <w:szCs w:val="24"/>
        </w:rPr>
      </w:pPr>
    </w:p>
    <w:p w14:paraId="35110C24" w14:textId="77777777" w:rsidR="00A76826" w:rsidRPr="004714C6" w:rsidRDefault="00A76826" w:rsidP="00FB1973">
      <w:pPr>
        <w:ind w:left="851"/>
        <w:rPr>
          <w:i/>
          <w:iCs/>
          <w:sz w:val="24"/>
          <w:szCs w:val="24"/>
        </w:rPr>
      </w:pPr>
      <w:r w:rsidRPr="004714C6">
        <w:rPr>
          <w:i/>
          <w:iCs/>
          <w:sz w:val="24"/>
          <w:szCs w:val="24"/>
        </w:rPr>
        <w:t>Behandling af VTE og forebyggelse af recidiverende VTE hos pædiatriske patienter</w:t>
      </w:r>
    </w:p>
    <w:p w14:paraId="6A0B9033" w14:textId="77777777" w:rsidR="00A76826" w:rsidRPr="004714C6" w:rsidRDefault="00A76826" w:rsidP="00FB1973">
      <w:pPr>
        <w:ind w:left="851"/>
        <w:rPr>
          <w:sz w:val="24"/>
          <w:szCs w:val="24"/>
        </w:rPr>
      </w:pPr>
    </w:p>
    <w:p w14:paraId="58A7ED89" w14:textId="77777777" w:rsidR="00A76826" w:rsidRPr="004714C6" w:rsidRDefault="00A76826" w:rsidP="00FB1973">
      <w:pPr>
        <w:ind w:left="851"/>
        <w:rPr>
          <w:sz w:val="24"/>
          <w:szCs w:val="24"/>
        </w:rPr>
      </w:pPr>
      <w:r w:rsidRPr="004714C6">
        <w:rPr>
          <w:sz w:val="24"/>
          <w:szCs w:val="24"/>
        </w:rPr>
        <w:t xml:space="preserve">DIVERSITY-studiet blev udført for at påvise dabigatranetexilats virkning og sikkerhed sammenlignet med behandlingsstandarden for VTE hos pædiatriske patienter fra fødslen til under 18 år. Studiet blev udført som et </w:t>
      </w:r>
      <w:r w:rsidRPr="004714C6">
        <w:rPr>
          <w:i/>
          <w:iCs/>
          <w:sz w:val="24"/>
          <w:szCs w:val="24"/>
        </w:rPr>
        <w:t>open-label</w:t>
      </w:r>
      <w:r w:rsidRPr="004714C6">
        <w:rPr>
          <w:sz w:val="24"/>
          <w:szCs w:val="24"/>
        </w:rPr>
        <w:t>, randomiseret, parallelgruppe, non-inferioritetsstudie. De inkluderede patienter blev randomiseret i forholdet 2:1 til enten en aldersrelevant formulering (kapsler, overtrukket granulat eller oral opløsning) af dabigatranetexilat (doser justeret efter alder og vægt) eller standardbehandlingen, der bestod af lavmolekylære hepariner (LMWH) eller vitamin K</w:t>
      </w:r>
      <w:r w:rsidRPr="004714C6">
        <w:rPr>
          <w:sz w:val="24"/>
          <w:szCs w:val="24"/>
        </w:rPr>
        <w:noBreakHyphen/>
        <w:t>antagonister (VKA) eller fondaparinux (1 patient på 12 år). Det primære endepunkt var et sammensat endepunkt af patienter med komplet trombeopløsning, frihed for recidiverende VTE og frihed for mortalitet i forbindelse med VTE. Eksklusionskriterierne omfattede aktiv meningitis, encefalitis og intrakraniel absces.</w:t>
      </w:r>
    </w:p>
    <w:p w14:paraId="3D508805" w14:textId="77777777" w:rsidR="00A76826" w:rsidRPr="004714C6" w:rsidRDefault="00A76826" w:rsidP="00FB1973">
      <w:pPr>
        <w:ind w:left="851"/>
        <w:rPr>
          <w:sz w:val="24"/>
          <w:szCs w:val="24"/>
        </w:rPr>
      </w:pPr>
    </w:p>
    <w:p w14:paraId="557F0D32" w14:textId="77777777" w:rsidR="00A76826" w:rsidRPr="004714C6" w:rsidRDefault="00A76826" w:rsidP="00FB1973">
      <w:pPr>
        <w:ind w:left="851"/>
        <w:rPr>
          <w:sz w:val="24"/>
          <w:szCs w:val="24"/>
        </w:rPr>
      </w:pPr>
      <w:r w:rsidRPr="004714C6">
        <w:rPr>
          <w:sz w:val="24"/>
          <w:szCs w:val="24"/>
        </w:rPr>
        <w:t>Der var i alt 267 randomiserede patienter. Af disse blev 176 patienter behandlet med dabigatranetexilat og 90 patienter blev behandlet med standardbehandlingen (1 randomiseret patient blev ikke behandlet). 168 patienter var fra 12 til &lt; 18 år, 64 patienter var 2 til &lt; 12 år og 35 patienter var &lt; 2 år.</w:t>
      </w:r>
    </w:p>
    <w:p w14:paraId="062A07CA" w14:textId="77777777" w:rsidR="00A76826" w:rsidRPr="004714C6" w:rsidRDefault="00A76826" w:rsidP="00FB1973">
      <w:pPr>
        <w:ind w:left="851"/>
        <w:rPr>
          <w:sz w:val="24"/>
          <w:szCs w:val="24"/>
        </w:rPr>
      </w:pPr>
    </w:p>
    <w:p w14:paraId="157994F2" w14:textId="7C34B5D1" w:rsidR="00A76826" w:rsidRPr="004714C6" w:rsidRDefault="00A76826" w:rsidP="00FB1973">
      <w:pPr>
        <w:ind w:left="851"/>
        <w:rPr>
          <w:sz w:val="24"/>
          <w:szCs w:val="24"/>
        </w:rPr>
      </w:pPr>
      <w:r w:rsidRPr="004714C6">
        <w:rPr>
          <w:sz w:val="24"/>
          <w:szCs w:val="24"/>
        </w:rPr>
        <w:t>Af de 267 randomiserede patienter opfyldte 81 patienter (45,8 %) i dabigatran</w:t>
      </w:r>
      <w:r w:rsidR="00DB2DAE">
        <w:rPr>
          <w:sz w:val="24"/>
          <w:szCs w:val="24"/>
        </w:rPr>
        <w:softHyphen/>
      </w:r>
      <w:r w:rsidRPr="004714C6">
        <w:rPr>
          <w:sz w:val="24"/>
          <w:szCs w:val="24"/>
        </w:rPr>
        <w:t>etexilatgruppen og 38 patienter (42,2 %) i standardbehandlingsgruppen kriterierne for det sammensatte, primære endepunkt (komplet trombeopløsning, frihed for recidiverende VTE og frihed for mortalitetsrelateret VTE). Den tilsvarende rateforskel viste non</w:t>
      </w:r>
      <w:r w:rsidRPr="004714C6">
        <w:rPr>
          <w:sz w:val="24"/>
          <w:szCs w:val="24"/>
        </w:rPr>
        <w:noBreakHyphen/>
        <w:t>inferioritet af dabigatranetexilat i forhold til standardbehandlingen. Generelt set var resultaterne konsistente på tværs af subgrupperne: der var ingen signifikante forskelle i behandlingsvirkning for subgrupper efter alder, køn, region og tilstedeværelse af visse risikofaktorer. For de tre forskellige aldersgrupper var andelene af patienter, der opfyldte det primære virkningsendepunkt i henholdsvis dabigatranetexilat</w:t>
      </w:r>
      <w:r w:rsidRPr="004714C6">
        <w:rPr>
          <w:sz w:val="24"/>
          <w:szCs w:val="24"/>
        </w:rPr>
        <w:noBreakHyphen/>
        <w:t xml:space="preserve"> og standardbehandlings</w:t>
      </w:r>
      <w:r w:rsidR="00DB2DAE">
        <w:rPr>
          <w:sz w:val="24"/>
          <w:szCs w:val="24"/>
        </w:rPr>
        <w:softHyphen/>
      </w:r>
      <w:r w:rsidRPr="004714C6">
        <w:rPr>
          <w:sz w:val="24"/>
          <w:szCs w:val="24"/>
        </w:rPr>
        <w:t>grupperne 13/22 (59,1 %) og 7/13 (53,8 %) for patienter fra fødsel til &lt; 2 år, 21/43 (48,8 %) og 12/21 (57,1 %) for patienter i alderen 2 til &lt; 12 år og 47/112 (42,0 %), og 19/56 (33,9 %) for patienter i alderen 12 til &lt; 18 år.</w:t>
      </w:r>
    </w:p>
    <w:p w14:paraId="7453C31B" w14:textId="77777777" w:rsidR="00A76826" w:rsidRPr="004714C6" w:rsidRDefault="00A76826" w:rsidP="00FB1973">
      <w:pPr>
        <w:ind w:left="851"/>
        <w:rPr>
          <w:sz w:val="24"/>
          <w:szCs w:val="24"/>
        </w:rPr>
      </w:pPr>
    </w:p>
    <w:p w14:paraId="4C70CFAE" w14:textId="55C5001D" w:rsidR="00A76826" w:rsidRPr="004714C6" w:rsidRDefault="00A76826" w:rsidP="00FB1973">
      <w:pPr>
        <w:ind w:left="851"/>
        <w:rPr>
          <w:sz w:val="24"/>
          <w:szCs w:val="24"/>
        </w:rPr>
      </w:pPr>
      <w:r w:rsidRPr="004714C6">
        <w:rPr>
          <w:sz w:val="24"/>
          <w:szCs w:val="24"/>
        </w:rPr>
        <w:t>Der blev rapporteret om alvorlige blødninger for 4 patienter (2,3 %) i dabigatranetexilatgruppen og 2 patienter (2,2 %) i standardbehandlingsgruppen. Der var ingen statistisk signifikant forskel i tidspunktet for første alvorlige blødning. 38 patienter (21,6 %) i dabigatranetexilatgruppen og 22 patienter (24,4 %) i standardbehandlings</w:t>
      </w:r>
      <w:r w:rsidR="004760BA" w:rsidRPr="004714C6">
        <w:rPr>
          <w:sz w:val="24"/>
          <w:szCs w:val="24"/>
        </w:rPr>
        <w:softHyphen/>
      </w:r>
      <w:r w:rsidRPr="004714C6">
        <w:rPr>
          <w:sz w:val="24"/>
          <w:szCs w:val="24"/>
        </w:rPr>
        <w:t>gruppen havde blødninger, de fleste kategoriserede som mindre. Det kombinerede endepunkt med alvorlig blødning (MBE) eller klinisk relevant ikke</w:t>
      </w:r>
      <w:r w:rsidRPr="004714C6">
        <w:rPr>
          <w:sz w:val="24"/>
          <w:szCs w:val="24"/>
        </w:rPr>
        <w:noBreakHyphen/>
        <w:t>alvorlig (CRNM) blødning (ved behandling) blev rapporteret for 6 (3,4 %) patienter i dabigatran</w:t>
      </w:r>
      <w:r w:rsidR="004760BA" w:rsidRPr="004714C6">
        <w:rPr>
          <w:sz w:val="24"/>
          <w:szCs w:val="24"/>
        </w:rPr>
        <w:softHyphen/>
      </w:r>
      <w:r w:rsidRPr="004714C6">
        <w:rPr>
          <w:sz w:val="24"/>
          <w:szCs w:val="24"/>
        </w:rPr>
        <w:t>etexilatgruppen og 3 patienter (3,3 %) i standardbehandlingsgruppen.</w:t>
      </w:r>
    </w:p>
    <w:p w14:paraId="1EDC1D34" w14:textId="77777777" w:rsidR="00A76826" w:rsidRPr="004714C6" w:rsidRDefault="00A76826" w:rsidP="00FB1973">
      <w:pPr>
        <w:ind w:left="851"/>
        <w:rPr>
          <w:sz w:val="24"/>
          <w:szCs w:val="24"/>
        </w:rPr>
      </w:pPr>
    </w:p>
    <w:p w14:paraId="7D59294E" w14:textId="77777777" w:rsidR="00A76826" w:rsidRPr="004714C6" w:rsidRDefault="00A76826" w:rsidP="00FB1973">
      <w:pPr>
        <w:ind w:left="851"/>
        <w:rPr>
          <w:sz w:val="24"/>
          <w:szCs w:val="24"/>
        </w:rPr>
      </w:pPr>
      <w:r w:rsidRPr="004714C6">
        <w:rPr>
          <w:sz w:val="24"/>
          <w:szCs w:val="24"/>
        </w:rPr>
        <w:t xml:space="preserve">Der blev udført et </w:t>
      </w:r>
      <w:r w:rsidRPr="004714C6">
        <w:rPr>
          <w:i/>
          <w:iCs/>
          <w:sz w:val="24"/>
          <w:szCs w:val="24"/>
        </w:rPr>
        <w:t>open</w:t>
      </w:r>
      <w:r w:rsidRPr="004714C6">
        <w:rPr>
          <w:i/>
          <w:iCs/>
          <w:sz w:val="24"/>
          <w:szCs w:val="24"/>
        </w:rPr>
        <w:noBreakHyphen/>
        <w:t>label</w:t>
      </w:r>
      <w:r w:rsidRPr="004714C6">
        <w:rPr>
          <w:sz w:val="24"/>
          <w:szCs w:val="24"/>
        </w:rPr>
        <w:t>, enkeltgruppe, prospektivt kohorte, multicenter, fase III</w:t>
      </w:r>
      <w:r w:rsidRPr="004714C6">
        <w:rPr>
          <w:sz w:val="24"/>
          <w:szCs w:val="24"/>
        </w:rPr>
        <w:noBreakHyphen/>
        <w:t>sikkerhedsstudie (1160.108) for at vurdere sikkerheden ved dabigatranetexilat til forebyggelse af recidiverende VTE hos pædiatriske patienter fra fødsel til under 18 år. Patienter, der havde brug for yderligere antikoagulation grundet tilstedeværelsen af en klinisk risikofaktor efter at have fuldført den indledende behandling mod bekræftet VTE (i mindst 3 måneder) eller efter at have fuldført DIVERSITY</w:t>
      </w:r>
      <w:r w:rsidRPr="004714C6">
        <w:rPr>
          <w:sz w:val="24"/>
          <w:szCs w:val="24"/>
        </w:rPr>
        <w:noBreakHyphen/>
        <w:t>studiet, kunne inkluderes i studiet. Egnede patienter fik alders</w:t>
      </w:r>
      <w:r w:rsidRPr="004714C6">
        <w:rPr>
          <w:sz w:val="24"/>
          <w:szCs w:val="24"/>
        </w:rPr>
        <w:noBreakHyphen/>
        <w:t xml:space="preserve"> og vægtjusterede doser af en aldersrelevant formulering (kapsler, overtrukket granulat eller oral opløsning) af dabigatranetexilat, indtil den kliniske risikofaktor forsvandt, eller op til maksimalt 12 måneder. Studiets primære endepunkter omfattede recidiv af VTE, alvorlige og mindre blødningstilfælde og mortaliteten (generelt og relateret til trombotiske eller tromboemboliske hændelser) efter 6 og 12 måneder. Resultaterne blev vurderet af en uafhængig, blindet evalueringskomité.</w:t>
      </w:r>
    </w:p>
    <w:p w14:paraId="6092983C" w14:textId="77777777" w:rsidR="00A76826" w:rsidRPr="004714C6" w:rsidRDefault="00A76826" w:rsidP="00FB1973">
      <w:pPr>
        <w:ind w:left="851"/>
        <w:rPr>
          <w:sz w:val="24"/>
          <w:szCs w:val="24"/>
        </w:rPr>
      </w:pPr>
    </w:p>
    <w:p w14:paraId="72E71C39" w14:textId="77777777" w:rsidR="00A76826" w:rsidRPr="004714C6" w:rsidRDefault="00A76826" w:rsidP="00FB1973">
      <w:pPr>
        <w:ind w:left="851"/>
        <w:rPr>
          <w:sz w:val="24"/>
          <w:szCs w:val="24"/>
        </w:rPr>
      </w:pPr>
      <w:r w:rsidRPr="004714C6">
        <w:rPr>
          <w:sz w:val="24"/>
          <w:szCs w:val="24"/>
        </w:rPr>
        <w:t>I alt blev 214 patienter inkluderet i studiet, blandt dem 162 patienter i aldersgruppe 1 (fra 12 til &lt; 18 år), 43 patienter i aldersgruppe 2 (fra 2 til &lt; 12 år) og 9 patienter i aldersgruppe 3 (fra fødsel til &lt; 2 år). I behandlingsperioden oplevede 3 patienter (1,4 %) en recidiverende VTE bekræftet ved evaluering inden for de første 12 måneder efter behandlingsstart. Blødningstilfælde bekræftet ved evaluering i behandlingsperioden blev rapporteret for 48 patienter (22,5 %) inden for de første 12 måneder. Størstedelen af blødningstilfældene var mindre. Hos 3 patienter (1,4 %) opstod der en alvorlig blødningshændelse bekræftet ved evaluering inden for de første 12 måneder. For 3 patienter (1,4 %) blev der rapporteret en CRNM</w:t>
      </w:r>
      <w:r w:rsidRPr="004714C6">
        <w:rPr>
          <w:sz w:val="24"/>
          <w:szCs w:val="24"/>
        </w:rPr>
        <w:noBreakHyphen/>
        <w:t>blødning bekræftet ved evaluering inden for de første 12 måneder. Der opstod ingen dødsfald under behandlingen. I behandlingsperioden udviklede 3 patienter (1,4 %) posttrombotisk syndrom (PTS) eller oplevede en forværring af PTS inden for de første 12 måneder.</w:t>
      </w:r>
    </w:p>
    <w:p w14:paraId="4265D478" w14:textId="77777777" w:rsidR="009260DE" w:rsidRPr="004714C6" w:rsidRDefault="009260DE" w:rsidP="009260DE">
      <w:pPr>
        <w:tabs>
          <w:tab w:val="left" w:pos="851"/>
        </w:tabs>
        <w:ind w:left="851"/>
        <w:rPr>
          <w:sz w:val="24"/>
          <w:szCs w:val="24"/>
        </w:rPr>
      </w:pPr>
    </w:p>
    <w:p w14:paraId="5794C487" w14:textId="77777777" w:rsidR="009260DE" w:rsidRPr="004714C6" w:rsidRDefault="009260DE" w:rsidP="009260DE">
      <w:pPr>
        <w:tabs>
          <w:tab w:val="left" w:pos="851"/>
        </w:tabs>
        <w:ind w:left="851" w:hanging="851"/>
        <w:rPr>
          <w:b/>
          <w:sz w:val="24"/>
          <w:szCs w:val="24"/>
        </w:rPr>
      </w:pPr>
      <w:r w:rsidRPr="004714C6">
        <w:rPr>
          <w:b/>
          <w:sz w:val="24"/>
          <w:szCs w:val="24"/>
        </w:rPr>
        <w:t>5.2</w:t>
      </w:r>
      <w:r w:rsidRPr="004714C6">
        <w:rPr>
          <w:b/>
          <w:sz w:val="24"/>
          <w:szCs w:val="24"/>
        </w:rPr>
        <w:tab/>
        <w:t>Farmakokinetiske egenskaber</w:t>
      </w:r>
    </w:p>
    <w:p w14:paraId="2EE87BB5" w14:textId="77777777" w:rsidR="00A76826" w:rsidRPr="004714C6" w:rsidRDefault="00A76826" w:rsidP="00FB1973">
      <w:pPr>
        <w:ind w:left="851"/>
        <w:rPr>
          <w:sz w:val="24"/>
          <w:szCs w:val="24"/>
        </w:rPr>
      </w:pPr>
      <w:r w:rsidRPr="004714C6">
        <w:rPr>
          <w:sz w:val="24"/>
          <w:szCs w:val="24"/>
        </w:rPr>
        <w:t>Efter oral administration omdannes dabigatranetexilat hurtigt og fuldstændigt til den i plasma aktive form dabigatran. Den væsentligste metaboliske reaktion er en spaltning ved esterasekatalyseret hydrolyse af prodruget dabigatranetexilat til det aktive stof dabigatran. Den absolutte biotilgængelighed af dabigatran efter oral indtagelse af dabigatranetexilat var ca. 6,5 %. Efter oral administration af dabigatranetexilat til raske frivillige er den farmakokinetiske profil for dabigatran i plasma karakteriseret ved en hurtig stigning i plasmakoncentrationen og C</w:t>
      </w:r>
      <w:r w:rsidRPr="004714C6">
        <w:rPr>
          <w:sz w:val="24"/>
          <w:szCs w:val="24"/>
          <w:vertAlign w:val="subscript"/>
        </w:rPr>
        <w:t>max</w:t>
      </w:r>
      <w:r w:rsidRPr="004714C6">
        <w:rPr>
          <w:sz w:val="24"/>
          <w:szCs w:val="24"/>
        </w:rPr>
        <w:t xml:space="preserve"> opnås inden for 0,5</w:t>
      </w:r>
      <w:r w:rsidRPr="004714C6">
        <w:rPr>
          <w:sz w:val="24"/>
          <w:szCs w:val="24"/>
        </w:rPr>
        <w:noBreakHyphen/>
        <w:t>2,0 timer efter administration.</w:t>
      </w:r>
    </w:p>
    <w:p w14:paraId="27DEA7EC" w14:textId="77777777" w:rsidR="00A76826" w:rsidRPr="004714C6" w:rsidRDefault="00A76826" w:rsidP="00FB1973">
      <w:pPr>
        <w:ind w:left="851"/>
        <w:rPr>
          <w:sz w:val="24"/>
          <w:szCs w:val="24"/>
        </w:rPr>
      </w:pPr>
    </w:p>
    <w:p w14:paraId="23DCC20E" w14:textId="77777777" w:rsidR="00A76826" w:rsidRPr="004714C6" w:rsidRDefault="00A76826" w:rsidP="00FB1973">
      <w:pPr>
        <w:ind w:left="851"/>
        <w:rPr>
          <w:sz w:val="24"/>
          <w:szCs w:val="24"/>
          <w:u w:val="single"/>
        </w:rPr>
      </w:pPr>
      <w:r w:rsidRPr="004714C6">
        <w:rPr>
          <w:sz w:val="24"/>
          <w:szCs w:val="24"/>
          <w:u w:val="single"/>
        </w:rPr>
        <w:t>Absorption</w:t>
      </w:r>
    </w:p>
    <w:p w14:paraId="670D6B33" w14:textId="77777777" w:rsidR="00A76826" w:rsidRPr="004714C6" w:rsidRDefault="00A76826" w:rsidP="00FB1973">
      <w:pPr>
        <w:ind w:left="851"/>
        <w:rPr>
          <w:sz w:val="24"/>
          <w:szCs w:val="24"/>
        </w:rPr>
      </w:pPr>
    </w:p>
    <w:p w14:paraId="08D674BF" w14:textId="77777777" w:rsidR="00A76826" w:rsidRPr="004714C6" w:rsidRDefault="00A76826" w:rsidP="00FB1973">
      <w:pPr>
        <w:ind w:left="851"/>
        <w:rPr>
          <w:sz w:val="24"/>
          <w:szCs w:val="24"/>
        </w:rPr>
      </w:pPr>
      <w:r w:rsidRPr="004714C6">
        <w:rPr>
          <w:sz w:val="24"/>
          <w:szCs w:val="24"/>
        </w:rPr>
        <w:t>Et absorptionsstudie påviste, at absorptionen af dabigatranetexilat 1</w:t>
      </w:r>
      <w:r w:rsidRPr="004714C6">
        <w:rPr>
          <w:sz w:val="24"/>
          <w:szCs w:val="24"/>
        </w:rPr>
        <w:noBreakHyphen/>
        <w:t>3 timer efter afsluttet operation, var relativt langsom sammenlignet med det, man så hos raske frivillige. Studiet viste tillige en jævn plasmakoncentrationstidskurve uden store stigninger i den maksimale plasmakoncentration. C</w:t>
      </w:r>
      <w:r w:rsidRPr="004714C6">
        <w:rPr>
          <w:sz w:val="24"/>
          <w:szCs w:val="24"/>
          <w:vertAlign w:val="subscript"/>
        </w:rPr>
        <w:t>max</w:t>
      </w:r>
      <w:r w:rsidRPr="004714C6">
        <w:rPr>
          <w:sz w:val="24"/>
          <w:szCs w:val="24"/>
        </w:rPr>
        <w:t xml:space="preserve"> blev opnået 6 timer efter administration i den postoperative fase pga. medvirkende faktorer såsom anæstesi, gastrointestinal parese og kirurgiske eftervirkninger, uafhængigt af den orale lægemiddelformulering. Et andet studie viste, at langsom og forsinket absorption normalt kun ses på operationsdagen. De efterfølgende dage er absorptionen af dabigatran hurtig med C</w:t>
      </w:r>
      <w:r w:rsidRPr="004714C6">
        <w:rPr>
          <w:sz w:val="24"/>
          <w:szCs w:val="24"/>
          <w:vertAlign w:val="subscript"/>
        </w:rPr>
        <w:t>max</w:t>
      </w:r>
      <w:r w:rsidRPr="004714C6">
        <w:rPr>
          <w:sz w:val="24"/>
          <w:szCs w:val="24"/>
        </w:rPr>
        <w:t xml:space="preserve"> opnået 2 timer efter lægemiddeladministration.</w:t>
      </w:r>
    </w:p>
    <w:p w14:paraId="26498879" w14:textId="77777777" w:rsidR="00A76826" w:rsidRPr="004714C6" w:rsidRDefault="00A76826" w:rsidP="00FB1973">
      <w:pPr>
        <w:ind w:left="851"/>
        <w:rPr>
          <w:sz w:val="24"/>
          <w:szCs w:val="24"/>
        </w:rPr>
      </w:pPr>
    </w:p>
    <w:p w14:paraId="6E054F90" w14:textId="77777777" w:rsidR="00A76826" w:rsidRPr="004714C6" w:rsidRDefault="00A76826" w:rsidP="00FB1973">
      <w:pPr>
        <w:ind w:left="851"/>
        <w:rPr>
          <w:sz w:val="24"/>
          <w:szCs w:val="24"/>
        </w:rPr>
      </w:pPr>
      <w:r w:rsidRPr="004714C6">
        <w:rPr>
          <w:sz w:val="24"/>
          <w:szCs w:val="24"/>
        </w:rPr>
        <w:t>Mad påvirker ikke biotilgængeligheden af dabigatranetexilat, men forsinker tiden til maksimal plasmakoncentration med 2 timer. C</w:t>
      </w:r>
      <w:r w:rsidRPr="004714C6">
        <w:rPr>
          <w:sz w:val="24"/>
          <w:szCs w:val="24"/>
          <w:vertAlign w:val="subscript"/>
        </w:rPr>
        <w:t>max</w:t>
      </w:r>
      <w:r w:rsidRPr="004714C6">
        <w:rPr>
          <w:sz w:val="24"/>
          <w:szCs w:val="24"/>
        </w:rPr>
        <w:t xml:space="preserve"> og AUC var dosisproportionale.</w:t>
      </w:r>
    </w:p>
    <w:p w14:paraId="5CCA3DB3" w14:textId="77777777" w:rsidR="00A76826" w:rsidRPr="004714C6" w:rsidRDefault="00A76826" w:rsidP="00FB1973">
      <w:pPr>
        <w:ind w:left="851"/>
        <w:rPr>
          <w:sz w:val="24"/>
          <w:szCs w:val="24"/>
        </w:rPr>
      </w:pPr>
    </w:p>
    <w:p w14:paraId="55ADD591" w14:textId="77777777" w:rsidR="00A76826" w:rsidRPr="004714C6" w:rsidRDefault="00A76826" w:rsidP="00FB1973">
      <w:pPr>
        <w:ind w:left="851"/>
        <w:rPr>
          <w:sz w:val="24"/>
          <w:szCs w:val="24"/>
        </w:rPr>
      </w:pPr>
      <w:r w:rsidRPr="004714C6">
        <w:rPr>
          <w:sz w:val="24"/>
          <w:szCs w:val="24"/>
        </w:rPr>
        <w:t xml:space="preserve">Den orale biotilgængelighed kan være øget med 75 % efter en enkelt dosis og med 37 % ved </w:t>
      </w:r>
      <w:r w:rsidRPr="004714C6">
        <w:rPr>
          <w:i/>
          <w:iCs/>
          <w:sz w:val="24"/>
          <w:szCs w:val="24"/>
        </w:rPr>
        <w:t>steady state</w:t>
      </w:r>
      <w:r w:rsidRPr="004714C6">
        <w:rPr>
          <w:sz w:val="24"/>
          <w:szCs w:val="24"/>
        </w:rPr>
        <w:t xml:space="preserve"> efter gentagne doser, hvis pellets indtages uden hydroxypropylmethylcellulose (HPMC)</w:t>
      </w:r>
      <w:r w:rsidRPr="004714C6">
        <w:rPr>
          <w:sz w:val="24"/>
          <w:szCs w:val="24"/>
        </w:rPr>
        <w:noBreakHyphen/>
        <w:t>kapselskallen i forhold til indtagelse af en hel kapsel. For at undgå en utilsigtet øget biotilgængelighed af dabigatranetexilat bør HPMC</w:t>
      </w:r>
      <w:r w:rsidRPr="004714C6">
        <w:rPr>
          <w:sz w:val="24"/>
          <w:szCs w:val="24"/>
        </w:rPr>
        <w:noBreakHyphen/>
        <w:t>kapslerne derfor altid indtages uåbnede (se pkt. 4.2).</w:t>
      </w:r>
    </w:p>
    <w:p w14:paraId="08E6F7D7" w14:textId="77777777" w:rsidR="00A76826" w:rsidRPr="004714C6" w:rsidRDefault="00A76826" w:rsidP="00FB1973">
      <w:pPr>
        <w:ind w:left="851"/>
        <w:rPr>
          <w:sz w:val="24"/>
          <w:szCs w:val="24"/>
        </w:rPr>
      </w:pPr>
    </w:p>
    <w:p w14:paraId="1FBEB69E" w14:textId="77777777" w:rsidR="00A76826" w:rsidRPr="004714C6" w:rsidRDefault="00A76826" w:rsidP="00FB1973">
      <w:pPr>
        <w:ind w:left="851"/>
        <w:rPr>
          <w:sz w:val="24"/>
          <w:szCs w:val="24"/>
          <w:u w:val="single"/>
        </w:rPr>
      </w:pPr>
      <w:r w:rsidRPr="004714C6">
        <w:rPr>
          <w:sz w:val="24"/>
          <w:szCs w:val="24"/>
          <w:u w:val="single"/>
        </w:rPr>
        <w:t>Fordeling</w:t>
      </w:r>
    </w:p>
    <w:p w14:paraId="7270981F" w14:textId="77777777" w:rsidR="00A76826" w:rsidRPr="004714C6" w:rsidRDefault="00A76826" w:rsidP="00FB1973">
      <w:pPr>
        <w:ind w:left="851"/>
        <w:rPr>
          <w:sz w:val="24"/>
          <w:szCs w:val="24"/>
        </w:rPr>
      </w:pPr>
    </w:p>
    <w:p w14:paraId="6488DD76" w14:textId="77777777" w:rsidR="00A76826" w:rsidRPr="004714C6" w:rsidRDefault="00A76826" w:rsidP="00FB1973">
      <w:pPr>
        <w:ind w:left="851"/>
        <w:rPr>
          <w:sz w:val="24"/>
          <w:szCs w:val="24"/>
        </w:rPr>
      </w:pPr>
      <w:r w:rsidRPr="004714C6">
        <w:rPr>
          <w:sz w:val="24"/>
          <w:szCs w:val="24"/>
        </w:rPr>
        <w:t>Det er blevet observeret, at proteinbinding af dabigatran er lav (34</w:t>
      </w:r>
      <w:r w:rsidRPr="004714C6">
        <w:rPr>
          <w:sz w:val="24"/>
          <w:szCs w:val="24"/>
        </w:rPr>
        <w:noBreakHyphen/>
        <w:t>35 %) og koncentrationsuafhængig. Fordelingsvolumen var 60</w:t>
      </w:r>
      <w:r w:rsidRPr="004714C6">
        <w:rPr>
          <w:sz w:val="24"/>
          <w:szCs w:val="24"/>
        </w:rPr>
        <w:noBreakHyphen/>
        <w:t>70 l, hvilket overstiger mængden af den samlede kropsvæske og antyder en moderat vævsfordeling af dabigatran.</w:t>
      </w:r>
    </w:p>
    <w:p w14:paraId="71A4EFF9" w14:textId="77777777" w:rsidR="00A76826" w:rsidRPr="004714C6" w:rsidRDefault="00A76826" w:rsidP="00FB1973">
      <w:pPr>
        <w:ind w:left="851"/>
        <w:rPr>
          <w:sz w:val="24"/>
          <w:szCs w:val="24"/>
        </w:rPr>
      </w:pPr>
    </w:p>
    <w:p w14:paraId="5F972A2D" w14:textId="77777777" w:rsidR="00A76826" w:rsidRPr="004714C6" w:rsidRDefault="00A76826" w:rsidP="00FB1973">
      <w:pPr>
        <w:ind w:left="851"/>
        <w:rPr>
          <w:sz w:val="24"/>
          <w:szCs w:val="24"/>
          <w:u w:val="single"/>
        </w:rPr>
      </w:pPr>
      <w:r w:rsidRPr="004714C6">
        <w:rPr>
          <w:sz w:val="24"/>
          <w:szCs w:val="24"/>
          <w:u w:val="single"/>
        </w:rPr>
        <w:t>Biotransformation</w:t>
      </w:r>
    </w:p>
    <w:p w14:paraId="4539F0F7" w14:textId="77777777" w:rsidR="00A76826" w:rsidRPr="004714C6" w:rsidRDefault="00A76826" w:rsidP="00FB1973">
      <w:pPr>
        <w:ind w:left="851"/>
        <w:rPr>
          <w:sz w:val="24"/>
          <w:szCs w:val="24"/>
        </w:rPr>
      </w:pPr>
    </w:p>
    <w:p w14:paraId="5ADE0DCB" w14:textId="77777777" w:rsidR="00A76826" w:rsidRPr="004714C6" w:rsidRDefault="00A76826" w:rsidP="00FB1973">
      <w:pPr>
        <w:ind w:left="851"/>
        <w:rPr>
          <w:sz w:val="24"/>
          <w:szCs w:val="24"/>
        </w:rPr>
      </w:pPr>
      <w:r w:rsidRPr="004714C6">
        <w:rPr>
          <w:sz w:val="24"/>
          <w:szCs w:val="24"/>
        </w:rPr>
        <w:t>Dabigatrans metabolisme og udskillelse blev undersøgt hos raske mænd efter en enkelt intravenøs dosis radioaktivt mærket dabigatran. Efter en intravenøs dosis blev radioaktiviteten stammende fra dabigatran primært udskilt med urinen (85 %). Udskillelse gennem fæces udgjorde 6 % af den administrerede dosis. 168 timer efter administration lå genindvindingen af den samlede radioaktivitet på 88</w:t>
      </w:r>
      <w:r w:rsidRPr="004714C6">
        <w:rPr>
          <w:sz w:val="24"/>
          <w:szCs w:val="24"/>
        </w:rPr>
        <w:noBreakHyphen/>
        <w:t>94 % af den administrerede dosis.</w:t>
      </w:r>
    </w:p>
    <w:p w14:paraId="13C40B53" w14:textId="77777777" w:rsidR="00A76826" w:rsidRPr="004714C6" w:rsidRDefault="00A76826" w:rsidP="00FB1973">
      <w:pPr>
        <w:ind w:left="851"/>
        <w:rPr>
          <w:sz w:val="24"/>
          <w:szCs w:val="24"/>
        </w:rPr>
      </w:pPr>
      <w:r w:rsidRPr="004714C6">
        <w:rPr>
          <w:sz w:val="24"/>
          <w:szCs w:val="24"/>
        </w:rPr>
        <w:t>Dabigatran konjugeres under dannelse af farmakologisk aktive acylglucuronider. Der findes fire positionelle isomerer, 1-O, 2-O, 3-O og 4-O-acylglucuronid, som hver tegner sig for mindre end 10 % af den samlede mængde dabigatran i plasma. Kun med meget sensitive analytiske metoder kunne der identificeres spor af andre metabolitter. Dabigatran udskilles primært i uændret form med urinen med en hastighed på ca. 100 ml/min, svarende til den glomerulære filtrationshastighed.</w:t>
      </w:r>
    </w:p>
    <w:p w14:paraId="62F33C2D" w14:textId="77777777" w:rsidR="00A76826" w:rsidRPr="004714C6" w:rsidRDefault="00A76826" w:rsidP="00FB1973">
      <w:pPr>
        <w:ind w:left="851"/>
        <w:rPr>
          <w:sz w:val="24"/>
          <w:szCs w:val="24"/>
        </w:rPr>
      </w:pPr>
    </w:p>
    <w:p w14:paraId="28588010" w14:textId="77777777" w:rsidR="00A76826" w:rsidRPr="004714C6" w:rsidRDefault="00A76826" w:rsidP="00FB1973">
      <w:pPr>
        <w:ind w:left="851"/>
        <w:rPr>
          <w:sz w:val="24"/>
          <w:szCs w:val="24"/>
          <w:u w:val="single"/>
        </w:rPr>
      </w:pPr>
      <w:bookmarkStart w:id="9" w:name="_Hlk153785446"/>
      <w:r w:rsidRPr="004714C6">
        <w:rPr>
          <w:sz w:val="24"/>
          <w:szCs w:val="24"/>
          <w:u w:val="single"/>
        </w:rPr>
        <w:t>Elimination</w:t>
      </w:r>
      <w:bookmarkEnd w:id="9"/>
    </w:p>
    <w:p w14:paraId="6635A700" w14:textId="77777777" w:rsidR="00A76826" w:rsidRPr="004714C6" w:rsidRDefault="00A76826" w:rsidP="00FB1973">
      <w:pPr>
        <w:ind w:left="851"/>
        <w:rPr>
          <w:sz w:val="24"/>
          <w:szCs w:val="24"/>
        </w:rPr>
      </w:pPr>
    </w:p>
    <w:p w14:paraId="335485E4" w14:textId="77777777" w:rsidR="00A76826" w:rsidRPr="004714C6" w:rsidRDefault="00A76826" w:rsidP="00FB1973">
      <w:pPr>
        <w:ind w:left="851"/>
        <w:rPr>
          <w:sz w:val="24"/>
          <w:szCs w:val="24"/>
        </w:rPr>
      </w:pPr>
      <w:r w:rsidRPr="004714C6">
        <w:rPr>
          <w:sz w:val="24"/>
          <w:szCs w:val="24"/>
        </w:rPr>
        <w:t>Plasmakoncentrationer for dabigatran viste et bieksponentielt fald med en gennemsnitlig terminal halveringstid på 11 timer hos raske ældre. Efter flere doser observeredes en terminal halveringstid på ca. 12</w:t>
      </w:r>
      <w:r w:rsidRPr="004714C6">
        <w:rPr>
          <w:sz w:val="24"/>
          <w:szCs w:val="24"/>
        </w:rPr>
        <w:noBreakHyphen/>
        <w:t>14 timer. Halveringstiden var uafhængig af dosis. Halveringstiden forlænges ved nedsat nyrefunktion, som vist i tabel 30.</w:t>
      </w:r>
    </w:p>
    <w:p w14:paraId="4CA13BF7" w14:textId="77777777" w:rsidR="00A76826" w:rsidRPr="004714C6" w:rsidRDefault="00A76826" w:rsidP="00FB1973">
      <w:pPr>
        <w:ind w:left="851"/>
        <w:rPr>
          <w:sz w:val="24"/>
          <w:szCs w:val="24"/>
        </w:rPr>
      </w:pPr>
    </w:p>
    <w:p w14:paraId="60865F26" w14:textId="77777777" w:rsidR="00A76826" w:rsidRPr="004714C6" w:rsidRDefault="00A76826" w:rsidP="00FB1973">
      <w:pPr>
        <w:ind w:left="851"/>
        <w:rPr>
          <w:sz w:val="24"/>
          <w:szCs w:val="24"/>
          <w:u w:val="single"/>
        </w:rPr>
      </w:pPr>
      <w:r w:rsidRPr="004714C6">
        <w:rPr>
          <w:sz w:val="24"/>
          <w:szCs w:val="24"/>
          <w:u w:val="single"/>
        </w:rPr>
        <w:t>Særlige populationer</w:t>
      </w:r>
    </w:p>
    <w:p w14:paraId="1DFD2EA4" w14:textId="77777777" w:rsidR="00A76826" w:rsidRPr="004714C6" w:rsidRDefault="00A76826" w:rsidP="00FB1973">
      <w:pPr>
        <w:ind w:left="851"/>
        <w:rPr>
          <w:sz w:val="24"/>
          <w:szCs w:val="24"/>
        </w:rPr>
      </w:pPr>
    </w:p>
    <w:p w14:paraId="14F30A65" w14:textId="77777777" w:rsidR="00A76826" w:rsidRPr="004714C6" w:rsidRDefault="00A76826" w:rsidP="00FB1973">
      <w:pPr>
        <w:ind w:left="851"/>
        <w:rPr>
          <w:i/>
          <w:iCs/>
          <w:sz w:val="24"/>
          <w:szCs w:val="24"/>
        </w:rPr>
      </w:pPr>
      <w:r w:rsidRPr="004714C6">
        <w:rPr>
          <w:i/>
          <w:iCs/>
          <w:sz w:val="24"/>
          <w:szCs w:val="24"/>
        </w:rPr>
        <w:t>Nedsat nyrefunktion</w:t>
      </w:r>
    </w:p>
    <w:p w14:paraId="4AE27CBD" w14:textId="77777777" w:rsidR="00A76826" w:rsidRPr="004714C6" w:rsidRDefault="00A76826" w:rsidP="00FB1973">
      <w:pPr>
        <w:ind w:left="851"/>
        <w:rPr>
          <w:sz w:val="24"/>
          <w:szCs w:val="24"/>
        </w:rPr>
      </w:pPr>
    </w:p>
    <w:p w14:paraId="6DD83367" w14:textId="77777777" w:rsidR="00A76826" w:rsidRPr="004714C6" w:rsidRDefault="00A76826" w:rsidP="00FB1973">
      <w:pPr>
        <w:ind w:left="851"/>
        <w:rPr>
          <w:sz w:val="24"/>
          <w:szCs w:val="24"/>
        </w:rPr>
      </w:pPr>
      <w:r w:rsidRPr="004714C6">
        <w:rPr>
          <w:sz w:val="24"/>
          <w:szCs w:val="24"/>
        </w:rPr>
        <w:t>I fase I-studier var eksponering (AUC) af dabigatran efter oral administration af dabigatranetexilat ca. 2,7 gange højere hos voksne frivillige med moderat nedsat nyrefunktion (CrCL mellem 30 og 50 ml/min) end hos dem uden nedsat nyrefunktion.</w:t>
      </w:r>
    </w:p>
    <w:p w14:paraId="1A38E0F8" w14:textId="77777777" w:rsidR="00A76826" w:rsidRPr="004714C6" w:rsidRDefault="00A76826" w:rsidP="00FB1973">
      <w:pPr>
        <w:ind w:left="851"/>
        <w:rPr>
          <w:sz w:val="24"/>
          <w:szCs w:val="24"/>
        </w:rPr>
      </w:pPr>
    </w:p>
    <w:p w14:paraId="131B48F6" w14:textId="77777777" w:rsidR="00A76826" w:rsidRPr="004714C6" w:rsidRDefault="00A76826" w:rsidP="00FB1973">
      <w:pPr>
        <w:ind w:left="851"/>
        <w:rPr>
          <w:sz w:val="24"/>
          <w:szCs w:val="24"/>
        </w:rPr>
      </w:pPr>
      <w:r w:rsidRPr="004714C6">
        <w:rPr>
          <w:sz w:val="24"/>
          <w:szCs w:val="24"/>
        </w:rPr>
        <w:t>Hos nogle få voksne frivillige med svært nedsat nyrefunktion (CrCL 10</w:t>
      </w:r>
      <w:r w:rsidRPr="004714C6">
        <w:rPr>
          <w:sz w:val="24"/>
          <w:szCs w:val="24"/>
        </w:rPr>
        <w:noBreakHyphen/>
        <w:t>30 ml/min) var eksponeringen (AUC) for dabigatran ca. 6 gange højere og halveringstiden ca. 2 gange længere end det, man så hos en population uden nedsat nyrefunktion (se pkt. 4.2, 4.3 og 4.4).</w:t>
      </w:r>
    </w:p>
    <w:p w14:paraId="18CAC80E" w14:textId="77777777" w:rsidR="00A76826" w:rsidRPr="004714C6" w:rsidRDefault="00A76826" w:rsidP="00FB1973">
      <w:pPr>
        <w:ind w:left="851"/>
        <w:rPr>
          <w:sz w:val="24"/>
          <w:szCs w:val="24"/>
        </w:rPr>
      </w:pPr>
    </w:p>
    <w:p w14:paraId="36698DE3" w14:textId="77777777" w:rsidR="00A76826" w:rsidRPr="004714C6" w:rsidRDefault="00A76826" w:rsidP="00A76826">
      <w:pPr>
        <w:keepNext/>
        <w:widowControl w:val="0"/>
        <w:autoSpaceDE w:val="0"/>
        <w:autoSpaceDN w:val="0"/>
        <w:adjustRightInd w:val="0"/>
        <w:spacing w:line="246" w:lineRule="exact"/>
        <w:ind w:left="1440" w:right="-20" w:hanging="1440"/>
        <w:rPr>
          <w:b/>
          <w:bCs/>
          <w:sz w:val="24"/>
          <w:szCs w:val="24"/>
        </w:rPr>
      </w:pPr>
      <w:r w:rsidRPr="004714C6">
        <w:rPr>
          <w:b/>
          <w:bCs/>
          <w:sz w:val="24"/>
          <w:szCs w:val="24"/>
        </w:rPr>
        <w:t>Tabel 30:</w:t>
      </w:r>
      <w:r w:rsidRPr="004714C6">
        <w:rPr>
          <w:b/>
          <w:bCs/>
          <w:sz w:val="24"/>
          <w:szCs w:val="24"/>
        </w:rPr>
        <w:tab/>
        <w:t>Halveringstid for total dabigatran hos raske og hos patienter med nedsat nyrefunktion</w:t>
      </w:r>
    </w:p>
    <w:p w14:paraId="0A751E47" w14:textId="77777777" w:rsidR="00A76826" w:rsidRPr="004714C6" w:rsidRDefault="00A76826" w:rsidP="00A76826">
      <w:pPr>
        <w:keepNext/>
        <w:widowControl w:val="0"/>
        <w:autoSpaceDE w:val="0"/>
        <w:autoSpaceDN w:val="0"/>
        <w:adjustRightInd w:val="0"/>
        <w:spacing w:line="246" w:lineRule="exact"/>
        <w:ind w:right="-20"/>
        <w:rPr>
          <w:sz w:val="24"/>
          <w:szCs w:val="24"/>
        </w:rPr>
      </w:pPr>
    </w:p>
    <w:tbl>
      <w:tblPr>
        <w:tblW w:w="5000" w:type="pct"/>
        <w:tblCellMar>
          <w:left w:w="0" w:type="dxa"/>
          <w:right w:w="0" w:type="dxa"/>
        </w:tblCellMar>
        <w:tblLook w:val="04A0" w:firstRow="1" w:lastRow="0" w:firstColumn="1" w:lastColumn="0" w:noHBand="0" w:noVBand="1"/>
      </w:tblPr>
      <w:tblGrid>
        <w:gridCol w:w="2939"/>
        <w:gridCol w:w="6683"/>
      </w:tblGrid>
      <w:tr w:rsidR="00A76826" w:rsidRPr="004714C6" w14:paraId="3C87E71E" w14:textId="77777777" w:rsidTr="00FB1973">
        <w:trPr>
          <w:trHeight w:val="20"/>
        </w:trPr>
        <w:tc>
          <w:tcPr>
            <w:tcW w:w="1527" w:type="pct"/>
            <w:tcBorders>
              <w:top w:val="single" w:sz="6" w:space="0" w:color="000000"/>
              <w:left w:val="single" w:sz="6" w:space="0" w:color="000000"/>
              <w:bottom w:val="single" w:sz="6" w:space="0" w:color="000000"/>
              <w:right w:val="single" w:sz="6" w:space="0" w:color="000000"/>
            </w:tcBorders>
            <w:hideMark/>
          </w:tcPr>
          <w:p w14:paraId="4A1730FB" w14:textId="77777777" w:rsidR="00A76826" w:rsidRPr="004714C6" w:rsidRDefault="00A76826" w:rsidP="00FB1973">
            <w:pPr>
              <w:widowControl w:val="0"/>
              <w:autoSpaceDE w:val="0"/>
              <w:autoSpaceDN w:val="0"/>
              <w:adjustRightInd w:val="0"/>
              <w:ind w:right="82"/>
              <w:jc w:val="center"/>
              <w:rPr>
                <w:b/>
                <w:bCs/>
                <w:color w:val="000000"/>
                <w:kern w:val="2"/>
                <w:sz w:val="24"/>
                <w:szCs w:val="24"/>
                <w14:ligatures w14:val="standardContextual"/>
              </w:rPr>
            </w:pPr>
            <w:r w:rsidRPr="004714C6">
              <w:rPr>
                <w:b/>
                <w:bCs/>
                <w:color w:val="000000"/>
                <w:kern w:val="2"/>
                <w:sz w:val="24"/>
                <w:szCs w:val="24"/>
                <w14:ligatures w14:val="standardContextual"/>
              </w:rPr>
              <w:t>Glomerulær filtrationshastighed</w:t>
            </w:r>
          </w:p>
          <w:p w14:paraId="76BEE6F2" w14:textId="77777777" w:rsidR="00A76826" w:rsidRPr="004714C6" w:rsidRDefault="00A76826" w:rsidP="00FB1973">
            <w:pPr>
              <w:widowControl w:val="0"/>
              <w:autoSpaceDE w:val="0"/>
              <w:autoSpaceDN w:val="0"/>
              <w:adjustRightInd w:val="0"/>
              <w:ind w:right="82"/>
              <w:jc w:val="center"/>
              <w:rPr>
                <w:b/>
                <w:bCs/>
                <w:color w:val="000000"/>
                <w:kern w:val="2"/>
                <w:sz w:val="24"/>
                <w:szCs w:val="24"/>
                <w14:ligatures w14:val="standardContextual"/>
              </w:rPr>
            </w:pPr>
            <w:r w:rsidRPr="004714C6">
              <w:rPr>
                <w:b/>
                <w:bCs/>
                <w:color w:val="000000"/>
                <w:kern w:val="2"/>
                <w:sz w:val="24"/>
                <w:szCs w:val="24"/>
                <w14:ligatures w14:val="standardContextual"/>
              </w:rPr>
              <w:t>(CrCL) [ml/min]</w:t>
            </w:r>
          </w:p>
        </w:tc>
        <w:tc>
          <w:tcPr>
            <w:tcW w:w="3473" w:type="pct"/>
            <w:tcBorders>
              <w:top w:val="single" w:sz="6" w:space="0" w:color="000000"/>
              <w:left w:val="single" w:sz="6" w:space="0" w:color="000000"/>
              <w:bottom w:val="single" w:sz="6" w:space="0" w:color="000000"/>
              <w:right w:val="single" w:sz="6" w:space="0" w:color="000000"/>
            </w:tcBorders>
            <w:hideMark/>
          </w:tcPr>
          <w:p w14:paraId="14AEC2FC" w14:textId="77777777" w:rsidR="00A76826" w:rsidRPr="004714C6" w:rsidRDefault="00A76826" w:rsidP="00FB1973">
            <w:pPr>
              <w:widowControl w:val="0"/>
              <w:autoSpaceDE w:val="0"/>
              <w:autoSpaceDN w:val="0"/>
              <w:adjustRightInd w:val="0"/>
              <w:ind w:right="82"/>
              <w:jc w:val="center"/>
              <w:rPr>
                <w:b/>
                <w:bCs/>
                <w:color w:val="000000"/>
                <w:kern w:val="2"/>
                <w:sz w:val="24"/>
                <w:szCs w:val="24"/>
                <w14:ligatures w14:val="standardContextual"/>
              </w:rPr>
            </w:pPr>
            <w:r w:rsidRPr="004714C6">
              <w:rPr>
                <w:b/>
                <w:bCs/>
                <w:color w:val="000000"/>
                <w:kern w:val="2"/>
                <w:sz w:val="24"/>
                <w:szCs w:val="24"/>
                <w14:ligatures w14:val="standardContextual"/>
              </w:rPr>
              <w:t>gMean (gCV %; interval)</w:t>
            </w:r>
          </w:p>
          <w:p w14:paraId="0F7AF4C6" w14:textId="77777777" w:rsidR="00A76826" w:rsidRPr="004714C6" w:rsidRDefault="00A76826" w:rsidP="00FB1973">
            <w:pPr>
              <w:widowControl w:val="0"/>
              <w:autoSpaceDE w:val="0"/>
              <w:autoSpaceDN w:val="0"/>
              <w:adjustRightInd w:val="0"/>
              <w:ind w:right="82"/>
              <w:jc w:val="center"/>
              <w:rPr>
                <w:b/>
                <w:bCs/>
                <w:color w:val="000000"/>
                <w:kern w:val="2"/>
                <w:sz w:val="24"/>
                <w:szCs w:val="24"/>
                <w14:ligatures w14:val="standardContextual"/>
              </w:rPr>
            </w:pPr>
            <w:r w:rsidRPr="004714C6">
              <w:rPr>
                <w:b/>
                <w:bCs/>
                <w:color w:val="000000"/>
                <w:kern w:val="2"/>
                <w:sz w:val="24"/>
                <w:szCs w:val="24"/>
                <w14:ligatures w14:val="standardContextual"/>
              </w:rPr>
              <w:t>halveringstid</w:t>
            </w:r>
          </w:p>
          <w:p w14:paraId="7B0CFE62" w14:textId="77777777" w:rsidR="00A76826" w:rsidRPr="004714C6" w:rsidRDefault="00A76826" w:rsidP="00FB1973">
            <w:pPr>
              <w:widowControl w:val="0"/>
              <w:autoSpaceDE w:val="0"/>
              <w:autoSpaceDN w:val="0"/>
              <w:adjustRightInd w:val="0"/>
              <w:ind w:right="82"/>
              <w:jc w:val="center"/>
              <w:rPr>
                <w:b/>
                <w:bCs/>
                <w:color w:val="000000"/>
                <w:kern w:val="2"/>
                <w:sz w:val="24"/>
                <w:szCs w:val="24"/>
                <w14:ligatures w14:val="standardContextual"/>
              </w:rPr>
            </w:pPr>
            <w:r w:rsidRPr="004714C6">
              <w:rPr>
                <w:b/>
                <w:bCs/>
                <w:color w:val="000000"/>
                <w:kern w:val="2"/>
                <w:sz w:val="24"/>
                <w:szCs w:val="24"/>
                <w14:ligatures w14:val="standardContextual"/>
              </w:rPr>
              <w:t>[h]</w:t>
            </w:r>
          </w:p>
        </w:tc>
      </w:tr>
      <w:tr w:rsidR="00A76826" w:rsidRPr="004714C6" w14:paraId="6580FAC5" w14:textId="77777777" w:rsidTr="00FB1973">
        <w:trPr>
          <w:trHeight w:val="20"/>
        </w:trPr>
        <w:tc>
          <w:tcPr>
            <w:tcW w:w="1527" w:type="pct"/>
            <w:tcBorders>
              <w:top w:val="single" w:sz="6" w:space="0" w:color="000000"/>
              <w:left w:val="single" w:sz="6" w:space="0" w:color="000000"/>
              <w:bottom w:val="single" w:sz="6" w:space="0" w:color="000000"/>
              <w:right w:val="single" w:sz="6" w:space="0" w:color="000000"/>
            </w:tcBorders>
            <w:vAlign w:val="center"/>
            <w:hideMark/>
          </w:tcPr>
          <w:p w14:paraId="44BA4AEE" w14:textId="77777777" w:rsidR="00A76826" w:rsidRPr="004714C6" w:rsidRDefault="00A76826" w:rsidP="00FB1973">
            <w:pPr>
              <w:widowControl w:val="0"/>
              <w:autoSpaceDE w:val="0"/>
              <w:autoSpaceDN w:val="0"/>
              <w:adjustRightInd w:val="0"/>
              <w:ind w:left="1124" w:right="1102"/>
              <w:rPr>
                <w:kern w:val="2"/>
                <w:sz w:val="24"/>
                <w:szCs w:val="24"/>
                <w14:ligatures w14:val="standardContextual"/>
              </w:rPr>
            </w:pPr>
            <w:r w:rsidRPr="004714C6">
              <w:rPr>
                <w:kern w:val="2"/>
                <w:sz w:val="24"/>
                <w:szCs w:val="24"/>
                <w14:ligatures w14:val="standardContextual"/>
              </w:rPr>
              <w:t>&gt; 80</w:t>
            </w:r>
          </w:p>
        </w:tc>
        <w:tc>
          <w:tcPr>
            <w:tcW w:w="3473" w:type="pct"/>
            <w:tcBorders>
              <w:top w:val="single" w:sz="6" w:space="0" w:color="000000"/>
              <w:left w:val="single" w:sz="6" w:space="0" w:color="000000"/>
              <w:bottom w:val="single" w:sz="6" w:space="0" w:color="000000"/>
              <w:right w:val="single" w:sz="6" w:space="0" w:color="000000"/>
            </w:tcBorders>
            <w:vAlign w:val="center"/>
            <w:hideMark/>
          </w:tcPr>
          <w:p w14:paraId="39D96EEB" w14:textId="77777777" w:rsidR="00A76826" w:rsidRPr="004714C6" w:rsidRDefault="00A76826" w:rsidP="00FB1973">
            <w:pPr>
              <w:widowControl w:val="0"/>
              <w:autoSpaceDE w:val="0"/>
              <w:autoSpaceDN w:val="0"/>
              <w:adjustRightInd w:val="0"/>
              <w:ind w:left="2075" w:right="-20"/>
              <w:rPr>
                <w:kern w:val="2"/>
                <w:sz w:val="24"/>
                <w:szCs w:val="24"/>
                <w14:ligatures w14:val="standardContextual"/>
              </w:rPr>
            </w:pPr>
            <w:r w:rsidRPr="004714C6">
              <w:rPr>
                <w:kern w:val="2"/>
                <w:sz w:val="24"/>
                <w:szCs w:val="24"/>
                <w14:ligatures w14:val="standardContextual"/>
              </w:rPr>
              <w:t>13,4 (25,7 %; 11,0</w:t>
            </w:r>
            <w:r w:rsidRPr="004714C6">
              <w:rPr>
                <w:spacing w:val="-4"/>
                <w:kern w:val="2"/>
                <w:sz w:val="24"/>
                <w:szCs w:val="24"/>
                <w14:ligatures w14:val="standardContextual"/>
              </w:rPr>
              <w:noBreakHyphen/>
            </w:r>
            <w:r w:rsidRPr="004714C6">
              <w:rPr>
                <w:kern w:val="2"/>
                <w:sz w:val="24"/>
                <w:szCs w:val="24"/>
                <w14:ligatures w14:val="standardContextual"/>
              </w:rPr>
              <w:t>21,6)</w:t>
            </w:r>
          </w:p>
        </w:tc>
      </w:tr>
      <w:tr w:rsidR="00A76826" w:rsidRPr="004714C6" w14:paraId="755A8DFE" w14:textId="77777777" w:rsidTr="00FB1973">
        <w:trPr>
          <w:trHeight w:val="20"/>
        </w:trPr>
        <w:tc>
          <w:tcPr>
            <w:tcW w:w="1527" w:type="pct"/>
            <w:tcBorders>
              <w:top w:val="single" w:sz="6" w:space="0" w:color="000000"/>
              <w:left w:val="single" w:sz="6" w:space="0" w:color="000000"/>
              <w:bottom w:val="single" w:sz="6" w:space="0" w:color="000000"/>
              <w:right w:val="single" w:sz="6" w:space="0" w:color="000000"/>
            </w:tcBorders>
            <w:vAlign w:val="center"/>
            <w:hideMark/>
          </w:tcPr>
          <w:p w14:paraId="202149C2" w14:textId="77777777" w:rsidR="00A76826" w:rsidRPr="004714C6" w:rsidRDefault="00A76826" w:rsidP="00FB1973">
            <w:pPr>
              <w:widowControl w:val="0"/>
              <w:autoSpaceDE w:val="0"/>
              <w:autoSpaceDN w:val="0"/>
              <w:adjustRightInd w:val="0"/>
              <w:ind w:left="886" w:right="869"/>
              <w:rPr>
                <w:kern w:val="2"/>
                <w:sz w:val="24"/>
                <w:szCs w:val="24"/>
                <w14:ligatures w14:val="standardContextual"/>
              </w:rPr>
            </w:pPr>
            <w:r w:rsidRPr="004714C6">
              <w:rPr>
                <w:kern w:val="2"/>
                <w:sz w:val="24"/>
                <w:szCs w:val="24"/>
                <w14:ligatures w14:val="standardContextual"/>
              </w:rPr>
              <w:t>&gt; 50</w:t>
            </w:r>
            <w:r w:rsidRPr="004714C6">
              <w:rPr>
                <w:spacing w:val="-4"/>
                <w:kern w:val="2"/>
                <w:sz w:val="24"/>
                <w:szCs w:val="24"/>
                <w14:ligatures w14:val="standardContextual"/>
              </w:rPr>
              <w:noBreakHyphen/>
              <w:t>≤</w:t>
            </w:r>
            <w:r w:rsidRPr="004714C6">
              <w:rPr>
                <w:kern w:val="2"/>
                <w:sz w:val="24"/>
                <w:szCs w:val="24"/>
                <w14:ligatures w14:val="standardContextual"/>
              </w:rPr>
              <w:t> 80</w:t>
            </w:r>
          </w:p>
        </w:tc>
        <w:tc>
          <w:tcPr>
            <w:tcW w:w="3473" w:type="pct"/>
            <w:tcBorders>
              <w:top w:val="single" w:sz="6" w:space="0" w:color="000000"/>
              <w:left w:val="single" w:sz="6" w:space="0" w:color="000000"/>
              <w:bottom w:val="single" w:sz="6" w:space="0" w:color="000000"/>
              <w:right w:val="single" w:sz="6" w:space="0" w:color="000000"/>
            </w:tcBorders>
            <w:vAlign w:val="center"/>
            <w:hideMark/>
          </w:tcPr>
          <w:p w14:paraId="38176A6C" w14:textId="77777777" w:rsidR="00A76826" w:rsidRPr="004714C6" w:rsidRDefault="00A76826" w:rsidP="00FB1973">
            <w:pPr>
              <w:widowControl w:val="0"/>
              <w:autoSpaceDE w:val="0"/>
              <w:autoSpaceDN w:val="0"/>
              <w:adjustRightInd w:val="0"/>
              <w:ind w:left="2101" w:right="-20"/>
              <w:rPr>
                <w:kern w:val="2"/>
                <w:sz w:val="24"/>
                <w:szCs w:val="24"/>
                <w14:ligatures w14:val="standardContextual"/>
              </w:rPr>
            </w:pPr>
            <w:r w:rsidRPr="004714C6">
              <w:rPr>
                <w:kern w:val="2"/>
                <w:sz w:val="24"/>
                <w:szCs w:val="24"/>
                <w14:ligatures w14:val="standardContextual"/>
              </w:rPr>
              <w:t>15,3 (42,7 </w:t>
            </w:r>
            <w:r w:rsidRPr="004714C6">
              <w:rPr>
                <w:spacing w:val="-1"/>
                <w:kern w:val="2"/>
                <w:sz w:val="24"/>
                <w:szCs w:val="24"/>
                <w14:ligatures w14:val="standardContextual"/>
              </w:rPr>
              <w:t>%; 11,</w:t>
            </w:r>
            <w:r w:rsidRPr="004714C6">
              <w:rPr>
                <w:kern w:val="2"/>
                <w:sz w:val="24"/>
                <w:szCs w:val="24"/>
                <w14:ligatures w14:val="standardContextual"/>
              </w:rPr>
              <w:t>7</w:t>
            </w:r>
            <w:r w:rsidRPr="004714C6">
              <w:rPr>
                <w:spacing w:val="-4"/>
                <w:kern w:val="2"/>
                <w:sz w:val="24"/>
                <w:szCs w:val="24"/>
                <w14:ligatures w14:val="standardContextual"/>
              </w:rPr>
              <w:noBreakHyphen/>
            </w:r>
            <w:r w:rsidRPr="004714C6">
              <w:rPr>
                <w:kern w:val="2"/>
                <w:sz w:val="24"/>
                <w:szCs w:val="24"/>
                <w14:ligatures w14:val="standardContextual"/>
              </w:rPr>
              <w:t>34,1)</w:t>
            </w:r>
          </w:p>
        </w:tc>
      </w:tr>
      <w:tr w:rsidR="00A76826" w:rsidRPr="004714C6" w14:paraId="62E4E2BF" w14:textId="77777777" w:rsidTr="00FB1973">
        <w:trPr>
          <w:trHeight w:val="20"/>
        </w:trPr>
        <w:tc>
          <w:tcPr>
            <w:tcW w:w="1527" w:type="pct"/>
            <w:tcBorders>
              <w:top w:val="single" w:sz="6" w:space="0" w:color="000000"/>
              <w:left w:val="single" w:sz="6" w:space="0" w:color="000000"/>
              <w:bottom w:val="single" w:sz="6" w:space="0" w:color="000000"/>
              <w:right w:val="single" w:sz="6" w:space="0" w:color="000000"/>
            </w:tcBorders>
            <w:vAlign w:val="center"/>
            <w:hideMark/>
          </w:tcPr>
          <w:p w14:paraId="2E064488" w14:textId="77777777" w:rsidR="00A76826" w:rsidRPr="004714C6" w:rsidRDefault="00A76826" w:rsidP="00FB1973">
            <w:pPr>
              <w:widowControl w:val="0"/>
              <w:autoSpaceDE w:val="0"/>
              <w:autoSpaceDN w:val="0"/>
              <w:adjustRightInd w:val="0"/>
              <w:ind w:left="886" w:right="869"/>
              <w:rPr>
                <w:kern w:val="2"/>
                <w:sz w:val="24"/>
                <w:szCs w:val="24"/>
                <w14:ligatures w14:val="standardContextual"/>
              </w:rPr>
            </w:pPr>
            <w:r w:rsidRPr="004714C6">
              <w:rPr>
                <w:kern w:val="2"/>
                <w:sz w:val="24"/>
                <w:szCs w:val="24"/>
                <w14:ligatures w14:val="standardContextual"/>
              </w:rPr>
              <w:t>&gt; 30</w:t>
            </w:r>
            <w:r w:rsidRPr="004714C6">
              <w:rPr>
                <w:spacing w:val="-4"/>
                <w:kern w:val="2"/>
                <w:sz w:val="24"/>
                <w:szCs w:val="24"/>
                <w14:ligatures w14:val="standardContextual"/>
              </w:rPr>
              <w:noBreakHyphen/>
              <w:t>≤</w:t>
            </w:r>
            <w:r w:rsidRPr="004714C6">
              <w:rPr>
                <w:kern w:val="2"/>
                <w:sz w:val="24"/>
                <w:szCs w:val="24"/>
                <w14:ligatures w14:val="standardContextual"/>
              </w:rPr>
              <w:t> 50</w:t>
            </w:r>
          </w:p>
        </w:tc>
        <w:tc>
          <w:tcPr>
            <w:tcW w:w="3473" w:type="pct"/>
            <w:tcBorders>
              <w:top w:val="single" w:sz="6" w:space="0" w:color="000000"/>
              <w:left w:val="single" w:sz="6" w:space="0" w:color="000000"/>
              <w:bottom w:val="single" w:sz="6" w:space="0" w:color="000000"/>
              <w:right w:val="single" w:sz="6" w:space="0" w:color="000000"/>
            </w:tcBorders>
            <w:vAlign w:val="center"/>
            <w:hideMark/>
          </w:tcPr>
          <w:p w14:paraId="417FE79A" w14:textId="77777777" w:rsidR="00A76826" w:rsidRPr="004714C6" w:rsidRDefault="00A76826" w:rsidP="00FB1973">
            <w:pPr>
              <w:widowControl w:val="0"/>
              <w:autoSpaceDE w:val="0"/>
              <w:autoSpaceDN w:val="0"/>
              <w:adjustRightInd w:val="0"/>
              <w:ind w:left="2101" w:right="-20"/>
              <w:rPr>
                <w:kern w:val="2"/>
                <w:sz w:val="24"/>
                <w:szCs w:val="24"/>
                <w14:ligatures w14:val="standardContextual"/>
              </w:rPr>
            </w:pPr>
            <w:r w:rsidRPr="004714C6">
              <w:rPr>
                <w:kern w:val="2"/>
                <w:sz w:val="24"/>
                <w:szCs w:val="24"/>
                <w14:ligatures w14:val="standardContextual"/>
              </w:rPr>
              <w:t>18,4 (18,5 </w:t>
            </w:r>
            <w:r w:rsidRPr="004714C6">
              <w:rPr>
                <w:spacing w:val="-1"/>
                <w:kern w:val="2"/>
                <w:sz w:val="24"/>
                <w:szCs w:val="24"/>
                <w14:ligatures w14:val="standardContextual"/>
              </w:rPr>
              <w:t>%; 13,</w:t>
            </w:r>
            <w:r w:rsidRPr="004714C6">
              <w:rPr>
                <w:kern w:val="2"/>
                <w:sz w:val="24"/>
                <w:szCs w:val="24"/>
                <w14:ligatures w14:val="standardContextual"/>
              </w:rPr>
              <w:t>3</w:t>
            </w:r>
            <w:r w:rsidRPr="004714C6">
              <w:rPr>
                <w:spacing w:val="-4"/>
                <w:kern w:val="2"/>
                <w:sz w:val="24"/>
                <w:szCs w:val="24"/>
                <w14:ligatures w14:val="standardContextual"/>
              </w:rPr>
              <w:noBreakHyphen/>
            </w:r>
            <w:r w:rsidRPr="004714C6">
              <w:rPr>
                <w:kern w:val="2"/>
                <w:sz w:val="24"/>
                <w:szCs w:val="24"/>
                <w14:ligatures w14:val="standardContextual"/>
              </w:rPr>
              <w:t>23,0)</w:t>
            </w:r>
          </w:p>
        </w:tc>
      </w:tr>
      <w:tr w:rsidR="00A76826" w:rsidRPr="004714C6" w14:paraId="5E532A7F" w14:textId="77777777" w:rsidTr="00FB1973">
        <w:trPr>
          <w:trHeight w:val="20"/>
        </w:trPr>
        <w:tc>
          <w:tcPr>
            <w:tcW w:w="1527" w:type="pct"/>
            <w:tcBorders>
              <w:top w:val="single" w:sz="6" w:space="0" w:color="000000"/>
              <w:left w:val="single" w:sz="6" w:space="0" w:color="000000"/>
              <w:bottom w:val="single" w:sz="6" w:space="0" w:color="000000"/>
              <w:right w:val="single" w:sz="6" w:space="0" w:color="000000"/>
            </w:tcBorders>
            <w:vAlign w:val="center"/>
            <w:hideMark/>
          </w:tcPr>
          <w:p w14:paraId="01DBB77F" w14:textId="77777777" w:rsidR="00A76826" w:rsidRPr="004714C6" w:rsidRDefault="00A76826" w:rsidP="00FB1973">
            <w:pPr>
              <w:widowControl w:val="0"/>
              <w:autoSpaceDE w:val="0"/>
              <w:autoSpaceDN w:val="0"/>
              <w:adjustRightInd w:val="0"/>
              <w:ind w:left="1122" w:right="1102"/>
              <w:rPr>
                <w:kern w:val="2"/>
                <w:sz w:val="24"/>
                <w:szCs w:val="24"/>
                <w14:ligatures w14:val="standardContextual"/>
              </w:rPr>
            </w:pPr>
            <w:r w:rsidRPr="004714C6">
              <w:rPr>
                <w:kern w:val="2"/>
                <w:sz w:val="24"/>
                <w:szCs w:val="24"/>
                <w14:ligatures w14:val="standardContextual"/>
              </w:rPr>
              <w:t>≤ 30</w:t>
            </w:r>
          </w:p>
        </w:tc>
        <w:tc>
          <w:tcPr>
            <w:tcW w:w="3473" w:type="pct"/>
            <w:tcBorders>
              <w:top w:val="single" w:sz="6" w:space="0" w:color="000000"/>
              <w:left w:val="single" w:sz="6" w:space="0" w:color="000000"/>
              <w:bottom w:val="single" w:sz="6" w:space="0" w:color="000000"/>
              <w:right w:val="single" w:sz="6" w:space="0" w:color="000000"/>
            </w:tcBorders>
            <w:vAlign w:val="center"/>
            <w:hideMark/>
          </w:tcPr>
          <w:p w14:paraId="651B2B26" w14:textId="77777777" w:rsidR="00A76826" w:rsidRPr="004714C6" w:rsidRDefault="00A76826" w:rsidP="00FB1973">
            <w:pPr>
              <w:widowControl w:val="0"/>
              <w:autoSpaceDE w:val="0"/>
              <w:autoSpaceDN w:val="0"/>
              <w:adjustRightInd w:val="0"/>
              <w:ind w:left="2101" w:right="-20"/>
              <w:rPr>
                <w:kern w:val="2"/>
                <w:sz w:val="24"/>
                <w:szCs w:val="24"/>
                <w14:ligatures w14:val="standardContextual"/>
              </w:rPr>
            </w:pPr>
            <w:r w:rsidRPr="004714C6">
              <w:rPr>
                <w:kern w:val="2"/>
                <w:sz w:val="24"/>
                <w:szCs w:val="24"/>
                <w14:ligatures w14:val="standardContextual"/>
              </w:rPr>
              <w:t>27,2 (15,3 %; 21,6</w:t>
            </w:r>
            <w:r w:rsidRPr="004714C6">
              <w:rPr>
                <w:spacing w:val="-4"/>
                <w:kern w:val="2"/>
                <w:sz w:val="24"/>
                <w:szCs w:val="24"/>
                <w14:ligatures w14:val="standardContextual"/>
              </w:rPr>
              <w:noBreakHyphen/>
            </w:r>
            <w:r w:rsidRPr="004714C6">
              <w:rPr>
                <w:kern w:val="2"/>
                <w:sz w:val="24"/>
                <w:szCs w:val="24"/>
                <w14:ligatures w14:val="standardContextual"/>
              </w:rPr>
              <w:t>35,0)</w:t>
            </w:r>
          </w:p>
        </w:tc>
      </w:tr>
    </w:tbl>
    <w:p w14:paraId="379224E0" w14:textId="77777777" w:rsidR="00A76826" w:rsidRPr="004714C6" w:rsidRDefault="00A76826" w:rsidP="00FB1973">
      <w:pPr>
        <w:ind w:left="851"/>
        <w:rPr>
          <w:sz w:val="24"/>
          <w:szCs w:val="24"/>
        </w:rPr>
      </w:pPr>
    </w:p>
    <w:p w14:paraId="7C9D7DF0" w14:textId="77777777" w:rsidR="00A76826" w:rsidRPr="004714C6" w:rsidRDefault="00A76826" w:rsidP="00FB1973">
      <w:pPr>
        <w:ind w:left="851"/>
        <w:rPr>
          <w:sz w:val="24"/>
          <w:szCs w:val="24"/>
        </w:rPr>
      </w:pPr>
      <w:r w:rsidRPr="004714C6">
        <w:rPr>
          <w:sz w:val="24"/>
          <w:szCs w:val="24"/>
        </w:rPr>
        <w:t xml:space="preserve">Derudover blev dabigatraneksponering (ved </w:t>
      </w:r>
      <w:r w:rsidRPr="004714C6">
        <w:rPr>
          <w:i/>
          <w:iCs/>
          <w:sz w:val="24"/>
          <w:szCs w:val="24"/>
        </w:rPr>
        <w:t>trough</w:t>
      </w:r>
      <w:r w:rsidRPr="004714C6">
        <w:rPr>
          <w:sz w:val="24"/>
          <w:szCs w:val="24"/>
        </w:rPr>
        <w:t xml:space="preserve"> og peak) vurderet i et prospektivt, </w:t>
      </w:r>
      <w:r w:rsidRPr="004714C6">
        <w:rPr>
          <w:i/>
          <w:iCs/>
          <w:sz w:val="24"/>
          <w:szCs w:val="24"/>
        </w:rPr>
        <w:t>open</w:t>
      </w:r>
      <w:r w:rsidRPr="004714C6">
        <w:rPr>
          <w:i/>
          <w:iCs/>
          <w:sz w:val="24"/>
          <w:szCs w:val="24"/>
        </w:rPr>
        <w:noBreakHyphen/>
        <w:t>label</w:t>
      </w:r>
      <w:r w:rsidRPr="004714C6">
        <w:rPr>
          <w:sz w:val="24"/>
          <w:szCs w:val="24"/>
        </w:rPr>
        <w:t>, randomiseret, farmakokinetisk studie hos NVAF</w:t>
      </w:r>
      <w:r w:rsidRPr="004714C6">
        <w:rPr>
          <w:sz w:val="24"/>
          <w:szCs w:val="24"/>
        </w:rPr>
        <w:noBreakHyphen/>
        <w:t>patienter med svært nedsat nyrefunktion (defineret som kreatininclearance [CrCl] 15</w:t>
      </w:r>
      <w:r w:rsidRPr="004714C6">
        <w:rPr>
          <w:sz w:val="24"/>
          <w:szCs w:val="24"/>
        </w:rPr>
        <w:noBreakHyphen/>
        <w:t xml:space="preserve">30 ml/min), der fik dabigatranetexilat 75 mg to gange dagligt. Dette behandlingsregime førte til en geometrisk gennemsnitlig </w:t>
      </w:r>
      <w:r w:rsidRPr="004714C6">
        <w:rPr>
          <w:i/>
          <w:iCs/>
          <w:sz w:val="24"/>
          <w:szCs w:val="24"/>
        </w:rPr>
        <w:t>trough</w:t>
      </w:r>
      <w:r w:rsidRPr="004714C6">
        <w:rPr>
          <w:sz w:val="24"/>
          <w:szCs w:val="24"/>
        </w:rPr>
        <w:noBreakHyphen/>
        <w:t>koncentration på 155 ng/ml (gCV 76,9 %), målt straks før administration af den næste dosis, og til en geometrisk gennemsnitlig peak</w:t>
      </w:r>
      <w:r w:rsidRPr="004714C6">
        <w:rPr>
          <w:sz w:val="24"/>
          <w:szCs w:val="24"/>
        </w:rPr>
        <w:noBreakHyphen/>
        <w:t>koncentration på 202 ng/ml (gCV 70,6 %), målt to timer efter administration af den sidste dosis.</w:t>
      </w:r>
    </w:p>
    <w:p w14:paraId="40F554DA" w14:textId="77777777" w:rsidR="00A76826" w:rsidRPr="004714C6" w:rsidRDefault="00A76826" w:rsidP="00FB1973">
      <w:pPr>
        <w:ind w:left="851"/>
        <w:rPr>
          <w:sz w:val="24"/>
          <w:szCs w:val="24"/>
        </w:rPr>
      </w:pPr>
    </w:p>
    <w:p w14:paraId="1EC501FE" w14:textId="77777777" w:rsidR="00A76826" w:rsidRPr="004714C6" w:rsidRDefault="00A76826" w:rsidP="00FB1973">
      <w:pPr>
        <w:ind w:left="851"/>
        <w:rPr>
          <w:sz w:val="24"/>
          <w:szCs w:val="24"/>
        </w:rPr>
      </w:pPr>
      <w:r w:rsidRPr="004714C6">
        <w:rPr>
          <w:sz w:val="24"/>
          <w:szCs w:val="24"/>
        </w:rPr>
        <w:t>Elimination af dabigatran ved hæmodialyse blev undersøgt hos 7 voksne patienter med nyresygdom i slutstadiet (ESRD) uden atrieflimren. Dialysen blev udført med en dialysatgennemstrømningshastighed på 700 ml/min, var af fire timers varighed og med en blodgennemstrømningshastighed på enten 200 ml/min eller 350</w:t>
      </w:r>
      <w:r w:rsidRPr="004714C6">
        <w:rPr>
          <w:sz w:val="24"/>
          <w:szCs w:val="24"/>
        </w:rPr>
        <w:noBreakHyphen/>
        <w:t>390 ml/min. Dette resulterede i en reduktion af dabigatrankoncentrationerne på henholdsvis 50 % og 60 %. Mængden af aktivt stof, der fjernes ved dialyse, er proportional med blodgennemstrømningshastigheden op til en blodgennemstrømningshastighed på 300 ml/min. Dabigatrans antikoagulationsaktivitet aftog med faldende plasmakoncentration, og proceduren havde ingen indvirkning på de farmakokinetiske/farmakodynamiske forhold.</w:t>
      </w:r>
    </w:p>
    <w:p w14:paraId="06EA3C1A" w14:textId="77777777" w:rsidR="00A76826" w:rsidRPr="004714C6" w:rsidRDefault="00A76826" w:rsidP="00FB1973">
      <w:pPr>
        <w:ind w:left="851"/>
        <w:rPr>
          <w:sz w:val="24"/>
          <w:szCs w:val="24"/>
        </w:rPr>
      </w:pPr>
    </w:p>
    <w:p w14:paraId="63106837" w14:textId="77777777" w:rsidR="00A76826" w:rsidRPr="004714C6" w:rsidRDefault="00A76826" w:rsidP="00FB1973">
      <w:pPr>
        <w:ind w:left="851"/>
        <w:rPr>
          <w:sz w:val="24"/>
          <w:szCs w:val="24"/>
        </w:rPr>
      </w:pPr>
      <w:r w:rsidRPr="004714C6">
        <w:rPr>
          <w:sz w:val="24"/>
          <w:szCs w:val="24"/>
        </w:rPr>
        <w:t>Den mediane CrCL i RE-LY var 68,4 ml/min. Hos næsten halvdelen (45,8 %) af RE-LY-patienterne var CrCL &gt; 50</w:t>
      </w:r>
      <w:r w:rsidRPr="004714C6">
        <w:rPr>
          <w:sz w:val="24"/>
          <w:szCs w:val="24"/>
        </w:rPr>
        <w:noBreakHyphen/>
        <w:t>&lt; 80 ml/min. Patienter med moderat nedsat nyrefunktion (CrCL mellem 30 og 50 ml/min) havde i gennemsnit mellem 2,29 gange og 1,81 gange højere præ- og post-dosis dabigatran-plasmakoncentrationer, i forhold til patienter uden nedsat nyrefunktion (CrCL ≥ 80 ml/min).</w:t>
      </w:r>
    </w:p>
    <w:p w14:paraId="077AFDB8" w14:textId="77777777" w:rsidR="00A76826" w:rsidRPr="004714C6" w:rsidRDefault="00A76826" w:rsidP="00FB1973">
      <w:pPr>
        <w:ind w:left="851"/>
        <w:rPr>
          <w:sz w:val="24"/>
          <w:szCs w:val="24"/>
        </w:rPr>
      </w:pPr>
    </w:p>
    <w:p w14:paraId="1464395D" w14:textId="77777777" w:rsidR="00A76826" w:rsidRPr="004714C6" w:rsidRDefault="00A76826" w:rsidP="00FB1973">
      <w:pPr>
        <w:ind w:left="851"/>
        <w:rPr>
          <w:sz w:val="24"/>
          <w:szCs w:val="24"/>
        </w:rPr>
      </w:pPr>
      <w:r w:rsidRPr="004714C6">
        <w:rPr>
          <w:sz w:val="24"/>
          <w:szCs w:val="24"/>
        </w:rPr>
        <w:t>Den mediane CrCL i RE-COVER</w:t>
      </w:r>
      <w:r w:rsidRPr="004714C6">
        <w:rPr>
          <w:sz w:val="24"/>
          <w:szCs w:val="24"/>
        </w:rPr>
        <w:noBreakHyphen/>
        <w:t>studiet var 100,3 ml/min. 21,7 % af patienterne havde let nedsat nyrefunktion (CrCL &gt; 50</w:t>
      </w:r>
      <w:r w:rsidRPr="004714C6">
        <w:rPr>
          <w:sz w:val="24"/>
          <w:szCs w:val="24"/>
        </w:rPr>
        <w:noBreakHyphen/>
        <w:t xml:space="preserve">&lt; 80 ml/min), og 4,5 % havde moderat nedsat nyrefunktion (CrCL mellem 30 og 50 ml/min). Patienter med let og moderat nedsat nyrefunktion havde ved </w:t>
      </w:r>
      <w:r w:rsidRPr="004714C6">
        <w:rPr>
          <w:i/>
          <w:iCs/>
          <w:sz w:val="24"/>
          <w:szCs w:val="24"/>
        </w:rPr>
        <w:t>steady state</w:t>
      </w:r>
      <w:r w:rsidRPr="004714C6">
        <w:rPr>
          <w:sz w:val="24"/>
          <w:szCs w:val="24"/>
        </w:rPr>
        <w:t xml:space="preserve"> gennemsnitligt henholdsvis 1,7 gange og 3,4 gange højere dabigatran</w:t>
      </w:r>
      <w:r w:rsidRPr="004714C6">
        <w:rPr>
          <w:sz w:val="24"/>
          <w:szCs w:val="24"/>
        </w:rPr>
        <w:noBreakHyphen/>
      </w:r>
      <w:r w:rsidRPr="004714C6">
        <w:rPr>
          <w:i/>
          <w:iCs/>
          <w:sz w:val="24"/>
          <w:szCs w:val="24"/>
        </w:rPr>
        <w:t>trough</w:t>
      </w:r>
      <w:r w:rsidRPr="004714C6">
        <w:rPr>
          <w:sz w:val="24"/>
          <w:szCs w:val="24"/>
        </w:rPr>
        <w:noBreakHyphen/>
        <w:t>koncentration sammenlignet med patienter med CrCL &gt; 80 ml/min. Tilsvarende værdier for CrCL sås i RE-COVER II.</w:t>
      </w:r>
    </w:p>
    <w:p w14:paraId="63F95D21" w14:textId="77777777" w:rsidR="00A76826" w:rsidRPr="004714C6" w:rsidRDefault="00A76826" w:rsidP="00FB1973">
      <w:pPr>
        <w:ind w:left="851"/>
        <w:rPr>
          <w:sz w:val="24"/>
          <w:szCs w:val="24"/>
        </w:rPr>
      </w:pPr>
    </w:p>
    <w:p w14:paraId="7076AB9A" w14:textId="77777777" w:rsidR="00A76826" w:rsidRPr="004714C6" w:rsidRDefault="00A76826" w:rsidP="00FB1973">
      <w:pPr>
        <w:ind w:left="851"/>
        <w:rPr>
          <w:sz w:val="24"/>
          <w:szCs w:val="24"/>
        </w:rPr>
      </w:pPr>
      <w:r w:rsidRPr="004714C6">
        <w:rPr>
          <w:sz w:val="24"/>
          <w:szCs w:val="24"/>
        </w:rPr>
        <w:t>Den mediane CrCL i RE</w:t>
      </w:r>
      <w:r w:rsidRPr="004714C6">
        <w:rPr>
          <w:sz w:val="24"/>
          <w:szCs w:val="24"/>
        </w:rPr>
        <w:noBreakHyphen/>
        <w:t>MEDY</w:t>
      </w:r>
      <w:r w:rsidRPr="004714C6">
        <w:rPr>
          <w:sz w:val="24"/>
          <w:szCs w:val="24"/>
        </w:rPr>
        <w:noBreakHyphen/>
        <w:t xml:space="preserve"> og RE</w:t>
      </w:r>
      <w:r w:rsidRPr="004714C6">
        <w:rPr>
          <w:sz w:val="24"/>
          <w:szCs w:val="24"/>
        </w:rPr>
        <w:noBreakHyphen/>
        <w:t>SONATE</w:t>
      </w:r>
      <w:r w:rsidRPr="004714C6">
        <w:rPr>
          <w:sz w:val="24"/>
          <w:szCs w:val="24"/>
        </w:rPr>
        <w:noBreakHyphen/>
        <w:t>studierne var henholdsvis 99,0 ml/min og 99,7 ml/min. Henholdsvis 22,9 % og 22,5 % af patienterne havde CrCL &gt; 50</w:t>
      </w:r>
      <w:r w:rsidRPr="004714C6">
        <w:rPr>
          <w:sz w:val="24"/>
          <w:szCs w:val="24"/>
        </w:rPr>
        <w:noBreakHyphen/>
        <w:t>&lt; 80 ml/min, og henholdsvis 4,1 % og 4,8 % havde CrCL mellem 30 og 50 ml/min i RE</w:t>
      </w:r>
      <w:r w:rsidRPr="004714C6">
        <w:rPr>
          <w:sz w:val="24"/>
          <w:szCs w:val="24"/>
        </w:rPr>
        <w:noBreakHyphen/>
        <w:t>MEDY</w:t>
      </w:r>
      <w:r w:rsidRPr="004714C6">
        <w:rPr>
          <w:sz w:val="24"/>
          <w:szCs w:val="24"/>
        </w:rPr>
        <w:noBreakHyphen/>
        <w:t xml:space="preserve"> og RE</w:t>
      </w:r>
      <w:r w:rsidRPr="004714C6">
        <w:rPr>
          <w:sz w:val="24"/>
          <w:szCs w:val="24"/>
        </w:rPr>
        <w:noBreakHyphen/>
        <w:t>SONATE</w:t>
      </w:r>
      <w:r w:rsidRPr="004714C6">
        <w:rPr>
          <w:sz w:val="24"/>
          <w:szCs w:val="24"/>
        </w:rPr>
        <w:noBreakHyphen/>
        <w:t>studierne.</w:t>
      </w:r>
    </w:p>
    <w:p w14:paraId="13A23360" w14:textId="77777777" w:rsidR="00A76826" w:rsidRPr="004714C6" w:rsidRDefault="00A76826" w:rsidP="00FB1973">
      <w:pPr>
        <w:ind w:left="851"/>
        <w:rPr>
          <w:sz w:val="24"/>
          <w:szCs w:val="24"/>
        </w:rPr>
      </w:pPr>
    </w:p>
    <w:p w14:paraId="5099AA3D" w14:textId="77777777" w:rsidR="00A76826" w:rsidRPr="004714C6" w:rsidRDefault="00A76826" w:rsidP="00FB1973">
      <w:pPr>
        <w:ind w:left="851"/>
        <w:rPr>
          <w:i/>
          <w:iCs/>
          <w:sz w:val="24"/>
          <w:szCs w:val="24"/>
        </w:rPr>
      </w:pPr>
      <w:r w:rsidRPr="004714C6">
        <w:rPr>
          <w:i/>
          <w:iCs/>
          <w:sz w:val="24"/>
          <w:szCs w:val="24"/>
        </w:rPr>
        <w:t>Ældre patienter</w:t>
      </w:r>
    </w:p>
    <w:p w14:paraId="3224C120" w14:textId="77777777" w:rsidR="00A76826" w:rsidRPr="004714C6" w:rsidRDefault="00A76826" w:rsidP="00FB1973">
      <w:pPr>
        <w:ind w:left="851"/>
        <w:rPr>
          <w:sz w:val="24"/>
          <w:szCs w:val="24"/>
        </w:rPr>
      </w:pPr>
    </w:p>
    <w:p w14:paraId="4711AFBB" w14:textId="77777777" w:rsidR="00A76826" w:rsidRPr="004714C6" w:rsidRDefault="00A76826" w:rsidP="00FB1973">
      <w:pPr>
        <w:ind w:left="851"/>
        <w:rPr>
          <w:sz w:val="24"/>
          <w:szCs w:val="24"/>
        </w:rPr>
      </w:pPr>
      <w:r w:rsidRPr="004714C6">
        <w:rPr>
          <w:sz w:val="24"/>
          <w:szCs w:val="24"/>
        </w:rPr>
        <w:t>Specifikke farmakokinetiske fase I</w:t>
      </w:r>
      <w:r w:rsidRPr="004714C6">
        <w:rPr>
          <w:sz w:val="24"/>
          <w:szCs w:val="24"/>
        </w:rPr>
        <w:noBreakHyphen/>
        <w:t>studier viste, at hos ældre er AUC 40</w:t>
      </w:r>
      <w:r w:rsidRPr="004714C6">
        <w:rPr>
          <w:sz w:val="24"/>
          <w:szCs w:val="24"/>
        </w:rPr>
        <w:noBreakHyphen/>
        <w:t>60 % større og C</w:t>
      </w:r>
      <w:r w:rsidRPr="004714C6">
        <w:rPr>
          <w:sz w:val="24"/>
          <w:szCs w:val="24"/>
          <w:vertAlign w:val="subscript"/>
        </w:rPr>
        <w:t>max</w:t>
      </w:r>
      <w:r w:rsidRPr="004714C6">
        <w:rPr>
          <w:sz w:val="24"/>
          <w:szCs w:val="24"/>
        </w:rPr>
        <w:t xml:space="preserve"> mere end 25 % højere end hos unge. Alderens indflydelse på dabigatrans kinetik blev bekræftet i RE-LY</w:t>
      </w:r>
      <w:r w:rsidRPr="004714C6">
        <w:rPr>
          <w:sz w:val="24"/>
          <w:szCs w:val="24"/>
        </w:rPr>
        <w:noBreakHyphen/>
        <w:t xml:space="preserve">studiet med en ca. 31 % højere </w:t>
      </w:r>
      <w:r w:rsidRPr="004714C6">
        <w:rPr>
          <w:i/>
          <w:iCs/>
          <w:sz w:val="24"/>
          <w:szCs w:val="24"/>
        </w:rPr>
        <w:t>trough</w:t>
      </w:r>
      <w:r w:rsidRPr="004714C6">
        <w:rPr>
          <w:sz w:val="24"/>
          <w:szCs w:val="24"/>
        </w:rPr>
        <w:noBreakHyphen/>
        <w:t xml:space="preserve">koncentration for patienter ≥ 75 år og med omkring 22 % lavere </w:t>
      </w:r>
      <w:r w:rsidRPr="004714C6">
        <w:rPr>
          <w:i/>
          <w:iCs/>
          <w:sz w:val="24"/>
          <w:szCs w:val="24"/>
        </w:rPr>
        <w:t>trough</w:t>
      </w:r>
      <w:r w:rsidRPr="004714C6">
        <w:rPr>
          <w:sz w:val="24"/>
          <w:szCs w:val="24"/>
        </w:rPr>
        <w:noBreakHyphen/>
        <w:t>koncentration hos patienter &lt; 65 år sammenlignet med patienter mellem 65 og 75 år (se pkt. 4.2 og 4.4).</w:t>
      </w:r>
    </w:p>
    <w:p w14:paraId="0C8F813D" w14:textId="77777777" w:rsidR="00A76826" w:rsidRPr="004714C6" w:rsidRDefault="00A76826" w:rsidP="00FB1973">
      <w:pPr>
        <w:ind w:left="851"/>
        <w:rPr>
          <w:sz w:val="24"/>
          <w:szCs w:val="24"/>
        </w:rPr>
      </w:pPr>
    </w:p>
    <w:p w14:paraId="785DAEA3" w14:textId="77777777" w:rsidR="00A76826" w:rsidRPr="004714C6" w:rsidRDefault="00A76826" w:rsidP="00FB1973">
      <w:pPr>
        <w:ind w:left="851"/>
        <w:rPr>
          <w:i/>
          <w:iCs/>
          <w:sz w:val="24"/>
          <w:szCs w:val="24"/>
        </w:rPr>
      </w:pPr>
      <w:r w:rsidRPr="004714C6">
        <w:rPr>
          <w:i/>
          <w:iCs/>
          <w:sz w:val="24"/>
          <w:szCs w:val="24"/>
        </w:rPr>
        <w:t>Nedsat leverfunktion</w:t>
      </w:r>
    </w:p>
    <w:p w14:paraId="3D01AD3C" w14:textId="77777777" w:rsidR="00A76826" w:rsidRPr="004714C6" w:rsidRDefault="00A76826" w:rsidP="00FB1973">
      <w:pPr>
        <w:ind w:left="851"/>
        <w:rPr>
          <w:sz w:val="24"/>
          <w:szCs w:val="24"/>
        </w:rPr>
      </w:pPr>
    </w:p>
    <w:p w14:paraId="045FA0C1" w14:textId="77777777" w:rsidR="00A76826" w:rsidRPr="004714C6" w:rsidRDefault="00A76826" w:rsidP="00FB1973">
      <w:pPr>
        <w:ind w:left="851"/>
        <w:rPr>
          <w:sz w:val="24"/>
          <w:szCs w:val="24"/>
        </w:rPr>
      </w:pPr>
      <w:r w:rsidRPr="004714C6">
        <w:rPr>
          <w:sz w:val="24"/>
          <w:szCs w:val="24"/>
        </w:rPr>
        <w:t>Man så ingen ændring i dabigatran</w:t>
      </w:r>
      <w:r w:rsidRPr="004714C6">
        <w:rPr>
          <w:sz w:val="24"/>
          <w:szCs w:val="24"/>
        </w:rPr>
        <w:noBreakHyphen/>
        <w:t>eksponering hos 12 voksne patienter med moderat nedsat leverfunktion (Child Pugh B) sammenlignet med 12 kontrolpersoner (se pkt. 4.2 og 4.4).</w:t>
      </w:r>
    </w:p>
    <w:p w14:paraId="63A6CA4D" w14:textId="77777777" w:rsidR="00A76826" w:rsidRPr="004714C6" w:rsidRDefault="00A76826" w:rsidP="00FB1973">
      <w:pPr>
        <w:ind w:left="851"/>
        <w:rPr>
          <w:sz w:val="24"/>
          <w:szCs w:val="24"/>
        </w:rPr>
      </w:pPr>
    </w:p>
    <w:p w14:paraId="10ABE309" w14:textId="77777777" w:rsidR="00A76826" w:rsidRPr="004714C6" w:rsidRDefault="00A76826" w:rsidP="00FB1973">
      <w:pPr>
        <w:ind w:left="851"/>
        <w:rPr>
          <w:i/>
          <w:iCs/>
          <w:sz w:val="24"/>
          <w:szCs w:val="24"/>
        </w:rPr>
      </w:pPr>
      <w:r w:rsidRPr="004714C6">
        <w:rPr>
          <w:i/>
          <w:iCs/>
          <w:sz w:val="24"/>
          <w:szCs w:val="24"/>
        </w:rPr>
        <w:t>Vægt</w:t>
      </w:r>
    </w:p>
    <w:p w14:paraId="2D319BCC" w14:textId="77777777" w:rsidR="00A76826" w:rsidRPr="004714C6" w:rsidRDefault="00A76826" w:rsidP="00FB1973">
      <w:pPr>
        <w:ind w:left="851"/>
        <w:rPr>
          <w:sz w:val="24"/>
          <w:szCs w:val="24"/>
        </w:rPr>
      </w:pPr>
    </w:p>
    <w:p w14:paraId="6332BE8B" w14:textId="77777777" w:rsidR="00A76826" w:rsidRPr="004714C6" w:rsidRDefault="00A76826" w:rsidP="00FB1973">
      <w:pPr>
        <w:ind w:left="851"/>
        <w:rPr>
          <w:sz w:val="24"/>
          <w:szCs w:val="24"/>
        </w:rPr>
      </w:pPr>
      <w:r w:rsidRPr="004714C6">
        <w:rPr>
          <w:sz w:val="24"/>
          <w:szCs w:val="24"/>
        </w:rPr>
        <w:t xml:space="preserve">For voksne patienter, der vejer &gt; 100 kg, var </w:t>
      </w:r>
      <w:r w:rsidRPr="004714C6">
        <w:rPr>
          <w:i/>
          <w:iCs/>
          <w:sz w:val="24"/>
          <w:szCs w:val="24"/>
        </w:rPr>
        <w:t>trough</w:t>
      </w:r>
      <w:r w:rsidRPr="004714C6">
        <w:rPr>
          <w:sz w:val="24"/>
          <w:szCs w:val="24"/>
        </w:rPr>
        <w:t>-koncentrationen 20 % lavere sammenlignet med voksne patienter på 50</w:t>
      </w:r>
      <w:r w:rsidRPr="004714C6">
        <w:rPr>
          <w:sz w:val="24"/>
          <w:szCs w:val="24"/>
        </w:rPr>
        <w:noBreakHyphen/>
        <w:t>100 kg. De fleste patienter (80,8 %) vejede ≥ 50</w:t>
      </w:r>
      <w:r w:rsidRPr="004714C6">
        <w:rPr>
          <w:sz w:val="24"/>
          <w:szCs w:val="24"/>
        </w:rPr>
        <w:noBreakHyphen/>
        <w:t>100 kg, og for dem sås ingen klar forskel (se pkt. 4.2 og 4.4). For voksne patienter &lt; 50 kg er kun begrænsede data tilgængelige.</w:t>
      </w:r>
    </w:p>
    <w:p w14:paraId="2CC4C7BE" w14:textId="77777777" w:rsidR="00A76826" w:rsidRPr="004714C6" w:rsidRDefault="00A76826" w:rsidP="00FB1973">
      <w:pPr>
        <w:ind w:left="851"/>
        <w:rPr>
          <w:sz w:val="24"/>
          <w:szCs w:val="24"/>
        </w:rPr>
      </w:pPr>
    </w:p>
    <w:p w14:paraId="142F976C" w14:textId="77777777" w:rsidR="00A76826" w:rsidRPr="004714C6" w:rsidRDefault="00A76826" w:rsidP="00FB1973">
      <w:pPr>
        <w:ind w:left="851"/>
        <w:rPr>
          <w:i/>
          <w:iCs/>
          <w:sz w:val="24"/>
          <w:szCs w:val="24"/>
        </w:rPr>
      </w:pPr>
      <w:r w:rsidRPr="004714C6">
        <w:rPr>
          <w:i/>
          <w:iCs/>
          <w:sz w:val="24"/>
          <w:szCs w:val="24"/>
        </w:rPr>
        <w:t>Køn</w:t>
      </w:r>
    </w:p>
    <w:p w14:paraId="00D0C415" w14:textId="77777777" w:rsidR="00A76826" w:rsidRPr="004714C6" w:rsidRDefault="00A76826" w:rsidP="00FB1973">
      <w:pPr>
        <w:ind w:left="851"/>
        <w:rPr>
          <w:sz w:val="24"/>
          <w:szCs w:val="24"/>
        </w:rPr>
      </w:pPr>
    </w:p>
    <w:p w14:paraId="63FF15CB" w14:textId="77777777" w:rsidR="00A76826" w:rsidRPr="004714C6" w:rsidRDefault="00A76826" w:rsidP="00FB1973">
      <w:pPr>
        <w:ind w:left="851"/>
        <w:rPr>
          <w:sz w:val="24"/>
          <w:szCs w:val="24"/>
        </w:rPr>
      </w:pPr>
      <w:r w:rsidRPr="004714C6">
        <w:rPr>
          <w:sz w:val="24"/>
          <w:szCs w:val="24"/>
        </w:rPr>
        <w:t>Hos kvinderne i det primære VTE</w:t>
      </w:r>
      <w:r w:rsidRPr="004714C6">
        <w:rPr>
          <w:sz w:val="24"/>
          <w:szCs w:val="24"/>
        </w:rPr>
        <w:noBreakHyphen/>
        <w:t>forebyggelsesstudie sås, at eksponeringen for aktivt stof var ca. 40</w:t>
      </w:r>
      <w:r w:rsidRPr="004714C6">
        <w:rPr>
          <w:sz w:val="24"/>
          <w:szCs w:val="24"/>
        </w:rPr>
        <w:noBreakHyphen/>
        <w:t xml:space="preserve">50 % højere </w:t>
      </w:r>
      <w:r w:rsidRPr="004714C6">
        <w:rPr>
          <w:sz w:val="24"/>
          <w:szCs w:val="24"/>
        </w:rPr>
        <w:noBreakHyphen/>
        <w:t xml:space="preserve"> der anbefales ingen dosisjustering. Hos kvindelige AF</w:t>
      </w:r>
      <w:r w:rsidRPr="004714C6">
        <w:rPr>
          <w:sz w:val="24"/>
          <w:szCs w:val="24"/>
        </w:rPr>
        <w:noBreakHyphen/>
        <w:t xml:space="preserve">patienter måltes i gennemsnit 30 % højere </w:t>
      </w:r>
      <w:r w:rsidRPr="004714C6">
        <w:rPr>
          <w:i/>
          <w:iCs/>
          <w:sz w:val="24"/>
          <w:szCs w:val="24"/>
        </w:rPr>
        <w:t>trough</w:t>
      </w:r>
      <w:r w:rsidRPr="004714C6">
        <w:rPr>
          <w:sz w:val="24"/>
          <w:szCs w:val="24"/>
        </w:rPr>
        <w:t xml:space="preserve"> og post</w:t>
      </w:r>
      <w:r w:rsidRPr="004714C6">
        <w:rPr>
          <w:sz w:val="24"/>
          <w:szCs w:val="24"/>
        </w:rPr>
        <w:noBreakHyphen/>
        <w:t>dosis-koncentrationer. Ingen dosisjustering er nødvendig (se pkt. 4.2).</w:t>
      </w:r>
    </w:p>
    <w:p w14:paraId="4BF4077B" w14:textId="77777777" w:rsidR="00A76826" w:rsidRPr="004714C6" w:rsidRDefault="00A76826" w:rsidP="00FB1973">
      <w:pPr>
        <w:ind w:left="851"/>
        <w:rPr>
          <w:sz w:val="24"/>
          <w:szCs w:val="24"/>
        </w:rPr>
      </w:pPr>
    </w:p>
    <w:p w14:paraId="6BCFCCDA" w14:textId="77777777" w:rsidR="00A76826" w:rsidRPr="004714C6" w:rsidRDefault="00A76826" w:rsidP="00FB1973">
      <w:pPr>
        <w:ind w:left="851"/>
        <w:rPr>
          <w:i/>
          <w:iCs/>
          <w:sz w:val="24"/>
          <w:szCs w:val="24"/>
        </w:rPr>
      </w:pPr>
      <w:r w:rsidRPr="004714C6">
        <w:rPr>
          <w:i/>
          <w:iCs/>
          <w:sz w:val="24"/>
          <w:szCs w:val="24"/>
        </w:rPr>
        <w:t>Etnisk oprindelse</w:t>
      </w:r>
    </w:p>
    <w:p w14:paraId="1DF2B8DD" w14:textId="77777777" w:rsidR="00A76826" w:rsidRPr="004714C6" w:rsidRDefault="00A76826" w:rsidP="00FB1973">
      <w:pPr>
        <w:ind w:left="851"/>
        <w:rPr>
          <w:sz w:val="24"/>
          <w:szCs w:val="24"/>
        </w:rPr>
      </w:pPr>
    </w:p>
    <w:p w14:paraId="03AABEE5" w14:textId="77777777" w:rsidR="00A76826" w:rsidRPr="004714C6" w:rsidRDefault="00A76826" w:rsidP="00FB1973">
      <w:pPr>
        <w:ind w:left="851"/>
        <w:rPr>
          <w:sz w:val="24"/>
          <w:szCs w:val="24"/>
        </w:rPr>
      </w:pPr>
      <w:r w:rsidRPr="004714C6">
        <w:rPr>
          <w:sz w:val="24"/>
          <w:szCs w:val="24"/>
        </w:rPr>
        <w:t>Der er ikke observeret klinisk relevante etniske forskelle i dabigatrans kinetik eller dynamik mellem kaukasiske, afro</w:t>
      </w:r>
      <w:r w:rsidRPr="004714C6">
        <w:rPr>
          <w:sz w:val="24"/>
          <w:szCs w:val="24"/>
        </w:rPr>
        <w:noBreakHyphen/>
        <w:t>amerikanske, latin</w:t>
      </w:r>
      <w:r w:rsidRPr="004714C6">
        <w:rPr>
          <w:sz w:val="24"/>
          <w:szCs w:val="24"/>
        </w:rPr>
        <w:noBreakHyphen/>
        <w:t>amerikanske, japanske eller kinesiske patienter.</w:t>
      </w:r>
    </w:p>
    <w:p w14:paraId="486A0B0B" w14:textId="77777777" w:rsidR="00A76826" w:rsidRPr="004714C6" w:rsidRDefault="00A76826" w:rsidP="00FB1973">
      <w:pPr>
        <w:ind w:left="851"/>
        <w:rPr>
          <w:sz w:val="24"/>
          <w:szCs w:val="24"/>
        </w:rPr>
      </w:pPr>
    </w:p>
    <w:p w14:paraId="27367326" w14:textId="77777777" w:rsidR="00A76826" w:rsidRPr="004714C6" w:rsidRDefault="00A76826" w:rsidP="00FB1973">
      <w:pPr>
        <w:ind w:left="851"/>
        <w:rPr>
          <w:i/>
          <w:iCs/>
          <w:sz w:val="24"/>
          <w:szCs w:val="24"/>
        </w:rPr>
      </w:pPr>
      <w:r w:rsidRPr="004714C6">
        <w:rPr>
          <w:i/>
          <w:iCs/>
          <w:sz w:val="24"/>
          <w:szCs w:val="24"/>
        </w:rPr>
        <w:t>Pædiatrisk population</w:t>
      </w:r>
    </w:p>
    <w:p w14:paraId="6EEC3D96" w14:textId="77777777" w:rsidR="00A76826" w:rsidRPr="004714C6" w:rsidRDefault="00A76826" w:rsidP="00FB1973">
      <w:pPr>
        <w:ind w:left="851"/>
        <w:rPr>
          <w:sz w:val="24"/>
          <w:szCs w:val="24"/>
        </w:rPr>
      </w:pPr>
    </w:p>
    <w:p w14:paraId="780399F3" w14:textId="77777777" w:rsidR="00A76826" w:rsidRPr="004714C6" w:rsidRDefault="00A76826" w:rsidP="00FB1973">
      <w:pPr>
        <w:ind w:left="851"/>
        <w:rPr>
          <w:sz w:val="24"/>
          <w:szCs w:val="24"/>
        </w:rPr>
      </w:pPr>
      <w:r w:rsidRPr="004714C6">
        <w:rPr>
          <w:sz w:val="24"/>
          <w:szCs w:val="24"/>
        </w:rPr>
        <w:t xml:space="preserve">Oral administration af dabigatranetexilat i henhold til den protokoldefinerede doseringsalgoritme resulterede i eksponering inden for intervallet, der blev observeret hos voksne med DVT/LE. Baseret på den poolede analyse af farmakokinetiske data fra studierne DIVERSITY og 1160.108, var de observerede geometrisk gennemsnitlige </w:t>
      </w:r>
      <w:r w:rsidRPr="004714C6">
        <w:rPr>
          <w:i/>
          <w:iCs/>
          <w:sz w:val="24"/>
          <w:szCs w:val="24"/>
        </w:rPr>
        <w:t>trough</w:t>
      </w:r>
      <w:r w:rsidRPr="004714C6">
        <w:rPr>
          <w:sz w:val="24"/>
          <w:szCs w:val="24"/>
        </w:rPr>
        <w:noBreakHyphen/>
        <w:t>eksponeringer 53,9 ng/ml, 63,0 ng/ml og 99,1 ng/ml hos henholdsvis 0 til &lt; 2-årige, 2 til &lt; 12-årige og 12 til &lt; 18-årige pædiatriske VTE-patienter.</w:t>
      </w:r>
    </w:p>
    <w:p w14:paraId="3D360639" w14:textId="77777777" w:rsidR="00A76826" w:rsidRPr="004714C6" w:rsidRDefault="00A76826" w:rsidP="00FB1973">
      <w:pPr>
        <w:ind w:left="851"/>
        <w:rPr>
          <w:sz w:val="24"/>
          <w:szCs w:val="24"/>
        </w:rPr>
      </w:pPr>
    </w:p>
    <w:p w14:paraId="5C9997CA" w14:textId="77777777" w:rsidR="00A76826" w:rsidRPr="004714C6" w:rsidRDefault="00A76826" w:rsidP="00FB1973">
      <w:pPr>
        <w:ind w:left="851"/>
        <w:rPr>
          <w:i/>
          <w:iCs/>
          <w:sz w:val="24"/>
          <w:szCs w:val="24"/>
        </w:rPr>
      </w:pPr>
      <w:bookmarkStart w:id="10" w:name="_Hlk153785525"/>
      <w:r w:rsidRPr="004714C6">
        <w:rPr>
          <w:i/>
          <w:iCs/>
          <w:sz w:val="24"/>
          <w:szCs w:val="24"/>
        </w:rPr>
        <w:t xml:space="preserve">Farmakokinetiske </w:t>
      </w:r>
      <w:bookmarkEnd w:id="10"/>
      <w:r w:rsidRPr="004714C6">
        <w:rPr>
          <w:i/>
          <w:iCs/>
          <w:sz w:val="24"/>
          <w:szCs w:val="24"/>
        </w:rPr>
        <w:t>interaktioner</w:t>
      </w:r>
    </w:p>
    <w:p w14:paraId="0B610D7B" w14:textId="77777777" w:rsidR="00A76826" w:rsidRPr="004714C6" w:rsidRDefault="00A76826" w:rsidP="00FB1973">
      <w:pPr>
        <w:ind w:left="851"/>
        <w:rPr>
          <w:sz w:val="24"/>
          <w:szCs w:val="24"/>
        </w:rPr>
      </w:pPr>
    </w:p>
    <w:p w14:paraId="254EED25" w14:textId="77777777" w:rsidR="00A76826" w:rsidRPr="004714C6" w:rsidRDefault="00A76826" w:rsidP="00FB1973">
      <w:pPr>
        <w:ind w:left="851"/>
        <w:rPr>
          <w:sz w:val="24"/>
          <w:szCs w:val="24"/>
        </w:rPr>
      </w:pPr>
      <w:r w:rsidRPr="004714C6">
        <w:rPr>
          <w:i/>
          <w:iCs/>
          <w:sz w:val="24"/>
          <w:szCs w:val="24"/>
        </w:rPr>
        <w:t>In vitro</w:t>
      </w:r>
      <w:r w:rsidRPr="004714C6">
        <w:rPr>
          <w:sz w:val="24"/>
          <w:szCs w:val="24"/>
        </w:rPr>
        <w:t xml:space="preserve">-interaktionsstudier viste ingen hæmning eller induktion af de vigtigste isoenzymer af cytokrom P450. Dette er bekræftet i </w:t>
      </w:r>
      <w:r w:rsidRPr="004714C6">
        <w:rPr>
          <w:i/>
          <w:iCs/>
          <w:sz w:val="24"/>
          <w:szCs w:val="24"/>
        </w:rPr>
        <w:t>in vivo</w:t>
      </w:r>
      <w:r w:rsidRPr="004714C6">
        <w:rPr>
          <w:sz w:val="24"/>
          <w:szCs w:val="24"/>
        </w:rPr>
        <w:t>-studier med raske frivillige, som ikke viste interaktion mellem dabigatran og følgende aktive stoffer: atorvastatin (CYP3A4), digoxin (P-gp-transporterinteraktion) og diclofenac (CYP2C9).</w:t>
      </w:r>
    </w:p>
    <w:p w14:paraId="344DD088" w14:textId="77777777" w:rsidR="009260DE" w:rsidRPr="004714C6" w:rsidRDefault="009260DE" w:rsidP="009260DE">
      <w:pPr>
        <w:tabs>
          <w:tab w:val="left" w:pos="851"/>
        </w:tabs>
        <w:ind w:left="851"/>
        <w:rPr>
          <w:sz w:val="24"/>
          <w:szCs w:val="24"/>
        </w:rPr>
      </w:pPr>
    </w:p>
    <w:p w14:paraId="2845CA33" w14:textId="77777777" w:rsidR="009260DE" w:rsidRPr="004714C6" w:rsidRDefault="009260DE" w:rsidP="009260DE">
      <w:pPr>
        <w:tabs>
          <w:tab w:val="left" w:pos="851"/>
        </w:tabs>
        <w:ind w:left="851" w:hanging="851"/>
        <w:rPr>
          <w:b/>
          <w:sz w:val="24"/>
          <w:szCs w:val="24"/>
        </w:rPr>
      </w:pPr>
      <w:r w:rsidRPr="004714C6">
        <w:rPr>
          <w:b/>
          <w:sz w:val="24"/>
          <w:szCs w:val="24"/>
        </w:rPr>
        <w:t>5.3</w:t>
      </w:r>
      <w:r w:rsidRPr="004714C6">
        <w:rPr>
          <w:b/>
          <w:sz w:val="24"/>
          <w:szCs w:val="24"/>
        </w:rPr>
        <w:tab/>
      </w:r>
      <w:r w:rsidR="00BD7931" w:rsidRPr="004714C6">
        <w:rPr>
          <w:b/>
          <w:sz w:val="24"/>
          <w:szCs w:val="24"/>
        </w:rPr>
        <w:t>Non-</w:t>
      </w:r>
      <w:r w:rsidRPr="004714C6">
        <w:rPr>
          <w:b/>
          <w:sz w:val="24"/>
          <w:szCs w:val="24"/>
        </w:rPr>
        <w:t>kliniske sikkerhedsdata</w:t>
      </w:r>
    </w:p>
    <w:p w14:paraId="17D270F2" w14:textId="77777777" w:rsidR="00A76826" w:rsidRPr="004714C6" w:rsidRDefault="00A76826" w:rsidP="0067357D">
      <w:pPr>
        <w:ind w:left="851"/>
        <w:rPr>
          <w:sz w:val="24"/>
          <w:szCs w:val="24"/>
        </w:rPr>
      </w:pPr>
      <w:bookmarkStart w:id="11" w:name="_Hlk153785746"/>
      <w:r w:rsidRPr="004714C6">
        <w:rPr>
          <w:sz w:val="24"/>
          <w:szCs w:val="24"/>
        </w:rPr>
        <w:t>Non-kliniske data viser ingen speciel risiko for mennesker vurderet ud fra konventionelle studier af sikkerhedsfarmakologi, toksicitet efter gentagne doser eller genotoksicitet.</w:t>
      </w:r>
      <w:bookmarkEnd w:id="11"/>
    </w:p>
    <w:p w14:paraId="7F43B7B8" w14:textId="77777777" w:rsidR="00A76826" w:rsidRPr="004714C6" w:rsidRDefault="00A76826" w:rsidP="0067357D">
      <w:pPr>
        <w:ind w:left="851"/>
        <w:rPr>
          <w:sz w:val="24"/>
          <w:szCs w:val="24"/>
        </w:rPr>
      </w:pPr>
    </w:p>
    <w:p w14:paraId="63EC1CCE" w14:textId="77777777" w:rsidR="00A76826" w:rsidRPr="004714C6" w:rsidRDefault="00A76826" w:rsidP="0067357D">
      <w:pPr>
        <w:ind w:left="851"/>
        <w:rPr>
          <w:sz w:val="24"/>
          <w:szCs w:val="24"/>
        </w:rPr>
      </w:pPr>
      <w:r w:rsidRPr="004714C6">
        <w:rPr>
          <w:sz w:val="24"/>
          <w:szCs w:val="24"/>
        </w:rPr>
        <w:t>De virkninger, der blev observeret i de udførte studier af toksicitet efter gentagne doser skyldtes dabigatrans kraftige farmakodynamiske effekt.</w:t>
      </w:r>
    </w:p>
    <w:p w14:paraId="7419FA8D" w14:textId="77777777" w:rsidR="00A76826" w:rsidRPr="004714C6" w:rsidRDefault="00A76826" w:rsidP="0067357D">
      <w:pPr>
        <w:ind w:left="851"/>
        <w:rPr>
          <w:sz w:val="24"/>
          <w:szCs w:val="24"/>
        </w:rPr>
      </w:pPr>
    </w:p>
    <w:p w14:paraId="23ADECC2" w14:textId="77777777" w:rsidR="00A76826" w:rsidRPr="004714C6" w:rsidRDefault="00A76826" w:rsidP="0067357D">
      <w:pPr>
        <w:ind w:left="851"/>
        <w:rPr>
          <w:sz w:val="24"/>
          <w:szCs w:val="24"/>
        </w:rPr>
      </w:pPr>
      <w:r w:rsidRPr="004714C6">
        <w:rPr>
          <w:sz w:val="24"/>
          <w:szCs w:val="24"/>
        </w:rPr>
        <w:t>Der blev observeret en påvirkning af fertiliteten hos hundyr ved et fald i implantationer og en øgning i præimplantationstab ved 70 mg/kg (5 gange plasmaeksponeringen hos patienter). Hos rotter og kaniner sås et fald i fostervægt og levedygtighed samt en stigning i foster</w:t>
      </w:r>
      <w:r w:rsidRPr="004714C6">
        <w:rPr>
          <w:sz w:val="24"/>
          <w:szCs w:val="24"/>
        </w:rPr>
        <w:noBreakHyphen/>
        <w:t>variation ved doser, der var toksiske for moderdyret (5 til 10 gange plasmaeksponeringen hos patienterne). I det præ</w:t>
      </w:r>
      <w:r w:rsidRPr="004714C6">
        <w:rPr>
          <w:sz w:val="24"/>
          <w:szCs w:val="24"/>
        </w:rPr>
        <w:noBreakHyphen/>
        <w:t xml:space="preserve"> og postnatale studie sås en stigning i fostermortalitet ved doser, der var toksiske for moderdyret (en dosis, der svarer til en plasmaeksponering 4 gange højere end observeret hos patienter).</w:t>
      </w:r>
    </w:p>
    <w:p w14:paraId="626099ED" w14:textId="77777777" w:rsidR="00A76826" w:rsidRPr="004714C6" w:rsidRDefault="00A76826" w:rsidP="0067357D">
      <w:pPr>
        <w:ind w:left="851"/>
        <w:rPr>
          <w:sz w:val="24"/>
          <w:szCs w:val="24"/>
        </w:rPr>
      </w:pPr>
    </w:p>
    <w:p w14:paraId="2EFE15EE" w14:textId="77777777" w:rsidR="00A76826" w:rsidRPr="004714C6" w:rsidRDefault="00A76826" w:rsidP="0067357D">
      <w:pPr>
        <w:ind w:left="851"/>
        <w:rPr>
          <w:sz w:val="24"/>
          <w:szCs w:val="24"/>
        </w:rPr>
      </w:pPr>
      <w:r w:rsidRPr="004714C6">
        <w:rPr>
          <w:sz w:val="24"/>
          <w:szCs w:val="24"/>
        </w:rPr>
        <w:t>I et toksicitetsstudie udført med unge han-Wistar</w:t>
      </w:r>
      <w:r w:rsidRPr="004714C6">
        <w:rPr>
          <w:sz w:val="24"/>
          <w:szCs w:val="24"/>
        </w:rPr>
        <w:noBreakHyphen/>
        <w:t>rotter, blev mortalitet forbundet med blødningstilfælde ved lignende eksponeringer, hvor blødning sås hos voksne dyr. Hos både voksne og unge rotter anses mortalitet at være forbundet med dabigatrans overdrevne farmakologiske aktivitet i forbindelse med anvendelsen af mekanisk kraft under dosering og håndtering. Data fra toksicitetsstudiet med unge dyr indikerede hverken en øget sensitivitet for toksicitet eller nogen som helst specifik toksicitet for unge dyr.</w:t>
      </w:r>
    </w:p>
    <w:p w14:paraId="649C1676" w14:textId="77777777" w:rsidR="00A76826" w:rsidRPr="004714C6" w:rsidRDefault="00A76826" w:rsidP="0067357D">
      <w:pPr>
        <w:ind w:left="851"/>
        <w:rPr>
          <w:sz w:val="24"/>
          <w:szCs w:val="24"/>
        </w:rPr>
      </w:pPr>
    </w:p>
    <w:p w14:paraId="5316A640" w14:textId="77777777" w:rsidR="00A76826" w:rsidRPr="004714C6" w:rsidRDefault="00A76826" w:rsidP="0067357D">
      <w:pPr>
        <w:ind w:left="851"/>
        <w:rPr>
          <w:sz w:val="24"/>
          <w:szCs w:val="24"/>
        </w:rPr>
      </w:pPr>
      <w:r w:rsidRPr="004714C6">
        <w:rPr>
          <w:sz w:val="24"/>
          <w:szCs w:val="24"/>
        </w:rPr>
        <w:t>Der var ingen tegn på tumorigent potentiale i livslange studier med mus og rotter ved dabigatrandoser op til maks. 200 mg/kg.</w:t>
      </w:r>
    </w:p>
    <w:p w14:paraId="26F4C8FB" w14:textId="77777777" w:rsidR="00A76826" w:rsidRPr="004714C6" w:rsidRDefault="00A76826" w:rsidP="0067357D">
      <w:pPr>
        <w:ind w:left="851"/>
        <w:rPr>
          <w:sz w:val="24"/>
          <w:szCs w:val="24"/>
        </w:rPr>
      </w:pPr>
    </w:p>
    <w:p w14:paraId="17CF15F6" w14:textId="77777777" w:rsidR="00A76826" w:rsidRPr="004714C6" w:rsidRDefault="00A76826" w:rsidP="0067357D">
      <w:pPr>
        <w:ind w:left="851"/>
        <w:rPr>
          <w:sz w:val="24"/>
          <w:szCs w:val="24"/>
        </w:rPr>
      </w:pPr>
      <w:r w:rsidRPr="004714C6">
        <w:rPr>
          <w:sz w:val="24"/>
          <w:szCs w:val="24"/>
        </w:rPr>
        <w:t>Den aktive del af dabigatranetexilatmesilat, dabigatran, nedbrydes ikke i miljøet.</w:t>
      </w:r>
    </w:p>
    <w:p w14:paraId="548F1604" w14:textId="77777777" w:rsidR="009260DE" w:rsidRPr="004714C6" w:rsidRDefault="009260DE" w:rsidP="009260DE">
      <w:pPr>
        <w:tabs>
          <w:tab w:val="left" w:pos="851"/>
        </w:tabs>
        <w:ind w:left="851"/>
        <w:rPr>
          <w:sz w:val="24"/>
          <w:szCs w:val="24"/>
        </w:rPr>
      </w:pPr>
    </w:p>
    <w:p w14:paraId="104C8736" w14:textId="77777777" w:rsidR="009260DE" w:rsidRPr="004714C6" w:rsidRDefault="009260DE" w:rsidP="009260DE">
      <w:pPr>
        <w:tabs>
          <w:tab w:val="left" w:pos="851"/>
        </w:tabs>
        <w:ind w:left="851"/>
        <w:rPr>
          <w:sz w:val="24"/>
          <w:szCs w:val="24"/>
        </w:rPr>
      </w:pPr>
    </w:p>
    <w:p w14:paraId="62EBE60D" w14:textId="77777777" w:rsidR="009260DE" w:rsidRPr="004714C6" w:rsidRDefault="009260DE" w:rsidP="009260DE">
      <w:pPr>
        <w:tabs>
          <w:tab w:val="left" w:pos="851"/>
        </w:tabs>
        <w:ind w:left="851" w:hanging="851"/>
        <w:rPr>
          <w:b/>
          <w:sz w:val="24"/>
          <w:szCs w:val="24"/>
        </w:rPr>
      </w:pPr>
      <w:r w:rsidRPr="004714C6">
        <w:rPr>
          <w:b/>
          <w:sz w:val="24"/>
          <w:szCs w:val="24"/>
        </w:rPr>
        <w:t>6.</w:t>
      </w:r>
      <w:r w:rsidRPr="004714C6">
        <w:rPr>
          <w:b/>
          <w:sz w:val="24"/>
          <w:szCs w:val="24"/>
        </w:rPr>
        <w:tab/>
        <w:t>FARMACEUTISKE OPLYSNINGER</w:t>
      </w:r>
    </w:p>
    <w:p w14:paraId="0EE56CD9" w14:textId="77777777" w:rsidR="009260DE" w:rsidRPr="004714C6" w:rsidRDefault="009260DE" w:rsidP="009260DE">
      <w:pPr>
        <w:tabs>
          <w:tab w:val="left" w:pos="851"/>
        </w:tabs>
        <w:ind w:left="851"/>
        <w:rPr>
          <w:sz w:val="24"/>
          <w:szCs w:val="24"/>
        </w:rPr>
      </w:pPr>
    </w:p>
    <w:p w14:paraId="128D786F" w14:textId="77777777" w:rsidR="009260DE" w:rsidRPr="004714C6" w:rsidRDefault="009260DE" w:rsidP="009260DE">
      <w:pPr>
        <w:tabs>
          <w:tab w:val="left" w:pos="851"/>
        </w:tabs>
        <w:ind w:left="851" w:hanging="851"/>
        <w:rPr>
          <w:b/>
          <w:sz w:val="24"/>
          <w:szCs w:val="24"/>
        </w:rPr>
      </w:pPr>
      <w:r w:rsidRPr="004714C6">
        <w:rPr>
          <w:b/>
          <w:sz w:val="24"/>
          <w:szCs w:val="24"/>
        </w:rPr>
        <w:t>6.1</w:t>
      </w:r>
      <w:r w:rsidRPr="004714C6">
        <w:rPr>
          <w:b/>
          <w:sz w:val="24"/>
          <w:szCs w:val="24"/>
        </w:rPr>
        <w:tab/>
        <w:t>Hjælpestoffer</w:t>
      </w:r>
    </w:p>
    <w:p w14:paraId="4AAC2DEC" w14:textId="77777777" w:rsidR="004760BA" w:rsidRPr="004714C6" w:rsidRDefault="004760BA" w:rsidP="0067357D">
      <w:pPr>
        <w:ind w:left="851"/>
        <w:rPr>
          <w:sz w:val="24"/>
          <w:szCs w:val="24"/>
          <w:u w:val="single"/>
        </w:rPr>
      </w:pPr>
    </w:p>
    <w:p w14:paraId="0735F968" w14:textId="01A24E8D" w:rsidR="00A76826" w:rsidRPr="004714C6" w:rsidRDefault="00A76826" w:rsidP="0067357D">
      <w:pPr>
        <w:ind w:left="851"/>
        <w:rPr>
          <w:sz w:val="24"/>
          <w:szCs w:val="24"/>
          <w:u w:val="single"/>
        </w:rPr>
      </w:pPr>
      <w:r w:rsidRPr="004714C6">
        <w:rPr>
          <w:sz w:val="24"/>
          <w:szCs w:val="24"/>
          <w:u w:val="single"/>
        </w:rPr>
        <w:t>Kapselindhold</w:t>
      </w:r>
    </w:p>
    <w:p w14:paraId="3CADBC3C" w14:textId="77777777" w:rsidR="00A76826" w:rsidRPr="004714C6" w:rsidRDefault="00A76826" w:rsidP="0067357D">
      <w:pPr>
        <w:ind w:left="851"/>
        <w:rPr>
          <w:sz w:val="24"/>
          <w:szCs w:val="24"/>
        </w:rPr>
      </w:pPr>
      <w:r w:rsidRPr="004714C6">
        <w:rPr>
          <w:sz w:val="24"/>
          <w:szCs w:val="24"/>
        </w:rPr>
        <w:t>Vinsyre pellets</w:t>
      </w:r>
    </w:p>
    <w:p w14:paraId="701B1F23" w14:textId="77777777" w:rsidR="00A76826" w:rsidRPr="004714C6" w:rsidRDefault="00A76826" w:rsidP="0067357D">
      <w:pPr>
        <w:ind w:left="851"/>
        <w:rPr>
          <w:sz w:val="24"/>
          <w:szCs w:val="24"/>
        </w:rPr>
      </w:pPr>
      <w:r w:rsidRPr="004714C6">
        <w:rPr>
          <w:sz w:val="24"/>
          <w:szCs w:val="24"/>
        </w:rPr>
        <w:t>Hypromellose</w:t>
      </w:r>
    </w:p>
    <w:p w14:paraId="5B867DA5" w14:textId="77777777" w:rsidR="00A76826" w:rsidRPr="004714C6" w:rsidRDefault="00A76826" w:rsidP="0067357D">
      <w:pPr>
        <w:ind w:left="851"/>
        <w:rPr>
          <w:sz w:val="24"/>
          <w:szCs w:val="24"/>
        </w:rPr>
      </w:pPr>
      <w:r w:rsidRPr="004714C6">
        <w:rPr>
          <w:sz w:val="24"/>
          <w:szCs w:val="24"/>
        </w:rPr>
        <w:t>Hydroxypropylcellulose</w:t>
      </w:r>
    </w:p>
    <w:p w14:paraId="518F0D90" w14:textId="77777777" w:rsidR="00A76826" w:rsidRPr="004714C6" w:rsidRDefault="00A76826" w:rsidP="0067357D">
      <w:pPr>
        <w:ind w:left="851"/>
        <w:rPr>
          <w:sz w:val="24"/>
          <w:szCs w:val="24"/>
        </w:rPr>
      </w:pPr>
      <w:r w:rsidRPr="004714C6">
        <w:rPr>
          <w:sz w:val="24"/>
          <w:szCs w:val="24"/>
        </w:rPr>
        <w:t>Talcum</w:t>
      </w:r>
    </w:p>
    <w:p w14:paraId="7808395B" w14:textId="77777777" w:rsidR="00A76826" w:rsidRPr="004714C6" w:rsidRDefault="00A76826" w:rsidP="0067357D">
      <w:pPr>
        <w:ind w:left="851"/>
        <w:rPr>
          <w:sz w:val="24"/>
          <w:szCs w:val="24"/>
        </w:rPr>
      </w:pPr>
    </w:p>
    <w:p w14:paraId="6E8D5569" w14:textId="77777777" w:rsidR="00A76826" w:rsidRPr="004714C6" w:rsidRDefault="00A76826" w:rsidP="0067357D">
      <w:pPr>
        <w:ind w:left="851"/>
        <w:rPr>
          <w:sz w:val="24"/>
          <w:szCs w:val="24"/>
          <w:u w:val="single"/>
        </w:rPr>
      </w:pPr>
      <w:r w:rsidRPr="004714C6">
        <w:rPr>
          <w:sz w:val="24"/>
          <w:szCs w:val="24"/>
          <w:u w:val="single"/>
        </w:rPr>
        <w:t>Kapselskal</w:t>
      </w:r>
    </w:p>
    <w:p w14:paraId="3F129900" w14:textId="77777777" w:rsidR="00A76826" w:rsidRPr="004714C6" w:rsidRDefault="00A76826" w:rsidP="0067357D">
      <w:pPr>
        <w:ind w:left="851"/>
        <w:rPr>
          <w:sz w:val="24"/>
          <w:szCs w:val="24"/>
        </w:rPr>
      </w:pPr>
      <w:r w:rsidRPr="004714C6">
        <w:rPr>
          <w:sz w:val="24"/>
          <w:szCs w:val="24"/>
        </w:rPr>
        <w:t>Indigocarmin aluminium lake (E132)</w:t>
      </w:r>
    </w:p>
    <w:p w14:paraId="47847894" w14:textId="77777777" w:rsidR="00A76826" w:rsidRPr="004714C6" w:rsidRDefault="00A76826" w:rsidP="0067357D">
      <w:pPr>
        <w:ind w:left="851"/>
        <w:rPr>
          <w:sz w:val="24"/>
          <w:szCs w:val="24"/>
        </w:rPr>
      </w:pPr>
      <w:r w:rsidRPr="004714C6">
        <w:rPr>
          <w:sz w:val="24"/>
          <w:szCs w:val="24"/>
        </w:rPr>
        <w:t>Carrageenan</w:t>
      </w:r>
    </w:p>
    <w:p w14:paraId="4012AEF7" w14:textId="77777777" w:rsidR="00A76826" w:rsidRPr="004714C6" w:rsidRDefault="00A76826" w:rsidP="0067357D">
      <w:pPr>
        <w:ind w:left="851"/>
        <w:rPr>
          <w:sz w:val="24"/>
          <w:szCs w:val="24"/>
        </w:rPr>
      </w:pPr>
      <w:r w:rsidRPr="004714C6">
        <w:rPr>
          <w:sz w:val="24"/>
          <w:szCs w:val="24"/>
        </w:rPr>
        <w:t>Kaliumchlorid</w:t>
      </w:r>
    </w:p>
    <w:p w14:paraId="27CF1478" w14:textId="77777777" w:rsidR="00A76826" w:rsidRPr="004714C6" w:rsidRDefault="00A76826" w:rsidP="0067357D">
      <w:pPr>
        <w:ind w:left="851"/>
        <w:rPr>
          <w:sz w:val="24"/>
          <w:szCs w:val="24"/>
        </w:rPr>
      </w:pPr>
      <w:r w:rsidRPr="004714C6">
        <w:rPr>
          <w:sz w:val="24"/>
          <w:szCs w:val="24"/>
        </w:rPr>
        <w:t>Titandioxid (E171)</w:t>
      </w:r>
    </w:p>
    <w:p w14:paraId="4E511829" w14:textId="77777777" w:rsidR="00A76826" w:rsidRPr="004714C6" w:rsidRDefault="00A76826" w:rsidP="0067357D">
      <w:pPr>
        <w:ind w:left="851"/>
        <w:rPr>
          <w:sz w:val="24"/>
          <w:szCs w:val="24"/>
        </w:rPr>
      </w:pPr>
      <w:r w:rsidRPr="004714C6">
        <w:rPr>
          <w:sz w:val="24"/>
          <w:szCs w:val="24"/>
        </w:rPr>
        <w:t>Hypromellose</w:t>
      </w:r>
    </w:p>
    <w:p w14:paraId="58D4F1E3" w14:textId="77777777" w:rsidR="009260DE" w:rsidRPr="004714C6" w:rsidRDefault="009260DE" w:rsidP="009260DE">
      <w:pPr>
        <w:tabs>
          <w:tab w:val="left" w:pos="851"/>
        </w:tabs>
        <w:ind w:left="851"/>
        <w:rPr>
          <w:sz w:val="24"/>
          <w:szCs w:val="24"/>
        </w:rPr>
      </w:pPr>
    </w:p>
    <w:p w14:paraId="7C50744B" w14:textId="77777777" w:rsidR="009260DE" w:rsidRPr="004714C6" w:rsidRDefault="009260DE" w:rsidP="009260DE">
      <w:pPr>
        <w:tabs>
          <w:tab w:val="left" w:pos="851"/>
        </w:tabs>
        <w:ind w:left="851" w:hanging="851"/>
        <w:rPr>
          <w:b/>
          <w:sz w:val="24"/>
          <w:szCs w:val="24"/>
        </w:rPr>
      </w:pPr>
      <w:r w:rsidRPr="004714C6">
        <w:rPr>
          <w:b/>
          <w:sz w:val="24"/>
          <w:szCs w:val="24"/>
        </w:rPr>
        <w:t>6.2</w:t>
      </w:r>
      <w:r w:rsidRPr="004714C6">
        <w:rPr>
          <w:b/>
          <w:sz w:val="24"/>
          <w:szCs w:val="24"/>
        </w:rPr>
        <w:tab/>
        <w:t>Uforligeligheder</w:t>
      </w:r>
    </w:p>
    <w:p w14:paraId="4FE608D1" w14:textId="77777777" w:rsidR="00A76826" w:rsidRPr="004714C6" w:rsidRDefault="00A76826" w:rsidP="0067357D">
      <w:pPr>
        <w:ind w:left="851"/>
        <w:rPr>
          <w:sz w:val="24"/>
          <w:szCs w:val="24"/>
        </w:rPr>
      </w:pPr>
      <w:r w:rsidRPr="004714C6">
        <w:rPr>
          <w:sz w:val="24"/>
          <w:szCs w:val="24"/>
        </w:rPr>
        <w:t>Ikke relevant.</w:t>
      </w:r>
    </w:p>
    <w:p w14:paraId="16650626" w14:textId="77777777" w:rsidR="009260DE" w:rsidRPr="004714C6" w:rsidRDefault="009260DE" w:rsidP="009260DE">
      <w:pPr>
        <w:tabs>
          <w:tab w:val="left" w:pos="851"/>
        </w:tabs>
        <w:ind w:left="851"/>
        <w:rPr>
          <w:sz w:val="24"/>
          <w:szCs w:val="24"/>
        </w:rPr>
      </w:pPr>
    </w:p>
    <w:p w14:paraId="3CA99C33" w14:textId="77777777" w:rsidR="009260DE" w:rsidRPr="004714C6" w:rsidRDefault="009260DE" w:rsidP="009260DE">
      <w:pPr>
        <w:tabs>
          <w:tab w:val="left" w:pos="851"/>
        </w:tabs>
        <w:ind w:left="851" w:hanging="851"/>
        <w:rPr>
          <w:b/>
          <w:sz w:val="24"/>
          <w:szCs w:val="24"/>
        </w:rPr>
      </w:pPr>
      <w:r w:rsidRPr="004714C6">
        <w:rPr>
          <w:b/>
          <w:sz w:val="24"/>
          <w:szCs w:val="24"/>
        </w:rPr>
        <w:t>6.3</w:t>
      </w:r>
      <w:r w:rsidRPr="004714C6">
        <w:rPr>
          <w:b/>
          <w:sz w:val="24"/>
          <w:szCs w:val="24"/>
        </w:rPr>
        <w:tab/>
        <w:t>Opbevaringstid</w:t>
      </w:r>
    </w:p>
    <w:p w14:paraId="517AB87B" w14:textId="77777777" w:rsidR="00A76826" w:rsidRPr="004714C6" w:rsidRDefault="00A76826" w:rsidP="0067357D">
      <w:pPr>
        <w:ind w:left="851"/>
        <w:rPr>
          <w:sz w:val="24"/>
          <w:szCs w:val="24"/>
        </w:rPr>
      </w:pPr>
      <w:r w:rsidRPr="004714C6">
        <w:rPr>
          <w:sz w:val="24"/>
          <w:szCs w:val="24"/>
        </w:rPr>
        <w:t xml:space="preserve">2 år </w:t>
      </w:r>
    </w:p>
    <w:p w14:paraId="36289165" w14:textId="77777777" w:rsidR="009260DE" w:rsidRPr="004714C6" w:rsidRDefault="009260DE" w:rsidP="009260DE">
      <w:pPr>
        <w:tabs>
          <w:tab w:val="left" w:pos="851"/>
        </w:tabs>
        <w:ind w:left="851"/>
        <w:rPr>
          <w:sz w:val="24"/>
          <w:szCs w:val="24"/>
        </w:rPr>
      </w:pPr>
    </w:p>
    <w:p w14:paraId="4D5EA423" w14:textId="77777777" w:rsidR="009260DE" w:rsidRPr="004714C6" w:rsidRDefault="009260DE" w:rsidP="009260DE">
      <w:pPr>
        <w:tabs>
          <w:tab w:val="left" w:pos="851"/>
        </w:tabs>
        <w:ind w:left="851" w:hanging="851"/>
        <w:rPr>
          <w:b/>
          <w:sz w:val="24"/>
          <w:szCs w:val="24"/>
        </w:rPr>
      </w:pPr>
      <w:r w:rsidRPr="004714C6">
        <w:rPr>
          <w:b/>
          <w:sz w:val="24"/>
          <w:szCs w:val="24"/>
        </w:rPr>
        <w:t>6.4</w:t>
      </w:r>
      <w:r w:rsidRPr="004714C6">
        <w:rPr>
          <w:b/>
          <w:sz w:val="24"/>
          <w:szCs w:val="24"/>
        </w:rPr>
        <w:tab/>
        <w:t>Særlige opbevaringsforhold</w:t>
      </w:r>
    </w:p>
    <w:p w14:paraId="72E90F2D" w14:textId="77777777" w:rsidR="004760BA" w:rsidRPr="004714C6" w:rsidRDefault="004760BA" w:rsidP="0067357D">
      <w:pPr>
        <w:ind w:left="851"/>
        <w:rPr>
          <w:sz w:val="24"/>
          <w:szCs w:val="24"/>
        </w:rPr>
      </w:pPr>
    </w:p>
    <w:p w14:paraId="6821B9B8" w14:textId="4A6A8124" w:rsidR="00A76826" w:rsidRPr="004714C6" w:rsidRDefault="00A76826" w:rsidP="0067357D">
      <w:pPr>
        <w:ind w:left="851"/>
        <w:rPr>
          <w:sz w:val="24"/>
          <w:szCs w:val="24"/>
          <w:u w:val="single"/>
        </w:rPr>
      </w:pPr>
      <w:r w:rsidRPr="004714C6">
        <w:rPr>
          <w:sz w:val="24"/>
          <w:szCs w:val="24"/>
          <w:u w:val="single"/>
        </w:rPr>
        <w:t>Aluminium med tørremiddelbelægning – Aluminium (OPA/Alu/PE// PE/Alu/LDPE)</w:t>
      </w:r>
    </w:p>
    <w:p w14:paraId="70DEC007" w14:textId="77777777" w:rsidR="00A76826" w:rsidRPr="004714C6" w:rsidRDefault="00A76826" w:rsidP="0067357D">
      <w:pPr>
        <w:ind w:left="851"/>
        <w:rPr>
          <w:sz w:val="24"/>
          <w:szCs w:val="24"/>
        </w:rPr>
      </w:pPr>
      <w:r w:rsidRPr="004714C6">
        <w:rPr>
          <w:sz w:val="24"/>
          <w:szCs w:val="24"/>
        </w:rPr>
        <w:t>Dette lægemiddel kræver ingen særlige forholdsregler vedrørende opbevaring.</w:t>
      </w:r>
    </w:p>
    <w:p w14:paraId="2C79B3DF" w14:textId="77777777" w:rsidR="00A76826" w:rsidRPr="004714C6" w:rsidRDefault="00A76826" w:rsidP="0067357D">
      <w:pPr>
        <w:ind w:left="851"/>
        <w:rPr>
          <w:noProof/>
          <w:sz w:val="24"/>
          <w:szCs w:val="24"/>
        </w:rPr>
      </w:pPr>
    </w:p>
    <w:p w14:paraId="53F63812" w14:textId="77777777" w:rsidR="00A76826" w:rsidRPr="004714C6" w:rsidRDefault="00A76826" w:rsidP="0067357D">
      <w:pPr>
        <w:ind w:left="851"/>
        <w:rPr>
          <w:sz w:val="24"/>
          <w:szCs w:val="24"/>
          <w:u w:val="single"/>
        </w:rPr>
      </w:pPr>
      <w:r w:rsidRPr="004714C6">
        <w:rPr>
          <w:sz w:val="24"/>
          <w:szCs w:val="24"/>
          <w:u w:val="single"/>
        </w:rPr>
        <w:t>Aluminium</w:t>
      </w:r>
      <w:r w:rsidRPr="004714C6">
        <w:rPr>
          <w:sz w:val="24"/>
          <w:szCs w:val="24"/>
          <w:u w:val="single"/>
        </w:rPr>
        <w:noBreakHyphen/>
        <w:t>Aluminium (oPA/Alu/PVC//Alu blister)</w:t>
      </w:r>
    </w:p>
    <w:p w14:paraId="27D1DE03" w14:textId="77777777" w:rsidR="00A76826" w:rsidRPr="004714C6" w:rsidRDefault="00A76826" w:rsidP="0067357D">
      <w:pPr>
        <w:ind w:left="851"/>
        <w:rPr>
          <w:noProof/>
          <w:sz w:val="24"/>
          <w:szCs w:val="24"/>
        </w:rPr>
      </w:pPr>
      <w:r w:rsidRPr="004714C6">
        <w:rPr>
          <w:sz w:val="24"/>
          <w:szCs w:val="24"/>
        </w:rPr>
        <w:t>Må ikke opbevares ved temperaturer over 30 </w:t>
      </w:r>
      <w:r w:rsidRPr="004714C6">
        <w:rPr>
          <w:sz w:val="24"/>
          <w:szCs w:val="24"/>
        </w:rPr>
        <w:sym w:font="Symbol" w:char="F0B0"/>
      </w:r>
      <w:r w:rsidRPr="004714C6">
        <w:rPr>
          <w:sz w:val="24"/>
          <w:szCs w:val="24"/>
        </w:rPr>
        <w:t>C</w:t>
      </w:r>
    </w:p>
    <w:p w14:paraId="393ED9E7" w14:textId="77777777" w:rsidR="00A76826" w:rsidRPr="004714C6" w:rsidRDefault="00A76826" w:rsidP="0067357D">
      <w:pPr>
        <w:ind w:left="851"/>
        <w:rPr>
          <w:noProof/>
          <w:sz w:val="24"/>
          <w:szCs w:val="24"/>
        </w:rPr>
      </w:pPr>
    </w:p>
    <w:p w14:paraId="3B3A5154" w14:textId="77777777" w:rsidR="00A76826" w:rsidRPr="004714C6" w:rsidRDefault="00A76826" w:rsidP="0067357D">
      <w:pPr>
        <w:ind w:left="851"/>
        <w:rPr>
          <w:sz w:val="24"/>
          <w:szCs w:val="24"/>
          <w:u w:val="single"/>
        </w:rPr>
      </w:pPr>
      <w:r w:rsidRPr="004714C6">
        <w:rPr>
          <w:sz w:val="24"/>
          <w:szCs w:val="24"/>
          <w:u w:val="single"/>
        </w:rPr>
        <w:t>Hvid HDPE</w:t>
      </w:r>
      <w:r w:rsidRPr="004714C6">
        <w:rPr>
          <w:sz w:val="24"/>
          <w:szCs w:val="24"/>
          <w:u w:val="single"/>
        </w:rPr>
        <w:noBreakHyphen/>
        <w:t>beholder</w:t>
      </w:r>
    </w:p>
    <w:p w14:paraId="474ED842" w14:textId="77777777" w:rsidR="00A76826" w:rsidRPr="004714C6" w:rsidRDefault="00A76826" w:rsidP="0067357D">
      <w:pPr>
        <w:ind w:left="851"/>
        <w:rPr>
          <w:sz w:val="24"/>
          <w:szCs w:val="24"/>
        </w:rPr>
      </w:pPr>
      <w:r w:rsidRPr="004714C6">
        <w:rPr>
          <w:snapToGrid w:val="0"/>
          <w:sz w:val="24"/>
          <w:szCs w:val="24"/>
        </w:rPr>
        <w:t>Opbevares i den originale pakning for at beskytte mod fugt.</w:t>
      </w:r>
    </w:p>
    <w:p w14:paraId="18FB4888" w14:textId="77777777" w:rsidR="009260DE" w:rsidRPr="004714C6" w:rsidRDefault="009260DE" w:rsidP="009260DE">
      <w:pPr>
        <w:tabs>
          <w:tab w:val="left" w:pos="851"/>
        </w:tabs>
        <w:ind w:left="851"/>
        <w:rPr>
          <w:sz w:val="24"/>
          <w:szCs w:val="24"/>
        </w:rPr>
      </w:pPr>
    </w:p>
    <w:p w14:paraId="7B1A3CA7" w14:textId="77777777" w:rsidR="009260DE" w:rsidRPr="004714C6" w:rsidRDefault="009260DE" w:rsidP="009260DE">
      <w:pPr>
        <w:tabs>
          <w:tab w:val="left" w:pos="851"/>
        </w:tabs>
        <w:ind w:left="851" w:hanging="851"/>
        <w:rPr>
          <w:b/>
          <w:sz w:val="24"/>
          <w:szCs w:val="24"/>
        </w:rPr>
      </w:pPr>
      <w:r w:rsidRPr="004714C6">
        <w:rPr>
          <w:b/>
          <w:sz w:val="24"/>
          <w:szCs w:val="24"/>
        </w:rPr>
        <w:t>6.5</w:t>
      </w:r>
      <w:r w:rsidRPr="004714C6">
        <w:rPr>
          <w:b/>
          <w:sz w:val="24"/>
          <w:szCs w:val="24"/>
        </w:rPr>
        <w:tab/>
        <w:t>Emballagetype og pakningsstørrelser</w:t>
      </w:r>
    </w:p>
    <w:p w14:paraId="7A9B5F86" w14:textId="0D301228" w:rsidR="00A76826" w:rsidRPr="004714C6" w:rsidRDefault="00A76826" w:rsidP="0067357D">
      <w:pPr>
        <w:ind w:left="851"/>
        <w:rPr>
          <w:sz w:val="24"/>
          <w:szCs w:val="24"/>
        </w:rPr>
      </w:pPr>
      <w:r w:rsidRPr="004714C6">
        <w:rPr>
          <w:sz w:val="24"/>
          <w:szCs w:val="24"/>
        </w:rPr>
        <w:t>Blistere af Aluminium med tørremiddelbelægning</w:t>
      </w:r>
      <w:r w:rsidRPr="004714C6">
        <w:rPr>
          <w:sz w:val="24"/>
          <w:szCs w:val="24"/>
        </w:rPr>
        <w:noBreakHyphen/>
        <w:t>Aluminium (OPA/Alu/PE// PE/Alu/LDPE) og Aluminium</w:t>
      </w:r>
      <w:r w:rsidRPr="004714C6">
        <w:rPr>
          <w:sz w:val="24"/>
          <w:szCs w:val="24"/>
        </w:rPr>
        <w:noBreakHyphen/>
        <w:t xml:space="preserve">Aluminium (oPA/Alu/PVC//Alu blister) indeholder: </w:t>
      </w:r>
    </w:p>
    <w:p w14:paraId="35AC9017" w14:textId="57E16824" w:rsidR="00A76826" w:rsidRPr="004714C6" w:rsidRDefault="00A76826" w:rsidP="0067357D">
      <w:pPr>
        <w:ind w:left="851"/>
        <w:rPr>
          <w:sz w:val="24"/>
          <w:szCs w:val="24"/>
        </w:rPr>
      </w:pPr>
      <w:r w:rsidRPr="004714C6">
        <w:rPr>
          <w:sz w:val="24"/>
          <w:szCs w:val="24"/>
        </w:rPr>
        <w:t>10, 10</w:t>
      </w:r>
      <w:r w:rsidR="004760BA" w:rsidRPr="004714C6">
        <w:rPr>
          <w:sz w:val="24"/>
          <w:szCs w:val="24"/>
        </w:rPr>
        <w:t>×</w:t>
      </w:r>
      <w:r w:rsidRPr="004714C6">
        <w:rPr>
          <w:sz w:val="24"/>
          <w:szCs w:val="24"/>
        </w:rPr>
        <w:t>1 (enkeltdosisblistere), 30, 30</w:t>
      </w:r>
      <w:r w:rsidR="004760BA" w:rsidRPr="004714C6">
        <w:rPr>
          <w:sz w:val="24"/>
          <w:szCs w:val="24"/>
        </w:rPr>
        <w:t>×</w:t>
      </w:r>
      <w:r w:rsidRPr="004714C6">
        <w:rPr>
          <w:sz w:val="24"/>
          <w:szCs w:val="24"/>
        </w:rPr>
        <w:t>1 (enkeltdosisblistere), 60, 60</w:t>
      </w:r>
      <w:r w:rsidR="004760BA" w:rsidRPr="004714C6">
        <w:rPr>
          <w:sz w:val="24"/>
          <w:szCs w:val="24"/>
        </w:rPr>
        <w:t>×</w:t>
      </w:r>
      <w:r w:rsidRPr="004714C6">
        <w:rPr>
          <w:sz w:val="24"/>
          <w:szCs w:val="24"/>
        </w:rPr>
        <w:t>1 (enkeltdosisblistere), 100 og 180 hårde kapsler.</w:t>
      </w:r>
    </w:p>
    <w:p w14:paraId="3820984D" w14:textId="77777777" w:rsidR="00A76826" w:rsidRPr="004714C6" w:rsidRDefault="00A76826" w:rsidP="0067357D">
      <w:pPr>
        <w:ind w:left="851"/>
        <w:rPr>
          <w:sz w:val="24"/>
          <w:szCs w:val="24"/>
        </w:rPr>
      </w:pPr>
    </w:p>
    <w:p w14:paraId="557F828F" w14:textId="77777777" w:rsidR="00A76826" w:rsidRPr="004714C6" w:rsidRDefault="00A76826" w:rsidP="0067357D">
      <w:pPr>
        <w:ind w:left="851"/>
        <w:rPr>
          <w:sz w:val="24"/>
          <w:szCs w:val="24"/>
        </w:rPr>
      </w:pPr>
      <w:r w:rsidRPr="004714C6">
        <w:rPr>
          <w:sz w:val="24"/>
          <w:szCs w:val="24"/>
        </w:rPr>
        <w:t>Hvid HDPE</w:t>
      </w:r>
      <w:r w:rsidRPr="004714C6">
        <w:rPr>
          <w:sz w:val="24"/>
          <w:szCs w:val="24"/>
        </w:rPr>
        <w:noBreakHyphen/>
        <w:t>beholder med silicagel tørremiddel i hætten (PP)</w:t>
      </w:r>
    </w:p>
    <w:p w14:paraId="17C097D2" w14:textId="77777777" w:rsidR="00A76826" w:rsidRPr="004714C6" w:rsidRDefault="00A76826" w:rsidP="0067357D">
      <w:pPr>
        <w:ind w:left="851"/>
        <w:rPr>
          <w:sz w:val="24"/>
          <w:szCs w:val="24"/>
        </w:rPr>
      </w:pPr>
      <w:r w:rsidRPr="004714C6">
        <w:rPr>
          <w:sz w:val="24"/>
          <w:szCs w:val="24"/>
        </w:rPr>
        <w:t>100 hårde kapsler.</w:t>
      </w:r>
    </w:p>
    <w:p w14:paraId="528D0E08" w14:textId="77777777" w:rsidR="00A76826" w:rsidRPr="004714C6" w:rsidRDefault="00A76826" w:rsidP="0067357D">
      <w:pPr>
        <w:ind w:left="851"/>
        <w:rPr>
          <w:sz w:val="24"/>
          <w:szCs w:val="24"/>
        </w:rPr>
      </w:pPr>
    </w:p>
    <w:p w14:paraId="08603256" w14:textId="77777777" w:rsidR="00A76826" w:rsidRPr="004714C6" w:rsidRDefault="00A76826" w:rsidP="0067357D">
      <w:pPr>
        <w:ind w:left="851"/>
        <w:rPr>
          <w:sz w:val="24"/>
          <w:szCs w:val="24"/>
        </w:rPr>
      </w:pPr>
      <w:r w:rsidRPr="004714C6">
        <w:rPr>
          <w:sz w:val="24"/>
          <w:szCs w:val="24"/>
        </w:rPr>
        <w:t>Ikke alle pakningsstørrelser er nødvendigvis markedsført.</w:t>
      </w:r>
    </w:p>
    <w:p w14:paraId="682BF6B8" w14:textId="77777777" w:rsidR="009260DE" w:rsidRPr="004714C6" w:rsidRDefault="009260DE" w:rsidP="009260DE">
      <w:pPr>
        <w:tabs>
          <w:tab w:val="left" w:pos="851"/>
        </w:tabs>
        <w:ind w:left="851"/>
        <w:rPr>
          <w:sz w:val="24"/>
          <w:szCs w:val="24"/>
        </w:rPr>
      </w:pPr>
    </w:p>
    <w:p w14:paraId="79A4EB46" w14:textId="77777777" w:rsidR="009260DE" w:rsidRPr="004714C6" w:rsidRDefault="009260DE" w:rsidP="009260DE">
      <w:pPr>
        <w:tabs>
          <w:tab w:val="left" w:pos="851"/>
        </w:tabs>
        <w:ind w:left="851" w:hanging="851"/>
        <w:rPr>
          <w:b/>
          <w:sz w:val="24"/>
          <w:szCs w:val="24"/>
        </w:rPr>
      </w:pPr>
      <w:r w:rsidRPr="004714C6">
        <w:rPr>
          <w:b/>
          <w:sz w:val="24"/>
          <w:szCs w:val="24"/>
        </w:rPr>
        <w:t>6.6</w:t>
      </w:r>
      <w:r w:rsidRPr="004714C6">
        <w:rPr>
          <w:b/>
          <w:sz w:val="24"/>
          <w:szCs w:val="24"/>
        </w:rPr>
        <w:tab/>
        <w:t xml:space="preserve">Regler for </w:t>
      </w:r>
      <w:r w:rsidR="00BD7931" w:rsidRPr="004714C6">
        <w:rPr>
          <w:b/>
          <w:sz w:val="24"/>
          <w:szCs w:val="24"/>
        </w:rPr>
        <w:t>bortskaffelse</w:t>
      </w:r>
      <w:r w:rsidRPr="004714C6">
        <w:rPr>
          <w:b/>
          <w:sz w:val="24"/>
          <w:szCs w:val="24"/>
        </w:rPr>
        <w:t xml:space="preserve"> og anden håndtering</w:t>
      </w:r>
    </w:p>
    <w:p w14:paraId="2E694F73" w14:textId="77777777" w:rsidR="00A76826" w:rsidRPr="004714C6" w:rsidRDefault="00A76826" w:rsidP="0067357D">
      <w:pPr>
        <w:ind w:left="851"/>
        <w:rPr>
          <w:sz w:val="24"/>
          <w:szCs w:val="24"/>
        </w:rPr>
      </w:pPr>
      <w:r w:rsidRPr="004714C6">
        <w:rPr>
          <w:sz w:val="24"/>
          <w:szCs w:val="24"/>
        </w:rPr>
        <w:t>Ikke anvendt lægemiddel samt affald heraf skal bortskaffes i henhold til lokale retningslinjer.</w:t>
      </w:r>
    </w:p>
    <w:p w14:paraId="0711D1CB" w14:textId="77777777" w:rsidR="009260DE" w:rsidRPr="004714C6" w:rsidRDefault="009260DE" w:rsidP="000730CA">
      <w:pPr>
        <w:tabs>
          <w:tab w:val="left" w:pos="851"/>
        </w:tabs>
        <w:ind w:left="851"/>
        <w:rPr>
          <w:sz w:val="24"/>
          <w:szCs w:val="24"/>
        </w:rPr>
      </w:pPr>
    </w:p>
    <w:p w14:paraId="51AA1117" w14:textId="77777777" w:rsidR="009260DE" w:rsidRPr="004714C6" w:rsidRDefault="009260DE" w:rsidP="009260DE">
      <w:pPr>
        <w:tabs>
          <w:tab w:val="left" w:pos="851"/>
        </w:tabs>
        <w:ind w:left="851" w:hanging="851"/>
        <w:rPr>
          <w:b/>
          <w:sz w:val="24"/>
          <w:szCs w:val="24"/>
        </w:rPr>
      </w:pPr>
      <w:r w:rsidRPr="004714C6">
        <w:rPr>
          <w:b/>
          <w:sz w:val="24"/>
          <w:szCs w:val="24"/>
        </w:rPr>
        <w:t>7.</w:t>
      </w:r>
      <w:r w:rsidRPr="004714C6">
        <w:rPr>
          <w:b/>
          <w:sz w:val="24"/>
          <w:szCs w:val="24"/>
        </w:rPr>
        <w:tab/>
        <w:t>INDEHAVER AF MARKEDSFØRINGSTILLADELSEN</w:t>
      </w:r>
    </w:p>
    <w:p w14:paraId="2F97249F" w14:textId="77777777" w:rsidR="00A76826" w:rsidRPr="004714C6" w:rsidRDefault="00A76826" w:rsidP="0067357D">
      <w:pPr>
        <w:ind w:left="851"/>
        <w:rPr>
          <w:sz w:val="24"/>
          <w:szCs w:val="24"/>
        </w:rPr>
      </w:pPr>
      <w:r w:rsidRPr="004714C6">
        <w:rPr>
          <w:sz w:val="24"/>
          <w:szCs w:val="24"/>
        </w:rPr>
        <w:t>Medical Valley Invest AB</w:t>
      </w:r>
    </w:p>
    <w:p w14:paraId="5464B8E8" w14:textId="77777777" w:rsidR="00A76826" w:rsidRPr="004714C6" w:rsidRDefault="00A76826" w:rsidP="0067357D">
      <w:pPr>
        <w:ind w:left="851"/>
        <w:rPr>
          <w:sz w:val="24"/>
          <w:szCs w:val="24"/>
        </w:rPr>
      </w:pPr>
      <w:r w:rsidRPr="004714C6">
        <w:rPr>
          <w:sz w:val="24"/>
          <w:szCs w:val="24"/>
        </w:rPr>
        <w:t>Brädgårdsvägen 28</w:t>
      </w:r>
    </w:p>
    <w:p w14:paraId="3716919F" w14:textId="77777777" w:rsidR="00A76826" w:rsidRPr="004714C6" w:rsidRDefault="00A76826" w:rsidP="0067357D">
      <w:pPr>
        <w:ind w:left="851"/>
        <w:rPr>
          <w:sz w:val="24"/>
          <w:szCs w:val="24"/>
        </w:rPr>
      </w:pPr>
      <w:r w:rsidRPr="004714C6">
        <w:rPr>
          <w:sz w:val="24"/>
          <w:szCs w:val="24"/>
        </w:rPr>
        <w:t>Höllviken, 236 32</w:t>
      </w:r>
    </w:p>
    <w:p w14:paraId="77DD4578" w14:textId="77777777" w:rsidR="00A76826" w:rsidRPr="004714C6" w:rsidRDefault="00A76826" w:rsidP="0067357D">
      <w:pPr>
        <w:ind w:left="851"/>
        <w:rPr>
          <w:sz w:val="24"/>
          <w:szCs w:val="24"/>
        </w:rPr>
      </w:pPr>
      <w:r w:rsidRPr="004714C6">
        <w:rPr>
          <w:sz w:val="24"/>
          <w:szCs w:val="24"/>
        </w:rPr>
        <w:t>Sverige</w:t>
      </w:r>
    </w:p>
    <w:p w14:paraId="02781EB2" w14:textId="77777777" w:rsidR="00641C65" w:rsidRPr="004714C6" w:rsidRDefault="00641C65" w:rsidP="009260DE">
      <w:pPr>
        <w:tabs>
          <w:tab w:val="left" w:pos="851"/>
        </w:tabs>
        <w:ind w:left="851"/>
        <w:rPr>
          <w:sz w:val="24"/>
          <w:szCs w:val="24"/>
        </w:rPr>
      </w:pPr>
    </w:p>
    <w:p w14:paraId="553E53DA" w14:textId="77777777" w:rsidR="009260DE" w:rsidRPr="004714C6" w:rsidRDefault="009260DE" w:rsidP="009260DE">
      <w:pPr>
        <w:tabs>
          <w:tab w:val="left" w:pos="851"/>
        </w:tabs>
        <w:ind w:left="851" w:hanging="851"/>
        <w:rPr>
          <w:b/>
          <w:sz w:val="24"/>
          <w:szCs w:val="24"/>
        </w:rPr>
      </w:pPr>
      <w:r w:rsidRPr="004714C6">
        <w:rPr>
          <w:b/>
          <w:sz w:val="24"/>
          <w:szCs w:val="24"/>
        </w:rPr>
        <w:t>8.</w:t>
      </w:r>
      <w:r w:rsidRPr="004714C6">
        <w:rPr>
          <w:b/>
          <w:sz w:val="24"/>
          <w:szCs w:val="24"/>
        </w:rPr>
        <w:tab/>
        <w:t>MARKEDSFØRINGSTILLADELSESNUMMER (</w:t>
      </w:r>
      <w:r w:rsidR="00BF6243" w:rsidRPr="004714C6">
        <w:rPr>
          <w:b/>
          <w:sz w:val="24"/>
          <w:szCs w:val="24"/>
        </w:rPr>
        <w:t>-</w:t>
      </w:r>
      <w:r w:rsidRPr="004714C6">
        <w:rPr>
          <w:b/>
          <w:sz w:val="24"/>
          <w:szCs w:val="24"/>
        </w:rPr>
        <w:t>NUMRE)</w:t>
      </w:r>
    </w:p>
    <w:p w14:paraId="5323AD16" w14:textId="4FB6CD4B" w:rsidR="009260DE" w:rsidRPr="004714C6" w:rsidRDefault="00A76826" w:rsidP="009260DE">
      <w:pPr>
        <w:tabs>
          <w:tab w:val="left" w:pos="851"/>
        </w:tabs>
        <w:ind w:left="851"/>
        <w:rPr>
          <w:sz w:val="24"/>
          <w:szCs w:val="24"/>
        </w:rPr>
      </w:pPr>
      <w:r w:rsidRPr="004714C6">
        <w:rPr>
          <w:sz w:val="24"/>
          <w:szCs w:val="24"/>
        </w:rPr>
        <w:t>67008</w:t>
      </w:r>
    </w:p>
    <w:p w14:paraId="1AB3FC23" w14:textId="77777777" w:rsidR="009260DE" w:rsidRPr="004714C6" w:rsidRDefault="009260DE" w:rsidP="009260DE">
      <w:pPr>
        <w:tabs>
          <w:tab w:val="left" w:pos="851"/>
        </w:tabs>
        <w:ind w:left="851"/>
        <w:jc w:val="both"/>
        <w:rPr>
          <w:sz w:val="24"/>
          <w:szCs w:val="24"/>
        </w:rPr>
      </w:pPr>
    </w:p>
    <w:p w14:paraId="05DC87B6" w14:textId="77777777" w:rsidR="009260DE" w:rsidRPr="004714C6" w:rsidRDefault="009260DE" w:rsidP="009260DE">
      <w:pPr>
        <w:tabs>
          <w:tab w:val="left" w:pos="851"/>
        </w:tabs>
        <w:ind w:left="851" w:hanging="851"/>
        <w:rPr>
          <w:b/>
          <w:sz w:val="24"/>
          <w:szCs w:val="24"/>
        </w:rPr>
      </w:pPr>
      <w:r w:rsidRPr="004714C6">
        <w:rPr>
          <w:b/>
          <w:sz w:val="24"/>
          <w:szCs w:val="24"/>
        </w:rPr>
        <w:t>9.</w:t>
      </w:r>
      <w:r w:rsidRPr="004714C6">
        <w:rPr>
          <w:b/>
          <w:sz w:val="24"/>
          <w:szCs w:val="24"/>
        </w:rPr>
        <w:tab/>
        <w:t>DATO FOR FØRSTE MARKEDSFØRINGSTILLADELSE</w:t>
      </w:r>
    </w:p>
    <w:p w14:paraId="784EFF0C" w14:textId="47F2F6A0" w:rsidR="009260DE" w:rsidRPr="004714C6" w:rsidRDefault="00DB2DAE" w:rsidP="009260DE">
      <w:pPr>
        <w:tabs>
          <w:tab w:val="left" w:pos="851"/>
        </w:tabs>
        <w:ind w:left="851"/>
        <w:rPr>
          <w:sz w:val="24"/>
          <w:szCs w:val="24"/>
        </w:rPr>
      </w:pPr>
      <w:r>
        <w:rPr>
          <w:sz w:val="24"/>
          <w:szCs w:val="24"/>
        </w:rPr>
        <w:t>25. november 2024</w:t>
      </w:r>
    </w:p>
    <w:p w14:paraId="099B5677" w14:textId="77777777" w:rsidR="009260DE" w:rsidRPr="004714C6" w:rsidRDefault="009260DE" w:rsidP="009260DE">
      <w:pPr>
        <w:tabs>
          <w:tab w:val="left" w:pos="851"/>
        </w:tabs>
        <w:ind w:left="851"/>
        <w:rPr>
          <w:sz w:val="24"/>
          <w:szCs w:val="24"/>
        </w:rPr>
      </w:pPr>
    </w:p>
    <w:p w14:paraId="2750C44F" w14:textId="77777777" w:rsidR="009260DE" w:rsidRPr="004714C6" w:rsidRDefault="009260DE" w:rsidP="009260DE">
      <w:pPr>
        <w:tabs>
          <w:tab w:val="left" w:pos="851"/>
        </w:tabs>
        <w:ind w:left="851" w:hanging="851"/>
        <w:rPr>
          <w:b/>
          <w:sz w:val="24"/>
          <w:szCs w:val="24"/>
        </w:rPr>
      </w:pPr>
      <w:r w:rsidRPr="004714C6">
        <w:rPr>
          <w:b/>
          <w:sz w:val="24"/>
          <w:szCs w:val="24"/>
        </w:rPr>
        <w:t>10.</w:t>
      </w:r>
      <w:r w:rsidRPr="004714C6">
        <w:rPr>
          <w:b/>
          <w:sz w:val="24"/>
          <w:szCs w:val="24"/>
        </w:rPr>
        <w:tab/>
        <w:t>DATO FOR ÆNDRING AF TEKSTEN</w:t>
      </w:r>
    </w:p>
    <w:p w14:paraId="6087E390" w14:textId="134D2D5C" w:rsidR="009260DE" w:rsidRPr="004714C6" w:rsidRDefault="00A76826" w:rsidP="009260DE">
      <w:pPr>
        <w:tabs>
          <w:tab w:val="left" w:pos="851"/>
        </w:tabs>
        <w:ind w:left="851"/>
        <w:rPr>
          <w:sz w:val="24"/>
          <w:szCs w:val="24"/>
        </w:rPr>
      </w:pPr>
      <w:r w:rsidRPr="004714C6">
        <w:rPr>
          <w:sz w:val="24"/>
          <w:szCs w:val="24"/>
        </w:rPr>
        <w:t>-</w:t>
      </w:r>
    </w:p>
    <w:sectPr w:rsidR="009260DE" w:rsidRPr="004714C6"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69A60E" w14:textId="77777777" w:rsidR="00647CA7" w:rsidRDefault="00647CA7">
      <w:r>
        <w:separator/>
      </w:r>
    </w:p>
  </w:endnote>
  <w:endnote w:type="continuationSeparator" w:id="0">
    <w:p w14:paraId="10AA05AE" w14:textId="77777777" w:rsidR="00647CA7" w:rsidRDefault="0064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Yu Mincho Light">
    <w:altName w:val="Yu Mincho Light"/>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MDL2 Assets">
    <w:panose1 w:val="050A0102010101010101"/>
    <w:charset w:val="00"/>
    <w:family w:val="roman"/>
    <w:pitch w:val="variable"/>
    <w:sig w:usb0="00000003" w:usb1="1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F81F4B" w14:textId="77777777" w:rsidR="00647CA7" w:rsidRDefault="00647CA7">
    <w:pPr>
      <w:pStyle w:val="Sidefod"/>
      <w:pBdr>
        <w:bottom w:val="single" w:sz="6" w:space="1" w:color="auto"/>
      </w:pBdr>
    </w:pPr>
  </w:p>
  <w:p w14:paraId="19D530CD" w14:textId="77777777" w:rsidR="00647CA7" w:rsidRDefault="00647CA7" w:rsidP="00C42586">
    <w:pPr>
      <w:pStyle w:val="Sidefod"/>
      <w:tabs>
        <w:tab w:val="clear" w:pos="4819"/>
        <w:tab w:val="left" w:pos="8505"/>
      </w:tabs>
      <w:rPr>
        <w:i/>
        <w:sz w:val="18"/>
        <w:szCs w:val="18"/>
      </w:rPr>
    </w:pPr>
  </w:p>
  <w:p w14:paraId="22BDF6ED" w14:textId="33D78D6C" w:rsidR="00647CA7" w:rsidRPr="00B373D7" w:rsidRDefault="00647CA7"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sidR="004714C6">
      <w:rPr>
        <w:i/>
        <w:noProof/>
        <w:sz w:val="18"/>
        <w:szCs w:val="18"/>
      </w:rPr>
      <w:t>Dabigatran etexilate Medical Valley, hårde kapsler 110 mg.docx</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9EA40" w14:textId="77777777" w:rsidR="00647CA7" w:rsidRDefault="00647CA7">
      <w:r>
        <w:separator/>
      </w:r>
    </w:p>
  </w:footnote>
  <w:footnote w:type="continuationSeparator" w:id="0">
    <w:p w14:paraId="4ECCFD85" w14:textId="77777777" w:rsidR="00647CA7" w:rsidRDefault="00647C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250A3C49"/>
    <w:multiLevelType w:val="hybridMultilevel"/>
    <w:tmpl w:val="1FB81EDE"/>
    <w:lvl w:ilvl="0" w:tplc="69DCAF48">
      <w:start w:val="1"/>
      <w:numFmt w:val="bullet"/>
      <w:lvlText w:val=""/>
      <w:lvlJc w:val="left"/>
      <w:pPr>
        <w:ind w:left="939" w:hanging="360"/>
      </w:pPr>
      <w:rPr>
        <w:rFonts w:ascii="Symbol" w:hAnsi="Symbol" w:hint="default"/>
      </w:rPr>
    </w:lvl>
    <w:lvl w:ilvl="1" w:tplc="DC36BB98">
      <w:start w:val="1"/>
      <w:numFmt w:val="bullet"/>
      <w:lvlText w:val="o"/>
      <w:lvlJc w:val="left"/>
      <w:pPr>
        <w:ind w:left="1659" w:hanging="360"/>
      </w:pPr>
      <w:rPr>
        <w:rFonts w:ascii="Courier New" w:hAnsi="Courier New" w:cs="Courier New" w:hint="default"/>
      </w:rPr>
    </w:lvl>
    <w:lvl w:ilvl="2" w:tplc="36E2EAF0">
      <w:start w:val="1"/>
      <w:numFmt w:val="bullet"/>
      <w:lvlText w:val=""/>
      <w:lvlJc w:val="left"/>
      <w:pPr>
        <w:ind w:left="2379" w:hanging="360"/>
      </w:pPr>
      <w:rPr>
        <w:rFonts w:ascii="Wingdings" w:hAnsi="Wingdings" w:hint="default"/>
      </w:rPr>
    </w:lvl>
    <w:lvl w:ilvl="3" w:tplc="B0B82436">
      <w:start w:val="1"/>
      <w:numFmt w:val="bullet"/>
      <w:lvlText w:val=""/>
      <w:lvlJc w:val="left"/>
      <w:pPr>
        <w:ind w:left="3099" w:hanging="360"/>
      </w:pPr>
      <w:rPr>
        <w:rFonts w:ascii="Symbol" w:hAnsi="Symbol" w:hint="default"/>
      </w:rPr>
    </w:lvl>
    <w:lvl w:ilvl="4" w:tplc="927C298C">
      <w:start w:val="1"/>
      <w:numFmt w:val="bullet"/>
      <w:lvlText w:val="o"/>
      <w:lvlJc w:val="left"/>
      <w:pPr>
        <w:ind w:left="3819" w:hanging="360"/>
      </w:pPr>
      <w:rPr>
        <w:rFonts w:ascii="Courier New" w:hAnsi="Courier New" w:cs="Courier New" w:hint="default"/>
      </w:rPr>
    </w:lvl>
    <w:lvl w:ilvl="5" w:tplc="23804BFE">
      <w:start w:val="1"/>
      <w:numFmt w:val="bullet"/>
      <w:lvlText w:val=""/>
      <w:lvlJc w:val="left"/>
      <w:pPr>
        <w:ind w:left="4539" w:hanging="360"/>
      </w:pPr>
      <w:rPr>
        <w:rFonts w:ascii="Wingdings" w:hAnsi="Wingdings" w:hint="default"/>
      </w:rPr>
    </w:lvl>
    <w:lvl w:ilvl="6" w:tplc="E536FCAC">
      <w:start w:val="1"/>
      <w:numFmt w:val="bullet"/>
      <w:lvlText w:val=""/>
      <w:lvlJc w:val="left"/>
      <w:pPr>
        <w:ind w:left="5259" w:hanging="360"/>
      </w:pPr>
      <w:rPr>
        <w:rFonts w:ascii="Symbol" w:hAnsi="Symbol" w:hint="default"/>
      </w:rPr>
    </w:lvl>
    <w:lvl w:ilvl="7" w:tplc="04DCA778">
      <w:start w:val="1"/>
      <w:numFmt w:val="bullet"/>
      <w:lvlText w:val="o"/>
      <w:lvlJc w:val="left"/>
      <w:pPr>
        <w:ind w:left="5979" w:hanging="360"/>
      </w:pPr>
      <w:rPr>
        <w:rFonts w:ascii="Courier New" w:hAnsi="Courier New" w:cs="Courier New" w:hint="default"/>
      </w:rPr>
    </w:lvl>
    <w:lvl w:ilvl="8" w:tplc="42F65D86">
      <w:start w:val="1"/>
      <w:numFmt w:val="bullet"/>
      <w:lvlText w:val=""/>
      <w:lvlJc w:val="left"/>
      <w:pPr>
        <w:ind w:left="6699"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39053FAE"/>
    <w:multiLevelType w:val="hybridMultilevel"/>
    <w:tmpl w:val="8AB49B42"/>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3E1314FF"/>
    <w:multiLevelType w:val="hybridMultilevel"/>
    <w:tmpl w:val="6660D49E"/>
    <w:lvl w:ilvl="0" w:tplc="D21C1348">
      <w:start w:val="1"/>
      <w:numFmt w:val="bullet"/>
      <w:lvlText w:val=""/>
      <w:lvlJc w:val="left"/>
      <w:pPr>
        <w:ind w:left="939" w:hanging="360"/>
      </w:pPr>
      <w:rPr>
        <w:rFonts w:ascii="Symbol" w:hAnsi="Symbol" w:hint="default"/>
      </w:rPr>
    </w:lvl>
    <w:lvl w:ilvl="1" w:tplc="2F4031A0">
      <w:start w:val="1"/>
      <w:numFmt w:val="bullet"/>
      <w:lvlText w:val="o"/>
      <w:lvlJc w:val="left"/>
      <w:pPr>
        <w:ind w:left="1659" w:hanging="360"/>
      </w:pPr>
      <w:rPr>
        <w:rFonts w:ascii="Courier New" w:hAnsi="Courier New" w:cs="Courier New" w:hint="default"/>
      </w:rPr>
    </w:lvl>
    <w:lvl w:ilvl="2" w:tplc="5296AD7A">
      <w:start w:val="1"/>
      <w:numFmt w:val="bullet"/>
      <w:lvlText w:val=""/>
      <w:lvlJc w:val="left"/>
      <w:pPr>
        <w:ind w:left="2379" w:hanging="360"/>
      </w:pPr>
      <w:rPr>
        <w:rFonts w:ascii="Wingdings" w:hAnsi="Wingdings" w:hint="default"/>
      </w:rPr>
    </w:lvl>
    <w:lvl w:ilvl="3" w:tplc="C064465A">
      <w:start w:val="1"/>
      <w:numFmt w:val="bullet"/>
      <w:lvlText w:val=""/>
      <w:lvlJc w:val="left"/>
      <w:pPr>
        <w:ind w:left="3099" w:hanging="360"/>
      </w:pPr>
      <w:rPr>
        <w:rFonts w:ascii="Symbol" w:hAnsi="Symbol" w:hint="default"/>
      </w:rPr>
    </w:lvl>
    <w:lvl w:ilvl="4" w:tplc="773E0A60">
      <w:start w:val="1"/>
      <w:numFmt w:val="bullet"/>
      <w:lvlText w:val="o"/>
      <w:lvlJc w:val="left"/>
      <w:pPr>
        <w:ind w:left="3819" w:hanging="360"/>
      </w:pPr>
      <w:rPr>
        <w:rFonts w:ascii="Courier New" w:hAnsi="Courier New" w:cs="Courier New" w:hint="default"/>
      </w:rPr>
    </w:lvl>
    <w:lvl w:ilvl="5" w:tplc="5426A67E">
      <w:start w:val="1"/>
      <w:numFmt w:val="bullet"/>
      <w:lvlText w:val=""/>
      <w:lvlJc w:val="left"/>
      <w:pPr>
        <w:ind w:left="4539" w:hanging="360"/>
      </w:pPr>
      <w:rPr>
        <w:rFonts w:ascii="Wingdings" w:hAnsi="Wingdings" w:hint="default"/>
      </w:rPr>
    </w:lvl>
    <w:lvl w:ilvl="6" w:tplc="D9F0632E">
      <w:start w:val="1"/>
      <w:numFmt w:val="bullet"/>
      <w:lvlText w:val=""/>
      <w:lvlJc w:val="left"/>
      <w:pPr>
        <w:ind w:left="5259" w:hanging="360"/>
      </w:pPr>
      <w:rPr>
        <w:rFonts w:ascii="Symbol" w:hAnsi="Symbol" w:hint="default"/>
      </w:rPr>
    </w:lvl>
    <w:lvl w:ilvl="7" w:tplc="6BB45ED0">
      <w:start w:val="1"/>
      <w:numFmt w:val="bullet"/>
      <w:lvlText w:val="o"/>
      <w:lvlJc w:val="left"/>
      <w:pPr>
        <w:ind w:left="5979" w:hanging="360"/>
      </w:pPr>
      <w:rPr>
        <w:rFonts w:ascii="Courier New" w:hAnsi="Courier New" w:cs="Courier New" w:hint="default"/>
      </w:rPr>
    </w:lvl>
    <w:lvl w:ilvl="8" w:tplc="E7D80EC0">
      <w:start w:val="1"/>
      <w:numFmt w:val="bullet"/>
      <w:lvlText w:val=""/>
      <w:lvlJc w:val="left"/>
      <w:pPr>
        <w:ind w:left="6699" w:hanging="360"/>
      </w:pPr>
      <w:rPr>
        <w:rFonts w:ascii="Wingdings" w:hAnsi="Wingdings" w:hint="default"/>
      </w:rPr>
    </w:lvl>
  </w:abstractNum>
  <w:abstractNum w:abstractNumId="6" w15:restartNumberingAfterBreak="0">
    <w:nsid w:val="403A2877"/>
    <w:multiLevelType w:val="hybridMultilevel"/>
    <w:tmpl w:val="4626B510"/>
    <w:lvl w:ilvl="0" w:tplc="BBF6661A">
      <w:start w:val="1"/>
      <w:numFmt w:val="bullet"/>
      <w:lvlText w:val=""/>
      <w:lvlJc w:val="left"/>
      <w:pPr>
        <w:ind w:left="720" w:hanging="360"/>
      </w:pPr>
      <w:rPr>
        <w:rFonts w:ascii="Symbol" w:hAnsi="Symbol" w:hint="default"/>
      </w:rPr>
    </w:lvl>
    <w:lvl w:ilvl="1" w:tplc="4BE4BA8C">
      <w:start w:val="1"/>
      <w:numFmt w:val="bullet"/>
      <w:lvlText w:val="o"/>
      <w:lvlJc w:val="left"/>
      <w:pPr>
        <w:ind w:left="1440" w:hanging="360"/>
      </w:pPr>
      <w:rPr>
        <w:rFonts w:ascii="Courier New" w:hAnsi="Courier New" w:cs="Courier New" w:hint="default"/>
      </w:rPr>
    </w:lvl>
    <w:lvl w:ilvl="2" w:tplc="FF74BAA8">
      <w:start w:val="1"/>
      <w:numFmt w:val="bullet"/>
      <w:lvlText w:val=""/>
      <w:lvlJc w:val="left"/>
      <w:pPr>
        <w:ind w:left="2160" w:hanging="360"/>
      </w:pPr>
      <w:rPr>
        <w:rFonts w:ascii="Wingdings" w:hAnsi="Wingdings" w:hint="default"/>
      </w:rPr>
    </w:lvl>
    <w:lvl w:ilvl="3" w:tplc="5DD640D2">
      <w:start w:val="1"/>
      <w:numFmt w:val="bullet"/>
      <w:lvlText w:val=""/>
      <w:lvlJc w:val="left"/>
      <w:pPr>
        <w:ind w:left="2880" w:hanging="360"/>
      </w:pPr>
      <w:rPr>
        <w:rFonts w:ascii="Symbol" w:hAnsi="Symbol" w:hint="default"/>
      </w:rPr>
    </w:lvl>
    <w:lvl w:ilvl="4" w:tplc="4DD8EDB6">
      <w:start w:val="1"/>
      <w:numFmt w:val="bullet"/>
      <w:lvlText w:val="o"/>
      <w:lvlJc w:val="left"/>
      <w:pPr>
        <w:ind w:left="3600" w:hanging="360"/>
      </w:pPr>
      <w:rPr>
        <w:rFonts w:ascii="Courier New" w:hAnsi="Courier New" w:cs="Courier New" w:hint="default"/>
      </w:rPr>
    </w:lvl>
    <w:lvl w:ilvl="5" w:tplc="0778FB8C">
      <w:start w:val="1"/>
      <w:numFmt w:val="bullet"/>
      <w:lvlText w:val=""/>
      <w:lvlJc w:val="left"/>
      <w:pPr>
        <w:ind w:left="4320" w:hanging="360"/>
      </w:pPr>
      <w:rPr>
        <w:rFonts w:ascii="Wingdings" w:hAnsi="Wingdings" w:hint="default"/>
      </w:rPr>
    </w:lvl>
    <w:lvl w:ilvl="6" w:tplc="BF5E159C">
      <w:start w:val="1"/>
      <w:numFmt w:val="bullet"/>
      <w:lvlText w:val=""/>
      <w:lvlJc w:val="left"/>
      <w:pPr>
        <w:ind w:left="5040" w:hanging="360"/>
      </w:pPr>
      <w:rPr>
        <w:rFonts w:ascii="Symbol" w:hAnsi="Symbol" w:hint="default"/>
      </w:rPr>
    </w:lvl>
    <w:lvl w:ilvl="7" w:tplc="6458E998">
      <w:start w:val="1"/>
      <w:numFmt w:val="bullet"/>
      <w:lvlText w:val="o"/>
      <w:lvlJc w:val="left"/>
      <w:pPr>
        <w:ind w:left="5760" w:hanging="360"/>
      </w:pPr>
      <w:rPr>
        <w:rFonts w:ascii="Courier New" w:hAnsi="Courier New" w:cs="Courier New" w:hint="default"/>
      </w:rPr>
    </w:lvl>
    <w:lvl w:ilvl="8" w:tplc="0B12233E">
      <w:start w:val="1"/>
      <w:numFmt w:val="bullet"/>
      <w:lvlText w:val=""/>
      <w:lvlJc w:val="left"/>
      <w:pPr>
        <w:ind w:left="6480" w:hanging="360"/>
      </w:pPr>
      <w:rPr>
        <w:rFonts w:ascii="Wingdings" w:hAnsi="Wingdings" w:hint="default"/>
      </w:r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4BCB744D"/>
    <w:multiLevelType w:val="hybridMultilevel"/>
    <w:tmpl w:val="02D036A8"/>
    <w:lvl w:ilvl="0" w:tplc="8C8C7746">
      <w:start w:val="1"/>
      <w:numFmt w:val="bullet"/>
      <w:lvlText w:val=""/>
      <w:lvlJc w:val="left"/>
      <w:pPr>
        <w:ind w:left="938" w:hanging="360"/>
      </w:pPr>
      <w:rPr>
        <w:rFonts w:ascii="Symbol" w:hAnsi="Symbol" w:hint="default"/>
      </w:rPr>
    </w:lvl>
    <w:lvl w:ilvl="1" w:tplc="590A60DA">
      <w:start w:val="1"/>
      <w:numFmt w:val="bullet"/>
      <w:lvlText w:val="o"/>
      <w:lvlJc w:val="left"/>
      <w:pPr>
        <w:ind w:left="1658" w:hanging="360"/>
      </w:pPr>
      <w:rPr>
        <w:rFonts w:ascii="Courier New" w:hAnsi="Courier New" w:cs="Courier New" w:hint="default"/>
      </w:rPr>
    </w:lvl>
    <w:lvl w:ilvl="2" w:tplc="1258FB0E">
      <w:start w:val="1"/>
      <w:numFmt w:val="bullet"/>
      <w:lvlText w:val=""/>
      <w:lvlJc w:val="left"/>
      <w:pPr>
        <w:ind w:left="2378" w:hanging="360"/>
      </w:pPr>
      <w:rPr>
        <w:rFonts w:ascii="Wingdings" w:hAnsi="Wingdings" w:hint="default"/>
      </w:rPr>
    </w:lvl>
    <w:lvl w:ilvl="3" w:tplc="F26EE8A8">
      <w:start w:val="1"/>
      <w:numFmt w:val="bullet"/>
      <w:lvlText w:val=""/>
      <w:lvlJc w:val="left"/>
      <w:pPr>
        <w:ind w:left="3098" w:hanging="360"/>
      </w:pPr>
      <w:rPr>
        <w:rFonts w:ascii="Symbol" w:hAnsi="Symbol" w:hint="default"/>
      </w:rPr>
    </w:lvl>
    <w:lvl w:ilvl="4" w:tplc="05B2D3D0">
      <w:start w:val="1"/>
      <w:numFmt w:val="bullet"/>
      <w:lvlText w:val="o"/>
      <w:lvlJc w:val="left"/>
      <w:pPr>
        <w:ind w:left="3818" w:hanging="360"/>
      </w:pPr>
      <w:rPr>
        <w:rFonts w:ascii="Courier New" w:hAnsi="Courier New" w:cs="Courier New" w:hint="default"/>
      </w:rPr>
    </w:lvl>
    <w:lvl w:ilvl="5" w:tplc="613A779E">
      <w:start w:val="1"/>
      <w:numFmt w:val="bullet"/>
      <w:lvlText w:val=""/>
      <w:lvlJc w:val="left"/>
      <w:pPr>
        <w:ind w:left="4538" w:hanging="360"/>
      </w:pPr>
      <w:rPr>
        <w:rFonts w:ascii="Wingdings" w:hAnsi="Wingdings" w:hint="default"/>
      </w:rPr>
    </w:lvl>
    <w:lvl w:ilvl="6" w:tplc="70669214">
      <w:start w:val="1"/>
      <w:numFmt w:val="bullet"/>
      <w:lvlText w:val=""/>
      <w:lvlJc w:val="left"/>
      <w:pPr>
        <w:ind w:left="5258" w:hanging="360"/>
      </w:pPr>
      <w:rPr>
        <w:rFonts w:ascii="Symbol" w:hAnsi="Symbol" w:hint="default"/>
      </w:rPr>
    </w:lvl>
    <w:lvl w:ilvl="7" w:tplc="7B18E4BA">
      <w:start w:val="1"/>
      <w:numFmt w:val="bullet"/>
      <w:lvlText w:val="o"/>
      <w:lvlJc w:val="left"/>
      <w:pPr>
        <w:ind w:left="5978" w:hanging="360"/>
      </w:pPr>
      <w:rPr>
        <w:rFonts w:ascii="Courier New" w:hAnsi="Courier New" w:cs="Courier New" w:hint="default"/>
      </w:rPr>
    </w:lvl>
    <w:lvl w:ilvl="8" w:tplc="74CE894E">
      <w:start w:val="1"/>
      <w:numFmt w:val="bullet"/>
      <w:lvlText w:val=""/>
      <w:lvlJc w:val="left"/>
      <w:pPr>
        <w:ind w:left="6698"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8D247A0"/>
    <w:multiLevelType w:val="hybridMultilevel"/>
    <w:tmpl w:val="07524C88"/>
    <w:lvl w:ilvl="0" w:tplc="E6E0E006">
      <w:start w:val="1"/>
      <w:numFmt w:val="bullet"/>
      <w:lvlText w:val="-"/>
      <w:lvlJc w:val="left"/>
      <w:pPr>
        <w:ind w:left="720" w:hanging="360"/>
      </w:pPr>
      <w:rPr>
        <w:rFonts w:ascii="Yu Mincho Light" w:eastAsia="Yu Mincho Light" w:hAnsi="Yu Mincho Light" w:hint="eastAsia"/>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D4838F2"/>
    <w:multiLevelType w:val="hybridMultilevel"/>
    <w:tmpl w:val="DBE690DE"/>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12" w15:restartNumberingAfterBreak="0">
    <w:nsid w:val="6F9168EC"/>
    <w:multiLevelType w:val="hybridMultilevel"/>
    <w:tmpl w:val="C10A19F4"/>
    <w:lvl w:ilvl="0" w:tplc="D6227564">
      <w:start w:val="1"/>
      <w:numFmt w:val="bullet"/>
      <w:lvlText w:val=""/>
      <w:lvlJc w:val="left"/>
      <w:pPr>
        <w:ind w:left="720" w:hanging="360"/>
      </w:pPr>
      <w:rPr>
        <w:rFonts w:ascii="Symbol" w:hAnsi="Symbol" w:hint="default"/>
      </w:rPr>
    </w:lvl>
    <w:lvl w:ilvl="1" w:tplc="E1D07508">
      <w:start w:val="1"/>
      <w:numFmt w:val="bullet"/>
      <w:lvlText w:val="o"/>
      <w:lvlJc w:val="left"/>
      <w:pPr>
        <w:ind w:left="1440" w:hanging="360"/>
      </w:pPr>
      <w:rPr>
        <w:rFonts w:ascii="Courier New" w:hAnsi="Courier New" w:cs="Courier New" w:hint="default"/>
      </w:rPr>
    </w:lvl>
    <w:lvl w:ilvl="2" w:tplc="5826239C">
      <w:start w:val="1"/>
      <w:numFmt w:val="bullet"/>
      <w:lvlText w:val=""/>
      <w:lvlJc w:val="left"/>
      <w:pPr>
        <w:ind w:left="2160" w:hanging="360"/>
      </w:pPr>
      <w:rPr>
        <w:rFonts w:ascii="Wingdings" w:hAnsi="Wingdings" w:hint="default"/>
      </w:rPr>
    </w:lvl>
    <w:lvl w:ilvl="3" w:tplc="74BAA402">
      <w:start w:val="1"/>
      <w:numFmt w:val="bullet"/>
      <w:lvlText w:val=""/>
      <w:lvlJc w:val="left"/>
      <w:pPr>
        <w:ind w:left="2880" w:hanging="360"/>
      </w:pPr>
      <w:rPr>
        <w:rFonts w:ascii="Symbol" w:hAnsi="Symbol" w:hint="default"/>
      </w:rPr>
    </w:lvl>
    <w:lvl w:ilvl="4" w:tplc="4950F7D2">
      <w:start w:val="1"/>
      <w:numFmt w:val="bullet"/>
      <w:lvlText w:val="o"/>
      <w:lvlJc w:val="left"/>
      <w:pPr>
        <w:ind w:left="3600" w:hanging="360"/>
      </w:pPr>
      <w:rPr>
        <w:rFonts w:ascii="Courier New" w:hAnsi="Courier New" w:cs="Courier New" w:hint="default"/>
      </w:rPr>
    </w:lvl>
    <w:lvl w:ilvl="5" w:tplc="F3664A5E">
      <w:start w:val="1"/>
      <w:numFmt w:val="bullet"/>
      <w:lvlText w:val=""/>
      <w:lvlJc w:val="left"/>
      <w:pPr>
        <w:ind w:left="4320" w:hanging="360"/>
      </w:pPr>
      <w:rPr>
        <w:rFonts w:ascii="Wingdings" w:hAnsi="Wingdings" w:hint="default"/>
      </w:rPr>
    </w:lvl>
    <w:lvl w:ilvl="6" w:tplc="628CFE32">
      <w:start w:val="1"/>
      <w:numFmt w:val="bullet"/>
      <w:lvlText w:val=""/>
      <w:lvlJc w:val="left"/>
      <w:pPr>
        <w:ind w:left="5040" w:hanging="360"/>
      </w:pPr>
      <w:rPr>
        <w:rFonts w:ascii="Symbol" w:hAnsi="Symbol" w:hint="default"/>
      </w:rPr>
    </w:lvl>
    <w:lvl w:ilvl="7" w:tplc="657CA266">
      <w:start w:val="1"/>
      <w:numFmt w:val="bullet"/>
      <w:lvlText w:val="o"/>
      <w:lvlJc w:val="left"/>
      <w:pPr>
        <w:ind w:left="5760" w:hanging="360"/>
      </w:pPr>
      <w:rPr>
        <w:rFonts w:ascii="Courier New" w:hAnsi="Courier New" w:cs="Courier New" w:hint="default"/>
      </w:rPr>
    </w:lvl>
    <w:lvl w:ilvl="8" w:tplc="8E501194">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5"/>
  </w:num>
  <w:num w:numId="8">
    <w:abstractNumId w:val="1"/>
  </w:num>
  <w:num w:numId="9">
    <w:abstractNumId w:val="8"/>
  </w:num>
  <w:num w:numId="10">
    <w:abstractNumId w:val="6"/>
  </w:num>
  <w:num w:numId="11">
    <w:abstractNumId w:val="10"/>
  </w:num>
  <w:num w:numId="12">
    <w:abstractNumId w:val="1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5BD"/>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30AD"/>
    <w:rsid w:val="002C1EC0"/>
    <w:rsid w:val="002C2C01"/>
    <w:rsid w:val="00326117"/>
    <w:rsid w:val="003A29AE"/>
    <w:rsid w:val="003A32D7"/>
    <w:rsid w:val="003B4074"/>
    <w:rsid w:val="003C769A"/>
    <w:rsid w:val="003D3A90"/>
    <w:rsid w:val="003E2658"/>
    <w:rsid w:val="003F1838"/>
    <w:rsid w:val="004251C1"/>
    <w:rsid w:val="0045746C"/>
    <w:rsid w:val="004714C6"/>
    <w:rsid w:val="004760BA"/>
    <w:rsid w:val="0049104B"/>
    <w:rsid w:val="004E3B12"/>
    <w:rsid w:val="00532310"/>
    <w:rsid w:val="00565F0F"/>
    <w:rsid w:val="00570E29"/>
    <w:rsid w:val="00594A86"/>
    <w:rsid w:val="00596D86"/>
    <w:rsid w:val="00637F5A"/>
    <w:rsid w:val="00641C65"/>
    <w:rsid w:val="00647CA7"/>
    <w:rsid w:val="006560B1"/>
    <w:rsid w:val="0067357D"/>
    <w:rsid w:val="006756DD"/>
    <w:rsid w:val="0071241E"/>
    <w:rsid w:val="0072235D"/>
    <w:rsid w:val="00737275"/>
    <w:rsid w:val="00740EEC"/>
    <w:rsid w:val="0078011A"/>
    <w:rsid w:val="00782AF4"/>
    <w:rsid w:val="00790EE7"/>
    <w:rsid w:val="007925BD"/>
    <w:rsid w:val="007B6649"/>
    <w:rsid w:val="0082576E"/>
    <w:rsid w:val="00890051"/>
    <w:rsid w:val="0089346F"/>
    <w:rsid w:val="008D0E84"/>
    <w:rsid w:val="00907F75"/>
    <w:rsid w:val="009156D1"/>
    <w:rsid w:val="009260DE"/>
    <w:rsid w:val="0093258A"/>
    <w:rsid w:val="009C7BA3"/>
    <w:rsid w:val="009D1F5A"/>
    <w:rsid w:val="00A10294"/>
    <w:rsid w:val="00A76826"/>
    <w:rsid w:val="00B003BF"/>
    <w:rsid w:val="00B373D7"/>
    <w:rsid w:val="00B55271"/>
    <w:rsid w:val="00BD7931"/>
    <w:rsid w:val="00BF6243"/>
    <w:rsid w:val="00C36276"/>
    <w:rsid w:val="00C42586"/>
    <w:rsid w:val="00C45F6B"/>
    <w:rsid w:val="00C60CCD"/>
    <w:rsid w:val="00C84483"/>
    <w:rsid w:val="00C95551"/>
    <w:rsid w:val="00CB20D7"/>
    <w:rsid w:val="00D020B0"/>
    <w:rsid w:val="00D11748"/>
    <w:rsid w:val="00D237F6"/>
    <w:rsid w:val="00D34D98"/>
    <w:rsid w:val="00D366CF"/>
    <w:rsid w:val="00D93992"/>
    <w:rsid w:val="00DB2DAE"/>
    <w:rsid w:val="00DC3FBF"/>
    <w:rsid w:val="00E108AA"/>
    <w:rsid w:val="00E3749A"/>
    <w:rsid w:val="00E7437F"/>
    <w:rsid w:val="00E865B8"/>
    <w:rsid w:val="00EC0B9B"/>
    <w:rsid w:val="00ED5E9F"/>
    <w:rsid w:val="00F66D4F"/>
    <w:rsid w:val="00F93262"/>
    <w:rsid w:val="00FB1743"/>
    <w:rsid w:val="00FB1973"/>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561CA"/>
  <w15:chartTrackingRefBased/>
  <w15:docId w15:val="{65ACAC46-8D49-49C8-9A82-7469B77EE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customStyle="1" w:styleId="TableParagraph">
    <w:name w:val="Table Paragraph"/>
    <w:basedOn w:val="Normal"/>
    <w:uiPriority w:val="1"/>
    <w:qFormat/>
    <w:rsid w:val="00A76826"/>
    <w:pPr>
      <w:widowControl w:val="0"/>
      <w:autoSpaceDE w:val="0"/>
      <w:autoSpaceDN w:val="0"/>
      <w:spacing w:line="234" w:lineRule="exact"/>
      <w:ind w:left="107"/>
    </w:pPr>
    <w:rPr>
      <w:sz w:val="22"/>
      <w:szCs w:val="22"/>
      <w:lang w:val="en-GB"/>
    </w:rPr>
  </w:style>
  <w:style w:type="character" w:styleId="Hyperlink">
    <w:name w:val="Hyperlink"/>
    <w:semiHidden/>
    <w:unhideWhenUsed/>
    <w:rsid w:val="00A76826"/>
    <w:rPr>
      <w:color w:val="0000FF"/>
      <w:u w:val="single"/>
    </w:rPr>
  </w:style>
  <w:style w:type="paragraph" w:styleId="Listeafsnit">
    <w:name w:val="List Paragraph"/>
    <w:basedOn w:val="Normal"/>
    <w:uiPriority w:val="34"/>
    <w:qFormat/>
    <w:rsid w:val="00A76826"/>
    <w:pPr>
      <w:tabs>
        <w:tab w:val="left" w:pos="567"/>
      </w:tabs>
      <w:spacing w:line="260" w:lineRule="exact"/>
      <w:ind w:left="720"/>
    </w:pPr>
    <w:rPr>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17787">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229927200">
      <w:bodyDiv w:val="1"/>
      <w:marLeft w:val="0"/>
      <w:marRight w:val="0"/>
      <w:marTop w:val="0"/>
      <w:marBottom w:val="0"/>
      <w:divBdr>
        <w:top w:val="none" w:sz="0" w:space="0" w:color="auto"/>
        <w:left w:val="none" w:sz="0" w:space="0" w:color="auto"/>
        <w:bottom w:val="none" w:sz="0" w:space="0" w:color="auto"/>
        <w:right w:val="none" w:sz="0" w:space="0" w:color="auto"/>
      </w:divBdr>
    </w:div>
    <w:div w:id="553810337">
      <w:bodyDiv w:val="1"/>
      <w:marLeft w:val="0"/>
      <w:marRight w:val="0"/>
      <w:marTop w:val="0"/>
      <w:marBottom w:val="0"/>
      <w:divBdr>
        <w:top w:val="none" w:sz="0" w:space="0" w:color="auto"/>
        <w:left w:val="none" w:sz="0" w:space="0" w:color="auto"/>
        <w:bottom w:val="none" w:sz="0" w:space="0" w:color="auto"/>
        <w:right w:val="none" w:sz="0" w:space="0" w:color="auto"/>
      </w:divBdr>
    </w:div>
    <w:div w:id="561016126">
      <w:bodyDiv w:val="1"/>
      <w:marLeft w:val="0"/>
      <w:marRight w:val="0"/>
      <w:marTop w:val="0"/>
      <w:marBottom w:val="0"/>
      <w:divBdr>
        <w:top w:val="none" w:sz="0" w:space="0" w:color="auto"/>
        <w:left w:val="none" w:sz="0" w:space="0" w:color="auto"/>
        <w:bottom w:val="none" w:sz="0" w:space="0" w:color="auto"/>
        <w:right w:val="none" w:sz="0" w:space="0" w:color="auto"/>
      </w:divBdr>
    </w:div>
    <w:div w:id="592595029">
      <w:bodyDiv w:val="1"/>
      <w:marLeft w:val="0"/>
      <w:marRight w:val="0"/>
      <w:marTop w:val="0"/>
      <w:marBottom w:val="0"/>
      <w:divBdr>
        <w:top w:val="none" w:sz="0" w:space="0" w:color="auto"/>
        <w:left w:val="none" w:sz="0" w:space="0" w:color="auto"/>
        <w:bottom w:val="none" w:sz="0" w:space="0" w:color="auto"/>
        <w:right w:val="none" w:sz="0" w:space="0" w:color="auto"/>
      </w:divBdr>
    </w:div>
    <w:div w:id="634258213">
      <w:bodyDiv w:val="1"/>
      <w:marLeft w:val="0"/>
      <w:marRight w:val="0"/>
      <w:marTop w:val="0"/>
      <w:marBottom w:val="0"/>
      <w:divBdr>
        <w:top w:val="none" w:sz="0" w:space="0" w:color="auto"/>
        <w:left w:val="none" w:sz="0" w:space="0" w:color="auto"/>
        <w:bottom w:val="none" w:sz="0" w:space="0" w:color="auto"/>
        <w:right w:val="none" w:sz="0" w:space="0" w:color="auto"/>
      </w:divBdr>
    </w:div>
    <w:div w:id="738987640">
      <w:bodyDiv w:val="1"/>
      <w:marLeft w:val="0"/>
      <w:marRight w:val="0"/>
      <w:marTop w:val="0"/>
      <w:marBottom w:val="0"/>
      <w:divBdr>
        <w:top w:val="none" w:sz="0" w:space="0" w:color="auto"/>
        <w:left w:val="none" w:sz="0" w:space="0" w:color="auto"/>
        <w:bottom w:val="none" w:sz="0" w:space="0" w:color="auto"/>
        <w:right w:val="none" w:sz="0" w:space="0" w:color="auto"/>
      </w:divBdr>
    </w:div>
    <w:div w:id="765465650">
      <w:bodyDiv w:val="1"/>
      <w:marLeft w:val="0"/>
      <w:marRight w:val="0"/>
      <w:marTop w:val="0"/>
      <w:marBottom w:val="0"/>
      <w:divBdr>
        <w:top w:val="none" w:sz="0" w:space="0" w:color="auto"/>
        <w:left w:val="none" w:sz="0" w:space="0" w:color="auto"/>
        <w:bottom w:val="none" w:sz="0" w:space="0" w:color="auto"/>
        <w:right w:val="none" w:sz="0" w:space="0" w:color="auto"/>
      </w:divBdr>
    </w:div>
    <w:div w:id="944925335">
      <w:bodyDiv w:val="1"/>
      <w:marLeft w:val="0"/>
      <w:marRight w:val="0"/>
      <w:marTop w:val="0"/>
      <w:marBottom w:val="0"/>
      <w:divBdr>
        <w:top w:val="none" w:sz="0" w:space="0" w:color="auto"/>
        <w:left w:val="none" w:sz="0" w:space="0" w:color="auto"/>
        <w:bottom w:val="none" w:sz="0" w:space="0" w:color="auto"/>
        <w:right w:val="none" w:sz="0" w:space="0" w:color="auto"/>
      </w:divBdr>
    </w:div>
    <w:div w:id="1016226800">
      <w:bodyDiv w:val="1"/>
      <w:marLeft w:val="0"/>
      <w:marRight w:val="0"/>
      <w:marTop w:val="0"/>
      <w:marBottom w:val="0"/>
      <w:divBdr>
        <w:top w:val="none" w:sz="0" w:space="0" w:color="auto"/>
        <w:left w:val="none" w:sz="0" w:space="0" w:color="auto"/>
        <w:bottom w:val="none" w:sz="0" w:space="0" w:color="auto"/>
        <w:right w:val="none" w:sz="0" w:space="0" w:color="auto"/>
      </w:divBdr>
    </w:div>
    <w:div w:id="1334379256">
      <w:bodyDiv w:val="1"/>
      <w:marLeft w:val="0"/>
      <w:marRight w:val="0"/>
      <w:marTop w:val="0"/>
      <w:marBottom w:val="0"/>
      <w:divBdr>
        <w:top w:val="none" w:sz="0" w:space="0" w:color="auto"/>
        <w:left w:val="none" w:sz="0" w:space="0" w:color="auto"/>
        <w:bottom w:val="none" w:sz="0" w:space="0" w:color="auto"/>
        <w:right w:val="none" w:sz="0" w:space="0" w:color="auto"/>
      </w:divBdr>
    </w:div>
    <w:div w:id="1361396605">
      <w:bodyDiv w:val="1"/>
      <w:marLeft w:val="0"/>
      <w:marRight w:val="0"/>
      <w:marTop w:val="0"/>
      <w:marBottom w:val="0"/>
      <w:divBdr>
        <w:top w:val="none" w:sz="0" w:space="0" w:color="auto"/>
        <w:left w:val="none" w:sz="0" w:space="0" w:color="auto"/>
        <w:bottom w:val="none" w:sz="0" w:space="0" w:color="auto"/>
        <w:right w:val="none" w:sz="0" w:space="0" w:color="auto"/>
      </w:divBdr>
    </w:div>
    <w:div w:id="1481314060">
      <w:bodyDiv w:val="1"/>
      <w:marLeft w:val="0"/>
      <w:marRight w:val="0"/>
      <w:marTop w:val="0"/>
      <w:marBottom w:val="0"/>
      <w:divBdr>
        <w:top w:val="none" w:sz="0" w:space="0" w:color="auto"/>
        <w:left w:val="none" w:sz="0" w:space="0" w:color="auto"/>
        <w:bottom w:val="none" w:sz="0" w:space="0" w:color="auto"/>
        <w:right w:val="none" w:sz="0" w:space="0" w:color="auto"/>
      </w:divBdr>
    </w:div>
    <w:div w:id="1489907282">
      <w:bodyDiv w:val="1"/>
      <w:marLeft w:val="0"/>
      <w:marRight w:val="0"/>
      <w:marTop w:val="0"/>
      <w:marBottom w:val="0"/>
      <w:divBdr>
        <w:top w:val="none" w:sz="0" w:space="0" w:color="auto"/>
        <w:left w:val="none" w:sz="0" w:space="0" w:color="auto"/>
        <w:bottom w:val="none" w:sz="0" w:space="0" w:color="auto"/>
        <w:right w:val="none" w:sz="0" w:space="0" w:color="auto"/>
      </w:divBdr>
    </w:div>
    <w:div w:id="1547445497">
      <w:bodyDiv w:val="1"/>
      <w:marLeft w:val="0"/>
      <w:marRight w:val="0"/>
      <w:marTop w:val="0"/>
      <w:marBottom w:val="0"/>
      <w:divBdr>
        <w:top w:val="none" w:sz="0" w:space="0" w:color="auto"/>
        <w:left w:val="none" w:sz="0" w:space="0" w:color="auto"/>
        <w:bottom w:val="none" w:sz="0" w:space="0" w:color="auto"/>
        <w:right w:val="none" w:sz="0" w:space="0" w:color="auto"/>
      </w:divBdr>
    </w:div>
    <w:div w:id="1621108446">
      <w:bodyDiv w:val="1"/>
      <w:marLeft w:val="0"/>
      <w:marRight w:val="0"/>
      <w:marTop w:val="0"/>
      <w:marBottom w:val="0"/>
      <w:divBdr>
        <w:top w:val="none" w:sz="0" w:space="0" w:color="auto"/>
        <w:left w:val="none" w:sz="0" w:space="0" w:color="auto"/>
        <w:bottom w:val="none" w:sz="0" w:space="0" w:color="auto"/>
        <w:right w:val="none" w:sz="0" w:space="0" w:color="auto"/>
      </w:divBdr>
    </w:div>
    <w:div w:id="1721827730">
      <w:bodyDiv w:val="1"/>
      <w:marLeft w:val="0"/>
      <w:marRight w:val="0"/>
      <w:marTop w:val="0"/>
      <w:marBottom w:val="0"/>
      <w:divBdr>
        <w:top w:val="none" w:sz="0" w:space="0" w:color="auto"/>
        <w:left w:val="none" w:sz="0" w:space="0" w:color="auto"/>
        <w:bottom w:val="none" w:sz="0" w:space="0" w:color="auto"/>
        <w:right w:val="none" w:sz="0" w:space="0" w:color="auto"/>
      </w:divBdr>
    </w:div>
    <w:div w:id="1778089818">
      <w:bodyDiv w:val="1"/>
      <w:marLeft w:val="0"/>
      <w:marRight w:val="0"/>
      <w:marTop w:val="0"/>
      <w:marBottom w:val="0"/>
      <w:divBdr>
        <w:top w:val="none" w:sz="0" w:space="0" w:color="auto"/>
        <w:left w:val="none" w:sz="0" w:space="0" w:color="auto"/>
        <w:bottom w:val="none" w:sz="0" w:space="0" w:color="auto"/>
        <w:right w:val="none" w:sz="0" w:space="0" w:color="auto"/>
      </w:divBdr>
    </w:div>
    <w:div w:id="1830289887">
      <w:bodyDiv w:val="1"/>
      <w:marLeft w:val="0"/>
      <w:marRight w:val="0"/>
      <w:marTop w:val="0"/>
      <w:marBottom w:val="0"/>
      <w:divBdr>
        <w:top w:val="none" w:sz="0" w:space="0" w:color="auto"/>
        <w:left w:val="none" w:sz="0" w:space="0" w:color="auto"/>
        <w:bottom w:val="none" w:sz="0" w:space="0" w:color="auto"/>
        <w:right w:val="none" w:sz="0" w:space="0" w:color="auto"/>
      </w:divBdr>
    </w:div>
    <w:div w:id="1979610578">
      <w:bodyDiv w:val="1"/>
      <w:marLeft w:val="0"/>
      <w:marRight w:val="0"/>
      <w:marTop w:val="0"/>
      <w:marBottom w:val="0"/>
      <w:divBdr>
        <w:top w:val="none" w:sz="0" w:space="0" w:color="auto"/>
        <w:left w:val="none" w:sz="0" w:space="0" w:color="auto"/>
        <w:bottom w:val="none" w:sz="0" w:space="0" w:color="auto"/>
        <w:right w:val="none" w:sz="0" w:space="0" w:color="auto"/>
      </w:divBdr>
    </w:div>
    <w:div w:id="2100708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56</TotalTime>
  <Pages>49</Pages>
  <Words>16164</Words>
  <Characters>101689</Characters>
  <Application>Microsoft Office Word</Application>
  <DocSecurity>0</DocSecurity>
  <Lines>847</Lines>
  <Paragraphs>235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2021111828, MT</dc:description>
  <cp:lastModifiedBy>Gitte Jørgensen</cp:lastModifiedBy>
  <cp:revision>17</cp:revision>
  <cp:lastPrinted>2012-08-22T08:53:00Z</cp:lastPrinted>
  <dcterms:created xsi:type="dcterms:W3CDTF">2024-11-22T10:02:00Z</dcterms:created>
  <dcterms:modified xsi:type="dcterms:W3CDTF">2024-11-25T11:19:00Z</dcterms:modified>
</cp:coreProperties>
</file>