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E3106" w14:textId="77777777" w:rsidR="009260DE" w:rsidRPr="008F49E1" w:rsidRDefault="0021526C" w:rsidP="00146E50">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662244E" wp14:editId="7E1779F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FAB93E9" w14:textId="77777777" w:rsidR="009260DE" w:rsidRPr="00C84483" w:rsidRDefault="009260DE" w:rsidP="00146E50">
      <w:pPr>
        <w:pStyle w:val="Titel"/>
        <w:tabs>
          <w:tab w:val="right" w:pos="9356"/>
        </w:tabs>
        <w:jc w:val="left"/>
        <w:rPr>
          <w:b w:val="0"/>
          <w:szCs w:val="24"/>
          <w:lang w:eastAsia="en-US"/>
        </w:rPr>
      </w:pPr>
    </w:p>
    <w:p w14:paraId="24563E98" w14:textId="49C6DDFC" w:rsidR="009260DE" w:rsidRPr="00C84483" w:rsidRDefault="009260DE" w:rsidP="00146E50">
      <w:pPr>
        <w:pStyle w:val="Titel"/>
        <w:tabs>
          <w:tab w:val="right" w:pos="9356"/>
        </w:tabs>
        <w:jc w:val="left"/>
        <w:rPr>
          <w:b w:val="0"/>
          <w:szCs w:val="24"/>
          <w:lang w:eastAsia="en-US"/>
        </w:rPr>
      </w:pPr>
      <w:r w:rsidRPr="00C84483">
        <w:rPr>
          <w:b w:val="0"/>
          <w:szCs w:val="24"/>
          <w:lang w:eastAsia="en-US"/>
        </w:rPr>
        <w:tab/>
      </w:r>
      <w:r w:rsidR="00023ABB">
        <w:rPr>
          <w:szCs w:val="24"/>
        </w:rPr>
        <w:t>7. februar 2025</w:t>
      </w:r>
    </w:p>
    <w:p w14:paraId="1BAC04E5" w14:textId="77777777" w:rsidR="009260DE" w:rsidRPr="00C84483" w:rsidRDefault="009260DE" w:rsidP="00146E50">
      <w:pPr>
        <w:pStyle w:val="Titel"/>
        <w:tabs>
          <w:tab w:val="left" w:pos="8222"/>
        </w:tabs>
        <w:jc w:val="left"/>
        <w:rPr>
          <w:b w:val="0"/>
          <w:szCs w:val="24"/>
        </w:rPr>
      </w:pPr>
    </w:p>
    <w:p w14:paraId="31447718" w14:textId="77777777" w:rsidR="009260DE" w:rsidRPr="00C84483" w:rsidRDefault="009260DE" w:rsidP="00146E50">
      <w:pPr>
        <w:pStyle w:val="Titel"/>
        <w:jc w:val="left"/>
        <w:rPr>
          <w:b w:val="0"/>
          <w:szCs w:val="24"/>
        </w:rPr>
      </w:pPr>
    </w:p>
    <w:p w14:paraId="2A99AC83" w14:textId="77777777" w:rsidR="009260DE" w:rsidRPr="00C84483" w:rsidRDefault="009260DE" w:rsidP="00146E50">
      <w:pPr>
        <w:pStyle w:val="Titel"/>
        <w:jc w:val="left"/>
        <w:rPr>
          <w:b w:val="0"/>
          <w:szCs w:val="24"/>
        </w:rPr>
      </w:pPr>
    </w:p>
    <w:p w14:paraId="647BDA6E" w14:textId="77777777" w:rsidR="009260DE" w:rsidRPr="00C84483" w:rsidRDefault="009260DE" w:rsidP="00146E50">
      <w:pPr>
        <w:jc w:val="center"/>
        <w:rPr>
          <w:b/>
          <w:sz w:val="24"/>
          <w:szCs w:val="24"/>
        </w:rPr>
      </w:pPr>
      <w:r w:rsidRPr="00C84483">
        <w:rPr>
          <w:b/>
          <w:sz w:val="24"/>
          <w:szCs w:val="24"/>
        </w:rPr>
        <w:t>PRODUKTRESUMÉ</w:t>
      </w:r>
    </w:p>
    <w:p w14:paraId="7E779AAE" w14:textId="77777777" w:rsidR="009260DE" w:rsidRPr="00C84483" w:rsidRDefault="009260DE" w:rsidP="00146E50">
      <w:pPr>
        <w:jc w:val="center"/>
        <w:rPr>
          <w:b/>
          <w:sz w:val="24"/>
          <w:szCs w:val="24"/>
        </w:rPr>
      </w:pPr>
    </w:p>
    <w:p w14:paraId="4D75F48E" w14:textId="77777777" w:rsidR="009260DE" w:rsidRDefault="009260DE" w:rsidP="00146E50">
      <w:pPr>
        <w:jc w:val="center"/>
        <w:rPr>
          <w:b/>
          <w:sz w:val="24"/>
          <w:szCs w:val="24"/>
        </w:rPr>
      </w:pPr>
      <w:r w:rsidRPr="00C84483">
        <w:rPr>
          <w:b/>
          <w:sz w:val="24"/>
          <w:szCs w:val="24"/>
        </w:rPr>
        <w:t>for</w:t>
      </w:r>
    </w:p>
    <w:p w14:paraId="4133C26E" w14:textId="77777777" w:rsidR="000B058C" w:rsidRPr="00C84483" w:rsidRDefault="000B058C" w:rsidP="00146E50">
      <w:pPr>
        <w:jc w:val="center"/>
        <w:rPr>
          <w:b/>
          <w:sz w:val="24"/>
          <w:szCs w:val="24"/>
        </w:rPr>
      </w:pPr>
    </w:p>
    <w:p w14:paraId="79B6BD70" w14:textId="6F465B5F" w:rsidR="009260DE" w:rsidRPr="00C84483" w:rsidRDefault="004C287C" w:rsidP="00146E50">
      <w:pPr>
        <w:jc w:val="center"/>
        <w:rPr>
          <w:b/>
          <w:sz w:val="24"/>
          <w:szCs w:val="24"/>
        </w:rPr>
      </w:pPr>
      <w:r>
        <w:rPr>
          <w:b/>
          <w:sz w:val="24"/>
          <w:szCs w:val="24"/>
        </w:rPr>
        <w:t>Dabigatran etexilate "Viatris", hårde kapsler 1</w:t>
      </w:r>
      <w:r w:rsidR="009962B5">
        <w:rPr>
          <w:b/>
          <w:sz w:val="24"/>
          <w:szCs w:val="24"/>
        </w:rPr>
        <w:t>5</w:t>
      </w:r>
      <w:r>
        <w:rPr>
          <w:b/>
          <w:sz w:val="24"/>
          <w:szCs w:val="24"/>
        </w:rPr>
        <w:t>0 mg</w:t>
      </w:r>
    </w:p>
    <w:p w14:paraId="728E7CD4" w14:textId="77777777" w:rsidR="009260DE" w:rsidRPr="00C84483" w:rsidRDefault="009260DE" w:rsidP="00146E50">
      <w:pPr>
        <w:jc w:val="both"/>
        <w:rPr>
          <w:sz w:val="24"/>
          <w:szCs w:val="24"/>
        </w:rPr>
      </w:pPr>
    </w:p>
    <w:p w14:paraId="5F57B6B1" w14:textId="77777777" w:rsidR="009260DE" w:rsidRPr="00C84483" w:rsidRDefault="009260DE" w:rsidP="00146E50">
      <w:pPr>
        <w:jc w:val="both"/>
        <w:rPr>
          <w:sz w:val="24"/>
          <w:szCs w:val="24"/>
        </w:rPr>
      </w:pPr>
    </w:p>
    <w:p w14:paraId="430890DF" w14:textId="77777777" w:rsidR="009260DE" w:rsidRPr="00C84483" w:rsidRDefault="009260DE" w:rsidP="00146E50">
      <w:pPr>
        <w:tabs>
          <w:tab w:val="left" w:pos="851"/>
        </w:tabs>
        <w:ind w:left="851" w:hanging="851"/>
        <w:rPr>
          <w:b/>
          <w:sz w:val="24"/>
          <w:szCs w:val="24"/>
        </w:rPr>
      </w:pPr>
      <w:r w:rsidRPr="00C84483">
        <w:rPr>
          <w:b/>
          <w:sz w:val="24"/>
          <w:szCs w:val="24"/>
        </w:rPr>
        <w:t>0.</w:t>
      </w:r>
      <w:r w:rsidRPr="00C84483">
        <w:rPr>
          <w:b/>
          <w:sz w:val="24"/>
          <w:szCs w:val="24"/>
        </w:rPr>
        <w:tab/>
        <w:t>D.SP.NR.</w:t>
      </w:r>
    </w:p>
    <w:p w14:paraId="3AAA9C6B" w14:textId="31EA98B7" w:rsidR="009260DE" w:rsidRPr="00C84483" w:rsidRDefault="00F60199" w:rsidP="00146E50">
      <w:pPr>
        <w:tabs>
          <w:tab w:val="left" w:pos="851"/>
        </w:tabs>
        <w:ind w:left="851"/>
        <w:rPr>
          <w:sz w:val="24"/>
          <w:szCs w:val="24"/>
        </w:rPr>
      </w:pPr>
      <w:r>
        <w:rPr>
          <w:sz w:val="24"/>
          <w:szCs w:val="24"/>
        </w:rPr>
        <w:t>33165</w:t>
      </w:r>
    </w:p>
    <w:p w14:paraId="3E3F93CE" w14:textId="77777777" w:rsidR="009260DE" w:rsidRPr="00C84483" w:rsidRDefault="009260DE" w:rsidP="00146E50">
      <w:pPr>
        <w:tabs>
          <w:tab w:val="left" w:pos="851"/>
        </w:tabs>
        <w:ind w:left="851"/>
        <w:rPr>
          <w:sz w:val="24"/>
          <w:szCs w:val="24"/>
        </w:rPr>
      </w:pPr>
    </w:p>
    <w:p w14:paraId="281624FF" w14:textId="77777777" w:rsidR="009260DE" w:rsidRPr="00C84483" w:rsidRDefault="009260DE" w:rsidP="00146E50">
      <w:pPr>
        <w:tabs>
          <w:tab w:val="left" w:pos="851"/>
        </w:tabs>
        <w:ind w:left="851" w:hanging="851"/>
        <w:rPr>
          <w:b/>
          <w:sz w:val="24"/>
          <w:szCs w:val="24"/>
        </w:rPr>
      </w:pPr>
      <w:r w:rsidRPr="00C84483">
        <w:rPr>
          <w:b/>
          <w:sz w:val="24"/>
          <w:szCs w:val="24"/>
        </w:rPr>
        <w:t>1.</w:t>
      </w:r>
      <w:r w:rsidRPr="00C84483">
        <w:rPr>
          <w:b/>
          <w:sz w:val="24"/>
          <w:szCs w:val="24"/>
        </w:rPr>
        <w:tab/>
        <w:t>LÆGEMIDLETS NAVN</w:t>
      </w:r>
    </w:p>
    <w:p w14:paraId="74961856" w14:textId="639ECF6A" w:rsidR="009260DE" w:rsidRPr="00C84483" w:rsidRDefault="00F60199" w:rsidP="00146E50">
      <w:pPr>
        <w:tabs>
          <w:tab w:val="left" w:pos="851"/>
        </w:tabs>
        <w:ind w:left="851"/>
        <w:rPr>
          <w:sz w:val="24"/>
          <w:szCs w:val="24"/>
        </w:rPr>
      </w:pPr>
      <w:r w:rsidRPr="00F60199">
        <w:rPr>
          <w:sz w:val="24"/>
          <w:szCs w:val="24"/>
        </w:rPr>
        <w:t xml:space="preserve">Dabigatran etexilate </w:t>
      </w:r>
      <w:r>
        <w:rPr>
          <w:sz w:val="24"/>
          <w:szCs w:val="24"/>
        </w:rPr>
        <w:t>"</w:t>
      </w:r>
      <w:r w:rsidRPr="00F60199">
        <w:rPr>
          <w:sz w:val="24"/>
          <w:szCs w:val="24"/>
        </w:rPr>
        <w:t>Viatris</w:t>
      </w:r>
      <w:r>
        <w:rPr>
          <w:sz w:val="24"/>
          <w:szCs w:val="24"/>
        </w:rPr>
        <w:t>"</w:t>
      </w:r>
    </w:p>
    <w:p w14:paraId="3D3082F2" w14:textId="77777777" w:rsidR="009260DE" w:rsidRPr="00C84483" w:rsidRDefault="009260DE" w:rsidP="00146E50">
      <w:pPr>
        <w:tabs>
          <w:tab w:val="left" w:pos="851"/>
        </w:tabs>
        <w:ind w:left="851"/>
        <w:rPr>
          <w:sz w:val="24"/>
          <w:szCs w:val="24"/>
        </w:rPr>
      </w:pPr>
    </w:p>
    <w:p w14:paraId="091C4061" w14:textId="77777777" w:rsidR="009260DE" w:rsidRPr="00C84483" w:rsidRDefault="009260DE" w:rsidP="00146E5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F2030B5" w14:textId="2F5C6B87" w:rsidR="00F60199" w:rsidRPr="00F60199" w:rsidRDefault="00F60199" w:rsidP="00146E50">
      <w:pPr>
        <w:tabs>
          <w:tab w:val="left" w:pos="851"/>
        </w:tabs>
        <w:ind w:left="851"/>
        <w:rPr>
          <w:sz w:val="24"/>
          <w:szCs w:val="24"/>
        </w:rPr>
      </w:pPr>
      <w:r w:rsidRPr="00F60199">
        <w:rPr>
          <w:sz w:val="24"/>
          <w:szCs w:val="24"/>
        </w:rPr>
        <w:t>Hver kapsel indeholder dabigatranetexilat</w:t>
      </w:r>
      <w:r>
        <w:rPr>
          <w:sz w:val="24"/>
          <w:szCs w:val="24"/>
        </w:rPr>
        <w:t>mesilat</w:t>
      </w:r>
      <w:r w:rsidRPr="00F60199">
        <w:rPr>
          <w:sz w:val="24"/>
          <w:szCs w:val="24"/>
        </w:rPr>
        <w:t xml:space="preserve"> svarende til 1</w:t>
      </w:r>
      <w:r w:rsidR="009962B5">
        <w:rPr>
          <w:sz w:val="24"/>
          <w:szCs w:val="24"/>
        </w:rPr>
        <w:t>5</w:t>
      </w:r>
      <w:r w:rsidRPr="00F60199">
        <w:rPr>
          <w:sz w:val="24"/>
          <w:szCs w:val="24"/>
        </w:rPr>
        <w:t>0 mg dabigatranetexilat.</w:t>
      </w:r>
    </w:p>
    <w:p w14:paraId="40F9779B" w14:textId="77777777" w:rsidR="00F60199" w:rsidRPr="00F60199" w:rsidRDefault="00F60199" w:rsidP="00146E50">
      <w:pPr>
        <w:tabs>
          <w:tab w:val="left" w:pos="851"/>
        </w:tabs>
        <w:ind w:left="851"/>
        <w:rPr>
          <w:sz w:val="24"/>
          <w:szCs w:val="24"/>
        </w:rPr>
      </w:pPr>
    </w:p>
    <w:p w14:paraId="3D6E45DB" w14:textId="77777777" w:rsidR="00F60199" w:rsidRPr="00F60199" w:rsidRDefault="00F60199" w:rsidP="00146E50">
      <w:pPr>
        <w:tabs>
          <w:tab w:val="left" w:pos="851"/>
        </w:tabs>
        <w:ind w:left="851"/>
        <w:rPr>
          <w:sz w:val="24"/>
          <w:szCs w:val="24"/>
        </w:rPr>
      </w:pPr>
      <w:r w:rsidRPr="00F60199">
        <w:rPr>
          <w:sz w:val="24"/>
          <w:szCs w:val="24"/>
        </w:rPr>
        <w:t>Alle hjælpestoffer er anført under pkt. 6.1.</w:t>
      </w:r>
    </w:p>
    <w:p w14:paraId="420CE286" w14:textId="77777777" w:rsidR="009260DE" w:rsidRPr="00C84483" w:rsidRDefault="009260DE" w:rsidP="00146E50">
      <w:pPr>
        <w:tabs>
          <w:tab w:val="left" w:pos="851"/>
        </w:tabs>
        <w:ind w:left="851"/>
        <w:rPr>
          <w:sz w:val="24"/>
          <w:szCs w:val="24"/>
        </w:rPr>
      </w:pPr>
    </w:p>
    <w:p w14:paraId="035AFB1C" w14:textId="77777777" w:rsidR="009260DE" w:rsidRPr="00C84483" w:rsidRDefault="009260DE" w:rsidP="00146E50">
      <w:pPr>
        <w:tabs>
          <w:tab w:val="left" w:pos="851"/>
        </w:tabs>
        <w:ind w:left="851" w:hanging="851"/>
        <w:rPr>
          <w:b/>
          <w:sz w:val="24"/>
          <w:szCs w:val="24"/>
        </w:rPr>
      </w:pPr>
      <w:r w:rsidRPr="00C84483">
        <w:rPr>
          <w:b/>
          <w:sz w:val="24"/>
          <w:szCs w:val="24"/>
        </w:rPr>
        <w:t>3.</w:t>
      </w:r>
      <w:r w:rsidRPr="00C84483">
        <w:rPr>
          <w:b/>
          <w:sz w:val="24"/>
          <w:szCs w:val="24"/>
        </w:rPr>
        <w:tab/>
        <w:t>LÆGEMIDDELFORM</w:t>
      </w:r>
    </w:p>
    <w:p w14:paraId="0360C12E" w14:textId="047DF7AD" w:rsidR="00F60199" w:rsidRPr="00F60199" w:rsidRDefault="00F60199" w:rsidP="00146E50">
      <w:pPr>
        <w:tabs>
          <w:tab w:val="left" w:pos="851"/>
        </w:tabs>
        <w:ind w:left="851"/>
        <w:rPr>
          <w:sz w:val="24"/>
          <w:szCs w:val="24"/>
        </w:rPr>
      </w:pPr>
      <w:r w:rsidRPr="00F60199">
        <w:rPr>
          <w:sz w:val="24"/>
          <w:szCs w:val="24"/>
        </w:rPr>
        <w:t>Hård</w:t>
      </w:r>
      <w:r>
        <w:rPr>
          <w:sz w:val="24"/>
          <w:szCs w:val="24"/>
        </w:rPr>
        <w:t>e</w:t>
      </w:r>
      <w:r w:rsidRPr="00F60199">
        <w:rPr>
          <w:sz w:val="24"/>
          <w:szCs w:val="24"/>
        </w:rPr>
        <w:t xml:space="preserve"> kaps</w:t>
      </w:r>
      <w:r>
        <w:rPr>
          <w:sz w:val="24"/>
          <w:szCs w:val="24"/>
        </w:rPr>
        <w:t>ler</w:t>
      </w:r>
    </w:p>
    <w:p w14:paraId="31DFA2E8" w14:textId="77777777" w:rsidR="00F60199" w:rsidRPr="00F60199" w:rsidRDefault="00F60199" w:rsidP="00146E50">
      <w:pPr>
        <w:tabs>
          <w:tab w:val="left" w:pos="851"/>
        </w:tabs>
        <w:ind w:left="851"/>
        <w:rPr>
          <w:sz w:val="24"/>
          <w:szCs w:val="24"/>
        </w:rPr>
      </w:pPr>
    </w:p>
    <w:p w14:paraId="6B7963AA" w14:textId="0C852575" w:rsidR="00F60199" w:rsidRPr="00F60199" w:rsidRDefault="00F60199" w:rsidP="00146E50">
      <w:pPr>
        <w:tabs>
          <w:tab w:val="left" w:pos="851"/>
        </w:tabs>
        <w:ind w:left="851"/>
        <w:rPr>
          <w:sz w:val="24"/>
          <w:szCs w:val="24"/>
        </w:rPr>
      </w:pPr>
      <w:r w:rsidRPr="00F60199">
        <w:rPr>
          <w:sz w:val="24"/>
          <w:szCs w:val="24"/>
        </w:rPr>
        <w:t xml:space="preserve">Størrelse </w:t>
      </w:r>
      <w:r w:rsidR="009962B5">
        <w:rPr>
          <w:sz w:val="24"/>
          <w:szCs w:val="24"/>
        </w:rPr>
        <w:t>0</w:t>
      </w:r>
      <w:r w:rsidRPr="00F60199">
        <w:rPr>
          <w:sz w:val="24"/>
          <w:szCs w:val="24"/>
        </w:rPr>
        <w:t xml:space="preserve"> (cirka </w:t>
      </w:r>
      <w:r w:rsidR="009962B5">
        <w:rPr>
          <w:sz w:val="24"/>
          <w:szCs w:val="24"/>
        </w:rPr>
        <w:t>21</w:t>
      </w:r>
      <w:r w:rsidRPr="00F60199">
        <w:rPr>
          <w:sz w:val="24"/>
          <w:szCs w:val="24"/>
        </w:rPr>
        <w:t xml:space="preserve"> mm), lyseblå, uigennemsigtig hætte og </w:t>
      </w:r>
      <w:r w:rsidR="009962B5">
        <w:rPr>
          <w:sz w:val="24"/>
          <w:szCs w:val="24"/>
        </w:rPr>
        <w:t>hvid</w:t>
      </w:r>
      <w:r w:rsidRPr="00F60199">
        <w:rPr>
          <w:sz w:val="24"/>
          <w:szCs w:val="24"/>
        </w:rPr>
        <w:t>, uigennemsigtig underdel, hård hypromellose kapsel fyldt med lysegule til gullige pellets, påtrykt ”VTRS” over “DC</w:t>
      </w:r>
      <w:r w:rsidR="009962B5">
        <w:rPr>
          <w:sz w:val="24"/>
          <w:szCs w:val="24"/>
        </w:rPr>
        <w:t>150</w:t>
      </w:r>
      <w:r w:rsidRPr="00F60199">
        <w:rPr>
          <w:sz w:val="24"/>
          <w:szCs w:val="24"/>
        </w:rPr>
        <w:t>” på både hætten og underdelen med sort blæk.</w:t>
      </w:r>
    </w:p>
    <w:p w14:paraId="069763E0" w14:textId="77777777" w:rsidR="009260DE" w:rsidRPr="00C84483" w:rsidRDefault="009260DE" w:rsidP="00146E50">
      <w:pPr>
        <w:tabs>
          <w:tab w:val="left" w:pos="851"/>
        </w:tabs>
        <w:ind w:left="851"/>
        <w:rPr>
          <w:sz w:val="24"/>
          <w:szCs w:val="24"/>
        </w:rPr>
      </w:pPr>
    </w:p>
    <w:p w14:paraId="78DF39E6" w14:textId="77777777" w:rsidR="009260DE" w:rsidRPr="00C84483" w:rsidRDefault="009260DE" w:rsidP="00146E50">
      <w:pPr>
        <w:tabs>
          <w:tab w:val="left" w:pos="851"/>
        </w:tabs>
        <w:ind w:left="851"/>
        <w:rPr>
          <w:sz w:val="24"/>
          <w:szCs w:val="24"/>
        </w:rPr>
      </w:pPr>
    </w:p>
    <w:p w14:paraId="26BD2F3B" w14:textId="77777777" w:rsidR="009260DE" w:rsidRPr="00C84483" w:rsidRDefault="009260DE" w:rsidP="00146E50">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2C9BBE1" w14:textId="77777777" w:rsidR="009260DE" w:rsidRPr="00C84483" w:rsidRDefault="009260DE" w:rsidP="00146E50">
      <w:pPr>
        <w:tabs>
          <w:tab w:val="left" w:pos="851"/>
        </w:tabs>
        <w:ind w:left="851"/>
        <w:rPr>
          <w:b/>
          <w:sz w:val="24"/>
          <w:szCs w:val="24"/>
        </w:rPr>
      </w:pPr>
    </w:p>
    <w:p w14:paraId="50399196" w14:textId="77777777" w:rsidR="009260DE" w:rsidRPr="00C84483" w:rsidRDefault="009260DE" w:rsidP="00146E5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393CF0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apopleksi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systemisk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emboli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voksne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non-valvulær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atrieflimren (NVAF) og med en eller flere risikofaktorer, såsom tidligere apopleksi eller transitorisk cerebral iskæmi (TCI), alder ≥ 75 år, hjertesvigt (NYHA-klasse ≥ 2), diabetes mellitus eller hypertension.</w:t>
      </w:r>
    </w:p>
    <w:p w14:paraId="7879DB7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5E4D129"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dyb</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venetrombose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lungeemboli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recidiverende DVT og LE hos voksne.</w:t>
      </w:r>
    </w:p>
    <w:p w14:paraId="6638F63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24ACAF0" w14:textId="1DE32596"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009962B5" w:rsidRPr="009962B5">
        <w:rPr>
          <w:rFonts w:asciiTheme="majorBidi" w:hAnsiTheme="majorBidi" w:cstheme="majorBidi"/>
          <w:sz w:val="24"/>
          <w:szCs w:val="24"/>
          <w:lang w:val="da-DK"/>
        </w:rPr>
        <w:t xml:space="preserve">venøs tromboemboli (VTE)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recidiverende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det tidspunkt hvor barnet er i stand til at synke blød mad </w:t>
      </w:r>
      <w:r w:rsidRPr="00146E50">
        <w:rPr>
          <w:rFonts w:asciiTheme="majorBidi" w:hAnsiTheme="majorBidi" w:cstheme="majorBidi"/>
          <w:sz w:val="24"/>
          <w:szCs w:val="24"/>
          <w:lang w:val="da-DK"/>
        </w:rPr>
        <w:t>til under 18 år</w:t>
      </w:r>
      <w:r w:rsidR="009962B5">
        <w:rPr>
          <w:rFonts w:asciiTheme="majorBidi" w:hAnsiTheme="majorBidi" w:cstheme="majorBidi"/>
          <w:sz w:val="24"/>
          <w:szCs w:val="24"/>
          <w:lang w:val="da-DK"/>
        </w:rPr>
        <w:t xml:space="preserve"> gamle</w:t>
      </w:r>
      <w:r w:rsidRPr="00146E50">
        <w:rPr>
          <w:rFonts w:asciiTheme="majorBidi" w:hAnsiTheme="majorBidi" w:cstheme="majorBidi"/>
          <w:sz w:val="24"/>
          <w:szCs w:val="24"/>
          <w:lang w:val="da-DK"/>
        </w:rPr>
        <w:t>.</w:t>
      </w:r>
    </w:p>
    <w:p w14:paraId="7A58380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56AFC8D"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lastRenderedPageBreak/>
        <w:t>For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aldersrelevante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doseringsformer,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8"/>
          <w:sz w:val="24"/>
          <w:szCs w:val="24"/>
          <w:lang w:val="da-DK"/>
        </w:rPr>
        <w:t> </w:t>
      </w:r>
      <w:r w:rsidRPr="00146E50">
        <w:rPr>
          <w:rFonts w:asciiTheme="majorBidi" w:hAnsiTheme="majorBidi" w:cstheme="majorBidi"/>
          <w:spacing w:val="-4"/>
          <w:sz w:val="24"/>
          <w:szCs w:val="24"/>
          <w:lang w:val="da-DK"/>
        </w:rPr>
        <w:t>4.2.</w:t>
      </w:r>
    </w:p>
    <w:p w14:paraId="61C3AA41" w14:textId="77777777" w:rsidR="009260DE" w:rsidRPr="00146E50" w:rsidRDefault="009260DE" w:rsidP="00146E50">
      <w:pPr>
        <w:tabs>
          <w:tab w:val="left" w:pos="851"/>
        </w:tabs>
        <w:ind w:left="851"/>
        <w:rPr>
          <w:sz w:val="24"/>
          <w:szCs w:val="24"/>
        </w:rPr>
      </w:pPr>
    </w:p>
    <w:p w14:paraId="2A677C85" w14:textId="77777777" w:rsidR="009260DE" w:rsidRPr="00C84483" w:rsidRDefault="009260DE" w:rsidP="00146E5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9ED1593" w14:textId="77777777" w:rsidR="00146E50" w:rsidRDefault="00146E50" w:rsidP="00146E50">
      <w:pPr>
        <w:pStyle w:val="Brdtekst"/>
        <w:keepNext/>
        <w:keepLines/>
        <w:widowControl/>
        <w:ind w:left="851"/>
        <w:rPr>
          <w:rFonts w:asciiTheme="majorBidi" w:hAnsiTheme="majorBidi" w:cstheme="majorBidi"/>
          <w:spacing w:val="-2"/>
          <w:sz w:val="24"/>
          <w:szCs w:val="24"/>
          <w:u w:val="single"/>
          <w:lang w:val="da-DK"/>
        </w:rPr>
      </w:pPr>
    </w:p>
    <w:p w14:paraId="229CECDD" w14:textId="7EF9A2F2"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pacing w:val="-2"/>
          <w:sz w:val="24"/>
          <w:szCs w:val="24"/>
          <w:u w:val="single"/>
          <w:lang w:val="da-DK"/>
        </w:rPr>
        <w:t>Dosering</w:t>
      </w:r>
    </w:p>
    <w:p w14:paraId="68342ABC" w14:textId="77777777" w:rsidR="00886871" w:rsidRPr="00146E50" w:rsidRDefault="00886871" w:rsidP="00146E50">
      <w:pPr>
        <w:pStyle w:val="Brdtekst"/>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Dabigatran etexilate "Viatris" kapsler kan anvendes til voksne og pædiatriske patienter i alderen 8 år eller ældre, som kan sluge kapslerne hele. Dosen,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 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angivet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relevante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doseringstabel,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ordineres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barnets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pacing w:val="-2"/>
          <w:sz w:val="24"/>
          <w:szCs w:val="24"/>
          <w:lang w:val="da-DK"/>
        </w:rPr>
        <w:t>alder.</w:t>
      </w:r>
    </w:p>
    <w:p w14:paraId="3458680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E9CC14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 findes andre aldersrelevante doseringsformer af lægemidler med dabigatranetexilat til behandling af børn under 8 år. Når der skiftes mellem formuleringerne, er det muligt, at den ordinerede dosis skal ændres.</w:t>
      </w:r>
    </w:p>
    <w:p w14:paraId="0F322CE6" w14:textId="77777777" w:rsidR="00886871" w:rsidRPr="00146E50" w:rsidRDefault="00886871" w:rsidP="00BE2F00">
      <w:pPr>
        <w:pStyle w:val="Brdtekst"/>
        <w:widowControl/>
        <w:tabs>
          <w:tab w:val="left" w:pos="851"/>
        </w:tabs>
        <w:ind w:left="851"/>
        <w:rPr>
          <w:rFonts w:asciiTheme="majorBidi" w:hAnsiTheme="majorBidi" w:cstheme="majorBidi"/>
          <w:sz w:val="24"/>
          <w:szCs w:val="24"/>
          <w:lang w:val="da-DK"/>
        </w:rPr>
      </w:pPr>
    </w:p>
    <w:p w14:paraId="12F12F80" w14:textId="61764B3D" w:rsidR="00886871" w:rsidRPr="00146E50" w:rsidRDefault="00886871" w:rsidP="00146E50">
      <w:pPr>
        <w:keepNext/>
        <w:keepLines/>
        <w:tabs>
          <w:tab w:val="left" w:pos="851"/>
        </w:tabs>
        <w:ind w:left="851"/>
        <w:rPr>
          <w:rFonts w:asciiTheme="majorBidi" w:hAnsiTheme="majorBidi" w:cstheme="majorBidi"/>
          <w:b/>
          <w:i/>
          <w:sz w:val="24"/>
          <w:szCs w:val="24"/>
          <w:u w:val="single"/>
        </w:rPr>
      </w:pPr>
      <w:r w:rsidRPr="00146E50">
        <w:rPr>
          <w:rFonts w:asciiTheme="majorBidi" w:hAnsiTheme="majorBidi" w:cstheme="majorBidi"/>
          <w:b/>
          <w:i/>
          <w:sz w:val="24"/>
          <w:szCs w:val="24"/>
          <w:u w:val="single"/>
        </w:rPr>
        <w:t>Forebyggelse</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af</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apopleksi</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og</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systemisk</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emboli</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hos</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voksne</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patienter</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med</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NVAF</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med</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en</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eller</w:t>
      </w:r>
      <w:r w:rsidRPr="00146E50">
        <w:rPr>
          <w:rFonts w:asciiTheme="majorBidi" w:hAnsiTheme="majorBidi" w:cstheme="majorBidi"/>
          <w:b/>
          <w:i/>
          <w:spacing w:val="-3"/>
          <w:sz w:val="24"/>
          <w:szCs w:val="24"/>
          <w:u w:val="single"/>
        </w:rPr>
        <w:t xml:space="preserve"> </w:t>
      </w:r>
      <w:r w:rsidRPr="00146E50">
        <w:rPr>
          <w:rFonts w:asciiTheme="majorBidi" w:hAnsiTheme="majorBidi" w:cstheme="majorBidi"/>
          <w:b/>
          <w:i/>
          <w:sz w:val="24"/>
          <w:szCs w:val="24"/>
          <w:u w:val="single"/>
        </w:rPr>
        <w:t xml:space="preserve">flere risikofaktorer (SPAF - </w:t>
      </w:r>
      <w:r w:rsidRPr="00146E50">
        <w:rPr>
          <w:rFonts w:asciiTheme="majorBidi" w:hAnsiTheme="majorBidi" w:cstheme="majorBidi"/>
          <w:b/>
          <w:color w:val="212121"/>
          <w:sz w:val="24"/>
          <w:szCs w:val="24"/>
          <w:u w:val="single" w:color="212121"/>
        </w:rPr>
        <w:t>stroke prevention in atrial fibrillation</w:t>
      </w:r>
      <w:r w:rsidRPr="00146E50">
        <w:rPr>
          <w:rFonts w:asciiTheme="majorBidi" w:hAnsiTheme="majorBidi" w:cstheme="majorBidi"/>
          <w:b/>
          <w:i/>
          <w:sz w:val="24"/>
          <w:szCs w:val="24"/>
          <w:u w:val="single"/>
        </w:rPr>
        <w:t>)</w:t>
      </w:r>
    </w:p>
    <w:p w14:paraId="06F1453B" w14:textId="35ECF78D" w:rsidR="00146E50" w:rsidRDefault="00146E50" w:rsidP="00146E50">
      <w:pPr>
        <w:pStyle w:val="Overskrift3"/>
        <w:keepLines/>
        <w:tabs>
          <w:tab w:val="left" w:pos="851"/>
        </w:tabs>
        <w:spacing w:before="0" w:after="0"/>
        <w:ind w:left="851"/>
        <w:rPr>
          <w:rFonts w:asciiTheme="majorBidi" w:hAnsiTheme="majorBidi" w:cstheme="majorBidi"/>
          <w:szCs w:val="24"/>
        </w:rPr>
      </w:pPr>
    </w:p>
    <w:p w14:paraId="49B800F7" w14:textId="4B3D3A45" w:rsidR="00886871" w:rsidRPr="00146E50" w:rsidRDefault="00886871" w:rsidP="00146E50">
      <w:pPr>
        <w:pStyle w:val="Overskrift3"/>
        <w:keepLines/>
        <w:tabs>
          <w:tab w:val="left" w:pos="851"/>
        </w:tabs>
        <w:spacing w:before="0" w:after="0"/>
        <w:ind w:left="851"/>
        <w:rPr>
          <w:rFonts w:asciiTheme="majorBidi" w:hAnsiTheme="majorBidi" w:cstheme="majorBidi"/>
          <w:b/>
          <w:i/>
          <w:szCs w:val="24"/>
        </w:rPr>
      </w:pPr>
      <w:r w:rsidRPr="00146E50">
        <w:rPr>
          <w:rFonts w:asciiTheme="majorBidi" w:hAnsiTheme="majorBidi" w:cstheme="majorBidi"/>
          <w:szCs w:val="24"/>
        </w:rPr>
        <w:t>Behandling</w:t>
      </w:r>
      <w:r w:rsidRPr="00146E50">
        <w:rPr>
          <w:rFonts w:asciiTheme="majorBidi" w:hAnsiTheme="majorBidi" w:cstheme="majorBidi"/>
          <w:spacing w:val="-7"/>
          <w:szCs w:val="24"/>
        </w:rPr>
        <w:t xml:space="preserve"> </w:t>
      </w:r>
      <w:r w:rsidRPr="00146E50">
        <w:rPr>
          <w:rFonts w:asciiTheme="majorBidi" w:hAnsiTheme="majorBidi" w:cstheme="majorBidi"/>
          <w:szCs w:val="24"/>
        </w:rPr>
        <w:t>af</w:t>
      </w:r>
      <w:r w:rsidRPr="00146E50">
        <w:rPr>
          <w:rFonts w:asciiTheme="majorBidi" w:hAnsiTheme="majorBidi" w:cstheme="majorBidi"/>
          <w:spacing w:val="-5"/>
          <w:szCs w:val="24"/>
        </w:rPr>
        <w:t xml:space="preserve"> </w:t>
      </w:r>
      <w:r w:rsidRPr="00146E50">
        <w:rPr>
          <w:rFonts w:asciiTheme="majorBidi" w:hAnsiTheme="majorBidi" w:cstheme="majorBidi"/>
          <w:szCs w:val="24"/>
        </w:rPr>
        <w:t>DVT</w:t>
      </w:r>
      <w:r w:rsidRPr="00146E50">
        <w:rPr>
          <w:rFonts w:asciiTheme="majorBidi" w:hAnsiTheme="majorBidi" w:cstheme="majorBidi"/>
          <w:spacing w:val="-5"/>
          <w:szCs w:val="24"/>
        </w:rPr>
        <w:t xml:space="preserve"> </w:t>
      </w:r>
      <w:r w:rsidRPr="00146E50">
        <w:rPr>
          <w:rFonts w:asciiTheme="majorBidi" w:hAnsiTheme="majorBidi" w:cstheme="majorBidi"/>
          <w:szCs w:val="24"/>
        </w:rPr>
        <w:t>og</w:t>
      </w:r>
      <w:r w:rsidRPr="00146E50">
        <w:rPr>
          <w:rFonts w:asciiTheme="majorBidi" w:hAnsiTheme="majorBidi" w:cstheme="majorBidi"/>
          <w:spacing w:val="-4"/>
          <w:szCs w:val="24"/>
        </w:rPr>
        <w:t xml:space="preserve"> </w:t>
      </w:r>
      <w:r w:rsidRPr="00146E50">
        <w:rPr>
          <w:rFonts w:asciiTheme="majorBidi" w:hAnsiTheme="majorBidi" w:cstheme="majorBidi"/>
          <w:szCs w:val="24"/>
        </w:rPr>
        <w:t>LE</w:t>
      </w:r>
      <w:r w:rsidRPr="00146E50">
        <w:rPr>
          <w:rFonts w:asciiTheme="majorBidi" w:hAnsiTheme="majorBidi" w:cstheme="majorBidi"/>
          <w:spacing w:val="-5"/>
          <w:szCs w:val="24"/>
        </w:rPr>
        <w:t xml:space="preserve"> </w:t>
      </w:r>
      <w:r w:rsidRPr="00146E50">
        <w:rPr>
          <w:rFonts w:asciiTheme="majorBidi" w:hAnsiTheme="majorBidi" w:cstheme="majorBidi"/>
          <w:szCs w:val="24"/>
        </w:rPr>
        <w:t>samt</w:t>
      </w:r>
      <w:r w:rsidRPr="00146E50">
        <w:rPr>
          <w:rFonts w:asciiTheme="majorBidi" w:hAnsiTheme="majorBidi" w:cstheme="majorBidi"/>
          <w:spacing w:val="-5"/>
          <w:szCs w:val="24"/>
        </w:rPr>
        <w:t xml:space="preserve"> </w:t>
      </w:r>
      <w:r w:rsidRPr="00146E50">
        <w:rPr>
          <w:rFonts w:asciiTheme="majorBidi" w:hAnsiTheme="majorBidi" w:cstheme="majorBidi"/>
          <w:szCs w:val="24"/>
        </w:rPr>
        <w:t>forebyggelse</w:t>
      </w:r>
      <w:r w:rsidRPr="00146E50">
        <w:rPr>
          <w:rFonts w:asciiTheme="majorBidi" w:hAnsiTheme="majorBidi" w:cstheme="majorBidi"/>
          <w:spacing w:val="-4"/>
          <w:szCs w:val="24"/>
        </w:rPr>
        <w:t xml:space="preserve"> </w:t>
      </w:r>
      <w:r w:rsidRPr="00146E50">
        <w:rPr>
          <w:rFonts w:asciiTheme="majorBidi" w:hAnsiTheme="majorBidi" w:cstheme="majorBidi"/>
          <w:szCs w:val="24"/>
        </w:rPr>
        <w:t>af</w:t>
      </w:r>
      <w:r w:rsidRPr="00146E50">
        <w:rPr>
          <w:rFonts w:asciiTheme="majorBidi" w:hAnsiTheme="majorBidi" w:cstheme="majorBidi"/>
          <w:spacing w:val="-5"/>
          <w:szCs w:val="24"/>
        </w:rPr>
        <w:t xml:space="preserve"> </w:t>
      </w:r>
      <w:r w:rsidRPr="00146E50">
        <w:rPr>
          <w:rFonts w:asciiTheme="majorBidi" w:hAnsiTheme="majorBidi" w:cstheme="majorBidi"/>
          <w:szCs w:val="24"/>
        </w:rPr>
        <w:t>recidiverende</w:t>
      </w:r>
      <w:r w:rsidRPr="00146E50">
        <w:rPr>
          <w:rFonts w:asciiTheme="majorBidi" w:hAnsiTheme="majorBidi" w:cstheme="majorBidi"/>
          <w:spacing w:val="-5"/>
          <w:szCs w:val="24"/>
        </w:rPr>
        <w:t xml:space="preserve"> </w:t>
      </w:r>
      <w:r w:rsidRPr="00146E50">
        <w:rPr>
          <w:rFonts w:asciiTheme="majorBidi" w:hAnsiTheme="majorBidi" w:cstheme="majorBidi"/>
          <w:szCs w:val="24"/>
        </w:rPr>
        <w:t>DVT</w:t>
      </w:r>
      <w:r w:rsidRPr="00146E50">
        <w:rPr>
          <w:rFonts w:asciiTheme="majorBidi" w:hAnsiTheme="majorBidi" w:cstheme="majorBidi"/>
          <w:spacing w:val="-5"/>
          <w:szCs w:val="24"/>
        </w:rPr>
        <w:t xml:space="preserve"> </w:t>
      </w:r>
      <w:r w:rsidRPr="00146E50">
        <w:rPr>
          <w:rFonts w:asciiTheme="majorBidi" w:hAnsiTheme="majorBidi" w:cstheme="majorBidi"/>
          <w:szCs w:val="24"/>
        </w:rPr>
        <w:t>og</w:t>
      </w:r>
      <w:r w:rsidRPr="00146E50">
        <w:rPr>
          <w:rFonts w:asciiTheme="majorBidi" w:hAnsiTheme="majorBidi" w:cstheme="majorBidi"/>
          <w:spacing w:val="-4"/>
          <w:szCs w:val="24"/>
        </w:rPr>
        <w:t xml:space="preserve"> </w:t>
      </w:r>
      <w:r w:rsidRPr="00146E50">
        <w:rPr>
          <w:rFonts w:asciiTheme="majorBidi" w:hAnsiTheme="majorBidi" w:cstheme="majorBidi"/>
          <w:szCs w:val="24"/>
        </w:rPr>
        <w:t>LE</w:t>
      </w:r>
      <w:r w:rsidRPr="00146E50">
        <w:rPr>
          <w:rFonts w:asciiTheme="majorBidi" w:hAnsiTheme="majorBidi" w:cstheme="majorBidi"/>
          <w:spacing w:val="-5"/>
          <w:szCs w:val="24"/>
        </w:rPr>
        <w:t xml:space="preserve"> </w:t>
      </w:r>
      <w:r w:rsidRPr="00146E50">
        <w:rPr>
          <w:rFonts w:asciiTheme="majorBidi" w:hAnsiTheme="majorBidi" w:cstheme="majorBidi"/>
          <w:szCs w:val="24"/>
        </w:rPr>
        <w:t>hos</w:t>
      </w:r>
      <w:r w:rsidRPr="00146E50">
        <w:rPr>
          <w:rFonts w:asciiTheme="majorBidi" w:hAnsiTheme="majorBidi" w:cstheme="majorBidi"/>
          <w:spacing w:val="-5"/>
          <w:szCs w:val="24"/>
        </w:rPr>
        <w:t xml:space="preserve"> </w:t>
      </w:r>
      <w:r w:rsidRPr="00146E50">
        <w:rPr>
          <w:rFonts w:asciiTheme="majorBidi" w:hAnsiTheme="majorBidi" w:cstheme="majorBidi"/>
          <w:szCs w:val="24"/>
        </w:rPr>
        <w:t>voksne</w:t>
      </w:r>
      <w:r w:rsidRPr="00146E50">
        <w:rPr>
          <w:rFonts w:asciiTheme="majorBidi" w:hAnsiTheme="majorBidi" w:cstheme="majorBidi"/>
          <w:spacing w:val="-4"/>
          <w:szCs w:val="24"/>
        </w:rPr>
        <w:t xml:space="preserve"> </w:t>
      </w:r>
      <w:r w:rsidRPr="00146E50">
        <w:rPr>
          <w:rFonts w:asciiTheme="majorBidi" w:hAnsiTheme="majorBidi" w:cstheme="majorBidi"/>
          <w:spacing w:val="-2"/>
          <w:szCs w:val="24"/>
        </w:rPr>
        <w:t>(DVT/LE)</w:t>
      </w:r>
    </w:p>
    <w:p w14:paraId="3309D7CD" w14:textId="77777777" w:rsidR="00886871" w:rsidRPr="00146E50" w:rsidRDefault="00886871" w:rsidP="00146E50">
      <w:pPr>
        <w:pStyle w:val="Brdtekst"/>
        <w:keepNext/>
        <w:keepLines/>
        <w:widowControl/>
        <w:tabs>
          <w:tab w:val="left" w:pos="851"/>
        </w:tabs>
        <w:ind w:left="851"/>
        <w:rPr>
          <w:rFonts w:asciiTheme="majorBidi" w:hAnsiTheme="majorBidi" w:cstheme="majorBidi"/>
          <w:b/>
          <w:i/>
          <w:sz w:val="24"/>
          <w:szCs w:val="24"/>
          <w:lang w:val="da-DK"/>
        </w:rPr>
      </w:pPr>
    </w:p>
    <w:p w14:paraId="1BA8A5AC" w14:textId="5D6256CF"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r w:rsidRPr="00146E50">
        <w:rPr>
          <w:rFonts w:asciiTheme="majorBidi" w:hAnsiTheme="majorBidi" w:cstheme="majorBidi"/>
          <w:sz w:val="24"/>
          <w:szCs w:val="24"/>
          <w:lang w:val="da-DK"/>
        </w:rPr>
        <w:t>De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anbefalede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doser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indikationerne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SPAF,</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vises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6"/>
          <w:sz w:val="24"/>
          <w:szCs w:val="24"/>
          <w:lang w:val="da-DK"/>
        </w:rPr>
        <w:t> </w:t>
      </w:r>
      <w:r w:rsidR="00BE2F00">
        <w:rPr>
          <w:rFonts w:asciiTheme="majorBidi" w:hAnsiTheme="majorBidi" w:cstheme="majorBidi"/>
          <w:spacing w:val="-6"/>
          <w:sz w:val="24"/>
          <w:szCs w:val="24"/>
          <w:lang w:val="da-DK"/>
        </w:rPr>
        <w:t>1</w:t>
      </w:r>
      <w:r w:rsidRPr="00146E50">
        <w:rPr>
          <w:rFonts w:asciiTheme="majorBidi" w:hAnsiTheme="majorBidi" w:cstheme="majorBidi"/>
          <w:spacing w:val="-5"/>
          <w:sz w:val="24"/>
          <w:szCs w:val="24"/>
          <w:lang w:val="da-DK"/>
        </w:rPr>
        <w:t>.</w:t>
      </w:r>
    </w:p>
    <w:p w14:paraId="2FE874ED" w14:textId="77777777" w:rsidR="00886871" w:rsidRPr="00146E50" w:rsidRDefault="00886871" w:rsidP="00146E50">
      <w:pPr>
        <w:pStyle w:val="Brdtekst"/>
        <w:widowControl/>
        <w:tabs>
          <w:tab w:val="left" w:pos="851"/>
        </w:tabs>
        <w:ind w:left="851"/>
        <w:rPr>
          <w:rFonts w:asciiTheme="majorBidi" w:hAnsiTheme="majorBidi" w:cstheme="majorBidi"/>
          <w:sz w:val="24"/>
          <w:szCs w:val="24"/>
          <w:lang w:val="da-DK"/>
        </w:rPr>
      </w:pPr>
    </w:p>
    <w:p w14:paraId="03DA7FD8" w14:textId="42D48FC5"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sidR="00BE2F00">
        <w:rPr>
          <w:rFonts w:asciiTheme="majorBidi" w:hAnsiTheme="majorBidi" w:cstheme="majorBidi"/>
          <w:spacing w:val="-5"/>
          <w:lang w:val="da-DK"/>
        </w:rPr>
        <w:t>1</w:t>
      </w:r>
      <w:r>
        <w:rPr>
          <w:rFonts w:asciiTheme="majorBidi" w:hAnsiTheme="majorBidi" w:cstheme="majorBidi"/>
          <w:spacing w:val="-5"/>
          <w:lang w:val="da-DK"/>
        </w:rPr>
        <w:t>:</w:t>
      </w:r>
      <w:r>
        <w:rPr>
          <w:rFonts w:asciiTheme="majorBidi" w:hAnsiTheme="majorBidi" w:cstheme="majorBidi"/>
          <w:lang w:val="da-DK"/>
        </w:rPr>
        <w:tab/>
        <w:t>Dosisanbefalinger</w:t>
      </w:r>
      <w:r>
        <w:rPr>
          <w:rFonts w:asciiTheme="majorBidi" w:hAnsiTheme="majorBidi" w:cstheme="majorBidi"/>
          <w:spacing w:val="-8"/>
          <w:lang w:val="da-DK"/>
        </w:rPr>
        <w:t xml:space="preserve"> </w:t>
      </w:r>
      <w:r>
        <w:rPr>
          <w:rFonts w:asciiTheme="majorBidi" w:hAnsiTheme="majorBidi" w:cstheme="majorBidi"/>
          <w:lang w:val="da-DK"/>
        </w:rPr>
        <w:t>for</w:t>
      </w:r>
      <w:r>
        <w:rPr>
          <w:rFonts w:asciiTheme="majorBidi" w:hAnsiTheme="majorBidi" w:cstheme="majorBidi"/>
          <w:spacing w:val="-5"/>
          <w:lang w:val="da-DK"/>
        </w:rPr>
        <w:t xml:space="preserve"> </w:t>
      </w:r>
      <w:r>
        <w:rPr>
          <w:rFonts w:asciiTheme="majorBidi" w:hAnsiTheme="majorBidi" w:cstheme="majorBidi"/>
          <w:lang w:val="da-DK"/>
        </w:rPr>
        <w:t>SPAF,</w:t>
      </w:r>
      <w:r>
        <w:rPr>
          <w:rFonts w:asciiTheme="majorBidi" w:hAnsiTheme="majorBidi" w:cstheme="majorBidi"/>
          <w:spacing w:val="-5"/>
          <w:lang w:val="da-DK"/>
        </w:rPr>
        <w:t xml:space="preserve"> </w:t>
      </w:r>
      <w:r>
        <w:rPr>
          <w:rFonts w:asciiTheme="majorBidi" w:hAnsiTheme="majorBidi" w:cstheme="majorBidi"/>
          <w:lang w:val="da-DK"/>
        </w:rPr>
        <w:t>DVT</w:t>
      </w:r>
      <w:r>
        <w:rPr>
          <w:rFonts w:asciiTheme="majorBidi" w:hAnsiTheme="majorBidi" w:cstheme="majorBidi"/>
          <w:spacing w:val="-5"/>
          <w:lang w:val="da-DK"/>
        </w:rPr>
        <w:t xml:space="preserve"> </w:t>
      </w:r>
      <w:r>
        <w:rPr>
          <w:rFonts w:asciiTheme="majorBidi" w:hAnsiTheme="majorBidi" w:cstheme="majorBidi"/>
          <w:lang w:val="da-DK"/>
        </w:rPr>
        <w:t>og</w:t>
      </w:r>
      <w:r>
        <w:rPr>
          <w:rFonts w:asciiTheme="majorBidi" w:hAnsiTheme="majorBidi" w:cstheme="majorBidi"/>
          <w:spacing w:val="-5"/>
          <w:lang w:val="da-DK"/>
        </w:rPr>
        <w:t xml:space="preserve"> LE</w:t>
      </w:r>
    </w:p>
    <w:p w14:paraId="7067297A"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3"/>
        <w:gridCol w:w="4582"/>
      </w:tblGrid>
      <w:tr w:rsidR="00886871" w14:paraId="2C6B452D" w14:textId="77777777" w:rsidTr="00886871">
        <w:trPr>
          <w:cantSplit/>
          <w:trHeight w:val="20"/>
          <w:tblHeader/>
        </w:trPr>
        <w:tc>
          <w:tcPr>
            <w:tcW w:w="4492" w:type="dxa"/>
            <w:tcBorders>
              <w:top w:val="single" w:sz="4" w:space="0" w:color="000000"/>
              <w:left w:val="single" w:sz="4" w:space="0" w:color="000000"/>
              <w:bottom w:val="single" w:sz="4" w:space="0" w:color="000000"/>
              <w:right w:val="single" w:sz="4" w:space="0" w:color="000000"/>
            </w:tcBorders>
          </w:tcPr>
          <w:p w14:paraId="40AF2D60"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c>
          <w:tcPr>
            <w:tcW w:w="4580" w:type="dxa"/>
            <w:tcBorders>
              <w:top w:val="single" w:sz="4" w:space="0" w:color="000000"/>
              <w:left w:val="single" w:sz="4" w:space="0" w:color="000000"/>
              <w:bottom w:val="single" w:sz="4" w:space="0" w:color="000000"/>
              <w:right w:val="single" w:sz="4" w:space="0" w:color="000000"/>
            </w:tcBorders>
            <w:hideMark/>
          </w:tcPr>
          <w:p w14:paraId="1B6C7FB0" w14:textId="77777777" w:rsidR="00886871" w:rsidRDefault="00886871" w:rsidP="00146E50">
            <w:pPr>
              <w:pStyle w:val="TableParagraph"/>
              <w:keepNext/>
              <w:keepLines/>
              <w:widowControl/>
              <w:spacing w:line="240" w:lineRule="auto"/>
              <w:ind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Dosisanbefaling</w:t>
            </w:r>
          </w:p>
        </w:tc>
      </w:tr>
      <w:tr w:rsidR="00886871" w14:paraId="51DFD39D"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2A4998B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Forebyggelse af apopleksi og systemisk emboli</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voksne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NVAF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 xml:space="preserve">med en eller flere risikofaktorer (SPAF - </w:t>
            </w:r>
            <w:r>
              <w:rPr>
                <w:rFonts w:asciiTheme="majorBidi" w:hAnsiTheme="majorBidi" w:cstheme="majorBidi"/>
                <w:i/>
                <w:kern w:val="2"/>
                <w:lang w:val="da-DK"/>
                <w14:ligatures w14:val="standardContextual"/>
              </w:rPr>
              <w:t>stroke prevention in atrial fibrillation</w:t>
            </w:r>
            <w:r>
              <w:rPr>
                <w:rFonts w:asciiTheme="majorBidi" w:hAnsiTheme="majorBidi" w:cstheme="majorBidi"/>
                <w:kern w:val="2"/>
                <w:lang w:val="da-DK"/>
                <w14:ligatures w14:val="standardContextual"/>
              </w:rPr>
              <w:t>)</w:t>
            </w:r>
          </w:p>
        </w:tc>
        <w:tc>
          <w:tcPr>
            <w:tcW w:w="4580" w:type="dxa"/>
            <w:tcBorders>
              <w:top w:val="single" w:sz="4" w:space="0" w:color="000000"/>
              <w:left w:val="single" w:sz="4" w:space="0" w:color="000000"/>
              <w:bottom w:val="single" w:sz="4" w:space="0" w:color="000000"/>
              <w:right w:val="single" w:sz="4" w:space="0" w:color="000000"/>
            </w:tcBorders>
            <w:hideMark/>
          </w:tcPr>
          <w:p w14:paraId="6474048F"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á</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 xml:space="preserve">mg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r>
      <w:tr w:rsidR="00886871" w14:paraId="128B5707"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12C61CEF"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 af DVT og LE samt forebyggelse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recidiverende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DVT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LE hos voksne (DVT/LE)</w:t>
            </w:r>
          </w:p>
        </w:tc>
        <w:tc>
          <w:tcPr>
            <w:tcW w:w="4580" w:type="dxa"/>
            <w:tcBorders>
              <w:top w:val="single" w:sz="4" w:space="0" w:color="000000"/>
              <w:left w:val="single" w:sz="4" w:space="0" w:color="000000"/>
              <w:bottom w:val="single" w:sz="4" w:space="0" w:color="000000"/>
              <w:right w:val="single" w:sz="4" w:space="0" w:color="000000"/>
            </w:tcBorders>
            <w:hideMark/>
          </w:tcPr>
          <w:p w14:paraId="5550A9B5"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300 mg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á</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150 mg 2 gange dagligt efter forudgående parenteral antikoagulansbehandling i mindst 5 dage</w:t>
            </w:r>
          </w:p>
        </w:tc>
      </w:tr>
      <w:tr w:rsidR="00886871" w14:paraId="5EF93017"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6966BF5" w14:textId="77777777" w:rsidR="00886871" w:rsidRDefault="00886871" w:rsidP="00146E50">
            <w:pPr>
              <w:pStyle w:val="TableParagraph"/>
              <w:keepNext/>
              <w:keepLines/>
              <w:widowControl/>
              <w:spacing w:line="240" w:lineRule="auto"/>
              <w:ind w:right="113"/>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Anbefalet</w:t>
            </w:r>
            <w:r>
              <w:rPr>
                <w:rFonts w:asciiTheme="majorBidi" w:hAnsiTheme="majorBidi" w:cstheme="majorBidi"/>
                <w:b/>
                <w:i/>
                <w:spacing w:val="-3"/>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dosisreduktion</w:t>
            </w:r>
          </w:p>
        </w:tc>
        <w:tc>
          <w:tcPr>
            <w:tcW w:w="4580" w:type="dxa"/>
            <w:tcBorders>
              <w:top w:val="single" w:sz="4" w:space="0" w:color="000000"/>
              <w:left w:val="single" w:sz="4" w:space="0" w:color="000000"/>
              <w:bottom w:val="single" w:sz="4" w:space="0" w:color="000000"/>
              <w:right w:val="single" w:sz="4" w:space="0" w:color="000000"/>
            </w:tcBorders>
          </w:tcPr>
          <w:p w14:paraId="53B84342"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r>
      <w:tr w:rsidR="00886871" w14:paraId="6E12F57D"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18B6B88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alderen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80 </w:t>
            </w:r>
            <w:r>
              <w:rPr>
                <w:rFonts w:asciiTheme="majorBidi" w:hAnsiTheme="majorBidi" w:cstheme="majorBidi"/>
                <w:spacing w:val="-5"/>
                <w:kern w:val="2"/>
                <w:lang w:val="da-DK"/>
                <w14:ligatures w14:val="standardContextual"/>
              </w:rPr>
              <w:t>år</w:t>
            </w:r>
          </w:p>
        </w:tc>
        <w:tc>
          <w:tcPr>
            <w:tcW w:w="4580" w:type="dxa"/>
            <w:vMerge w:val="restart"/>
            <w:tcBorders>
              <w:top w:val="single" w:sz="4" w:space="0" w:color="000000"/>
              <w:left w:val="single" w:sz="4" w:space="0" w:color="000000"/>
              <w:bottom w:val="single" w:sz="4" w:space="0" w:color="000000"/>
              <w:right w:val="single" w:sz="4" w:space="0" w:color="000000"/>
            </w:tcBorders>
            <w:hideMark/>
          </w:tcPr>
          <w:p w14:paraId="34D1C22D"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Daglig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220 mg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som 1 kapsel á 110 mg 2 gange dagligt</w:t>
            </w:r>
          </w:p>
        </w:tc>
      </w:tr>
      <w:tr w:rsidR="00886871" w14:paraId="3128F8C0"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68609EA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samtidigt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får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verapamil</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5DB2D883" w14:textId="77777777" w:rsidR="00886871" w:rsidRDefault="00886871" w:rsidP="00146E50">
            <w:pPr>
              <w:rPr>
                <w:rFonts w:asciiTheme="majorBidi" w:hAnsiTheme="majorBidi" w:cstheme="majorBidi"/>
                <w:kern w:val="2"/>
                <w:sz w:val="22"/>
                <w:szCs w:val="22"/>
                <w14:ligatures w14:val="standardContextual"/>
              </w:rPr>
            </w:pPr>
          </w:p>
        </w:tc>
      </w:tr>
      <w:tr w:rsidR="00886871" w14:paraId="7FFC2B24"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BDBAB74" w14:textId="77777777" w:rsidR="00886871" w:rsidRDefault="00886871" w:rsidP="00146E50">
            <w:pPr>
              <w:pStyle w:val="TableParagraph"/>
              <w:keepNext/>
              <w:keepLines/>
              <w:widowControl/>
              <w:spacing w:line="240" w:lineRule="auto"/>
              <w:ind w:right="113"/>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Dosisreduktion</w:t>
            </w:r>
            <w:r>
              <w:rPr>
                <w:rFonts w:asciiTheme="majorBidi" w:hAnsiTheme="majorBidi" w:cstheme="majorBidi"/>
                <w:b/>
                <w:i/>
                <w:spacing w:val="-9"/>
                <w:kern w:val="2"/>
                <w:u w:val="single"/>
                <w:lang w:val="da-DK"/>
                <w14:ligatures w14:val="standardContextual"/>
              </w:rPr>
              <w:t xml:space="preserve"> </w:t>
            </w:r>
            <w:r>
              <w:rPr>
                <w:rFonts w:asciiTheme="majorBidi" w:hAnsiTheme="majorBidi" w:cstheme="majorBidi"/>
                <w:b/>
                <w:i/>
                <w:kern w:val="2"/>
                <w:u w:val="single"/>
                <w:lang w:val="da-DK"/>
                <w14:ligatures w14:val="standardContextual"/>
              </w:rPr>
              <w:t>til</w:t>
            </w:r>
            <w:r>
              <w:rPr>
                <w:rFonts w:asciiTheme="majorBidi" w:hAnsiTheme="majorBidi" w:cstheme="majorBidi"/>
                <w:b/>
                <w:i/>
                <w:spacing w:val="-8"/>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overvejelse</w:t>
            </w:r>
          </w:p>
        </w:tc>
        <w:tc>
          <w:tcPr>
            <w:tcW w:w="4580" w:type="dxa"/>
            <w:tcBorders>
              <w:top w:val="single" w:sz="4" w:space="0" w:color="000000"/>
              <w:left w:val="single" w:sz="4" w:space="0" w:color="000000"/>
              <w:bottom w:val="single" w:sz="4" w:space="0" w:color="000000"/>
              <w:right w:val="single" w:sz="4" w:space="0" w:color="000000"/>
            </w:tcBorders>
          </w:tcPr>
          <w:p w14:paraId="054D427B"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r>
      <w:tr w:rsidR="00886871" w14:paraId="018938B3"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81008B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75-80 </w:t>
            </w:r>
            <w:r>
              <w:rPr>
                <w:rFonts w:asciiTheme="majorBidi" w:hAnsiTheme="majorBidi" w:cstheme="majorBidi"/>
                <w:spacing w:val="-5"/>
                <w:kern w:val="2"/>
                <w:lang w:val="da-DK"/>
                <w14:ligatures w14:val="standardContextual"/>
              </w:rPr>
              <w:t>år</w:t>
            </w:r>
          </w:p>
        </w:tc>
        <w:tc>
          <w:tcPr>
            <w:tcW w:w="4580" w:type="dxa"/>
            <w:vMerge w:val="restart"/>
            <w:tcBorders>
              <w:top w:val="single" w:sz="4" w:space="0" w:color="000000"/>
              <w:left w:val="single" w:sz="4" w:space="0" w:color="000000"/>
              <w:bottom w:val="single" w:sz="4" w:space="0" w:color="000000"/>
              <w:right w:val="single" w:sz="4" w:space="0" w:color="000000"/>
            </w:tcBorders>
            <w:hideMark/>
          </w:tcPr>
          <w:p w14:paraId="6A2AA858"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Daglig dosis på 300 mg eller 220 mg 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vælges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baseret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xml:space="preserve">individuel vurdering af den tromboemboliske risiko og </w:t>
            </w:r>
            <w:r>
              <w:rPr>
                <w:rFonts w:asciiTheme="majorBidi" w:hAnsiTheme="majorBidi" w:cstheme="majorBidi"/>
                <w:spacing w:val="-2"/>
                <w:kern w:val="2"/>
                <w:lang w:val="da-DK"/>
                <w14:ligatures w14:val="standardContextual"/>
              </w:rPr>
              <w:t>blødningsrisikoen</w:t>
            </w:r>
          </w:p>
        </w:tc>
      </w:tr>
      <w:tr w:rsidR="00886871" w14:paraId="0517F162"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850E0C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moderat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nedsat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nyrefunktion (CrCL 30-50 ml/min)</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21CB08A9" w14:textId="77777777" w:rsidR="00886871" w:rsidRDefault="00886871" w:rsidP="00146E50">
            <w:pPr>
              <w:rPr>
                <w:rFonts w:asciiTheme="majorBidi" w:hAnsiTheme="majorBidi" w:cstheme="majorBidi"/>
                <w:kern w:val="2"/>
                <w:sz w:val="22"/>
                <w:szCs w:val="22"/>
                <w14:ligatures w14:val="standardContextual"/>
              </w:rPr>
            </w:pPr>
          </w:p>
        </w:tc>
      </w:tr>
      <w:tr w:rsidR="00886871" w14:paraId="268C9CC1"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0293FE5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gastritis,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øsofagitis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or gastroøsofageal refluks</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0291984E" w14:textId="77777777" w:rsidR="00886871" w:rsidRDefault="00886871" w:rsidP="00146E50">
            <w:pPr>
              <w:rPr>
                <w:rFonts w:asciiTheme="majorBidi" w:hAnsiTheme="majorBidi" w:cstheme="majorBidi"/>
                <w:kern w:val="2"/>
                <w:sz w:val="22"/>
                <w:szCs w:val="22"/>
                <w14:ligatures w14:val="standardContextual"/>
              </w:rPr>
            </w:pPr>
          </w:p>
        </w:tc>
      </w:tr>
      <w:tr w:rsidR="00886871" w14:paraId="3DDCBD26" w14:textId="77777777" w:rsidTr="00886871">
        <w:trPr>
          <w:cantSplit/>
          <w:trHeight w:val="20"/>
        </w:trPr>
        <w:tc>
          <w:tcPr>
            <w:tcW w:w="4492" w:type="dxa"/>
            <w:tcBorders>
              <w:top w:val="single" w:sz="4" w:space="0" w:color="000000"/>
              <w:left w:val="single" w:sz="4" w:space="0" w:color="000000"/>
              <w:bottom w:val="single" w:sz="4" w:space="0" w:color="000000"/>
              <w:right w:val="single" w:sz="4" w:space="0" w:color="000000"/>
            </w:tcBorders>
            <w:hideMark/>
          </w:tcPr>
          <w:p w14:paraId="7B66519D"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Andre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blødningsrisiko</w:t>
            </w:r>
          </w:p>
        </w:tc>
        <w:tc>
          <w:tcPr>
            <w:tcW w:w="4580" w:type="dxa"/>
            <w:vMerge/>
            <w:tcBorders>
              <w:top w:val="single" w:sz="4" w:space="0" w:color="000000"/>
              <w:left w:val="single" w:sz="4" w:space="0" w:color="000000"/>
              <w:bottom w:val="single" w:sz="4" w:space="0" w:color="000000"/>
              <w:right w:val="single" w:sz="4" w:space="0" w:color="000000"/>
            </w:tcBorders>
            <w:vAlign w:val="center"/>
            <w:hideMark/>
          </w:tcPr>
          <w:p w14:paraId="1F55E91D" w14:textId="77777777" w:rsidR="00886871" w:rsidRDefault="00886871" w:rsidP="00146E50">
            <w:pPr>
              <w:rPr>
                <w:rFonts w:asciiTheme="majorBidi" w:hAnsiTheme="majorBidi" w:cstheme="majorBidi"/>
                <w:kern w:val="2"/>
                <w:sz w:val="22"/>
                <w:szCs w:val="22"/>
                <w14:ligatures w14:val="standardContextual"/>
              </w:rPr>
            </w:pPr>
          </w:p>
        </w:tc>
      </w:tr>
    </w:tbl>
    <w:p w14:paraId="58513CC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F96C184"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Den anbefalede dosering af dabigatranetexilat på 220 mg som 1 kapsel á 110 mg 2 gange dagligt til DVT/LE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undersøgt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studier,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farmakokinetiske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farmakodynamiske analyser. Se nedenfor samt pkt. 4.4, 4.5, 5.1 og 5.2.</w:t>
      </w:r>
    </w:p>
    <w:p w14:paraId="158AC98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86150EE"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Ved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intolerans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instrueres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straks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kontakte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behandlende læge for at blive omstillet til alternative behandlingsmuligheder for forebyggelse af apopleksi og systemisk emboli i forbindelse med atrieflimren eller for DVT/LE.</w:t>
      </w:r>
    </w:p>
    <w:p w14:paraId="186A5FA1"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3E35A90"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lastRenderedPageBreak/>
        <w:t>Vurdering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nyrefunktionen</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før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og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under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behandling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med</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04160D33" w14:textId="77777777" w:rsidR="00886871" w:rsidRPr="00146E50" w:rsidRDefault="00886871" w:rsidP="00146E50">
      <w:pPr>
        <w:pStyle w:val="Brdtekst"/>
        <w:keepNext/>
        <w:keepLines/>
        <w:widowControl/>
        <w:ind w:left="851"/>
        <w:rPr>
          <w:rFonts w:asciiTheme="majorBidi" w:hAnsiTheme="majorBidi" w:cstheme="majorBidi"/>
          <w:i/>
          <w:sz w:val="24"/>
          <w:szCs w:val="24"/>
          <w:lang w:val="da-DK"/>
        </w:rPr>
      </w:pPr>
    </w:p>
    <w:p w14:paraId="5D050A8F" w14:textId="77777777" w:rsidR="00886871" w:rsidRPr="00146E50" w:rsidRDefault="00886871" w:rsidP="00146E50">
      <w:pPr>
        <w:pStyle w:val="Brdtekst"/>
        <w:keepNext/>
        <w:keepLines/>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Alle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især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ældre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75 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forekomme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hyppigt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 xml:space="preserve">denne </w:t>
      </w:r>
      <w:r w:rsidRPr="00146E50">
        <w:rPr>
          <w:rFonts w:asciiTheme="majorBidi" w:hAnsiTheme="majorBidi" w:cstheme="majorBidi"/>
          <w:spacing w:val="-2"/>
          <w:sz w:val="24"/>
          <w:szCs w:val="24"/>
          <w:lang w:val="da-DK"/>
        </w:rPr>
        <w:t>aldersgruppe:</w:t>
      </w:r>
    </w:p>
    <w:p w14:paraId="44114485" w14:textId="77777777" w:rsidR="00BE2F00" w:rsidRPr="00BE2F00" w:rsidRDefault="00BE2F00" w:rsidP="00BE2F00">
      <w:pPr>
        <w:pStyle w:val="Brdtekst"/>
        <w:widowControl/>
        <w:numPr>
          <w:ilvl w:val="2"/>
          <w:numId w:val="18"/>
        </w:numPr>
        <w:ind w:left="1134" w:hanging="283"/>
        <w:rPr>
          <w:rFonts w:asciiTheme="majorBidi" w:hAnsiTheme="majorBidi" w:cstheme="majorBidi"/>
          <w:sz w:val="24"/>
          <w:szCs w:val="24"/>
        </w:rPr>
      </w:pPr>
      <w:r w:rsidRPr="00BE2F00">
        <w:rPr>
          <w:rFonts w:asciiTheme="majorBidi" w:hAnsiTheme="majorBidi" w:cstheme="majorBidi"/>
          <w:sz w:val="24"/>
          <w:szCs w:val="24"/>
        </w:rPr>
        <w:t>Før påbegyndelse af behandling med dabigatranetexilat bør nyrefunktionen vurderes ved beregning af kreatininclearance (CrCL) for at ekskludere patienter med svært nedsat nyrefunktion (dvs. CrCL &lt; 30 ml/min) (se pkt. 4.3, 4.4 og 5.2).</w:t>
      </w:r>
    </w:p>
    <w:p w14:paraId="657E85F8" w14:textId="77777777" w:rsidR="00BE2F00" w:rsidRPr="00BE2F00" w:rsidRDefault="00BE2F00" w:rsidP="00BE2F00">
      <w:pPr>
        <w:pStyle w:val="Brdtekst"/>
        <w:widowControl/>
        <w:numPr>
          <w:ilvl w:val="2"/>
          <w:numId w:val="18"/>
        </w:numPr>
        <w:ind w:left="1134" w:hanging="283"/>
        <w:rPr>
          <w:rFonts w:asciiTheme="majorBidi" w:hAnsiTheme="majorBidi" w:cstheme="majorBidi"/>
          <w:sz w:val="24"/>
          <w:szCs w:val="24"/>
        </w:rPr>
      </w:pPr>
      <w:r w:rsidRPr="00BE2F00">
        <w:rPr>
          <w:rFonts w:asciiTheme="majorBidi" w:hAnsiTheme="majorBidi" w:cstheme="majorBidi"/>
          <w:sz w:val="24"/>
          <w:szCs w:val="24"/>
        </w:rPr>
        <w:t>Under behandlingen bør nyrefunktionen også vurderes, hvis der er mistanke om fald i nyrefunktionen (f.eks. hypovolæmi, dehydrering eller i tilfælde af samtidig behandling med visse lægemidler).</w:t>
      </w:r>
    </w:p>
    <w:p w14:paraId="19E63DC9" w14:textId="77777777" w:rsidR="00886871" w:rsidRPr="00BE2F00" w:rsidRDefault="00886871" w:rsidP="00146E50">
      <w:pPr>
        <w:pStyle w:val="Brdtekst"/>
        <w:widowControl/>
        <w:ind w:left="851"/>
        <w:rPr>
          <w:rFonts w:asciiTheme="majorBidi" w:hAnsiTheme="majorBidi" w:cstheme="majorBidi"/>
          <w:sz w:val="24"/>
          <w:szCs w:val="24"/>
        </w:rPr>
      </w:pPr>
    </w:p>
    <w:p w14:paraId="30DCF4FA"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Yderligere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krav</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let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moderat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over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75 </w:t>
      </w:r>
      <w:r w:rsidRPr="00146E50">
        <w:rPr>
          <w:rFonts w:asciiTheme="majorBidi" w:hAnsiTheme="majorBidi" w:cstheme="majorBidi"/>
          <w:spacing w:val="-5"/>
          <w:sz w:val="24"/>
          <w:szCs w:val="24"/>
          <w:lang w:val="da-DK"/>
        </w:rPr>
        <w:t>år:</w:t>
      </w:r>
    </w:p>
    <w:p w14:paraId="27AEF410" w14:textId="77777777" w:rsidR="00886871" w:rsidRPr="00146E50" w:rsidRDefault="00886871" w:rsidP="00146E50">
      <w:pPr>
        <w:pStyle w:val="Listeafsnit"/>
        <w:widowControl/>
        <w:numPr>
          <w:ilvl w:val="2"/>
          <w:numId w:val="7"/>
        </w:numPr>
        <w:ind w:left="1134" w:hanging="283"/>
        <w:rPr>
          <w:rFonts w:asciiTheme="majorBidi" w:hAnsiTheme="majorBidi" w:cstheme="majorBidi"/>
          <w:sz w:val="24"/>
          <w:szCs w:val="24"/>
          <w:lang w:val="da-DK"/>
        </w:rPr>
      </w:pPr>
      <w:r w:rsidRPr="00146E50">
        <w:rPr>
          <w:rFonts w:asciiTheme="majorBidi" w:hAnsiTheme="majorBidi" w:cstheme="majorBidi"/>
          <w:sz w:val="24"/>
          <w:szCs w:val="24"/>
          <w:lang w:val="da-DK"/>
        </w:rPr>
        <w:t>Under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årligt eller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oftere,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hvis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opstår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situationer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mistanke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indtræde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fald eller en forringelse i nyrefunktionen (f.eks. hypovolæmi, dehydrering eller ved samtidig behandling med visse lægemidler).</w:t>
      </w:r>
    </w:p>
    <w:p w14:paraId="7DD5CA1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DB71B7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Metoden,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estimere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 xml:space="preserve">Cockcroft-Gault- </w:t>
      </w:r>
      <w:r w:rsidRPr="00146E50">
        <w:rPr>
          <w:rFonts w:asciiTheme="majorBidi" w:hAnsiTheme="majorBidi" w:cstheme="majorBidi"/>
          <w:spacing w:val="-2"/>
          <w:sz w:val="24"/>
          <w:szCs w:val="24"/>
          <w:lang w:val="da-DK"/>
        </w:rPr>
        <w:t>metoden.</w:t>
      </w:r>
    </w:p>
    <w:p w14:paraId="44A4895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7363096"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Behandlingsvarighed</w:t>
      </w:r>
    </w:p>
    <w:p w14:paraId="25258BCB" w14:textId="1D250A00"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Behandlingsvarigheden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indikationerne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SPAF,</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DVT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LE</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vises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7"/>
          <w:sz w:val="24"/>
          <w:szCs w:val="24"/>
          <w:lang w:val="da-DK"/>
        </w:rPr>
        <w:t xml:space="preserve"> </w:t>
      </w:r>
      <w:r w:rsidR="00BE2F00">
        <w:rPr>
          <w:rFonts w:asciiTheme="majorBidi" w:hAnsiTheme="majorBidi" w:cstheme="majorBidi"/>
          <w:spacing w:val="-7"/>
          <w:sz w:val="24"/>
          <w:szCs w:val="24"/>
          <w:lang w:val="da-DK"/>
        </w:rPr>
        <w:t>2</w:t>
      </w:r>
      <w:r w:rsidRPr="00146E50">
        <w:rPr>
          <w:rFonts w:asciiTheme="majorBidi" w:hAnsiTheme="majorBidi" w:cstheme="majorBidi"/>
          <w:spacing w:val="-5"/>
          <w:sz w:val="24"/>
          <w:szCs w:val="24"/>
          <w:lang w:val="da-DK"/>
        </w:rPr>
        <w:t>.</w:t>
      </w:r>
    </w:p>
    <w:p w14:paraId="2C70B633"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B0A98FE" w14:textId="04B344BE"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sidR="00BE2F00">
        <w:rPr>
          <w:rFonts w:asciiTheme="majorBidi" w:hAnsiTheme="majorBidi" w:cstheme="majorBidi"/>
          <w:spacing w:val="-5"/>
          <w:lang w:val="da-DK"/>
        </w:rPr>
        <w:t>2</w:t>
      </w:r>
      <w:r>
        <w:rPr>
          <w:rFonts w:asciiTheme="majorBidi" w:hAnsiTheme="majorBidi" w:cstheme="majorBidi"/>
          <w:spacing w:val="-5"/>
          <w:lang w:val="da-DK"/>
        </w:rPr>
        <w:t>:</w:t>
      </w:r>
      <w:r>
        <w:rPr>
          <w:rFonts w:asciiTheme="majorBidi" w:hAnsiTheme="majorBidi" w:cstheme="majorBidi"/>
          <w:lang w:val="da-DK"/>
        </w:rPr>
        <w:tab/>
        <w:t>Behandlingsvarighed</w:t>
      </w:r>
      <w:r>
        <w:rPr>
          <w:rFonts w:asciiTheme="majorBidi" w:hAnsiTheme="majorBidi" w:cstheme="majorBidi"/>
          <w:spacing w:val="-9"/>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SPAF</w:t>
      </w:r>
      <w:r>
        <w:rPr>
          <w:rFonts w:asciiTheme="majorBidi" w:hAnsiTheme="majorBidi" w:cstheme="majorBidi"/>
          <w:spacing w:val="-7"/>
          <w:lang w:val="da-DK"/>
        </w:rPr>
        <w:t xml:space="preserve"> </w:t>
      </w:r>
      <w:r>
        <w:rPr>
          <w:rFonts w:asciiTheme="majorBidi" w:hAnsiTheme="majorBidi" w:cstheme="majorBidi"/>
          <w:lang w:val="da-DK"/>
        </w:rPr>
        <w:t>og</w:t>
      </w:r>
      <w:r>
        <w:rPr>
          <w:rFonts w:asciiTheme="majorBidi" w:hAnsiTheme="majorBidi" w:cstheme="majorBidi"/>
          <w:spacing w:val="-7"/>
          <w:lang w:val="da-DK"/>
        </w:rPr>
        <w:t xml:space="preserve"> </w:t>
      </w:r>
      <w:r>
        <w:rPr>
          <w:rFonts w:asciiTheme="majorBidi" w:hAnsiTheme="majorBidi" w:cstheme="majorBidi"/>
          <w:spacing w:val="-2"/>
          <w:lang w:val="da-DK"/>
        </w:rPr>
        <w:t>DVT/LE</w:t>
      </w:r>
    </w:p>
    <w:p w14:paraId="609C39A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57"/>
      </w:tblGrid>
      <w:tr w:rsidR="00886871" w14:paraId="27A857BA" w14:textId="77777777" w:rsidTr="00886871">
        <w:trPr>
          <w:cantSplit/>
          <w:trHeight w:val="20"/>
          <w:tblHeader/>
        </w:trPr>
        <w:tc>
          <w:tcPr>
            <w:tcW w:w="1418" w:type="dxa"/>
            <w:tcBorders>
              <w:top w:val="single" w:sz="4" w:space="0" w:color="000000"/>
              <w:left w:val="single" w:sz="4" w:space="0" w:color="000000"/>
              <w:bottom w:val="single" w:sz="4" w:space="0" w:color="000000"/>
              <w:right w:val="single" w:sz="4" w:space="0" w:color="000000"/>
            </w:tcBorders>
            <w:hideMark/>
          </w:tcPr>
          <w:p w14:paraId="645C1BAC" w14:textId="77777777" w:rsidR="00886871" w:rsidRDefault="00886871" w:rsidP="00146E50">
            <w:pPr>
              <w:pStyle w:val="TableParagraph"/>
              <w:keepNext/>
              <w:keepLines/>
              <w:widowControl/>
              <w:spacing w:line="240" w:lineRule="auto"/>
              <w:ind w:left="108"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Indikation</w:t>
            </w:r>
          </w:p>
        </w:tc>
        <w:tc>
          <w:tcPr>
            <w:tcW w:w="7654" w:type="dxa"/>
            <w:tcBorders>
              <w:top w:val="single" w:sz="4" w:space="0" w:color="000000"/>
              <w:left w:val="single" w:sz="4" w:space="0" w:color="000000"/>
              <w:bottom w:val="single" w:sz="4" w:space="0" w:color="000000"/>
              <w:right w:val="single" w:sz="4" w:space="0" w:color="000000"/>
            </w:tcBorders>
            <w:hideMark/>
          </w:tcPr>
          <w:p w14:paraId="3C9E802F" w14:textId="77777777" w:rsidR="00886871" w:rsidRDefault="00886871" w:rsidP="00146E50">
            <w:pPr>
              <w:pStyle w:val="TableParagraph"/>
              <w:keepNext/>
              <w:keepLines/>
              <w:widowControl/>
              <w:spacing w:line="240" w:lineRule="auto"/>
              <w:ind w:left="108" w:right="113"/>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Behandlingsvarighed</w:t>
            </w:r>
          </w:p>
        </w:tc>
      </w:tr>
      <w:tr w:rsidR="00886871" w14:paraId="0BB4E07D" w14:textId="77777777" w:rsidTr="00886871">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003A4D72"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SPAF</w:t>
            </w:r>
          </w:p>
        </w:tc>
        <w:tc>
          <w:tcPr>
            <w:tcW w:w="7654" w:type="dxa"/>
            <w:tcBorders>
              <w:top w:val="single" w:sz="4" w:space="0" w:color="000000"/>
              <w:left w:val="single" w:sz="4" w:space="0" w:color="000000"/>
              <w:bottom w:val="single" w:sz="4" w:space="0" w:color="000000"/>
              <w:right w:val="single" w:sz="4" w:space="0" w:color="000000"/>
            </w:tcBorders>
            <w:hideMark/>
          </w:tcPr>
          <w:p w14:paraId="57B9BDD8"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fortsættes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lang</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sigt.</w:t>
            </w:r>
          </w:p>
        </w:tc>
      </w:tr>
      <w:tr w:rsidR="00886871" w14:paraId="5F59EF24" w14:textId="77777777" w:rsidTr="00886871">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3514D52E"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DVT/LE</w:t>
            </w:r>
          </w:p>
        </w:tc>
        <w:tc>
          <w:tcPr>
            <w:tcW w:w="7654" w:type="dxa"/>
            <w:tcBorders>
              <w:top w:val="single" w:sz="4" w:space="0" w:color="000000"/>
              <w:left w:val="single" w:sz="4" w:space="0" w:color="000000"/>
              <w:bottom w:val="single" w:sz="4" w:space="0" w:color="000000"/>
              <w:right w:val="single" w:sz="4" w:space="0" w:color="000000"/>
            </w:tcBorders>
            <w:hideMark/>
          </w:tcPr>
          <w:p w14:paraId="7B432145"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Behandlingsvarigheden</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individualiseres</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nøje</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vurdering</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af behandlingsfordele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forhold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blødninger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6"/>
                <w:kern w:val="2"/>
                <w:lang w:val="da-DK"/>
                <w14:ligatures w14:val="standardContextual"/>
              </w:rPr>
              <w:t> </w:t>
            </w:r>
            <w:r>
              <w:rPr>
                <w:rFonts w:asciiTheme="majorBidi" w:hAnsiTheme="majorBidi" w:cstheme="majorBidi"/>
                <w:spacing w:val="-2"/>
                <w:kern w:val="2"/>
                <w:lang w:val="da-DK"/>
                <w14:ligatures w14:val="standardContextual"/>
              </w:rPr>
              <w:t>4.4).</w:t>
            </w:r>
          </w:p>
          <w:p w14:paraId="596052E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korte behandlingsforløb (mindst 3 måneder) baseres det på forbigående risikofaktorer (f.eks. nylig operation, traume, immobilisering) og ved længerevarende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behandlingsforløb</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mod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permanente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risikofaktorer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idiopatisk DVT eller LE.</w:t>
            </w:r>
          </w:p>
        </w:tc>
      </w:tr>
    </w:tbl>
    <w:p w14:paraId="183815E4" w14:textId="77777777" w:rsidR="00886871" w:rsidRPr="00146E50" w:rsidRDefault="00886871" w:rsidP="00146E50">
      <w:pPr>
        <w:pStyle w:val="Brdtekst"/>
        <w:widowControl/>
        <w:ind w:left="851"/>
        <w:rPr>
          <w:rFonts w:asciiTheme="majorBidi" w:hAnsiTheme="majorBidi" w:cstheme="majorBidi"/>
          <w:b/>
          <w:sz w:val="24"/>
          <w:szCs w:val="24"/>
          <w:lang w:val="da-DK"/>
        </w:rPr>
      </w:pPr>
    </w:p>
    <w:p w14:paraId="3AAC8F30"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Glemt</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dosis</w:t>
      </w:r>
    </w:p>
    <w:p w14:paraId="14C2C7F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glemt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6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planlagte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doseringstidspunkt.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 6 timer før næste planlagte dosis skal den glemte dosis ikke tages.</w:t>
      </w:r>
    </w:p>
    <w:p w14:paraId="0F7D131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C52F99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dobbeltdosis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erstatning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glemte,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enkelte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doser.</w:t>
      </w:r>
    </w:p>
    <w:p w14:paraId="263E8062"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6CFF79C"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Seponering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40FCF19E"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medicinsk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rådgivning.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 instrueres i at kontakte den behandlende læge, hvis de udvikler gastrointestinale symptomer, såsom dyspepsi (se pkt. 4.8).</w:t>
      </w:r>
    </w:p>
    <w:p w14:paraId="42CE228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9104121"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Behandlingsskift</w:t>
      </w:r>
    </w:p>
    <w:p w14:paraId="243A1F86"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antikoagulans:</w:t>
      </w:r>
    </w:p>
    <w:p w14:paraId="64D80F0D"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12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sidste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skifter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 parenteral antikoagulans (se pkt. 4.5).</w:t>
      </w:r>
    </w:p>
    <w:p w14:paraId="4FC6487A"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4D75999"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lastRenderedPageBreak/>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5494FDED"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parenterale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0</w:t>
      </w:r>
      <w:r w:rsidRPr="00146E50">
        <w:rPr>
          <w:rFonts w:asciiTheme="majorBidi" w:hAnsiTheme="majorBidi" w:cstheme="majorBidi"/>
          <w:sz w:val="24"/>
          <w:szCs w:val="24"/>
          <w:lang w:val="da-DK"/>
        </w:rPr>
        <w:noBreakHyphen/>
        <w:t>2 timer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det planlagte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 kontinuerlig behandling (f.eks. intravenøs ufraktioneret heparin (UFH)) (se pkt. 4.5).</w:t>
      </w:r>
    </w:p>
    <w:p w14:paraId="72DE418A"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385402C"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pacing w:val="-2"/>
          <w:sz w:val="24"/>
          <w:szCs w:val="24"/>
          <w:lang w:val="da-DK"/>
        </w:rPr>
        <w:t>(VKA):</w:t>
      </w:r>
    </w:p>
    <w:p w14:paraId="39FBA756" w14:textId="77777777" w:rsidR="00886871" w:rsidRPr="00146E50" w:rsidRDefault="00886871" w:rsidP="00146E50">
      <w:pPr>
        <w:pStyle w:val="Brdtekst"/>
        <w:keepNext/>
        <w:keepLines/>
        <w:widowControl/>
        <w:ind w:left="851"/>
        <w:rPr>
          <w:rFonts w:asciiTheme="majorBidi" w:hAnsiTheme="majorBidi" w:cstheme="majorBidi"/>
          <w:spacing w:val="-2"/>
          <w:sz w:val="24"/>
          <w:szCs w:val="24"/>
          <w:lang w:val="da-DK"/>
        </w:rPr>
      </w:pPr>
      <w:r w:rsidRPr="00146E50">
        <w:rPr>
          <w:rFonts w:asciiTheme="majorBidi" w:hAnsiTheme="majorBidi" w:cstheme="majorBidi"/>
          <w:sz w:val="24"/>
          <w:szCs w:val="24"/>
          <w:lang w:val="da-DK"/>
        </w:rPr>
        <w:t>Starttidspunkt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justeres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CrCL:</w:t>
      </w:r>
    </w:p>
    <w:p w14:paraId="2BA709DA" w14:textId="77777777" w:rsidR="00886871" w:rsidRPr="00146E50" w:rsidRDefault="00886871" w:rsidP="00146E50">
      <w:pPr>
        <w:pStyle w:val="Listeafsnit"/>
        <w:widowControl/>
        <w:numPr>
          <w:ilvl w:val="0"/>
          <w:numId w:val="9"/>
        </w:numPr>
        <w:tabs>
          <w:tab w:val="left" w:pos="1134"/>
        </w:tabs>
        <w:ind w:left="851" w:firstLine="0"/>
        <w:rPr>
          <w:rFonts w:asciiTheme="majorBidi" w:hAnsiTheme="majorBidi" w:cstheme="majorBidi"/>
          <w:sz w:val="24"/>
          <w:szCs w:val="24"/>
          <w:lang w:val="da-DK"/>
        </w:rPr>
      </w:pPr>
      <w:r w:rsidRPr="00146E50">
        <w:rPr>
          <w:rFonts w:asciiTheme="majorBidi" w:hAnsiTheme="majorBidi" w:cstheme="majorBidi"/>
          <w:sz w:val="24"/>
          <w:szCs w:val="24"/>
          <w:lang w:val="da-DK"/>
        </w:rPr>
        <w:t>CrCL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3 dage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ophør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4231B056" w14:textId="77777777" w:rsidR="00886871" w:rsidRPr="00146E50" w:rsidRDefault="00886871" w:rsidP="00146E50">
      <w:pPr>
        <w:pStyle w:val="Listeafsnit"/>
        <w:widowControl/>
        <w:numPr>
          <w:ilvl w:val="0"/>
          <w:numId w:val="9"/>
        </w:numPr>
        <w:tabs>
          <w:tab w:val="left" w:pos="1134"/>
        </w:tabs>
        <w:ind w:left="851" w:firstLine="0"/>
        <w:rPr>
          <w:rFonts w:asciiTheme="majorBidi" w:hAnsiTheme="majorBidi" w:cstheme="majorBidi"/>
          <w:sz w:val="24"/>
          <w:szCs w:val="24"/>
          <w:lang w:val="da-DK"/>
        </w:rPr>
      </w:pPr>
      <w:r w:rsidRPr="00146E50">
        <w:rPr>
          <w:rFonts w:asciiTheme="majorBidi" w:hAnsiTheme="majorBidi" w:cstheme="majorBidi"/>
          <w:sz w:val="24"/>
          <w:szCs w:val="24"/>
          <w:lang w:val="da-DK"/>
        </w:rPr>
        <w:t>CrCL</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30-&lt;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ml/min,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2 dage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ophør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0746994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A73F27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Måling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internationale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normaliserende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ratio</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bedre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afspejle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VKAs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effekt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2 dage efter, dabigatranetexilat er blevet seponeret, idet dabigatranetexilat kan påvirke INR. Indtil da bør INR-værdier tolkes med forsigtighed.</w:t>
      </w:r>
    </w:p>
    <w:p w14:paraId="0D28C03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6F634F7A"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4FECF66D" w14:textId="77777777" w:rsidR="00886871" w:rsidRPr="00146E50" w:rsidRDefault="00886871" w:rsidP="00146E50">
      <w:pPr>
        <w:pStyle w:val="Brdtekst"/>
        <w:widowControl/>
        <w:ind w:left="851"/>
        <w:rPr>
          <w:rFonts w:asciiTheme="majorBidi" w:hAnsiTheme="majorBidi" w:cstheme="majorBidi"/>
          <w:spacing w:val="-4"/>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stoppes.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Dabigatranetexilat-behandling</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&lt;</w:t>
      </w:r>
      <w:r w:rsidRPr="00146E50">
        <w:rPr>
          <w:rFonts w:asciiTheme="majorBidi" w:hAnsiTheme="majorBidi" w:cstheme="majorBidi"/>
          <w:spacing w:val="-6"/>
          <w:sz w:val="24"/>
          <w:szCs w:val="24"/>
          <w:lang w:val="da-DK"/>
        </w:rPr>
        <w:t> </w:t>
      </w:r>
      <w:r w:rsidRPr="00146E50">
        <w:rPr>
          <w:rFonts w:asciiTheme="majorBidi" w:hAnsiTheme="majorBidi" w:cstheme="majorBidi"/>
          <w:spacing w:val="-4"/>
          <w:sz w:val="24"/>
          <w:szCs w:val="24"/>
          <w:lang w:val="da-DK"/>
        </w:rPr>
        <w:t>2,0.</w:t>
      </w:r>
    </w:p>
    <w:p w14:paraId="50B69E38" w14:textId="77777777" w:rsidR="00886871" w:rsidRPr="00146E50" w:rsidRDefault="00886871" w:rsidP="00146E50">
      <w:pPr>
        <w:pStyle w:val="Brdtekst"/>
        <w:widowControl/>
        <w:ind w:left="851"/>
        <w:rPr>
          <w:rFonts w:asciiTheme="majorBidi" w:hAnsiTheme="majorBidi" w:cstheme="majorBidi"/>
          <w:spacing w:val="-4"/>
          <w:sz w:val="24"/>
          <w:szCs w:val="24"/>
          <w:lang w:val="da-DK"/>
        </w:rPr>
      </w:pPr>
    </w:p>
    <w:p w14:paraId="08E0B665"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Kardiovertering</w:t>
      </w:r>
      <w:r w:rsidRPr="00146E50">
        <w:rPr>
          <w:rFonts w:asciiTheme="majorBidi" w:hAnsiTheme="majorBidi" w:cstheme="majorBidi"/>
          <w:i/>
          <w:spacing w:val="15"/>
          <w:sz w:val="24"/>
          <w:szCs w:val="24"/>
          <w:u w:val="single"/>
        </w:rPr>
        <w:t xml:space="preserve"> </w:t>
      </w:r>
      <w:r w:rsidRPr="00146E50">
        <w:rPr>
          <w:rFonts w:asciiTheme="majorBidi" w:hAnsiTheme="majorBidi" w:cstheme="majorBidi"/>
          <w:i/>
          <w:spacing w:val="-2"/>
          <w:sz w:val="24"/>
          <w:szCs w:val="24"/>
          <w:u w:val="single"/>
        </w:rPr>
        <w:t>(SPAF)</w:t>
      </w:r>
    </w:p>
    <w:p w14:paraId="3E53AC35"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9"/>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forblive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forbindelse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6"/>
          <w:sz w:val="24"/>
          <w:szCs w:val="24"/>
          <w:lang w:val="da-DK"/>
        </w:rPr>
        <w:t xml:space="preserve"> </w:t>
      </w:r>
      <w:r w:rsidRPr="00146E50">
        <w:rPr>
          <w:rFonts w:asciiTheme="majorBidi" w:hAnsiTheme="majorBidi" w:cstheme="majorBidi"/>
          <w:spacing w:val="-2"/>
          <w:sz w:val="24"/>
          <w:szCs w:val="24"/>
          <w:lang w:val="da-DK"/>
        </w:rPr>
        <w:t>kardiovertering.</w:t>
      </w:r>
    </w:p>
    <w:p w14:paraId="2B0249C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1D5B0BD"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Kateterablation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for</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atrieflimren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pacing w:val="-2"/>
          <w:sz w:val="24"/>
          <w:szCs w:val="24"/>
          <w:u w:val="single"/>
        </w:rPr>
        <w:t>(SPAF)</w:t>
      </w:r>
    </w:p>
    <w:p w14:paraId="5B9F450C" w14:textId="77777777" w:rsidR="00BE2F00" w:rsidRPr="00BE2F00" w:rsidRDefault="00BE2F00" w:rsidP="00BE2F00">
      <w:pPr>
        <w:pStyle w:val="Brdtekst"/>
        <w:widowControl/>
        <w:ind w:left="851"/>
        <w:rPr>
          <w:rFonts w:asciiTheme="majorBidi" w:hAnsiTheme="majorBidi" w:cstheme="majorBidi"/>
          <w:sz w:val="24"/>
          <w:szCs w:val="24"/>
        </w:rPr>
      </w:pPr>
      <w:r w:rsidRPr="00BE2F00">
        <w:rPr>
          <w:rFonts w:asciiTheme="majorBidi" w:hAnsiTheme="majorBidi" w:cstheme="majorBidi"/>
          <w:sz w:val="24"/>
          <w:szCs w:val="24"/>
        </w:rPr>
        <w:t>Der kan udføres kateterablation hos patienter, der får behandling med dabigatranetexilat 150 mg to gange dagligt. Det er ikke nødvendigt at pausere behandlingen med dabigatranetexilat (se pkt. 5.1).</w:t>
      </w:r>
    </w:p>
    <w:p w14:paraId="45694A93" w14:textId="77777777" w:rsidR="00886871" w:rsidRPr="00BE2F00" w:rsidRDefault="00886871" w:rsidP="00146E50">
      <w:pPr>
        <w:pStyle w:val="Brdtekst"/>
        <w:widowControl/>
        <w:ind w:left="851"/>
        <w:rPr>
          <w:rFonts w:asciiTheme="majorBidi" w:hAnsiTheme="majorBidi" w:cstheme="majorBidi"/>
          <w:sz w:val="24"/>
          <w:szCs w:val="24"/>
        </w:rPr>
      </w:pPr>
    </w:p>
    <w:p w14:paraId="735ECEDA"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Perkutan</w:t>
      </w:r>
      <w:r w:rsidRPr="00146E50">
        <w:rPr>
          <w:rFonts w:asciiTheme="majorBidi" w:hAnsiTheme="majorBidi" w:cstheme="majorBidi"/>
          <w:i/>
          <w:spacing w:val="-10"/>
          <w:sz w:val="24"/>
          <w:szCs w:val="24"/>
          <w:u w:val="single"/>
        </w:rPr>
        <w:t xml:space="preserve"> </w:t>
      </w:r>
      <w:r w:rsidRPr="00146E50">
        <w:rPr>
          <w:rFonts w:asciiTheme="majorBidi" w:hAnsiTheme="majorBidi" w:cstheme="majorBidi"/>
          <w:i/>
          <w:sz w:val="24"/>
          <w:szCs w:val="24"/>
          <w:u w:val="single"/>
        </w:rPr>
        <w:t>koronar</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intervention</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(PCI)</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med</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z w:val="24"/>
          <w:szCs w:val="24"/>
          <w:u w:val="single"/>
        </w:rPr>
        <w:t>stenting</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pacing w:val="-2"/>
          <w:sz w:val="24"/>
          <w:szCs w:val="24"/>
          <w:u w:val="single"/>
        </w:rPr>
        <w:t>(SPAF)</w:t>
      </w:r>
    </w:p>
    <w:p w14:paraId="0744BBAF"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 med non-valvulær atrieflimren, der gennemgår PCI med stenting, kan behandles med 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kombination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trombocythæmmende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midler,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opnået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hæmostase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 pkt. 5.1).</w:t>
      </w:r>
    </w:p>
    <w:p w14:paraId="72E0EB1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9A87667"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Særlige</w:t>
      </w:r>
      <w:r w:rsidRPr="00146E50">
        <w:rPr>
          <w:rFonts w:asciiTheme="majorBidi" w:hAnsiTheme="majorBidi" w:cstheme="majorBidi"/>
          <w:i/>
          <w:spacing w:val="-7"/>
          <w:sz w:val="24"/>
          <w:szCs w:val="24"/>
          <w:u w:val="single"/>
        </w:rPr>
        <w:t xml:space="preserve"> </w:t>
      </w:r>
      <w:r w:rsidRPr="00146E50">
        <w:rPr>
          <w:rFonts w:asciiTheme="majorBidi" w:hAnsiTheme="majorBidi" w:cstheme="majorBidi"/>
          <w:i/>
          <w:spacing w:val="-2"/>
          <w:sz w:val="24"/>
          <w:szCs w:val="24"/>
          <w:u w:val="single"/>
        </w:rPr>
        <w:t>populationer</w:t>
      </w:r>
    </w:p>
    <w:p w14:paraId="0ED3102F" w14:textId="77777777" w:rsidR="00886871" w:rsidRPr="00146E50" w:rsidRDefault="00886871" w:rsidP="00146E50">
      <w:pPr>
        <w:pStyle w:val="Brdtekst"/>
        <w:keepNext/>
        <w:keepLines/>
        <w:widowControl/>
        <w:ind w:left="851"/>
        <w:rPr>
          <w:rFonts w:asciiTheme="majorBidi" w:hAnsiTheme="majorBidi" w:cstheme="majorBidi"/>
          <w:i/>
          <w:sz w:val="24"/>
          <w:szCs w:val="24"/>
          <w:lang w:val="da-DK"/>
        </w:rPr>
      </w:pPr>
    </w:p>
    <w:p w14:paraId="5220887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rPr>
        <w:t>Ældre</w:t>
      </w:r>
    </w:p>
    <w:p w14:paraId="128E1171" w14:textId="23A651CB"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dosismodifikationer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denne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population,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7"/>
          <w:sz w:val="24"/>
          <w:szCs w:val="24"/>
          <w:lang w:val="da-DK"/>
        </w:rPr>
        <w:t xml:space="preserve"> </w:t>
      </w:r>
      <w:r w:rsidR="00BE2F00">
        <w:rPr>
          <w:rFonts w:asciiTheme="majorBidi" w:hAnsiTheme="majorBidi" w:cstheme="majorBidi"/>
          <w:sz w:val="24"/>
          <w:szCs w:val="24"/>
          <w:lang w:val="da-DK"/>
        </w:rPr>
        <w:t>1</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ovenfor.</w:t>
      </w:r>
    </w:p>
    <w:p w14:paraId="6F3FCBE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D7F45E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t>Patienter</w:t>
      </w:r>
      <w:r w:rsidRPr="00146E50">
        <w:rPr>
          <w:rFonts w:asciiTheme="majorBidi" w:hAnsiTheme="majorBidi" w:cstheme="majorBidi"/>
          <w:i/>
          <w:spacing w:val="-6"/>
          <w:sz w:val="24"/>
          <w:szCs w:val="24"/>
        </w:rPr>
        <w:t xml:space="preserve"> </w:t>
      </w:r>
      <w:r w:rsidRPr="00146E50">
        <w:rPr>
          <w:rFonts w:asciiTheme="majorBidi" w:hAnsiTheme="majorBidi" w:cstheme="majorBidi"/>
          <w:i/>
          <w:sz w:val="24"/>
          <w:szCs w:val="24"/>
        </w:rPr>
        <w:t>med</w:t>
      </w:r>
      <w:r w:rsidRPr="00146E50">
        <w:rPr>
          <w:rFonts w:asciiTheme="majorBidi" w:hAnsiTheme="majorBidi" w:cstheme="majorBidi"/>
          <w:i/>
          <w:spacing w:val="-5"/>
          <w:sz w:val="24"/>
          <w:szCs w:val="24"/>
        </w:rPr>
        <w:t xml:space="preserve"> </w:t>
      </w:r>
      <w:r w:rsidRPr="00146E50">
        <w:rPr>
          <w:rFonts w:asciiTheme="majorBidi" w:hAnsiTheme="majorBidi" w:cstheme="majorBidi"/>
          <w:i/>
          <w:sz w:val="24"/>
          <w:szCs w:val="24"/>
        </w:rPr>
        <w:t>risiko</w:t>
      </w:r>
      <w:r w:rsidRPr="00146E50">
        <w:rPr>
          <w:rFonts w:asciiTheme="majorBidi" w:hAnsiTheme="majorBidi" w:cstheme="majorBidi"/>
          <w:i/>
          <w:spacing w:val="-5"/>
          <w:sz w:val="24"/>
          <w:szCs w:val="24"/>
        </w:rPr>
        <w:t xml:space="preserve"> </w:t>
      </w:r>
      <w:r w:rsidRPr="00146E50">
        <w:rPr>
          <w:rFonts w:asciiTheme="majorBidi" w:hAnsiTheme="majorBidi" w:cstheme="majorBidi"/>
          <w:i/>
          <w:sz w:val="24"/>
          <w:szCs w:val="24"/>
        </w:rPr>
        <w:t>for</w:t>
      </w:r>
      <w:r w:rsidRPr="00146E50">
        <w:rPr>
          <w:rFonts w:asciiTheme="majorBidi" w:hAnsiTheme="majorBidi" w:cstheme="majorBidi"/>
          <w:i/>
          <w:spacing w:val="-5"/>
          <w:sz w:val="24"/>
          <w:szCs w:val="24"/>
        </w:rPr>
        <w:t xml:space="preserve"> </w:t>
      </w:r>
      <w:r w:rsidRPr="00146E50">
        <w:rPr>
          <w:rFonts w:asciiTheme="majorBidi" w:hAnsiTheme="majorBidi" w:cstheme="majorBidi"/>
          <w:i/>
          <w:spacing w:val="-2"/>
          <w:sz w:val="24"/>
          <w:szCs w:val="24"/>
        </w:rPr>
        <w:t>blødning</w:t>
      </w:r>
    </w:p>
    <w:p w14:paraId="1E897753" w14:textId="1BF1FC60"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 med øget blødningsrisiko (se pkt. 4.4, 4.5, 5.1 og 5.2) bør klinisk nøje overvåges (for tegn på blødning eller anæmi). Dosisjustering bør besluttes efter vurdering af de potentielle fordele og risici</w:t>
      </w:r>
      <w:r w:rsidRPr="00146E50">
        <w:rPr>
          <w:rFonts w:asciiTheme="majorBidi" w:hAnsiTheme="majorBidi" w:cstheme="majorBidi"/>
          <w:spacing w:val="40"/>
          <w:sz w:val="24"/>
          <w:szCs w:val="24"/>
          <w:lang w:val="da-DK"/>
        </w:rPr>
        <w:t xml:space="preserve"> </w:t>
      </w:r>
      <w:r w:rsidRPr="00146E50">
        <w:rPr>
          <w:rFonts w:asciiTheme="majorBidi" w:hAnsiTheme="majorBidi" w:cstheme="majorBidi"/>
          <w:sz w:val="24"/>
          <w:szCs w:val="24"/>
          <w:lang w:val="da-DK"/>
        </w:rPr>
        <w:t>for den enkelte patient (se tabel </w:t>
      </w:r>
      <w:r w:rsidR="00BE2F00">
        <w:rPr>
          <w:rFonts w:asciiTheme="majorBidi" w:hAnsiTheme="majorBidi" w:cstheme="majorBidi"/>
          <w:sz w:val="24"/>
          <w:szCs w:val="24"/>
          <w:lang w:val="da-DK"/>
        </w:rPr>
        <w:t>1</w:t>
      </w:r>
      <w:r w:rsidRPr="00146E50">
        <w:rPr>
          <w:rFonts w:asciiTheme="majorBidi" w:hAnsiTheme="majorBidi" w:cstheme="majorBidi"/>
          <w:sz w:val="24"/>
          <w:szCs w:val="24"/>
          <w:lang w:val="da-DK"/>
        </w:rPr>
        <w:t xml:space="preserve"> ovenfor). En koagulationstest (se pkt. 4.4) kan hjælpe til at identificere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øget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blødningsrisiko</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følge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høj</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dabigatraneksponering.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høj dabigatraneksponering er identificeret hos patienter med høj risiko for blødning, anbefales en</w:t>
      </w:r>
      <w:r w:rsidRPr="00146E50">
        <w:rPr>
          <w:rFonts w:asciiTheme="majorBidi" w:hAnsiTheme="majorBidi" w:cstheme="majorBidi"/>
          <w:spacing w:val="40"/>
          <w:sz w:val="24"/>
          <w:szCs w:val="24"/>
          <w:lang w:val="da-DK"/>
        </w:rPr>
        <w:t xml:space="preserve"> </w:t>
      </w:r>
      <w:r w:rsidRPr="00146E50">
        <w:rPr>
          <w:rFonts w:asciiTheme="majorBidi" w:hAnsiTheme="majorBidi" w:cstheme="majorBidi"/>
          <w:sz w:val="24"/>
          <w:szCs w:val="24"/>
          <w:lang w:val="da-DK"/>
        </w:rPr>
        <w:t>reduceret dosis på 220 mg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som 1 kapsel á 110 mg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2 gange dagligt. Ved klinisk relevant blødning, skal behandlingen afbrydes.</w:t>
      </w:r>
    </w:p>
    <w:p w14:paraId="1AB35ED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6E4AB7C5" w14:textId="15F6B168"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gastritis,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øsofagitis,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gastroøsofageal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refluks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overvejes, grundet forhøjet risiko for alvorlig gastrointestinal blødning (se tabel </w:t>
      </w:r>
      <w:r w:rsidR="00B34C5A">
        <w:rPr>
          <w:rFonts w:asciiTheme="majorBidi" w:hAnsiTheme="majorBidi" w:cstheme="majorBidi"/>
          <w:sz w:val="24"/>
          <w:szCs w:val="24"/>
          <w:lang w:val="da-DK"/>
        </w:rPr>
        <w:t>1</w:t>
      </w:r>
      <w:r w:rsidRPr="00146E50">
        <w:rPr>
          <w:rFonts w:asciiTheme="majorBidi" w:hAnsiTheme="majorBidi" w:cstheme="majorBidi"/>
          <w:sz w:val="24"/>
          <w:szCs w:val="24"/>
          <w:lang w:val="da-DK"/>
        </w:rPr>
        <w:t xml:space="preserve"> ovenfor og pkt. 4.4).</w:t>
      </w:r>
    </w:p>
    <w:p w14:paraId="4378F3F5"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233CD5B"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lastRenderedPageBreak/>
        <w:t>Nedsat</w:t>
      </w:r>
      <w:r w:rsidRPr="00146E50">
        <w:rPr>
          <w:rFonts w:asciiTheme="majorBidi" w:hAnsiTheme="majorBidi" w:cstheme="majorBidi"/>
          <w:i/>
          <w:spacing w:val="-8"/>
          <w:sz w:val="24"/>
          <w:szCs w:val="24"/>
        </w:rPr>
        <w:t xml:space="preserve"> </w:t>
      </w:r>
      <w:r w:rsidRPr="00146E50">
        <w:rPr>
          <w:rFonts w:asciiTheme="majorBidi" w:hAnsiTheme="majorBidi" w:cstheme="majorBidi"/>
          <w:i/>
          <w:spacing w:val="-2"/>
          <w:sz w:val="24"/>
          <w:szCs w:val="24"/>
        </w:rPr>
        <w:t>nyrefunktion</w:t>
      </w:r>
    </w:p>
    <w:p w14:paraId="5A8994C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kontraindiceret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svært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nyrefunktion (CrCL &lt; 30 ml/min) (se pkt. 4.3).</w:t>
      </w:r>
    </w:p>
    <w:p w14:paraId="6B1D566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F89A661"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Dosisjustering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nedsat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(CrCL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50-≤</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 xml:space="preserve">80 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146E50">
        <w:rPr>
          <w:rFonts w:asciiTheme="majorBidi" w:hAnsiTheme="majorBidi" w:cstheme="majorBidi"/>
          <w:spacing w:val="-2"/>
          <w:sz w:val="24"/>
          <w:szCs w:val="24"/>
          <w:lang w:val="da-DK"/>
        </w:rPr>
        <w:t>nyrefunktion.</w:t>
      </w:r>
    </w:p>
    <w:p w14:paraId="3EC0D12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6246697" w14:textId="77777777" w:rsidR="00886871" w:rsidRPr="00146E50" w:rsidRDefault="00886871" w:rsidP="00146E50">
      <w:pPr>
        <w:ind w:left="851"/>
        <w:rPr>
          <w:rFonts w:asciiTheme="majorBidi" w:hAnsiTheme="majorBidi" w:cstheme="majorBidi"/>
          <w:i/>
          <w:sz w:val="24"/>
          <w:szCs w:val="24"/>
        </w:rPr>
      </w:pPr>
      <w:r w:rsidRPr="00146E50">
        <w:rPr>
          <w:rFonts w:asciiTheme="majorBidi" w:hAnsiTheme="majorBidi" w:cstheme="majorBidi"/>
          <w:i/>
          <w:sz w:val="24"/>
          <w:szCs w:val="24"/>
        </w:rPr>
        <w:t>Samtidig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behandling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med</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dabigatranetexilat</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og</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svage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til</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moderate</w:t>
      </w:r>
      <w:r w:rsidRPr="00146E50">
        <w:rPr>
          <w:rFonts w:asciiTheme="majorBidi" w:hAnsiTheme="majorBidi" w:cstheme="majorBidi"/>
          <w:i/>
          <w:spacing w:val="-3"/>
          <w:sz w:val="24"/>
          <w:szCs w:val="24"/>
        </w:rPr>
        <w:t xml:space="preserve"> </w:t>
      </w:r>
      <w:r w:rsidRPr="00146E50">
        <w:rPr>
          <w:rFonts w:asciiTheme="majorBidi" w:hAnsiTheme="majorBidi" w:cstheme="majorBidi"/>
          <w:i/>
          <w:sz w:val="24"/>
          <w:szCs w:val="24"/>
        </w:rPr>
        <w:t>P-glykoprotein</w:t>
      </w:r>
      <w:r w:rsidRPr="00146E50">
        <w:rPr>
          <w:rFonts w:asciiTheme="majorBidi" w:hAnsiTheme="majorBidi" w:cstheme="majorBidi"/>
          <w:i/>
          <w:spacing w:val="-4"/>
          <w:sz w:val="24"/>
          <w:szCs w:val="24"/>
        </w:rPr>
        <w:t xml:space="preserve"> </w:t>
      </w:r>
      <w:r w:rsidRPr="00146E50">
        <w:rPr>
          <w:rFonts w:asciiTheme="majorBidi" w:hAnsiTheme="majorBidi" w:cstheme="majorBidi"/>
          <w:i/>
          <w:sz w:val="24"/>
          <w:szCs w:val="24"/>
        </w:rPr>
        <w:t>(P-gp)-inhibitorer, dvs. amiodaron, quinidin eller verapamil</w:t>
      </w:r>
    </w:p>
    <w:p w14:paraId="3D8062C8" w14:textId="77777777" w:rsidR="00886871" w:rsidRPr="00146E50" w:rsidRDefault="00886871" w:rsidP="00146E50">
      <w:pPr>
        <w:pStyle w:val="Brdtekst"/>
        <w:widowControl/>
        <w:ind w:left="851"/>
        <w:rPr>
          <w:rFonts w:asciiTheme="majorBidi" w:hAnsiTheme="majorBidi" w:cstheme="majorBidi"/>
          <w:i/>
          <w:sz w:val="24"/>
          <w:szCs w:val="24"/>
          <w:lang w:val="da-DK"/>
        </w:rPr>
      </w:pPr>
    </w:p>
    <w:p w14:paraId="015A67C7" w14:textId="592CBDAE"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amiodaron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00DB68F8">
        <w:rPr>
          <w:rFonts w:asciiTheme="majorBidi" w:hAnsiTheme="majorBidi" w:cstheme="majorBidi"/>
          <w:spacing w:val="-3"/>
          <w:sz w:val="24"/>
          <w:szCs w:val="24"/>
          <w:lang w:val="da-DK"/>
        </w:rPr>
        <w:t>kinidin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2"/>
          <w:sz w:val="24"/>
          <w:szCs w:val="24"/>
          <w:lang w:val="da-DK"/>
        </w:rPr>
        <w:t> </w:t>
      </w:r>
      <w:r w:rsidRPr="00146E50">
        <w:rPr>
          <w:rFonts w:asciiTheme="majorBidi" w:hAnsiTheme="majorBidi" w:cstheme="majorBidi"/>
          <w:sz w:val="24"/>
          <w:szCs w:val="24"/>
          <w:lang w:val="da-DK"/>
        </w:rPr>
        <w:t>4.4, 4.5 og 5.2).</w:t>
      </w:r>
    </w:p>
    <w:p w14:paraId="044BFDF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25A707A" w14:textId="670F959F"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dosisreduktion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får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verapamil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4"/>
          <w:sz w:val="24"/>
          <w:szCs w:val="24"/>
          <w:lang w:val="da-DK"/>
        </w:rPr>
        <w:t> </w:t>
      </w:r>
      <w:r w:rsidR="0076491D">
        <w:rPr>
          <w:rFonts w:asciiTheme="majorBidi" w:hAnsiTheme="majorBidi" w:cstheme="majorBidi"/>
          <w:sz w:val="24"/>
          <w:szCs w:val="24"/>
          <w:lang w:val="da-DK"/>
        </w:rPr>
        <w:t>1</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ovenfor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4.4 og 4.5). I denne situation bør dabigatranetexilat og verapamil tages på samme tid.</w:t>
      </w:r>
    </w:p>
    <w:p w14:paraId="1299E0C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4520964"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4"/>
          <w:sz w:val="24"/>
          <w:szCs w:val="24"/>
        </w:rPr>
        <w:t>Vægt</w:t>
      </w:r>
    </w:p>
    <w:p w14:paraId="7078440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dosisjustering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1"/>
          <w:sz w:val="24"/>
          <w:szCs w:val="24"/>
          <w:lang w:val="da-DK"/>
        </w:rPr>
        <w:t> </w:t>
      </w:r>
      <w:r w:rsidRPr="00146E50">
        <w:rPr>
          <w:rFonts w:asciiTheme="majorBidi" w:hAnsiTheme="majorBidi" w:cstheme="majorBidi"/>
          <w:sz w:val="24"/>
          <w:szCs w:val="24"/>
          <w:lang w:val="da-DK"/>
        </w:rPr>
        <w:t>5.2),</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kropsvægt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&lt; 50 kg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 tæt klinisk overvågning (se pkt. 4.4).</w:t>
      </w:r>
    </w:p>
    <w:p w14:paraId="50D5F59D"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B3C6FA9"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5"/>
          <w:sz w:val="24"/>
          <w:szCs w:val="24"/>
        </w:rPr>
        <w:t>Køn</w:t>
      </w:r>
    </w:p>
    <w:p w14:paraId="153BE1A2"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Ingen</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dosisjustering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nødvendig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(se</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pkt.</w:t>
      </w:r>
      <w:r w:rsidRPr="00146E50">
        <w:rPr>
          <w:rFonts w:asciiTheme="majorBidi" w:hAnsiTheme="majorBidi" w:cstheme="majorBidi"/>
          <w:spacing w:val="-6"/>
          <w:sz w:val="24"/>
          <w:szCs w:val="24"/>
          <w:lang w:val="da-DK"/>
        </w:rPr>
        <w:t> </w:t>
      </w:r>
      <w:r w:rsidRPr="00146E50">
        <w:rPr>
          <w:rFonts w:asciiTheme="majorBidi" w:hAnsiTheme="majorBidi" w:cstheme="majorBidi"/>
          <w:spacing w:val="-2"/>
          <w:sz w:val="24"/>
          <w:szCs w:val="24"/>
          <w:lang w:val="da-DK"/>
        </w:rPr>
        <w:t>5.2).</w:t>
      </w:r>
    </w:p>
    <w:p w14:paraId="354BCA4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79C2278"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rPr>
        <w:t>Pædiatrisk</w:t>
      </w:r>
      <w:r w:rsidRPr="00146E50">
        <w:rPr>
          <w:rFonts w:asciiTheme="majorBidi" w:hAnsiTheme="majorBidi" w:cstheme="majorBidi"/>
          <w:i/>
          <w:spacing w:val="-10"/>
          <w:sz w:val="24"/>
          <w:szCs w:val="24"/>
        </w:rPr>
        <w:t xml:space="preserve"> </w:t>
      </w:r>
      <w:r w:rsidRPr="00146E50">
        <w:rPr>
          <w:rFonts w:asciiTheme="majorBidi" w:hAnsiTheme="majorBidi" w:cstheme="majorBidi"/>
          <w:i/>
          <w:spacing w:val="-2"/>
          <w:sz w:val="24"/>
          <w:szCs w:val="24"/>
        </w:rPr>
        <w:t>population</w:t>
      </w:r>
    </w:p>
    <w:p w14:paraId="5488B38A"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relevant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population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indikationen forebyggelse af apopleksi og systemisk emboli ved NVAF.</w:t>
      </w:r>
    </w:p>
    <w:p w14:paraId="1B5C9EB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4B415CF8" w14:textId="77777777" w:rsidR="00886871" w:rsidRPr="00146E50" w:rsidRDefault="00886871" w:rsidP="00146E50">
      <w:pPr>
        <w:pStyle w:val="Overskrift3"/>
        <w:keepLines/>
        <w:spacing w:before="0" w:after="0"/>
        <w:ind w:left="851"/>
        <w:rPr>
          <w:rFonts w:asciiTheme="majorBidi" w:hAnsiTheme="majorBidi" w:cstheme="majorBidi"/>
          <w:szCs w:val="24"/>
          <w:u w:val="single"/>
        </w:rPr>
      </w:pPr>
      <w:r w:rsidRPr="00146E50">
        <w:rPr>
          <w:rFonts w:asciiTheme="majorBidi" w:hAnsiTheme="majorBidi" w:cstheme="majorBidi"/>
          <w:szCs w:val="24"/>
          <w:u w:val="single"/>
        </w:rPr>
        <w:t>Behandling</w:t>
      </w:r>
      <w:r w:rsidRPr="00146E50">
        <w:rPr>
          <w:rFonts w:asciiTheme="majorBidi" w:hAnsiTheme="majorBidi" w:cstheme="majorBidi"/>
          <w:spacing w:val="-7"/>
          <w:szCs w:val="24"/>
          <w:u w:val="single"/>
        </w:rPr>
        <w:t xml:space="preserve"> </w:t>
      </w:r>
      <w:r w:rsidRPr="00146E50">
        <w:rPr>
          <w:rFonts w:asciiTheme="majorBidi" w:hAnsiTheme="majorBidi" w:cstheme="majorBidi"/>
          <w:szCs w:val="24"/>
          <w:u w:val="single"/>
        </w:rPr>
        <w:t>af</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VTE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og</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forebyggelse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af</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recidiverende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VTE</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hos</w:t>
      </w:r>
      <w:r w:rsidRPr="00146E50">
        <w:rPr>
          <w:rFonts w:asciiTheme="majorBidi" w:hAnsiTheme="majorBidi" w:cstheme="majorBidi"/>
          <w:spacing w:val="-6"/>
          <w:szCs w:val="24"/>
          <w:u w:val="single"/>
        </w:rPr>
        <w:t xml:space="preserve"> </w:t>
      </w:r>
      <w:r w:rsidRPr="00146E50">
        <w:rPr>
          <w:rFonts w:asciiTheme="majorBidi" w:hAnsiTheme="majorBidi" w:cstheme="majorBidi"/>
          <w:szCs w:val="24"/>
          <w:u w:val="single"/>
        </w:rPr>
        <w:t>pædiatriske</w:t>
      </w:r>
      <w:r w:rsidRPr="00146E50">
        <w:rPr>
          <w:rFonts w:asciiTheme="majorBidi" w:hAnsiTheme="majorBidi" w:cstheme="majorBidi"/>
          <w:spacing w:val="-6"/>
          <w:szCs w:val="24"/>
          <w:u w:val="single"/>
        </w:rPr>
        <w:t xml:space="preserve"> </w:t>
      </w:r>
      <w:r w:rsidRPr="00146E50">
        <w:rPr>
          <w:rFonts w:asciiTheme="majorBidi" w:hAnsiTheme="majorBidi" w:cstheme="majorBidi"/>
          <w:spacing w:val="-2"/>
          <w:szCs w:val="24"/>
          <w:u w:val="single"/>
        </w:rPr>
        <w:t>patienter</w:t>
      </w:r>
    </w:p>
    <w:p w14:paraId="6683590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 af VTE hos pædiatriske patienter skal påbegyndes efter forudgående parenteral antikoagulansbehandling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mindst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5 dage.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forebyggelse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recidiverende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behandlingen påbegyndes efter tidligere behandling.</w:t>
      </w:r>
    </w:p>
    <w:p w14:paraId="57FBE279" w14:textId="77777777" w:rsidR="00886871" w:rsidRPr="00146E50" w:rsidRDefault="00886871" w:rsidP="00146E50">
      <w:pPr>
        <w:pStyle w:val="Brdtekst"/>
        <w:widowControl/>
        <w:ind w:left="851"/>
        <w:rPr>
          <w:rFonts w:asciiTheme="majorBidi" w:hAnsiTheme="majorBidi" w:cstheme="majorBidi"/>
          <w:sz w:val="24"/>
          <w:szCs w:val="24"/>
          <w:lang w:val="da-DK"/>
        </w:rPr>
      </w:pPr>
    </w:p>
    <w:p w14:paraId="752C0FE0" w14:textId="77777777" w:rsidR="00886871" w:rsidRPr="00146E50" w:rsidRDefault="00886871" w:rsidP="00146E50">
      <w:pPr>
        <w:ind w:left="851"/>
        <w:jc w:val="both"/>
        <w:rPr>
          <w:rFonts w:asciiTheme="majorBidi" w:hAnsiTheme="majorBidi" w:cstheme="majorBidi"/>
          <w:sz w:val="24"/>
          <w:szCs w:val="24"/>
        </w:rPr>
      </w:pPr>
      <w:r w:rsidRPr="00146E50">
        <w:rPr>
          <w:rFonts w:asciiTheme="majorBidi" w:hAnsiTheme="majorBidi" w:cstheme="majorBidi"/>
          <w:bCs/>
          <w:sz w:val="24"/>
          <w:szCs w:val="24"/>
        </w:rPr>
        <w:t>Dabigatranetexilat</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kapsler</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skal</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tages</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to</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gange</w:t>
      </w:r>
      <w:r w:rsidRPr="00146E50">
        <w:rPr>
          <w:rFonts w:asciiTheme="majorBidi" w:hAnsiTheme="majorBidi" w:cstheme="majorBidi"/>
          <w:bCs/>
          <w:spacing w:val="-2"/>
          <w:sz w:val="24"/>
          <w:szCs w:val="24"/>
        </w:rPr>
        <w:t xml:space="preserve"> </w:t>
      </w:r>
      <w:r w:rsidRPr="00146E50">
        <w:rPr>
          <w:rFonts w:asciiTheme="majorBidi" w:hAnsiTheme="majorBidi" w:cstheme="majorBidi"/>
          <w:bCs/>
          <w:sz w:val="24"/>
          <w:szCs w:val="24"/>
        </w:rPr>
        <w:t>dagligt</w:t>
      </w:r>
      <w:r w:rsidRPr="00146E50">
        <w:rPr>
          <w:rFonts w:asciiTheme="majorBidi" w:hAnsiTheme="majorBidi" w:cstheme="majorBidi"/>
          <w:sz w:val="24"/>
          <w:szCs w:val="24"/>
        </w:rPr>
        <w:t>,</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én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dosis</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om</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morgenen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og</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én</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dosis</w:t>
      </w:r>
      <w:r w:rsidRPr="00146E50">
        <w:rPr>
          <w:rFonts w:asciiTheme="majorBidi" w:hAnsiTheme="majorBidi" w:cstheme="majorBidi"/>
          <w:spacing w:val="-2"/>
          <w:sz w:val="24"/>
          <w:szCs w:val="24"/>
        </w:rPr>
        <w:t xml:space="preserve"> </w:t>
      </w:r>
      <w:r w:rsidRPr="00146E50">
        <w:rPr>
          <w:rFonts w:asciiTheme="majorBidi" w:hAnsiTheme="majorBidi" w:cstheme="majorBidi"/>
          <w:sz w:val="24"/>
          <w:szCs w:val="24"/>
        </w:rPr>
        <w:t>om aftenen,</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på</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omtrent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samme</w:t>
      </w:r>
      <w:r w:rsidRPr="00146E50">
        <w:rPr>
          <w:rFonts w:asciiTheme="majorBidi" w:hAnsiTheme="majorBidi" w:cstheme="majorBidi"/>
          <w:spacing w:val="-1"/>
          <w:sz w:val="24"/>
          <w:szCs w:val="24"/>
        </w:rPr>
        <w:t xml:space="preserve"> </w:t>
      </w:r>
      <w:r w:rsidRPr="00146E50">
        <w:rPr>
          <w:rFonts w:asciiTheme="majorBidi" w:hAnsiTheme="majorBidi" w:cstheme="majorBidi"/>
          <w:sz w:val="24"/>
          <w:szCs w:val="24"/>
        </w:rPr>
        <w:t>tidspunkt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hver</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dag.</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Intervallet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mellem</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doseringer</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skal</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være</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så</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tæt</w:t>
      </w:r>
      <w:r w:rsidRPr="00146E50">
        <w:rPr>
          <w:rFonts w:asciiTheme="majorBidi" w:hAnsiTheme="majorBidi" w:cstheme="majorBidi"/>
          <w:spacing w:val="-3"/>
          <w:sz w:val="24"/>
          <w:szCs w:val="24"/>
        </w:rPr>
        <w:t xml:space="preserve"> </w:t>
      </w:r>
      <w:r w:rsidRPr="00146E50">
        <w:rPr>
          <w:rFonts w:asciiTheme="majorBidi" w:hAnsiTheme="majorBidi" w:cstheme="majorBidi"/>
          <w:sz w:val="24"/>
          <w:szCs w:val="24"/>
        </w:rPr>
        <w:t>på 12 timer som muligt.</w:t>
      </w:r>
    </w:p>
    <w:p w14:paraId="3669EF0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190298C3" w14:textId="51FB3500"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patientens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alder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vist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 tabel</w:t>
      </w:r>
      <w:r w:rsidRPr="00146E50">
        <w:rPr>
          <w:rFonts w:asciiTheme="majorBidi" w:hAnsiTheme="majorBidi" w:cstheme="majorBidi"/>
          <w:spacing w:val="-8"/>
          <w:sz w:val="24"/>
          <w:szCs w:val="24"/>
          <w:lang w:val="da-DK"/>
        </w:rPr>
        <w:t> </w:t>
      </w:r>
      <w:r w:rsidR="00DB68F8">
        <w:rPr>
          <w:rFonts w:asciiTheme="majorBidi" w:hAnsiTheme="majorBidi" w:cstheme="majorBidi"/>
          <w:sz w:val="24"/>
          <w:szCs w:val="24"/>
          <w:lang w:val="da-DK"/>
        </w:rPr>
        <w:t>3</w:t>
      </w:r>
      <w:r w:rsidRPr="00146E50">
        <w:rPr>
          <w:rFonts w:asciiTheme="majorBidi" w:hAnsiTheme="majorBidi" w:cstheme="majorBidi"/>
          <w:sz w:val="24"/>
          <w:szCs w:val="24"/>
          <w:lang w:val="da-DK"/>
        </w:rPr>
        <w: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Dosen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justeres</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henhold</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alder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efterhånden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behandlingen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skrider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frem.</w:t>
      </w:r>
    </w:p>
    <w:p w14:paraId="13AB2871"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83B21FD" w14:textId="77777777" w:rsidR="00886871" w:rsidRPr="00146E50" w:rsidRDefault="00886871" w:rsidP="00DB68F8">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gives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doseringsanbefalinger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vægt-</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alderskombinationer,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anført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 xml:space="preserve">i </w:t>
      </w:r>
      <w:r w:rsidRPr="00146E50">
        <w:rPr>
          <w:rFonts w:asciiTheme="majorBidi" w:hAnsiTheme="majorBidi" w:cstheme="majorBidi"/>
          <w:spacing w:val="-2"/>
          <w:sz w:val="24"/>
          <w:szCs w:val="24"/>
          <w:lang w:val="da-DK"/>
        </w:rPr>
        <w:t>doseringstabellen.</w:t>
      </w:r>
    </w:p>
    <w:p w14:paraId="7F939D74"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D0C7455" w14:textId="380C4907" w:rsidR="00886871" w:rsidRDefault="00886871" w:rsidP="00146E50">
      <w:pPr>
        <w:pStyle w:val="Overskrift2"/>
        <w:keepNext/>
        <w:keepLines/>
        <w:widowControl/>
        <w:tabs>
          <w:tab w:val="left" w:pos="1249"/>
        </w:tabs>
        <w:ind w:left="1249" w:hanging="992"/>
        <w:rPr>
          <w:rFonts w:asciiTheme="majorBidi" w:hAnsiTheme="majorBidi" w:cstheme="majorBidi"/>
          <w:lang w:val="da-DK"/>
        </w:rPr>
      </w:pPr>
      <w:r>
        <w:rPr>
          <w:rFonts w:asciiTheme="majorBidi" w:hAnsiTheme="majorBidi" w:cstheme="majorBidi"/>
          <w:lang w:val="da-DK"/>
        </w:rPr>
        <w:lastRenderedPageBreak/>
        <w:t>Tabel </w:t>
      </w:r>
      <w:r w:rsidR="00DB68F8">
        <w:rPr>
          <w:rFonts w:asciiTheme="majorBidi" w:hAnsiTheme="majorBidi" w:cstheme="majorBidi"/>
          <w:lang w:val="da-DK"/>
        </w:rPr>
        <w:t>3</w:t>
      </w:r>
      <w:r>
        <w:rPr>
          <w:rFonts w:asciiTheme="majorBidi" w:hAnsiTheme="majorBidi" w:cstheme="majorBidi"/>
          <w:lang w:val="da-DK"/>
        </w:rPr>
        <w:t>:</w:t>
      </w:r>
      <w:r>
        <w:rPr>
          <w:rFonts w:asciiTheme="majorBidi" w:hAnsiTheme="majorBidi" w:cstheme="majorBidi"/>
          <w:lang w:val="da-DK"/>
        </w:rPr>
        <w:tab/>
        <w:t>Enkeltdosis</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samlet</w:t>
      </w:r>
      <w:r>
        <w:rPr>
          <w:rFonts w:asciiTheme="majorBidi" w:hAnsiTheme="majorBidi" w:cstheme="majorBidi"/>
          <w:spacing w:val="-3"/>
          <w:lang w:val="da-DK"/>
        </w:rPr>
        <w:t xml:space="preserve"> </w:t>
      </w:r>
      <w:r>
        <w:rPr>
          <w:rFonts w:asciiTheme="majorBidi" w:hAnsiTheme="majorBidi" w:cstheme="majorBidi"/>
          <w:lang w:val="da-DK"/>
        </w:rPr>
        <w:t>daglig</w:t>
      </w:r>
      <w:r>
        <w:rPr>
          <w:rFonts w:asciiTheme="majorBidi" w:hAnsiTheme="majorBidi" w:cstheme="majorBidi"/>
          <w:spacing w:val="-3"/>
          <w:lang w:val="da-DK"/>
        </w:rPr>
        <w:t xml:space="preserve"> </w:t>
      </w:r>
      <w:r>
        <w:rPr>
          <w:rFonts w:asciiTheme="majorBidi" w:hAnsiTheme="majorBidi" w:cstheme="majorBidi"/>
          <w:lang w:val="da-DK"/>
        </w:rPr>
        <w:t>dosis</w:t>
      </w:r>
      <w:r>
        <w:rPr>
          <w:rFonts w:asciiTheme="majorBidi" w:hAnsiTheme="majorBidi" w:cstheme="majorBidi"/>
          <w:spacing w:val="-3"/>
          <w:lang w:val="da-DK"/>
        </w:rPr>
        <w:t xml:space="preserve"> </w:t>
      </w:r>
      <w:r>
        <w:rPr>
          <w:rFonts w:asciiTheme="majorBidi" w:hAnsiTheme="majorBidi" w:cstheme="majorBidi"/>
          <w:lang w:val="da-DK"/>
        </w:rPr>
        <w:t>dabigatranetexilat</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milligram</w:t>
      </w:r>
      <w:r>
        <w:rPr>
          <w:rFonts w:asciiTheme="majorBidi" w:hAnsiTheme="majorBidi" w:cstheme="majorBidi"/>
          <w:spacing w:val="-3"/>
          <w:lang w:val="da-DK"/>
        </w:rPr>
        <w:t xml:space="preserve"> </w:t>
      </w:r>
      <w:r>
        <w:rPr>
          <w:rFonts w:asciiTheme="majorBidi" w:hAnsiTheme="majorBidi" w:cstheme="majorBidi"/>
          <w:lang w:val="da-DK"/>
        </w:rPr>
        <w:t>(mg)</w:t>
      </w:r>
      <w:r>
        <w:rPr>
          <w:rFonts w:asciiTheme="majorBidi" w:hAnsiTheme="majorBidi" w:cstheme="majorBidi"/>
          <w:spacing w:val="-3"/>
          <w:lang w:val="da-DK"/>
        </w:rPr>
        <w:t xml:space="preserve"> </w:t>
      </w:r>
      <w:r>
        <w:rPr>
          <w:rFonts w:asciiTheme="majorBidi" w:hAnsiTheme="majorBidi" w:cstheme="majorBidi"/>
          <w:lang w:val="da-DK"/>
        </w:rPr>
        <w:t>efter</w:t>
      </w:r>
      <w:r>
        <w:rPr>
          <w:rFonts w:asciiTheme="majorBidi" w:hAnsiTheme="majorBidi" w:cstheme="majorBidi"/>
          <w:spacing w:val="-3"/>
          <w:lang w:val="da-DK"/>
        </w:rPr>
        <w:t xml:space="preserve"> </w:t>
      </w:r>
      <w:r>
        <w:rPr>
          <w:rFonts w:asciiTheme="majorBidi" w:hAnsiTheme="majorBidi" w:cstheme="majorBidi"/>
          <w:lang w:val="da-DK"/>
        </w:rPr>
        <w:t>patientens vægt i kilo (kg) og alder i år</w:t>
      </w:r>
    </w:p>
    <w:p w14:paraId="41D7D132"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265"/>
        <w:gridCol w:w="2002"/>
        <w:gridCol w:w="2269"/>
      </w:tblGrid>
      <w:tr w:rsidR="00886871" w14:paraId="3F82F28D" w14:textId="77777777" w:rsidTr="00886871">
        <w:trPr>
          <w:cantSplit/>
          <w:trHeight w:val="253"/>
          <w:tblHeader/>
        </w:trPr>
        <w:tc>
          <w:tcPr>
            <w:tcW w:w="4803" w:type="dxa"/>
            <w:gridSpan w:val="2"/>
            <w:tcBorders>
              <w:top w:val="single" w:sz="4" w:space="0" w:color="000000"/>
              <w:left w:val="single" w:sz="4" w:space="0" w:color="000000"/>
              <w:bottom w:val="single" w:sz="4" w:space="0" w:color="000000"/>
              <w:right w:val="single" w:sz="4" w:space="0" w:color="000000"/>
            </w:tcBorders>
            <w:hideMark/>
          </w:tcPr>
          <w:p w14:paraId="0F814FB9"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Vægt-/alderskombinationer</w:t>
            </w:r>
          </w:p>
        </w:tc>
        <w:tc>
          <w:tcPr>
            <w:tcW w:w="2001" w:type="dxa"/>
            <w:vMerge w:val="restart"/>
            <w:tcBorders>
              <w:top w:val="single" w:sz="4" w:space="0" w:color="000000"/>
              <w:left w:val="single" w:sz="4" w:space="0" w:color="000000"/>
              <w:bottom w:val="single" w:sz="4" w:space="0" w:color="000000"/>
              <w:right w:val="single" w:sz="4" w:space="0" w:color="000000"/>
            </w:tcBorders>
            <w:hideMark/>
          </w:tcPr>
          <w:p w14:paraId="6EDC168A"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spacing w:val="-2"/>
                <w:kern w:val="2"/>
                <w:lang w:val="da-DK"/>
                <w14:ligatures w14:val="standardContextual"/>
              </w:rPr>
            </w:pPr>
            <w:r>
              <w:rPr>
                <w:rFonts w:asciiTheme="majorBidi" w:hAnsiTheme="majorBidi" w:cstheme="majorBidi"/>
                <w:b/>
                <w:spacing w:val="-2"/>
                <w:kern w:val="2"/>
                <w:lang w:val="da-DK"/>
                <w14:ligatures w14:val="standardContextual"/>
              </w:rPr>
              <w:t>Enkeltdosis</w:t>
            </w:r>
          </w:p>
          <w:p w14:paraId="0C599E07"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14:paraId="6510299D"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Samlet</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daglig</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dosis</w:t>
            </w:r>
          </w:p>
          <w:p w14:paraId="38195948" w14:textId="77777777" w:rsidR="00886871" w:rsidRDefault="00886871" w:rsidP="00146E50">
            <w:pPr>
              <w:pStyle w:val="TableParagraph"/>
              <w:keepNext/>
              <w:keepLines/>
              <w:widowControl/>
              <w:spacing w:line="240" w:lineRule="auto"/>
              <w:ind w:left="0"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r>
      <w:tr w:rsidR="00886871" w14:paraId="026F4334" w14:textId="77777777" w:rsidTr="00886871">
        <w:trPr>
          <w:cantSplit/>
          <w:trHeight w:val="251"/>
          <w:tblHeader/>
        </w:trPr>
        <w:tc>
          <w:tcPr>
            <w:tcW w:w="2539" w:type="dxa"/>
            <w:tcBorders>
              <w:top w:val="single" w:sz="4" w:space="0" w:color="000000"/>
              <w:left w:val="single" w:sz="4" w:space="0" w:color="000000"/>
              <w:bottom w:val="single" w:sz="4" w:space="0" w:color="000000"/>
              <w:right w:val="single" w:sz="4" w:space="0" w:color="000000"/>
            </w:tcBorders>
            <w:hideMark/>
          </w:tcPr>
          <w:p w14:paraId="1D9FEB6F" w14:textId="77777777" w:rsidR="00886871" w:rsidRDefault="00886871" w:rsidP="00146E50">
            <w:pPr>
              <w:pStyle w:val="TableParagraph"/>
              <w:keepNext/>
              <w:keepLines/>
              <w:widowControl/>
              <w:spacing w:line="240" w:lineRule="auto"/>
              <w:ind w:left="102"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Vægt</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1"/>
                <w:kern w:val="2"/>
                <w:lang w:val="da-DK"/>
                <w14:ligatures w14:val="standardContextual"/>
              </w:rPr>
              <w:t xml:space="preserve"> </w:t>
            </w:r>
            <w:r>
              <w:rPr>
                <w:rFonts w:asciiTheme="majorBidi" w:hAnsiTheme="majorBidi" w:cstheme="majorBidi"/>
                <w:b/>
                <w:spacing w:val="-5"/>
                <w:kern w:val="2"/>
                <w:lang w:val="da-DK"/>
                <w14:ligatures w14:val="standardContextual"/>
              </w:rPr>
              <w:t>kg</w:t>
            </w:r>
          </w:p>
        </w:tc>
        <w:tc>
          <w:tcPr>
            <w:tcW w:w="2264" w:type="dxa"/>
            <w:tcBorders>
              <w:top w:val="single" w:sz="4" w:space="0" w:color="000000"/>
              <w:left w:val="single" w:sz="4" w:space="0" w:color="000000"/>
              <w:bottom w:val="single" w:sz="4" w:space="0" w:color="000000"/>
              <w:right w:val="single" w:sz="4" w:space="0" w:color="000000"/>
            </w:tcBorders>
            <w:hideMark/>
          </w:tcPr>
          <w:p w14:paraId="1B17BD7F" w14:textId="77777777" w:rsidR="00886871" w:rsidRDefault="00886871" w:rsidP="00146E50">
            <w:pPr>
              <w:pStyle w:val="TableParagraph"/>
              <w:keepNext/>
              <w:keepLines/>
              <w:widowControl/>
              <w:spacing w:line="240" w:lineRule="auto"/>
              <w:ind w:left="102"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Alder</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2"/>
                <w:kern w:val="2"/>
                <w:lang w:val="da-DK"/>
                <w14:ligatures w14:val="standardContextual"/>
              </w:rPr>
              <w:t xml:space="preserve"> </w:t>
            </w:r>
            <w:r>
              <w:rPr>
                <w:rFonts w:asciiTheme="majorBidi" w:hAnsiTheme="majorBidi" w:cstheme="majorBidi"/>
                <w:b/>
                <w:spacing w:val="-5"/>
                <w:kern w:val="2"/>
                <w:lang w:val="da-DK"/>
                <w14:ligatures w14:val="standardContextual"/>
              </w:rPr>
              <w:t>år</w:t>
            </w:r>
          </w:p>
        </w:tc>
        <w:tc>
          <w:tcPr>
            <w:tcW w:w="2001" w:type="dxa"/>
            <w:vMerge/>
            <w:tcBorders>
              <w:top w:val="single" w:sz="4" w:space="0" w:color="000000"/>
              <w:left w:val="single" w:sz="4" w:space="0" w:color="000000"/>
              <w:bottom w:val="single" w:sz="4" w:space="0" w:color="000000"/>
              <w:right w:val="single" w:sz="4" w:space="0" w:color="000000"/>
            </w:tcBorders>
            <w:vAlign w:val="center"/>
            <w:hideMark/>
          </w:tcPr>
          <w:p w14:paraId="78CD5F24" w14:textId="77777777" w:rsidR="00886871" w:rsidRDefault="00886871" w:rsidP="00146E50">
            <w:pPr>
              <w:rPr>
                <w:rFonts w:asciiTheme="majorBidi" w:hAnsiTheme="majorBidi" w:cstheme="majorBidi"/>
                <w:b/>
                <w:kern w:val="2"/>
                <w:sz w:val="22"/>
                <w:szCs w:val="22"/>
                <w14:ligatures w14:val="standardContextual"/>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79C7D625" w14:textId="77777777" w:rsidR="00886871" w:rsidRDefault="00886871" w:rsidP="00146E50">
            <w:pPr>
              <w:rPr>
                <w:rFonts w:asciiTheme="majorBidi" w:hAnsiTheme="majorBidi" w:cstheme="majorBidi"/>
                <w:b/>
                <w:kern w:val="2"/>
                <w:sz w:val="22"/>
                <w:szCs w:val="22"/>
                <w14:ligatures w14:val="standardContextual"/>
              </w:rPr>
            </w:pPr>
          </w:p>
        </w:tc>
      </w:tr>
      <w:tr w:rsidR="00886871" w14:paraId="35B833D5"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0171DBD0"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&lt;13</w:t>
            </w:r>
          </w:p>
        </w:tc>
        <w:tc>
          <w:tcPr>
            <w:tcW w:w="2264" w:type="dxa"/>
            <w:tcBorders>
              <w:top w:val="single" w:sz="4" w:space="0" w:color="000000"/>
              <w:left w:val="single" w:sz="4" w:space="0" w:color="000000"/>
              <w:bottom w:val="single" w:sz="4" w:space="0" w:color="000000"/>
              <w:right w:val="single" w:sz="4" w:space="0" w:color="000000"/>
            </w:tcBorders>
            <w:hideMark/>
          </w:tcPr>
          <w:p w14:paraId="080A7DB4"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8 til </w:t>
            </w:r>
            <w:r>
              <w:rPr>
                <w:rFonts w:asciiTheme="majorBidi" w:hAnsiTheme="majorBidi" w:cstheme="majorBidi"/>
                <w:spacing w:val="-5"/>
                <w:kern w:val="2"/>
                <w:lang w:val="da-DK"/>
                <w14:ligatures w14:val="standardContextual"/>
              </w:rPr>
              <w:t>&lt;9</w:t>
            </w:r>
          </w:p>
        </w:tc>
        <w:tc>
          <w:tcPr>
            <w:tcW w:w="2001" w:type="dxa"/>
            <w:tcBorders>
              <w:top w:val="single" w:sz="4" w:space="0" w:color="000000"/>
              <w:left w:val="single" w:sz="4" w:space="0" w:color="000000"/>
              <w:bottom w:val="single" w:sz="4" w:space="0" w:color="000000"/>
              <w:right w:val="single" w:sz="4" w:space="0" w:color="000000"/>
            </w:tcBorders>
            <w:hideMark/>
          </w:tcPr>
          <w:p w14:paraId="15852347"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75</w:t>
            </w:r>
          </w:p>
        </w:tc>
        <w:tc>
          <w:tcPr>
            <w:tcW w:w="2268" w:type="dxa"/>
            <w:tcBorders>
              <w:top w:val="single" w:sz="4" w:space="0" w:color="000000"/>
              <w:left w:val="single" w:sz="4" w:space="0" w:color="000000"/>
              <w:bottom w:val="single" w:sz="4" w:space="0" w:color="000000"/>
              <w:right w:val="single" w:sz="4" w:space="0" w:color="000000"/>
            </w:tcBorders>
            <w:hideMark/>
          </w:tcPr>
          <w:p w14:paraId="2FA706A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r>
      <w:tr w:rsidR="00886871" w14:paraId="768E1D13"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76A950A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&lt;16</w:t>
            </w:r>
          </w:p>
        </w:tc>
        <w:tc>
          <w:tcPr>
            <w:tcW w:w="2264" w:type="dxa"/>
            <w:tcBorders>
              <w:top w:val="single" w:sz="4" w:space="0" w:color="000000"/>
              <w:left w:val="single" w:sz="4" w:space="0" w:color="000000"/>
              <w:bottom w:val="single" w:sz="4" w:space="0" w:color="000000"/>
              <w:right w:val="single" w:sz="4" w:space="0" w:color="000000"/>
            </w:tcBorders>
            <w:hideMark/>
          </w:tcPr>
          <w:p w14:paraId="58876A62"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&lt;11</w:t>
            </w:r>
          </w:p>
        </w:tc>
        <w:tc>
          <w:tcPr>
            <w:tcW w:w="2001" w:type="dxa"/>
            <w:tcBorders>
              <w:top w:val="single" w:sz="4" w:space="0" w:color="000000"/>
              <w:left w:val="single" w:sz="4" w:space="0" w:color="000000"/>
              <w:bottom w:val="single" w:sz="4" w:space="0" w:color="000000"/>
              <w:right w:val="single" w:sz="4" w:space="0" w:color="000000"/>
            </w:tcBorders>
            <w:hideMark/>
          </w:tcPr>
          <w:p w14:paraId="5E092477"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268" w:type="dxa"/>
            <w:tcBorders>
              <w:top w:val="single" w:sz="4" w:space="0" w:color="000000"/>
              <w:left w:val="single" w:sz="4" w:space="0" w:color="000000"/>
              <w:bottom w:val="single" w:sz="4" w:space="0" w:color="000000"/>
              <w:right w:val="single" w:sz="4" w:space="0" w:color="000000"/>
            </w:tcBorders>
            <w:hideMark/>
          </w:tcPr>
          <w:p w14:paraId="1FC8D488"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886871" w14:paraId="21C7F937"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44FE6088"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&lt;21</w:t>
            </w:r>
          </w:p>
        </w:tc>
        <w:tc>
          <w:tcPr>
            <w:tcW w:w="2264" w:type="dxa"/>
            <w:tcBorders>
              <w:top w:val="single" w:sz="4" w:space="0" w:color="000000"/>
              <w:left w:val="single" w:sz="4" w:space="0" w:color="000000"/>
              <w:bottom w:val="single" w:sz="4" w:space="0" w:color="000000"/>
              <w:right w:val="single" w:sz="4" w:space="0" w:color="000000"/>
            </w:tcBorders>
            <w:hideMark/>
          </w:tcPr>
          <w:p w14:paraId="6DCA1A58"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&lt;14</w:t>
            </w:r>
          </w:p>
        </w:tc>
        <w:tc>
          <w:tcPr>
            <w:tcW w:w="2001" w:type="dxa"/>
            <w:tcBorders>
              <w:top w:val="single" w:sz="4" w:space="0" w:color="000000"/>
              <w:left w:val="single" w:sz="4" w:space="0" w:color="000000"/>
              <w:bottom w:val="single" w:sz="4" w:space="0" w:color="000000"/>
              <w:right w:val="single" w:sz="4" w:space="0" w:color="000000"/>
            </w:tcBorders>
            <w:hideMark/>
          </w:tcPr>
          <w:p w14:paraId="7D61931B"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268" w:type="dxa"/>
            <w:tcBorders>
              <w:top w:val="single" w:sz="4" w:space="0" w:color="000000"/>
              <w:left w:val="single" w:sz="4" w:space="0" w:color="000000"/>
              <w:bottom w:val="single" w:sz="4" w:space="0" w:color="000000"/>
              <w:right w:val="single" w:sz="4" w:space="0" w:color="000000"/>
            </w:tcBorders>
            <w:hideMark/>
          </w:tcPr>
          <w:p w14:paraId="23557DC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886871" w14:paraId="353F1827"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0FB0815C"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&lt;26</w:t>
            </w:r>
          </w:p>
        </w:tc>
        <w:tc>
          <w:tcPr>
            <w:tcW w:w="2264" w:type="dxa"/>
            <w:tcBorders>
              <w:top w:val="single" w:sz="4" w:space="0" w:color="000000"/>
              <w:left w:val="single" w:sz="4" w:space="0" w:color="000000"/>
              <w:bottom w:val="single" w:sz="4" w:space="0" w:color="000000"/>
              <w:right w:val="single" w:sz="4" w:space="0" w:color="000000"/>
            </w:tcBorders>
            <w:hideMark/>
          </w:tcPr>
          <w:p w14:paraId="015F59C0"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&lt;16</w:t>
            </w:r>
          </w:p>
        </w:tc>
        <w:tc>
          <w:tcPr>
            <w:tcW w:w="2001" w:type="dxa"/>
            <w:tcBorders>
              <w:top w:val="single" w:sz="4" w:space="0" w:color="000000"/>
              <w:left w:val="single" w:sz="4" w:space="0" w:color="000000"/>
              <w:bottom w:val="single" w:sz="4" w:space="0" w:color="000000"/>
              <w:right w:val="single" w:sz="4" w:space="0" w:color="000000"/>
            </w:tcBorders>
            <w:hideMark/>
          </w:tcPr>
          <w:p w14:paraId="4202DE7C"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268" w:type="dxa"/>
            <w:tcBorders>
              <w:top w:val="single" w:sz="4" w:space="0" w:color="000000"/>
              <w:left w:val="single" w:sz="4" w:space="0" w:color="000000"/>
              <w:bottom w:val="single" w:sz="4" w:space="0" w:color="000000"/>
              <w:right w:val="single" w:sz="4" w:space="0" w:color="000000"/>
            </w:tcBorders>
            <w:hideMark/>
          </w:tcPr>
          <w:p w14:paraId="031E1CA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886871" w14:paraId="62BACBCC"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508E5AF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&lt;31</w:t>
            </w:r>
          </w:p>
        </w:tc>
        <w:tc>
          <w:tcPr>
            <w:tcW w:w="2264" w:type="dxa"/>
            <w:tcBorders>
              <w:top w:val="single" w:sz="4" w:space="0" w:color="000000"/>
              <w:left w:val="single" w:sz="4" w:space="0" w:color="000000"/>
              <w:bottom w:val="single" w:sz="4" w:space="0" w:color="000000"/>
              <w:right w:val="single" w:sz="4" w:space="0" w:color="000000"/>
            </w:tcBorders>
            <w:hideMark/>
          </w:tcPr>
          <w:p w14:paraId="0043F166"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499096B8"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268" w:type="dxa"/>
            <w:tcBorders>
              <w:top w:val="single" w:sz="4" w:space="0" w:color="000000"/>
              <w:left w:val="single" w:sz="4" w:space="0" w:color="000000"/>
              <w:bottom w:val="single" w:sz="4" w:space="0" w:color="000000"/>
              <w:right w:val="single" w:sz="4" w:space="0" w:color="000000"/>
            </w:tcBorders>
            <w:hideMark/>
          </w:tcPr>
          <w:p w14:paraId="4AF2E151"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886871" w14:paraId="70B57E10"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3329361D"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&lt;41</w:t>
            </w:r>
          </w:p>
        </w:tc>
        <w:tc>
          <w:tcPr>
            <w:tcW w:w="2264" w:type="dxa"/>
            <w:tcBorders>
              <w:top w:val="single" w:sz="4" w:space="0" w:color="000000"/>
              <w:left w:val="single" w:sz="4" w:space="0" w:color="000000"/>
              <w:bottom w:val="single" w:sz="4" w:space="0" w:color="000000"/>
              <w:right w:val="single" w:sz="4" w:space="0" w:color="000000"/>
            </w:tcBorders>
            <w:hideMark/>
          </w:tcPr>
          <w:p w14:paraId="4F0DCAAE"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5F254E60"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185</w:t>
            </w:r>
          </w:p>
        </w:tc>
        <w:tc>
          <w:tcPr>
            <w:tcW w:w="2268" w:type="dxa"/>
            <w:tcBorders>
              <w:top w:val="single" w:sz="4" w:space="0" w:color="000000"/>
              <w:left w:val="single" w:sz="4" w:space="0" w:color="000000"/>
              <w:bottom w:val="single" w:sz="4" w:space="0" w:color="000000"/>
              <w:right w:val="single" w:sz="4" w:space="0" w:color="000000"/>
            </w:tcBorders>
            <w:hideMark/>
          </w:tcPr>
          <w:p w14:paraId="353C988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370</w:t>
            </w:r>
          </w:p>
        </w:tc>
      </w:tr>
      <w:tr w:rsidR="00886871" w14:paraId="14EA5243"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7DB21D07"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&lt;51</w:t>
            </w:r>
          </w:p>
        </w:tc>
        <w:tc>
          <w:tcPr>
            <w:tcW w:w="2264" w:type="dxa"/>
            <w:tcBorders>
              <w:top w:val="single" w:sz="4" w:space="0" w:color="000000"/>
              <w:left w:val="single" w:sz="4" w:space="0" w:color="000000"/>
              <w:bottom w:val="single" w:sz="4" w:space="0" w:color="000000"/>
              <w:right w:val="single" w:sz="4" w:space="0" w:color="000000"/>
            </w:tcBorders>
            <w:hideMark/>
          </w:tcPr>
          <w:p w14:paraId="35108111"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553435D4"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c>
          <w:tcPr>
            <w:tcW w:w="2268" w:type="dxa"/>
            <w:tcBorders>
              <w:top w:val="single" w:sz="4" w:space="0" w:color="000000"/>
              <w:left w:val="single" w:sz="4" w:space="0" w:color="000000"/>
              <w:bottom w:val="single" w:sz="4" w:space="0" w:color="000000"/>
              <w:right w:val="single" w:sz="4" w:space="0" w:color="000000"/>
            </w:tcBorders>
            <w:hideMark/>
          </w:tcPr>
          <w:p w14:paraId="4F01D8E3"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440</w:t>
            </w:r>
          </w:p>
        </w:tc>
      </w:tr>
      <w:tr w:rsidR="00886871" w14:paraId="716A5007"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7C6286FD"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&lt;61</w:t>
            </w:r>
          </w:p>
        </w:tc>
        <w:tc>
          <w:tcPr>
            <w:tcW w:w="2264" w:type="dxa"/>
            <w:tcBorders>
              <w:top w:val="single" w:sz="4" w:space="0" w:color="000000"/>
              <w:left w:val="single" w:sz="4" w:space="0" w:color="000000"/>
              <w:bottom w:val="single" w:sz="4" w:space="0" w:color="000000"/>
              <w:right w:val="single" w:sz="4" w:space="0" w:color="000000"/>
            </w:tcBorders>
            <w:hideMark/>
          </w:tcPr>
          <w:p w14:paraId="6AE19005"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6A5EF03F"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260</w:t>
            </w:r>
          </w:p>
        </w:tc>
        <w:tc>
          <w:tcPr>
            <w:tcW w:w="2268" w:type="dxa"/>
            <w:tcBorders>
              <w:top w:val="single" w:sz="4" w:space="0" w:color="000000"/>
              <w:left w:val="single" w:sz="4" w:space="0" w:color="000000"/>
              <w:bottom w:val="single" w:sz="4" w:space="0" w:color="000000"/>
              <w:right w:val="single" w:sz="4" w:space="0" w:color="000000"/>
            </w:tcBorders>
            <w:hideMark/>
          </w:tcPr>
          <w:p w14:paraId="57339865"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520</w:t>
            </w:r>
          </w:p>
        </w:tc>
      </w:tr>
      <w:tr w:rsidR="00886871" w14:paraId="6598B1DA" w14:textId="77777777" w:rsidTr="00886871">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168D079E"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&lt;71</w:t>
            </w:r>
          </w:p>
        </w:tc>
        <w:tc>
          <w:tcPr>
            <w:tcW w:w="2264" w:type="dxa"/>
            <w:tcBorders>
              <w:top w:val="single" w:sz="4" w:space="0" w:color="000000"/>
              <w:left w:val="single" w:sz="4" w:space="0" w:color="000000"/>
              <w:bottom w:val="single" w:sz="4" w:space="0" w:color="000000"/>
              <w:right w:val="single" w:sz="4" w:space="0" w:color="000000"/>
            </w:tcBorders>
            <w:hideMark/>
          </w:tcPr>
          <w:p w14:paraId="3B6A019B"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6CCC5C8A"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7707140A"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886871" w14:paraId="33D087F2" w14:textId="77777777" w:rsidTr="00886871">
        <w:trPr>
          <w:trHeight w:val="254"/>
        </w:trPr>
        <w:tc>
          <w:tcPr>
            <w:tcW w:w="2539" w:type="dxa"/>
            <w:tcBorders>
              <w:top w:val="single" w:sz="4" w:space="0" w:color="000000"/>
              <w:left w:val="single" w:sz="4" w:space="0" w:color="000000"/>
              <w:bottom w:val="single" w:sz="4" w:space="0" w:color="000000"/>
              <w:right w:val="single" w:sz="4" w:space="0" w:color="000000"/>
            </w:tcBorders>
            <w:hideMark/>
          </w:tcPr>
          <w:p w14:paraId="2DEBD987"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&lt;81</w:t>
            </w:r>
          </w:p>
        </w:tc>
        <w:tc>
          <w:tcPr>
            <w:tcW w:w="2264" w:type="dxa"/>
            <w:tcBorders>
              <w:top w:val="single" w:sz="4" w:space="0" w:color="000000"/>
              <w:left w:val="single" w:sz="4" w:space="0" w:color="000000"/>
              <w:bottom w:val="single" w:sz="4" w:space="0" w:color="000000"/>
              <w:right w:val="single" w:sz="4" w:space="0" w:color="000000"/>
            </w:tcBorders>
            <w:hideMark/>
          </w:tcPr>
          <w:p w14:paraId="4C04E802"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73457801"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4B19B20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886871" w14:paraId="2EF81A9D" w14:textId="77777777" w:rsidTr="00886871">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61FC25FB"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&gt;81</w:t>
            </w:r>
          </w:p>
        </w:tc>
        <w:tc>
          <w:tcPr>
            <w:tcW w:w="2264" w:type="dxa"/>
            <w:tcBorders>
              <w:top w:val="single" w:sz="4" w:space="0" w:color="000000"/>
              <w:left w:val="single" w:sz="4" w:space="0" w:color="000000"/>
              <w:bottom w:val="single" w:sz="4" w:space="0" w:color="000000"/>
              <w:right w:val="single" w:sz="4" w:space="0" w:color="000000"/>
            </w:tcBorders>
            <w:hideMark/>
          </w:tcPr>
          <w:p w14:paraId="2149EA93" w14:textId="77777777" w:rsidR="00886871" w:rsidRDefault="00886871" w:rsidP="00146E50">
            <w:pPr>
              <w:pStyle w:val="TableParagraph"/>
              <w:widowControl/>
              <w:spacing w:line="240" w:lineRule="auto"/>
              <w:ind w:left="10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001" w:type="dxa"/>
            <w:tcBorders>
              <w:top w:val="single" w:sz="4" w:space="0" w:color="000000"/>
              <w:left w:val="single" w:sz="4" w:space="0" w:color="000000"/>
              <w:bottom w:val="single" w:sz="4" w:space="0" w:color="000000"/>
              <w:right w:val="single" w:sz="4" w:space="0" w:color="000000"/>
            </w:tcBorders>
            <w:hideMark/>
          </w:tcPr>
          <w:p w14:paraId="2BB8BB75"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268" w:type="dxa"/>
            <w:tcBorders>
              <w:top w:val="single" w:sz="4" w:space="0" w:color="000000"/>
              <w:left w:val="single" w:sz="4" w:space="0" w:color="000000"/>
              <w:bottom w:val="single" w:sz="4" w:space="0" w:color="000000"/>
              <w:right w:val="single" w:sz="4" w:space="0" w:color="000000"/>
            </w:tcBorders>
            <w:hideMark/>
          </w:tcPr>
          <w:p w14:paraId="68FC37DD" w14:textId="77777777" w:rsidR="00886871" w:rsidRDefault="00886871" w:rsidP="00146E50">
            <w:pPr>
              <w:pStyle w:val="TableParagraph"/>
              <w:widowControl/>
              <w:spacing w:line="240" w:lineRule="auto"/>
              <w:ind w:left="0"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bl>
    <w:p w14:paraId="7F21C023"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Enkeltdoser,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kræver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kombinationer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flere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end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kapsel:</w:t>
      </w:r>
    </w:p>
    <w:p w14:paraId="4CD50D61"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300 mg:</w:t>
      </w:r>
      <w:r w:rsidRPr="00146E50">
        <w:rPr>
          <w:rFonts w:asciiTheme="majorBidi" w:hAnsiTheme="majorBidi" w:cstheme="majorBidi"/>
          <w:sz w:val="24"/>
          <w:szCs w:val="24"/>
          <w:lang w:val="da-DK"/>
        </w:rPr>
        <w:tab/>
        <w:t>to 150 mg kapsler eller</w:t>
      </w:r>
    </w:p>
    <w:p w14:paraId="246F1616" w14:textId="77777777" w:rsidR="00886871" w:rsidRPr="00146E50" w:rsidRDefault="00886871" w:rsidP="00146E50">
      <w:pPr>
        <w:pStyle w:val="Brdtekst"/>
        <w:widowControl/>
        <w:ind w:left="1391"/>
        <w:rPr>
          <w:rFonts w:asciiTheme="majorBidi" w:hAnsiTheme="majorBidi" w:cstheme="majorBidi"/>
          <w:sz w:val="24"/>
          <w:szCs w:val="24"/>
          <w:lang w:val="da-DK"/>
        </w:rPr>
      </w:pPr>
      <w:r w:rsidRPr="00146E50">
        <w:rPr>
          <w:rFonts w:asciiTheme="majorBidi" w:hAnsiTheme="majorBidi" w:cstheme="majorBidi"/>
          <w:sz w:val="24"/>
          <w:szCs w:val="24"/>
          <w:lang w:val="da-DK"/>
        </w:rPr>
        <w:t>fire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2"/>
          <w:sz w:val="24"/>
          <w:szCs w:val="24"/>
          <w:lang w:val="da-DK"/>
        </w:rPr>
        <w:t xml:space="preserve"> kapsler</w:t>
      </w:r>
    </w:p>
    <w:p w14:paraId="54AF0748"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260 mg:</w:t>
      </w:r>
      <w:r w:rsidRPr="00146E50">
        <w:rPr>
          <w:rFonts w:asciiTheme="majorBidi" w:hAnsiTheme="majorBidi" w:cstheme="majorBidi"/>
          <w:sz w:val="24"/>
          <w:szCs w:val="24"/>
          <w:lang w:val="da-DK"/>
        </w:rPr>
        <w:tab/>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plus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150 mg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kapsel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eller</w:t>
      </w:r>
    </w:p>
    <w:p w14:paraId="59B74553"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ab/>
        <w:t>én 110 mg plus to 75 mg kapsler</w:t>
      </w:r>
    </w:p>
    <w:p w14:paraId="66EB57C4"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220 </w:t>
      </w:r>
      <w:r w:rsidRPr="00146E50">
        <w:rPr>
          <w:rFonts w:asciiTheme="majorBidi" w:hAnsiTheme="majorBidi" w:cstheme="majorBidi"/>
          <w:spacing w:val="-5"/>
          <w:sz w:val="24"/>
          <w:szCs w:val="24"/>
          <w:lang w:val="da-DK"/>
        </w:rPr>
        <w:t>mg:</w:t>
      </w:r>
      <w:r w:rsidRPr="00146E50">
        <w:rPr>
          <w:rFonts w:asciiTheme="majorBidi" w:hAnsiTheme="majorBidi" w:cstheme="majorBidi"/>
          <w:sz w:val="24"/>
          <w:szCs w:val="24"/>
          <w:lang w:val="da-DK"/>
        </w:rPr>
        <w:tab/>
        <w:t>to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2"/>
          <w:sz w:val="24"/>
          <w:szCs w:val="24"/>
          <w:lang w:val="da-DK"/>
        </w:rPr>
        <w:t xml:space="preserve"> kapsler</w:t>
      </w:r>
    </w:p>
    <w:p w14:paraId="6D92F981" w14:textId="77777777" w:rsidR="00886871" w:rsidRPr="00146E50" w:rsidRDefault="00886871" w:rsidP="00146E50">
      <w:pPr>
        <w:pStyle w:val="Brdtekst"/>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185 mg:</w:t>
      </w:r>
      <w:r w:rsidRPr="00146E50">
        <w:rPr>
          <w:rFonts w:asciiTheme="majorBidi" w:hAnsiTheme="majorBidi" w:cstheme="majorBidi"/>
          <w:sz w:val="24"/>
          <w:szCs w:val="24"/>
          <w:lang w:val="da-DK"/>
        </w:rPr>
        <w:tab/>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plus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én</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110 mg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kapsel</w:t>
      </w:r>
    </w:p>
    <w:p w14:paraId="3A7ABB01" w14:textId="77777777" w:rsidR="00886871" w:rsidRPr="00146E50" w:rsidRDefault="00886871" w:rsidP="00146E50">
      <w:pPr>
        <w:pStyle w:val="Brdtekst"/>
        <w:keepNext/>
        <w:keepLines/>
        <w:widowControl/>
        <w:tabs>
          <w:tab w:val="left" w:pos="1391"/>
        </w:tabs>
        <w:ind w:left="255"/>
        <w:rPr>
          <w:rFonts w:asciiTheme="majorBidi" w:hAnsiTheme="majorBidi" w:cstheme="majorBidi"/>
          <w:sz w:val="24"/>
          <w:szCs w:val="24"/>
          <w:lang w:val="da-DK"/>
        </w:rPr>
      </w:pPr>
      <w:r w:rsidRPr="00146E50">
        <w:rPr>
          <w:rFonts w:asciiTheme="majorBidi" w:hAnsiTheme="majorBidi" w:cstheme="majorBidi"/>
          <w:sz w:val="24"/>
          <w:szCs w:val="24"/>
          <w:lang w:val="da-DK"/>
        </w:rPr>
        <w:t>150 mg:</w:t>
      </w:r>
      <w:r w:rsidRPr="00146E50">
        <w:rPr>
          <w:rFonts w:asciiTheme="majorBidi" w:hAnsiTheme="majorBidi" w:cstheme="majorBidi"/>
          <w:sz w:val="24"/>
          <w:szCs w:val="24"/>
          <w:lang w:val="da-DK"/>
        </w:rPr>
        <w:tab/>
        <w:t>én 150 mg kapsel eller</w:t>
      </w:r>
    </w:p>
    <w:p w14:paraId="1164F9FF" w14:textId="77777777" w:rsidR="00886871" w:rsidRPr="00146E50" w:rsidRDefault="00886871" w:rsidP="00146E50">
      <w:pPr>
        <w:pStyle w:val="Brdtekst"/>
        <w:widowControl/>
        <w:ind w:left="1391"/>
        <w:rPr>
          <w:rFonts w:asciiTheme="majorBidi" w:hAnsiTheme="majorBidi" w:cstheme="majorBidi"/>
          <w:spacing w:val="-2"/>
          <w:sz w:val="24"/>
          <w:szCs w:val="24"/>
          <w:lang w:val="da-DK"/>
        </w:rPr>
      </w:pPr>
      <w:r w:rsidRPr="00146E50">
        <w:rPr>
          <w:rFonts w:asciiTheme="majorBidi" w:hAnsiTheme="majorBidi" w:cstheme="majorBidi"/>
          <w:sz w:val="24"/>
          <w:szCs w:val="24"/>
          <w:lang w:val="da-DK"/>
        </w:rPr>
        <w:t>to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75 mg</w:t>
      </w:r>
      <w:r w:rsidRPr="00146E50">
        <w:rPr>
          <w:rFonts w:asciiTheme="majorBidi" w:hAnsiTheme="majorBidi" w:cstheme="majorBidi"/>
          <w:spacing w:val="-2"/>
          <w:sz w:val="24"/>
          <w:szCs w:val="24"/>
          <w:lang w:val="da-DK"/>
        </w:rPr>
        <w:t xml:space="preserve"> kapsler</w:t>
      </w:r>
    </w:p>
    <w:p w14:paraId="69D75CF0" w14:textId="77777777" w:rsidR="00886871" w:rsidRPr="00146E50" w:rsidRDefault="00886871" w:rsidP="00146E50">
      <w:pPr>
        <w:pStyle w:val="Brdtekst"/>
        <w:widowControl/>
        <w:ind w:left="851"/>
        <w:rPr>
          <w:rFonts w:asciiTheme="majorBidi" w:hAnsiTheme="majorBidi" w:cstheme="majorBidi"/>
          <w:spacing w:val="-2"/>
          <w:sz w:val="24"/>
          <w:szCs w:val="24"/>
          <w:lang w:val="da-DK"/>
        </w:rPr>
      </w:pPr>
    </w:p>
    <w:p w14:paraId="061550F6"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Vurdering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nyrefunktionen</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før</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og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under</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behandling</w:t>
      </w:r>
    </w:p>
    <w:p w14:paraId="0AF2A94A"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Før påbegyndelse af behandlingen bør den estimerede glomerulære filtrationshastighed (eGFR) estimeres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vha.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Schwartz’</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formel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(metode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anvendt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kreatinin,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kontrolleres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 det lokale laboratorium).</w:t>
      </w:r>
    </w:p>
    <w:p w14:paraId="1A553AC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2BB9A6F"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kontraindiceret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hos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pædiatriske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eGFR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&lt; 50 ml/min/1,73 m</w:t>
      </w:r>
      <w:r w:rsidRPr="00146E50">
        <w:rPr>
          <w:rFonts w:asciiTheme="majorBidi" w:hAnsiTheme="majorBidi" w:cstheme="majorBidi"/>
          <w:sz w:val="24"/>
          <w:szCs w:val="24"/>
          <w:vertAlign w:val="superscript"/>
          <w:lang w:val="da-DK"/>
        </w:rPr>
        <w:t>2</w:t>
      </w:r>
      <w:r w:rsidRPr="00146E50">
        <w:rPr>
          <w:rFonts w:asciiTheme="majorBidi" w:hAnsiTheme="majorBidi" w:cstheme="majorBidi"/>
          <w:sz w:val="24"/>
          <w:szCs w:val="24"/>
          <w:lang w:val="da-DK"/>
        </w:rPr>
        <w:t xml:space="preserve"> (se pkt. 4.3).</w:t>
      </w:r>
    </w:p>
    <w:p w14:paraId="0220877E"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4FAA738" w14:textId="584CABE4"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eGFR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&gt;</w:t>
      </w:r>
      <w:r w:rsidRPr="00146E50">
        <w:rPr>
          <w:rFonts w:asciiTheme="majorBidi" w:hAnsiTheme="majorBidi" w:cstheme="majorBidi"/>
          <w:spacing w:val="-4"/>
          <w:sz w:val="24"/>
          <w:szCs w:val="24"/>
          <w:lang w:val="da-DK"/>
        </w:rPr>
        <w:t> </w:t>
      </w:r>
      <w:r w:rsidRPr="00146E50">
        <w:rPr>
          <w:rFonts w:asciiTheme="majorBidi" w:hAnsiTheme="majorBidi" w:cstheme="majorBidi"/>
          <w:sz w:val="24"/>
          <w:szCs w:val="24"/>
          <w:lang w:val="da-DK"/>
        </w:rPr>
        <w:t>50</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ml/min/1,73</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w:t>
      </w:r>
      <w:r w:rsidRPr="00146E50">
        <w:rPr>
          <w:rFonts w:asciiTheme="majorBidi" w:hAnsiTheme="majorBidi" w:cstheme="majorBidi"/>
          <w:sz w:val="24"/>
          <w:szCs w:val="24"/>
          <w:vertAlign w:val="superscript"/>
          <w:lang w:val="da-DK"/>
        </w:rPr>
        <w:t>2</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behandles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dosen</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henhold</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tabel</w:t>
      </w:r>
      <w:r w:rsidRPr="00146E50">
        <w:rPr>
          <w:rFonts w:asciiTheme="majorBidi" w:hAnsiTheme="majorBidi" w:cstheme="majorBidi"/>
          <w:spacing w:val="-5"/>
          <w:sz w:val="24"/>
          <w:szCs w:val="24"/>
          <w:lang w:val="da-DK"/>
        </w:rPr>
        <w:t> </w:t>
      </w:r>
      <w:r w:rsidR="006D26E1">
        <w:rPr>
          <w:rFonts w:asciiTheme="majorBidi" w:hAnsiTheme="majorBidi" w:cstheme="majorBidi"/>
          <w:spacing w:val="-5"/>
          <w:sz w:val="24"/>
          <w:szCs w:val="24"/>
          <w:lang w:val="da-DK"/>
        </w:rPr>
        <w:t>3</w:t>
      </w:r>
      <w:r w:rsidRPr="00146E50">
        <w:rPr>
          <w:rFonts w:asciiTheme="majorBidi" w:hAnsiTheme="majorBidi" w:cstheme="majorBidi"/>
          <w:spacing w:val="-5"/>
          <w:sz w:val="24"/>
          <w:szCs w:val="24"/>
          <w:lang w:val="da-DK"/>
        </w:rPr>
        <w:t>.</w:t>
      </w:r>
    </w:p>
    <w:p w14:paraId="0EEDDCE6"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6402DF5"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Under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nyrefunktionen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vurderes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visse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kliniske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situationer,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hvis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formodning om, at der kunne indtræde et fald eller en forringelse i nyrefunktionen (f.eks. hypovolæmi, dehydrering eller ved samtidig behandling med visse lægemidler, osv.).</w:t>
      </w:r>
    </w:p>
    <w:p w14:paraId="772FF800"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64A1CB4"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pacing w:val="-2"/>
          <w:sz w:val="24"/>
          <w:szCs w:val="24"/>
          <w:u w:val="single"/>
        </w:rPr>
        <w:t>Behandlingsvarighed</w:t>
      </w:r>
    </w:p>
    <w:p w14:paraId="652FA303" w14:textId="00D71580"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Behandlingsvarigheden</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individualiseres</w:t>
      </w:r>
      <w:r w:rsidRPr="00146E50">
        <w:rPr>
          <w:rFonts w:asciiTheme="majorBidi" w:hAnsiTheme="majorBidi" w:cstheme="majorBidi"/>
          <w:spacing w:val="-10"/>
          <w:sz w:val="24"/>
          <w:szCs w:val="24"/>
          <w:lang w:val="da-DK"/>
        </w:rPr>
        <w:t xml:space="preserve"> </w:t>
      </w:r>
      <w:r w:rsidRPr="00146E50">
        <w:rPr>
          <w:rFonts w:asciiTheme="majorBidi" w:hAnsiTheme="majorBidi" w:cstheme="majorBidi"/>
          <w:sz w:val="24"/>
          <w:szCs w:val="24"/>
          <w:lang w:val="da-DK"/>
        </w:rPr>
        <w:t>baseret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benefit/risk-vurderingen</w:t>
      </w:r>
      <w:r w:rsidR="006D26E1">
        <w:rPr>
          <w:rFonts w:asciiTheme="majorBidi" w:hAnsiTheme="majorBidi" w:cstheme="majorBidi"/>
          <w:spacing w:val="-10"/>
          <w:sz w:val="24"/>
          <w:szCs w:val="24"/>
          <w:lang w:val="da-DK"/>
        </w:rPr>
        <w:t>.</w:t>
      </w:r>
    </w:p>
    <w:p w14:paraId="6F8D8AA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240DC77F" w14:textId="77777777" w:rsidR="00886871" w:rsidRPr="00146E50" w:rsidRDefault="00886871" w:rsidP="00146E50">
      <w:pPr>
        <w:keepNext/>
        <w:keepLines/>
        <w:ind w:left="851"/>
        <w:rPr>
          <w:rFonts w:asciiTheme="majorBidi" w:hAnsiTheme="majorBidi" w:cstheme="majorBidi"/>
          <w:i/>
          <w:sz w:val="24"/>
          <w:szCs w:val="24"/>
          <w:u w:val="single"/>
        </w:rPr>
      </w:pPr>
      <w:r w:rsidRPr="00146E50">
        <w:rPr>
          <w:rFonts w:asciiTheme="majorBidi" w:hAnsiTheme="majorBidi" w:cstheme="majorBidi"/>
          <w:i/>
          <w:sz w:val="24"/>
          <w:szCs w:val="24"/>
          <w:u w:val="single"/>
        </w:rPr>
        <w:t>Glemt</w:t>
      </w:r>
      <w:r w:rsidRPr="00146E50">
        <w:rPr>
          <w:rFonts w:asciiTheme="majorBidi" w:hAnsiTheme="majorBidi" w:cstheme="majorBidi"/>
          <w:i/>
          <w:spacing w:val="-5"/>
          <w:sz w:val="24"/>
          <w:szCs w:val="24"/>
          <w:u w:val="single"/>
        </w:rPr>
        <w:t xml:space="preserve"> </w:t>
      </w:r>
      <w:r w:rsidRPr="00146E50">
        <w:rPr>
          <w:rFonts w:asciiTheme="majorBidi" w:hAnsiTheme="majorBidi" w:cstheme="majorBidi"/>
          <w:i/>
          <w:spacing w:val="-2"/>
          <w:sz w:val="24"/>
          <w:szCs w:val="24"/>
          <w:u w:val="single"/>
        </w:rPr>
        <w:t>dosis</w:t>
      </w:r>
    </w:p>
    <w:p w14:paraId="2100F180"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glemt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op</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6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planlagte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doseringstidspunkt.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 6 timer før næste planlagte dosis skal den glemte dosis ikke tages.</w:t>
      </w:r>
    </w:p>
    <w:p w14:paraId="3C3D7D3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Der</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aldrig</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en</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dobbeltdosis</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som</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erstatning</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glemte,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enkelte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pacing w:val="-2"/>
          <w:sz w:val="24"/>
          <w:szCs w:val="24"/>
          <w:lang w:val="da-DK"/>
        </w:rPr>
        <w:t>doser.</w:t>
      </w:r>
    </w:p>
    <w:p w14:paraId="1DF965E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3C7D865" w14:textId="77777777" w:rsidR="00886871" w:rsidRPr="00146E50" w:rsidRDefault="00886871" w:rsidP="00146E50">
      <w:pPr>
        <w:keepNext/>
        <w:keepLines/>
        <w:ind w:left="851"/>
        <w:rPr>
          <w:rFonts w:asciiTheme="majorBidi" w:hAnsiTheme="majorBidi" w:cstheme="majorBidi"/>
          <w:i/>
          <w:sz w:val="24"/>
          <w:szCs w:val="24"/>
        </w:rPr>
      </w:pPr>
      <w:r w:rsidRPr="00146E50">
        <w:rPr>
          <w:rFonts w:asciiTheme="majorBidi" w:hAnsiTheme="majorBidi" w:cstheme="majorBidi"/>
          <w:i/>
          <w:sz w:val="24"/>
          <w:szCs w:val="24"/>
          <w:u w:val="single"/>
        </w:rPr>
        <w:t>Seponering</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z w:val="24"/>
          <w:szCs w:val="24"/>
          <w:u w:val="single"/>
        </w:rPr>
        <w:t>af</w:t>
      </w:r>
      <w:r w:rsidRPr="00146E50">
        <w:rPr>
          <w:rFonts w:asciiTheme="majorBidi" w:hAnsiTheme="majorBidi" w:cstheme="majorBidi"/>
          <w:i/>
          <w:spacing w:val="-6"/>
          <w:sz w:val="24"/>
          <w:szCs w:val="24"/>
          <w:u w:val="single"/>
        </w:rPr>
        <w:t xml:space="preserve"> </w:t>
      </w:r>
      <w:r w:rsidRPr="00146E50">
        <w:rPr>
          <w:rFonts w:asciiTheme="majorBidi" w:hAnsiTheme="majorBidi" w:cstheme="majorBidi"/>
          <w:i/>
          <w:spacing w:val="-2"/>
          <w:sz w:val="24"/>
          <w:szCs w:val="24"/>
          <w:u w:val="single"/>
        </w:rPr>
        <w:t>dabigatranetexilat</w:t>
      </w:r>
    </w:p>
    <w:p w14:paraId="3DC256E9"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medicinsk</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rådgivning.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Patienterne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 deres omsorgspersoner skal instrueres i at kontakte den behandlende læge, hvis patienten udvikler gastrointestinale symptomer, såsom dyspepsi (se pkt. 4.8).</w:t>
      </w:r>
    </w:p>
    <w:p w14:paraId="638CF2AC"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1469C02" w14:textId="77777777" w:rsidR="00886871" w:rsidRPr="00146E50" w:rsidRDefault="00886871" w:rsidP="00146E50">
      <w:pPr>
        <w:keepNext/>
        <w:keepLines/>
        <w:ind w:left="851"/>
        <w:rPr>
          <w:rFonts w:asciiTheme="majorBidi" w:hAnsiTheme="majorBidi" w:cstheme="majorBidi"/>
          <w:i/>
          <w:sz w:val="24"/>
          <w:szCs w:val="24"/>
          <w:u w:val="single"/>
        </w:rPr>
      </w:pPr>
      <w:r w:rsidRPr="00146E50">
        <w:rPr>
          <w:rFonts w:asciiTheme="majorBidi" w:hAnsiTheme="majorBidi" w:cstheme="majorBidi"/>
          <w:i/>
          <w:spacing w:val="-2"/>
          <w:sz w:val="24"/>
          <w:szCs w:val="24"/>
          <w:u w:val="single"/>
        </w:rPr>
        <w:t>Behandlingsskift</w:t>
      </w:r>
    </w:p>
    <w:p w14:paraId="162D0D3E"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antikoagulans:</w:t>
      </w:r>
    </w:p>
    <w:p w14:paraId="5961B726"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anbefales,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venter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12 timer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sidste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skifter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fra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en parenteral antikoagulans (se pkt. 4.5).</w:t>
      </w:r>
    </w:p>
    <w:p w14:paraId="14BC0C6B"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D350FA9"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8"/>
          <w:sz w:val="24"/>
          <w:szCs w:val="24"/>
          <w:lang w:val="da-DK"/>
        </w:rPr>
        <w:t xml:space="preserve"> </w:t>
      </w:r>
      <w:r w:rsidRPr="00146E50">
        <w:rPr>
          <w:rFonts w:asciiTheme="majorBidi" w:hAnsiTheme="majorBidi" w:cstheme="majorBidi"/>
          <w:sz w:val="24"/>
          <w:szCs w:val="24"/>
          <w:lang w:val="da-DK"/>
        </w:rPr>
        <w:t>parenteral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7"/>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7"/>
          <w:sz w:val="24"/>
          <w:szCs w:val="24"/>
          <w:lang w:val="da-DK"/>
        </w:rPr>
        <w:t xml:space="preserve"> </w:t>
      </w:r>
      <w:r w:rsidRPr="00146E50">
        <w:rPr>
          <w:rFonts w:asciiTheme="majorBidi" w:hAnsiTheme="majorBidi" w:cstheme="majorBidi"/>
          <w:spacing w:val="-2"/>
          <w:sz w:val="24"/>
          <w:szCs w:val="24"/>
          <w:lang w:val="da-DK"/>
        </w:rPr>
        <w:t>dabigatranetexilat:</w:t>
      </w:r>
    </w:p>
    <w:p w14:paraId="47A66F01"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Den</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parenterale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antikoagulans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og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0</w:t>
      </w:r>
      <w:r w:rsidRPr="00146E50">
        <w:rPr>
          <w:rFonts w:asciiTheme="majorBidi" w:hAnsiTheme="majorBidi" w:cstheme="majorBidi"/>
          <w:sz w:val="24"/>
          <w:szCs w:val="24"/>
          <w:lang w:val="da-DK"/>
        </w:rPr>
        <w:noBreakHyphen/>
        <w:t>2 timer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det planlagte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tidspunkt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næste</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dosis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anden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samtidig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ved kontinuerlig behandling (f.eks. intravenøs ufraktioneret heparin (UFH)) (se pkt. 4.5).</w:t>
      </w:r>
    </w:p>
    <w:p w14:paraId="56FD646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5202E5D1"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Fra</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z w:val="24"/>
          <w:szCs w:val="24"/>
          <w:lang w:val="da-DK"/>
        </w:rPr>
        <w:t>vitamin-K-antagonist</w:t>
      </w:r>
      <w:r w:rsidRPr="00146E50">
        <w:rPr>
          <w:rFonts w:asciiTheme="majorBidi" w:hAnsiTheme="majorBidi" w:cstheme="majorBidi"/>
          <w:spacing w:val="-11"/>
          <w:sz w:val="24"/>
          <w:szCs w:val="24"/>
          <w:lang w:val="da-DK"/>
        </w:rPr>
        <w:t xml:space="preserve"> </w:t>
      </w:r>
      <w:r w:rsidRPr="00146E50">
        <w:rPr>
          <w:rFonts w:asciiTheme="majorBidi" w:hAnsiTheme="majorBidi" w:cstheme="majorBidi"/>
          <w:spacing w:val="-2"/>
          <w:sz w:val="24"/>
          <w:szCs w:val="24"/>
          <w:lang w:val="da-DK"/>
        </w:rPr>
        <w:t>(VKA):</w:t>
      </w:r>
    </w:p>
    <w:p w14:paraId="5437678E"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Patienter</w:t>
      </w:r>
      <w:r w:rsidRPr="00146E50">
        <w:rPr>
          <w:rFonts w:asciiTheme="majorBidi" w:hAnsiTheme="majorBidi" w:cstheme="majorBidi"/>
          <w:spacing w:val="-6"/>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startes</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på</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3 dage</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før</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4"/>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6C8C8A40" w14:textId="77777777" w:rsidR="00886871" w:rsidRPr="00146E50" w:rsidRDefault="00886871" w:rsidP="00146E50">
      <w:pPr>
        <w:pStyle w:val="Brdtekst"/>
        <w:widowControl/>
        <w:ind w:left="851"/>
        <w:jc w:val="both"/>
        <w:rPr>
          <w:rFonts w:asciiTheme="majorBidi" w:hAnsiTheme="majorBidi" w:cstheme="majorBidi"/>
          <w:sz w:val="24"/>
          <w:szCs w:val="24"/>
          <w:lang w:val="da-DK"/>
        </w:rPr>
      </w:pP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påvirke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vil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internationale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normaliserende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ratio</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først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efter mindst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2 dage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efter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seponering</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af</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bedre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afspejle</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VKAs</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effekt.</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Indtil</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INR- værdier tolkes med forsigtighed.</w:t>
      </w:r>
    </w:p>
    <w:p w14:paraId="66A0A705" w14:textId="77777777" w:rsidR="00886871" w:rsidRPr="00146E50" w:rsidRDefault="00886871" w:rsidP="00146E50">
      <w:pPr>
        <w:pStyle w:val="Brdtekst"/>
        <w:widowControl/>
        <w:ind w:left="851"/>
        <w:rPr>
          <w:rFonts w:asciiTheme="majorBidi" w:hAnsiTheme="majorBidi" w:cstheme="majorBidi"/>
          <w:sz w:val="24"/>
          <w:szCs w:val="24"/>
          <w:lang w:val="da-DK"/>
        </w:rPr>
      </w:pPr>
    </w:p>
    <w:p w14:paraId="3C3448B4" w14:textId="77777777" w:rsidR="00886871" w:rsidRPr="00146E50" w:rsidRDefault="00886871" w:rsidP="00146E50">
      <w:pPr>
        <w:pStyle w:val="Brdtekst"/>
        <w:keepNext/>
        <w:keepLines/>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3"/>
          <w:sz w:val="24"/>
          <w:szCs w:val="24"/>
          <w:lang w:val="da-DK"/>
        </w:rPr>
        <w:t xml:space="preserve"> </w:t>
      </w:r>
      <w:r w:rsidRPr="00146E50">
        <w:rPr>
          <w:rFonts w:asciiTheme="majorBidi" w:hAnsiTheme="majorBidi" w:cstheme="majorBidi"/>
          <w:spacing w:val="-2"/>
          <w:sz w:val="24"/>
          <w:szCs w:val="24"/>
          <w:lang w:val="da-DK"/>
        </w:rPr>
        <w:t>dabigatranetexilat:</w:t>
      </w:r>
    </w:p>
    <w:p w14:paraId="3CD5EBB8"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Behandling</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VKA</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stoppes.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Dabigatranetexilat</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administreres</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når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INR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3"/>
          <w:sz w:val="24"/>
          <w:szCs w:val="24"/>
          <w:lang w:val="da-DK"/>
        </w:rPr>
        <w:t xml:space="preserve"> </w:t>
      </w:r>
      <w:r w:rsidRPr="00146E50">
        <w:rPr>
          <w:rFonts w:asciiTheme="majorBidi" w:hAnsiTheme="majorBidi" w:cstheme="majorBidi"/>
          <w:sz w:val="24"/>
          <w:szCs w:val="24"/>
          <w:lang w:val="da-DK"/>
        </w:rPr>
        <w:t>&lt;</w:t>
      </w:r>
      <w:r w:rsidRPr="00146E50">
        <w:rPr>
          <w:rFonts w:asciiTheme="majorBidi" w:hAnsiTheme="majorBidi" w:cstheme="majorBidi"/>
          <w:spacing w:val="-3"/>
          <w:sz w:val="24"/>
          <w:szCs w:val="24"/>
          <w:lang w:val="da-DK"/>
        </w:rPr>
        <w:t> </w:t>
      </w:r>
      <w:r w:rsidRPr="00146E50">
        <w:rPr>
          <w:rFonts w:asciiTheme="majorBidi" w:hAnsiTheme="majorBidi" w:cstheme="majorBidi"/>
          <w:sz w:val="24"/>
          <w:szCs w:val="24"/>
          <w:lang w:val="da-DK"/>
        </w:rPr>
        <w:t xml:space="preserve">2,0. </w:t>
      </w:r>
    </w:p>
    <w:p w14:paraId="75C0D2DF" w14:textId="77777777" w:rsidR="00886871" w:rsidRPr="00146E50" w:rsidRDefault="00886871" w:rsidP="00146E50">
      <w:pPr>
        <w:pStyle w:val="Brdtekst"/>
        <w:widowControl/>
        <w:ind w:left="851"/>
        <w:rPr>
          <w:rFonts w:asciiTheme="majorBidi" w:hAnsiTheme="majorBidi" w:cstheme="majorBidi"/>
          <w:sz w:val="24"/>
          <w:szCs w:val="24"/>
          <w:lang w:val="da-DK"/>
        </w:rPr>
      </w:pPr>
    </w:p>
    <w:p w14:paraId="0166BDD6" w14:textId="77777777" w:rsidR="00886871" w:rsidRPr="00146E50" w:rsidRDefault="00886871" w:rsidP="00146E50">
      <w:pPr>
        <w:pStyle w:val="Brdtekst"/>
        <w:keepNext/>
        <w:keepLines/>
        <w:widowControl/>
        <w:ind w:left="851"/>
        <w:rPr>
          <w:rFonts w:asciiTheme="majorBidi" w:hAnsiTheme="majorBidi" w:cstheme="majorBidi"/>
          <w:spacing w:val="-2"/>
          <w:sz w:val="24"/>
          <w:szCs w:val="24"/>
          <w:u w:val="single"/>
          <w:lang w:val="da-DK"/>
        </w:rPr>
      </w:pPr>
      <w:r w:rsidRPr="00146E50">
        <w:rPr>
          <w:rFonts w:asciiTheme="majorBidi" w:hAnsiTheme="majorBidi" w:cstheme="majorBidi"/>
          <w:spacing w:val="-2"/>
          <w:sz w:val="24"/>
          <w:szCs w:val="24"/>
          <w:u w:val="single"/>
          <w:lang w:val="da-DK"/>
        </w:rPr>
        <w:t>Administration</w:t>
      </w:r>
    </w:p>
    <w:p w14:paraId="13F2C13B"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Dette</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lægemiddel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er</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til</w:t>
      </w:r>
      <w:r w:rsidRPr="00146E50">
        <w:rPr>
          <w:rFonts w:asciiTheme="majorBidi" w:hAnsiTheme="majorBidi" w:cstheme="majorBidi"/>
          <w:spacing w:val="-5"/>
          <w:sz w:val="24"/>
          <w:szCs w:val="24"/>
          <w:lang w:val="da-DK"/>
        </w:rPr>
        <w:t xml:space="preserve"> </w:t>
      </w:r>
      <w:r w:rsidRPr="00146E50">
        <w:rPr>
          <w:rFonts w:asciiTheme="majorBidi" w:hAnsiTheme="majorBidi" w:cstheme="majorBidi"/>
          <w:sz w:val="24"/>
          <w:szCs w:val="24"/>
          <w:lang w:val="da-DK"/>
        </w:rPr>
        <w:t>oral</w:t>
      </w:r>
      <w:r w:rsidRPr="00146E50">
        <w:rPr>
          <w:rFonts w:asciiTheme="majorBidi" w:hAnsiTheme="majorBidi" w:cstheme="majorBidi"/>
          <w:spacing w:val="-4"/>
          <w:sz w:val="24"/>
          <w:szCs w:val="24"/>
          <w:lang w:val="da-DK"/>
        </w:rPr>
        <w:t xml:space="preserve"> </w:t>
      </w:r>
      <w:r w:rsidRPr="00146E50">
        <w:rPr>
          <w:rFonts w:asciiTheme="majorBidi" w:hAnsiTheme="majorBidi" w:cstheme="majorBidi"/>
          <w:spacing w:val="-2"/>
          <w:sz w:val="24"/>
          <w:szCs w:val="24"/>
          <w:lang w:val="da-DK"/>
        </w:rPr>
        <w:t>anvendelse.</w:t>
      </w:r>
    </w:p>
    <w:p w14:paraId="62EBA43C"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tages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sammen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eller</w:t>
      </w:r>
      <w:r w:rsidRPr="00146E50">
        <w:rPr>
          <w:rFonts w:asciiTheme="majorBidi" w:hAnsiTheme="majorBidi" w:cstheme="majorBidi"/>
          <w:spacing w:val="-1"/>
          <w:sz w:val="24"/>
          <w:szCs w:val="24"/>
          <w:lang w:val="da-DK"/>
        </w:rPr>
        <w:t xml:space="preserve"> </w:t>
      </w:r>
      <w:r w:rsidRPr="00146E50">
        <w:rPr>
          <w:rFonts w:asciiTheme="majorBidi" w:hAnsiTheme="majorBidi" w:cstheme="majorBidi"/>
          <w:sz w:val="24"/>
          <w:szCs w:val="24"/>
          <w:lang w:val="da-DK"/>
        </w:rPr>
        <w:t>uden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mad.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skal</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sluges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hele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med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et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glas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vand</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 lette passagen til mavesækken.</w:t>
      </w:r>
    </w:p>
    <w:p w14:paraId="05088DA8" w14:textId="77777777" w:rsidR="00886871" w:rsidRPr="00146E50" w:rsidRDefault="00886871" w:rsidP="00146E50">
      <w:pPr>
        <w:pStyle w:val="Brdtekst"/>
        <w:widowControl/>
        <w:ind w:left="851"/>
        <w:rPr>
          <w:rFonts w:asciiTheme="majorBidi" w:hAnsiTheme="majorBidi" w:cstheme="majorBidi"/>
          <w:sz w:val="24"/>
          <w:szCs w:val="24"/>
          <w:lang w:val="da-DK"/>
        </w:rPr>
      </w:pPr>
      <w:r w:rsidRPr="00146E50">
        <w:rPr>
          <w:rFonts w:asciiTheme="majorBidi" w:hAnsiTheme="majorBidi" w:cstheme="majorBidi"/>
          <w:sz w:val="24"/>
          <w:szCs w:val="24"/>
          <w:lang w:val="da-DK"/>
        </w:rPr>
        <w:t>Patienterne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bør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informeres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om,</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at</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kapslerne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ikke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må</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åbnes,</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da</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dette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kan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øge</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risikoen</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for</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blødning</w:t>
      </w:r>
      <w:r w:rsidRPr="00146E50">
        <w:rPr>
          <w:rFonts w:asciiTheme="majorBidi" w:hAnsiTheme="majorBidi" w:cstheme="majorBidi"/>
          <w:spacing w:val="-2"/>
          <w:sz w:val="24"/>
          <w:szCs w:val="24"/>
          <w:lang w:val="da-DK"/>
        </w:rPr>
        <w:t xml:space="preserve"> </w:t>
      </w:r>
      <w:r w:rsidRPr="00146E50">
        <w:rPr>
          <w:rFonts w:asciiTheme="majorBidi" w:hAnsiTheme="majorBidi" w:cstheme="majorBidi"/>
          <w:sz w:val="24"/>
          <w:szCs w:val="24"/>
          <w:lang w:val="da-DK"/>
        </w:rPr>
        <w:t>(se pkt. 5.2 og 6.6).</w:t>
      </w:r>
    </w:p>
    <w:p w14:paraId="084A01C9" w14:textId="77777777" w:rsidR="009260DE" w:rsidRPr="00146E50" w:rsidRDefault="009260DE" w:rsidP="00146E50">
      <w:pPr>
        <w:tabs>
          <w:tab w:val="left" w:pos="851"/>
        </w:tabs>
        <w:ind w:left="851"/>
        <w:rPr>
          <w:sz w:val="24"/>
          <w:szCs w:val="24"/>
        </w:rPr>
      </w:pPr>
    </w:p>
    <w:p w14:paraId="1A3339C3" w14:textId="77777777" w:rsidR="009260DE" w:rsidRPr="00C84483" w:rsidRDefault="009260DE" w:rsidP="00146E50">
      <w:pPr>
        <w:tabs>
          <w:tab w:val="left" w:pos="851"/>
        </w:tabs>
        <w:ind w:left="851" w:hanging="851"/>
        <w:rPr>
          <w:b/>
          <w:sz w:val="24"/>
          <w:szCs w:val="24"/>
        </w:rPr>
      </w:pPr>
      <w:r w:rsidRPr="00C84483">
        <w:rPr>
          <w:b/>
          <w:sz w:val="24"/>
          <w:szCs w:val="24"/>
        </w:rPr>
        <w:t>4.3</w:t>
      </w:r>
      <w:r w:rsidRPr="00C84483">
        <w:rPr>
          <w:b/>
          <w:sz w:val="24"/>
          <w:szCs w:val="24"/>
        </w:rPr>
        <w:tab/>
        <w:t>Kontraindikationer</w:t>
      </w:r>
    </w:p>
    <w:p w14:paraId="7A38A5D6"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Overfølsomhed</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over for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det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aktive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stof</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over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flere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af</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hjælpestofferne</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anført</w:t>
      </w:r>
      <w:r w:rsidRPr="00995D39">
        <w:rPr>
          <w:rFonts w:asciiTheme="majorBidi" w:hAnsiTheme="majorBidi" w:cstheme="majorBidi"/>
          <w:spacing w:val="-2"/>
          <w:sz w:val="24"/>
          <w:szCs w:val="24"/>
          <w:lang w:val="da-DK"/>
        </w:rPr>
        <w:t xml:space="preserve"> </w:t>
      </w:r>
      <w:r w:rsidRPr="00995D39">
        <w:rPr>
          <w:rFonts w:asciiTheme="majorBidi" w:hAnsiTheme="majorBidi" w:cstheme="majorBidi"/>
          <w:sz w:val="24"/>
          <w:szCs w:val="24"/>
          <w:lang w:val="da-DK"/>
        </w:rPr>
        <w:t>i pkt. 6.1</w:t>
      </w:r>
    </w:p>
    <w:p w14:paraId="6A3F026B"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Svært</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nedsat</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nyrefunktion</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(CrCL</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&lt;</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30</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ml/min)</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hos</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voksne</w:t>
      </w:r>
      <w:r w:rsidRPr="00995D39">
        <w:rPr>
          <w:rFonts w:asciiTheme="majorBidi" w:hAnsiTheme="majorBidi" w:cstheme="majorBidi"/>
          <w:spacing w:val="-5"/>
          <w:sz w:val="24"/>
          <w:szCs w:val="24"/>
          <w:lang w:val="da-DK"/>
        </w:rPr>
        <w:t xml:space="preserve"> </w:t>
      </w:r>
      <w:r w:rsidRPr="00995D39">
        <w:rPr>
          <w:rFonts w:asciiTheme="majorBidi" w:hAnsiTheme="majorBidi" w:cstheme="majorBidi"/>
          <w:spacing w:val="-2"/>
          <w:sz w:val="24"/>
          <w:szCs w:val="24"/>
          <w:lang w:val="da-DK"/>
        </w:rPr>
        <w:t>patienter</w:t>
      </w:r>
    </w:p>
    <w:p w14:paraId="0E4CB07F"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eGFR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&lt;</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50</w:t>
      </w:r>
      <w:r w:rsidRPr="00995D39">
        <w:rPr>
          <w:rFonts w:asciiTheme="majorBidi" w:hAnsiTheme="majorBidi" w:cstheme="majorBidi"/>
          <w:spacing w:val="-5"/>
          <w:sz w:val="24"/>
          <w:szCs w:val="24"/>
          <w:lang w:val="da-DK"/>
        </w:rPr>
        <w:t xml:space="preserve"> </w:t>
      </w:r>
      <w:r w:rsidRPr="00995D39">
        <w:rPr>
          <w:rFonts w:asciiTheme="majorBidi" w:hAnsiTheme="majorBidi" w:cstheme="majorBidi"/>
          <w:sz w:val="24"/>
          <w:szCs w:val="24"/>
          <w:lang w:val="da-DK"/>
        </w:rPr>
        <w:t>ml/min/1,73</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m</w:t>
      </w:r>
      <w:r w:rsidRPr="00995D39">
        <w:rPr>
          <w:rFonts w:asciiTheme="majorBidi" w:hAnsiTheme="majorBidi" w:cstheme="majorBidi"/>
          <w:sz w:val="24"/>
          <w:szCs w:val="24"/>
          <w:vertAlign w:val="superscript"/>
          <w:lang w:val="da-DK"/>
        </w:rPr>
        <w:t>2</w:t>
      </w:r>
      <w:r w:rsidRPr="00995D39">
        <w:rPr>
          <w:rFonts w:asciiTheme="majorBidi" w:hAnsiTheme="majorBidi" w:cstheme="majorBidi"/>
          <w:spacing w:val="-4"/>
          <w:sz w:val="24"/>
          <w:szCs w:val="24"/>
          <w:lang w:val="da-DK"/>
        </w:rPr>
        <w:t xml:space="preserve"> </w:t>
      </w:r>
      <w:r w:rsidRPr="00995D39">
        <w:rPr>
          <w:rFonts w:asciiTheme="majorBidi" w:hAnsiTheme="majorBidi" w:cstheme="majorBidi"/>
          <w:sz w:val="24"/>
          <w:szCs w:val="24"/>
          <w:lang w:val="da-DK"/>
        </w:rPr>
        <w:t>hos</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pædiatriske</w:t>
      </w:r>
      <w:r w:rsidRPr="00995D39">
        <w:rPr>
          <w:rFonts w:asciiTheme="majorBidi" w:hAnsiTheme="majorBidi" w:cstheme="majorBidi"/>
          <w:spacing w:val="-5"/>
          <w:sz w:val="24"/>
          <w:szCs w:val="24"/>
          <w:lang w:val="da-DK"/>
        </w:rPr>
        <w:t xml:space="preserve"> </w:t>
      </w:r>
      <w:r w:rsidRPr="00995D39">
        <w:rPr>
          <w:rFonts w:asciiTheme="majorBidi" w:hAnsiTheme="majorBidi" w:cstheme="majorBidi"/>
          <w:spacing w:val="-2"/>
          <w:sz w:val="24"/>
          <w:szCs w:val="24"/>
          <w:lang w:val="da-DK"/>
        </w:rPr>
        <w:t>patienter</w:t>
      </w:r>
    </w:p>
    <w:p w14:paraId="2F1BA1A6"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Aktiv</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klinisk</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signifikant</w:t>
      </w:r>
      <w:r w:rsidRPr="00995D39">
        <w:rPr>
          <w:rFonts w:asciiTheme="majorBidi" w:hAnsiTheme="majorBidi" w:cstheme="majorBidi"/>
          <w:spacing w:val="-7"/>
          <w:sz w:val="24"/>
          <w:szCs w:val="24"/>
          <w:lang w:val="da-DK"/>
        </w:rPr>
        <w:t xml:space="preserve"> </w:t>
      </w:r>
      <w:r w:rsidRPr="00995D39">
        <w:rPr>
          <w:rFonts w:asciiTheme="majorBidi" w:hAnsiTheme="majorBidi" w:cstheme="majorBidi"/>
          <w:spacing w:val="-2"/>
          <w:sz w:val="24"/>
          <w:szCs w:val="24"/>
          <w:lang w:val="da-DK"/>
        </w:rPr>
        <w:t>blødning</w:t>
      </w:r>
    </w:p>
    <w:p w14:paraId="521528E8"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Læsion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tilstand,</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betragtes</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som</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betydende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risikofaktor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en</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alvorlig</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blødning.</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10CF30B0"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nødvendige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for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opretholde</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åbent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centralt</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venekateter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arteriekateter,</w:t>
      </w:r>
      <w:r w:rsidRPr="00995D39">
        <w:rPr>
          <w:rFonts w:asciiTheme="majorBidi" w:hAnsiTheme="majorBidi" w:cstheme="majorBidi"/>
          <w:spacing w:val="-3"/>
          <w:sz w:val="24"/>
          <w:szCs w:val="24"/>
          <w:lang w:val="da-DK"/>
        </w:rPr>
        <w:t xml:space="preserve"> </w:t>
      </w:r>
      <w:r w:rsidRPr="00995D39">
        <w:rPr>
          <w:rFonts w:asciiTheme="majorBidi" w:hAnsiTheme="majorBidi" w:cstheme="majorBidi"/>
          <w:sz w:val="24"/>
          <w:szCs w:val="24"/>
          <w:lang w:val="da-DK"/>
        </w:rPr>
        <w:t>eller når UFH gives under kateterablation for atrieflimren (se pkt. 4.5)</w:t>
      </w:r>
    </w:p>
    <w:p w14:paraId="778B92B2"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Nedsat</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leverfunktion</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leversygdom,</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som</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forventes</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at</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påvirke</w:t>
      </w:r>
      <w:r w:rsidRPr="00995D39">
        <w:rPr>
          <w:rFonts w:asciiTheme="majorBidi" w:hAnsiTheme="majorBidi" w:cstheme="majorBidi"/>
          <w:spacing w:val="-7"/>
          <w:sz w:val="24"/>
          <w:szCs w:val="24"/>
          <w:lang w:val="da-DK"/>
        </w:rPr>
        <w:t xml:space="preserve"> </w:t>
      </w:r>
      <w:r w:rsidRPr="00995D39">
        <w:rPr>
          <w:rFonts w:asciiTheme="majorBidi" w:hAnsiTheme="majorBidi" w:cstheme="majorBidi"/>
          <w:spacing w:val="-2"/>
          <w:sz w:val="24"/>
          <w:szCs w:val="24"/>
          <w:lang w:val="da-DK"/>
        </w:rPr>
        <w:t>overlevelsen</w:t>
      </w:r>
    </w:p>
    <w:p w14:paraId="4087B0CC"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lastRenderedPageBreak/>
        <w:t>Samtidig behandling med de følgende potente P-gp-inhibitorer: systemisk ketoconazol, ciclosporin,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itraconazol,</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dronedaron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eller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fastdosiskombinationen</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glecaprevir/pibrentasvir</w:t>
      </w:r>
      <w:r w:rsidRPr="00995D39">
        <w:rPr>
          <w:rFonts w:asciiTheme="majorBidi" w:hAnsiTheme="majorBidi" w:cstheme="majorBidi"/>
          <w:spacing w:val="-6"/>
          <w:sz w:val="24"/>
          <w:szCs w:val="24"/>
          <w:lang w:val="da-DK"/>
        </w:rPr>
        <w:t xml:space="preserve"> </w:t>
      </w:r>
      <w:r w:rsidRPr="00995D39">
        <w:rPr>
          <w:rFonts w:asciiTheme="majorBidi" w:hAnsiTheme="majorBidi" w:cstheme="majorBidi"/>
          <w:sz w:val="24"/>
          <w:szCs w:val="24"/>
          <w:lang w:val="da-DK"/>
        </w:rPr>
        <w:t>(se pkt. 4.5)</w:t>
      </w:r>
    </w:p>
    <w:p w14:paraId="30965EF2" w14:textId="77777777" w:rsidR="00886871" w:rsidRPr="00995D39" w:rsidRDefault="00886871" w:rsidP="00995D39">
      <w:pPr>
        <w:pStyle w:val="Listeafsnit"/>
        <w:widowControl/>
        <w:numPr>
          <w:ilvl w:val="2"/>
          <w:numId w:val="7"/>
        </w:numPr>
        <w:tabs>
          <w:tab w:val="left" w:pos="1134"/>
        </w:tabs>
        <w:ind w:left="1134" w:hanging="283"/>
        <w:rPr>
          <w:rFonts w:asciiTheme="majorBidi" w:hAnsiTheme="majorBidi" w:cstheme="majorBidi"/>
          <w:sz w:val="24"/>
          <w:szCs w:val="24"/>
          <w:lang w:val="da-DK"/>
        </w:rPr>
      </w:pPr>
      <w:r w:rsidRPr="00995D39">
        <w:rPr>
          <w:rFonts w:asciiTheme="majorBidi" w:hAnsiTheme="majorBidi" w:cstheme="majorBidi"/>
          <w:sz w:val="24"/>
          <w:szCs w:val="24"/>
          <w:lang w:val="da-DK"/>
        </w:rPr>
        <w:t>Kunstige</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hjerteklapper,</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der</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kræver</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behandling</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med</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antikoagulans</w:t>
      </w:r>
      <w:r w:rsidRPr="00995D39">
        <w:rPr>
          <w:rFonts w:asciiTheme="majorBidi" w:hAnsiTheme="majorBidi" w:cstheme="majorBidi"/>
          <w:spacing w:val="-8"/>
          <w:sz w:val="24"/>
          <w:szCs w:val="24"/>
          <w:lang w:val="da-DK"/>
        </w:rPr>
        <w:t xml:space="preserve"> </w:t>
      </w:r>
      <w:r w:rsidRPr="00995D39">
        <w:rPr>
          <w:rFonts w:asciiTheme="majorBidi" w:hAnsiTheme="majorBidi" w:cstheme="majorBidi"/>
          <w:sz w:val="24"/>
          <w:szCs w:val="24"/>
          <w:lang w:val="da-DK"/>
        </w:rPr>
        <w:t>(se</w:t>
      </w:r>
      <w:r w:rsidRPr="00995D39">
        <w:rPr>
          <w:rFonts w:asciiTheme="majorBidi" w:hAnsiTheme="majorBidi" w:cstheme="majorBidi"/>
          <w:spacing w:val="-7"/>
          <w:sz w:val="24"/>
          <w:szCs w:val="24"/>
          <w:lang w:val="da-DK"/>
        </w:rPr>
        <w:t xml:space="preserve"> </w:t>
      </w:r>
      <w:r w:rsidRPr="00995D39">
        <w:rPr>
          <w:rFonts w:asciiTheme="majorBidi" w:hAnsiTheme="majorBidi" w:cstheme="majorBidi"/>
          <w:sz w:val="24"/>
          <w:szCs w:val="24"/>
          <w:lang w:val="da-DK"/>
        </w:rPr>
        <w:t>pkt.</w:t>
      </w:r>
      <w:r w:rsidRPr="00995D39">
        <w:rPr>
          <w:rFonts w:asciiTheme="majorBidi" w:hAnsiTheme="majorBidi" w:cstheme="majorBidi"/>
          <w:spacing w:val="-6"/>
          <w:sz w:val="24"/>
          <w:szCs w:val="24"/>
          <w:lang w:val="da-DK"/>
        </w:rPr>
        <w:t> </w:t>
      </w:r>
      <w:r w:rsidRPr="00995D39">
        <w:rPr>
          <w:rFonts w:asciiTheme="majorBidi" w:hAnsiTheme="majorBidi" w:cstheme="majorBidi"/>
          <w:spacing w:val="-2"/>
          <w:sz w:val="24"/>
          <w:szCs w:val="24"/>
          <w:lang w:val="da-DK"/>
        </w:rPr>
        <w:t>5.1).</w:t>
      </w:r>
    </w:p>
    <w:p w14:paraId="2085459D" w14:textId="77777777" w:rsidR="009260DE" w:rsidRPr="00C84483" w:rsidRDefault="009260DE" w:rsidP="00146E50">
      <w:pPr>
        <w:tabs>
          <w:tab w:val="left" w:pos="851"/>
        </w:tabs>
        <w:ind w:left="851"/>
        <w:rPr>
          <w:sz w:val="24"/>
          <w:szCs w:val="24"/>
        </w:rPr>
      </w:pPr>
    </w:p>
    <w:p w14:paraId="33CC4CDC" w14:textId="77777777" w:rsidR="009260DE" w:rsidRPr="00C84483" w:rsidRDefault="009260DE" w:rsidP="00146E5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09D0F3F" w14:textId="77777777" w:rsidR="001007BC" w:rsidRDefault="001007BC" w:rsidP="001007BC">
      <w:pPr>
        <w:pStyle w:val="Brdtekst"/>
        <w:keepNext/>
        <w:keepLines/>
        <w:widowControl/>
        <w:ind w:left="851"/>
        <w:rPr>
          <w:rFonts w:asciiTheme="majorBidi" w:hAnsiTheme="majorBidi" w:cstheme="majorBidi"/>
          <w:sz w:val="24"/>
          <w:szCs w:val="24"/>
          <w:u w:val="single"/>
          <w:lang w:val="da-DK"/>
        </w:rPr>
      </w:pPr>
    </w:p>
    <w:p w14:paraId="14CE8A19" w14:textId="02A7F635"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Risiko</w:t>
      </w:r>
      <w:r w:rsidRPr="001007BC">
        <w:rPr>
          <w:rFonts w:asciiTheme="majorBidi" w:hAnsiTheme="majorBidi" w:cstheme="majorBidi"/>
          <w:spacing w:val="-5"/>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pacing w:val="-4"/>
          <w:sz w:val="24"/>
          <w:szCs w:val="24"/>
          <w:u w:val="single"/>
          <w:lang w:val="da-DK"/>
        </w:rPr>
        <w:t xml:space="preserve"> </w:t>
      </w:r>
      <w:r w:rsidRPr="001007BC">
        <w:rPr>
          <w:rFonts w:asciiTheme="majorBidi" w:hAnsiTheme="majorBidi" w:cstheme="majorBidi"/>
          <w:spacing w:val="-2"/>
          <w:sz w:val="24"/>
          <w:szCs w:val="24"/>
          <w:u w:val="single"/>
          <w:lang w:val="da-DK"/>
        </w:rPr>
        <w:t>blødning</w:t>
      </w:r>
    </w:p>
    <w:p w14:paraId="2A27F73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tilstande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5A4379A7"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99EEDDB"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fuldblod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frossen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plasma,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koagulationsfaktor- koncentrater (aktiveret eller ikke-aktiveret), rekombinant-faktor VIIa eller trombocytkoncentrater andre muligheder (se også pkt. 4.9).</w:t>
      </w:r>
    </w:p>
    <w:p w14:paraId="1117E3D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C8D9869" w14:textId="4729D56D"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kliniske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studier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forbundet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højere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frekvens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alvorlig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gastrointestinal blødning. En øget risiko blev observeret hos ældre (≥ 75 år) for dosisprogrammet med 150 mg to gange dagligt. Yderligere risikofaktorer (se også tabel </w:t>
      </w:r>
      <w:r w:rsidR="00694DD8">
        <w:rPr>
          <w:rFonts w:asciiTheme="majorBidi" w:hAnsiTheme="majorBidi" w:cstheme="majorBidi"/>
          <w:sz w:val="24"/>
          <w:szCs w:val="24"/>
          <w:lang w:val="da-DK"/>
        </w:rPr>
        <w:t>4</w:t>
      </w:r>
      <w:r w:rsidRPr="001007BC">
        <w:rPr>
          <w:rFonts w:asciiTheme="majorBidi" w:hAnsiTheme="majorBidi" w:cstheme="majorBidi"/>
          <w:sz w:val="24"/>
          <w:szCs w:val="24"/>
          <w:lang w:val="da-DK"/>
        </w:rPr>
        <w:t>) omfatter samtidig medicinering med trombocytaggregationshæmmere, såsom clopidogrel og acetylsalicylsyre (ASA) eller nonsteroide antiinflammatoriske lægemidler (NSAID), samt tilstedeværelsen af øsofagitis, gastritis eller gastroøsofageal refluks.</w:t>
      </w:r>
    </w:p>
    <w:p w14:paraId="3F1CC90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E5956C1"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pacing w:val="-2"/>
          <w:sz w:val="24"/>
          <w:szCs w:val="24"/>
        </w:rPr>
        <w:t>Risikofaktorer</w:t>
      </w:r>
    </w:p>
    <w:p w14:paraId="4FB17424" w14:textId="74B72248"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2"/>
          <w:sz w:val="24"/>
          <w:szCs w:val="24"/>
          <w:lang w:val="da-DK"/>
        </w:rPr>
        <w:t> </w:t>
      </w:r>
      <w:r w:rsidR="00694DD8">
        <w:rPr>
          <w:rFonts w:asciiTheme="majorBidi" w:hAnsiTheme="majorBidi" w:cstheme="majorBidi"/>
          <w:sz w:val="24"/>
          <w:szCs w:val="24"/>
          <w:lang w:val="da-DK"/>
        </w:rPr>
        <w:t>4</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anført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faktorer,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øge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pacing w:val="-2"/>
          <w:sz w:val="24"/>
          <w:szCs w:val="24"/>
          <w:lang w:val="da-DK"/>
        </w:rPr>
        <w:t>blødningsrisikoen.</w:t>
      </w:r>
    </w:p>
    <w:p w14:paraId="65C1571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536777A" w14:textId="2FD29847"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sidR="00694DD8">
        <w:rPr>
          <w:rFonts w:asciiTheme="majorBidi" w:hAnsiTheme="majorBidi" w:cstheme="majorBidi"/>
          <w:spacing w:val="-3"/>
          <w:lang w:val="da-DK"/>
        </w:rPr>
        <w:t>4</w:t>
      </w:r>
      <w:r>
        <w:rPr>
          <w:rFonts w:asciiTheme="majorBidi" w:hAnsiTheme="majorBidi" w:cstheme="majorBidi"/>
          <w:lang w:val="da-DK"/>
        </w:rPr>
        <w:t>:</w:t>
      </w:r>
      <w:r>
        <w:rPr>
          <w:rFonts w:asciiTheme="majorBidi" w:hAnsiTheme="majorBidi" w:cstheme="majorBidi"/>
          <w:spacing w:val="-4"/>
          <w:lang w:val="da-DK"/>
        </w:rPr>
        <w:t xml:space="preserve"> </w:t>
      </w:r>
      <w:r>
        <w:rPr>
          <w:rFonts w:asciiTheme="majorBidi" w:hAnsiTheme="majorBidi" w:cstheme="majorBidi"/>
          <w:lang w:val="da-DK"/>
        </w:rPr>
        <w:t>Faktorer,</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kan</w:t>
      </w:r>
      <w:r>
        <w:rPr>
          <w:rFonts w:asciiTheme="majorBidi" w:hAnsiTheme="majorBidi" w:cstheme="majorBidi"/>
          <w:spacing w:val="-4"/>
          <w:lang w:val="da-DK"/>
        </w:rPr>
        <w:t xml:space="preserve"> </w:t>
      </w:r>
      <w:r>
        <w:rPr>
          <w:rFonts w:asciiTheme="majorBidi" w:hAnsiTheme="majorBidi" w:cstheme="majorBidi"/>
          <w:lang w:val="da-DK"/>
        </w:rPr>
        <w:t>øge</w:t>
      </w:r>
      <w:r>
        <w:rPr>
          <w:rFonts w:asciiTheme="majorBidi" w:hAnsiTheme="majorBidi" w:cstheme="majorBidi"/>
          <w:spacing w:val="-4"/>
          <w:lang w:val="da-DK"/>
        </w:rPr>
        <w:t xml:space="preserve"> </w:t>
      </w:r>
      <w:r>
        <w:rPr>
          <w:rFonts w:asciiTheme="majorBidi" w:hAnsiTheme="majorBidi" w:cstheme="majorBidi"/>
          <w:spacing w:val="-2"/>
          <w:lang w:val="da-DK"/>
        </w:rPr>
        <w:t>blødningsrisikoen.</w:t>
      </w:r>
    </w:p>
    <w:p w14:paraId="55925BA9"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9"/>
        <w:gridCol w:w="5246"/>
      </w:tblGrid>
      <w:tr w:rsidR="00886871" w14:paraId="4DA5D16C" w14:textId="77777777" w:rsidTr="00886871">
        <w:trPr>
          <w:cantSplit/>
          <w:trHeight w:val="20"/>
          <w:tblHeader/>
        </w:trPr>
        <w:tc>
          <w:tcPr>
            <w:tcW w:w="3828" w:type="dxa"/>
            <w:tcBorders>
              <w:top w:val="single" w:sz="4" w:space="0" w:color="000000"/>
              <w:left w:val="single" w:sz="4" w:space="0" w:color="000000"/>
              <w:bottom w:val="single" w:sz="4" w:space="0" w:color="000000"/>
              <w:right w:val="single" w:sz="4" w:space="0" w:color="000000"/>
            </w:tcBorders>
          </w:tcPr>
          <w:p w14:paraId="6AD34227" w14:textId="77777777" w:rsidR="00886871" w:rsidRDefault="00886871" w:rsidP="00146E50">
            <w:pPr>
              <w:pStyle w:val="TableParagraph"/>
              <w:keepNext/>
              <w:keepLines/>
              <w:widowControl/>
              <w:spacing w:line="240" w:lineRule="auto"/>
              <w:ind w:left="0" w:right="113"/>
              <w:rPr>
                <w:rFonts w:asciiTheme="majorBidi" w:hAnsiTheme="majorBidi" w:cstheme="majorBidi"/>
                <w:kern w:val="2"/>
                <w:lang w:val="da-DK"/>
                <w14:ligatures w14:val="standardContextual"/>
              </w:rPr>
            </w:pPr>
          </w:p>
        </w:tc>
        <w:tc>
          <w:tcPr>
            <w:tcW w:w="5244" w:type="dxa"/>
            <w:tcBorders>
              <w:top w:val="single" w:sz="4" w:space="0" w:color="000000"/>
              <w:left w:val="single" w:sz="4" w:space="0" w:color="000000"/>
              <w:bottom w:val="single" w:sz="4" w:space="0" w:color="000000"/>
              <w:right w:val="single" w:sz="4" w:space="0" w:color="000000"/>
            </w:tcBorders>
            <w:hideMark/>
          </w:tcPr>
          <w:p w14:paraId="459DB141"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Risikofaktor</w:t>
            </w:r>
          </w:p>
        </w:tc>
      </w:tr>
      <w:tr w:rsidR="00886871" w14:paraId="6AC9BE70"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6D5FE8A9"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Farmakodynamiske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kinetiske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faktorer</w:t>
            </w:r>
          </w:p>
        </w:tc>
        <w:tc>
          <w:tcPr>
            <w:tcW w:w="5244" w:type="dxa"/>
            <w:tcBorders>
              <w:top w:val="single" w:sz="4" w:space="0" w:color="000000"/>
              <w:left w:val="single" w:sz="4" w:space="0" w:color="000000"/>
              <w:bottom w:val="single" w:sz="4" w:space="0" w:color="000000"/>
              <w:right w:val="single" w:sz="4" w:space="0" w:color="000000"/>
            </w:tcBorders>
            <w:hideMark/>
          </w:tcPr>
          <w:p w14:paraId="136D7FBA" w14:textId="77777777" w:rsidR="00886871" w:rsidRDefault="00886871" w:rsidP="00146E50">
            <w:pPr>
              <w:pStyle w:val="TableParagraph"/>
              <w:keepNext/>
              <w:keepLines/>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 75 </w:t>
            </w:r>
            <w:r>
              <w:rPr>
                <w:rFonts w:asciiTheme="majorBidi" w:hAnsiTheme="majorBidi" w:cstheme="majorBidi"/>
                <w:spacing w:val="-5"/>
                <w:kern w:val="2"/>
                <w:lang w:val="da-DK"/>
                <w14:ligatures w14:val="standardContextual"/>
              </w:rPr>
              <w:t>år</w:t>
            </w:r>
          </w:p>
        </w:tc>
      </w:tr>
      <w:tr w:rsidR="00886871" w14:paraId="648027A0"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589BAD8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Faktorer,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øger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plasmaniveauet</w:t>
            </w:r>
          </w:p>
        </w:tc>
        <w:tc>
          <w:tcPr>
            <w:tcW w:w="5244" w:type="dxa"/>
            <w:tcBorders>
              <w:top w:val="single" w:sz="4" w:space="0" w:color="000000"/>
              <w:left w:val="single" w:sz="4" w:space="0" w:color="000000"/>
              <w:bottom w:val="single" w:sz="4" w:space="0" w:color="000000"/>
              <w:right w:val="single" w:sz="4" w:space="0" w:color="000000"/>
            </w:tcBorders>
          </w:tcPr>
          <w:p w14:paraId="675DAC3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u w:val="single"/>
                <w:lang w:val="da-DK"/>
                <w14:ligatures w14:val="standardContextual"/>
              </w:rPr>
              <w:t>Betydende:</w:t>
            </w:r>
          </w:p>
          <w:p w14:paraId="0FA4004A"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Moderat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nedsat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nyrefunktion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voksne patienter (30-50 ml/min CrCL)</w:t>
            </w:r>
          </w:p>
          <w:p w14:paraId="21ABCF9B" w14:textId="77777777" w:rsidR="00886871" w:rsidRDefault="00886871" w:rsidP="00146E50">
            <w:pPr>
              <w:pStyle w:val="TableParagraph"/>
              <w:widowControl/>
              <w:numPr>
                <w:ilvl w:val="0"/>
                <w:numId w:val="11"/>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P-gp-inhibitorer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6"/>
                <w:kern w:val="2"/>
                <w:lang w:val="da-DK"/>
                <w14:ligatures w14:val="standardContextual"/>
              </w:rPr>
              <w:t> </w:t>
            </w:r>
            <w:r>
              <w:rPr>
                <w:rFonts w:asciiTheme="majorBidi" w:hAnsiTheme="majorBidi" w:cstheme="majorBidi"/>
                <w:kern w:val="2"/>
                <w:lang w:val="da-DK"/>
                <w14:ligatures w14:val="standardContextual"/>
              </w:rPr>
              <w:t>4.3</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4.5)</w:t>
            </w:r>
          </w:p>
          <w:p w14:paraId="5748340A"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svage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til moderate P-gp-inhibitorer (f.eks. amiodaron, verapamil, quinidin og ticagrelor, se pkt. 4.5)</w:t>
            </w:r>
          </w:p>
          <w:p w14:paraId="08014F75"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3551FD9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u w:val="single"/>
                <w:lang w:val="da-DK"/>
                <w14:ligatures w14:val="standardContextual"/>
              </w:rPr>
              <w:t>Mindre</w:t>
            </w:r>
            <w:r>
              <w:rPr>
                <w:rFonts w:asciiTheme="majorBidi" w:hAnsiTheme="majorBidi" w:cstheme="majorBidi"/>
                <w:spacing w:val="-6"/>
                <w:kern w:val="2"/>
                <w:u w:val="single"/>
                <w:lang w:val="da-DK"/>
                <w14:ligatures w14:val="standardContextual"/>
              </w:rPr>
              <w:t xml:space="preserve"> </w:t>
            </w:r>
            <w:r>
              <w:rPr>
                <w:rFonts w:asciiTheme="majorBidi" w:hAnsiTheme="majorBidi" w:cstheme="majorBidi"/>
                <w:spacing w:val="-2"/>
                <w:kern w:val="2"/>
                <w:u w:val="single"/>
                <w:lang w:val="da-DK"/>
                <w14:ligatures w14:val="standardContextual"/>
              </w:rPr>
              <w:t>betydende:</w:t>
            </w:r>
          </w:p>
          <w:p w14:paraId="257A6BA4" w14:textId="77777777" w:rsidR="00886871" w:rsidRDefault="00886871" w:rsidP="00146E50">
            <w:pPr>
              <w:pStyle w:val="TableParagraph"/>
              <w:widowControl/>
              <w:numPr>
                <w:ilvl w:val="0"/>
                <w:numId w:val="11"/>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Lav</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legemsvægt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(&lt; 50 kg)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 xml:space="preserve">voksne </w:t>
            </w:r>
            <w:r>
              <w:rPr>
                <w:rFonts w:asciiTheme="majorBidi" w:hAnsiTheme="majorBidi" w:cstheme="majorBidi"/>
                <w:spacing w:val="-2"/>
                <w:kern w:val="2"/>
                <w:lang w:val="da-DK"/>
                <w14:ligatures w14:val="standardContextual"/>
              </w:rPr>
              <w:t>patienter</w:t>
            </w:r>
          </w:p>
        </w:tc>
      </w:tr>
      <w:tr w:rsidR="00886871" w14:paraId="213BE2DC"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237D160B"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Farmakodynamiske</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interaktioner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9"/>
                <w:kern w:val="2"/>
                <w:lang w:val="da-DK"/>
                <w14:ligatures w14:val="standardContextual"/>
              </w:rPr>
              <w:t> </w:t>
            </w:r>
            <w:r>
              <w:rPr>
                <w:rFonts w:asciiTheme="majorBidi" w:hAnsiTheme="majorBidi" w:cstheme="majorBidi"/>
                <w:spacing w:val="-4"/>
                <w:kern w:val="2"/>
                <w:lang w:val="da-DK"/>
                <w14:ligatures w14:val="standardContextual"/>
              </w:rPr>
              <w:t>4.5)</w:t>
            </w:r>
          </w:p>
        </w:tc>
        <w:tc>
          <w:tcPr>
            <w:tcW w:w="5244" w:type="dxa"/>
            <w:tcBorders>
              <w:top w:val="single" w:sz="4" w:space="0" w:color="000000"/>
              <w:left w:val="single" w:sz="4" w:space="0" w:color="000000"/>
              <w:bottom w:val="single" w:sz="4" w:space="0" w:color="000000"/>
              <w:right w:val="single" w:sz="4" w:space="0" w:color="000000"/>
            </w:tcBorders>
            <w:hideMark/>
          </w:tcPr>
          <w:p w14:paraId="10C37393" w14:textId="77777777" w:rsidR="00886871" w:rsidRDefault="00886871" w:rsidP="00146E50">
            <w:pPr>
              <w:pStyle w:val="TableParagraph"/>
              <w:widowControl/>
              <w:numPr>
                <w:ilvl w:val="0"/>
                <w:numId w:val="13"/>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ASA og andre trombocytaggregationshæmmere,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såsom </w:t>
            </w:r>
            <w:r>
              <w:rPr>
                <w:rFonts w:asciiTheme="majorBidi" w:hAnsiTheme="majorBidi" w:cstheme="majorBidi"/>
                <w:spacing w:val="-2"/>
                <w:kern w:val="2"/>
                <w:lang w:val="da-DK"/>
                <w14:ligatures w14:val="standardContextual"/>
              </w:rPr>
              <w:t>clopidogrel</w:t>
            </w:r>
          </w:p>
          <w:p w14:paraId="35357E22" w14:textId="77777777" w:rsidR="00886871" w:rsidRDefault="00886871" w:rsidP="00146E50">
            <w:pPr>
              <w:pStyle w:val="TableParagraph"/>
              <w:widowControl/>
              <w:numPr>
                <w:ilvl w:val="0"/>
                <w:numId w:val="13"/>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p w14:paraId="6034ACE0" w14:textId="77777777" w:rsidR="00886871" w:rsidRDefault="00886871" w:rsidP="00146E50">
            <w:pPr>
              <w:pStyle w:val="TableParagraph"/>
              <w:widowControl/>
              <w:numPr>
                <w:ilvl w:val="0"/>
                <w:numId w:val="13"/>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4"/>
                <w:kern w:val="2"/>
                <w:lang w:val="da-DK"/>
                <w14:ligatures w14:val="standardContextual"/>
              </w:rPr>
              <w:t xml:space="preserve"> SNRI</w:t>
            </w:r>
          </w:p>
          <w:p w14:paraId="5FD8F500" w14:textId="77777777" w:rsidR="00886871" w:rsidRDefault="00886871" w:rsidP="00146E50">
            <w:pPr>
              <w:pStyle w:val="TableParagraph"/>
              <w:widowControl/>
              <w:numPr>
                <w:ilvl w:val="0"/>
                <w:numId w:val="13"/>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Andre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lægemidler,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 xml:space="preserve">påvirke </w:t>
            </w:r>
            <w:r>
              <w:rPr>
                <w:rFonts w:asciiTheme="majorBidi" w:hAnsiTheme="majorBidi" w:cstheme="majorBidi"/>
                <w:spacing w:val="-2"/>
                <w:kern w:val="2"/>
                <w:lang w:val="da-DK"/>
                <w14:ligatures w14:val="standardContextual"/>
              </w:rPr>
              <w:t>hæmostasen</w:t>
            </w:r>
          </w:p>
        </w:tc>
      </w:tr>
      <w:tr w:rsidR="00886871" w14:paraId="466EC0D1" w14:textId="77777777" w:rsidTr="00886871">
        <w:trPr>
          <w:cantSplit/>
          <w:trHeight w:val="20"/>
        </w:trPr>
        <w:tc>
          <w:tcPr>
            <w:tcW w:w="3828" w:type="dxa"/>
            <w:tcBorders>
              <w:top w:val="single" w:sz="4" w:space="0" w:color="000000"/>
              <w:left w:val="single" w:sz="4" w:space="0" w:color="000000"/>
              <w:bottom w:val="single" w:sz="4" w:space="0" w:color="000000"/>
              <w:right w:val="single" w:sz="4" w:space="0" w:color="000000"/>
            </w:tcBorders>
            <w:hideMark/>
          </w:tcPr>
          <w:p w14:paraId="117ACDF1" w14:textId="77777777" w:rsidR="00886871" w:rsidRDefault="00886871" w:rsidP="00146E50">
            <w:pPr>
              <w:pStyle w:val="TableParagraph"/>
              <w:widowControl/>
              <w:spacing w:line="240" w:lineRule="auto"/>
              <w:ind w:right="113"/>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lastRenderedPageBreak/>
              <w:t>Sygdomme</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procedurer</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med</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 xml:space="preserve">særlig </w:t>
            </w:r>
            <w:r>
              <w:rPr>
                <w:rFonts w:asciiTheme="majorBidi" w:hAnsiTheme="majorBidi" w:cstheme="majorBidi"/>
                <w:spacing w:val="-2"/>
                <w:kern w:val="2"/>
                <w:lang w:val="nb-NO"/>
                <w14:ligatures w14:val="standardContextual"/>
              </w:rPr>
              <w:t>blødningsrisiko</w:t>
            </w:r>
          </w:p>
        </w:tc>
        <w:tc>
          <w:tcPr>
            <w:tcW w:w="5244" w:type="dxa"/>
            <w:tcBorders>
              <w:top w:val="single" w:sz="4" w:space="0" w:color="000000"/>
              <w:left w:val="single" w:sz="4" w:space="0" w:color="000000"/>
              <w:bottom w:val="single" w:sz="4" w:space="0" w:color="000000"/>
              <w:right w:val="single" w:sz="4" w:space="0" w:color="000000"/>
            </w:tcBorders>
            <w:hideMark/>
          </w:tcPr>
          <w:p w14:paraId="2F3B5CFC"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Medfødte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erhvervede </w:t>
            </w:r>
            <w:r>
              <w:rPr>
                <w:rFonts w:asciiTheme="majorBidi" w:hAnsiTheme="majorBidi" w:cstheme="majorBidi"/>
                <w:spacing w:val="-2"/>
                <w:kern w:val="2"/>
                <w:lang w:val="da-DK"/>
                <w14:ligatures w14:val="standardContextual"/>
              </w:rPr>
              <w:t>koagulationsforstyrrelser</w:t>
            </w:r>
          </w:p>
          <w:p w14:paraId="136AFF80"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Trombocytopeni</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funktionelle </w:t>
            </w:r>
            <w:r>
              <w:rPr>
                <w:rFonts w:asciiTheme="majorBidi" w:hAnsiTheme="majorBidi" w:cstheme="majorBidi"/>
                <w:spacing w:val="-2"/>
                <w:kern w:val="2"/>
                <w:lang w:val="da-DK"/>
                <w14:ligatures w14:val="standardContextual"/>
              </w:rPr>
              <w:t>trombocytdefekter</w:t>
            </w:r>
          </w:p>
          <w:p w14:paraId="0AD87DB6" w14:textId="77777777" w:rsidR="00886871" w:rsidRDefault="00886871" w:rsidP="00146E50">
            <w:pPr>
              <w:pStyle w:val="TableParagraph"/>
              <w:widowControl/>
              <w:numPr>
                <w:ilvl w:val="0"/>
                <w:numId w:val="15"/>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Nylig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biopsi,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større</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traume</w:t>
            </w:r>
          </w:p>
          <w:p w14:paraId="2E5B690A" w14:textId="77777777" w:rsidR="00886871" w:rsidRDefault="00886871" w:rsidP="00146E50">
            <w:pPr>
              <w:pStyle w:val="TableParagraph"/>
              <w:widowControl/>
              <w:numPr>
                <w:ilvl w:val="0"/>
                <w:numId w:val="15"/>
              </w:numPr>
              <w:tabs>
                <w:tab w:val="left" w:pos="673"/>
              </w:tabs>
              <w:spacing w:line="240" w:lineRule="auto"/>
              <w:ind w:left="673" w:right="113"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Bakteriel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endokarditis</w:t>
            </w:r>
          </w:p>
          <w:p w14:paraId="03D967C6" w14:textId="77777777" w:rsidR="00886871" w:rsidRDefault="00886871" w:rsidP="00146E50">
            <w:pPr>
              <w:pStyle w:val="TableParagraph"/>
              <w:widowControl/>
              <w:numPr>
                <w:ilvl w:val="0"/>
                <w:numId w:val="15"/>
              </w:numPr>
              <w:tabs>
                <w:tab w:val="left" w:pos="673"/>
              </w:tabs>
              <w:spacing w:line="240" w:lineRule="auto"/>
              <w:ind w:left="673"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Øsofagitis,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gastritis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 xml:space="preserve">gastroøsofageal </w:t>
            </w:r>
            <w:r>
              <w:rPr>
                <w:rFonts w:asciiTheme="majorBidi" w:hAnsiTheme="majorBidi" w:cstheme="majorBidi"/>
                <w:spacing w:val="-2"/>
                <w:kern w:val="2"/>
                <w:lang w:val="da-DK"/>
                <w14:ligatures w14:val="standardContextual"/>
              </w:rPr>
              <w:t>refluks</w:t>
            </w:r>
          </w:p>
        </w:tc>
      </w:tr>
    </w:tbl>
    <w:p w14:paraId="21E7DA02" w14:textId="77777777" w:rsidR="00886871" w:rsidRDefault="00886871" w:rsidP="00146E50">
      <w:pPr>
        <w:pStyle w:val="Brdtekst"/>
        <w:widowControl/>
        <w:rPr>
          <w:rFonts w:asciiTheme="majorBidi" w:hAnsiTheme="majorBidi" w:cstheme="majorBidi"/>
          <w:b/>
          <w:lang w:val="da-DK"/>
        </w:rPr>
      </w:pPr>
    </w:p>
    <w:p w14:paraId="56A34E86"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Data</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&lt; 50 kg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4"/>
          <w:sz w:val="24"/>
          <w:szCs w:val="24"/>
          <w:lang w:val="da-DK"/>
        </w:rPr>
        <w:t> </w:t>
      </w:r>
      <w:r w:rsidRPr="001007BC">
        <w:rPr>
          <w:rFonts w:asciiTheme="majorBidi" w:hAnsiTheme="majorBidi" w:cstheme="majorBidi"/>
          <w:spacing w:val="-2"/>
          <w:sz w:val="24"/>
          <w:szCs w:val="24"/>
          <w:lang w:val="da-DK"/>
        </w:rPr>
        <w:t>5.2).</w:t>
      </w:r>
    </w:p>
    <w:p w14:paraId="520855AD"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4CBB66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Samtidig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anvendelse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P-gp-hæmmere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blevet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undersøgt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 pædiatriske patienter, men kan øge risikoen for blødning (se pkt. 4.5).</w:t>
      </w:r>
    </w:p>
    <w:p w14:paraId="3620434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EC138A2"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Forsigtighedsregler</w:t>
      </w:r>
      <w:r w:rsidRPr="001007BC">
        <w:rPr>
          <w:rFonts w:asciiTheme="majorBidi" w:hAnsiTheme="majorBidi" w:cstheme="majorBidi"/>
          <w:i/>
          <w:spacing w:val="-9"/>
          <w:sz w:val="24"/>
          <w:szCs w:val="24"/>
        </w:rPr>
        <w:t xml:space="preserve"> </w:t>
      </w:r>
      <w:r w:rsidRPr="001007BC">
        <w:rPr>
          <w:rFonts w:asciiTheme="majorBidi" w:hAnsiTheme="majorBidi" w:cstheme="majorBidi"/>
          <w:i/>
          <w:sz w:val="24"/>
          <w:szCs w:val="24"/>
        </w:rPr>
        <w:t>og</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behandling</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8"/>
          <w:sz w:val="24"/>
          <w:szCs w:val="24"/>
        </w:rPr>
        <w:t xml:space="preserve"> </w:t>
      </w:r>
      <w:r w:rsidRPr="001007BC">
        <w:rPr>
          <w:rFonts w:asciiTheme="majorBidi" w:hAnsiTheme="majorBidi" w:cstheme="majorBidi"/>
          <w:i/>
          <w:spacing w:val="-2"/>
          <w:sz w:val="24"/>
          <w:szCs w:val="24"/>
        </w:rPr>
        <w:t>blødningsrisiko</w:t>
      </w:r>
    </w:p>
    <w:p w14:paraId="7C34E9B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w:t>
      </w:r>
      <w:r w:rsidRPr="001007BC">
        <w:rPr>
          <w:rFonts w:asciiTheme="majorBidi" w:hAnsiTheme="majorBidi" w:cstheme="majorBidi"/>
          <w:spacing w:val="-9"/>
          <w:sz w:val="24"/>
          <w:szCs w:val="24"/>
          <w:lang w:val="da-DK"/>
        </w:rPr>
        <w:t xml:space="preserve"> </w:t>
      </w:r>
      <w:r w:rsidRPr="001007BC">
        <w:rPr>
          <w:rFonts w:asciiTheme="majorBidi" w:hAnsiTheme="majorBidi" w:cstheme="majorBidi"/>
          <w:sz w:val="24"/>
          <w:szCs w:val="24"/>
          <w:lang w:val="da-DK"/>
        </w:rPr>
        <w:t>behandling</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blødningskomplikationer,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også</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7"/>
          <w:sz w:val="24"/>
          <w:szCs w:val="24"/>
          <w:lang w:val="da-DK"/>
        </w:rPr>
        <w:t> </w:t>
      </w:r>
      <w:r w:rsidRPr="001007BC">
        <w:rPr>
          <w:rFonts w:asciiTheme="majorBidi" w:hAnsiTheme="majorBidi" w:cstheme="majorBidi"/>
          <w:spacing w:val="-4"/>
          <w:sz w:val="24"/>
          <w:szCs w:val="24"/>
          <w:lang w:val="da-DK"/>
        </w:rPr>
        <w:t>4.9.</w:t>
      </w:r>
    </w:p>
    <w:p w14:paraId="14F6AC9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64886DB"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pacing w:val="-2"/>
          <w:sz w:val="24"/>
          <w:szCs w:val="24"/>
        </w:rPr>
        <w:t>Benefit-risk-vurdering</w:t>
      </w:r>
    </w:p>
    <w:p w14:paraId="07787E4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Forekomst af læsioner, tilstande, procedurer og/eller farmakologisk behandling (såsom NSAID, antitrombotiske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midler,</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SSRI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SNRI,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4.5),</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signifikant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grad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alvorlig blødning, kræver en omhyggelig afvejning af fordele og risici. Dabigatranetexilat bør kun gives, hvis fordelene opvejer risikoen for blødning.</w:t>
      </w:r>
    </w:p>
    <w:p w14:paraId="3490E33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568F5F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 er begrænsede kliniske data tilgængelige for pædiatriske patienter med risikofaktorer, herunder 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aktiv</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meningitis,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encefalitis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intrakraniel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absces</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5.1).</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 kun gives til disse patienter, hvis de forventede fordele opvejer risikoen for blødning.</w:t>
      </w:r>
    </w:p>
    <w:p w14:paraId="16B0E7C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BB8E8CE"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Tæt</w:t>
      </w:r>
      <w:r w:rsidRPr="001007BC">
        <w:rPr>
          <w:rFonts w:asciiTheme="majorBidi" w:hAnsiTheme="majorBidi" w:cstheme="majorBidi"/>
          <w:i/>
          <w:spacing w:val="-5"/>
          <w:sz w:val="24"/>
          <w:szCs w:val="24"/>
        </w:rPr>
        <w:t xml:space="preserve"> </w:t>
      </w:r>
      <w:r w:rsidRPr="001007BC">
        <w:rPr>
          <w:rFonts w:asciiTheme="majorBidi" w:hAnsiTheme="majorBidi" w:cstheme="majorBidi"/>
          <w:i/>
          <w:sz w:val="24"/>
          <w:szCs w:val="24"/>
        </w:rPr>
        <w:t>klinisk</w:t>
      </w:r>
      <w:r w:rsidRPr="001007BC">
        <w:rPr>
          <w:rFonts w:asciiTheme="majorBidi" w:hAnsiTheme="majorBidi" w:cstheme="majorBidi"/>
          <w:i/>
          <w:spacing w:val="-5"/>
          <w:sz w:val="24"/>
          <w:szCs w:val="24"/>
        </w:rPr>
        <w:t xml:space="preserve"> </w:t>
      </w:r>
      <w:r w:rsidRPr="001007BC">
        <w:rPr>
          <w:rFonts w:asciiTheme="majorBidi" w:hAnsiTheme="majorBidi" w:cstheme="majorBidi"/>
          <w:i/>
          <w:spacing w:val="-2"/>
          <w:sz w:val="24"/>
          <w:szCs w:val="24"/>
        </w:rPr>
        <w:t>overvågning</w:t>
      </w:r>
    </w:p>
    <w:p w14:paraId="55842D64" w14:textId="40D9976A"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Nøje observation af tegn på blødning eller anæmi anbefales i hele behandlingsperioden, især hvis der 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flere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risikofaktorer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2"/>
          <w:sz w:val="24"/>
          <w:szCs w:val="24"/>
          <w:lang w:val="da-DK"/>
        </w:rPr>
        <w:t> </w:t>
      </w:r>
      <w:r w:rsidR="00694DD8">
        <w:rPr>
          <w:rFonts w:asciiTheme="majorBidi" w:hAnsiTheme="majorBidi" w:cstheme="majorBidi"/>
          <w:sz w:val="24"/>
          <w:szCs w:val="24"/>
          <w:lang w:val="da-DK"/>
        </w:rPr>
        <w:t>4</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ovenfor).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udvises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særlig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når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 administreres sammen med verapamil, amiodaron, quinidin eller clarithromycin (P-gp-inhibitorer), og især, hvis der forekommer blødning, specielt hos patienter med nedsat nyrefunktion (se pkt. 4.5).</w:t>
      </w:r>
    </w:p>
    <w:p w14:paraId="4ACE3C4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Nøje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observation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tegn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anbefales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samtidigt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NSAID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 pkt. 4.5).</w:t>
      </w:r>
    </w:p>
    <w:p w14:paraId="64EB5FA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4C1B781"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Seponering</w:t>
      </w:r>
      <w:r w:rsidRPr="001007BC">
        <w:rPr>
          <w:rFonts w:asciiTheme="majorBidi" w:hAnsiTheme="majorBidi" w:cstheme="majorBidi"/>
          <w:i/>
          <w:spacing w:val="-6"/>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6"/>
          <w:sz w:val="24"/>
          <w:szCs w:val="24"/>
        </w:rPr>
        <w:t xml:space="preserve"> </w:t>
      </w:r>
      <w:r w:rsidRPr="001007BC">
        <w:rPr>
          <w:rFonts w:asciiTheme="majorBidi" w:hAnsiTheme="majorBidi" w:cstheme="majorBidi"/>
          <w:i/>
          <w:spacing w:val="-2"/>
          <w:sz w:val="24"/>
          <w:szCs w:val="24"/>
        </w:rPr>
        <w:t>dabigatranetexilat</w:t>
      </w:r>
    </w:p>
    <w:p w14:paraId="3276576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udvikler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akut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nyresvigt,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stoppe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også pkt. 4.3).</w:t>
      </w:r>
    </w:p>
    <w:p w14:paraId="0102F07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8CEEE79"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tilfælde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alvorlig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seponeres,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årsagen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til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undersøges. Anvendelsen af den specifikke antidot (idarucizumab) kan overvejes til voksne patienter. Idarucizumabs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klarlagt.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Hæmodialyse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 fjerne dabigatran.</w:t>
      </w:r>
    </w:p>
    <w:p w14:paraId="659F867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3F6D88D"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Brug</w:t>
      </w:r>
      <w:r w:rsidRPr="001007BC">
        <w:rPr>
          <w:rFonts w:asciiTheme="majorBidi" w:hAnsiTheme="majorBidi" w:cstheme="majorBidi"/>
          <w:i/>
          <w:spacing w:val="-3"/>
          <w:sz w:val="24"/>
          <w:szCs w:val="24"/>
        </w:rPr>
        <w:t xml:space="preserve"> </w:t>
      </w:r>
      <w:r w:rsidRPr="001007BC">
        <w:rPr>
          <w:rFonts w:asciiTheme="majorBidi" w:hAnsiTheme="majorBidi" w:cstheme="majorBidi"/>
          <w:i/>
          <w:sz w:val="24"/>
          <w:szCs w:val="24"/>
        </w:rPr>
        <w:t>af</w:t>
      </w:r>
      <w:r w:rsidRPr="001007BC">
        <w:rPr>
          <w:rFonts w:asciiTheme="majorBidi" w:hAnsiTheme="majorBidi" w:cstheme="majorBidi"/>
          <w:i/>
          <w:spacing w:val="-3"/>
          <w:sz w:val="24"/>
          <w:szCs w:val="24"/>
        </w:rPr>
        <w:t xml:space="preserve"> </w:t>
      </w:r>
      <w:r w:rsidRPr="001007BC">
        <w:rPr>
          <w:rFonts w:asciiTheme="majorBidi" w:hAnsiTheme="majorBidi" w:cstheme="majorBidi"/>
          <w:i/>
          <w:spacing w:val="-2"/>
          <w:sz w:val="24"/>
          <w:szCs w:val="24"/>
        </w:rPr>
        <w:t>protonpumpehæmmere</w:t>
      </w:r>
    </w:p>
    <w:p w14:paraId="34B195D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Administrationen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protonpumpehæmmer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(PPI)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overvejes,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forhindre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gastrointestinal blødning. Ved behandling af pædiatriske patienter skal anbefalingerne i produktinformationen for protonpumpehæmmere følges.</w:t>
      </w:r>
    </w:p>
    <w:p w14:paraId="1BCD6B1D" w14:textId="77777777" w:rsidR="00886871" w:rsidRPr="001007BC" w:rsidRDefault="00886871" w:rsidP="001007BC">
      <w:pPr>
        <w:pStyle w:val="Brdtekst"/>
        <w:widowControl/>
        <w:ind w:left="851"/>
        <w:rPr>
          <w:rFonts w:asciiTheme="majorBidi" w:hAnsiTheme="majorBidi" w:cstheme="majorBidi"/>
          <w:sz w:val="24"/>
          <w:szCs w:val="24"/>
          <w:lang w:val="da-DK"/>
        </w:rPr>
      </w:pPr>
    </w:p>
    <w:p w14:paraId="3292F880"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lastRenderedPageBreak/>
        <w:t>Koagulationsparametre</w:t>
      </w:r>
      <w:r w:rsidRPr="001007BC">
        <w:rPr>
          <w:rFonts w:asciiTheme="majorBidi" w:hAnsiTheme="majorBidi" w:cstheme="majorBidi"/>
          <w:i/>
          <w:spacing w:val="-11"/>
          <w:sz w:val="24"/>
          <w:szCs w:val="24"/>
        </w:rPr>
        <w:t xml:space="preserve"> </w:t>
      </w:r>
      <w:r w:rsidRPr="001007BC">
        <w:rPr>
          <w:rFonts w:asciiTheme="majorBidi" w:hAnsiTheme="majorBidi" w:cstheme="majorBidi"/>
          <w:i/>
          <w:sz w:val="24"/>
          <w:szCs w:val="24"/>
        </w:rPr>
        <w:t>i</w:t>
      </w:r>
      <w:r w:rsidRPr="001007BC">
        <w:rPr>
          <w:rFonts w:asciiTheme="majorBidi" w:hAnsiTheme="majorBidi" w:cstheme="majorBidi"/>
          <w:i/>
          <w:spacing w:val="-11"/>
          <w:sz w:val="24"/>
          <w:szCs w:val="24"/>
        </w:rPr>
        <w:t xml:space="preserve"> </w:t>
      </w:r>
      <w:r w:rsidRPr="001007BC">
        <w:rPr>
          <w:rFonts w:asciiTheme="majorBidi" w:hAnsiTheme="majorBidi" w:cstheme="majorBidi"/>
          <w:i/>
          <w:spacing w:val="-2"/>
          <w:sz w:val="24"/>
          <w:szCs w:val="24"/>
        </w:rPr>
        <w:t>laboratoriet</w:t>
      </w:r>
    </w:p>
    <w:p w14:paraId="726FBD8C"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Selvom der ikke generelt er behov for rutinemæssig monitorering af antikoagulation med dette lægemiddel,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måling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dabigatran-relateret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antikoagulation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hjælp</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detektere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høj eksponering for dabigatran ved tilstedeværelse af yderligere risikofaktorer.</w:t>
      </w:r>
    </w:p>
    <w:p w14:paraId="43C78F2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Fortyndet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trombintid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(dTT),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ecarin-koagulationstid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(ECT)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aktiveret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partiel</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tromboplastintid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(aPTT) kan give nyttig information, men resultaterne skal tolkes med forsigtighed, på grund af variabilitet fra test til test (se pkt. 5.1).</w:t>
      </w:r>
    </w:p>
    <w:p w14:paraId="59CBCF9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Den internationale normaliserede ratio (INR) er upålidelig hos patienter i behandling med 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rapporteret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falsk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positive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INR-stigninger.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 xml:space="preserve">foretages </w:t>
      </w:r>
      <w:r w:rsidRPr="001007BC">
        <w:rPr>
          <w:rFonts w:asciiTheme="majorBidi" w:hAnsiTheme="majorBidi" w:cstheme="majorBidi"/>
          <w:spacing w:val="-2"/>
          <w:sz w:val="24"/>
          <w:szCs w:val="24"/>
          <w:lang w:val="da-DK"/>
        </w:rPr>
        <w:t>INR-måling.</w:t>
      </w:r>
    </w:p>
    <w:p w14:paraId="7AE6C5F0"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448758" w14:textId="6E43FFD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tabel</w:t>
      </w:r>
      <w:r w:rsidRPr="001007BC">
        <w:rPr>
          <w:rFonts w:asciiTheme="majorBidi" w:hAnsiTheme="majorBidi" w:cstheme="majorBidi"/>
          <w:spacing w:val="-1"/>
          <w:sz w:val="24"/>
          <w:szCs w:val="24"/>
          <w:lang w:val="da-DK"/>
        </w:rPr>
        <w:t> </w:t>
      </w:r>
      <w:r w:rsidR="00694DD8">
        <w:rPr>
          <w:rFonts w:asciiTheme="majorBidi" w:hAnsiTheme="majorBidi" w:cstheme="majorBidi"/>
          <w:spacing w:val="-1"/>
          <w:sz w:val="24"/>
          <w:szCs w:val="24"/>
          <w:lang w:val="da-DK"/>
        </w:rPr>
        <w:t>5</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anført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koagulationstest-grænseværdier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5"/>
          <w:sz w:val="24"/>
          <w:szCs w:val="24"/>
          <w:lang w:val="da-DK"/>
        </w:rPr>
        <w:t xml:space="preserve"> </w:t>
      </w:r>
      <w:r w:rsidRPr="001007BC">
        <w:rPr>
          <w:rFonts w:asciiTheme="majorBidi" w:hAnsiTheme="majorBidi" w:cstheme="majorBidi"/>
          <w:i/>
          <w:sz w:val="24"/>
          <w:szCs w:val="24"/>
          <w:lang w:val="da-DK"/>
        </w:rPr>
        <w:t>trough</w:t>
      </w:r>
      <w:r w:rsidRPr="001007BC">
        <w:rPr>
          <w:rFonts w:asciiTheme="majorBidi" w:hAnsiTheme="majorBidi" w:cstheme="majorBidi"/>
          <w:i/>
          <w:spacing w:val="-2"/>
          <w:sz w:val="24"/>
          <w:szCs w:val="24"/>
          <w:lang w:val="da-DK"/>
        </w:rPr>
        <w:t xml:space="preserve"> </w:t>
      </w:r>
      <w:r w:rsidRPr="001007BC">
        <w:rPr>
          <w:rFonts w:asciiTheme="majorBidi" w:hAnsiTheme="majorBidi" w:cstheme="majorBidi"/>
          <w:sz w:val="24"/>
          <w:szCs w:val="24"/>
          <w:lang w:val="da-DK"/>
        </w:rPr>
        <w:t>(dal-værdi)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 være forbundet med en øget blødningsrisiko. De respektive grænseværdier for pædiatriske patienter kendes ikke (se pkt. 5.1).</w:t>
      </w:r>
    </w:p>
    <w:p w14:paraId="1A08F7E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51A8CCB" w14:textId="382BBB11" w:rsidR="00886871" w:rsidRDefault="00886871" w:rsidP="00146E50">
      <w:pPr>
        <w:pStyle w:val="Overskrift2"/>
        <w:keepNext/>
        <w:keepLines/>
        <w:widowControl/>
        <w:ind w:left="1106" w:hanging="851"/>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2"/>
          <w:lang w:val="da-DK"/>
        </w:rPr>
        <w:t> </w:t>
      </w:r>
      <w:r w:rsidR="00694DD8">
        <w:rPr>
          <w:rFonts w:asciiTheme="majorBidi" w:hAnsiTheme="majorBidi" w:cstheme="majorBidi"/>
          <w:spacing w:val="-2"/>
          <w:lang w:val="da-DK"/>
        </w:rPr>
        <w:t>5</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Koagulationstest-grænseværdier</w:t>
      </w:r>
      <w:r>
        <w:rPr>
          <w:rFonts w:asciiTheme="majorBidi" w:hAnsiTheme="majorBidi" w:cstheme="majorBidi"/>
          <w:spacing w:val="-3"/>
          <w:lang w:val="da-DK"/>
        </w:rPr>
        <w:t xml:space="preserve"> </w:t>
      </w:r>
      <w:r>
        <w:rPr>
          <w:rFonts w:asciiTheme="majorBidi" w:hAnsiTheme="majorBidi" w:cstheme="majorBidi"/>
          <w:lang w:val="da-DK"/>
        </w:rPr>
        <w:t>ved</w:t>
      </w:r>
      <w:r>
        <w:rPr>
          <w:rFonts w:asciiTheme="majorBidi" w:hAnsiTheme="majorBidi" w:cstheme="majorBidi"/>
          <w:spacing w:val="-5"/>
          <w:lang w:val="da-DK"/>
        </w:rPr>
        <w:t xml:space="preserve"> </w:t>
      </w:r>
      <w:r>
        <w:rPr>
          <w:rFonts w:asciiTheme="majorBidi" w:hAnsiTheme="majorBidi" w:cstheme="majorBidi"/>
          <w:i/>
          <w:lang w:val="da-DK"/>
        </w:rPr>
        <w:t>trough</w:t>
      </w:r>
      <w:r>
        <w:rPr>
          <w:rFonts w:asciiTheme="majorBidi" w:hAnsiTheme="majorBidi" w:cstheme="majorBidi"/>
          <w:i/>
          <w:spacing w:val="-3"/>
          <w:lang w:val="da-DK"/>
        </w:rPr>
        <w:t xml:space="preserve"> </w:t>
      </w:r>
      <w:r>
        <w:rPr>
          <w:rFonts w:asciiTheme="majorBidi" w:hAnsiTheme="majorBidi" w:cstheme="majorBidi"/>
          <w:lang w:val="da-DK"/>
        </w:rPr>
        <w:t>(dal-værdi)</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voksne</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der</w:t>
      </w:r>
      <w:r>
        <w:rPr>
          <w:rFonts w:asciiTheme="majorBidi" w:hAnsiTheme="majorBidi" w:cstheme="majorBidi"/>
          <w:spacing w:val="-3"/>
          <w:lang w:val="da-DK"/>
        </w:rPr>
        <w:t xml:space="preserve"> </w:t>
      </w:r>
      <w:r>
        <w:rPr>
          <w:rFonts w:asciiTheme="majorBidi" w:hAnsiTheme="majorBidi" w:cstheme="majorBidi"/>
          <w:lang w:val="da-DK"/>
        </w:rPr>
        <w:t>kan være forbundet med en øget blødningsrisiko.</w:t>
      </w:r>
    </w:p>
    <w:p w14:paraId="4698239C" w14:textId="3C7B2669" w:rsidR="00886871" w:rsidRDefault="00886871" w:rsidP="00146E50">
      <w:pPr>
        <w:pStyle w:val="Brdtekst"/>
        <w:keepNext/>
        <w:keepLines/>
        <w:widowControl/>
        <w:rPr>
          <w:rFonts w:asciiTheme="majorBidi" w:hAnsiTheme="majorBidi" w:cstheme="majorBidi"/>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4215"/>
      </w:tblGrid>
      <w:tr w:rsidR="00322A8A" w:rsidRPr="004402BD" w14:paraId="39EFA3C7" w14:textId="77777777" w:rsidTr="00322A8A">
        <w:trPr>
          <w:trHeight w:val="253"/>
        </w:trPr>
        <w:tc>
          <w:tcPr>
            <w:tcW w:w="4858" w:type="dxa"/>
          </w:tcPr>
          <w:p w14:paraId="277D8500"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2"/>
                <w:lang w:val="da-DK"/>
              </w:rPr>
              <w:t>Test</w:t>
            </w:r>
            <w:r w:rsidRPr="004402BD">
              <w:rPr>
                <w:rFonts w:asciiTheme="majorBidi" w:hAnsiTheme="majorBidi" w:cstheme="majorBidi"/>
                <w:spacing w:val="10"/>
                <w:lang w:val="da-DK"/>
              </w:rPr>
              <w:t xml:space="preserve"> </w:t>
            </w:r>
            <w:r w:rsidRPr="004402BD">
              <w:rPr>
                <w:rFonts w:asciiTheme="majorBidi" w:hAnsiTheme="majorBidi" w:cstheme="majorBidi"/>
                <w:spacing w:val="-2"/>
                <w:lang w:val="da-DK"/>
              </w:rPr>
              <w:t>(</w:t>
            </w:r>
            <w:r w:rsidRPr="004402BD">
              <w:rPr>
                <w:rFonts w:asciiTheme="majorBidi" w:hAnsiTheme="majorBidi" w:cstheme="majorBidi"/>
                <w:i/>
                <w:spacing w:val="-2"/>
                <w:lang w:val="da-DK"/>
              </w:rPr>
              <w:t>trough</w:t>
            </w:r>
            <w:r w:rsidRPr="004402BD">
              <w:rPr>
                <w:rFonts w:asciiTheme="majorBidi" w:hAnsiTheme="majorBidi" w:cstheme="majorBidi"/>
                <w:spacing w:val="-2"/>
                <w:lang w:val="da-DK"/>
              </w:rPr>
              <w:t>-værdi)</w:t>
            </w:r>
          </w:p>
        </w:tc>
        <w:tc>
          <w:tcPr>
            <w:tcW w:w="4215" w:type="dxa"/>
          </w:tcPr>
          <w:p w14:paraId="15640A66"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2"/>
                <w:lang w:val="da-DK"/>
              </w:rPr>
              <w:t>Indikation</w:t>
            </w:r>
          </w:p>
        </w:tc>
      </w:tr>
      <w:tr w:rsidR="00322A8A" w:rsidRPr="004402BD" w14:paraId="1CAB8274" w14:textId="77777777" w:rsidTr="00322A8A">
        <w:trPr>
          <w:trHeight w:val="254"/>
        </w:trPr>
        <w:tc>
          <w:tcPr>
            <w:tcW w:w="4858" w:type="dxa"/>
          </w:tcPr>
          <w:p w14:paraId="396AD007" w14:textId="77777777" w:rsidR="00322A8A" w:rsidRPr="004402BD" w:rsidRDefault="00322A8A" w:rsidP="00322A8A">
            <w:pPr>
              <w:pStyle w:val="TableParagraph"/>
              <w:spacing w:line="240" w:lineRule="auto"/>
              <w:ind w:left="0"/>
              <w:rPr>
                <w:rFonts w:asciiTheme="majorBidi" w:hAnsiTheme="majorBidi" w:cstheme="majorBidi"/>
                <w:lang w:val="da-DK"/>
              </w:rPr>
            </w:pPr>
          </w:p>
        </w:tc>
        <w:tc>
          <w:tcPr>
            <w:tcW w:w="4215" w:type="dxa"/>
          </w:tcPr>
          <w:p w14:paraId="51BB6200"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SPAF</w:t>
            </w:r>
            <w:r w:rsidRPr="004402BD">
              <w:rPr>
                <w:rFonts w:asciiTheme="majorBidi" w:hAnsiTheme="majorBidi" w:cstheme="majorBidi"/>
                <w:spacing w:val="-3"/>
                <w:lang w:val="da-DK"/>
              </w:rPr>
              <w:t xml:space="preserve"> </w:t>
            </w:r>
            <w:r w:rsidRPr="004402BD">
              <w:rPr>
                <w:rFonts w:asciiTheme="majorBidi" w:hAnsiTheme="majorBidi" w:cstheme="majorBidi"/>
                <w:lang w:val="da-DK"/>
              </w:rPr>
              <w:t>og</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DVT/LE</w:t>
            </w:r>
          </w:p>
        </w:tc>
      </w:tr>
      <w:tr w:rsidR="00322A8A" w:rsidRPr="004402BD" w14:paraId="695C8E56" w14:textId="77777777" w:rsidTr="00322A8A">
        <w:trPr>
          <w:trHeight w:val="251"/>
        </w:trPr>
        <w:tc>
          <w:tcPr>
            <w:tcW w:w="4858" w:type="dxa"/>
          </w:tcPr>
          <w:p w14:paraId="7AB8578E"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dTT</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[ng/ml]</w:t>
            </w:r>
          </w:p>
        </w:tc>
        <w:tc>
          <w:tcPr>
            <w:tcW w:w="4215" w:type="dxa"/>
          </w:tcPr>
          <w:p w14:paraId="0D03E45D"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&gt; </w:t>
            </w:r>
            <w:r w:rsidRPr="004402BD">
              <w:rPr>
                <w:rFonts w:asciiTheme="majorBidi" w:hAnsiTheme="majorBidi" w:cstheme="majorBidi"/>
                <w:spacing w:val="-5"/>
                <w:lang w:val="da-DK"/>
              </w:rPr>
              <w:t>200</w:t>
            </w:r>
          </w:p>
        </w:tc>
      </w:tr>
      <w:tr w:rsidR="00322A8A" w:rsidRPr="004402BD" w14:paraId="0A31665D" w14:textId="77777777" w:rsidTr="00322A8A">
        <w:trPr>
          <w:trHeight w:val="253"/>
        </w:trPr>
        <w:tc>
          <w:tcPr>
            <w:tcW w:w="4858" w:type="dxa"/>
          </w:tcPr>
          <w:p w14:paraId="1ECD6F2F"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ECT</w:t>
            </w:r>
            <w:r w:rsidRPr="004402BD">
              <w:rPr>
                <w:rFonts w:asciiTheme="majorBidi" w:hAnsiTheme="majorBidi" w:cstheme="majorBidi"/>
                <w:spacing w:val="-4"/>
                <w:lang w:val="da-DK"/>
              </w:rPr>
              <w:t xml:space="preserve"> </w:t>
            </w:r>
            <w:r w:rsidRPr="004402BD">
              <w:rPr>
                <w:rFonts w:asciiTheme="majorBidi" w:hAnsiTheme="majorBidi" w:cstheme="majorBidi"/>
                <w:lang w:val="da-DK"/>
              </w:rPr>
              <w:t>[x</w:t>
            </w:r>
            <w:r w:rsidRPr="004402BD">
              <w:rPr>
                <w:rFonts w:asciiTheme="majorBidi" w:hAnsiTheme="majorBidi" w:cstheme="majorBidi"/>
                <w:spacing w:val="-3"/>
                <w:lang w:val="da-DK"/>
              </w:rPr>
              <w:t xml:space="preserve"> </w:t>
            </w:r>
            <w:r w:rsidRPr="004402BD">
              <w:rPr>
                <w:rFonts w:asciiTheme="majorBidi" w:hAnsiTheme="majorBidi" w:cstheme="majorBidi"/>
                <w:lang w:val="da-DK"/>
              </w:rPr>
              <w:t>gange</w:t>
            </w:r>
            <w:r w:rsidRPr="004402BD">
              <w:rPr>
                <w:rFonts w:asciiTheme="majorBidi" w:hAnsiTheme="majorBidi" w:cstheme="majorBidi"/>
                <w:spacing w:val="-4"/>
                <w:lang w:val="da-DK"/>
              </w:rPr>
              <w:t xml:space="preserve"> </w:t>
            </w:r>
            <w:r w:rsidRPr="004402BD">
              <w:rPr>
                <w:rFonts w:asciiTheme="majorBidi" w:hAnsiTheme="majorBidi" w:cstheme="majorBidi"/>
                <w:lang w:val="da-DK"/>
              </w:rPr>
              <w:t>øvre</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normalgrænse]</w:t>
            </w:r>
          </w:p>
        </w:tc>
        <w:tc>
          <w:tcPr>
            <w:tcW w:w="4215" w:type="dxa"/>
          </w:tcPr>
          <w:p w14:paraId="4A2F0DCE"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&gt; </w:t>
            </w:r>
            <w:r w:rsidRPr="004402BD">
              <w:rPr>
                <w:rFonts w:asciiTheme="majorBidi" w:hAnsiTheme="majorBidi" w:cstheme="majorBidi"/>
                <w:spacing w:val="-10"/>
                <w:lang w:val="da-DK"/>
              </w:rPr>
              <w:t>3</w:t>
            </w:r>
          </w:p>
        </w:tc>
      </w:tr>
      <w:tr w:rsidR="00322A8A" w:rsidRPr="004402BD" w14:paraId="05874D5D" w14:textId="77777777" w:rsidTr="00322A8A">
        <w:trPr>
          <w:trHeight w:val="251"/>
        </w:trPr>
        <w:tc>
          <w:tcPr>
            <w:tcW w:w="4858" w:type="dxa"/>
          </w:tcPr>
          <w:p w14:paraId="2430BF0D"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aPTT</w:t>
            </w:r>
            <w:r w:rsidRPr="004402BD">
              <w:rPr>
                <w:rFonts w:asciiTheme="majorBidi" w:hAnsiTheme="majorBidi" w:cstheme="majorBidi"/>
                <w:spacing w:val="-4"/>
                <w:lang w:val="da-DK"/>
              </w:rPr>
              <w:t xml:space="preserve"> </w:t>
            </w:r>
            <w:r w:rsidRPr="004402BD">
              <w:rPr>
                <w:rFonts w:asciiTheme="majorBidi" w:hAnsiTheme="majorBidi" w:cstheme="majorBidi"/>
                <w:lang w:val="da-DK"/>
              </w:rPr>
              <w:t>[x</w:t>
            </w:r>
            <w:r w:rsidRPr="004402BD">
              <w:rPr>
                <w:rFonts w:asciiTheme="majorBidi" w:hAnsiTheme="majorBidi" w:cstheme="majorBidi"/>
                <w:spacing w:val="-4"/>
                <w:lang w:val="da-DK"/>
              </w:rPr>
              <w:t xml:space="preserve"> </w:t>
            </w:r>
            <w:r w:rsidRPr="004402BD">
              <w:rPr>
                <w:rFonts w:asciiTheme="majorBidi" w:hAnsiTheme="majorBidi" w:cstheme="majorBidi"/>
                <w:lang w:val="da-DK"/>
              </w:rPr>
              <w:t>gange</w:t>
            </w:r>
            <w:r w:rsidRPr="004402BD">
              <w:rPr>
                <w:rFonts w:asciiTheme="majorBidi" w:hAnsiTheme="majorBidi" w:cstheme="majorBidi"/>
                <w:spacing w:val="-4"/>
                <w:lang w:val="da-DK"/>
              </w:rPr>
              <w:t xml:space="preserve"> </w:t>
            </w:r>
            <w:r w:rsidRPr="004402BD">
              <w:rPr>
                <w:rFonts w:asciiTheme="majorBidi" w:hAnsiTheme="majorBidi" w:cstheme="majorBidi"/>
                <w:lang w:val="da-DK"/>
              </w:rPr>
              <w:t>øvre</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normalgrænse]</w:t>
            </w:r>
          </w:p>
        </w:tc>
        <w:tc>
          <w:tcPr>
            <w:tcW w:w="4215" w:type="dxa"/>
          </w:tcPr>
          <w:p w14:paraId="7D1E1136"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&gt; </w:t>
            </w:r>
            <w:r w:rsidRPr="004402BD">
              <w:rPr>
                <w:rFonts w:asciiTheme="majorBidi" w:hAnsiTheme="majorBidi" w:cstheme="majorBidi"/>
                <w:spacing w:val="-10"/>
                <w:lang w:val="da-DK"/>
              </w:rPr>
              <w:t>2</w:t>
            </w:r>
          </w:p>
        </w:tc>
      </w:tr>
      <w:tr w:rsidR="00322A8A" w:rsidRPr="004402BD" w14:paraId="16EDC4B6" w14:textId="77777777" w:rsidTr="00322A8A">
        <w:trPr>
          <w:trHeight w:val="254"/>
        </w:trPr>
        <w:tc>
          <w:tcPr>
            <w:tcW w:w="4858" w:type="dxa"/>
          </w:tcPr>
          <w:p w14:paraId="32AFAF4B"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5"/>
                <w:lang w:val="da-DK"/>
              </w:rPr>
              <w:t>INR</w:t>
            </w:r>
          </w:p>
        </w:tc>
        <w:tc>
          <w:tcPr>
            <w:tcW w:w="4215" w:type="dxa"/>
          </w:tcPr>
          <w:p w14:paraId="18E4A72A"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Bør</w:t>
            </w:r>
            <w:r w:rsidRPr="004402BD">
              <w:rPr>
                <w:rFonts w:asciiTheme="majorBidi" w:hAnsiTheme="majorBidi" w:cstheme="majorBidi"/>
                <w:spacing w:val="-4"/>
                <w:lang w:val="da-DK"/>
              </w:rPr>
              <w:t xml:space="preserve"> </w:t>
            </w:r>
            <w:r w:rsidRPr="004402BD">
              <w:rPr>
                <w:rFonts w:asciiTheme="majorBidi" w:hAnsiTheme="majorBidi" w:cstheme="majorBidi"/>
                <w:lang w:val="da-DK"/>
              </w:rPr>
              <w:t>ikke</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udføres</w:t>
            </w:r>
          </w:p>
        </w:tc>
      </w:tr>
    </w:tbl>
    <w:p w14:paraId="5B7D6601" w14:textId="74BF28B9" w:rsidR="00322A8A" w:rsidRDefault="00322A8A" w:rsidP="00146E50">
      <w:pPr>
        <w:pStyle w:val="Brdtekst"/>
        <w:keepNext/>
        <w:keepLines/>
        <w:widowControl/>
        <w:rPr>
          <w:rFonts w:asciiTheme="majorBidi" w:hAnsiTheme="majorBidi" w:cstheme="majorBidi"/>
          <w:b/>
          <w:lang w:val="da-DK"/>
        </w:rPr>
      </w:pPr>
    </w:p>
    <w:p w14:paraId="6CBA2BD7"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Behandling</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af</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akut</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iskæmisk</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apopleksi</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fibrinolytika</w:t>
      </w:r>
    </w:p>
    <w:p w14:paraId="13623EA9"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overvejes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anvende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fibrinolytika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akut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apopleksi,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dTT, ECT eller aPTT ikke overstiger den øvre værdi af det lokalt definerede normalområde (ULN).</w:t>
      </w:r>
    </w:p>
    <w:p w14:paraId="3B0AA5F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28E0D5D"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Kirurgi</w:t>
      </w:r>
      <w:r w:rsidRPr="001007BC">
        <w:rPr>
          <w:rFonts w:asciiTheme="majorBidi" w:hAnsiTheme="majorBidi" w:cstheme="majorBidi"/>
          <w:spacing w:val="-5"/>
          <w:sz w:val="24"/>
          <w:szCs w:val="24"/>
          <w:u w:val="single"/>
          <w:lang w:val="da-DK"/>
        </w:rPr>
        <w:t xml:space="preserve"> </w:t>
      </w:r>
      <w:r w:rsidRPr="001007BC">
        <w:rPr>
          <w:rFonts w:asciiTheme="majorBidi" w:hAnsiTheme="majorBidi" w:cstheme="majorBidi"/>
          <w:sz w:val="24"/>
          <w:szCs w:val="24"/>
          <w:u w:val="single"/>
          <w:lang w:val="da-DK"/>
        </w:rPr>
        <w:t>og</w:t>
      </w:r>
      <w:r w:rsidRPr="001007BC">
        <w:rPr>
          <w:rFonts w:asciiTheme="majorBidi" w:hAnsiTheme="majorBidi" w:cstheme="majorBidi"/>
          <w:spacing w:val="-4"/>
          <w:sz w:val="24"/>
          <w:szCs w:val="24"/>
          <w:u w:val="single"/>
          <w:lang w:val="da-DK"/>
        </w:rPr>
        <w:t xml:space="preserve"> </w:t>
      </w:r>
      <w:r w:rsidRPr="001007BC">
        <w:rPr>
          <w:rFonts w:asciiTheme="majorBidi" w:hAnsiTheme="majorBidi" w:cstheme="majorBidi"/>
          <w:spacing w:val="-2"/>
          <w:sz w:val="24"/>
          <w:szCs w:val="24"/>
          <w:u w:val="single"/>
          <w:lang w:val="da-DK"/>
        </w:rPr>
        <w:t>indgreb</w:t>
      </w:r>
    </w:p>
    <w:p w14:paraId="1C1A27E3"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skal</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opereres</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undergå</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har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risiko for</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Derfor</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kirurgisk</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intervention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kræve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midlertidig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seponering</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dabigatranetexilat.</w:t>
      </w:r>
    </w:p>
    <w:p w14:paraId="3278DE5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CC6B8CE" w14:textId="77777777" w:rsidR="00322A8A" w:rsidRPr="00322A8A" w:rsidRDefault="00322A8A" w:rsidP="00322A8A">
      <w:pPr>
        <w:pStyle w:val="Brdtekst"/>
        <w:widowControl/>
        <w:ind w:left="851"/>
        <w:rPr>
          <w:rFonts w:asciiTheme="majorBidi" w:hAnsiTheme="majorBidi" w:cstheme="majorBidi"/>
          <w:sz w:val="24"/>
          <w:szCs w:val="24"/>
        </w:rPr>
      </w:pPr>
      <w:r w:rsidRPr="00322A8A">
        <w:rPr>
          <w:rFonts w:asciiTheme="majorBidi" w:hAnsiTheme="majorBidi" w:cstheme="majorBidi"/>
          <w:sz w:val="24"/>
          <w:szCs w:val="24"/>
        </w:rPr>
        <w:t>Patienter kan forblive på dabigatranetexilat i forbindelse med kardiovertering. Det er ikke nødvendigt at pausere behandlingen med dabigatranetexilat (150 mg 2 gange dagligt) hos patienter, der gennemgår kateterablation for atrieflimren (se pkt. 4.2).</w:t>
      </w:r>
    </w:p>
    <w:p w14:paraId="76526DC3" w14:textId="77777777" w:rsidR="00886871" w:rsidRPr="00322A8A" w:rsidRDefault="00886871" w:rsidP="001007BC">
      <w:pPr>
        <w:pStyle w:val="Brdtekst"/>
        <w:widowControl/>
        <w:ind w:left="851"/>
        <w:rPr>
          <w:rFonts w:asciiTheme="majorBidi" w:hAnsiTheme="majorBidi" w:cstheme="majorBidi"/>
          <w:sz w:val="24"/>
          <w:szCs w:val="24"/>
        </w:rPr>
      </w:pPr>
    </w:p>
    <w:p w14:paraId="5349D5F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udvises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forsigtighed,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når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behandlingen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midlertidigt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afbrydes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pga.</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interventioner,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graden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2A13B0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E61F8B3"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Akutte</w:t>
      </w:r>
      <w:r w:rsidRPr="001007BC">
        <w:rPr>
          <w:rFonts w:asciiTheme="majorBidi" w:hAnsiTheme="majorBidi" w:cstheme="majorBidi"/>
          <w:i/>
          <w:spacing w:val="-9"/>
          <w:sz w:val="24"/>
          <w:szCs w:val="24"/>
        </w:rPr>
        <w:t xml:space="preserve"> </w:t>
      </w:r>
      <w:r w:rsidRPr="001007BC">
        <w:rPr>
          <w:rFonts w:asciiTheme="majorBidi" w:hAnsiTheme="majorBidi" w:cstheme="majorBidi"/>
          <w:i/>
          <w:sz w:val="24"/>
          <w:szCs w:val="24"/>
        </w:rPr>
        <w:t>operationer</w:t>
      </w:r>
      <w:r w:rsidRPr="001007BC">
        <w:rPr>
          <w:rFonts w:asciiTheme="majorBidi" w:hAnsiTheme="majorBidi" w:cstheme="majorBidi"/>
          <w:i/>
          <w:spacing w:val="-8"/>
          <w:sz w:val="24"/>
          <w:szCs w:val="24"/>
        </w:rPr>
        <w:t xml:space="preserve"> </w:t>
      </w:r>
      <w:r w:rsidRPr="001007BC">
        <w:rPr>
          <w:rFonts w:asciiTheme="majorBidi" w:hAnsiTheme="majorBidi" w:cstheme="majorBidi"/>
          <w:i/>
          <w:sz w:val="24"/>
          <w:szCs w:val="24"/>
        </w:rPr>
        <w:t>eller</w:t>
      </w:r>
      <w:r w:rsidRPr="001007BC">
        <w:rPr>
          <w:rFonts w:asciiTheme="majorBidi" w:hAnsiTheme="majorBidi" w:cstheme="majorBidi"/>
          <w:i/>
          <w:spacing w:val="-7"/>
          <w:sz w:val="24"/>
          <w:szCs w:val="24"/>
        </w:rPr>
        <w:t xml:space="preserve"> </w:t>
      </w:r>
      <w:r w:rsidRPr="001007BC">
        <w:rPr>
          <w:rFonts w:asciiTheme="majorBidi" w:hAnsiTheme="majorBidi" w:cstheme="majorBidi"/>
          <w:i/>
          <w:sz w:val="24"/>
          <w:szCs w:val="24"/>
        </w:rPr>
        <w:t>akutte</w:t>
      </w:r>
      <w:r w:rsidRPr="001007BC">
        <w:rPr>
          <w:rFonts w:asciiTheme="majorBidi" w:hAnsiTheme="majorBidi" w:cstheme="majorBidi"/>
          <w:i/>
          <w:spacing w:val="-7"/>
          <w:sz w:val="24"/>
          <w:szCs w:val="24"/>
        </w:rPr>
        <w:t xml:space="preserve"> </w:t>
      </w:r>
      <w:r w:rsidRPr="001007BC">
        <w:rPr>
          <w:rFonts w:asciiTheme="majorBidi" w:hAnsiTheme="majorBidi" w:cstheme="majorBidi"/>
          <w:i/>
          <w:spacing w:val="-2"/>
          <w:sz w:val="24"/>
          <w:szCs w:val="24"/>
        </w:rPr>
        <w:t>procedurer</w:t>
      </w:r>
    </w:p>
    <w:p w14:paraId="7DF3461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 bør seponeres midlertidigt. Når det er nødvendigt hurtigt at modvirke den antikoagulerende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specifikke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antidot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(idarucizumab)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mod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tilgængelig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 voksne patienter. Idarucizumabs virkning og sikkerhed hos pædiatriske patienter er ikke klarlagt.</w:t>
      </w:r>
    </w:p>
    <w:p w14:paraId="78D3EBB0"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Hæmodialyse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fjerne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dabigatran.</w:t>
      </w:r>
    </w:p>
    <w:p w14:paraId="7505C65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79968D6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Når dabigatrans virkning reverteres, udsættes patienten for den trombotiske risiko ved den underliggende sygdom. Behandling med dabigatranetexilat kan genoptages 24 timer efter administration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idarucizumab,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klinisk</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stabil,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opnået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 xml:space="preserve">tilstrækkelig </w:t>
      </w:r>
      <w:r w:rsidRPr="001007BC">
        <w:rPr>
          <w:rFonts w:asciiTheme="majorBidi" w:hAnsiTheme="majorBidi" w:cstheme="majorBidi"/>
          <w:spacing w:val="-2"/>
          <w:sz w:val="24"/>
          <w:szCs w:val="24"/>
          <w:lang w:val="da-DK"/>
        </w:rPr>
        <w:t>hæmostase.</w:t>
      </w:r>
    </w:p>
    <w:p w14:paraId="1FBBC997"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31749C"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Subakutte</w:t>
      </w:r>
      <w:r w:rsidRPr="001007BC">
        <w:rPr>
          <w:rFonts w:asciiTheme="majorBidi" w:hAnsiTheme="majorBidi" w:cstheme="majorBidi"/>
          <w:i/>
          <w:spacing w:val="-9"/>
          <w:sz w:val="24"/>
          <w:szCs w:val="24"/>
        </w:rPr>
        <w:t xml:space="preserve"> </w:t>
      </w:r>
      <w:r w:rsidRPr="001007BC">
        <w:rPr>
          <w:rFonts w:asciiTheme="majorBidi" w:hAnsiTheme="majorBidi" w:cstheme="majorBidi"/>
          <w:i/>
          <w:spacing w:val="-2"/>
          <w:sz w:val="24"/>
          <w:szCs w:val="24"/>
        </w:rPr>
        <w:t>operationer/indgreb</w:t>
      </w:r>
    </w:p>
    <w:p w14:paraId="191101D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Dabigatranetexilat bør seponeres midlertidigt. Hvis muligt, bør operation/indgreb udsættes i mindst</w:t>
      </w:r>
      <w:r w:rsidRPr="001007BC">
        <w:rPr>
          <w:rFonts w:asciiTheme="majorBidi" w:hAnsiTheme="majorBidi" w:cstheme="majorBidi"/>
          <w:spacing w:val="40"/>
          <w:sz w:val="24"/>
          <w:szCs w:val="24"/>
          <w:lang w:val="da-DK"/>
        </w:rPr>
        <w:t xml:space="preserve"> </w:t>
      </w:r>
      <w:r w:rsidRPr="001007BC">
        <w:rPr>
          <w:rFonts w:asciiTheme="majorBidi" w:hAnsiTheme="majorBidi" w:cstheme="majorBidi"/>
          <w:sz w:val="24"/>
          <w:szCs w:val="24"/>
          <w:lang w:val="da-DK"/>
        </w:rPr>
        <w:t>12 timer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efter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sidste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dosis.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Hvis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operation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udsættes,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blødning. Blødningsrisikoen skal opvejes mod behovet for akut intervention.</w:t>
      </w:r>
    </w:p>
    <w:p w14:paraId="3C7F831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D422B5"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Elektiv</w:t>
      </w:r>
      <w:r w:rsidRPr="001007BC">
        <w:rPr>
          <w:rFonts w:asciiTheme="majorBidi" w:hAnsiTheme="majorBidi" w:cstheme="majorBidi"/>
          <w:i/>
          <w:spacing w:val="-7"/>
          <w:sz w:val="24"/>
          <w:szCs w:val="24"/>
        </w:rPr>
        <w:t xml:space="preserve"> </w:t>
      </w:r>
      <w:r w:rsidRPr="001007BC">
        <w:rPr>
          <w:rFonts w:asciiTheme="majorBidi" w:hAnsiTheme="majorBidi" w:cstheme="majorBidi"/>
          <w:i/>
          <w:spacing w:val="-2"/>
          <w:sz w:val="24"/>
          <w:szCs w:val="24"/>
        </w:rPr>
        <w:t>kirurgi</w:t>
      </w:r>
    </w:p>
    <w:p w14:paraId="16683806"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Hvis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muligt,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seponeres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mindst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24 timer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invasive/kirurgiske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 bør overvejes at seponere dabigatranetexilat 2-4 dage før operation hos patienter med øget risiko for blødning eller ved større operationer, hvor komplet hæmostase kan være påkrævet.</w:t>
      </w:r>
    </w:p>
    <w:p w14:paraId="3739F9A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62C1DDD" w14:textId="4E285104"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Tabel</w:t>
      </w:r>
      <w:r w:rsidRPr="001007BC">
        <w:rPr>
          <w:rFonts w:asciiTheme="majorBidi" w:hAnsiTheme="majorBidi" w:cstheme="majorBidi"/>
          <w:spacing w:val="-8"/>
          <w:sz w:val="24"/>
          <w:szCs w:val="24"/>
          <w:lang w:val="da-DK"/>
        </w:rPr>
        <w:t> </w:t>
      </w:r>
      <w:r w:rsidR="00322A8A">
        <w:rPr>
          <w:rFonts w:asciiTheme="majorBidi" w:hAnsiTheme="majorBidi" w:cstheme="majorBidi"/>
          <w:sz w:val="24"/>
          <w:szCs w:val="24"/>
          <w:lang w:val="da-DK"/>
        </w:rPr>
        <w:t>6</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opsummerer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seponeringsreglerne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voksne</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patienter.</w:t>
      </w:r>
    </w:p>
    <w:p w14:paraId="25829415"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D77B994" w14:textId="00309B86"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6"/>
          <w:lang w:val="da-DK"/>
        </w:rPr>
        <w:t> </w:t>
      </w:r>
      <w:r w:rsidR="00322A8A">
        <w:rPr>
          <w:rFonts w:asciiTheme="majorBidi" w:hAnsiTheme="majorBidi" w:cstheme="majorBidi"/>
          <w:spacing w:val="-6"/>
          <w:lang w:val="da-DK"/>
        </w:rPr>
        <w:t>6</w:t>
      </w:r>
      <w:r>
        <w:rPr>
          <w:rFonts w:asciiTheme="majorBidi" w:hAnsiTheme="majorBidi" w:cstheme="majorBidi"/>
          <w:lang w:val="da-DK"/>
        </w:rPr>
        <w:t>:</w:t>
      </w:r>
      <w:r>
        <w:rPr>
          <w:rFonts w:asciiTheme="majorBidi" w:hAnsiTheme="majorBidi" w:cstheme="majorBidi"/>
          <w:spacing w:val="-6"/>
          <w:lang w:val="da-DK"/>
        </w:rPr>
        <w:t xml:space="preserve"> </w:t>
      </w:r>
      <w:r>
        <w:rPr>
          <w:rFonts w:asciiTheme="majorBidi" w:hAnsiTheme="majorBidi" w:cstheme="majorBidi"/>
          <w:lang w:val="da-DK"/>
        </w:rPr>
        <w:t>Seponeringsregler</w:t>
      </w:r>
      <w:r>
        <w:rPr>
          <w:rFonts w:asciiTheme="majorBidi" w:hAnsiTheme="majorBidi" w:cstheme="majorBidi"/>
          <w:spacing w:val="-7"/>
          <w:lang w:val="da-DK"/>
        </w:rPr>
        <w:t xml:space="preserve"> </w:t>
      </w:r>
      <w:r>
        <w:rPr>
          <w:rFonts w:asciiTheme="majorBidi" w:hAnsiTheme="majorBidi" w:cstheme="majorBidi"/>
          <w:lang w:val="da-DK"/>
        </w:rPr>
        <w:t>før</w:t>
      </w:r>
      <w:r>
        <w:rPr>
          <w:rFonts w:asciiTheme="majorBidi" w:hAnsiTheme="majorBidi" w:cstheme="majorBidi"/>
          <w:spacing w:val="-7"/>
          <w:lang w:val="da-DK"/>
        </w:rPr>
        <w:t xml:space="preserve"> </w:t>
      </w:r>
      <w:r>
        <w:rPr>
          <w:rFonts w:asciiTheme="majorBidi" w:hAnsiTheme="majorBidi" w:cstheme="majorBidi"/>
          <w:lang w:val="da-DK"/>
        </w:rPr>
        <w:t>invasive</w:t>
      </w:r>
      <w:r>
        <w:rPr>
          <w:rFonts w:asciiTheme="majorBidi" w:hAnsiTheme="majorBidi" w:cstheme="majorBidi"/>
          <w:spacing w:val="-7"/>
          <w:lang w:val="da-DK"/>
        </w:rPr>
        <w:t xml:space="preserve"> </w:t>
      </w:r>
      <w:r>
        <w:rPr>
          <w:rFonts w:asciiTheme="majorBidi" w:hAnsiTheme="majorBidi" w:cstheme="majorBidi"/>
          <w:lang w:val="da-DK"/>
        </w:rPr>
        <w:t>eller</w:t>
      </w:r>
      <w:r>
        <w:rPr>
          <w:rFonts w:asciiTheme="majorBidi" w:hAnsiTheme="majorBidi" w:cstheme="majorBidi"/>
          <w:spacing w:val="-7"/>
          <w:lang w:val="da-DK"/>
        </w:rPr>
        <w:t xml:space="preserve"> </w:t>
      </w:r>
      <w:r>
        <w:rPr>
          <w:rFonts w:asciiTheme="majorBidi" w:hAnsiTheme="majorBidi" w:cstheme="majorBidi"/>
          <w:lang w:val="da-DK"/>
        </w:rPr>
        <w:t>kirurgiske</w:t>
      </w:r>
      <w:r>
        <w:rPr>
          <w:rFonts w:asciiTheme="majorBidi" w:hAnsiTheme="majorBidi" w:cstheme="majorBidi"/>
          <w:spacing w:val="-7"/>
          <w:lang w:val="da-DK"/>
        </w:rPr>
        <w:t xml:space="preserve"> </w:t>
      </w:r>
      <w:r>
        <w:rPr>
          <w:rFonts w:asciiTheme="majorBidi" w:hAnsiTheme="majorBidi" w:cstheme="majorBidi"/>
          <w:lang w:val="da-DK"/>
        </w:rPr>
        <w:t>procedurer</w:t>
      </w:r>
      <w:r>
        <w:rPr>
          <w:rFonts w:asciiTheme="majorBidi" w:hAnsiTheme="majorBidi" w:cstheme="majorBidi"/>
          <w:spacing w:val="-7"/>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voksne</w:t>
      </w:r>
      <w:r>
        <w:rPr>
          <w:rFonts w:asciiTheme="majorBidi" w:hAnsiTheme="majorBidi" w:cstheme="majorBidi"/>
          <w:spacing w:val="-6"/>
          <w:lang w:val="da-DK"/>
        </w:rPr>
        <w:t xml:space="preserve"> </w:t>
      </w:r>
      <w:r>
        <w:rPr>
          <w:rFonts w:asciiTheme="majorBidi" w:hAnsiTheme="majorBidi" w:cstheme="majorBidi"/>
          <w:spacing w:val="-2"/>
          <w:lang w:val="da-DK"/>
        </w:rPr>
        <w:t>patienter</w:t>
      </w:r>
    </w:p>
    <w:p w14:paraId="15173557"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7"/>
        <w:gridCol w:w="1868"/>
        <w:gridCol w:w="2514"/>
        <w:gridCol w:w="2836"/>
      </w:tblGrid>
      <w:tr w:rsidR="00886871" w14:paraId="179D8B74" w14:textId="77777777" w:rsidTr="00886871">
        <w:trPr>
          <w:cantSplit/>
          <w:trHeight w:val="20"/>
        </w:trPr>
        <w:tc>
          <w:tcPr>
            <w:tcW w:w="1857" w:type="dxa"/>
            <w:vMerge w:val="restart"/>
            <w:tcBorders>
              <w:top w:val="single" w:sz="4" w:space="0" w:color="000000"/>
              <w:left w:val="single" w:sz="4" w:space="0" w:color="000000"/>
              <w:bottom w:val="single" w:sz="4" w:space="0" w:color="000000"/>
              <w:right w:val="single" w:sz="4" w:space="0" w:color="000000"/>
            </w:tcBorders>
            <w:hideMark/>
          </w:tcPr>
          <w:p w14:paraId="36660487" w14:textId="77777777" w:rsidR="00886871" w:rsidRDefault="00886871" w:rsidP="00146E50">
            <w:pPr>
              <w:pStyle w:val="TableParagraph"/>
              <w:keepNext/>
              <w:keepLines/>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Nyrefunktion </w:t>
            </w:r>
            <w:r>
              <w:rPr>
                <w:rFonts w:asciiTheme="majorBidi" w:hAnsiTheme="majorBidi" w:cstheme="majorBidi"/>
                <w:kern w:val="2"/>
                <w:lang w:val="da-DK"/>
                <w14:ligatures w14:val="standardContextual"/>
              </w:rPr>
              <w:t xml:space="preserve">(CrCL i </w:t>
            </w:r>
            <w:r>
              <w:rPr>
                <w:rFonts w:asciiTheme="majorBidi" w:hAnsiTheme="majorBidi" w:cstheme="majorBidi"/>
                <w:spacing w:val="-2"/>
                <w:kern w:val="2"/>
                <w:lang w:val="da-DK"/>
                <w14:ligatures w14:val="standardContextual"/>
              </w:rPr>
              <w:t>ml/min)</w:t>
            </w:r>
          </w:p>
        </w:tc>
        <w:tc>
          <w:tcPr>
            <w:tcW w:w="1867" w:type="dxa"/>
            <w:vMerge w:val="restart"/>
            <w:tcBorders>
              <w:top w:val="single" w:sz="4" w:space="0" w:color="000000"/>
              <w:left w:val="single" w:sz="4" w:space="0" w:color="000000"/>
              <w:bottom w:val="single" w:sz="4" w:space="0" w:color="000000"/>
              <w:right w:val="single" w:sz="4" w:space="0" w:color="000000"/>
            </w:tcBorders>
            <w:hideMark/>
          </w:tcPr>
          <w:p w14:paraId="02C8722F" w14:textId="77777777" w:rsidR="00886871" w:rsidRDefault="00886871" w:rsidP="00146E50">
            <w:pPr>
              <w:pStyle w:val="TableParagraph"/>
              <w:keepNext/>
              <w:keepLines/>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Estimeret halveringstid (timer)</w:t>
            </w:r>
          </w:p>
        </w:tc>
        <w:tc>
          <w:tcPr>
            <w:tcW w:w="5348" w:type="dxa"/>
            <w:gridSpan w:val="2"/>
            <w:tcBorders>
              <w:top w:val="single" w:sz="4" w:space="0" w:color="000000"/>
              <w:left w:val="single" w:sz="4" w:space="0" w:color="000000"/>
              <w:bottom w:val="single" w:sz="4" w:space="0" w:color="000000"/>
              <w:right w:val="single" w:sz="4" w:space="0" w:color="000000"/>
            </w:tcBorders>
            <w:hideMark/>
          </w:tcPr>
          <w:p w14:paraId="5ED11EF5" w14:textId="77777777" w:rsidR="00886871" w:rsidRDefault="00886871" w:rsidP="00146E50">
            <w:pPr>
              <w:pStyle w:val="TableParagraph"/>
              <w:keepNext/>
              <w:keepLines/>
              <w:widowControl/>
              <w:spacing w:line="240" w:lineRule="auto"/>
              <w:ind w:left="624"/>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stoppes</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elektiv</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886871" w14:paraId="2F749DE0" w14:textId="77777777" w:rsidTr="00886871">
        <w:trPr>
          <w:cantSplit/>
          <w:trHeight w:val="20"/>
        </w:trPr>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11FBA195" w14:textId="77777777" w:rsidR="00886871" w:rsidRDefault="00886871" w:rsidP="00146E50">
            <w:pPr>
              <w:rPr>
                <w:rFonts w:asciiTheme="majorBidi" w:hAnsiTheme="majorBidi" w:cstheme="majorBidi"/>
                <w:kern w:val="2"/>
                <w:sz w:val="22"/>
                <w:szCs w:val="22"/>
                <w14:ligatures w14:val="standardContextual"/>
              </w:rPr>
            </w:pPr>
          </w:p>
        </w:tc>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7D728CB2" w14:textId="77777777" w:rsidR="00886871" w:rsidRDefault="00886871" w:rsidP="00146E50">
            <w:pPr>
              <w:rPr>
                <w:rFonts w:asciiTheme="majorBidi" w:hAnsiTheme="majorBidi" w:cstheme="majorBidi"/>
                <w:kern w:val="2"/>
                <w:sz w:val="22"/>
                <w:szCs w:val="22"/>
                <w14:ligatures w14:val="standardContextual"/>
              </w:rPr>
            </w:pPr>
          </w:p>
        </w:tc>
        <w:tc>
          <w:tcPr>
            <w:tcW w:w="2513" w:type="dxa"/>
            <w:tcBorders>
              <w:top w:val="single" w:sz="4" w:space="0" w:color="000000"/>
              <w:left w:val="single" w:sz="4" w:space="0" w:color="000000"/>
              <w:bottom w:val="single" w:sz="4" w:space="0" w:color="000000"/>
              <w:right w:val="single" w:sz="4" w:space="0" w:color="000000"/>
            </w:tcBorders>
            <w:hideMark/>
          </w:tcPr>
          <w:p w14:paraId="2E8C7204" w14:textId="77777777" w:rsidR="00886871" w:rsidRDefault="00886871" w:rsidP="00146E50">
            <w:pPr>
              <w:pStyle w:val="TableParagraph"/>
              <w:keepNext/>
              <w:keepLines/>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Høj</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blødningsrisiko</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eller</w:t>
            </w:r>
          </w:p>
          <w:p w14:paraId="5CFEC5EA" w14:textId="77777777" w:rsidR="00886871" w:rsidRDefault="00886871" w:rsidP="00146E50">
            <w:pPr>
              <w:pStyle w:val="TableParagraph"/>
              <w:keepNext/>
              <w:keepLines/>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større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kirurgisk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indgreb</w:t>
            </w:r>
          </w:p>
        </w:tc>
        <w:tc>
          <w:tcPr>
            <w:tcW w:w="2835" w:type="dxa"/>
            <w:tcBorders>
              <w:top w:val="single" w:sz="4" w:space="0" w:color="000000"/>
              <w:left w:val="single" w:sz="4" w:space="0" w:color="000000"/>
              <w:bottom w:val="single" w:sz="4" w:space="0" w:color="000000"/>
              <w:right w:val="single" w:sz="4" w:space="0" w:color="000000"/>
            </w:tcBorders>
            <w:hideMark/>
          </w:tcPr>
          <w:p w14:paraId="34FB8045" w14:textId="77777777" w:rsidR="00886871" w:rsidRDefault="00886871" w:rsidP="00146E50">
            <w:pPr>
              <w:pStyle w:val="TableParagraph"/>
              <w:keepNext/>
              <w:keepLines/>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Standardrisiko</w:t>
            </w:r>
          </w:p>
        </w:tc>
      </w:tr>
      <w:tr w:rsidR="00886871" w14:paraId="4E87B98D"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27D966CE"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5A49AACD"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13</w:t>
            </w:r>
          </w:p>
        </w:tc>
        <w:tc>
          <w:tcPr>
            <w:tcW w:w="2513" w:type="dxa"/>
            <w:tcBorders>
              <w:top w:val="single" w:sz="4" w:space="0" w:color="000000"/>
              <w:left w:val="single" w:sz="4" w:space="0" w:color="000000"/>
              <w:bottom w:val="single" w:sz="4" w:space="0" w:color="000000"/>
              <w:right w:val="single" w:sz="4" w:space="0" w:color="000000"/>
            </w:tcBorders>
            <w:hideMark/>
          </w:tcPr>
          <w:p w14:paraId="572A5CA1"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0F306462"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1439C270"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47E627AB"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638CB5F8"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15</w:t>
            </w:r>
          </w:p>
        </w:tc>
        <w:tc>
          <w:tcPr>
            <w:tcW w:w="2513" w:type="dxa"/>
            <w:tcBorders>
              <w:top w:val="single" w:sz="4" w:space="0" w:color="000000"/>
              <w:left w:val="single" w:sz="4" w:space="0" w:color="000000"/>
              <w:bottom w:val="single" w:sz="4" w:space="0" w:color="000000"/>
              <w:right w:val="single" w:sz="4" w:space="0" w:color="000000"/>
            </w:tcBorders>
            <w:hideMark/>
          </w:tcPr>
          <w:p w14:paraId="282DC5AF"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7F059533"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7934AE9C" w14:textId="77777777" w:rsidTr="00886871">
        <w:trPr>
          <w:cantSplit/>
          <w:trHeight w:val="20"/>
        </w:trPr>
        <w:tc>
          <w:tcPr>
            <w:tcW w:w="1857" w:type="dxa"/>
            <w:tcBorders>
              <w:top w:val="single" w:sz="4" w:space="0" w:color="000000"/>
              <w:left w:val="single" w:sz="4" w:space="0" w:color="000000"/>
              <w:bottom w:val="single" w:sz="4" w:space="0" w:color="000000"/>
              <w:right w:val="single" w:sz="4" w:space="0" w:color="000000"/>
            </w:tcBorders>
            <w:hideMark/>
          </w:tcPr>
          <w:p w14:paraId="06E4EE60" w14:textId="77777777" w:rsidR="00886871" w:rsidRDefault="00886871" w:rsidP="00146E50">
            <w:pPr>
              <w:pStyle w:val="TableParagraph"/>
              <w:widowControl/>
              <w:spacing w:line="240" w:lineRule="auto"/>
              <w:ind w:left="346"/>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50</w:t>
            </w:r>
          </w:p>
        </w:tc>
        <w:tc>
          <w:tcPr>
            <w:tcW w:w="1867" w:type="dxa"/>
            <w:tcBorders>
              <w:top w:val="single" w:sz="4" w:space="0" w:color="000000"/>
              <w:left w:val="single" w:sz="4" w:space="0" w:color="000000"/>
              <w:bottom w:val="single" w:sz="4" w:space="0" w:color="000000"/>
              <w:right w:val="single" w:sz="4" w:space="0" w:color="000000"/>
            </w:tcBorders>
            <w:hideMark/>
          </w:tcPr>
          <w:p w14:paraId="17998862" w14:textId="77777777" w:rsidR="00886871" w:rsidRDefault="00886871" w:rsidP="00146E50">
            <w:pPr>
              <w:pStyle w:val="TableParagraph"/>
              <w:widowControl/>
              <w:spacing w:line="240" w:lineRule="auto"/>
              <w:ind w:left="722"/>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w:t>
            </w:r>
            <w:r>
              <w:rPr>
                <w:rFonts w:asciiTheme="majorBidi" w:hAnsiTheme="majorBidi" w:cstheme="majorBidi"/>
                <w:spacing w:val="-5"/>
                <w:kern w:val="2"/>
                <w:lang w:val="da-DK"/>
                <w14:ligatures w14:val="standardContextual"/>
              </w:rPr>
              <w:t>18</w:t>
            </w:r>
          </w:p>
        </w:tc>
        <w:tc>
          <w:tcPr>
            <w:tcW w:w="2513" w:type="dxa"/>
            <w:tcBorders>
              <w:top w:val="single" w:sz="4" w:space="0" w:color="000000"/>
              <w:left w:val="single" w:sz="4" w:space="0" w:color="000000"/>
              <w:bottom w:val="single" w:sz="4" w:space="0" w:color="000000"/>
              <w:right w:val="single" w:sz="4" w:space="0" w:color="000000"/>
            </w:tcBorders>
            <w:hideMark/>
          </w:tcPr>
          <w:p w14:paraId="7811D138" w14:textId="77777777" w:rsidR="00886871" w:rsidRDefault="00886871" w:rsidP="00146E50">
            <w:pPr>
              <w:pStyle w:val="TableParagraph"/>
              <w:widowControl/>
              <w:spacing w:line="240" w:lineRule="auto"/>
              <w:ind w:left="108"/>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835" w:type="dxa"/>
            <w:tcBorders>
              <w:top w:val="single" w:sz="4" w:space="0" w:color="000000"/>
              <w:left w:val="single" w:sz="4" w:space="0" w:color="000000"/>
              <w:bottom w:val="single" w:sz="4" w:space="0" w:color="000000"/>
              <w:right w:val="single" w:sz="4" w:space="0" w:color="000000"/>
            </w:tcBorders>
            <w:hideMark/>
          </w:tcPr>
          <w:p w14:paraId="5E944555" w14:textId="77777777" w:rsidR="00886871" w:rsidRDefault="00886871" w:rsidP="00146E50">
            <w:pPr>
              <w:pStyle w:val="TableParagraph"/>
              <w:widowControl/>
              <w:spacing w:line="240" w:lineRule="auto"/>
              <w:ind w:left="110"/>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(&gt;</w:t>
            </w:r>
            <w:r>
              <w:rPr>
                <w:rFonts w:asciiTheme="majorBidi" w:hAnsiTheme="majorBidi" w:cstheme="majorBidi"/>
                <w:spacing w:val="-1"/>
                <w:kern w:val="2"/>
                <w:lang w:val="da-DK"/>
                <w14:ligatures w14:val="standardContextual"/>
              </w:rPr>
              <w:t> </w:t>
            </w:r>
            <w:r>
              <w:rPr>
                <w:rFonts w:asciiTheme="majorBidi" w:hAnsiTheme="majorBidi" w:cstheme="majorBidi"/>
                <w:kern w:val="2"/>
                <w:lang w:val="da-DK"/>
                <w14:ligatures w14:val="standardContextual"/>
              </w:rPr>
              <w:t>48 </w:t>
            </w:r>
            <w:r>
              <w:rPr>
                <w:rFonts w:asciiTheme="majorBidi" w:hAnsiTheme="majorBidi" w:cstheme="majorBidi"/>
                <w:spacing w:val="-2"/>
                <w:kern w:val="2"/>
                <w:lang w:val="da-DK"/>
                <w14:ligatures w14:val="standardContextual"/>
              </w:rPr>
              <w:t>timer)</w:t>
            </w:r>
          </w:p>
        </w:tc>
      </w:tr>
    </w:tbl>
    <w:p w14:paraId="751B839D" w14:textId="77777777" w:rsidR="00886871" w:rsidRPr="001007BC" w:rsidRDefault="00886871" w:rsidP="001007BC">
      <w:pPr>
        <w:pStyle w:val="Brdtekst"/>
        <w:widowControl/>
        <w:ind w:left="851"/>
        <w:rPr>
          <w:rFonts w:asciiTheme="majorBidi" w:hAnsiTheme="majorBidi" w:cstheme="majorBidi"/>
          <w:b/>
          <w:sz w:val="24"/>
          <w:szCs w:val="24"/>
          <w:lang w:val="da-DK"/>
        </w:rPr>
      </w:pPr>
    </w:p>
    <w:p w14:paraId="3B95226F" w14:textId="008C337C"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Seponeringsregler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invasive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procedurer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opsummeret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 tabel </w:t>
      </w:r>
      <w:r w:rsidR="00322A8A">
        <w:rPr>
          <w:rFonts w:asciiTheme="majorBidi" w:hAnsiTheme="majorBidi" w:cstheme="majorBidi"/>
          <w:sz w:val="24"/>
          <w:szCs w:val="24"/>
          <w:lang w:val="da-DK"/>
        </w:rPr>
        <w:t>7</w:t>
      </w:r>
      <w:r w:rsidRPr="001007BC">
        <w:rPr>
          <w:rFonts w:asciiTheme="majorBidi" w:hAnsiTheme="majorBidi" w:cstheme="majorBidi"/>
          <w:sz w:val="24"/>
          <w:szCs w:val="24"/>
          <w:lang w:val="da-DK"/>
        </w:rPr>
        <w:t>.</w:t>
      </w:r>
    </w:p>
    <w:p w14:paraId="6356D4A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5295D85" w14:textId="1847C994"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sidR="00322A8A">
        <w:rPr>
          <w:rFonts w:asciiTheme="majorBidi" w:hAnsiTheme="majorBidi" w:cstheme="majorBidi"/>
          <w:spacing w:val="-5"/>
          <w:lang w:val="da-DK"/>
        </w:rPr>
        <w:t>7</w:t>
      </w:r>
      <w:r>
        <w:rPr>
          <w:rFonts w:asciiTheme="majorBidi" w:hAnsiTheme="majorBidi" w:cstheme="majorBidi"/>
          <w:spacing w:val="-5"/>
          <w:lang w:val="da-DK"/>
        </w:rPr>
        <w:t>:</w:t>
      </w:r>
      <w:r>
        <w:rPr>
          <w:rFonts w:asciiTheme="majorBidi" w:hAnsiTheme="majorBidi" w:cstheme="majorBidi"/>
          <w:lang w:val="da-DK"/>
        </w:rPr>
        <w:tab/>
        <w:t>Seponeringsregler</w:t>
      </w:r>
      <w:r>
        <w:rPr>
          <w:rFonts w:asciiTheme="majorBidi" w:hAnsiTheme="majorBidi" w:cstheme="majorBidi"/>
          <w:spacing w:val="-11"/>
          <w:lang w:val="da-DK"/>
        </w:rPr>
        <w:t xml:space="preserve"> </w:t>
      </w:r>
      <w:r>
        <w:rPr>
          <w:rFonts w:asciiTheme="majorBidi" w:hAnsiTheme="majorBidi" w:cstheme="majorBidi"/>
          <w:lang w:val="da-DK"/>
        </w:rPr>
        <w:t>før</w:t>
      </w:r>
      <w:r>
        <w:rPr>
          <w:rFonts w:asciiTheme="majorBidi" w:hAnsiTheme="majorBidi" w:cstheme="majorBidi"/>
          <w:spacing w:val="-8"/>
          <w:lang w:val="da-DK"/>
        </w:rPr>
        <w:t xml:space="preserve"> </w:t>
      </w:r>
      <w:r>
        <w:rPr>
          <w:rFonts w:asciiTheme="majorBidi" w:hAnsiTheme="majorBidi" w:cstheme="majorBidi"/>
          <w:lang w:val="da-DK"/>
        </w:rPr>
        <w:t>invasive</w:t>
      </w:r>
      <w:r>
        <w:rPr>
          <w:rFonts w:asciiTheme="majorBidi" w:hAnsiTheme="majorBidi" w:cstheme="majorBidi"/>
          <w:spacing w:val="-9"/>
          <w:lang w:val="da-DK"/>
        </w:rPr>
        <w:t xml:space="preserve"> </w:t>
      </w:r>
      <w:r>
        <w:rPr>
          <w:rFonts w:asciiTheme="majorBidi" w:hAnsiTheme="majorBidi" w:cstheme="majorBidi"/>
          <w:lang w:val="da-DK"/>
        </w:rPr>
        <w:t>eller</w:t>
      </w:r>
      <w:r>
        <w:rPr>
          <w:rFonts w:asciiTheme="majorBidi" w:hAnsiTheme="majorBidi" w:cstheme="majorBidi"/>
          <w:spacing w:val="-8"/>
          <w:lang w:val="da-DK"/>
        </w:rPr>
        <w:t xml:space="preserve"> </w:t>
      </w:r>
      <w:r>
        <w:rPr>
          <w:rFonts w:asciiTheme="majorBidi" w:hAnsiTheme="majorBidi" w:cstheme="majorBidi"/>
          <w:lang w:val="da-DK"/>
        </w:rPr>
        <w:t>kirurgiske</w:t>
      </w:r>
      <w:r>
        <w:rPr>
          <w:rFonts w:asciiTheme="majorBidi" w:hAnsiTheme="majorBidi" w:cstheme="majorBidi"/>
          <w:spacing w:val="-8"/>
          <w:lang w:val="da-DK"/>
        </w:rPr>
        <w:t xml:space="preserve"> </w:t>
      </w:r>
      <w:r>
        <w:rPr>
          <w:rFonts w:asciiTheme="majorBidi" w:hAnsiTheme="majorBidi" w:cstheme="majorBidi"/>
          <w:lang w:val="da-DK"/>
        </w:rPr>
        <w:t>procedurer</w:t>
      </w:r>
      <w:r>
        <w:rPr>
          <w:rFonts w:asciiTheme="majorBidi" w:hAnsiTheme="majorBidi" w:cstheme="majorBidi"/>
          <w:spacing w:val="-9"/>
          <w:lang w:val="da-DK"/>
        </w:rPr>
        <w:t xml:space="preserve"> </w:t>
      </w:r>
      <w:r>
        <w:rPr>
          <w:rFonts w:asciiTheme="majorBidi" w:hAnsiTheme="majorBidi" w:cstheme="majorBidi"/>
          <w:lang w:val="da-DK"/>
        </w:rPr>
        <w:t>for</w:t>
      </w:r>
      <w:r>
        <w:rPr>
          <w:rFonts w:asciiTheme="majorBidi" w:hAnsiTheme="majorBidi" w:cstheme="majorBidi"/>
          <w:spacing w:val="-8"/>
          <w:lang w:val="da-DK"/>
        </w:rPr>
        <w:t xml:space="preserve"> </w:t>
      </w:r>
      <w:r>
        <w:rPr>
          <w:rFonts w:asciiTheme="majorBidi" w:hAnsiTheme="majorBidi" w:cstheme="majorBidi"/>
          <w:lang w:val="da-DK"/>
        </w:rPr>
        <w:t>pædiatriske</w:t>
      </w:r>
      <w:r>
        <w:rPr>
          <w:rFonts w:asciiTheme="majorBidi" w:hAnsiTheme="majorBidi" w:cstheme="majorBidi"/>
          <w:spacing w:val="-8"/>
          <w:lang w:val="da-DK"/>
        </w:rPr>
        <w:t xml:space="preserve"> </w:t>
      </w:r>
      <w:r>
        <w:rPr>
          <w:rFonts w:asciiTheme="majorBidi" w:hAnsiTheme="majorBidi" w:cstheme="majorBidi"/>
          <w:spacing w:val="-2"/>
          <w:lang w:val="da-DK"/>
        </w:rPr>
        <w:t>patienter</w:t>
      </w:r>
    </w:p>
    <w:p w14:paraId="6EF57009"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6239"/>
      </w:tblGrid>
      <w:tr w:rsidR="00886871" w14:paraId="0B830F69" w14:textId="77777777" w:rsidTr="00886871">
        <w:trPr>
          <w:cantSplit/>
          <w:trHeight w:val="506"/>
          <w:tblHeader/>
        </w:trPr>
        <w:tc>
          <w:tcPr>
            <w:tcW w:w="2835" w:type="dxa"/>
            <w:tcBorders>
              <w:top w:val="single" w:sz="4" w:space="0" w:color="000000"/>
              <w:left w:val="single" w:sz="4" w:space="0" w:color="000000"/>
              <w:bottom w:val="single" w:sz="4" w:space="0" w:color="000000"/>
              <w:right w:val="single" w:sz="4" w:space="0" w:color="000000"/>
            </w:tcBorders>
            <w:hideMark/>
          </w:tcPr>
          <w:p w14:paraId="58D7F65D"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Nyrefunktion</w:t>
            </w:r>
          </w:p>
          <w:p w14:paraId="7013399B"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(eGFR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ml/min/1,73</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m</w:t>
            </w:r>
            <w:r>
              <w:rPr>
                <w:rFonts w:asciiTheme="majorBidi" w:hAnsiTheme="majorBidi" w:cstheme="majorBidi"/>
                <w:spacing w:val="-5"/>
                <w:kern w:val="2"/>
                <w:vertAlign w:val="superscript"/>
                <w:lang w:val="da-DK"/>
                <w14:ligatures w14:val="standardContextual"/>
              </w:rPr>
              <w:t>2</w:t>
            </w:r>
            <w:r>
              <w:rPr>
                <w:rFonts w:asciiTheme="majorBidi" w:hAnsiTheme="majorBidi" w:cstheme="majorBidi"/>
                <w:spacing w:val="-5"/>
                <w:kern w:val="2"/>
                <w:lang w:val="da-DK"/>
                <w14:ligatures w14:val="standardContextual"/>
              </w:rPr>
              <w:t>)</w:t>
            </w:r>
          </w:p>
        </w:tc>
        <w:tc>
          <w:tcPr>
            <w:tcW w:w="6237" w:type="dxa"/>
            <w:tcBorders>
              <w:top w:val="single" w:sz="4" w:space="0" w:color="000000"/>
              <w:left w:val="single" w:sz="4" w:space="0" w:color="000000"/>
              <w:bottom w:val="single" w:sz="4" w:space="0" w:color="000000"/>
              <w:right w:val="single" w:sz="4" w:space="0" w:color="000000"/>
            </w:tcBorders>
            <w:hideMark/>
          </w:tcPr>
          <w:p w14:paraId="2C95D7C3" w14:textId="77777777" w:rsidR="00886871" w:rsidRDefault="00886871" w:rsidP="00146E50">
            <w:pPr>
              <w:pStyle w:val="TableParagraph"/>
              <w:keepNext/>
              <w:keepLines/>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Stop</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elektiv</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886871" w14:paraId="25687E15" w14:textId="77777777" w:rsidTr="00886871">
        <w:trPr>
          <w:cantSplit/>
          <w:trHeight w:val="253"/>
        </w:trPr>
        <w:tc>
          <w:tcPr>
            <w:tcW w:w="2835" w:type="dxa"/>
            <w:tcBorders>
              <w:top w:val="single" w:sz="4" w:space="0" w:color="000000"/>
              <w:left w:val="single" w:sz="4" w:space="0" w:color="000000"/>
              <w:bottom w:val="single" w:sz="4" w:space="0" w:color="000000"/>
              <w:right w:val="single" w:sz="4" w:space="0" w:color="000000"/>
            </w:tcBorders>
            <w:hideMark/>
          </w:tcPr>
          <w:p w14:paraId="3DF2F222"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 80</w:t>
            </w:r>
          </w:p>
        </w:tc>
        <w:tc>
          <w:tcPr>
            <w:tcW w:w="6237" w:type="dxa"/>
            <w:tcBorders>
              <w:top w:val="single" w:sz="4" w:space="0" w:color="000000"/>
              <w:left w:val="single" w:sz="4" w:space="0" w:color="000000"/>
              <w:bottom w:val="single" w:sz="4" w:space="0" w:color="000000"/>
              <w:right w:val="single" w:sz="4" w:space="0" w:color="000000"/>
            </w:tcBorders>
            <w:hideMark/>
          </w:tcPr>
          <w:p w14:paraId="2C3FC4AA"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07669FD7" w14:textId="77777777" w:rsidTr="00886871">
        <w:trPr>
          <w:cantSplit/>
          <w:trHeight w:val="251"/>
        </w:trPr>
        <w:tc>
          <w:tcPr>
            <w:tcW w:w="2835" w:type="dxa"/>
            <w:tcBorders>
              <w:top w:val="single" w:sz="4" w:space="0" w:color="000000"/>
              <w:left w:val="single" w:sz="4" w:space="0" w:color="000000"/>
              <w:bottom w:val="single" w:sz="4" w:space="0" w:color="000000"/>
              <w:right w:val="single" w:sz="4" w:space="0" w:color="000000"/>
            </w:tcBorders>
            <w:hideMark/>
          </w:tcPr>
          <w:p w14:paraId="34B9BAAE"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kern w:val="2"/>
                <w:lang w:val="da-DK"/>
                <w14:ligatures w14:val="standardContextual"/>
              </w:rPr>
              <w:noBreakHyphen/>
            </w:r>
            <w:r>
              <w:rPr>
                <w:rFonts w:asciiTheme="majorBidi" w:hAnsiTheme="majorBidi" w:cstheme="majorBidi"/>
                <w:spacing w:val="-5"/>
                <w:kern w:val="2"/>
                <w:lang w:val="da-DK"/>
                <w14:ligatures w14:val="standardContextual"/>
              </w:rPr>
              <w:t>80</w:t>
            </w:r>
          </w:p>
        </w:tc>
        <w:tc>
          <w:tcPr>
            <w:tcW w:w="6237" w:type="dxa"/>
            <w:tcBorders>
              <w:top w:val="single" w:sz="4" w:space="0" w:color="000000"/>
              <w:left w:val="single" w:sz="4" w:space="0" w:color="000000"/>
              <w:bottom w:val="single" w:sz="4" w:space="0" w:color="000000"/>
              <w:right w:val="single" w:sz="4" w:space="0" w:color="000000"/>
            </w:tcBorders>
            <w:hideMark/>
          </w:tcPr>
          <w:p w14:paraId="543B70E3"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886871" w14:paraId="10664293" w14:textId="77777777" w:rsidTr="00886871">
        <w:trPr>
          <w:cantSplit/>
          <w:trHeight w:val="254"/>
        </w:trPr>
        <w:tc>
          <w:tcPr>
            <w:tcW w:w="2835" w:type="dxa"/>
            <w:tcBorders>
              <w:top w:val="single" w:sz="4" w:space="0" w:color="000000"/>
              <w:left w:val="single" w:sz="4" w:space="0" w:color="000000"/>
              <w:bottom w:val="single" w:sz="4" w:space="0" w:color="000000"/>
              <w:right w:val="single" w:sz="4" w:space="0" w:color="000000"/>
            </w:tcBorders>
            <w:hideMark/>
          </w:tcPr>
          <w:p w14:paraId="070EB9C0"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&lt; 50</w:t>
            </w:r>
          </w:p>
        </w:tc>
        <w:tc>
          <w:tcPr>
            <w:tcW w:w="6237" w:type="dxa"/>
            <w:tcBorders>
              <w:top w:val="single" w:sz="4" w:space="0" w:color="000000"/>
              <w:left w:val="single" w:sz="4" w:space="0" w:color="000000"/>
              <w:bottom w:val="single" w:sz="4" w:space="0" w:color="000000"/>
              <w:right w:val="single" w:sz="4" w:space="0" w:color="000000"/>
            </w:tcBorders>
            <w:hideMark/>
          </w:tcPr>
          <w:p w14:paraId="5AF8A888" w14:textId="77777777" w:rsidR="00886871" w:rsidRDefault="00886871" w:rsidP="00146E50">
            <w:pPr>
              <w:pStyle w:val="TableParagraph"/>
              <w:widowControl/>
              <w:spacing w:line="240" w:lineRule="auto"/>
              <w:ind w:left="14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Disse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5"/>
                <w:kern w:val="2"/>
                <w:lang w:val="da-DK"/>
                <w14:ligatures w14:val="standardContextual"/>
              </w:rPr>
              <w:t> </w:t>
            </w:r>
            <w:r>
              <w:rPr>
                <w:rFonts w:asciiTheme="majorBidi" w:hAnsiTheme="majorBidi" w:cstheme="majorBidi"/>
                <w:spacing w:val="-2"/>
                <w:kern w:val="2"/>
                <w:lang w:val="da-DK"/>
                <w14:ligatures w14:val="standardContextual"/>
              </w:rPr>
              <w:t>4.3).</w:t>
            </w:r>
          </w:p>
        </w:tc>
      </w:tr>
    </w:tbl>
    <w:p w14:paraId="3E14BAB9" w14:textId="77777777" w:rsidR="00886871" w:rsidRPr="001007BC" w:rsidRDefault="00886871" w:rsidP="001007BC">
      <w:pPr>
        <w:pStyle w:val="Brdtekst"/>
        <w:widowControl/>
        <w:ind w:left="851"/>
        <w:rPr>
          <w:rFonts w:asciiTheme="majorBidi" w:hAnsiTheme="majorBidi" w:cstheme="majorBidi"/>
          <w:b/>
          <w:sz w:val="24"/>
          <w:szCs w:val="24"/>
          <w:lang w:val="da-DK"/>
        </w:rPr>
      </w:pPr>
    </w:p>
    <w:p w14:paraId="3C4C2353"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t>Spinal</w:t>
      </w:r>
      <w:r w:rsidRPr="001007BC">
        <w:rPr>
          <w:rFonts w:asciiTheme="majorBidi" w:hAnsiTheme="majorBidi" w:cstheme="majorBidi"/>
          <w:i/>
          <w:spacing w:val="-12"/>
          <w:sz w:val="24"/>
          <w:szCs w:val="24"/>
        </w:rPr>
        <w:t xml:space="preserve"> </w:t>
      </w:r>
      <w:r w:rsidRPr="001007BC">
        <w:rPr>
          <w:rFonts w:asciiTheme="majorBidi" w:hAnsiTheme="majorBidi" w:cstheme="majorBidi"/>
          <w:i/>
          <w:sz w:val="24"/>
          <w:szCs w:val="24"/>
        </w:rPr>
        <w:t>anæstesi/epidural</w:t>
      </w:r>
      <w:r w:rsidRPr="001007BC">
        <w:rPr>
          <w:rFonts w:asciiTheme="majorBidi" w:hAnsiTheme="majorBidi" w:cstheme="majorBidi"/>
          <w:i/>
          <w:spacing w:val="-11"/>
          <w:sz w:val="24"/>
          <w:szCs w:val="24"/>
        </w:rPr>
        <w:t xml:space="preserve"> </w:t>
      </w:r>
      <w:r w:rsidRPr="001007BC">
        <w:rPr>
          <w:rFonts w:asciiTheme="majorBidi" w:hAnsiTheme="majorBidi" w:cstheme="majorBidi"/>
          <w:i/>
          <w:spacing w:val="-2"/>
          <w:sz w:val="24"/>
          <w:szCs w:val="24"/>
        </w:rPr>
        <w:t>anæstesi/lumbalpunktur</w:t>
      </w:r>
    </w:p>
    <w:p w14:paraId="5C97FBCF"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Procedurer,</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f.eks.</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spinal</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anæstesi,</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kræve</w:t>
      </w:r>
      <w:r w:rsidRPr="001007BC">
        <w:rPr>
          <w:rFonts w:asciiTheme="majorBidi" w:hAnsiTheme="majorBidi" w:cstheme="majorBidi"/>
          <w:spacing w:val="-7"/>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komplet</w:t>
      </w:r>
      <w:r w:rsidRPr="001007BC">
        <w:rPr>
          <w:rFonts w:asciiTheme="majorBidi" w:hAnsiTheme="majorBidi" w:cstheme="majorBidi"/>
          <w:spacing w:val="-6"/>
          <w:sz w:val="24"/>
          <w:szCs w:val="24"/>
          <w:lang w:val="da-DK"/>
        </w:rPr>
        <w:t xml:space="preserve"> </w:t>
      </w:r>
      <w:r w:rsidRPr="001007BC">
        <w:rPr>
          <w:rFonts w:asciiTheme="majorBidi" w:hAnsiTheme="majorBidi" w:cstheme="majorBidi"/>
          <w:sz w:val="24"/>
          <w:szCs w:val="24"/>
          <w:lang w:val="da-DK"/>
        </w:rPr>
        <w:t>hæmostatisk</w:t>
      </w:r>
      <w:r w:rsidRPr="001007BC">
        <w:rPr>
          <w:rFonts w:asciiTheme="majorBidi" w:hAnsiTheme="majorBidi" w:cstheme="majorBidi"/>
          <w:spacing w:val="-6"/>
          <w:sz w:val="24"/>
          <w:szCs w:val="24"/>
          <w:lang w:val="da-DK"/>
        </w:rPr>
        <w:t xml:space="preserve"> </w:t>
      </w:r>
      <w:r w:rsidRPr="001007BC">
        <w:rPr>
          <w:rFonts w:asciiTheme="majorBidi" w:hAnsiTheme="majorBidi" w:cstheme="majorBidi"/>
          <w:spacing w:val="-2"/>
          <w:sz w:val="24"/>
          <w:szCs w:val="24"/>
          <w:lang w:val="da-DK"/>
        </w:rPr>
        <w:t>funktion.</w:t>
      </w:r>
    </w:p>
    <w:p w14:paraId="4DA4202C"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C73080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kan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være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øget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spinalt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epiduralt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hæmatom</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tilfælde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traumatisk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gentagen punktur og ved langvarig brug af epidural katetre. Efter fjernelse af et kateter skal der gå mindst 2 timer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administration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første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dosis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Disse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kræver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hyppig observation for neurologiske tegn og symptomer på spinalt eller epiduralt hæmatom.</w:t>
      </w:r>
    </w:p>
    <w:p w14:paraId="54070E44" w14:textId="77777777" w:rsidR="00886871" w:rsidRPr="001007BC" w:rsidRDefault="00886871" w:rsidP="001007BC">
      <w:pPr>
        <w:pStyle w:val="Brdtekst"/>
        <w:widowControl/>
        <w:ind w:left="851"/>
        <w:rPr>
          <w:rFonts w:asciiTheme="majorBidi" w:hAnsiTheme="majorBidi" w:cstheme="majorBidi"/>
          <w:sz w:val="24"/>
          <w:szCs w:val="24"/>
          <w:lang w:val="da-DK"/>
        </w:rPr>
      </w:pPr>
    </w:p>
    <w:p w14:paraId="2DBB22DE" w14:textId="77777777" w:rsidR="00886871" w:rsidRPr="001007BC" w:rsidRDefault="00886871" w:rsidP="001007BC">
      <w:pPr>
        <w:keepNext/>
        <w:keepLines/>
        <w:ind w:left="851"/>
        <w:rPr>
          <w:rFonts w:asciiTheme="majorBidi" w:hAnsiTheme="majorBidi" w:cstheme="majorBidi"/>
          <w:i/>
          <w:sz w:val="24"/>
          <w:szCs w:val="24"/>
        </w:rPr>
      </w:pPr>
      <w:r w:rsidRPr="001007BC">
        <w:rPr>
          <w:rFonts w:asciiTheme="majorBidi" w:hAnsiTheme="majorBidi" w:cstheme="majorBidi"/>
          <w:i/>
          <w:sz w:val="24"/>
          <w:szCs w:val="24"/>
        </w:rPr>
        <w:lastRenderedPageBreak/>
        <w:t>Post-operativ</w:t>
      </w:r>
      <w:r w:rsidRPr="001007BC">
        <w:rPr>
          <w:rFonts w:asciiTheme="majorBidi" w:hAnsiTheme="majorBidi" w:cstheme="majorBidi"/>
          <w:i/>
          <w:spacing w:val="-10"/>
          <w:sz w:val="24"/>
          <w:szCs w:val="24"/>
        </w:rPr>
        <w:t xml:space="preserve"> </w:t>
      </w:r>
      <w:r w:rsidRPr="001007BC">
        <w:rPr>
          <w:rFonts w:asciiTheme="majorBidi" w:hAnsiTheme="majorBidi" w:cstheme="majorBidi"/>
          <w:i/>
          <w:spacing w:val="-4"/>
          <w:sz w:val="24"/>
          <w:szCs w:val="24"/>
        </w:rPr>
        <w:t>fase</w:t>
      </w:r>
    </w:p>
    <w:p w14:paraId="3E038B9F"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Behandling med dabigatranetexilat bør genoptages/startes så hurtigt som muligt efter den invasive procedure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kirurgiske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indgreb,</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forudsat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kliniske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situation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tillader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tilstrækkelig hæmostase er blevet etableret.</w:t>
      </w:r>
    </w:p>
    <w:p w14:paraId="29102C9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C8BE19D" w14:textId="2BF66E1B"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blødning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risiko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overeksponering,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især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 nedsat nyrefunktion (se også tabel </w:t>
      </w:r>
      <w:r w:rsidR="00322A8A">
        <w:rPr>
          <w:rFonts w:asciiTheme="majorBidi" w:hAnsiTheme="majorBidi" w:cstheme="majorBidi"/>
          <w:sz w:val="24"/>
          <w:szCs w:val="24"/>
          <w:lang w:val="da-DK"/>
        </w:rPr>
        <w:t>4</w:t>
      </w:r>
      <w:r w:rsidRPr="001007BC">
        <w:rPr>
          <w:rFonts w:asciiTheme="majorBidi" w:hAnsiTheme="majorBidi" w:cstheme="majorBidi"/>
          <w:sz w:val="24"/>
          <w:szCs w:val="24"/>
          <w:lang w:val="da-DK"/>
        </w:rPr>
        <w:t>), bør behandles med forsigtighed (se pkt. 4.4 og 5.1).</w:t>
      </w:r>
    </w:p>
    <w:p w14:paraId="4D5B43C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1446AAF"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høj</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risiko</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død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i</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forbindelse</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operation,</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og</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hvor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intrinsiske</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risikofaktorer</w:t>
      </w:r>
      <w:r w:rsidRPr="001007BC">
        <w:rPr>
          <w:rFonts w:asciiTheme="majorBidi" w:hAnsiTheme="majorBidi" w:cstheme="majorBidi"/>
          <w:spacing w:val="-2"/>
          <w:sz w:val="24"/>
          <w:szCs w:val="24"/>
          <w:u w:val="single"/>
          <w:lang w:val="da-DK"/>
        </w:rPr>
        <w:t xml:space="preserve"> </w:t>
      </w:r>
      <w:r w:rsidRPr="001007BC">
        <w:rPr>
          <w:rFonts w:asciiTheme="majorBidi" w:hAnsiTheme="majorBidi" w:cstheme="majorBidi"/>
          <w:sz w:val="24"/>
          <w:szCs w:val="24"/>
          <w:u w:val="single"/>
          <w:lang w:val="da-DK"/>
        </w:rPr>
        <w:t>for</w:t>
      </w:r>
      <w:r w:rsidRPr="001007BC">
        <w:rPr>
          <w:rFonts w:asciiTheme="majorBidi" w:hAnsiTheme="majorBidi" w:cstheme="majorBidi"/>
          <w:sz w:val="24"/>
          <w:szCs w:val="24"/>
          <w:lang w:val="da-DK"/>
        </w:rPr>
        <w:t xml:space="preserve"> </w:t>
      </w:r>
      <w:r w:rsidRPr="001007BC">
        <w:rPr>
          <w:rFonts w:asciiTheme="majorBidi" w:hAnsiTheme="majorBidi" w:cstheme="majorBidi"/>
          <w:sz w:val="24"/>
          <w:szCs w:val="24"/>
          <w:u w:val="single"/>
          <w:lang w:val="da-DK"/>
        </w:rPr>
        <w:t>udvikling af tromboemboli er til stede</w:t>
      </w:r>
    </w:p>
    <w:p w14:paraId="1B08C178"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data</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virkning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disse</w:t>
      </w:r>
      <w:r w:rsidRPr="001007BC">
        <w:rPr>
          <w:rFonts w:asciiTheme="majorBidi" w:hAnsiTheme="majorBidi" w:cstheme="majorBidi"/>
          <w:spacing w:val="-5"/>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bør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derfor udvises forsigtighed ved behandling.</w:t>
      </w:r>
    </w:p>
    <w:p w14:paraId="39F2D390"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F2E3C63"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Nedsat</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leverfunktion</w:t>
      </w:r>
    </w:p>
    <w:p w14:paraId="333D4EF5"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leversygdom,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forventes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have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indvirkning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på</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overlevelsen,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kontraindiceret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4"/>
          <w:sz w:val="24"/>
          <w:szCs w:val="24"/>
          <w:lang w:val="da-DK"/>
        </w:rPr>
        <w:t> </w:t>
      </w:r>
      <w:r w:rsidRPr="001007BC">
        <w:rPr>
          <w:rFonts w:asciiTheme="majorBidi" w:hAnsiTheme="majorBidi" w:cstheme="majorBidi"/>
          <w:sz w:val="24"/>
          <w:szCs w:val="24"/>
          <w:lang w:val="da-DK"/>
        </w:rPr>
        <w:t>4.3).</w:t>
      </w:r>
    </w:p>
    <w:p w14:paraId="520AC99F" w14:textId="77777777" w:rsidR="00886871" w:rsidRPr="001007BC" w:rsidRDefault="00886871" w:rsidP="001007BC">
      <w:pPr>
        <w:pStyle w:val="Brdtekst"/>
        <w:widowControl/>
        <w:ind w:left="851"/>
        <w:rPr>
          <w:rFonts w:asciiTheme="majorBidi" w:hAnsiTheme="majorBidi" w:cstheme="majorBidi"/>
          <w:sz w:val="24"/>
          <w:szCs w:val="24"/>
          <w:lang w:val="da-DK"/>
        </w:rPr>
      </w:pPr>
    </w:p>
    <w:p w14:paraId="02E5B095"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Interaktion</w:t>
      </w:r>
      <w:r w:rsidRPr="001007BC">
        <w:rPr>
          <w:rFonts w:asciiTheme="majorBidi" w:hAnsiTheme="majorBidi" w:cstheme="majorBidi"/>
          <w:spacing w:val="-10"/>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9"/>
          <w:sz w:val="24"/>
          <w:szCs w:val="24"/>
          <w:u w:val="single"/>
          <w:lang w:val="da-DK"/>
        </w:rPr>
        <w:t xml:space="preserve"> </w:t>
      </w:r>
      <w:r w:rsidRPr="001007BC">
        <w:rPr>
          <w:rFonts w:asciiTheme="majorBidi" w:hAnsiTheme="majorBidi" w:cstheme="majorBidi"/>
          <w:sz w:val="24"/>
          <w:szCs w:val="24"/>
          <w:u w:val="single"/>
          <w:lang w:val="da-DK"/>
        </w:rPr>
        <w:t>P-gp-</w:t>
      </w:r>
      <w:r w:rsidRPr="001007BC">
        <w:rPr>
          <w:rFonts w:asciiTheme="majorBidi" w:hAnsiTheme="majorBidi" w:cstheme="majorBidi"/>
          <w:spacing w:val="-2"/>
          <w:sz w:val="24"/>
          <w:szCs w:val="24"/>
          <w:u w:val="single"/>
          <w:lang w:val="da-DK"/>
        </w:rPr>
        <w:t>induktorer</w:t>
      </w:r>
    </w:p>
    <w:p w14:paraId="52824EBE"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Plasmakoncentrationen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dabigatran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forventes</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at</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falde</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ved</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samtidig</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administration</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med P-gp-induktorer og bør derfor undgås (se pkt. 4.5 og 5.2).</w:t>
      </w:r>
    </w:p>
    <w:p w14:paraId="6C13AA2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4972D5C2"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2"/>
          <w:sz w:val="24"/>
          <w:szCs w:val="24"/>
          <w:u w:val="single"/>
          <w:lang w:val="da-DK"/>
        </w:rPr>
        <w:t>antifosfolipidsyndrom</w:t>
      </w:r>
    </w:p>
    <w:p w14:paraId="10B7633D"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Direkte virkende orale antikoagulantia (DOAK), herunder dabigatranetexilat, anbefales ikke til patienter med tidligere trombose, som er diagnosticerede med antifosfolipidsyndrom. Navnlig for 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tredobbelt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positive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lupus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antikoagulans,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anticardiolipin-antistoffer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anti</w:t>
      </w:r>
      <w:r w:rsidRPr="001007BC">
        <w:rPr>
          <w:rFonts w:asciiTheme="majorBidi" w:hAnsiTheme="majorBidi" w:cstheme="majorBidi"/>
          <w:sz w:val="24"/>
          <w:szCs w:val="24"/>
          <w:lang w:val="da-DK"/>
        </w:rPr>
        <w:noBreakHyphen/>
        <w:t>beta</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2</w:t>
      </w:r>
      <w:r w:rsidRPr="001007BC">
        <w:rPr>
          <w:rFonts w:asciiTheme="majorBidi" w:hAnsiTheme="majorBidi" w:cstheme="majorBidi"/>
          <w:sz w:val="24"/>
          <w:szCs w:val="24"/>
          <w:lang w:val="da-DK"/>
        </w:rPr>
        <w:noBreakHyphen/>
        <w:t>glykoprotein I</w:t>
      </w:r>
      <w:r w:rsidRPr="001007BC">
        <w:rPr>
          <w:rFonts w:asciiTheme="majorBidi" w:hAnsiTheme="majorBidi" w:cstheme="majorBidi"/>
          <w:sz w:val="24"/>
          <w:szCs w:val="24"/>
          <w:lang w:val="da-DK"/>
        </w:rPr>
        <w:noBreakHyphen/>
        <w:t>antistoffer), kan behandling med DOAK være forbundet med øget forekomst af recidiverende trombotiske hændelser i forhold til behandling med vitamin-K-antagonister.</w:t>
      </w:r>
    </w:p>
    <w:p w14:paraId="6666CD49"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0DE5738"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pacing w:val="-2"/>
          <w:sz w:val="24"/>
          <w:szCs w:val="24"/>
          <w:u w:val="single"/>
          <w:lang w:val="da-DK"/>
        </w:rPr>
        <w:t>Myokardieinfarkt</w:t>
      </w:r>
      <w:r w:rsidRPr="001007BC">
        <w:rPr>
          <w:rFonts w:asciiTheme="majorBidi" w:hAnsiTheme="majorBidi" w:cstheme="majorBidi"/>
          <w:spacing w:val="16"/>
          <w:sz w:val="24"/>
          <w:szCs w:val="24"/>
          <w:u w:val="single"/>
          <w:lang w:val="da-DK"/>
        </w:rPr>
        <w:t xml:space="preserve"> </w:t>
      </w:r>
      <w:r w:rsidRPr="001007BC">
        <w:rPr>
          <w:rFonts w:asciiTheme="majorBidi" w:hAnsiTheme="majorBidi" w:cstheme="majorBidi"/>
          <w:spacing w:val="-4"/>
          <w:sz w:val="24"/>
          <w:szCs w:val="24"/>
          <w:u w:val="single"/>
          <w:lang w:val="da-DK"/>
        </w:rPr>
        <w:t>(MI)</w:t>
      </w:r>
    </w:p>
    <w:p w14:paraId="6099F922"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fase</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III</w:t>
      </w:r>
      <w:r w:rsidRPr="001007BC">
        <w:rPr>
          <w:rFonts w:asciiTheme="majorBidi" w:hAnsiTheme="majorBidi" w:cstheme="majorBidi"/>
          <w:sz w:val="24"/>
          <w:szCs w:val="24"/>
          <w:lang w:val="da-DK"/>
        </w:rPr>
        <w:noBreakHyphen/>
        <w:t>studiet</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RE-LY</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(SPAF,</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se</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pkt.</w:t>
      </w:r>
      <w:r w:rsidRPr="001007BC">
        <w:rPr>
          <w:rFonts w:asciiTheme="majorBidi" w:hAnsiTheme="majorBidi" w:cstheme="majorBidi"/>
          <w:spacing w:val="-1"/>
          <w:sz w:val="24"/>
          <w:szCs w:val="24"/>
          <w:lang w:val="da-DK"/>
        </w:rPr>
        <w:t> </w:t>
      </w:r>
      <w:r w:rsidRPr="001007BC">
        <w:rPr>
          <w:rFonts w:asciiTheme="majorBidi" w:hAnsiTheme="majorBidi" w:cstheme="majorBidi"/>
          <w:sz w:val="24"/>
          <w:szCs w:val="24"/>
          <w:lang w:val="da-DK"/>
        </w:rPr>
        <w:t>5.1)</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risikoen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MI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overordnet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0,82,</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0,81</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0,64</w:t>
      </w:r>
      <w:r w:rsidRPr="001007BC">
        <w:rPr>
          <w:rFonts w:asciiTheme="majorBidi" w:hAnsiTheme="majorBidi" w:cstheme="majorBidi"/>
          <w:spacing w:val="-2"/>
          <w:sz w:val="24"/>
          <w:szCs w:val="24"/>
          <w:lang w:val="da-DK"/>
        </w:rPr>
        <w:t> </w:t>
      </w:r>
      <w:r w:rsidRPr="001007BC">
        <w:rPr>
          <w:rFonts w:asciiTheme="majorBidi" w:hAnsiTheme="majorBidi" w:cstheme="majorBidi"/>
          <w:sz w:val="24"/>
          <w:szCs w:val="24"/>
          <w:lang w:val="da-DK"/>
        </w:rPr>
        <w: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pr.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w:t>
      </w:r>
      <w:r w:rsidRPr="001007BC">
        <w:rPr>
          <w:rFonts w:asciiTheme="majorBidi" w:hAnsiTheme="majorBidi" w:cstheme="majorBidi"/>
          <w:spacing w:val="-1"/>
          <w:sz w:val="24"/>
          <w:szCs w:val="24"/>
          <w:lang w:val="da-DK"/>
        </w:rPr>
        <w:t xml:space="preserve"> </w:t>
      </w:r>
      <w:r w:rsidRPr="001007BC">
        <w:rPr>
          <w:rFonts w:asciiTheme="majorBidi" w:hAnsiTheme="majorBidi" w:cstheme="majorBidi"/>
          <w:sz w:val="24"/>
          <w:szCs w:val="24"/>
          <w:lang w:val="da-DK"/>
        </w:rPr>
        <w:t>≥ 65 år med enten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diabetes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eller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koronararteriesygdom,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venstre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ventrikel</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uddrivningsfraktion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&lt;</w:t>
      </w:r>
      <w:r w:rsidRPr="001007BC">
        <w:rPr>
          <w:rFonts w:asciiTheme="majorBidi" w:hAnsiTheme="majorBidi" w:cstheme="majorBidi"/>
          <w:spacing w:val="-3"/>
          <w:sz w:val="24"/>
          <w:szCs w:val="24"/>
          <w:lang w:val="da-DK"/>
        </w:rPr>
        <w:t> </w:t>
      </w:r>
      <w:r w:rsidRPr="001007BC">
        <w:rPr>
          <w:rFonts w:asciiTheme="majorBidi" w:hAnsiTheme="majorBidi" w:cstheme="majorBidi"/>
          <w:sz w:val="24"/>
          <w:szCs w:val="24"/>
          <w:lang w:val="da-DK"/>
        </w:rPr>
        <w:t>40</w:t>
      </w:r>
      <w:r w:rsidRPr="001007BC">
        <w:rPr>
          <w:rFonts w:asciiTheme="majorBidi" w:hAnsiTheme="majorBidi" w:cstheme="majorBidi"/>
          <w:spacing w:val="-5"/>
          <w:sz w:val="24"/>
          <w:szCs w:val="24"/>
          <w:lang w:val="da-DK"/>
        </w:rPr>
        <w:t> </w:t>
      </w:r>
      <w:r w:rsidRPr="001007BC">
        <w:rPr>
          <w:rFonts w:asciiTheme="majorBidi" w:hAnsiTheme="majorBidi" w:cstheme="majorBidi"/>
          <w:sz w:val="24"/>
          <w:szCs w:val="24"/>
          <w:lang w:val="da-DK"/>
        </w:rPr>
        <w:t>% og patienter med moderat nedsat nyrefunktion. Hos patienter i samtidig behandling med ASA plus clopidogrel eller clopidogrel alene blev desuden set en højere risiko for myokardieinfarkt.</w:t>
      </w:r>
    </w:p>
    <w:p w14:paraId="0DF7722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68E24197"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I de 3 aktivt-kontrollerede DVT/LE fase III</w:t>
      </w:r>
      <w:r w:rsidRPr="001007BC">
        <w:rPr>
          <w:rFonts w:asciiTheme="majorBidi" w:hAnsiTheme="majorBidi" w:cstheme="majorBidi"/>
          <w:sz w:val="24"/>
          <w:szCs w:val="24"/>
          <w:lang w:val="da-DK"/>
        </w:rPr>
        <w:noBreakHyphen/>
        <w:t>studier blev der rapporteret en højere frekvens af MI hos patienter,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fik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end</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hos</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dem,</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fik</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warfarin;</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to</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korterevarende</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studier</w:t>
      </w:r>
      <w:r w:rsidRPr="001007BC">
        <w:rPr>
          <w:rFonts w:asciiTheme="majorBidi" w:hAnsiTheme="majorBidi" w:cstheme="majorBidi"/>
          <w:spacing w:val="-2"/>
          <w:sz w:val="24"/>
          <w:szCs w:val="24"/>
          <w:lang w:val="da-DK"/>
        </w:rPr>
        <w:t xml:space="preserve"> </w:t>
      </w:r>
      <w:r w:rsidRPr="001007BC">
        <w:rPr>
          <w:rFonts w:asciiTheme="majorBidi" w:hAnsiTheme="majorBidi" w:cstheme="majorBidi"/>
          <w:sz w:val="24"/>
          <w:szCs w:val="24"/>
          <w:lang w:val="da-DK"/>
        </w:rPr>
        <w:t>RE</w:t>
      </w:r>
      <w:r w:rsidRPr="001007BC">
        <w:rPr>
          <w:rFonts w:asciiTheme="majorBidi" w:hAnsiTheme="majorBidi" w:cstheme="majorBidi"/>
          <w:sz w:val="24"/>
          <w:szCs w:val="24"/>
          <w:lang w:val="da-DK"/>
        </w:rPr>
        <w:noBreakHyphen/>
        <w:t>COVER og RE</w:t>
      </w:r>
      <w:r w:rsidRPr="001007BC">
        <w:rPr>
          <w:rFonts w:asciiTheme="majorBidi" w:hAnsiTheme="majorBidi" w:cstheme="majorBidi"/>
          <w:sz w:val="24"/>
          <w:szCs w:val="24"/>
          <w:lang w:val="da-DK"/>
        </w:rPr>
        <w:noBreakHyphen/>
        <w:t xml:space="preserve">COVER II henholdsvis 0,4 % </w:t>
      </w:r>
      <w:r w:rsidRPr="001007BC">
        <w:rPr>
          <w:rFonts w:asciiTheme="majorBidi" w:hAnsiTheme="majorBidi" w:cstheme="majorBidi"/>
          <w:i/>
          <w:sz w:val="24"/>
          <w:szCs w:val="24"/>
          <w:lang w:val="da-DK"/>
        </w:rPr>
        <w:t>vs</w:t>
      </w:r>
      <w:r w:rsidRPr="001007BC">
        <w:rPr>
          <w:rFonts w:asciiTheme="majorBidi" w:hAnsiTheme="majorBidi" w:cstheme="majorBidi"/>
          <w:sz w:val="24"/>
          <w:szCs w:val="24"/>
          <w:lang w:val="da-DK"/>
        </w:rPr>
        <w:t>. 0,2 % og i det længerevarende RE</w:t>
      </w:r>
      <w:r w:rsidRPr="001007BC">
        <w:rPr>
          <w:rFonts w:asciiTheme="majorBidi" w:hAnsiTheme="majorBidi" w:cstheme="majorBidi"/>
          <w:sz w:val="24"/>
          <w:szCs w:val="24"/>
          <w:lang w:val="da-DK"/>
        </w:rPr>
        <w:noBreakHyphen/>
        <w:t xml:space="preserve">MEDY-studie 0,8 % </w:t>
      </w:r>
      <w:r w:rsidRPr="001007BC">
        <w:rPr>
          <w:rFonts w:asciiTheme="majorBidi" w:hAnsiTheme="majorBidi" w:cstheme="majorBidi"/>
          <w:i/>
          <w:sz w:val="24"/>
          <w:szCs w:val="24"/>
          <w:lang w:val="da-DK"/>
        </w:rPr>
        <w:t>vs</w:t>
      </w:r>
      <w:r w:rsidRPr="001007BC">
        <w:rPr>
          <w:rFonts w:asciiTheme="majorBidi" w:hAnsiTheme="majorBidi" w:cstheme="majorBidi"/>
          <w:sz w:val="24"/>
          <w:szCs w:val="24"/>
          <w:lang w:val="da-DK"/>
        </w:rPr>
        <w:t>. 0,1 %. Stigningen var statistisk signifikant i sidstnævnte studie (p = 0,022).</w:t>
      </w:r>
    </w:p>
    <w:p w14:paraId="4AFB2362"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F89452A"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lastRenderedPageBreak/>
        <w:t>I</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RE</w:t>
      </w:r>
      <w:r w:rsidRPr="001007BC">
        <w:rPr>
          <w:rFonts w:asciiTheme="majorBidi" w:hAnsiTheme="majorBidi" w:cstheme="majorBidi"/>
          <w:sz w:val="24"/>
          <w:szCs w:val="24"/>
          <w:lang w:val="da-DK"/>
        </w:rPr>
        <w:noBreakHyphen/>
        <w:t>SONATE-studiet,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sammenlignede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dabigatranetexilat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placebo,</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var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frekvensen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af</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MI 0,1 % for patienter i dabigatranetexilat-armen og 0,2 % for patienter i placebo-armen.</w:t>
      </w:r>
    </w:p>
    <w:p w14:paraId="702F1893" w14:textId="77777777" w:rsidR="00886871" w:rsidRPr="001007BC" w:rsidRDefault="00886871" w:rsidP="001007BC">
      <w:pPr>
        <w:pStyle w:val="Brdtekst"/>
        <w:widowControl/>
        <w:ind w:left="851"/>
        <w:rPr>
          <w:rFonts w:asciiTheme="majorBidi" w:hAnsiTheme="majorBidi" w:cstheme="majorBidi"/>
          <w:sz w:val="24"/>
          <w:szCs w:val="24"/>
          <w:lang w:val="da-DK"/>
        </w:rPr>
      </w:pPr>
    </w:p>
    <w:p w14:paraId="59CEA1B5"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Patienter</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med</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aktiv</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z w:val="24"/>
          <w:szCs w:val="24"/>
          <w:u w:val="single"/>
          <w:lang w:val="da-DK"/>
        </w:rPr>
        <w:t>kræft</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(DVT/LE,</w:t>
      </w:r>
      <w:r w:rsidRPr="001007BC">
        <w:rPr>
          <w:rFonts w:asciiTheme="majorBidi" w:hAnsiTheme="majorBidi" w:cstheme="majorBidi"/>
          <w:spacing w:val="-7"/>
          <w:sz w:val="24"/>
          <w:szCs w:val="24"/>
          <w:u w:val="single"/>
          <w:lang w:val="da-DK"/>
        </w:rPr>
        <w:t xml:space="preserve"> </w:t>
      </w:r>
      <w:r w:rsidRPr="001007BC">
        <w:rPr>
          <w:rFonts w:asciiTheme="majorBidi" w:hAnsiTheme="majorBidi" w:cstheme="majorBidi"/>
          <w:sz w:val="24"/>
          <w:szCs w:val="24"/>
          <w:u w:val="single"/>
          <w:lang w:val="da-DK"/>
        </w:rPr>
        <w:t>pædiatrisk</w:t>
      </w:r>
      <w:r w:rsidRPr="001007BC">
        <w:rPr>
          <w:rFonts w:asciiTheme="majorBidi" w:hAnsiTheme="majorBidi" w:cstheme="majorBidi"/>
          <w:spacing w:val="-6"/>
          <w:sz w:val="24"/>
          <w:szCs w:val="24"/>
          <w:u w:val="single"/>
          <w:lang w:val="da-DK"/>
        </w:rPr>
        <w:t xml:space="preserve"> </w:t>
      </w:r>
      <w:r w:rsidRPr="001007BC">
        <w:rPr>
          <w:rFonts w:asciiTheme="majorBidi" w:hAnsiTheme="majorBidi" w:cstheme="majorBidi"/>
          <w:spacing w:val="-4"/>
          <w:sz w:val="24"/>
          <w:szCs w:val="24"/>
          <w:u w:val="single"/>
          <w:lang w:val="da-DK"/>
        </w:rPr>
        <w:t>VTE)</w:t>
      </w:r>
    </w:p>
    <w:p w14:paraId="18846234"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Virkning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og</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sikkerhed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klarlagt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DVT/LE-patienter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aktiv</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kræft.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begrænsede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data for virkning og sikkerhed for pædiatriske patienter med aktiv kræft.</w:t>
      </w:r>
    </w:p>
    <w:p w14:paraId="29B810BA" w14:textId="77777777" w:rsidR="00886871" w:rsidRPr="001007BC" w:rsidRDefault="00886871" w:rsidP="001007BC">
      <w:pPr>
        <w:pStyle w:val="Brdtekst"/>
        <w:widowControl/>
        <w:ind w:left="851"/>
        <w:rPr>
          <w:rFonts w:asciiTheme="majorBidi" w:hAnsiTheme="majorBidi" w:cstheme="majorBidi"/>
          <w:sz w:val="24"/>
          <w:szCs w:val="24"/>
          <w:lang w:val="da-DK"/>
        </w:rPr>
      </w:pPr>
    </w:p>
    <w:p w14:paraId="15666D04" w14:textId="77777777" w:rsidR="00886871" w:rsidRPr="001007BC" w:rsidRDefault="00886871" w:rsidP="001007BC">
      <w:pPr>
        <w:pStyle w:val="Brdtekst"/>
        <w:keepNext/>
        <w:keepLines/>
        <w:widowControl/>
        <w:ind w:left="851"/>
        <w:rPr>
          <w:rFonts w:asciiTheme="majorBidi" w:hAnsiTheme="majorBidi" w:cstheme="majorBidi"/>
          <w:sz w:val="24"/>
          <w:szCs w:val="24"/>
          <w:lang w:val="da-DK"/>
        </w:rPr>
      </w:pPr>
      <w:r w:rsidRPr="001007BC">
        <w:rPr>
          <w:rFonts w:asciiTheme="majorBidi" w:hAnsiTheme="majorBidi" w:cstheme="majorBidi"/>
          <w:sz w:val="24"/>
          <w:szCs w:val="24"/>
          <w:u w:val="single"/>
          <w:lang w:val="da-DK"/>
        </w:rPr>
        <w:t>Pædiatrisk</w:t>
      </w:r>
      <w:r w:rsidRPr="001007BC">
        <w:rPr>
          <w:rFonts w:asciiTheme="majorBidi" w:hAnsiTheme="majorBidi" w:cstheme="majorBidi"/>
          <w:spacing w:val="-10"/>
          <w:sz w:val="24"/>
          <w:szCs w:val="24"/>
          <w:u w:val="single"/>
          <w:lang w:val="da-DK"/>
        </w:rPr>
        <w:t xml:space="preserve"> </w:t>
      </w:r>
      <w:r w:rsidRPr="001007BC">
        <w:rPr>
          <w:rFonts w:asciiTheme="majorBidi" w:hAnsiTheme="majorBidi" w:cstheme="majorBidi"/>
          <w:spacing w:val="-2"/>
          <w:sz w:val="24"/>
          <w:szCs w:val="24"/>
          <w:u w:val="single"/>
          <w:lang w:val="da-DK"/>
        </w:rPr>
        <w:t>population</w:t>
      </w:r>
    </w:p>
    <w:p w14:paraId="26E130C1" w14:textId="77777777" w:rsidR="00886871" w:rsidRPr="001007BC" w:rsidRDefault="00886871" w:rsidP="001007BC">
      <w:pPr>
        <w:pStyle w:val="Brdtekst"/>
        <w:widowControl/>
        <w:ind w:left="851"/>
        <w:rPr>
          <w:rFonts w:asciiTheme="majorBidi" w:hAnsiTheme="majorBidi" w:cstheme="majorBidi"/>
          <w:sz w:val="24"/>
          <w:szCs w:val="24"/>
          <w:lang w:val="da-DK"/>
        </w:rPr>
      </w:pPr>
      <w:r w:rsidRPr="001007BC">
        <w:rPr>
          <w:rFonts w:asciiTheme="majorBidi" w:hAnsiTheme="majorBidi" w:cstheme="majorBidi"/>
          <w:sz w:val="24"/>
          <w:szCs w:val="24"/>
          <w:lang w:val="da-DK"/>
        </w:rPr>
        <w:t>For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nogle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meget</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specifikke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pædiatriske</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f.eks.</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patienter</w:t>
      </w:r>
      <w:r w:rsidRPr="001007BC">
        <w:rPr>
          <w:rFonts w:asciiTheme="majorBidi" w:hAnsiTheme="majorBidi" w:cstheme="majorBidi"/>
          <w:spacing w:val="-4"/>
          <w:sz w:val="24"/>
          <w:szCs w:val="24"/>
          <w:lang w:val="da-DK"/>
        </w:rPr>
        <w:t xml:space="preserve"> </w:t>
      </w:r>
      <w:r w:rsidRPr="001007BC">
        <w:rPr>
          <w:rFonts w:asciiTheme="majorBidi" w:hAnsiTheme="majorBidi" w:cstheme="majorBidi"/>
          <w:sz w:val="24"/>
          <w:szCs w:val="24"/>
          <w:lang w:val="da-DK"/>
        </w:rPr>
        <w:t>med</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sygdom</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i</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tyndtarmen,</w:t>
      </w:r>
      <w:r w:rsidRPr="001007BC">
        <w:rPr>
          <w:rFonts w:asciiTheme="majorBidi" w:hAnsiTheme="majorBidi" w:cstheme="majorBidi"/>
          <w:spacing w:val="-3"/>
          <w:sz w:val="24"/>
          <w:szCs w:val="24"/>
          <w:lang w:val="da-DK"/>
        </w:rPr>
        <w:t xml:space="preserve"> </w:t>
      </w:r>
      <w:r w:rsidRPr="001007BC">
        <w:rPr>
          <w:rFonts w:asciiTheme="majorBidi" w:hAnsiTheme="majorBidi" w:cstheme="majorBidi"/>
          <w:sz w:val="24"/>
          <w:szCs w:val="24"/>
          <w:lang w:val="da-DK"/>
        </w:rPr>
        <w:t>hvor absorptionen kan være påvirket, skal det overvejes at anvende et antikoagulerende middel, der administreres parenteralt.</w:t>
      </w:r>
    </w:p>
    <w:p w14:paraId="7BABFFC2" w14:textId="77777777" w:rsidR="009260DE" w:rsidRPr="001007BC" w:rsidRDefault="009260DE" w:rsidP="001007BC">
      <w:pPr>
        <w:tabs>
          <w:tab w:val="left" w:pos="851"/>
        </w:tabs>
        <w:ind w:left="851"/>
        <w:rPr>
          <w:sz w:val="24"/>
          <w:szCs w:val="24"/>
        </w:rPr>
      </w:pPr>
    </w:p>
    <w:p w14:paraId="107FB0D0" w14:textId="77777777" w:rsidR="009260DE" w:rsidRPr="00C84483" w:rsidRDefault="009260DE" w:rsidP="00146E5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7909D18" w14:textId="77777777" w:rsidR="00A91888" w:rsidRDefault="00A91888" w:rsidP="00A91888">
      <w:pPr>
        <w:pStyle w:val="Brdtekst"/>
        <w:keepNext/>
        <w:keepLines/>
        <w:widowControl/>
        <w:ind w:left="851"/>
        <w:rPr>
          <w:rFonts w:asciiTheme="majorBidi" w:hAnsiTheme="majorBidi" w:cstheme="majorBidi"/>
          <w:spacing w:val="-2"/>
          <w:sz w:val="24"/>
          <w:szCs w:val="24"/>
          <w:u w:val="single"/>
          <w:lang w:val="da-DK"/>
        </w:rPr>
      </w:pPr>
    </w:p>
    <w:p w14:paraId="29221C24" w14:textId="35444826"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pacing w:val="-2"/>
          <w:sz w:val="24"/>
          <w:szCs w:val="24"/>
          <w:u w:val="single"/>
          <w:lang w:val="da-DK"/>
        </w:rPr>
        <w:t>Transporter-interaktioner</w:t>
      </w:r>
    </w:p>
    <w:p w14:paraId="7F28E836" w14:textId="74C775C4"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Dabigatranetexilat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substrat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efflukstransporteren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P-gp.</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Samtidig</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af</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 xml:space="preserve">P-gp- inhibitorer (se tabel </w:t>
      </w:r>
      <w:r w:rsidR="00322A8A">
        <w:rPr>
          <w:rFonts w:asciiTheme="majorBidi" w:hAnsiTheme="majorBidi" w:cstheme="majorBidi"/>
          <w:sz w:val="24"/>
          <w:szCs w:val="24"/>
          <w:lang w:val="da-DK"/>
        </w:rPr>
        <w:t>8</w:t>
      </w:r>
      <w:r w:rsidRPr="00A91888">
        <w:rPr>
          <w:rFonts w:asciiTheme="majorBidi" w:hAnsiTheme="majorBidi" w:cstheme="majorBidi"/>
          <w:sz w:val="24"/>
          <w:szCs w:val="24"/>
          <w:lang w:val="da-DK"/>
        </w:rPr>
        <w:t>) forventes at resultere i en øget dabigatran plasmakoncentration.</w:t>
      </w:r>
    </w:p>
    <w:p w14:paraId="5F61581A" w14:textId="77777777" w:rsidR="00886871" w:rsidRPr="00A91888" w:rsidRDefault="00886871" w:rsidP="00A91888">
      <w:pPr>
        <w:pStyle w:val="Brdtekst"/>
        <w:widowControl/>
        <w:ind w:left="851"/>
        <w:rPr>
          <w:rFonts w:asciiTheme="majorBidi" w:hAnsiTheme="majorBidi" w:cstheme="majorBidi"/>
          <w:sz w:val="24"/>
          <w:szCs w:val="24"/>
          <w:lang w:val="da-DK"/>
        </w:rPr>
      </w:pPr>
    </w:p>
    <w:p w14:paraId="347DBA48"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Hvis</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ikke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andet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udtrykkeligt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beskrevet,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tæt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klinisk</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overvågning</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(nøje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observation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tegn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på blødning eller anæmi) nødvendig, når dabigatran gives samtidig med stærke P-gp-inhibitorer.</w:t>
      </w:r>
    </w:p>
    <w:p w14:paraId="56603804"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Dosisreduktioner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kan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være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nødvendige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kombination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med</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nogle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P-gp-inhibitorer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3"/>
          <w:sz w:val="24"/>
          <w:szCs w:val="24"/>
          <w:lang w:val="da-DK"/>
        </w:rPr>
        <w:t> </w:t>
      </w:r>
      <w:r w:rsidRPr="00A91888">
        <w:rPr>
          <w:rFonts w:asciiTheme="majorBidi" w:hAnsiTheme="majorBidi" w:cstheme="majorBidi"/>
          <w:sz w:val="24"/>
          <w:szCs w:val="24"/>
          <w:lang w:val="da-DK"/>
        </w:rPr>
        <w:t>4.2,</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4.3,</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4.4 og 5.1).</w:t>
      </w:r>
    </w:p>
    <w:p w14:paraId="4451E5D1" w14:textId="77777777" w:rsidR="00886871" w:rsidRPr="00A91888" w:rsidRDefault="00886871" w:rsidP="00A91888">
      <w:pPr>
        <w:pStyle w:val="Brdtekst"/>
        <w:widowControl/>
        <w:ind w:left="851"/>
        <w:rPr>
          <w:rFonts w:asciiTheme="majorBidi" w:hAnsiTheme="majorBidi" w:cstheme="majorBidi"/>
          <w:sz w:val="24"/>
          <w:szCs w:val="24"/>
          <w:lang w:val="da-DK"/>
        </w:rPr>
      </w:pPr>
    </w:p>
    <w:p w14:paraId="14EA6024" w14:textId="00E01446" w:rsidR="00886871" w:rsidRDefault="00886871" w:rsidP="00146E50">
      <w:pPr>
        <w:pStyle w:val="Overskrift2"/>
        <w:keepNext/>
        <w:keepLines/>
        <w:widowControl/>
        <w:tabs>
          <w:tab w:val="left" w:pos="1249"/>
        </w:tabs>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sidR="00322A8A">
        <w:rPr>
          <w:rFonts w:asciiTheme="majorBidi" w:hAnsiTheme="majorBidi" w:cstheme="majorBidi"/>
          <w:spacing w:val="-5"/>
          <w:lang w:val="da-DK"/>
        </w:rPr>
        <w:t>8</w:t>
      </w:r>
      <w:r>
        <w:rPr>
          <w:rFonts w:asciiTheme="majorBidi" w:hAnsiTheme="majorBidi" w:cstheme="majorBidi"/>
          <w:spacing w:val="-5"/>
          <w:lang w:val="da-DK"/>
        </w:rPr>
        <w:t>:</w:t>
      </w:r>
      <w:r>
        <w:rPr>
          <w:rFonts w:asciiTheme="majorBidi" w:hAnsiTheme="majorBidi" w:cstheme="majorBidi"/>
          <w:lang w:val="da-DK"/>
        </w:rPr>
        <w:tab/>
      </w:r>
      <w:r>
        <w:rPr>
          <w:rFonts w:asciiTheme="majorBidi" w:hAnsiTheme="majorBidi" w:cstheme="majorBidi"/>
          <w:spacing w:val="-2"/>
          <w:lang w:val="da-DK"/>
        </w:rPr>
        <w:t>Transporter-interaktioner</w:t>
      </w:r>
    </w:p>
    <w:p w14:paraId="7E76F70D"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8"/>
        <w:gridCol w:w="49"/>
        <w:gridCol w:w="6898"/>
      </w:tblGrid>
      <w:tr w:rsidR="00886871" w14:paraId="113044B5"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4F0B3D8" w14:textId="77777777" w:rsidR="00886871" w:rsidRDefault="00886871" w:rsidP="00146E50">
            <w:pPr>
              <w:pStyle w:val="TableParagraph"/>
              <w:keepNext/>
              <w:keepLines/>
              <w:widowControl/>
              <w:spacing w:line="240" w:lineRule="auto"/>
              <w:ind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P-gp-inhibitorer</w:t>
            </w:r>
          </w:p>
        </w:tc>
      </w:tr>
      <w:tr w:rsidR="00886871" w14:paraId="3E325D08"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03C88210" w14:textId="77777777" w:rsidR="00886871" w:rsidRDefault="00886871" w:rsidP="00146E50">
            <w:pPr>
              <w:pStyle w:val="TableParagraph"/>
              <w:keepNext/>
              <w:keepLines/>
              <w:widowControl/>
              <w:spacing w:line="240" w:lineRule="auto"/>
              <w:ind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9"/>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kontraindiceret</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8"/>
                <w:kern w:val="2"/>
                <w:lang w:val="da-DK"/>
                <w14:ligatures w14:val="standardContextual"/>
              </w:rPr>
              <w:t> </w:t>
            </w:r>
            <w:r>
              <w:rPr>
                <w:rFonts w:asciiTheme="majorBidi" w:hAnsiTheme="majorBidi" w:cstheme="majorBidi"/>
                <w:i/>
                <w:spacing w:val="-4"/>
                <w:kern w:val="2"/>
                <w:lang w:val="da-DK"/>
                <w14:ligatures w14:val="standardContextual"/>
              </w:rPr>
              <w:t>4.3)</w:t>
            </w:r>
          </w:p>
        </w:tc>
      </w:tr>
      <w:tr w:rsidR="00886871" w14:paraId="28F96668"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D27BEBE"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Ketoconazol</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8CD59C2"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Efter en enkelt oral ketoconazoldosis på 400 mg steg AUC</w:t>
            </w:r>
            <w:r>
              <w:rPr>
                <w:rFonts w:asciiTheme="majorBidi" w:hAnsiTheme="majorBidi" w:cstheme="majorBidi"/>
                <w:kern w:val="2"/>
                <w:lang w:val="da-DK"/>
                <w14:ligatures w14:val="standardContextual"/>
              </w:rPr>
              <w:t>0-∞</w:t>
            </w:r>
            <w:r>
              <w:rPr>
                <w:rFonts w:asciiTheme="majorBidi" w:hAnsiTheme="majorBidi" w:cstheme="majorBidi"/>
                <w:spacing w:val="30"/>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w:t>
            </w:r>
            <w:r>
              <w:rPr>
                <w:rFonts w:asciiTheme="majorBidi" w:hAnsiTheme="majorBidi" w:cstheme="majorBidi"/>
                <w:spacing w:val="31"/>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2,38</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gentagne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orale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doser 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ketoconazol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2,53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2,49</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gange.</w:t>
            </w:r>
          </w:p>
        </w:tc>
      </w:tr>
      <w:tr w:rsidR="00886871" w14:paraId="6064DE8D"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02DA721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Dronedaron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1157625A"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Ved samtidig behandling med dabigatranetexilat og dronedaron steg AUC</w:t>
            </w:r>
            <w:r>
              <w:rPr>
                <w:rFonts w:asciiTheme="majorBidi" w:hAnsiTheme="majorBidi" w:cstheme="majorBidi"/>
                <w:kern w:val="2"/>
                <w:lang w:val="da-DK"/>
                <w14:ligatures w14:val="standardContextual"/>
              </w:rPr>
              <w:t>0-∞</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2,4</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2,3</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efter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gentagen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dosering </w:t>
            </w:r>
            <w:r>
              <w:rPr>
                <w:rFonts w:asciiTheme="majorBidi" w:hAnsiTheme="majorBidi" w:cstheme="majorBidi"/>
                <w:kern w:val="2"/>
                <w:lang w:val="da-DK"/>
                <w14:ligatures w14:val="standardContextual"/>
              </w:rPr>
              <w:t>med 400 mg dronedaron to gange dagligt, og ca. 2,1 og 1,9 gange efter en enkelt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400 </w:t>
            </w:r>
            <w:r>
              <w:rPr>
                <w:rFonts w:asciiTheme="majorBidi" w:hAnsiTheme="majorBidi" w:cstheme="majorBidi"/>
                <w:spacing w:val="-5"/>
                <w:kern w:val="2"/>
                <w:lang w:val="da-DK"/>
                <w14:ligatures w14:val="standardContextual"/>
              </w:rPr>
              <w:t>mg.</w:t>
            </w:r>
          </w:p>
        </w:tc>
      </w:tr>
      <w:tr w:rsidR="00886871" w14:paraId="5ADE133C"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8BABF7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Itraconazol,</w:t>
            </w:r>
          </w:p>
          <w:p w14:paraId="4F50BFF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ciclosporin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7E1C20B"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Baseret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i/>
                <w:kern w:val="2"/>
                <w:lang w:val="da-DK"/>
                <w14:ligatures w14:val="standardContextual"/>
              </w:rPr>
              <w:t>in</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vitro</w:t>
            </w:r>
            <w:r>
              <w:rPr>
                <w:rFonts w:asciiTheme="majorBidi" w:hAnsiTheme="majorBidi" w:cstheme="majorBidi"/>
                <w:kern w:val="2"/>
                <w:lang w:val="da-DK"/>
                <w14:ligatures w14:val="standardContextual"/>
              </w:rPr>
              <w:t>-resultater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virkning,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svarer</w:t>
            </w:r>
            <w:r>
              <w:rPr>
                <w:rFonts w:asciiTheme="majorBidi" w:hAnsiTheme="majorBidi" w:cstheme="majorBidi"/>
                <w:spacing w:val="-5"/>
                <w:kern w:val="2"/>
                <w:lang w:val="da-DK"/>
                <w14:ligatures w14:val="standardContextual"/>
              </w:rPr>
              <w:t xml:space="preserve"> til </w:t>
            </w:r>
            <w:r>
              <w:rPr>
                <w:rFonts w:asciiTheme="majorBidi" w:hAnsiTheme="majorBidi" w:cstheme="majorBidi"/>
                <w:spacing w:val="-2"/>
                <w:kern w:val="2"/>
                <w:lang w:val="da-DK"/>
                <w14:ligatures w14:val="standardContextual"/>
              </w:rPr>
              <w:t>ketoconazols.</w:t>
            </w:r>
          </w:p>
        </w:tc>
      </w:tr>
      <w:tr w:rsidR="00886871" w14:paraId="59228184"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494CC9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Glecaprevir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pibrentasvir</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2B78ECD5"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anvendelse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fastdosiskombinationen</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5"/>
                <w:kern w:val="2"/>
                <w:lang w:val="da-DK"/>
                <w14:ligatures w14:val="standardContextual"/>
              </w:rPr>
              <w:t xml:space="preserve">af </w:t>
            </w:r>
            <w:r>
              <w:rPr>
                <w:rFonts w:asciiTheme="majorBidi" w:hAnsiTheme="majorBidi" w:cstheme="majorBidi"/>
                <w:kern w:val="2"/>
                <w:lang w:val="da-DK"/>
                <w14:ligatures w14:val="standardContextual"/>
              </w:rPr>
              <w:t>P</w:t>
            </w:r>
            <w:r>
              <w:rPr>
                <w:rFonts w:asciiTheme="majorBidi" w:hAnsiTheme="majorBidi" w:cstheme="majorBidi"/>
                <w:kern w:val="2"/>
                <w:lang w:val="da-DK"/>
                <w14:ligatures w14:val="standardContextual"/>
              </w:rPr>
              <w:noBreakHyphen/>
              <w:t>gp</w:t>
            </w:r>
            <w:r>
              <w:rPr>
                <w:rFonts w:asciiTheme="majorBidi" w:hAnsiTheme="majorBidi" w:cstheme="majorBidi"/>
                <w:kern w:val="2"/>
                <w:lang w:val="da-DK"/>
                <w14:ligatures w14:val="standardContextual"/>
              </w:rPr>
              <w:noBreakHyphen/>
              <w:t>hæmmerne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glecaprevir/pibrentasvir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 dabigatran, og kan øge blødningsrisikoen.</w:t>
            </w:r>
          </w:p>
        </w:tc>
      </w:tr>
      <w:tr w:rsidR="00886871" w14:paraId="05340169"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BCF9280"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886871" w14:paraId="66DBC179"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726C28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Tacrolimus</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500B2E4" w14:textId="77777777" w:rsidR="00886871" w:rsidRDefault="00886871" w:rsidP="00146E50">
            <w:pPr>
              <w:pStyle w:val="TableParagraph"/>
              <w:widowControl/>
              <w:spacing w:line="240" w:lineRule="auto"/>
              <w:ind w:left="82" w:right="113"/>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In vitro </w:t>
            </w:r>
            <w:r>
              <w:rPr>
                <w:rFonts w:asciiTheme="majorBidi" w:hAnsiTheme="majorBidi" w:cstheme="majorBidi"/>
                <w:kern w:val="2"/>
                <w:lang w:val="da-DK"/>
                <w14:ligatures w14:val="standardContextual"/>
              </w:rPr>
              <w:t>viser tacrolimus en hæmmende effekt på P-gp, som svarer til effekten af itraconazol og ciclosporin. Samtidig behandling med dabigatranetexilat og tacrolimus er ikke undersøgt klinisk. Dog antyder begrænsede kliniske data 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P-gp-substrat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(everolimus),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tacrolimus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hæmmer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mindre grad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end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2"/>
                <w:kern w:val="2"/>
                <w:lang w:val="da-DK"/>
                <w14:ligatures w14:val="standardContextual"/>
              </w:rPr>
              <w:t>inhibitorer.</w:t>
            </w:r>
          </w:p>
        </w:tc>
      </w:tr>
      <w:tr w:rsidR="00886871" w14:paraId="0FE3C2B2"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79A2756"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lastRenderedPageBreak/>
              <w:t>Forsigtighedsregler</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ved</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6"/>
                <w:kern w:val="2"/>
                <w:lang w:val="da-DK"/>
                <w14:ligatures w14:val="standardContextual"/>
              </w:rPr>
              <w:t> </w:t>
            </w:r>
            <w:r>
              <w:rPr>
                <w:rFonts w:asciiTheme="majorBidi" w:hAnsiTheme="majorBidi" w:cstheme="majorBidi"/>
                <w:i/>
                <w:kern w:val="2"/>
                <w:lang w:val="da-DK"/>
                <w14:ligatures w14:val="standardContextual"/>
              </w:rPr>
              <w:t>4.2</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og</w:t>
            </w:r>
            <w:r>
              <w:rPr>
                <w:rFonts w:asciiTheme="majorBidi" w:hAnsiTheme="majorBidi" w:cstheme="majorBidi"/>
                <w:i/>
                <w:spacing w:val="-6"/>
                <w:kern w:val="2"/>
                <w:lang w:val="da-DK"/>
                <w14:ligatures w14:val="standardContextual"/>
              </w:rPr>
              <w:t xml:space="preserve"> </w:t>
            </w:r>
            <w:r>
              <w:rPr>
                <w:rFonts w:asciiTheme="majorBidi" w:hAnsiTheme="majorBidi" w:cstheme="majorBidi"/>
                <w:i/>
                <w:spacing w:val="-4"/>
                <w:kern w:val="2"/>
                <w:lang w:val="da-DK"/>
                <w14:ligatures w14:val="standardContextual"/>
              </w:rPr>
              <w:t>4.4)</w:t>
            </w:r>
          </w:p>
        </w:tc>
      </w:tr>
      <w:tr w:rsidR="00886871" w14:paraId="1432A181"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FB0DFD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Verapamil</w:t>
            </w:r>
          </w:p>
        </w:tc>
        <w:tc>
          <w:tcPr>
            <w:tcW w:w="6945" w:type="dxa"/>
            <w:gridSpan w:val="2"/>
            <w:tcBorders>
              <w:top w:val="single" w:sz="4" w:space="0" w:color="000000"/>
              <w:left w:val="single" w:sz="4" w:space="0" w:color="000000"/>
              <w:bottom w:val="single" w:sz="4" w:space="0" w:color="000000"/>
              <w:right w:val="single" w:sz="4" w:space="0" w:color="000000"/>
            </w:tcBorders>
          </w:tcPr>
          <w:p w14:paraId="2F87DEEC"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AUC af dabigatran øgedes ved samtidig indtagelse af </w:t>
            </w:r>
            <w:r>
              <w:rPr>
                <w:rFonts w:asciiTheme="majorBidi" w:hAnsiTheme="majorBidi" w:cstheme="majorBidi"/>
                <w:kern w:val="2"/>
                <w:lang w:val="da-DK"/>
                <w14:ligatures w14:val="standardContextual"/>
              </w:rPr>
              <w:t>dabigatranetexilat (150 mg) og oral verapamil, men omfanget af denne ændring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afhænger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administrationstidspunktet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formuleringen (se pkt. 4.2 og 4.4).</w:t>
            </w:r>
          </w:p>
          <w:p w14:paraId="0A7FD6D5"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65616DB6"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Den største stigning i dabigatraneksponering sås ved første dosis af en verapamilformulering med umiddelbar frigivelse af det aktive stof, givet en </w:t>
            </w:r>
            <w:r>
              <w:rPr>
                <w:rFonts w:asciiTheme="majorBidi" w:hAnsiTheme="majorBidi" w:cstheme="majorBidi"/>
                <w:kern w:val="2"/>
                <w:position w:val="2"/>
                <w:lang w:val="da-DK"/>
                <w14:ligatures w14:val="standardContextual"/>
              </w:rPr>
              <w:t>time før dabigatranetexilat-indtagelse (stigning i C</w:t>
            </w:r>
            <w:r>
              <w:rPr>
                <w:rFonts w:asciiTheme="majorBidi" w:hAnsiTheme="majorBidi" w:cstheme="majorBidi"/>
                <w:kern w:val="2"/>
                <w:lang w:val="da-DK"/>
                <w14:ligatures w14:val="standardContextual"/>
              </w:rPr>
              <w:t>max</w:t>
            </w:r>
            <w:r>
              <w:rPr>
                <w:rFonts w:asciiTheme="majorBidi" w:hAnsiTheme="majorBidi" w:cstheme="majorBidi"/>
                <w:spacing w:val="25"/>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2,8 gange </w:t>
            </w:r>
            <w:r>
              <w:rPr>
                <w:rFonts w:asciiTheme="majorBidi" w:hAnsiTheme="majorBidi" w:cstheme="majorBidi"/>
                <w:kern w:val="2"/>
                <w:lang w:val="da-DK"/>
                <w14:ligatures w14:val="standardContextual"/>
              </w:rPr>
              <w:t>og i AUC med omkring 2,5 gange). Effekten blev progressivt mindsket ved 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verapamilformulering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forlænget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frigivelse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i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med omkring 1,9 gange og i AUC med omkring 1,7 gange) eller administration af flere doser verapamil (stigning i 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w:t>
            </w: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gange).</w:t>
            </w:r>
          </w:p>
          <w:p w14:paraId="65BAD221"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4B1C3539"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 timer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blev </w:t>
            </w:r>
            <w:r>
              <w:rPr>
                <w:rFonts w:asciiTheme="majorBidi" w:hAnsiTheme="majorBidi" w:cstheme="majorBidi"/>
                <w:kern w:val="2"/>
                <w:position w:val="2"/>
                <w:lang w:val="da-DK"/>
                <w14:ligatures w14:val="standardContextual"/>
              </w:rPr>
              <w:t>der ikke observeret nogen betydningsfuld interaktion (stigning i C</w:t>
            </w:r>
            <w:r>
              <w:rPr>
                <w:rFonts w:asciiTheme="majorBidi" w:hAnsiTheme="majorBidi" w:cstheme="majorBidi"/>
                <w:kern w:val="2"/>
                <w:lang w:val="da-DK"/>
                <w14:ligatures w14:val="standardContextual"/>
              </w:rPr>
              <w:t>max</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1,1</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Dette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forklares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 at absorptionen af dabigatran sker inden for 2 timer.</w:t>
            </w:r>
          </w:p>
        </w:tc>
      </w:tr>
      <w:tr w:rsidR="00886871" w14:paraId="1CCAEC76"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756A848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Amiodaron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126A8DB4" w14:textId="77777777" w:rsidR="00886871" w:rsidRDefault="00886871" w:rsidP="00146E50">
            <w:pPr>
              <w:pStyle w:val="TableParagraph"/>
              <w:widowControl/>
              <w:spacing w:line="240" w:lineRule="auto"/>
              <w:ind w:left="156"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Ved samtidig indtagelse af dabigatranetexilat og 600 mg amiodaron som enkeltdosis, forblev absorptionsgraden og absorptionshastigheden af </w:t>
            </w:r>
            <w:r>
              <w:rPr>
                <w:rFonts w:asciiTheme="majorBidi" w:hAnsiTheme="majorBidi" w:cstheme="majorBidi"/>
                <w:kern w:val="2"/>
                <w:position w:val="2"/>
                <w:lang w:val="da-DK"/>
                <w14:ligatures w14:val="standardContextual"/>
              </w:rPr>
              <w:t>amiodaron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dets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aktive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metabolit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praktisk</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taget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uændret.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lang w:val="da-DK"/>
                <w14:ligatures w14:val="standardContextual"/>
              </w:rPr>
              <w:t>for dabigatran var øget med hhv. ca. 1,6 gange og 1,5 gange. I lyset af den lange halveringstid for amiodaron kan en interaktion forekomme i flere uger efter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ophør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amiodaron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4.2</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4.4).</w:t>
            </w:r>
          </w:p>
        </w:tc>
      </w:tr>
      <w:tr w:rsidR="00886871" w14:paraId="69EEBAC7"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2FDE3BF1"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Quinidin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7BAE548E"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konsekutive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w:t>
            </w:r>
            <w:r>
              <w:rPr>
                <w:rFonts w:asciiTheme="majorBidi" w:hAnsiTheme="majorBidi" w:cstheme="majorBidi"/>
                <w:spacing w:val="-7"/>
                <w:kern w:val="2"/>
                <w:lang w:val="da-DK"/>
                <w14:ligatures w14:val="standardContextual"/>
              </w:rPr>
              <w:t> </w:t>
            </w:r>
            <w:r>
              <w:rPr>
                <w:rFonts w:asciiTheme="majorBidi" w:hAnsiTheme="majorBidi" w:cstheme="majorBidi"/>
                <w:spacing w:val="-10"/>
                <w:kern w:val="2"/>
                <w:lang w:val="da-DK"/>
                <w14:ligatures w14:val="standardContextual"/>
              </w:rPr>
              <w:t xml:space="preserve">3 </w:t>
            </w:r>
            <w:r>
              <w:rPr>
                <w:rFonts w:asciiTheme="majorBidi" w:hAnsiTheme="majorBidi" w:cstheme="majorBidi"/>
                <w:kern w:val="2"/>
                <w:lang w:val="da-DK"/>
                <w14:ligatures w14:val="standardContextual"/>
              </w:rPr>
              <w:t>enten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alene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quinidin,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doseret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200 mg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 xml:space="preserve">hver </w:t>
            </w:r>
            <w:r>
              <w:rPr>
                <w:rFonts w:asciiTheme="majorBidi" w:hAnsiTheme="majorBidi" w:cstheme="majorBidi"/>
                <w:kern w:val="2"/>
                <w:position w:val="2"/>
                <w:lang w:val="da-DK"/>
                <w14:ligatures w14:val="standardContextual"/>
              </w:rPr>
              <w:t>anden</w:t>
            </w:r>
            <w:r>
              <w:rPr>
                <w:rFonts w:asciiTheme="majorBidi" w:hAnsiTheme="majorBidi" w:cstheme="majorBidi"/>
                <w:spacing w:val="-7"/>
                <w:kern w:val="2"/>
                <w:position w:val="2"/>
                <w:lang w:val="da-DK"/>
                <w14:ligatures w14:val="standardContextual"/>
              </w:rPr>
              <w:t xml:space="preserve"> </w:t>
            </w:r>
            <w:r>
              <w:rPr>
                <w:rFonts w:asciiTheme="majorBidi" w:hAnsiTheme="majorBidi" w:cstheme="majorBidi"/>
                <w:kern w:val="2"/>
                <w:position w:val="2"/>
                <w:lang w:val="da-DK"/>
                <w14:ligatures w14:val="standardContextual"/>
              </w:rPr>
              <w:t>time</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op</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alt</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1.000 mg.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Ved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samtidig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administration</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steg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8"/>
                <w:kern w:val="2"/>
                <w:lang w:val="da-DK"/>
                <w14:ligatures w14:val="standardContextual"/>
              </w:rPr>
              <w:t xml:space="preserve"> </w:t>
            </w:r>
            <w:r>
              <w:rPr>
                <w:rFonts w:asciiTheme="majorBidi" w:hAnsiTheme="majorBidi" w:cstheme="majorBidi"/>
                <w:spacing w:val="-5"/>
                <w:kern w:val="2"/>
                <w:position w:val="2"/>
                <w:lang w:val="da-DK"/>
                <w14:ligatures w14:val="standardContextual"/>
              </w:rPr>
              <w:t xml:space="preserve">og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8"/>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gennemsnit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1,53</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1,56</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(se pkt. 4.2 og 4.4).</w:t>
            </w:r>
          </w:p>
        </w:tc>
      </w:tr>
      <w:tr w:rsidR="00886871" w14:paraId="79DFE884"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0680536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Clarithromycin</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040CCB4D"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frivillige,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observeret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 xml:space="preserve">omkring </w:t>
            </w:r>
            <w:r>
              <w:rPr>
                <w:rFonts w:asciiTheme="majorBidi" w:hAnsiTheme="majorBidi" w:cstheme="majorBidi"/>
                <w:kern w:val="2"/>
                <w:position w:val="2"/>
                <w:lang w:val="da-DK"/>
                <w14:ligatures w14:val="standardContextual"/>
              </w:rPr>
              <w:t>1,19</w:t>
            </w:r>
            <w:r>
              <w:rPr>
                <w:rFonts w:asciiTheme="majorBidi" w:hAnsiTheme="majorBidi" w:cstheme="majorBidi"/>
                <w:spacing w:val="-3"/>
                <w:kern w:val="2"/>
                <w:position w:val="2"/>
                <w:lang w:val="da-DK"/>
                <w14:ligatures w14:val="standardContextual"/>
              </w:rPr>
              <w:t>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1,15</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når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clarithromycin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(500 mg </w:t>
            </w:r>
            <w:r>
              <w:rPr>
                <w:rFonts w:asciiTheme="majorBidi" w:hAnsiTheme="majorBidi" w:cstheme="majorBidi"/>
                <w:kern w:val="2"/>
                <w:lang w:val="da-DK"/>
                <w14:ligatures w14:val="standardContextual"/>
              </w:rPr>
              <w:t>2 gange dagligt) blev givet sammen med dabigatranetexilat.</w:t>
            </w:r>
          </w:p>
        </w:tc>
      </w:tr>
      <w:tr w:rsidR="00886871" w14:paraId="1E6DB24C"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DE7FBDA"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Ticagrelor</w:t>
            </w:r>
          </w:p>
        </w:tc>
        <w:tc>
          <w:tcPr>
            <w:tcW w:w="6945" w:type="dxa"/>
            <w:gridSpan w:val="2"/>
            <w:tcBorders>
              <w:top w:val="single" w:sz="4" w:space="0" w:color="000000"/>
              <w:left w:val="single" w:sz="4" w:space="0" w:color="000000"/>
              <w:bottom w:val="single" w:sz="4" w:space="0" w:color="000000"/>
              <w:right w:val="single" w:sz="4" w:space="0" w:color="000000"/>
            </w:tcBorders>
          </w:tcPr>
          <w:p w14:paraId="67B5A340"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Administration af en enkelt dosis af 75 mg dabigatranetexilat og en </w:t>
            </w:r>
            <w:r>
              <w:rPr>
                <w:rFonts w:asciiTheme="majorBidi" w:hAnsiTheme="majorBidi" w:cstheme="majorBidi"/>
                <w:kern w:val="2"/>
                <w:position w:val="2"/>
                <w:lang w:val="da-DK"/>
                <w14:ligatures w14:val="standardContextual"/>
              </w:rPr>
              <w:t>initialdosis</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af</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ticagrelor</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på</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180 mg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førte</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en</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stigning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 på hhv. 1,73 og 1,95 gange. Efter multiple doser af 90 mg ticagrelor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1,56</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kern w:val="2"/>
                <w:position w:val="2"/>
                <w:lang w:val="da-DK"/>
                <w14:ligatures w14:val="standardContextual"/>
              </w:rPr>
              <w:t>1,46 gange for hhv. 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 AUC.</w:t>
            </w:r>
          </w:p>
          <w:p w14:paraId="3E44ABE9"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6B83E56E"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110 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steg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dabigatran </w:t>
            </w:r>
            <w:r>
              <w:rPr>
                <w:rFonts w:asciiTheme="majorBidi" w:hAnsiTheme="majorBidi" w:cstheme="majorBidi"/>
                <w:kern w:val="2"/>
                <w:lang w:val="da-DK"/>
                <w14:ligatures w14:val="standardContextual"/>
              </w:rPr>
              <w:t>henholdsvis 1,49 gange og 1,65 gange sammenlignet med dabigatranetexilat alene.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Når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 xml:space="preserve">timer efter 110 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blev forøgelsen af dabigatran-AUC</w:t>
            </w:r>
            <w:r>
              <w:rPr>
                <w:rFonts w:asciiTheme="majorBidi" w:hAnsiTheme="majorBidi" w:cstheme="majorBidi"/>
                <w:kern w:val="2"/>
                <w:lang w:val="da-DK"/>
                <w14:ligatures w14:val="standardContextual"/>
              </w:rPr>
              <w:t>τ,ss</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w:t>
            </w:r>
            <w:r>
              <w:rPr>
                <w:rFonts w:asciiTheme="majorBidi" w:hAnsiTheme="majorBidi" w:cstheme="majorBidi"/>
                <w:kern w:val="2"/>
                <w:position w:val="2"/>
                <w:lang w:val="da-DK"/>
                <w14:ligatures w14:val="standardContextual"/>
              </w:rPr>
              <w:noBreakHyphen/>
              <w:t>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reduceret henholdsvis 1,27 gange og 1,23 gange sammenlignet med </w:t>
            </w:r>
            <w:r>
              <w:rPr>
                <w:rFonts w:asciiTheme="majorBidi" w:hAnsiTheme="majorBidi" w:cstheme="majorBidi"/>
                <w:kern w:val="2"/>
                <w:lang w:val="da-DK"/>
                <w14:ligatures w14:val="standardContextual"/>
              </w:rPr>
              <w:t>dabigatranetexilat alene. Denne forskudte indtagelse anbefales ved opstart af ticagrelor med en initialdosis på 180 mg.</w:t>
            </w:r>
          </w:p>
          <w:p w14:paraId="3E059A5B"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77FF7663"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behandling med 90 mg ticagrelor to gange dagligt (vedligeholdelsesdosis)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justerede </w:t>
            </w:r>
            <w:r>
              <w:rPr>
                <w:rFonts w:asciiTheme="majorBidi" w:hAnsiTheme="majorBidi" w:cstheme="majorBidi"/>
                <w:kern w:val="2"/>
                <w:position w:val="2"/>
                <w:lang w:val="da-DK"/>
                <w14:ligatures w14:val="standardContextual"/>
              </w:rPr>
              <w:t>dabigatran-AUC</w:t>
            </w:r>
            <w:r>
              <w:rPr>
                <w:rFonts w:asciiTheme="majorBidi" w:hAnsiTheme="majorBidi" w:cstheme="majorBidi"/>
                <w:kern w:val="2"/>
                <w:lang w:val="da-DK"/>
                <w14:ligatures w14:val="standardContextual"/>
              </w:rPr>
              <w:t>τ,ss</w:t>
            </w:r>
            <w:r>
              <w:rPr>
                <w:rFonts w:asciiTheme="majorBidi" w:hAnsiTheme="majorBidi" w:cstheme="majorBidi"/>
                <w:spacing w:val="16"/>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kern w:val="2"/>
                <w:position w:val="2"/>
                <w:lang w:val="da-DK"/>
                <w14:ligatures w14:val="standardContextual"/>
              </w:rPr>
              <w:t>,</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1,26</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1,29</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sammenlignet med dabigatranetexilat givet alene.</w:t>
            </w:r>
          </w:p>
        </w:tc>
      </w:tr>
      <w:tr w:rsidR="00886871" w14:paraId="309D574E"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715DCAAC"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lastRenderedPageBreak/>
              <w:t>Posaconazol</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36352A1C"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Også</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posaconazol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hæmmer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nogen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grad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 xml:space="preserve">undersøgt </w:t>
            </w:r>
            <w:r>
              <w:rPr>
                <w:rFonts w:asciiTheme="majorBidi" w:hAnsiTheme="majorBidi" w:cstheme="majorBidi"/>
                <w:kern w:val="2"/>
                <w:lang w:val="da-DK"/>
                <w14:ligatures w14:val="standardContextual"/>
              </w:rPr>
              <w:t>klinisk.</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posaconazol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bør der udvises forsigtighed.</w:t>
            </w:r>
          </w:p>
        </w:tc>
      </w:tr>
      <w:tr w:rsidR="00886871" w14:paraId="51474EAC"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F2B0ABA"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P-gp-induktorer</w:t>
            </w:r>
          </w:p>
        </w:tc>
      </w:tr>
      <w:tr w:rsidR="00886871" w14:paraId="5AEC85E7"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7A1F2CD"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bør</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undgås</w:t>
            </w:r>
          </w:p>
        </w:tc>
      </w:tr>
      <w:tr w:rsidR="00886871" w14:paraId="37173F18"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ED9CA2E" w14:textId="77777777" w:rsidR="00886871" w:rsidRDefault="00886871" w:rsidP="00146E50">
            <w:pPr>
              <w:pStyle w:val="TableParagraph"/>
              <w:widowControl/>
              <w:spacing w:line="240" w:lineRule="auto"/>
              <w:ind w:right="113"/>
              <w:rPr>
                <w:rFonts w:asciiTheme="majorBidi" w:hAnsiTheme="majorBidi" w:cstheme="majorBidi"/>
                <w:kern w:val="2"/>
                <w14:ligatures w14:val="standardContextual"/>
              </w:rPr>
            </w:pPr>
            <w:r>
              <w:rPr>
                <w:rFonts w:asciiTheme="majorBidi" w:hAnsiTheme="majorBidi" w:cstheme="majorBidi"/>
                <w:kern w:val="2"/>
                <w14:ligatures w14:val="standardContextual"/>
              </w:rPr>
              <w:t xml:space="preserve">F.eks. rifampicin, </w:t>
            </w:r>
            <w:r>
              <w:rPr>
                <w:rFonts w:asciiTheme="majorBidi" w:hAnsiTheme="majorBidi" w:cstheme="majorBidi"/>
                <w:spacing w:val="-2"/>
                <w:kern w:val="2"/>
                <w14:ligatures w14:val="standardContextual"/>
              </w:rPr>
              <w:t xml:space="preserve">perikon (Hypericum perforatum), </w:t>
            </w:r>
            <w:r>
              <w:rPr>
                <w:rFonts w:asciiTheme="majorBidi" w:hAnsiTheme="majorBidi" w:cstheme="majorBidi"/>
                <w:kern w:val="2"/>
                <w14:ligatures w14:val="standardContextual"/>
              </w:rPr>
              <w:t>carbamazepin</w:t>
            </w:r>
            <w:r>
              <w:rPr>
                <w:rFonts w:asciiTheme="majorBidi" w:hAnsiTheme="majorBidi" w:cstheme="majorBidi"/>
                <w:spacing w:val="-14"/>
                <w:kern w:val="2"/>
                <w14:ligatures w14:val="standardContextual"/>
              </w:rPr>
              <w:t xml:space="preserve"> </w:t>
            </w:r>
            <w:r>
              <w:rPr>
                <w:rFonts w:asciiTheme="majorBidi" w:hAnsiTheme="majorBidi" w:cstheme="majorBidi"/>
                <w:kern w:val="2"/>
                <w14:ligatures w14:val="standardContextual"/>
              </w:rPr>
              <w:t xml:space="preserve">eller </w:t>
            </w:r>
            <w:r>
              <w:rPr>
                <w:rFonts w:asciiTheme="majorBidi" w:hAnsiTheme="majorBidi" w:cstheme="majorBidi"/>
                <w:spacing w:val="-2"/>
                <w:kern w:val="2"/>
                <w14:ligatures w14:val="standardContextual"/>
              </w:rPr>
              <w:t>phenytoin)</w:t>
            </w:r>
          </w:p>
        </w:tc>
        <w:tc>
          <w:tcPr>
            <w:tcW w:w="6945" w:type="dxa"/>
            <w:gridSpan w:val="2"/>
            <w:tcBorders>
              <w:top w:val="single" w:sz="4" w:space="0" w:color="000000"/>
              <w:left w:val="single" w:sz="4" w:space="0" w:color="000000"/>
              <w:bottom w:val="single" w:sz="4" w:space="0" w:color="000000"/>
              <w:right w:val="single" w:sz="4" w:space="0" w:color="000000"/>
            </w:tcBorders>
          </w:tcPr>
          <w:p w14:paraId="442E29B1"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resultere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nedsatte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spacing w:val="-2"/>
                <w:kern w:val="2"/>
                <w:lang w:val="da-DK"/>
                <w14:ligatures w14:val="standardContextual"/>
              </w:rPr>
              <w:t>koncentrationer.</w:t>
            </w:r>
          </w:p>
          <w:p w14:paraId="3A02431E" w14:textId="77777777" w:rsidR="00886871" w:rsidRDefault="00886871" w:rsidP="00146E50">
            <w:pPr>
              <w:pStyle w:val="TableParagraph"/>
              <w:widowControl/>
              <w:spacing w:line="240" w:lineRule="auto"/>
              <w:ind w:left="0" w:right="113"/>
              <w:rPr>
                <w:rFonts w:asciiTheme="majorBidi" w:hAnsiTheme="majorBidi" w:cstheme="majorBidi"/>
                <w:b/>
                <w:kern w:val="2"/>
                <w:lang w:val="da-DK"/>
                <w14:ligatures w14:val="standardContextual"/>
              </w:rPr>
            </w:pPr>
          </w:p>
          <w:p w14:paraId="03D5AB3F"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præmedicinering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induktoren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rifampicin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 dagligt i 7 dage sås et fald i total peak og i total eksponering af dabigatran på henholdsvis 65,5 % og 67 %. Efter seponering af rifampicin aftog induktorvirkningen resulterende i en dabigatraneksponering tæt på referenceværdien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dagen.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yderligere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dage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sås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øget </w:t>
            </w:r>
            <w:r>
              <w:rPr>
                <w:rFonts w:asciiTheme="majorBidi" w:hAnsiTheme="majorBidi" w:cstheme="majorBidi"/>
                <w:spacing w:val="-2"/>
                <w:kern w:val="2"/>
                <w:lang w:val="da-DK"/>
                <w14:ligatures w14:val="standardContextual"/>
              </w:rPr>
              <w:t>biotilgængelighed.</w:t>
            </w:r>
          </w:p>
        </w:tc>
      </w:tr>
      <w:tr w:rsidR="00886871" w14:paraId="49898620"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1DC3FD5"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u w:val="single"/>
                <w:lang w:val="da-DK"/>
                <w14:ligatures w14:val="standardContextual"/>
              </w:rPr>
              <w:t>Proteaseinhibitorer,</w:t>
            </w:r>
            <w:r>
              <w:rPr>
                <w:rFonts w:asciiTheme="majorBidi" w:hAnsiTheme="majorBidi" w:cstheme="majorBidi"/>
                <w:i/>
                <w:spacing w:val="-13"/>
                <w:kern w:val="2"/>
                <w:u w:val="single"/>
                <w:lang w:val="da-DK"/>
                <w14:ligatures w14:val="standardContextual"/>
              </w:rPr>
              <w:t xml:space="preserve"> </w:t>
            </w:r>
            <w:r>
              <w:rPr>
                <w:rFonts w:asciiTheme="majorBidi" w:hAnsiTheme="majorBidi" w:cstheme="majorBidi"/>
                <w:i/>
                <w:kern w:val="2"/>
                <w:u w:val="single"/>
                <w:lang w:val="da-DK"/>
                <w14:ligatures w14:val="standardContextual"/>
              </w:rPr>
              <w:t>såsom</w:t>
            </w:r>
            <w:r>
              <w:rPr>
                <w:rFonts w:asciiTheme="majorBidi" w:hAnsiTheme="majorBidi" w:cstheme="majorBidi"/>
                <w:i/>
                <w:spacing w:val="-12"/>
                <w:kern w:val="2"/>
                <w:u w:val="single"/>
                <w:lang w:val="da-DK"/>
                <w14:ligatures w14:val="standardContextual"/>
              </w:rPr>
              <w:t xml:space="preserve"> </w:t>
            </w:r>
            <w:r>
              <w:rPr>
                <w:rFonts w:asciiTheme="majorBidi" w:hAnsiTheme="majorBidi" w:cstheme="majorBidi"/>
                <w:i/>
                <w:spacing w:val="-2"/>
                <w:kern w:val="2"/>
                <w:u w:val="single"/>
                <w:lang w:val="da-DK"/>
                <w14:ligatures w14:val="standardContextual"/>
              </w:rPr>
              <w:t>ritonavir</w:t>
            </w:r>
          </w:p>
        </w:tc>
      </w:tr>
      <w:tr w:rsidR="00886871" w14:paraId="4EBCC497"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BEB58DC"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886871" w14:paraId="76286F6F" w14:textId="77777777" w:rsidTr="00886871">
        <w:trPr>
          <w:cantSplit/>
          <w:trHeight w:val="20"/>
        </w:trPr>
        <w:tc>
          <w:tcPr>
            <w:tcW w:w="2127" w:type="dxa"/>
            <w:tcBorders>
              <w:top w:val="single" w:sz="4" w:space="0" w:color="000000"/>
              <w:left w:val="single" w:sz="4" w:space="0" w:color="000000"/>
              <w:bottom w:val="single" w:sz="4" w:space="0" w:color="000000"/>
              <w:right w:val="single" w:sz="4" w:space="0" w:color="000000"/>
            </w:tcBorders>
            <w:hideMark/>
          </w:tcPr>
          <w:p w14:paraId="3ACEB870"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F.eks.</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ritonavir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spacing w:val="-4"/>
                <w:kern w:val="2"/>
                <w:lang w:val="da-DK"/>
                <w14:ligatures w14:val="standardContextual"/>
              </w:rPr>
              <w:t>dets</w:t>
            </w:r>
            <w:r>
              <w:rPr>
                <w:rFonts w:asciiTheme="majorBidi" w:hAnsiTheme="majorBidi" w:cstheme="majorBidi"/>
                <w:spacing w:val="40"/>
                <w:kern w:val="2"/>
                <w:lang w:val="da-DK"/>
                <w14:ligatures w14:val="standardContextual"/>
              </w:rPr>
              <w:t xml:space="preserve"> </w:t>
            </w:r>
            <w:r>
              <w:rPr>
                <w:rFonts w:asciiTheme="majorBidi" w:hAnsiTheme="majorBidi" w:cstheme="majorBidi"/>
                <w:spacing w:val="-2"/>
                <w:kern w:val="2"/>
                <w:lang w:val="da-DK"/>
                <w14:ligatures w14:val="standardContextual"/>
              </w:rPr>
              <w:t xml:space="preserve">kombinationer </w:t>
            </w:r>
            <w:r>
              <w:rPr>
                <w:rFonts w:asciiTheme="majorBidi" w:hAnsiTheme="majorBidi" w:cstheme="majorBidi"/>
                <w:kern w:val="2"/>
                <w:lang w:val="da-DK"/>
                <w14:ligatures w14:val="standardContextual"/>
              </w:rPr>
              <w:t>med andre</w:t>
            </w:r>
          </w:p>
          <w:p w14:paraId="2786638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proteaseinhibitorer</w:t>
            </w:r>
          </w:p>
        </w:tc>
        <w:tc>
          <w:tcPr>
            <w:tcW w:w="6945" w:type="dxa"/>
            <w:gridSpan w:val="2"/>
            <w:tcBorders>
              <w:top w:val="single" w:sz="4" w:space="0" w:color="000000"/>
              <w:left w:val="single" w:sz="4" w:space="0" w:color="000000"/>
              <w:bottom w:val="single" w:sz="4" w:space="0" w:color="000000"/>
              <w:right w:val="single" w:sz="4" w:space="0" w:color="000000"/>
            </w:tcBorders>
            <w:hideMark/>
          </w:tcPr>
          <w:p w14:paraId="69A4E66A"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nb-NO"/>
                <w14:ligatures w14:val="standardContextual"/>
              </w:rPr>
              <w:t xml:space="preserve">Disse påvirker P-gp (enten som inhibitor eller som induktor). </w:t>
            </w:r>
            <w:r>
              <w:rPr>
                <w:rFonts w:asciiTheme="majorBidi" w:hAnsiTheme="majorBidi" w:cstheme="majorBidi"/>
                <w:kern w:val="2"/>
                <w:lang w:val="da-DK"/>
                <w14:ligatures w14:val="standardContextual"/>
              </w:rPr>
              <w:t>De er ikke blevet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derfor ikke anbefales.</w:t>
            </w:r>
          </w:p>
        </w:tc>
      </w:tr>
      <w:tr w:rsidR="00886871" w14:paraId="49E861B5" w14:textId="77777777" w:rsidTr="00886871">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0847E9FE" w14:textId="77777777" w:rsidR="00886871" w:rsidRDefault="00886871" w:rsidP="00146E50">
            <w:pPr>
              <w:pStyle w:val="TableParagraph"/>
              <w:keepNext/>
              <w:keepLines/>
              <w:widowControl/>
              <w:spacing w:line="240" w:lineRule="auto"/>
              <w:ind w:left="108" w:right="113"/>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P-gp-substrat</w:t>
            </w:r>
          </w:p>
        </w:tc>
      </w:tr>
      <w:tr w:rsidR="00886871" w14:paraId="79C7D45D" w14:textId="77777777" w:rsidTr="00886871">
        <w:trPr>
          <w:cantSplit/>
          <w:trHeight w:val="20"/>
        </w:trPr>
        <w:tc>
          <w:tcPr>
            <w:tcW w:w="2176" w:type="dxa"/>
            <w:gridSpan w:val="2"/>
            <w:tcBorders>
              <w:top w:val="single" w:sz="4" w:space="0" w:color="000000"/>
              <w:left w:val="single" w:sz="4" w:space="0" w:color="000000"/>
              <w:bottom w:val="single" w:sz="4" w:space="0" w:color="000000"/>
              <w:right w:val="single" w:sz="4" w:space="0" w:color="000000"/>
            </w:tcBorders>
            <w:hideMark/>
          </w:tcPr>
          <w:p w14:paraId="72F92B9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Digoxin</w:t>
            </w:r>
          </w:p>
        </w:tc>
        <w:tc>
          <w:tcPr>
            <w:tcW w:w="6896" w:type="dxa"/>
            <w:tcBorders>
              <w:top w:val="single" w:sz="4" w:space="0" w:color="000000"/>
              <w:left w:val="single" w:sz="4" w:space="0" w:color="000000"/>
              <w:bottom w:val="single" w:sz="4" w:space="0" w:color="000000"/>
              <w:right w:val="single" w:sz="4" w:space="0" w:color="000000"/>
            </w:tcBorders>
            <w:hideMark/>
          </w:tcPr>
          <w:p w14:paraId="5C09A9E6"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personer,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hvor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samtidigt med digoxin, så man ingen ændringer i eksponeringen af digoxin og ingen klinisk relevante ændringer i eksponeringen af dabigatran.</w:t>
            </w:r>
          </w:p>
        </w:tc>
      </w:tr>
    </w:tbl>
    <w:p w14:paraId="022ADEA3" w14:textId="77777777" w:rsidR="00886871" w:rsidRPr="00A91888" w:rsidRDefault="00886871" w:rsidP="00A91888">
      <w:pPr>
        <w:pStyle w:val="Brdtekst"/>
        <w:widowControl/>
        <w:ind w:left="851"/>
        <w:rPr>
          <w:rFonts w:asciiTheme="majorBidi" w:hAnsiTheme="majorBidi" w:cstheme="majorBidi"/>
          <w:b/>
          <w:sz w:val="24"/>
          <w:szCs w:val="24"/>
          <w:lang w:val="da-DK"/>
        </w:rPr>
      </w:pPr>
    </w:p>
    <w:p w14:paraId="41ABC797"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Antikoagulantia</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og</w:t>
      </w:r>
      <w:r w:rsidRPr="00A91888">
        <w:rPr>
          <w:rFonts w:asciiTheme="majorBidi" w:hAnsiTheme="majorBidi" w:cstheme="majorBidi"/>
          <w:spacing w:val="-8"/>
          <w:sz w:val="24"/>
          <w:szCs w:val="24"/>
          <w:u w:val="single"/>
          <w:lang w:val="da-DK"/>
        </w:rPr>
        <w:t xml:space="preserve"> </w:t>
      </w:r>
      <w:r w:rsidRPr="00A91888">
        <w:rPr>
          <w:rFonts w:asciiTheme="majorBidi" w:hAnsiTheme="majorBidi" w:cstheme="majorBidi"/>
          <w:spacing w:val="-2"/>
          <w:sz w:val="24"/>
          <w:szCs w:val="24"/>
          <w:u w:val="single"/>
          <w:lang w:val="da-DK"/>
        </w:rPr>
        <w:t>trombocytfunktionshæmmere</w:t>
      </w:r>
    </w:p>
    <w:p w14:paraId="15C0488A"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ingen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eller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kun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begrænset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erfaring</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med</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følgende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behandlinger,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hvor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øget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risiko</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0CAB9FCA" w14:textId="77777777" w:rsidR="00886871" w:rsidRPr="00A91888" w:rsidRDefault="00886871" w:rsidP="00A91888">
      <w:pPr>
        <w:pStyle w:val="Brdtekst"/>
        <w:widowControl/>
        <w:ind w:left="851"/>
        <w:rPr>
          <w:rFonts w:asciiTheme="majorBidi" w:hAnsiTheme="majorBidi" w:cstheme="majorBidi"/>
          <w:sz w:val="24"/>
          <w:szCs w:val="24"/>
          <w:lang w:val="da-DK"/>
        </w:rPr>
      </w:pPr>
    </w:p>
    <w:p w14:paraId="2F1DD111"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Fra</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data</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indsamlet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fase</w:t>
      </w:r>
      <w:r w:rsidRPr="00A91888">
        <w:rPr>
          <w:rFonts w:asciiTheme="majorBidi" w:hAnsiTheme="majorBidi" w:cstheme="majorBidi"/>
          <w:spacing w:val="-3"/>
          <w:sz w:val="24"/>
          <w:szCs w:val="24"/>
          <w:lang w:val="da-DK"/>
        </w:rPr>
        <w:t> </w:t>
      </w:r>
      <w:r w:rsidRPr="00A91888">
        <w:rPr>
          <w:rFonts w:asciiTheme="majorBidi" w:hAnsiTheme="majorBidi" w:cstheme="majorBidi"/>
          <w:sz w:val="24"/>
          <w:szCs w:val="24"/>
          <w:lang w:val="da-DK"/>
        </w:rPr>
        <w:t>III</w:t>
      </w:r>
      <w:r w:rsidRPr="00A91888">
        <w:rPr>
          <w:rFonts w:asciiTheme="majorBidi" w:hAnsiTheme="majorBidi" w:cstheme="majorBidi"/>
          <w:sz w:val="24"/>
          <w:szCs w:val="24"/>
          <w:lang w:val="da-DK"/>
        </w:rPr>
        <w:noBreakHyphen/>
        <w:t>studiet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RE</w:t>
      </w:r>
      <w:r w:rsidRPr="00A91888">
        <w:rPr>
          <w:rFonts w:asciiTheme="majorBidi" w:hAnsiTheme="majorBidi" w:cstheme="majorBidi"/>
          <w:sz w:val="24"/>
          <w:szCs w:val="24"/>
          <w:lang w:val="da-DK"/>
        </w:rPr>
        <w:noBreakHyphen/>
        <w:t>LY</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2"/>
          <w:sz w:val="24"/>
          <w:szCs w:val="24"/>
          <w:lang w:val="da-DK"/>
        </w:rPr>
        <w:t> </w:t>
      </w:r>
      <w:r w:rsidRPr="00A91888">
        <w:rPr>
          <w:rFonts w:asciiTheme="majorBidi" w:hAnsiTheme="majorBidi" w:cstheme="majorBidi"/>
          <w:sz w:val="24"/>
          <w:szCs w:val="24"/>
          <w:lang w:val="da-DK"/>
        </w:rPr>
        <w:t>5.1)</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blev</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observeret,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at</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sammen med andre orale eller parenterale antikoagulantia øger hyppigheden af alvorlige blødninger med ca. 2,5 gange for både dabigatran og warfarin, hovedsageligt i forbindelse med skift fra en antikoagulans til</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anden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1"/>
          <w:sz w:val="24"/>
          <w:szCs w:val="24"/>
          <w:lang w:val="da-DK"/>
        </w:rPr>
        <w:t> </w:t>
      </w:r>
      <w:r w:rsidRPr="00A91888">
        <w:rPr>
          <w:rFonts w:asciiTheme="majorBidi" w:hAnsiTheme="majorBidi" w:cstheme="majorBidi"/>
          <w:sz w:val="24"/>
          <w:szCs w:val="24"/>
          <w:lang w:val="da-DK"/>
        </w:rPr>
        <w:t>4.3).</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Desuden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ca.</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fordobler</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samtidig</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administration</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af</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trombocythæmmerne</w:t>
      </w:r>
      <w:r w:rsidRPr="00A91888">
        <w:rPr>
          <w:rFonts w:asciiTheme="majorBidi" w:hAnsiTheme="majorBidi" w:cstheme="majorBidi"/>
          <w:spacing w:val="-1"/>
          <w:sz w:val="24"/>
          <w:szCs w:val="24"/>
          <w:lang w:val="da-DK"/>
        </w:rPr>
        <w:t xml:space="preserve"> </w:t>
      </w:r>
      <w:r w:rsidRPr="00A91888">
        <w:rPr>
          <w:rFonts w:asciiTheme="majorBidi" w:hAnsiTheme="majorBidi" w:cstheme="majorBidi"/>
          <w:sz w:val="24"/>
          <w:szCs w:val="24"/>
          <w:lang w:val="da-DK"/>
        </w:rPr>
        <w:t>ASA eller</w:t>
      </w:r>
      <w:r w:rsidRPr="00A91888">
        <w:rPr>
          <w:rFonts w:asciiTheme="majorBidi" w:hAnsiTheme="majorBidi" w:cstheme="majorBidi"/>
          <w:spacing w:val="-9"/>
          <w:sz w:val="24"/>
          <w:szCs w:val="24"/>
          <w:lang w:val="da-DK"/>
        </w:rPr>
        <w:t xml:space="preserve"> </w:t>
      </w:r>
      <w:r w:rsidRPr="00A91888">
        <w:rPr>
          <w:rFonts w:asciiTheme="majorBidi" w:hAnsiTheme="majorBidi" w:cstheme="majorBidi"/>
          <w:sz w:val="24"/>
          <w:szCs w:val="24"/>
          <w:lang w:val="da-DK"/>
        </w:rPr>
        <w:t>clopidogrel</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risikoen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en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alvorlig</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blødning</w:t>
      </w:r>
      <w:r w:rsidRPr="00A91888">
        <w:rPr>
          <w:rFonts w:asciiTheme="majorBidi" w:hAnsiTheme="majorBidi" w:cstheme="majorBidi"/>
          <w:spacing w:val="-7"/>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både</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dabigatranetexilat</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og</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warfarin</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(se</w:t>
      </w:r>
      <w:r w:rsidRPr="00A91888">
        <w:rPr>
          <w:rFonts w:asciiTheme="majorBidi" w:hAnsiTheme="majorBidi" w:cstheme="majorBidi"/>
          <w:spacing w:val="-6"/>
          <w:sz w:val="24"/>
          <w:szCs w:val="24"/>
          <w:lang w:val="da-DK"/>
        </w:rPr>
        <w:t xml:space="preserve"> </w:t>
      </w:r>
      <w:r w:rsidRPr="00A91888">
        <w:rPr>
          <w:rFonts w:asciiTheme="majorBidi" w:hAnsiTheme="majorBidi" w:cstheme="majorBidi"/>
          <w:sz w:val="24"/>
          <w:szCs w:val="24"/>
          <w:lang w:val="da-DK"/>
        </w:rPr>
        <w:t>pkt.</w:t>
      </w:r>
      <w:r w:rsidRPr="00A91888">
        <w:rPr>
          <w:rFonts w:asciiTheme="majorBidi" w:hAnsiTheme="majorBidi" w:cstheme="majorBidi"/>
          <w:spacing w:val="-7"/>
          <w:sz w:val="24"/>
          <w:szCs w:val="24"/>
          <w:lang w:val="da-DK"/>
        </w:rPr>
        <w:t> </w:t>
      </w:r>
      <w:r w:rsidRPr="00A91888">
        <w:rPr>
          <w:rFonts w:asciiTheme="majorBidi" w:hAnsiTheme="majorBidi" w:cstheme="majorBidi"/>
          <w:spacing w:val="-2"/>
          <w:sz w:val="24"/>
          <w:szCs w:val="24"/>
          <w:lang w:val="da-DK"/>
        </w:rPr>
        <w:t>4.4).</w:t>
      </w:r>
    </w:p>
    <w:p w14:paraId="25EA33FF" w14:textId="77777777" w:rsidR="00886871" w:rsidRPr="00A91888" w:rsidRDefault="00886871" w:rsidP="00A91888">
      <w:pPr>
        <w:pStyle w:val="Brdtekst"/>
        <w:widowControl/>
        <w:ind w:left="851"/>
        <w:rPr>
          <w:rFonts w:asciiTheme="majorBidi" w:hAnsiTheme="majorBidi" w:cstheme="majorBidi"/>
          <w:sz w:val="24"/>
          <w:szCs w:val="24"/>
          <w:lang w:val="da-DK"/>
        </w:rPr>
      </w:pPr>
    </w:p>
    <w:p w14:paraId="24D987AB"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UFH</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kan</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gives</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i</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doser,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der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nødvendige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for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at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opretholde</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et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åbent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centralt</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vene-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eller</w:t>
      </w:r>
      <w:r w:rsidRPr="00A91888">
        <w:rPr>
          <w:rFonts w:asciiTheme="majorBidi" w:hAnsiTheme="majorBidi" w:cstheme="majorBidi"/>
          <w:spacing w:val="-2"/>
          <w:sz w:val="24"/>
          <w:szCs w:val="24"/>
          <w:lang w:val="da-DK"/>
        </w:rPr>
        <w:t xml:space="preserve"> </w:t>
      </w:r>
      <w:r w:rsidRPr="00A91888">
        <w:rPr>
          <w:rFonts w:asciiTheme="majorBidi" w:hAnsiTheme="majorBidi" w:cstheme="majorBidi"/>
          <w:sz w:val="24"/>
          <w:szCs w:val="24"/>
          <w:lang w:val="da-DK"/>
        </w:rPr>
        <w:t>arteriekateter, eller under kateterablation for atrieflimren (se pkt. 4.3).</w:t>
      </w:r>
    </w:p>
    <w:p w14:paraId="48367048" w14:textId="77777777" w:rsidR="00886871" w:rsidRPr="00A91888" w:rsidRDefault="00886871" w:rsidP="00A91888">
      <w:pPr>
        <w:pStyle w:val="Brdtekst"/>
        <w:widowControl/>
        <w:ind w:left="851"/>
        <w:rPr>
          <w:rFonts w:asciiTheme="majorBidi" w:hAnsiTheme="majorBidi" w:cstheme="majorBidi"/>
          <w:sz w:val="24"/>
          <w:szCs w:val="24"/>
          <w:lang w:val="da-DK"/>
        </w:rPr>
      </w:pPr>
    </w:p>
    <w:p w14:paraId="6B7E46BB" w14:textId="45DA5352"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sidR="00322A8A">
        <w:rPr>
          <w:rFonts w:asciiTheme="majorBidi" w:hAnsiTheme="majorBidi" w:cstheme="majorBidi"/>
          <w:lang w:val="da-DK"/>
        </w:rPr>
        <w:t>9</w:t>
      </w:r>
      <w:r>
        <w:rPr>
          <w:rFonts w:asciiTheme="majorBidi" w:hAnsiTheme="majorBidi" w:cstheme="majorBidi"/>
          <w:lang w:val="da-DK"/>
        </w:rPr>
        <w:t>:</w:t>
      </w:r>
      <w:r>
        <w:rPr>
          <w:rFonts w:asciiTheme="majorBidi" w:hAnsiTheme="majorBidi" w:cstheme="majorBidi"/>
          <w:spacing w:val="39"/>
          <w:lang w:val="da-DK"/>
        </w:rPr>
        <w:t xml:space="preserve"> </w:t>
      </w:r>
      <w:r>
        <w:rPr>
          <w:rFonts w:asciiTheme="majorBidi" w:hAnsiTheme="majorBidi" w:cstheme="majorBidi"/>
          <w:lang w:val="da-DK"/>
        </w:rPr>
        <w:t>Interaktioner</w:t>
      </w:r>
      <w:r>
        <w:rPr>
          <w:rFonts w:asciiTheme="majorBidi" w:hAnsiTheme="majorBidi" w:cstheme="majorBidi"/>
          <w:spacing w:val="-8"/>
          <w:lang w:val="da-DK"/>
        </w:rPr>
        <w:t xml:space="preserve"> </w:t>
      </w:r>
      <w:r>
        <w:rPr>
          <w:rFonts w:asciiTheme="majorBidi" w:hAnsiTheme="majorBidi" w:cstheme="majorBidi"/>
          <w:lang w:val="da-DK"/>
        </w:rPr>
        <w:t>med</w:t>
      </w:r>
      <w:r>
        <w:rPr>
          <w:rFonts w:asciiTheme="majorBidi" w:hAnsiTheme="majorBidi" w:cstheme="majorBidi"/>
          <w:spacing w:val="-7"/>
          <w:lang w:val="da-DK"/>
        </w:rPr>
        <w:t xml:space="preserve"> </w:t>
      </w:r>
      <w:r>
        <w:rPr>
          <w:rFonts w:asciiTheme="majorBidi" w:hAnsiTheme="majorBidi" w:cstheme="majorBidi"/>
          <w:lang w:val="da-DK"/>
        </w:rPr>
        <w:t>antikoagulantia</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2"/>
          <w:lang w:val="da-DK"/>
        </w:rPr>
        <w:t>trombocytfunktionshæmmere</w:t>
      </w:r>
    </w:p>
    <w:p w14:paraId="666C6632"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7534"/>
      </w:tblGrid>
      <w:tr w:rsidR="00886871" w14:paraId="76B3FC75"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67998C84"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tc>
        <w:tc>
          <w:tcPr>
            <w:tcW w:w="7532" w:type="dxa"/>
            <w:tcBorders>
              <w:top w:val="single" w:sz="4" w:space="0" w:color="000000"/>
              <w:left w:val="single" w:sz="4" w:space="0" w:color="000000"/>
              <w:bottom w:val="single" w:sz="4" w:space="0" w:color="000000"/>
              <w:right w:val="single" w:sz="4" w:space="0" w:color="000000"/>
            </w:tcBorders>
            <w:hideMark/>
          </w:tcPr>
          <w:p w14:paraId="08B08391"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Korttidsbehandling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NSAID-præparater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være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forbundet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 øget blødningsrisiko, når de administreres samtidigt med dabigatranetexilat. Langtidsbehandling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RE</w:t>
            </w:r>
            <w:r>
              <w:rPr>
                <w:rFonts w:asciiTheme="majorBidi" w:hAnsiTheme="majorBidi" w:cstheme="majorBidi"/>
                <w:kern w:val="2"/>
                <w:lang w:val="da-DK"/>
                <w14:ligatures w14:val="standardContextual"/>
              </w:rPr>
              <w:noBreakHyphen/>
              <w:t>LY-studiet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blødningsrisiko</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ca. 50 % for både dabigatranetexilat og warfarin.</w:t>
            </w:r>
          </w:p>
        </w:tc>
      </w:tr>
      <w:tr w:rsidR="00886871" w14:paraId="604E35A8"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71E909D7"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lastRenderedPageBreak/>
              <w:t>Clopidogrel</w:t>
            </w:r>
          </w:p>
        </w:tc>
        <w:tc>
          <w:tcPr>
            <w:tcW w:w="7532" w:type="dxa"/>
            <w:tcBorders>
              <w:top w:val="single" w:sz="4" w:space="0" w:color="000000"/>
              <w:left w:val="single" w:sz="4" w:space="0" w:color="000000"/>
              <w:bottom w:val="single" w:sz="4" w:space="0" w:color="000000"/>
              <w:right w:val="single" w:sz="4" w:space="0" w:color="000000"/>
            </w:tcBorders>
            <w:hideMark/>
          </w:tcPr>
          <w:p w14:paraId="142B6855"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Hos unge, raske mænd medførte samtidig administration af dabigatranetexilat og clopidogrel ikke yderligere forlængelse af kapillær blødningstid i forhold til </w:t>
            </w:r>
            <w:r>
              <w:rPr>
                <w:rFonts w:asciiTheme="majorBidi" w:hAnsiTheme="majorBidi" w:cstheme="majorBidi"/>
                <w:kern w:val="2"/>
                <w:position w:val="2"/>
                <w:lang w:val="da-DK"/>
                <w14:ligatures w14:val="standardContextual"/>
              </w:rPr>
              <w:t>clopidogrel monoterapi. Hertil kommer, at dabigatran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w:t>
            </w:r>
            <w:r>
              <w:rPr>
                <w:rFonts w:asciiTheme="majorBidi" w:hAnsiTheme="majorBidi" w:cstheme="majorBidi"/>
                <w:kern w:val="2"/>
                <w:lang w:val="da-DK"/>
                <w14:ligatures w14:val="standardContextual"/>
              </w:rPr>
              <w:t>koagulationsparametrene for dabigatrans virkning eller hæmningen af trombocytaggregationen som målestok for clopidogrels virkning, forblev stort set uændret når kombinationsbehandling blev sammenlignet med de respektive monoterapier.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300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clopidogrel</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30</w:t>
            </w:r>
            <w:r>
              <w:rPr>
                <w:rFonts w:asciiTheme="majorBidi" w:hAnsiTheme="majorBidi" w:cstheme="majorBidi"/>
                <w:kern w:val="2"/>
                <w:position w:val="2"/>
                <w:lang w:val="da-DK"/>
                <w14:ligatures w14:val="standardContextual"/>
              </w:rPr>
              <w:noBreakHyphen/>
              <w:t>40</w:t>
            </w:r>
            <w:r>
              <w:rPr>
                <w:rFonts w:asciiTheme="majorBidi" w:hAnsiTheme="majorBidi" w:cstheme="majorBidi"/>
                <w:spacing w:val="-4"/>
                <w:kern w:val="2"/>
                <w:position w:val="2"/>
                <w:lang w:val="da-DK"/>
                <w14:ligatures w14:val="standardContextual"/>
              </w:rPr>
              <w:t> </w:t>
            </w:r>
            <w:r>
              <w:rPr>
                <w:rFonts w:asciiTheme="majorBidi" w:hAnsiTheme="majorBidi" w:cstheme="majorBidi"/>
                <w:kern w:val="2"/>
                <w:position w:val="2"/>
                <w:lang w:val="da-DK"/>
                <w14:ligatures w14:val="standardContextual"/>
              </w:rPr>
              <w: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(se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pkt.</w:t>
            </w:r>
            <w:r>
              <w:rPr>
                <w:rFonts w:asciiTheme="majorBidi" w:hAnsiTheme="majorBidi" w:cstheme="majorBidi"/>
                <w:spacing w:val="-4"/>
                <w:kern w:val="2"/>
                <w:position w:val="2"/>
                <w:lang w:val="da-DK"/>
                <w14:ligatures w14:val="standardContextual"/>
              </w:rPr>
              <w:t> </w:t>
            </w:r>
            <w:r>
              <w:rPr>
                <w:rFonts w:asciiTheme="majorBidi" w:hAnsiTheme="majorBidi" w:cstheme="majorBidi"/>
                <w:spacing w:val="-2"/>
                <w:kern w:val="2"/>
                <w:position w:val="2"/>
                <w:lang w:val="da-DK"/>
                <w14:ligatures w14:val="standardContextual"/>
              </w:rPr>
              <w:t>4.4).</w:t>
            </w:r>
          </w:p>
        </w:tc>
      </w:tr>
      <w:tr w:rsidR="00886871" w14:paraId="14012615"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336D5163"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ASA</w:t>
            </w:r>
          </w:p>
        </w:tc>
        <w:tc>
          <w:tcPr>
            <w:tcW w:w="7532" w:type="dxa"/>
            <w:tcBorders>
              <w:top w:val="single" w:sz="4" w:space="0" w:color="000000"/>
              <w:left w:val="single" w:sz="4" w:space="0" w:color="000000"/>
              <w:bottom w:val="single" w:sz="4" w:space="0" w:color="000000"/>
              <w:right w:val="single" w:sz="4" w:space="0" w:color="000000"/>
            </w:tcBorders>
            <w:hideMark/>
          </w:tcPr>
          <w:p w14:paraId="03D81743"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ASA</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150</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 blødningsrisikoen fra 12 % til 18 % henholdsvis 24 % med 81 mg henholdsvis 325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ASA</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1"/>
                <w:kern w:val="2"/>
                <w:lang w:val="da-DK"/>
                <w14:ligatures w14:val="standardContextual"/>
              </w:rPr>
              <w:t> </w:t>
            </w:r>
            <w:r>
              <w:rPr>
                <w:rFonts w:asciiTheme="majorBidi" w:hAnsiTheme="majorBidi" w:cstheme="majorBidi"/>
                <w:spacing w:val="-4"/>
                <w:kern w:val="2"/>
                <w:lang w:val="da-DK"/>
                <w14:ligatures w14:val="standardContextual"/>
              </w:rPr>
              <w:t>4.4).</w:t>
            </w:r>
          </w:p>
        </w:tc>
      </w:tr>
      <w:tr w:rsidR="00886871" w14:paraId="1D9C7393" w14:textId="77777777" w:rsidTr="00886871">
        <w:trPr>
          <w:cantSplit/>
          <w:trHeight w:val="20"/>
        </w:trPr>
        <w:tc>
          <w:tcPr>
            <w:tcW w:w="1540" w:type="dxa"/>
            <w:tcBorders>
              <w:top w:val="single" w:sz="4" w:space="0" w:color="000000"/>
              <w:left w:val="single" w:sz="4" w:space="0" w:color="000000"/>
              <w:bottom w:val="single" w:sz="4" w:space="0" w:color="000000"/>
              <w:right w:val="single" w:sz="4" w:space="0" w:color="000000"/>
            </w:tcBorders>
            <w:hideMark/>
          </w:tcPr>
          <w:p w14:paraId="0B1EA4B6" w14:textId="77777777" w:rsidR="00886871" w:rsidRDefault="00886871" w:rsidP="00146E50">
            <w:pPr>
              <w:pStyle w:val="TableParagraph"/>
              <w:widowControl/>
              <w:spacing w:line="240" w:lineRule="auto"/>
              <w:ind w:right="113"/>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LMWH</w:t>
            </w:r>
          </w:p>
        </w:tc>
        <w:tc>
          <w:tcPr>
            <w:tcW w:w="7532" w:type="dxa"/>
            <w:tcBorders>
              <w:top w:val="single" w:sz="4" w:space="0" w:color="000000"/>
              <w:left w:val="single" w:sz="4" w:space="0" w:color="000000"/>
              <w:bottom w:val="single" w:sz="4" w:space="0" w:color="000000"/>
              <w:right w:val="single" w:sz="4" w:space="0" w:color="000000"/>
            </w:tcBorders>
            <w:hideMark/>
          </w:tcPr>
          <w:p w14:paraId="31A18C9F" w14:textId="77777777" w:rsidR="00886871" w:rsidRDefault="00886871" w:rsidP="00146E50">
            <w:pPr>
              <w:pStyle w:val="TableParagraph"/>
              <w:widowControl/>
              <w:spacing w:line="240" w:lineRule="auto"/>
              <w:ind w:left="108" w:right="113"/>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 anvendelse af LMWH (såsom enoxaparin) og dabigatranetexilat er ikke specifikt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skift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3-dages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 mg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 xml:space="preserve">enoxaparin </w:t>
            </w:r>
            <w:r>
              <w:rPr>
                <w:rFonts w:asciiTheme="majorBidi" w:hAnsiTheme="majorBidi" w:cstheme="majorBidi"/>
                <w:kern w:val="2"/>
                <w:lang w:val="da-DK"/>
                <w14:ligatures w14:val="standardContextual"/>
              </w:rPr>
              <w:t>s.c. én gang dagligt 24 timer efter den sidste dosis af enoxaparin, var eksponeringen for dabigatran lidt lavere end efter administration af kun dabigatranetexilat (enkelt 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220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forudgående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med enoxaparin sås en højere anti-FXa/FIIa aktivitet i forhold til behandling med dabigatranetexilat alene. Dette anses for en </w:t>
            </w:r>
            <w:r>
              <w:rPr>
                <w:rFonts w:asciiTheme="majorBidi" w:hAnsiTheme="majorBidi" w:cstheme="majorBidi"/>
                <w:i/>
                <w:kern w:val="2"/>
                <w:lang w:val="da-DK"/>
                <w14:ligatures w14:val="standardContextual"/>
              </w:rPr>
              <w:t>carry-over</w:t>
            </w:r>
            <w:r>
              <w:rPr>
                <w:rFonts w:asciiTheme="majorBidi" w:hAnsiTheme="majorBidi" w:cstheme="majorBidi"/>
                <w:kern w:val="2"/>
                <w:lang w:val="da-DK"/>
                <w14:ligatures w14:val="standardContextual"/>
              </w:rPr>
              <w:t>-effekt af enoxaparinbehandlingen, og betragtes ikke som klinisk relevant. Der var ikke andre dabigatranrelaterede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antikoagulationstests,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var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ændret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væsentligt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ved forbehandling med enoxaparin.</w:t>
            </w:r>
          </w:p>
        </w:tc>
      </w:tr>
    </w:tbl>
    <w:p w14:paraId="160A90A4" w14:textId="77777777" w:rsidR="00886871" w:rsidRPr="00A91888" w:rsidRDefault="00886871" w:rsidP="00A91888">
      <w:pPr>
        <w:ind w:left="851"/>
        <w:rPr>
          <w:rFonts w:asciiTheme="majorBidi" w:hAnsiTheme="majorBidi" w:cstheme="majorBidi"/>
          <w:sz w:val="24"/>
          <w:szCs w:val="24"/>
        </w:rPr>
      </w:pPr>
    </w:p>
    <w:p w14:paraId="2E5BACEF"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Andre</w:t>
      </w:r>
      <w:r w:rsidRPr="00A91888">
        <w:rPr>
          <w:rFonts w:asciiTheme="majorBidi" w:hAnsiTheme="majorBidi" w:cstheme="majorBidi"/>
          <w:spacing w:val="-5"/>
          <w:sz w:val="24"/>
          <w:szCs w:val="24"/>
          <w:u w:val="single"/>
          <w:lang w:val="da-DK"/>
        </w:rPr>
        <w:t xml:space="preserve"> </w:t>
      </w:r>
      <w:r w:rsidRPr="00A91888">
        <w:rPr>
          <w:rFonts w:asciiTheme="majorBidi" w:hAnsiTheme="majorBidi" w:cstheme="majorBidi"/>
          <w:spacing w:val="-2"/>
          <w:sz w:val="24"/>
          <w:szCs w:val="24"/>
          <w:u w:val="single"/>
          <w:lang w:val="da-DK"/>
        </w:rPr>
        <w:t>interaktioner</w:t>
      </w:r>
    </w:p>
    <w:p w14:paraId="0E061FFF"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p>
    <w:p w14:paraId="1C0644F1" w14:textId="215EE8DB"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lang w:val="da-DK"/>
        </w:rPr>
        <w:t>1</w:t>
      </w:r>
      <w:r w:rsidR="00322A8A">
        <w:rPr>
          <w:rFonts w:asciiTheme="majorBidi" w:hAnsiTheme="majorBidi" w:cstheme="majorBidi"/>
          <w:lang w:val="da-DK"/>
        </w:rPr>
        <w:t>0</w:t>
      </w:r>
      <w:r>
        <w:rPr>
          <w:rFonts w:asciiTheme="majorBidi" w:hAnsiTheme="majorBidi" w:cstheme="majorBidi"/>
          <w:lang w:val="da-DK"/>
        </w:rPr>
        <w:t>:</w:t>
      </w:r>
      <w:r>
        <w:rPr>
          <w:rFonts w:asciiTheme="majorBidi" w:hAnsiTheme="majorBidi" w:cstheme="majorBidi"/>
          <w:spacing w:val="44"/>
          <w:lang w:val="da-DK"/>
        </w:rPr>
        <w:t xml:space="preserve"> </w:t>
      </w:r>
      <w:r>
        <w:rPr>
          <w:rFonts w:asciiTheme="majorBidi" w:hAnsiTheme="majorBidi" w:cstheme="majorBidi"/>
          <w:lang w:val="da-DK"/>
        </w:rPr>
        <w:t>Andre</w:t>
      </w:r>
      <w:r>
        <w:rPr>
          <w:rFonts w:asciiTheme="majorBidi" w:hAnsiTheme="majorBidi" w:cstheme="majorBidi"/>
          <w:spacing w:val="-4"/>
          <w:lang w:val="da-DK"/>
        </w:rPr>
        <w:t xml:space="preserve"> </w:t>
      </w:r>
      <w:r>
        <w:rPr>
          <w:rFonts w:asciiTheme="majorBidi" w:hAnsiTheme="majorBidi" w:cstheme="majorBidi"/>
          <w:spacing w:val="-2"/>
          <w:lang w:val="da-DK"/>
        </w:rPr>
        <w:t>interaktioner</w:t>
      </w:r>
    </w:p>
    <w:p w14:paraId="378F9A15"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7263"/>
      </w:tblGrid>
      <w:tr w:rsidR="00886871" w14:paraId="593D65A5"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B16EAE0" w14:textId="77777777" w:rsidR="00886871" w:rsidRDefault="00886871" w:rsidP="00146E50">
            <w:pPr>
              <w:pStyle w:val="TableParagraph"/>
              <w:keepNext/>
              <w:keepLines/>
              <w:widowControl/>
              <w:spacing w:line="240" w:lineRule="auto"/>
              <w:ind w:left="108"/>
              <w:rPr>
                <w:rFonts w:asciiTheme="majorBidi" w:hAnsiTheme="majorBidi" w:cstheme="majorBidi"/>
                <w:iCs/>
                <w:kern w:val="2"/>
                <w:lang w:val="da-DK"/>
                <w14:ligatures w14:val="standardContextual"/>
              </w:rPr>
            </w:pPr>
            <w:r>
              <w:rPr>
                <w:rFonts w:asciiTheme="majorBidi" w:hAnsiTheme="majorBidi" w:cstheme="majorBidi"/>
                <w:iCs/>
                <w:kern w:val="2"/>
                <w:u w:val="single"/>
                <w:lang w:val="da-DK"/>
                <w14:ligatures w14:val="standardContextual"/>
              </w:rPr>
              <w:t>Selektive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serotonin-genoptagelseshæmmere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(SSRI)</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eller</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selektive</w:t>
            </w:r>
            <w:r>
              <w:rPr>
                <w:rFonts w:asciiTheme="majorBidi" w:hAnsiTheme="majorBidi" w:cstheme="majorBidi"/>
                <w:iCs/>
                <w:spacing w:val="-7"/>
                <w:kern w:val="2"/>
                <w:u w:val="single"/>
                <w:lang w:val="da-DK"/>
                <w14:ligatures w14:val="standardContextual"/>
              </w:rPr>
              <w:t xml:space="preserve"> </w:t>
            </w:r>
            <w:r>
              <w:rPr>
                <w:rFonts w:asciiTheme="majorBidi" w:hAnsiTheme="majorBidi" w:cstheme="majorBidi"/>
                <w:iCs/>
                <w:kern w:val="2"/>
                <w:u w:val="single"/>
                <w:lang w:val="da-DK"/>
                <w14:ligatures w14:val="standardContextual"/>
              </w:rPr>
              <w:t>serotonin-noradrenalin-</w:t>
            </w:r>
            <w:r>
              <w:rPr>
                <w:rFonts w:asciiTheme="majorBidi" w:hAnsiTheme="majorBidi" w:cstheme="majorBidi"/>
                <w:iCs/>
                <w:kern w:val="2"/>
                <w:lang w:val="da-DK"/>
                <w14:ligatures w14:val="standardContextual"/>
              </w:rPr>
              <w:t xml:space="preserve"> </w:t>
            </w:r>
            <w:r>
              <w:rPr>
                <w:rFonts w:asciiTheme="majorBidi" w:hAnsiTheme="majorBidi" w:cstheme="majorBidi"/>
                <w:iCs/>
                <w:kern w:val="2"/>
                <w:u w:val="single"/>
                <w:lang w:val="da-DK"/>
                <w14:ligatures w14:val="standardContextual"/>
              </w:rPr>
              <w:t>genoptagelseshæmmere (SNRI)</w:t>
            </w:r>
          </w:p>
        </w:tc>
      </w:tr>
      <w:tr w:rsidR="00886871" w14:paraId="5CECB132"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237155B7"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SNRI</w:t>
            </w:r>
          </w:p>
        </w:tc>
        <w:tc>
          <w:tcPr>
            <w:tcW w:w="7261" w:type="dxa"/>
            <w:tcBorders>
              <w:top w:val="single" w:sz="4" w:space="0" w:color="000000"/>
              <w:left w:val="single" w:sz="4" w:space="0" w:color="000000"/>
              <w:bottom w:val="single" w:sz="4" w:space="0" w:color="000000"/>
              <w:right w:val="single" w:sz="4" w:space="0" w:color="000000"/>
            </w:tcBorders>
            <w:hideMark/>
          </w:tcPr>
          <w:p w14:paraId="4DF2211A"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SNRI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øgede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risikoen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alle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behandlingsarmene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RE-</w:t>
            </w:r>
            <w:r>
              <w:rPr>
                <w:rFonts w:asciiTheme="majorBidi" w:hAnsiTheme="majorBidi" w:cstheme="majorBidi"/>
                <w:spacing w:val="-5"/>
                <w:kern w:val="2"/>
                <w:lang w:val="da-DK"/>
                <w14:ligatures w14:val="standardContextual"/>
              </w:rPr>
              <w:t>LY.</w:t>
            </w:r>
          </w:p>
        </w:tc>
      </w:tr>
      <w:tr w:rsidR="00886871" w14:paraId="39780F5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7F56A154" w14:textId="77777777" w:rsidR="00886871" w:rsidRDefault="00886871" w:rsidP="00146E50">
            <w:pPr>
              <w:pStyle w:val="TableParagraph"/>
              <w:keepNext/>
              <w:keepLines/>
              <w:widowControl/>
              <w:spacing w:line="240" w:lineRule="auto"/>
              <w:ind w:left="108"/>
              <w:rPr>
                <w:rFonts w:asciiTheme="majorBidi" w:hAnsiTheme="majorBidi" w:cstheme="majorBidi"/>
                <w:i/>
                <w:iCs/>
                <w:kern w:val="2"/>
                <w:lang w:val="da-DK"/>
                <w14:ligatures w14:val="standardContextual"/>
              </w:rPr>
            </w:pPr>
            <w:r>
              <w:rPr>
                <w:rFonts w:asciiTheme="majorBidi" w:hAnsiTheme="majorBidi" w:cstheme="majorBidi"/>
                <w:kern w:val="2"/>
                <w:u w:val="single"/>
                <w:lang w:val="da-DK"/>
                <w14:ligatures w14:val="standardContextual"/>
              </w:rPr>
              <w:t>Stoffer,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der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påvirker</w:t>
            </w:r>
            <w:r>
              <w:rPr>
                <w:rFonts w:asciiTheme="majorBidi" w:hAnsiTheme="majorBidi" w:cstheme="majorBidi"/>
                <w:spacing w:val="-7"/>
                <w:kern w:val="2"/>
                <w:u w:val="single"/>
                <w:lang w:val="da-DK"/>
                <w14:ligatures w14:val="standardContextual"/>
              </w:rPr>
              <w:t xml:space="preserve"> </w:t>
            </w:r>
            <w:r>
              <w:rPr>
                <w:rFonts w:asciiTheme="majorBidi" w:hAnsiTheme="majorBidi" w:cstheme="majorBidi"/>
                <w:kern w:val="2"/>
                <w:u w:val="single"/>
                <w:lang w:val="da-DK"/>
                <w14:ligatures w14:val="standardContextual"/>
              </w:rPr>
              <w:t>gastrisk</w:t>
            </w:r>
            <w:r>
              <w:rPr>
                <w:rFonts w:asciiTheme="majorBidi" w:hAnsiTheme="majorBidi" w:cstheme="majorBidi"/>
                <w:spacing w:val="-5"/>
                <w:kern w:val="2"/>
                <w:u w:val="single"/>
                <w:lang w:val="da-DK"/>
                <w14:ligatures w14:val="standardContextual"/>
              </w:rPr>
              <w:t xml:space="preserve"> pH</w:t>
            </w:r>
          </w:p>
        </w:tc>
      </w:tr>
      <w:tr w:rsidR="00886871" w14:paraId="54919C53"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4DF29317"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Pantoprazol</w:t>
            </w:r>
          </w:p>
        </w:tc>
        <w:tc>
          <w:tcPr>
            <w:tcW w:w="7261" w:type="dxa"/>
            <w:tcBorders>
              <w:top w:val="single" w:sz="4" w:space="0" w:color="000000"/>
              <w:left w:val="single" w:sz="4" w:space="0" w:color="000000"/>
              <w:bottom w:val="single" w:sz="4" w:space="0" w:color="000000"/>
              <w:right w:val="single" w:sz="4" w:space="0" w:color="000000"/>
            </w:tcBorders>
            <w:hideMark/>
          </w:tcPr>
          <w:p w14:paraId="6E01C28D"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indtagelse af dabigatranetexilat og pantoprazol så man et fald i dabigatran-AUC på ca. 30 %. Pantoprazol og andre protonpumpehæmmere (PPI) blev givet 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kliniske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PPI</w:t>
            </w:r>
            <w:r>
              <w:rPr>
                <w:rFonts w:asciiTheme="majorBidi" w:hAnsiTheme="majorBidi" w:cstheme="majorBidi"/>
                <w:kern w:val="2"/>
                <w:lang w:val="da-DK"/>
                <w14:ligatures w14:val="standardContextual"/>
              </w:rPr>
              <w:noBreakHyphen/>
              <w:t>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syntes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 reducere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virkningen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2"/>
                <w:kern w:val="2"/>
                <w:lang w:val="da-DK"/>
                <w14:ligatures w14:val="standardContextual"/>
              </w:rPr>
              <w:t>.</w:t>
            </w:r>
          </w:p>
        </w:tc>
      </w:tr>
      <w:tr w:rsidR="00886871" w14:paraId="0B239935" w14:textId="77777777" w:rsidTr="00886871">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7126F4CA" w14:textId="77777777" w:rsidR="00886871" w:rsidRDefault="00886871" w:rsidP="00146E50">
            <w:pPr>
              <w:pStyle w:val="TableParagraph"/>
              <w:widowControl/>
              <w:spacing w:line="240" w:lineRule="auto"/>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Ranitidin</w:t>
            </w:r>
          </w:p>
        </w:tc>
        <w:tc>
          <w:tcPr>
            <w:tcW w:w="7261" w:type="dxa"/>
            <w:tcBorders>
              <w:top w:val="single" w:sz="4" w:space="0" w:color="000000"/>
              <w:left w:val="single" w:sz="4" w:space="0" w:color="000000"/>
              <w:bottom w:val="single" w:sz="4" w:space="0" w:color="000000"/>
              <w:right w:val="single" w:sz="4" w:space="0" w:color="000000"/>
            </w:tcBorders>
            <w:hideMark/>
          </w:tcPr>
          <w:p w14:paraId="7E89E503" w14:textId="77777777" w:rsidR="00886871" w:rsidRDefault="00886871" w:rsidP="00146E50">
            <w:pPr>
              <w:pStyle w:val="TableParagraph"/>
              <w:widowControl/>
              <w:spacing w:line="240" w:lineRule="auto"/>
              <w:ind w:left="105"/>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ranitidin</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havde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klinisk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 xml:space="preserve">relevant </w:t>
            </w:r>
            <w:r>
              <w:rPr>
                <w:rFonts w:asciiTheme="majorBidi" w:hAnsiTheme="majorBidi" w:cstheme="majorBidi"/>
                <w:kern w:val="2"/>
                <w:lang w:val="da-DK"/>
                <w14:ligatures w14:val="standardContextual"/>
              </w:rPr>
              <w:t>virkning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omfanget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absorptionen.</w:t>
            </w:r>
          </w:p>
        </w:tc>
      </w:tr>
    </w:tbl>
    <w:p w14:paraId="6FB93621" w14:textId="77777777" w:rsidR="00886871" w:rsidRDefault="00886871" w:rsidP="00146E50">
      <w:pPr>
        <w:pStyle w:val="Brdtekst"/>
        <w:widowControl/>
        <w:rPr>
          <w:rFonts w:asciiTheme="majorBidi" w:hAnsiTheme="majorBidi" w:cstheme="majorBidi"/>
          <w:b/>
          <w:lang w:val="da-DK"/>
        </w:rPr>
      </w:pPr>
    </w:p>
    <w:p w14:paraId="2F5E92D0"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Interaktioner</w:t>
      </w:r>
      <w:r w:rsidRPr="00A91888">
        <w:rPr>
          <w:rFonts w:asciiTheme="majorBidi" w:hAnsiTheme="majorBidi" w:cstheme="majorBidi"/>
          <w:spacing w:val="-12"/>
          <w:sz w:val="24"/>
          <w:szCs w:val="24"/>
          <w:u w:val="single"/>
          <w:lang w:val="da-DK"/>
        </w:rPr>
        <w:t xml:space="preserve"> </w:t>
      </w:r>
      <w:r w:rsidRPr="00A91888">
        <w:rPr>
          <w:rFonts w:asciiTheme="majorBidi" w:hAnsiTheme="majorBidi" w:cstheme="majorBidi"/>
          <w:sz w:val="24"/>
          <w:szCs w:val="24"/>
          <w:u w:val="single"/>
          <w:lang w:val="da-DK"/>
        </w:rPr>
        <w:t>knyttet</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til</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z w:val="24"/>
          <w:szCs w:val="24"/>
          <w:u w:val="single"/>
          <w:lang w:val="da-DK"/>
        </w:rPr>
        <w:t>dabigatranetexilats</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og</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z w:val="24"/>
          <w:szCs w:val="24"/>
          <w:u w:val="single"/>
          <w:lang w:val="da-DK"/>
        </w:rPr>
        <w:t>dabigatrans</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z w:val="24"/>
          <w:szCs w:val="24"/>
          <w:u w:val="single"/>
          <w:lang w:val="da-DK"/>
        </w:rPr>
        <w:t>metaboliske</w:t>
      </w:r>
      <w:r w:rsidRPr="00A91888">
        <w:rPr>
          <w:rFonts w:asciiTheme="majorBidi" w:hAnsiTheme="majorBidi" w:cstheme="majorBidi"/>
          <w:spacing w:val="-9"/>
          <w:sz w:val="24"/>
          <w:szCs w:val="24"/>
          <w:u w:val="single"/>
          <w:lang w:val="da-DK"/>
        </w:rPr>
        <w:t xml:space="preserve"> </w:t>
      </w:r>
      <w:r w:rsidRPr="00A91888">
        <w:rPr>
          <w:rFonts w:asciiTheme="majorBidi" w:hAnsiTheme="majorBidi" w:cstheme="majorBidi"/>
          <w:spacing w:val="-2"/>
          <w:sz w:val="24"/>
          <w:szCs w:val="24"/>
          <w:u w:val="single"/>
          <w:lang w:val="da-DK"/>
        </w:rPr>
        <w:t>profil</w:t>
      </w:r>
    </w:p>
    <w:p w14:paraId="74BD2A42"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Dabigatranetexilat og dabigatran metaboliseres ikke via cytokrom P450-systemet og har ingen virkning</w:t>
      </w:r>
      <w:r w:rsidRPr="00A91888">
        <w:rPr>
          <w:rFonts w:asciiTheme="majorBidi" w:hAnsiTheme="majorBidi" w:cstheme="majorBidi"/>
          <w:spacing w:val="-3"/>
          <w:sz w:val="24"/>
          <w:szCs w:val="24"/>
          <w:lang w:val="da-DK"/>
        </w:rPr>
        <w:t xml:space="preserve"> </w:t>
      </w:r>
      <w:r w:rsidRPr="00A91888">
        <w:rPr>
          <w:rFonts w:asciiTheme="majorBidi" w:hAnsiTheme="majorBidi" w:cstheme="majorBidi"/>
          <w:i/>
          <w:sz w:val="24"/>
          <w:szCs w:val="24"/>
          <w:lang w:val="da-DK"/>
        </w:rPr>
        <w:t>in</w:t>
      </w:r>
      <w:r w:rsidRPr="00A91888">
        <w:rPr>
          <w:rFonts w:asciiTheme="majorBidi" w:hAnsiTheme="majorBidi" w:cstheme="majorBidi"/>
          <w:i/>
          <w:spacing w:val="-2"/>
          <w:sz w:val="24"/>
          <w:szCs w:val="24"/>
          <w:lang w:val="da-DK"/>
        </w:rPr>
        <w:t xml:space="preserve"> </w:t>
      </w:r>
      <w:r w:rsidRPr="00A91888">
        <w:rPr>
          <w:rFonts w:asciiTheme="majorBidi" w:hAnsiTheme="majorBidi" w:cstheme="majorBidi"/>
          <w:i/>
          <w:sz w:val="24"/>
          <w:szCs w:val="24"/>
          <w:lang w:val="da-DK"/>
        </w:rPr>
        <w:t>vitro</w:t>
      </w:r>
      <w:r w:rsidRPr="00A91888">
        <w:rPr>
          <w:rFonts w:asciiTheme="majorBidi" w:hAnsiTheme="majorBidi" w:cstheme="majorBidi"/>
          <w:i/>
          <w:spacing w:val="-2"/>
          <w:sz w:val="24"/>
          <w:szCs w:val="24"/>
          <w:lang w:val="da-DK"/>
        </w:rPr>
        <w:t xml:space="preserve"> </w:t>
      </w:r>
      <w:r w:rsidRPr="00A91888">
        <w:rPr>
          <w:rFonts w:asciiTheme="majorBidi" w:hAnsiTheme="majorBidi" w:cstheme="majorBidi"/>
          <w:sz w:val="24"/>
          <w:szCs w:val="24"/>
          <w:lang w:val="da-DK"/>
        </w:rPr>
        <w:t>på</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humane</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cytokrom</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P450-enzymer.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forventes</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derfor</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ingen</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dertil</w:t>
      </w:r>
      <w:r w:rsidRPr="00A91888">
        <w:rPr>
          <w:rFonts w:asciiTheme="majorBidi" w:hAnsiTheme="majorBidi" w:cstheme="majorBidi"/>
          <w:spacing w:val="-3"/>
          <w:sz w:val="24"/>
          <w:szCs w:val="24"/>
          <w:lang w:val="da-DK"/>
        </w:rPr>
        <w:t xml:space="preserve"> </w:t>
      </w:r>
      <w:r w:rsidRPr="00A91888">
        <w:rPr>
          <w:rFonts w:asciiTheme="majorBidi" w:hAnsiTheme="majorBidi" w:cstheme="majorBidi"/>
          <w:sz w:val="24"/>
          <w:szCs w:val="24"/>
          <w:lang w:val="da-DK"/>
        </w:rPr>
        <w:t>relaterede lægemiddelinteraktioner med dabigatran.</w:t>
      </w:r>
    </w:p>
    <w:p w14:paraId="180B1F70" w14:textId="77777777" w:rsidR="00886871" w:rsidRPr="00A91888" w:rsidRDefault="00886871" w:rsidP="00A91888">
      <w:pPr>
        <w:pStyle w:val="Brdtekst"/>
        <w:widowControl/>
        <w:ind w:left="851"/>
        <w:rPr>
          <w:rFonts w:asciiTheme="majorBidi" w:hAnsiTheme="majorBidi" w:cstheme="majorBidi"/>
          <w:sz w:val="24"/>
          <w:szCs w:val="24"/>
          <w:lang w:val="da-DK"/>
        </w:rPr>
      </w:pPr>
    </w:p>
    <w:p w14:paraId="7DC1D018" w14:textId="77777777" w:rsidR="00886871" w:rsidRPr="00A91888" w:rsidRDefault="00886871" w:rsidP="00A91888">
      <w:pPr>
        <w:pStyle w:val="Brdtekst"/>
        <w:keepNext/>
        <w:keepLines/>
        <w:widowControl/>
        <w:ind w:left="851"/>
        <w:rPr>
          <w:rFonts w:asciiTheme="majorBidi" w:hAnsiTheme="majorBidi" w:cstheme="majorBidi"/>
          <w:sz w:val="24"/>
          <w:szCs w:val="24"/>
          <w:lang w:val="da-DK"/>
        </w:rPr>
      </w:pPr>
      <w:r w:rsidRPr="00A91888">
        <w:rPr>
          <w:rFonts w:asciiTheme="majorBidi" w:hAnsiTheme="majorBidi" w:cstheme="majorBidi"/>
          <w:sz w:val="24"/>
          <w:szCs w:val="24"/>
          <w:u w:val="single"/>
          <w:lang w:val="da-DK"/>
        </w:rPr>
        <w:t>Pædiatrisk</w:t>
      </w:r>
      <w:r w:rsidRPr="00A91888">
        <w:rPr>
          <w:rFonts w:asciiTheme="majorBidi" w:hAnsiTheme="majorBidi" w:cstheme="majorBidi"/>
          <w:spacing w:val="-10"/>
          <w:sz w:val="24"/>
          <w:szCs w:val="24"/>
          <w:u w:val="single"/>
          <w:lang w:val="da-DK"/>
        </w:rPr>
        <w:t xml:space="preserve"> </w:t>
      </w:r>
      <w:r w:rsidRPr="00A91888">
        <w:rPr>
          <w:rFonts w:asciiTheme="majorBidi" w:hAnsiTheme="majorBidi" w:cstheme="majorBidi"/>
          <w:spacing w:val="-2"/>
          <w:sz w:val="24"/>
          <w:szCs w:val="24"/>
          <w:u w:val="single"/>
          <w:lang w:val="da-DK"/>
        </w:rPr>
        <w:t>population</w:t>
      </w:r>
    </w:p>
    <w:p w14:paraId="69952223" w14:textId="77777777" w:rsidR="00886871" w:rsidRPr="00A91888" w:rsidRDefault="00886871" w:rsidP="00A91888">
      <w:pPr>
        <w:pStyle w:val="Brdtekst"/>
        <w:widowControl/>
        <w:ind w:left="851"/>
        <w:rPr>
          <w:rFonts w:asciiTheme="majorBidi" w:hAnsiTheme="majorBidi" w:cstheme="majorBidi"/>
          <w:sz w:val="24"/>
          <w:szCs w:val="24"/>
          <w:lang w:val="da-DK"/>
        </w:rPr>
      </w:pPr>
      <w:r w:rsidRPr="00A91888">
        <w:rPr>
          <w:rFonts w:asciiTheme="majorBidi" w:hAnsiTheme="majorBidi" w:cstheme="majorBidi"/>
          <w:sz w:val="24"/>
          <w:szCs w:val="24"/>
          <w:lang w:val="da-DK"/>
        </w:rPr>
        <w:t>Interaktionsstudier</w:t>
      </w:r>
      <w:r w:rsidRPr="00A91888">
        <w:rPr>
          <w:rFonts w:asciiTheme="majorBidi" w:hAnsiTheme="majorBidi" w:cstheme="majorBidi"/>
          <w:spacing w:val="-6"/>
          <w:sz w:val="24"/>
          <w:szCs w:val="24"/>
          <w:lang w:val="da-DK"/>
        </w:rPr>
        <w:t xml:space="preserve"> er kun udført </w:t>
      </w:r>
      <w:r w:rsidRPr="00A91888">
        <w:rPr>
          <w:rFonts w:asciiTheme="majorBidi" w:hAnsiTheme="majorBidi" w:cstheme="majorBidi"/>
          <w:sz w:val="24"/>
          <w:szCs w:val="24"/>
          <w:lang w:val="da-DK"/>
        </w:rPr>
        <w:t>hos</w:t>
      </w:r>
      <w:r w:rsidRPr="00A91888">
        <w:rPr>
          <w:rFonts w:asciiTheme="majorBidi" w:hAnsiTheme="majorBidi" w:cstheme="majorBidi"/>
          <w:spacing w:val="-6"/>
          <w:sz w:val="24"/>
          <w:szCs w:val="24"/>
          <w:lang w:val="da-DK"/>
        </w:rPr>
        <w:t xml:space="preserve"> </w:t>
      </w:r>
      <w:r w:rsidRPr="00A91888">
        <w:rPr>
          <w:rFonts w:asciiTheme="majorBidi" w:hAnsiTheme="majorBidi" w:cstheme="majorBidi"/>
          <w:spacing w:val="-2"/>
          <w:sz w:val="24"/>
          <w:szCs w:val="24"/>
          <w:lang w:val="da-DK"/>
        </w:rPr>
        <w:t>voksne.</w:t>
      </w:r>
    </w:p>
    <w:p w14:paraId="06328558" w14:textId="77777777" w:rsidR="009260DE" w:rsidRPr="00A91888" w:rsidRDefault="009260DE" w:rsidP="00A91888">
      <w:pPr>
        <w:tabs>
          <w:tab w:val="left" w:pos="851"/>
        </w:tabs>
        <w:ind w:left="851"/>
        <w:rPr>
          <w:sz w:val="24"/>
          <w:szCs w:val="24"/>
        </w:rPr>
      </w:pPr>
    </w:p>
    <w:p w14:paraId="5B322E99" w14:textId="77777777" w:rsidR="009260DE" w:rsidRPr="00C84483" w:rsidRDefault="009260DE" w:rsidP="00146E50">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61FCD18" w14:textId="77777777" w:rsidR="001A5891" w:rsidRDefault="001A5891" w:rsidP="00DB26E1">
      <w:pPr>
        <w:pStyle w:val="Brdtekst"/>
        <w:keepNext/>
        <w:keepLines/>
        <w:widowControl/>
        <w:ind w:left="851"/>
        <w:rPr>
          <w:rFonts w:asciiTheme="majorBidi" w:hAnsiTheme="majorBidi" w:cstheme="majorBidi"/>
          <w:sz w:val="24"/>
          <w:szCs w:val="24"/>
          <w:u w:val="single"/>
          <w:lang w:val="da-DK"/>
        </w:rPr>
      </w:pPr>
    </w:p>
    <w:p w14:paraId="170388C7" w14:textId="77B2EC4A"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Fertile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kvinder</w:t>
      </w:r>
    </w:p>
    <w:p w14:paraId="7106938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Fertile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kvinder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undgå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gravide,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p>
    <w:p w14:paraId="2456814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5AA558A" w14:textId="77777777" w:rsidR="00886871" w:rsidRPr="00307CA4" w:rsidRDefault="00886871" w:rsidP="00DB26E1">
      <w:pPr>
        <w:pStyle w:val="Brdtekst"/>
        <w:keepNext/>
        <w:keepLines/>
        <w:widowControl/>
        <w:ind w:left="851"/>
        <w:rPr>
          <w:rFonts w:asciiTheme="majorBidi" w:hAnsiTheme="majorBidi" w:cstheme="majorBidi"/>
          <w:spacing w:val="-2"/>
          <w:sz w:val="24"/>
          <w:szCs w:val="24"/>
          <w:u w:val="single"/>
          <w:lang w:val="da-DK"/>
        </w:rPr>
      </w:pPr>
      <w:r w:rsidRPr="00307CA4">
        <w:rPr>
          <w:rFonts w:asciiTheme="majorBidi" w:hAnsiTheme="majorBidi" w:cstheme="majorBidi"/>
          <w:spacing w:val="-2"/>
          <w:sz w:val="24"/>
          <w:szCs w:val="24"/>
          <w:u w:val="single"/>
          <w:lang w:val="da-DK"/>
        </w:rPr>
        <w:t>Graviditet</w:t>
      </w:r>
    </w:p>
    <w:p w14:paraId="2BA92F8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utilstrækkelige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anvendelse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gravide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kvinder.</w:t>
      </w:r>
    </w:p>
    <w:p w14:paraId="149042F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lastRenderedPageBreak/>
        <w:t>Dyreforsøg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reproduktionstoksicitet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5.3).</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potentielle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mennesker kendes ikke. 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anvendes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graviditeten,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medmindre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tvingende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indikation.</w:t>
      </w:r>
    </w:p>
    <w:p w14:paraId="7D6645D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7930F58" w14:textId="77777777" w:rsidR="00886871" w:rsidRPr="00307CA4" w:rsidRDefault="00886871" w:rsidP="00DB26E1">
      <w:pPr>
        <w:pStyle w:val="Brdtekst"/>
        <w:keepNext/>
        <w:keepLines/>
        <w:widowControl/>
        <w:ind w:left="851"/>
        <w:rPr>
          <w:rFonts w:asciiTheme="majorBidi" w:hAnsiTheme="majorBidi" w:cstheme="majorBidi"/>
          <w:spacing w:val="-2"/>
          <w:sz w:val="24"/>
          <w:szCs w:val="24"/>
          <w:u w:val="single"/>
          <w:lang w:val="da-DK"/>
        </w:rPr>
      </w:pPr>
      <w:r w:rsidRPr="00307CA4">
        <w:rPr>
          <w:rFonts w:asciiTheme="majorBidi" w:hAnsiTheme="majorBidi" w:cstheme="majorBidi"/>
          <w:spacing w:val="-2"/>
          <w:sz w:val="24"/>
          <w:szCs w:val="24"/>
          <w:u w:val="single"/>
          <w:lang w:val="da-DK"/>
        </w:rPr>
        <w:t>Amning</w:t>
      </w:r>
    </w:p>
    <w:p w14:paraId="55BD6BA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effekten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nyfødte,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ammes. Amning skal ophøre under behandling med dabigatranetexilat.</w:t>
      </w:r>
    </w:p>
    <w:p w14:paraId="5ED83DD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8C915DB"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Fertilitet</w:t>
      </w:r>
    </w:p>
    <w:p w14:paraId="66BFBF0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tilgængelige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mennesker.</w:t>
      </w:r>
    </w:p>
    <w:p w14:paraId="650F5DF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9945C9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dyreforsøg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påvirkning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hundyrs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fertilitet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færre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implantationer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præ-og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postnatale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forsøg sås en øget føtal mortalitet ved doser, der var toksiske for moderdyrene (en dosis svarende til en plasmaeksponering 4 gange højere end observeret hos patienter).</w:t>
      </w:r>
    </w:p>
    <w:p w14:paraId="4291A0E9" w14:textId="77777777" w:rsidR="009260DE" w:rsidRPr="00307CA4" w:rsidRDefault="009260DE" w:rsidP="00DB26E1">
      <w:pPr>
        <w:tabs>
          <w:tab w:val="left" w:pos="851"/>
        </w:tabs>
        <w:ind w:left="851"/>
        <w:rPr>
          <w:sz w:val="24"/>
          <w:szCs w:val="24"/>
        </w:rPr>
      </w:pPr>
    </w:p>
    <w:p w14:paraId="67D6E202" w14:textId="77777777" w:rsidR="009260DE" w:rsidRPr="00C84483" w:rsidRDefault="009260DE" w:rsidP="00146E5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9DB7DED" w14:textId="67FBD102" w:rsidR="00886871" w:rsidRPr="00307CA4" w:rsidRDefault="00886871" w:rsidP="00DB26E1">
      <w:pPr>
        <w:tabs>
          <w:tab w:val="left" w:pos="851"/>
        </w:tabs>
        <w:ind w:left="851"/>
        <w:rPr>
          <w:sz w:val="24"/>
          <w:szCs w:val="24"/>
        </w:rPr>
      </w:pPr>
      <w:r w:rsidRPr="00307CA4">
        <w:rPr>
          <w:sz w:val="24"/>
          <w:szCs w:val="24"/>
        </w:rPr>
        <w:t>Ikke mærkning.</w:t>
      </w:r>
    </w:p>
    <w:p w14:paraId="137CBBA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kun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ubetydelig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grad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evnen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føre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motorkøretøj</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betjene </w:t>
      </w:r>
      <w:r w:rsidRPr="00307CA4">
        <w:rPr>
          <w:rFonts w:asciiTheme="majorBidi" w:hAnsiTheme="majorBidi" w:cstheme="majorBidi"/>
          <w:spacing w:val="-2"/>
          <w:sz w:val="24"/>
          <w:szCs w:val="24"/>
          <w:lang w:val="da-DK"/>
        </w:rPr>
        <w:t>maskiner.</w:t>
      </w:r>
    </w:p>
    <w:p w14:paraId="31ADD7D8" w14:textId="77777777" w:rsidR="009260DE" w:rsidRPr="00307CA4" w:rsidRDefault="009260DE" w:rsidP="00DB26E1">
      <w:pPr>
        <w:tabs>
          <w:tab w:val="left" w:pos="851"/>
        </w:tabs>
        <w:ind w:left="851"/>
        <w:rPr>
          <w:sz w:val="24"/>
          <w:szCs w:val="24"/>
        </w:rPr>
      </w:pPr>
    </w:p>
    <w:p w14:paraId="753E3B54" w14:textId="77777777" w:rsidR="009260DE" w:rsidRPr="00C84483" w:rsidRDefault="009260DE" w:rsidP="00146E50">
      <w:pPr>
        <w:tabs>
          <w:tab w:val="left" w:pos="851"/>
        </w:tabs>
        <w:ind w:left="851" w:hanging="851"/>
        <w:rPr>
          <w:b/>
          <w:sz w:val="24"/>
          <w:szCs w:val="24"/>
        </w:rPr>
      </w:pPr>
      <w:r w:rsidRPr="00C84483">
        <w:rPr>
          <w:b/>
          <w:sz w:val="24"/>
          <w:szCs w:val="24"/>
        </w:rPr>
        <w:t>4.8</w:t>
      </w:r>
      <w:r w:rsidRPr="00C84483">
        <w:rPr>
          <w:b/>
          <w:sz w:val="24"/>
          <w:szCs w:val="24"/>
        </w:rPr>
        <w:tab/>
        <w:t>Bivirkninger</w:t>
      </w:r>
    </w:p>
    <w:p w14:paraId="44AA6A3D" w14:textId="77777777" w:rsidR="00886871" w:rsidRPr="00307CA4" w:rsidRDefault="00886871" w:rsidP="00DB26E1">
      <w:pPr>
        <w:pStyle w:val="Brdtekst"/>
        <w:keepNext/>
        <w:keepLines/>
        <w:widowControl/>
        <w:ind w:left="851"/>
        <w:rPr>
          <w:rFonts w:asciiTheme="majorBidi" w:hAnsiTheme="majorBidi" w:cstheme="majorBidi"/>
          <w:b/>
          <w:sz w:val="24"/>
          <w:szCs w:val="24"/>
          <w:lang w:val="da-DK"/>
        </w:rPr>
      </w:pPr>
    </w:p>
    <w:p w14:paraId="58BA6F4A"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Opsummering</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pacing w:val="-2"/>
          <w:sz w:val="24"/>
          <w:szCs w:val="24"/>
          <w:u w:val="single"/>
          <w:lang w:val="da-DK"/>
        </w:rPr>
        <w:t>sikkerhedsprofilen</w:t>
      </w:r>
    </w:p>
    <w:p w14:paraId="216CCF4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w:t>
      </w:r>
      <w:r w:rsidRPr="00307CA4">
        <w:rPr>
          <w:rFonts w:asciiTheme="majorBidi" w:hAnsiTheme="majorBidi" w:cstheme="majorBidi"/>
          <w:spacing w:val="-9"/>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samlet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evalueret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64.000</w:t>
      </w:r>
      <w:r w:rsidRPr="00307CA4">
        <w:rPr>
          <w:rFonts w:asciiTheme="majorBidi" w:hAnsiTheme="majorBidi" w:cstheme="majorBidi"/>
          <w:spacing w:val="-8"/>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hvoraf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5"/>
          <w:sz w:val="24"/>
          <w:szCs w:val="24"/>
          <w:lang w:val="da-DK"/>
        </w:rPr>
        <w:t xml:space="preserve">ca. </w:t>
      </w:r>
      <w:r w:rsidRPr="00307CA4">
        <w:rPr>
          <w:rFonts w:asciiTheme="majorBidi" w:hAnsiTheme="majorBidi" w:cstheme="majorBidi"/>
          <w:sz w:val="24"/>
          <w:szCs w:val="24"/>
          <w:lang w:val="da-DK"/>
        </w:rPr>
        <w:t>35 000</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dabigatranetexilat.</w:t>
      </w:r>
    </w:p>
    <w:p w14:paraId="6657DE6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3FB4A6A" w14:textId="5117D3C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Af 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 apopleksi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(langvarig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op</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3 år)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22</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bivirkninger,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5"/>
          <w:sz w:val="24"/>
          <w:szCs w:val="24"/>
          <w:lang w:val="da-DK"/>
        </w:rPr>
        <w:t xml:space="preserve"> 14 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 oplevede bivirkninger.</w:t>
      </w:r>
    </w:p>
    <w:p w14:paraId="6A62A52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567223C" w14:textId="1712770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 mest almindeligt rapporterede hændelser er blødninger, der forekommer hos cirka</w:t>
      </w:r>
      <w:r w:rsidR="00322A8A">
        <w:rPr>
          <w:rFonts w:asciiTheme="majorBidi" w:hAnsiTheme="majorBidi" w:cstheme="majorBidi"/>
          <w:sz w:val="24"/>
          <w:szCs w:val="24"/>
          <w:lang w:val="da-DK"/>
        </w:rPr>
        <w:t xml:space="preserve"> </w:t>
      </w:r>
      <w:r w:rsidRPr="00307CA4">
        <w:rPr>
          <w:rFonts w:asciiTheme="majorBidi" w:hAnsiTheme="majorBidi" w:cstheme="majorBidi"/>
          <w:sz w:val="24"/>
          <w:szCs w:val="24"/>
          <w:lang w:val="da-DK"/>
        </w:rPr>
        <w:t>16,6</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 atrieflimren behandlet langvarigt for at forebygge apopleksi og systemisk emboli og hos 14,4 % af de voksne patienter behandlet for DVT/LE. Derudover forekom blødning hos 19,4 % af patienterne i DVT/LE-forebyggelsesstudiet RE</w:t>
      </w:r>
      <w:r w:rsidRPr="00307CA4">
        <w:rPr>
          <w:rFonts w:asciiTheme="majorBidi" w:hAnsiTheme="majorBidi" w:cstheme="majorBidi"/>
          <w:sz w:val="24"/>
          <w:szCs w:val="24"/>
          <w:lang w:val="da-DK"/>
        </w:rPr>
        <w:noBreakHyphen/>
        <w:t>MEDY (voksne patienter) og hos 10,5</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af patienterne i DVT/LE- forebyggelsesstudiet RE</w:t>
      </w:r>
      <w:r w:rsidRPr="00307CA4">
        <w:rPr>
          <w:rFonts w:asciiTheme="majorBidi" w:hAnsiTheme="majorBidi" w:cstheme="majorBidi"/>
          <w:sz w:val="24"/>
          <w:szCs w:val="24"/>
          <w:lang w:val="da-DK"/>
        </w:rPr>
        <w:noBreakHyphen/>
        <w:t>SONATE (voksne patienter).</w:t>
      </w:r>
    </w:p>
    <w:p w14:paraId="409939C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4B5DCA" w14:textId="61990EB0"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Eftersom patientpopulationerne behandlet for de 3 indikationer ikke er sammenlignelige, og blødningerne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fordelt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over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organklasser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(SOC),</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kortfattet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beskrivelse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alle blødninger, opdelt efter indikation, angivet i tabel 1</w:t>
      </w:r>
      <w:r w:rsidR="00322A8A">
        <w:rPr>
          <w:rFonts w:asciiTheme="majorBidi" w:hAnsiTheme="majorBidi" w:cstheme="majorBidi"/>
          <w:sz w:val="24"/>
          <w:szCs w:val="24"/>
          <w:lang w:val="da-DK"/>
        </w:rPr>
        <w:t>2-15</w:t>
      </w:r>
      <w:r w:rsidRPr="00307CA4">
        <w:rPr>
          <w:rFonts w:asciiTheme="majorBidi" w:hAnsiTheme="majorBidi" w:cstheme="majorBidi"/>
          <w:sz w:val="24"/>
          <w:szCs w:val="24"/>
          <w:lang w:val="da-DK"/>
        </w:rPr>
        <w:t xml:space="preserve"> nedenfor.</w:t>
      </w:r>
    </w:p>
    <w:p w14:paraId="5359F2F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CC9B1E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Selvom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forekom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sjældent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opstå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svær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uafhængigt af placering kan have invaliderende, livstruende eller dødelig udgang.</w:t>
      </w:r>
    </w:p>
    <w:p w14:paraId="20BA1CF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EF719B6"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lastRenderedPageBreak/>
        <w:t>Tabeloversigt</w:t>
      </w:r>
      <w:r w:rsidRPr="00307CA4">
        <w:rPr>
          <w:rFonts w:asciiTheme="majorBidi" w:hAnsiTheme="majorBidi" w:cstheme="majorBidi"/>
          <w:spacing w:val="-9"/>
          <w:sz w:val="24"/>
          <w:szCs w:val="24"/>
          <w:u w:val="single"/>
          <w:lang w:val="da-DK"/>
        </w:rPr>
        <w:t xml:space="preserve"> </w:t>
      </w:r>
      <w:r w:rsidRPr="00307CA4">
        <w:rPr>
          <w:rFonts w:asciiTheme="majorBidi" w:hAnsiTheme="majorBidi" w:cstheme="majorBidi"/>
          <w:sz w:val="24"/>
          <w:szCs w:val="24"/>
          <w:u w:val="single"/>
          <w:lang w:val="da-DK"/>
        </w:rPr>
        <w:t>over</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4EFF2D65" w14:textId="1C2C4426"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w:t>
      </w:r>
      <w:r w:rsidR="00322A8A">
        <w:rPr>
          <w:rFonts w:asciiTheme="majorBidi" w:hAnsiTheme="majorBidi" w:cstheme="majorBidi"/>
          <w:sz w:val="24"/>
          <w:szCs w:val="24"/>
          <w:lang w:val="da-DK"/>
        </w:rPr>
        <w:t>1</w:t>
      </w:r>
      <w:r w:rsidRPr="00307CA4">
        <w:rPr>
          <w:rFonts w:asciiTheme="majorBidi" w:hAnsiTheme="majorBidi" w:cstheme="majorBidi"/>
          <w:sz w:val="24"/>
          <w:szCs w:val="24"/>
          <w:lang w:val="da-DK"/>
        </w:rPr>
        <w:t xml:space="preserve"> viser bivirkninger registreret fra studier og fra data efter markedsføring for indikationerne forebyggelse af tromboembolisk apopleksi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 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DVT/LE.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Bivirkningerne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opstillet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systemorganklasse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(SOC)</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hyppighed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 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følgende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klassifikation: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almindelig (≥ 1/1.000 til &lt; 1/100); sjælden (≥ 1/10.000 til &lt; 1/1.000); meget sjælden (&lt; 1/10.000); ikke kendt (kan ikke estimeres ud fra forhåndenværende data).</w:t>
      </w:r>
    </w:p>
    <w:p w14:paraId="2E7D5BE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A3B6917" w14:textId="56511C51"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sidR="00322A8A">
        <w:rPr>
          <w:rFonts w:asciiTheme="majorBidi" w:hAnsiTheme="majorBidi" w:cstheme="majorBidi"/>
          <w:lang w:val="da-DK"/>
        </w:rPr>
        <w:t>11</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spacing w:val="-2"/>
          <w:lang w:val="da-DK"/>
        </w:rPr>
        <w:t>Bivirkninger</w:t>
      </w:r>
    </w:p>
    <w:p w14:paraId="743B455C" w14:textId="3822C6F7" w:rsidR="00886871" w:rsidRDefault="00886871" w:rsidP="00146E50">
      <w:pPr>
        <w:pStyle w:val="Brdtekst"/>
        <w:keepNext/>
        <w:keepLines/>
        <w:widowControl/>
        <w:rPr>
          <w:rFonts w:asciiTheme="majorBidi" w:hAnsiTheme="majorBidi" w:cstheme="majorBidi"/>
          <w:b/>
          <w:lang w:val="da-DK"/>
        </w:rPr>
      </w:pPr>
    </w:p>
    <w:tbl>
      <w:tblPr>
        <w:tblW w:w="9287"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0"/>
        <w:gridCol w:w="2458"/>
        <w:gridCol w:w="3519"/>
      </w:tblGrid>
      <w:tr w:rsidR="00322A8A" w:rsidRPr="004402BD" w14:paraId="0CB15004" w14:textId="77777777" w:rsidTr="00322A8A">
        <w:trPr>
          <w:trHeight w:val="506"/>
        </w:trPr>
        <w:tc>
          <w:tcPr>
            <w:tcW w:w="3310" w:type="dxa"/>
          </w:tcPr>
          <w:p w14:paraId="5E0200C5" w14:textId="77777777" w:rsidR="00322A8A" w:rsidRPr="004402BD" w:rsidRDefault="00322A8A" w:rsidP="00322A8A">
            <w:pPr>
              <w:pStyle w:val="TableParagraph"/>
              <w:spacing w:line="240" w:lineRule="auto"/>
              <w:ind w:left="0"/>
              <w:rPr>
                <w:rFonts w:asciiTheme="majorBidi" w:hAnsiTheme="majorBidi" w:cstheme="majorBidi"/>
                <w:lang w:val="da-DK"/>
              </w:rPr>
            </w:pPr>
          </w:p>
        </w:tc>
        <w:tc>
          <w:tcPr>
            <w:tcW w:w="5977" w:type="dxa"/>
            <w:gridSpan w:val="2"/>
          </w:tcPr>
          <w:p w14:paraId="0DE45C30" w14:textId="77777777" w:rsidR="00322A8A" w:rsidRPr="004402BD" w:rsidRDefault="00322A8A" w:rsidP="00322A8A">
            <w:pPr>
              <w:pStyle w:val="TableParagraph"/>
              <w:spacing w:line="240" w:lineRule="auto"/>
              <w:ind w:left="2458" w:right="2508"/>
              <w:jc w:val="center"/>
              <w:rPr>
                <w:rFonts w:asciiTheme="majorBidi" w:hAnsiTheme="majorBidi" w:cstheme="majorBidi"/>
                <w:lang w:val="da-DK"/>
              </w:rPr>
            </w:pPr>
            <w:r w:rsidRPr="004402BD">
              <w:rPr>
                <w:rFonts w:asciiTheme="majorBidi" w:hAnsiTheme="majorBidi" w:cstheme="majorBidi"/>
                <w:spacing w:val="-2"/>
                <w:lang w:val="da-DK"/>
              </w:rPr>
              <w:t>Hyppighed</w:t>
            </w:r>
          </w:p>
        </w:tc>
      </w:tr>
      <w:tr w:rsidR="00322A8A" w:rsidRPr="002827EE" w14:paraId="593092C2" w14:textId="77777777" w:rsidTr="00322A8A">
        <w:trPr>
          <w:trHeight w:val="1012"/>
        </w:trPr>
        <w:tc>
          <w:tcPr>
            <w:tcW w:w="3310" w:type="dxa"/>
          </w:tcPr>
          <w:p w14:paraId="0957743C" w14:textId="77777777" w:rsidR="00322A8A" w:rsidRPr="004402BD" w:rsidRDefault="00322A8A" w:rsidP="00322A8A">
            <w:pPr>
              <w:pStyle w:val="TableParagraph"/>
              <w:spacing w:line="240" w:lineRule="auto"/>
              <w:ind w:right="110"/>
              <w:rPr>
                <w:rFonts w:asciiTheme="majorBidi" w:hAnsiTheme="majorBidi" w:cstheme="majorBidi"/>
                <w:lang w:val="da-DK"/>
              </w:rPr>
            </w:pPr>
            <w:r w:rsidRPr="004402BD">
              <w:rPr>
                <w:rFonts w:asciiTheme="majorBidi" w:hAnsiTheme="majorBidi" w:cstheme="majorBidi"/>
                <w:spacing w:val="-2"/>
                <w:lang w:val="da-DK"/>
              </w:rPr>
              <w:t xml:space="preserve">Systemorganklasse/foretrukken </w:t>
            </w:r>
            <w:r w:rsidRPr="004402BD">
              <w:rPr>
                <w:rFonts w:asciiTheme="majorBidi" w:hAnsiTheme="majorBidi" w:cstheme="majorBidi"/>
                <w:spacing w:val="-4"/>
                <w:lang w:val="da-DK"/>
              </w:rPr>
              <w:t>term</w:t>
            </w:r>
          </w:p>
        </w:tc>
        <w:tc>
          <w:tcPr>
            <w:tcW w:w="2458" w:type="dxa"/>
          </w:tcPr>
          <w:p w14:paraId="7B12DFE9" w14:textId="77777777" w:rsidR="00322A8A" w:rsidRPr="004402BD" w:rsidRDefault="00322A8A" w:rsidP="00322A8A">
            <w:pPr>
              <w:pStyle w:val="TableParagraph"/>
              <w:spacing w:line="240" w:lineRule="auto"/>
              <w:ind w:left="179" w:right="226" w:hanging="3"/>
              <w:jc w:val="center"/>
              <w:rPr>
                <w:rFonts w:asciiTheme="majorBidi" w:hAnsiTheme="majorBidi" w:cstheme="majorBidi"/>
                <w:lang w:val="da-DK"/>
              </w:rPr>
            </w:pPr>
            <w:r w:rsidRPr="004402BD">
              <w:rPr>
                <w:rFonts w:asciiTheme="majorBidi" w:hAnsiTheme="majorBidi" w:cstheme="majorBidi"/>
                <w:lang w:val="da-DK"/>
              </w:rPr>
              <w:t>Forebyggelse af apopleksi</w:t>
            </w:r>
            <w:r w:rsidRPr="004402BD">
              <w:rPr>
                <w:rFonts w:asciiTheme="majorBidi" w:hAnsiTheme="majorBidi" w:cstheme="majorBidi"/>
                <w:spacing w:val="-14"/>
                <w:lang w:val="da-DK"/>
              </w:rPr>
              <w:t xml:space="preserve"> </w:t>
            </w:r>
            <w:r w:rsidRPr="004402BD">
              <w:rPr>
                <w:rFonts w:asciiTheme="majorBidi" w:hAnsiTheme="majorBidi" w:cstheme="majorBidi"/>
                <w:lang w:val="da-DK"/>
              </w:rPr>
              <w:t>og</w:t>
            </w:r>
            <w:r w:rsidRPr="004402BD">
              <w:rPr>
                <w:rFonts w:asciiTheme="majorBidi" w:hAnsiTheme="majorBidi" w:cstheme="majorBidi"/>
                <w:spacing w:val="-14"/>
                <w:lang w:val="da-DK"/>
              </w:rPr>
              <w:t xml:space="preserve"> </w:t>
            </w:r>
            <w:r w:rsidRPr="004402BD">
              <w:rPr>
                <w:rFonts w:asciiTheme="majorBidi" w:hAnsiTheme="majorBidi" w:cstheme="majorBidi"/>
                <w:lang w:val="da-DK"/>
              </w:rPr>
              <w:t>systemisk emboli hos patienter</w:t>
            </w:r>
          </w:p>
          <w:p w14:paraId="1E24DDBD" w14:textId="77777777" w:rsidR="00322A8A" w:rsidRPr="004402BD" w:rsidRDefault="00322A8A" w:rsidP="00322A8A">
            <w:pPr>
              <w:pStyle w:val="TableParagraph"/>
              <w:spacing w:line="240" w:lineRule="auto"/>
              <w:ind w:left="458" w:right="505"/>
              <w:jc w:val="center"/>
              <w:rPr>
                <w:rFonts w:asciiTheme="majorBidi" w:hAnsiTheme="majorBidi" w:cstheme="majorBidi"/>
                <w:lang w:val="da-DK"/>
              </w:rPr>
            </w:pPr>
            <w:r w:rsidRPr="004402BD">
              <w:rPr>
                <w:rFonts w:asciiTheme="majorBidi" w:hAnsiTheme="majorBidi" w:cstheme="majorBidi"/>
                <w:lang w:val="da-DK"/>
              </w:rPr>
              <w:t>med</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atrieflimren</w:t>
            </w:r>
          </w:p>
        </w:tc>
        <w:tc>
          <w:tcPr>
            <w:tcW w:w="3519" w:type="dxa"/>
          </w:tcPr>
          <w:p w14:paraId="075B6B50" w14:textId="77777777" w:rsidR="00322A8A" w:rsidRPr="004402BD" w:rsidRDefault="00322A8A" w:rsidP="00322A8A">
            <w:pPr>
              <w:pStyle w:val="TableParagraph"/>
              <w:spacing w:line="240" w:lineRule="auto"/>
              <w:ind w:left="733" w:right="721" w:hanging="58"/>
              <w:rPr>
                <w:rFonts w:asciiTheme="majorBidi" w:hAnsiTheme="majorBidi" w:cstheme="majorBidi"/>
                <w:lang w:val="da-DK"/>
              </w:rPr>
            </w:pPr>
            <w:r w:rsidRPr="004402BD">
              <w:rPr>
                <w:rFonts w:asciiTheme="majorBidi" w:hAnsiTheme="majorBidi" w:cstheme="majorBidi"/>
                <w:lang w:val="da-DK"/>
              </w:rPr>
              <w:t>DVT/LE-behandling</w:t>
            </w:r>
            <w:r w:rsidRPr="004402BD">
              <w:rPr>
                <w:rFonts w:asciiTheme="majorBidi" w:hAnsiTheme="majorBidi" w:cstheme="majorBidi"/>
                <w:spacing w:val="-14"/>
                <w:lang w:val="da-DK"/>
              </w:rPr>
              <w:t xml:space="preserve"> </w:t>
            </w:r>
            <w:r w:rsidRPr="004402BD">
              <w:rPr>
                <w:rFonts w:asciiTheme="majorBidi" w:hAnsiTheme="majorBidi" w:cstheme="majorBidi"/>
                <w:lang w:val="da-DK"/>
              </w:rPr>
              <w:t xml:space="preserve">og </w:t>
            </w:r>
            <w:r w:rsidRPr="004402BD">
              <w:rPr>
                <w:rFonts w:asciiTheme="majorBidi" w:hAnsiTheme="majorBidi" w:cstheme="majorBidi"/>
                <w:spacing w:val="-2"/>
                <w:lang w:val="da-DK"/>
              </w:rPr>
              <w:t>DVT/LE-forebyggelse</w:t>
            </w:r>
          </w:p>
        </w:tc>
      </w:tr>
      <w:tr w:rsidR="00322A8A" w:rsidRPr="004402BD" w14:paraId="58D35203" w14:textId="77777777" w:rsidTr="00322A8A">
        <w:trPr>
          <w:trHeight w:val="253"/>
        </w:trPr>
        <w:tc>
          <w:tcPr>
            <w:tcW w:w="5768" w:type="dxa"/>
            <w:gridSpan w:val="2"/>
          </w:tcPr>
          <w:p w14:paraId="377B0D3F"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Blod</w:t>
            </w:r>
            <w:r w:rsidRPr="004402BD">
              <w:rPr>
                <w:rFonts w:asciiTheme="majorBidi" w:hAnsiTheme="majorBidi" w:cstheme="majorBidi"/>
                <w:spacing w:val="-3"/>
                <w:lang w:val="da-DK"/>
              </w:rPr>
              <w:t xml:space="preserve"> </w:t>
            </w:r>
            <w:r w:rsidRPr="004402BD">
              <w:rPr>
                <w:rFonts w:asciiTheme="majorBidi" w:hAnsiTheme="majorBidi" w:cstheme="majorBidi"/>
                <w:lang w:val="da-DK"/>
              </w:rPr>
              <w:t>og</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lymfesystem</w:t>
            </w:r>
          </w:p>
        </w:tc>
        <w:tc>
          <w:tcPr>
            <w:tcW w:w="3519" w:type="dxa"/>
          </w:tcPr>
          <w:p w14:paraId="06B7EB87" w14:textId="77777777" w:rsidR="00322A8A" w:rsidRPr="004402BD" w:rsidRDefault="00322A8A" w:rsidP="00322A8A">
            <w:pPr>
              <w:pStyle w:val="TableParagraph"/>
              <w:spacing w:line="240" w:lineRule="auto"/>
              <w:ind w:left="0"/>
              <w:rPr>
                <w:rFonts w:asciiTheme="majorBidi" w:hAnsiTheme="majorBidi" w:cstheme="majorBidi"/>
                <w:lang w:val="da-DK"/>
              </w:rPr>
            </w:pPr>
          </w:p>
        </w:tc>
      </w:tr>
      <w:tr w:rsidR="00322A8A" w:rsidRPr="004402BD" w14:paraId="21D9956C" w14:textId="77777777" w:rsidTr="00322A8A">
        <w:trPr>
          <w:trHeight w:val="251"/>
        </w:trPr>
        <w:tc>
          <w:tcPr>
            <w:tcW w:w="3310" w:type="dxa"/>
          </w:tcPr>
          <w:p w14:paraId="3DFE313B"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Anæmi</w:t>
            </w:r>
          </w:p>
        </w:tc>
        <w:tc>
          <w:tcPr>
            <w:tcW w:w="2458" w:type="dxa"/>
          </w:tcPr>
          <w:p w14:paraId="5BB36CBD"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0D5F735E"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585998F0" w14:textId="77777777" w:rsidTr="00322A8A">
        <w:trPr>
          <w:trHeight w:val="253"/>
        </w:trPr>
        <w:tc>
          <w:tcPr>
            <w:tcW w:w="3310" w:type="dxa"/>
          </w:tcPr>
          <w:p w14:paraId="3346138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Nedsat</w:t>
            </w:r>
            <w:r w:rsidRPr="004402BD">
              <w:rPr>
                <w:rFonts w:asciiTheme="majorBidi" w:hAnsiTheme="majorBidi" w:cstheme="majorBidi"/>
                <w:spacing w:val="-6"/>
                <w:lang w:val="da-DK"/>
              </w:rPr>
              <w:t xml:space="preserve"> </w:t>
            </w:r>
            <w:r w:rsidRPr="004402BD">
              <w:rPr>
                <w:rFonts w:asciiTheme="majorBidi" w:hAnsiTheme="majorBidi" w:cstheme="majorBidi"/>
                <w:spacing w:val="-2"/>
                <w:lang w:val="da-DK"/>
              </w:rPr>
              <w:t>hæmoglobin</w:t>
            </w:r>
          </w:p>
        </w:tc>
        <w:tc>
          <w:tcPr>
            <w:tcW w:w="2458" w:type="dxa"/>
          </w:tcPr>
          <w:p w14:paraId="2267B381"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7F5E1BB3"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0C0B8AB4" w14:textId="77777777" w:rsidTr="00322A8A">
        <w:trPr>
          <w:trHeight w:val="251"/>
        </w:trPr>
        <w:tc>
          <w:tcPr>
            <w:tcW w:w="3310" w:type="dxa"/>
          </w:tcPr>
          <w:p w14:paraId="004D1339"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Trombocytopeni</w:t>
            </w:r>
          </w:p>
        </w:tc>
        <w:tc>
          <w:tcPr>
            <w:tcW w:w="2458" w:type="dxa"/>
          </w:tcPr>
          <w:p w14:paraId="27E711A1"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669C0F80"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2180785F" w14:textId="77777777" w:rsidTr="00322A8A">
        <w:trPr>
          <w:trHeight w:val="254"/>
        </w:trPr>
        <w:tc>
          <w:tcPr>
            <w:tcW w:w="3310" w:type="dxa"/>
          </w:tcPr>
          <w:p w14:paraId="31D4CFC4"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Nedsat</w:t>
            </w:r>
            <w:r w:rsidRPr="004402BD">
              <w:rPr>
                <w:rFonts w:asciiTheme="majorBidi" w:hAnsiTheme="majorBidi" w:cstheme="majorBidi"/>
                <w:spacing w:val="-6"/>
                <w:lang w:val="da-DK"/>
              </w:rPr>
              <w:t xml:space="preserve"> </w:t>
            </w:r>
            <w:r w:rsidRPr="004402BD">
              <w:rPr>
                <w:rFonts w:asciiTheme="majorBidi" w:hAnsiTheme="majorBidi" w:cstheme="majorBidi"/>
                <w:spacing w:val="-2"/>
                <w:lang w:val="da-DK"/>
              </w:rPr>
              <w:t>hæmatokrit</w:t>
            </w:r>
          </w:p>
        </w:tc>
        <w:tc>
          <w:tcPr>
            <w:tcW w:w="2458" w:type="dxa"/>
          </w:tcPr>
          <w:p w14:paraId="4C336AC5"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6B93D5DD"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1DF7C2B2" w14:textId="77777777" w:rsidTr="00322A8A">
        <w:trPr>
          <w:trHeight w:val="253"/>
        </w:trPr>
        <w:tc>
          <w:tcPr>
            <w:tcW w:w="3310" w:type="dxa"/>
          </w:tcPr>
          <w:p w14:paraId="58969C5E"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Neutropeni</w:t>
            </w:r>
          </w:p>
        </w:tc>
        <w:tc>
          <w:tcPr>
            <w:tcW w:w="2458" w:type="dxa"/>
          </w:tcPr>
          <w:p w14:paraId="24F9A368" w14:textId="77777777" w:rsidR="00322A8A" w:rsidRPr="004402BD" w:rsidRDefault="00322A8A" w:rsidP="00322A8A">
            <w:pPr>
              <w:pStyle w:val="TableParagraph"/>
              <w:spacing w:line="240" w:lineRule="auto"/>
              <w:ind w:left="458" w:right="451"/>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c>
          <w:tcPr>
            <w:tcW w:w="3519" w:type="dxa"/>
          </w:tcPr>
          <w:p w14:paraId="17FE9DC8"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5668233E" w14:textId="77777777" w:rsidTr="00322A8A">
        <w:trPr>
          <w:trHeight w:val="251"/>
        </w:trPr>
        <w:tc>
          <w:tcPr>
            <w:tcW w:w="3310" w:type="dxa"/>
          </w:tcPr>
          <w:p w14:paraId="44F4F39E"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Agranulocytose</w:t>
            </w:r>
          </w:p>
        </w:tc>
        <w:tc>
          <w:tcPr>
            <w:tcW w:w="2458" w:type="dxa"/>
          </w:tcPr>
          <w:p w14:paraId="0432BCC8" w14:textId="77777777" w:rsidR="00322A8A" w:rsidRPr="004402BD" w:rsidRDefault="00322A8A" w:rsidP="00322A8A">
            <w:pPr>
              <w:pStyle w:val="TableParagraph"/>
              <w:spacing w:line="240" w:lineRule="auto"/>
              <w:ind w:left="458" w:right="451"/>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c>
          <w:tcPr>
            <w:tcW w:w="3519" w:type="dxa"/>
          </w:tcPr>
          <w:p w14:paraId="298109F7"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14853487" w14:textId="77777777" w:rsidTr="00322A8A">
        <w:trPr>
          <w:trHeight w:val="254"/>
        </w:trPr>
        <w:tc>
          <w:tcPr>
            <w:tcW w:w="9287" w:type="dxa"/>
            <w:gridSpan w:val="3"/>
          </w:tcPr>
          <w:p w14:paraId="741CEB8B"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2"/>
                <w:lang w:val="da-DK"/>
              </w:rPr>
              <w:t>Immunsystemet</w:t>
            </w:r>
          </w:p>
        </w:tc>
      </w:tr>
      <w:tr w:rsidR="00322A8A" w:rsidRPr="004402BD" w14:paraId="60426A4C" w14:textId="77777777" w:rsidTr="00322A8A">
        <w:trPr>
          <w:trHeight w:val="251"/>
        </w:trPr>
        <w:tc>
          <w:tcPr>
            <w:tcW w:w="3310" w:type="dxa"/>
          </w:tcPr>
          <w:p w14:paraId="553CCA6D"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Lægemiddeloverfølsomhed</w:t>
            </w:r>
          </w:p>
        </w:tc>
        <w:tc>
          <w:tcPr>
            <w:tcW w:w="2458" w:type="dxa"/>
          </w:tcPr>
          <w:p w14:paraId="182E97F5"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4E885C1C"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01CD495E" w14:textId="77777777" w:rsidTr="00322A8A">
        <w:trPr>
          <w:trHeight w:val="254"/>
        </w:trPr>
        <w:tc>
          <w:tcPr>
            <w:tcW w:w="3310" w:type="dxa"/>
          </w:tcPr>
          <w:p w14:paraId="6EF4D46D"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Udslæt</w:t>
            </w:r>
          </w:p>
        </w:tc>
        <w:tc>
          <w:tcPr>
            <w:tcW w:w="2458" w:type="dxa"/>
          </w:tcPr>
          <w:p w14:paraId="41864C3D"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582796B4"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CFC7F6B" w14:textId="77777777" w:rsidTr="00322A8A">
        <w:trPr>
          <w:trHeight w:val="251"/>
        </w:trPr>
        <w:tc>
          <w:tcPr>
            <w:tcW w:w="3310" w:type="dxa"/>
          </w:tcPr>
          <w:p w14:paraId="3B8443AF"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Pruritus</w:t>
            </w:r>
          </w:p>
        </w:tc>
        <w:tc>
          <w:tcPr>
            <w:tcW w:w="2458" w:type="dxa"/>
          </w:tcPr>
          <w:p w14:paraId="5C2574AE"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23FA1B78"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03BF9E0A" w14:textId="77777777" w:rsidTr="00322A8A">
        <w:trPr>
          <w:trHeight w:val="254"/>
        </w:trPr>
        <w:tc>
          <w:tcPr>
            <w:tcW w:w="3310" w:type="dxa"/>
          </w:tcPr>
          <w:p w14:paraId="0DB107E3"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Anafylaktisk</w:t>
            </w:r>
            <w:r w:rsidRPr="004402BD">
              <w:rPr>
                <w:rFonts w:asciiTheme="majorBidi" w:hAnsiTheme="majorBidi" w:cstheme="majorBidi"/>
                <w:spacing w:val="-12"/>
                <w:lang w:val="da-DK"/>
              </w:rPr>
              <w:t xml:space="preserve"> </w:t>
            </w:r>
            <w:r w:rsidRPr="004402BD">
              <w:rPr>
                <w:rFonts w:asciiTheme="majorBidi" w:hAnsiTheme="majorBidi" w:cstheme="majorBidi"/>
                <w:spacing w:val="-2"/>
                <w:lang w:val="da-DK"/>
              </w:rPr>
              <w:t>reaction</w:t>
            </w:r>
          </w:p>
        </w:tc>
        <w:tc>
          <w:tcPr>
            <w:tcW w:w="2458" w:type="dxa"/>
          </w:tcPr>
          <w:p w14:paraId="5B88450A"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15CD659B"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1BFF661C" w14:textId="77777777" w:rsidTr="00322A8A">
        <w:trPr>
          <w:trHeight w:val="506"/>
        </w:trPr>
        <w:tc>
          <w:tcPr>
            <w:tcW w:w="3310" w:type="dxa"/>
          </w:tcPr>
          <w:p w14:paraId="691E97FC"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Angioødem</w:t>
            </w:r>
          </w:p>
        </w:tc>
        <w:tc>
          <w:tcPr>
            <w:tcW w:w="2458" w:type="dxa"/>
          </w:tcPr>
          <w:p w14:paraId="55B97AC8"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47A83B80"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0EC73EDC" w14:textId="77777777" w:rsidTr="00322A8A">
        <w:trPr>
          <w:trHeight w:val="253"/>
        </w:trPr>
        <w:tc>
          <w:tcPr>
            <w:tcW w:w="3310" w:type="dxa"/>
          </w:tcPr>
          <w:p w14:paraId="2FFCF406"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Urticaria</w:t>
            </w:r>
          </w:p>
        </w:tc>
        <w:tc>
          <w:tcPr>
            <w:tcW w:w="2458" w:type="dxa"/>
          </w:tcPr>
          <w:p w14:paraId="162A5855"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718B79A9"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3C7B14D8" w14:textId="77777777" w:rsidTr="00322A8A">
        <w:trPr>
          <w:trHeight w:val="251"/>
        </w:trPr>
        <w:tc>
          <w:tcPr>
            <w:tcW w:w="3310" w:type="dxa"/>
          </w:tcPr>
          <w:p w14:paraId="0CC3382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Bronkospasme</w:t>
            </w:r>
          </w:p>
        </w:tc>
        <w:tc>
          <w:tcPr>
            <w:tcW w:w="2458" w:type="dxa"/>
          </w:tcPr>
          <w:p w14:paraId="384D9C17" w14:textId="77777777" w:rsidR="00322A8A" w:rsidRPr="004402BD" w:rsidRDefault="00322A8A" w:rsidP="00322A8A">
            <w:pPr>
              <w:pStyle w:val="TableParagraph"/>
              <w:spacing w:line="240" w:lineRule="auto"/>
              <w:ind w:left="458" w:right="451"/>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c>
          <w:tcPr>
            <w:tcW w:w="3519" w:type="dxa"/>
          </w:tcPr>
          <w:p w14:paraId="1469DE1F"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739F1E03" w14:textId="77777777" w:rsidTr="00322A8A">
        <w:trPr>
          <w:trHeight w:val="254"/>
        </w:trPr>
        <w:tc>
          <w:tcPr>
            <w:tcW w:w="9287" w:type="dxa"/>
            <w:gridSpan w:val="3"/>
          </w:tcPr>
          <w:p w14:paraId="58DB642E"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2"/>
                <w:lang w:val="da-DK"/>
              </w:rPr>
              <w:t>Nervesystemet</w:t>
            </w:r>
          </w:p>
        </w:tc>
      </w:tr>
      <w:tr w:rsidR="00322A8A" w:rsidRPr="004402BD" w14:paraId="3A305029" w14:textId="77777777" w:rsidTr="00322A8A">
        <w:trPr>
          <w:trHeight w:val="251"/>
        </w:trPr>
        <w:tc>
          <w:tcPr>
            <w:tcW w:w="3310" w:type="dxa"/>
          </w:tcPr>
          <w:p w14:paraId="3A4F491C"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Intrakraniel</w:t>
            </w:r>
            <w:r w:rsidRPr="004402BD">
              <w:rPr>
                <w:rFonts w:asciiTheme="majorBidi" w:hAnsiTheme="majorBidi" w:cstheme="majorBidi"/>
                <w:spacing w:val="-12"/>
                <w:lang w:val="da-DK"/>
              </w:rPr>
              <w:t xml:space="preserve"> </w:t>
            </w:r>
            <w:r w:rsidRPr="004402BD">
              <w:rPr>
                <w:rFonts w:asciiTheme="majorBidi" w:hAnsiTheme="majorBidi" w:cstheme="majorBidi"/>
                <w:spacing w:val="-2"/>
                <w:lang w:val="da-DK"/>
              </w:rPr>
              <w:t>blødning</w:t>
            </w:r>
          </w:p>
        </w:tc>
        <w:tc>
          <w:tcPr>
            <w:tcW w:w="2458" w:type="dxa"/>
          </w:tcPr>
          <w:p w14:paraId="0EB47FEE"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D9C8F40"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4AB71704" w14:textId="77777777" w:rsidTr="00322A8A">
        <w:trPr>
          <w:trHeight w:val="253"/>
        </w:trPr>
        <w:tc>
          <w:tcPr>
            <w:tcW w:w="9287" w:type="dxa"/>
            <w:gridSpan w:val="3"/>
          </w:tcPr>
          <w:p w14:paraId="6A7FFA6D"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Vaskulære</w:t>
            </w:r>
            <w:r w:rsidRPr="004402BD">
              <w:rPr>
                <w:rFonts w:asciiTheme="majorBidi" w:hAnsiTheme="majorBidi" w:cstheme="majorBidi"/>
                <w:spacing w:val="-9"/>
                <w:lang w:val="da-DK"/>
              </w:rPr>
              <w:t xml:space="preserve"> </w:t>
            </w:r>
            <w:r w:rsidRPr="004402BD">
              <w:rPr>
                <w:rFonts w:asciiTheme="majorBidi" w:hAnsiTheme="majorBidi" w:cstheme="majorBidi"/>
                <w:spacing w:val="-2"/>
                <w:lang w:val="da-DK"/>
              </w:rPr>
              <w:t>sygdomme</w:t>
            </w:r>
          </w:p>
        </w:tc>
      </w:tr>
      <w:tr w:rsidR="00322A8A" w:rsidRPr="004402BD" w14:paraId="1C45B55B" w14:textId="77777777" w:rsidTr="00322A8A">
        <w:trPr>
          <w:trHeight w:val="251"/>
        </w:trPr>
        <w:tc>
          <w:tcPr>
            <w:tcW w:w="3310" w:type="dxa"/>
          </w:tcPr>
          <w:p w14:paraId="6CFAD21C"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Hæmatom</w:t>
            </w:r>
          </w:p>
        </w:tc>
        <w:tc>
          <w:tcPr>
            <w:tcW w:w="2458" w:type="dxa"/>
          </w:tcPr>
          <w:p w14:paraId="6D5B7E52"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6A09FD42"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1BD2CBEA" w14:textId="77777777" w:rsidTr="00322A8A">
        <w:trPr>
          <w:trHeight w:val="254"/>
        </w:trPr>
        <w:tc>
          <w:tcPr>
            <w:tcW w:w="3310" w:type="dxa"/>
          </w:tcPr>
          <w:p w14:paraId="394B1882"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Blødning</w:t>
            </w:r>
          </w:p>
        </w:tc>
        <w:tc>
          <w:tcPr>
            <w:tcW w:w="2458" w:type="dxa"/>
          </w:tcPr>
          <w:p w14:paraId="10F812C3"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17F48D06"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0278C0A0" w14:textId="77777777" w:rsidTr="00322A8A">
        <w:trPr>
          <w:trHeight w:val="253"/>
        </w:trPr>
        <w:tc>
          <w:tcPr>
            <w:tcW w:w="9287" w:type="dxa"/>
            <w:gridSpan w:val="3"/>
          </w:tcPr>
          <w:p w14:paraId="00E59459"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Luftveje,</w:t>
            </w:r>
            <w:r w:rsidRPr="004402BD">
              <w:rPr>
                <w:rFonts w:asciiTheme="majorBidi" w:hAnsiTheme="majorBidi" w:cstheme="majorBidi"/>
                <w:spacing w:val="-6"/>
                <w:lang w:val="da-DK"/>
              </w:rPr>
              <w:t xml:space="preserve"> </w:t>
            </w:r>
            <w:r w:rsidRPr="004402BD">
              <w:rPr>
                <w:rFonts w:asciiTheme="majorBidi" w:hAnsiTheme="majorBidi" w:cstheme="majorBidi"/>
                <w:lang w:val="da-DK"/>
              </w:rPr>
              <w:t>thorax</w:t>
            </w:r>
            <w:r w:rsidRPr="004402BD">
              <w:rPr>
                <w:rFonts w:asciiTheme="majorBidi" w:hAnsiTheme="majorBidi" w:cstheme="majorBidi"/>
                <w:spacing w:val="-6"/>
                <w:lang w:val="da-DK"/>
              </w:rPr>
              <w:t xml:space="preserve"> </w:t>
            </w:r>
            <w:r w:rsidRPr="004402BD">
              <w:rPr>
                <w:rFonts w:asciiTheme="majorBidi" w:hAnsiTheme="majorBidi" w:cstheme="majorBidi"/>
                <w:lang w:val="da-DK"/>
              </w:rPr>
              <w:t>og</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mediastinum</w:t>
            </w:r>
          </w:p>
        </w:tc>
      </w:tr>
      <w:tr w:rsidR="00322A8A" w:rsidRPr="004402BD" w14:paraId="5656029B" w14:textId="77777777" w:rsidTr="00322A8A">
        <w:trPr>
          <w:trHeight w:val="251"/>
        </w:trPr>
        <w:tc>
          <w:tcPr>
            <w:tcW w:w="3310" w:type="dxa"/>
          </w:tcPr>
          <w:p w14:paraId="6D8266A2"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Næseblod</w:t>
            </w:r>
          </w:p>
        </w:tc>
        <w:tc>
          <w:tcPr>
            <w:tcW w:w="2458" w:type="dxa"/>
          </w:tcPr>
          <w:p w14:paraId="3EA83625"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5631FA23"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4402BD" w14:paraId="6645FC13" w14:textId="77777777" w:rsidTr="00322A8A">
        <w:trPr>
          <w:trHeight w:val="253"/>
        </w:trPr>
        <w:tc>
          <w:tcPr>
            <w:tcW w:w="3310" w:type="dxa"/>
          </w:tcPr>
          <w:p w14:paraId="3CAED1BF"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Hæmoptyse</w:t>
            </w:r>
          </w:p>
        </w:tc>
        <w:tc>
          <w:tcPr>
            <w:tcW w:w="2458" w:type="dxa"/>
          </w:tcPr>
          <w:p w14:paraId="19B15346"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42D45176"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19541B2" w14:textId="77777777" w:rsidTr="00322A8A">
        <w:trPr>
          <w:trHeight w:val="251"/>
        </w:trPr>
        <w:tc>
          <w:tcPr>
            <w:tcW w:w="9287" w:type="dxa"/>
            <w:gridSpan w:val="3"/>
          </w:tcPr>
          <w:p w14:paraId="25E4476F"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spacing w:val="-2"/>
                <w:lang w:val="da-DK"/>
              </w:rPr>
              <w:t>Mave-tarm-kanalen</w:t>
            </w:r>
          </w:p>
        </w:tc>
      </w:tr>
      <w:tr w:rsidR="00322A8A" w:rsidRPr="004402BD" w14:paraId="4137E40E" w14:textId="77777777" w:rsidTr="00322A8A">
        <w:trPr>
          <w:trHeight w:val="254"/>
        </w:trPr>
        <w:tc>
          <w:tcPr>
            <w:tcW w:w="3310" w:type="dxa"/>
          </w:tcPr>
          <w:p w14:paraId="16061160"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Gastrointestinal</w:t>
            </w:r>
            <w:r w:rsidRPr="004402BD">
              <w:rPr>
                <w:rFonts w:asciiTheme="majorBidi" w:hAnsiTheme="majorBidi" w:cstheme="majorBidi"/>
                <w:spacing w:val="16"/>
                <w:lang w:val="da-DK"/>
              </w:rPr>
              <w:t xml:space="preserve"> </w:t>
            </w:r>
            <w:r w:rsidRPr="004402BD">
              <w:rPr>
                <w:rFonts w:asciiTheme="majorBidi" w:hAnsiTheme="majorBidi" w:cstheme="majorBidi"/>
                <w:spacing w:val="-2"/>
                <w:lang w:val="da-DK"/>
              </w:rPr>
              <w:t>blødning</w:t>
            </w:r>
          </w:p>
        </w:tc>
        <w:tc>
          <w:tcPr>
            <w:tcW w:w="2458" w:type="dxa"/>
          </w:tcPr>
          <w:p w14:paraId="01D53CD6"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6C8B909E"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4402BD" w14:paraId="79E4ED0C" w14:textId="77777777" w:rsidTr="00322A8A">
        <w:trPr>
          <w:trHeight w:val="251"/>
        </w:trPr>
        <w:tc>
          <w:tcPr>
            <w:tcW w:w="3310" w:type="dxa"/>
          </w:tcPr>
          <w:p w14:paraId="1834B1CC"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Abdominalsmerter</w:t>
            </w:r>
          </w:p>
        </w:tc>
        <w:tc>
          <w:tcPr>
            <w:tcW w:w="2458" w:type="dxa"/>
          </w:tcPr>
          <w:p w14:paraId="3895A83D"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606410CA"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A298F6C" w14:textId="77777777" w:rsidTr="00322A8A">
        <w:trPr>
          <w:trHeight w:val="253"/>
        </w:trPr>
        <w:tc>
          <w:tcPr>
            <w:tcW w:w="3310" w:type="dxa"/>
          </w:tcPr>
          <w:p w14:paraId="5E66D32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Diarré</w:t>
            </w:r>
          </w:p>
        </w:tc>
        <w:tc>
          <w:tcPr>
            <w:tcW w:w="2458" w:type="dxa"/>
          </w:tcPr>
          <w:p w14:paraId="29BE76E0"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0AE339B5"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0B3D074B" w14:textId="77777777" w:rsidTr="00322A8A">
        <w:trPr>
          <w:trHeight w:val="253"/>
        </w:trPr>
        <w:tc>
          <w:tcPr>
            <w:tcW w:w="3310" w:type="dxa"/>
          </w:tcPr>
          <w:p w14:paraId="377004B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Dyspepsi</w:t>
            </w:r>
          </w:p>
        </w:tc>
        <w:tc>
          <w:tcPr>
            <w:tcW w:w="2458" w:type="dxa"/>
          </w:tcPr>
          <w:p w14:paraId="5F70C7B3"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04AA1039"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4402BD" w14:paraId="4174661F" w14:textId="77777777" w:rsidTr="00322A8A">
        <w:trPr>
          <w:trHeight w:val="251"/>
        </w:trPr>
        <w:tc>
          <w:tcPr>
            <w:tcW w:w="3310" w:type="dxa"/>
          </w:tcPr>
          <w:p w14:paraId="3F4D7EA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Kvalme</w:t>
            </w:r>
          </w:p>
        </w:tc>
        <w:tc>
          <w:tcPr>
            <w:tcW w:w="2458" w:type="dxa"/>
          </w:tcPr>
          <w:p w14:paraId="1B0054D6"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76C367DC"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64A912DC" w14:textId="77777777" w:rsidTr="00322A8A">
        <w:trPr>
          <w:trHeight w:val="253"/>
        </w:trPr>
        <w:tc>
          <w:tcPr>
            <w:tcW w:w="3310" w:type="dxa"/>
          </w:tcPr>
          <w:p w14:paraId="297E8F33"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Rektal</w:t>
            </w:r>
            <w:r w:rsidRPr="004402BD">
              <w:rPr>
                <w:rFonts w:asciiTheme="majorBidi" w:hAnsiTheme="majorBidi" w:cstheme="majorBidi"/>
                <w:spacing w:val="-6"/>
                <w:lang w:val="da-DK"/>
              </w:rPr>
              <w:t xml:space="preserve"> </w:t>
            </w:r>
            <w:r w:rsidRPr="004402BD">
              <w:rPr>
                <w:rFonts w:asciiTheme="majorBidi" w:hAnsiTheme="majorBidi" w:cstheme="majorBidi"/>
                <w:spacing w:val="-2"/>
                <w:lang w:val="da-DK"/>
              </w:rPr>
              <w:t>blødning</w:t>
            </w:r>
          </w:p>
        </w:tc>
        <w:tc>
          <w:tcPr>
            <w:tcW w:w="2458" w:type="dxa"/>
          </w:tcPr>
          <w:p w14:paraId="77486C7E"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0771D3A"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4402BD" w14:paraId="423487C1" w14:textId="77777777" w:rsidTr="00322A8A">
        <w:trPr>
          <w:trHeight w:val="251"/>
        </w:trPr>
        <w:tc>
          <w:tcPr>
            <w:tcW w:w="3310" w:type="dxa"/>
          </w:tcPr>
          <w:p w14:paraId="45456520"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Blødning</w:t>
            </w:r>
            <w:r w:rsidRPr="004402BD">
              <w:rPr>
                <w:rFonts w:asciiTheme="majorBidi" w:hAnsiTheme="majorBidi" w:cstheme="majorBidi"/>
                <w:spacing w:val="-5"/>
                <w:lang w:val="da-DK"/>
              </w:rPr>
              <w:t xml:space="preserve"> </w:t>
            </w:r>
            <w:r w:rsidRPr="004402BD">
              <w:rPr>
                <w:rFonts w:asciiTheme="majorBidi" w:hAnsiTheme="majorBidi" w:cstheme="majorBidi"/>
                <w:lang w:val="da-DK"/>
              </w:rPr>
              <w:t>fra</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hæmorider</w:t>
            </w:r>
          </w:p>
        </w:tc>
        <w:tc>
          <w:tcPr>
            <w:tcW w:w="2458" w:type="dxa"/>
          </w:tcPr>
          <w:p w14:paraId="12456959"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0BE74451"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5B83A0D4" w14:textId="77777777" w:rsidTr="00322A8A">
        <w:trPr>
          <w:trHeight w:val="506"/>
        </w:trPr>
        <w:tc>
          <w:tcPr>
            <w:tcW w:w="3310" w:type="dxa"/>
          </w:tcPr>
          <w:p w14:paraId="7448D70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Mave-tarm-sår,</w:t>
            </w:r>
            <w:r w:rsidRPr="004402BD">
              <w:rPr>
                <w:rFonts w:asciiTheme="majorBidi" w:hAnsiTheme="majorBidi" w:cstheme="majorBidi"/>
                <w:spacing w:val="-13"/>
                <w:lang w:val="da-DK"/>
              </w:rPr>
              <w:t xml:space="preserve"> </w:t>
            </w:r>
            <w:r w:rsidRPr="004402BD">
              <w:rPr>
                <w:rFonts w:asciiTheme="majorBidi" w:hAnsiTheme="majorBidi" w:cstheme="majorBidi"/>
                <w:spacing w:val="-2"/>
                <w:lang w:val="da-DK"/>
              </w:rPr>
              <w:t>inklusive</w:t>
            </w:r>
          </w:p>
          <w:p w14:paraId="296DC7D7"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øsofagealt</w:t>
            </w:r>
            <w:r w:rsidRPr="004402BD">
              <w:rPr>
                <w:rFonts w:asciiTheme="majorBidi" w:hAnsiTheme="majorBidi" w:cstheme="majorBidi"/>
                <w:spacing w:val="-10"/>
                <w:lang w:val="da-DK"/>
              </w:rPr>
              <w:t xml:space="preserve"> </w:t>
            </w:r>
            <w:r w:rsidRPr="004402BD">
              <w:rPr>
                <w:rFonts w:asciiTheme="majorBidi" w:hAnsiTheme="majorBidi" w:cstheme="majorBidi"/>
                <w:spacing w:val="-2"/>
                <w:lang w:val="da-DK"/>
              </w:rPr>
              <w:t>ulcus</w:t>
            </w:r>
          </w:p>
        </w:tc>
        <w:tc>
          <w:tcPr>
            <w:tcW w:w="2458" w:type="dxa"/>
          </w:tcPr>
          <w:p w14:paraId="739841AB"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31C30A9"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6EB33264" w14:textId="77777777" w:rsidTr="00322A8A">
        <w:trPr>
          <w:trHeight w:val="253"/>
        </w:trPr>
        <w:tc>
          <w:tcPr>
            <w:tcW w:w="3310" w:type="dxa"/>
          </w:tcPr>
          <w:p w14:paraId="63BDD242"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Gastroøsofagitis</w:t>
            </w:r>
          </w:p>
        </w:tc>
        <w:tc>
          <w:tcPr>
            <w:tcW w:w="2458" w:type="dxa"/>
          </w:tcPr>
          <w:p w14:paraId="043827BD"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79593780"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7957F76A" w14:textId="77777777" w:rsidTr="00322A8A">
        <w:trPr>
          <w:trHeight w:val="251"/>
        </w:trPr>
        <w:tc>
          <w:tcPr>
            <w:tcW w:w="3310" w:type="dxa"/>
          </w:tcPr>
          <w:p w14:paraId="6BA12122"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Gastroøsofageal</w:t>
            </w:r>
            <w:r w:rsidRPr="004402BD">
              <w:rPr>
                <w:rFonts w:asciiTheme="majorBidi" w:hAnsiTheme="majorBidi" w:cstheme="majorBidi"/>
                <w:spacing w:val="15"/>
                <w:lang w:val="da-DK"/>
              </w:rPr>
              <w:t xml:space="preserve"> </w:t>
            </w:r>
            <w:r w:rsidRPr="004402BD">
              <w:rPr>
                <w:rFonts w:asciiTheme="majorBidi" w:hAnsiTheme="majorBidi" w:cstheme="majorBidi"/>
                <w:spacing w:val="-2"/>
                <w:lang w:val="da-DK"/>
              </w:rPr>
              <w:t>reflukssygdom</w:t>
            </w:r>
          </w:p>
        </w:tc>
        <w:tc>
          <w:tcPr>
            <w:tcW w:w="2458" w:type="dxa"/>
          </w:tcPr>
          <w:p w14:paraId="1F810A77"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47B4D79"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0A65190E" w14:textId="77777777" w:rsidTr="00322A8A">
        <w:trPr>
          <w:trHeight w:val="253"/>
        </w:trPr>
        <w:tc>
          <w:tcPr>
            <w:tcW w:w="3310" w:type="dxa"/>
          </w:tcPr>
          <w:p w14:paraId="3EBBA34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Opkastning</w:t>
            </w:r>
          </w:p>
        </w:tc>
        <w:tc>
          <w:tcPr>
            <w:tcW w:w="2458" w:type="dxa"/>
          </w:tcPr>
          <w:p w14:paraId="3F72D74B"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3BA3A8E"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139C03CD" w14:textId="77777777" w:rsidTr="00322A8A">
        <w:trPr>
          <w:trHeight w:val="254"/>
        </w:trPr>
        <w:tc>
          <w:tcPr>
            <w:tcW w:w="3310" w:type="dxa"/>
          </w:tcPr>
          <w:p w14:paraId="637EDBCA"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lastRenderedPageBreak/>
              <w:t>Dysfagi</w:t>
            </w:r>
          </w:p>
        </w:tc>
        <w:tc>
          <w:tcPr>
            <w:tcW w:w="2458" w:type="dxa"/>
          </w:tcPr>
          <w:p w14:paraId="14C2CCF2"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103D1D5C"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40966786" w14:textId="77777777" w:rsidTr="00322A8A">
        <w:trPr>
          <w:trHeight w:val="251"/>
        </w:trPr>
        <w:tc>
          <w:tcPr>
            <w:tcW w:w="9287" w:type="dxa"/>
            <w:gridSpan w:val="3"/>
          </w:tcPr>
          <w:p w14:paraId="634A9DD9"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Lever</w:t>
            </w:r>
            <w:r w:rsidRPr="004402BD">
              <w:rPr>
                <w:rFonts w:asciiTheme="majorBidi" w:hAnsiTheme="majorBidi" w:cstheme="majorBidi"/>
                <w:spacing w:val="-4"/>
                <w:lang w:val="da-DK"/>
              </w:rPr>
              <w:t xml:space="preserve"> </w:t>
            </w:r>
            <w:r w:rsidRPr="004402BD">
              <w:rPr>
                <w:rFonts w:asciiTheme="majorBidi" w:hAnsiTheme="majorBidi" w:cstheme="majorBidi"/>
                <w:lang w:val="da-DK"/>
              </w:rPr>
              <w:t>og</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galdeveje</w:t>
            </w:r>
          </w:p>
        </w:tc>
      </w:tr>
      <w:tr w:rsidR="00322A8A" w:rsidRPr="004402BD" w14:paraId="2EDD792B" w14:textId="77777777" w:rsidTr="00322A8A">
        <w:trPr>
          <w:trHeight w:val="506"/>
        </w:trPr>
        <w:tc>
          <w:tcPr>
            <w:tcW w:w="3310" w:type="dxa"/>
          </w:tcPr>
          <w:p w14:paraId="650E436A"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Unormal</w:t>
            </w:r>
            <w:r w:rsidRPr="004402BD">
              <w:rPr>
                <w:rFonts w:asciiTheme="majorBidi" w:hAnsiTheme="majorBidi" w:cstheme="majorBidi"/>
                <w:spacing w:val="-7"/>
                <w:lang w:val="da-DK"/>
              </w:rPr>
              <w:t xml:space="preserve"> </w:t>
            </w:r>
            <w:r w:rsidRPr="004402BD">
              <w:rPr>
                <w:rFonts w:asciiTheme="majorBidi" w:hAnsiTheme="majorBidi" w:cstheme="majorBidi"/>
                <w:spacing w:val="-2"/>
                <w:lang w:val="da-DK"/>
              </w:rPr>
              <w:t>leverfunktion/unormal</w:t>
            </w:r>
          </w:p>
          <w:p w14:paraId="6F3D1B23"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leverfunktionstest</w:t>
            </w:r>
          </w:p>
        </w:tc>
        <w:tc>
          <w:tcPr>
            <w:tcW w:w="2458" w:type="dxa"/>
          </w:tcPr>
          <w:p w14:paraId="1647018F"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3D137788"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F960BFC" w14:textId="77777777" w:rsidTr="00322A8A">
        <w:trPr>
          <w:trHeight w:val="505"/>
        </w:trPr>
        <w:tc>
          <w:tcPr>
            <w:tcW w:w="3310" w:type="dxa"/>
          </w:tcPr>
          <w:p w14:paraId="017E3B8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Forhøjet</w:t>
            </w:r>
            <w:r w:rsidRPr="004402BD">
              <w:rPr>
                <w:rFonts w:asciiTheme="majorBidi" w:hAnsiTheme="majorBidi" w:cstheme="majorBidi"/>
                <w:spacing w:val="-8"/>
                <w:lang w:val="da-DK"/>
              </w:rPr>
              <w:t xml:space="preserve"> </w:t>
            </w:r>
            <w:r w:rsidRPr="004402BD">
              <w:rPr>
                <w:rFonts w:asciiTheme="majorBidi" w:hAnsiTheme="majorBidi" w:cstheme="majorBidi"/>
                <w:spacing w:val="-2"/>
                <w:lang w:val="da-DK"/>
              </w:rPr>
              <w:t>alaninaminotransferase</w:t>
            </w:r>
          </w:p>
        </w:tc>
        <w:tc>
          <w:tcPr>
            <w:tcW w:w="2458" w:type="dxa"/>
          </w:tcPr>
          <w:p w14:paraId="62BE0913"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2F6EFABE"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15059CAB" w14:textId="77777777" w:rsidTr="00322A8A">
        <w:trPr>
          <w:trHeight w:val="506"/>
        </w:trPr>
        <w:tc>
          <w:tcPr>
            <w:tcW w:w="3310" w:type="dxa"/>
          </w:tcPr>
          <w:p w14:paraId="4A56AEE5"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Forhøjet</w:t>
            </w:r>
          </w:p>
          <w:p w14:paraId="7A8053B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aspartataminotransferase</w:t>
            </w:r>
          </w:p>
        </w:tc>
        <w:tc>
          <w:tcPr>
            <w:tcW w:w="2458" w:type="dxa"/>
          </w:tcPr>
          <w:p w14:paraId="2817989A"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c>
          <w:tcPr>
            <w:tcW w:w="3519" w:type="dxa"/>
          </w:tcPr>
          <w:p w14:paraId="2C46039E"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1F835EC1" w14:textId="77777777" w:rsidTr="00322A8A">
        <w:trPr>
          <w:trHeight w:val="253"/>
        </w:trPr>
        <w:tc>
          <w:tcPr>
            <w:tcW w:w="3310" w:type="dxa"/>
          </w:tcPr>
          <w:p w14:paraId="1357FE8D"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Forhøjede</w:t>
            </w:r>
            <w:r w:rsidRPr="004402BD">
              <w:rPr>
                <w:rFonts w:asciiTheme="majorBidi" w:hAnsiTheme="majorBidi" w:cstheme="majorBidi"/>
                <w:spacing w:val="-9"/>
                <w:lang w:val="da-DK"/>
              </w:rPr>
              <w:t xml:space="preserve"> </w:t>
            </w:r>
            <w:r w:rsidRPr="004402BD">
              <w:rPr>
                <w:rFonts w:asciiTheme="majorBidi" w:hAnsiTheme="majorBidi" w:cstheme="majorBidi"/>
                <w:spacing w:val="-2"/>
                <w:lang w:val="da-DK"/>
              </w:rPr>
              <w:t>leverenzymer</w:t>
            </w:r>
          </w:p>
        </w:tc>
        <w:tc>
          <w:tcPr>
            <w:tcW w:w="2458" w:type="dxa"/>
          </w:tcPr>
          <w:p w14:paraId="31CD2411"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25ED6689"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AACE709" w14:textId="77777777" w:rsidTr="00322A8A">
        <w:trPr>
          <w:trHeight w:val="251"/>
        </w:trPr>
        <w:tc>
          <w:tcPr>
            <w:tcW w:w="3310" w:type="dxa"/>
          </w:tcPr>
          <w:p w14:paraId="0DD6C272"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Hyperbilirubinæmi</w:t>
            </w:r>
          </w:p>
        </w:tc>
        <w:tc>
          <w:tcPr>
            <w:tcW w:w="2458" w:type="dxa"/>
          </w:tcPr>
          <w:p w14:paraId="02EE48F7"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0A71CC07"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4402BD" w14:paraId="2C98E803" w14:textId="77777777" w:rsidTr="00322A8A">
        <w:trPr>
          <w:trHeight w:val="253"/>
        </w:trPr>
        <w:tc>
          <w:tcPr>
            <w:tcW w:w="9287" w:type="dxa"/>
            <w:gridSpan w:val="3"/>
          </w:tcPr>
          <w:p w14:paraId="66282178"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Hud</w:t>
            </w:r>
            <w:r w:rsidRPr="004402BD">
              <w:rPr>
                <w:rFonts w:asciiTheme="majorBidi" w:hAnsiTheme="majorBidi" w:cstheme="majorBidi"/>
                <w:spacing w:val="-5"/>
                <w:lang w:val="da-DK"/>
              </w:rPr>
              <w:t xml:space="preserve"> </w:t>
            </w:r>
            <w:r w:rsidRPr="004402BD">
              <w:rPr>
                <w:rFonts w:asciiTheme="majorBidi" w:hAnsiTheme="majorBidi" w:cstheme="majorBidi"/>
                <w:lang w:val="da-DK"/>
              </w:rPr>
              <w:t>og</w:t>
            </w:r>
            <w:r w:rsidRPr="004402BD">
              <w:rPr>
                <w:rFonts w:asciiTheme="majorBidi" w:hAnsiTheme="majorBidi" w:cstheme="majorBidi"/>
                <w:spacing w:val="-5"/>
                <w:lang w:val="da-DK"/>
              </w:rPr>
              <w:t xml:space="preserve"> </w:t>
            </w:r>
            <w:r w:rsidRPr="004402BD">
              <w:rPr>
                <w:rFonts w:asciiTheme="majorBidi" w:hAnsiTheme="majorBidi" w:cstheme="majorBidi"/>
                <w:lang w:val="da-DK"/>
              </w:rPr>
              <w:t>subkutane</w:t>
            </w:r>
            <w:r w:rsidRPr="004402BD">
              <w:rPr>
                <w:rFonts w:asciiTheme="majorBidi" w:hAnsiTheme="majorBidi" w:cstheme="majorBidi"/>
                <w:spacing w:val="-4"/>
                <w:lang w:val="da-DK"/>
              </w:rPr>
              <w:t xml:space="preserve"> </w:t>
            </w:r>
            <w:r w:rsidRPr="004402BD">
              <w:rPr>
                <w:rFonts w:asciiTheme="majorBidi" w:hAnsiTheme="majorBidi" w:cstheme="majorBidi"/>
                <w:spacing w:val="-5"/>
                <w:lang w:val="da-DK"/>
              </w:rPr>
              <w:t>væv</w:t>
            </w:r>
          </w:p>
        </w:tc>
      </w:tr>
      <w:tr w:rsidR="00322A8A" w:rsidRPr="004402BD" w14:paraId="68151A0D" w14:textId="77777777" w:rsidTr="00322A8A">
        <w:trPr>
          <w:trHeight w:val="254"/>
        </w:trPr>
        <w:tc>
          <w:tcPr>
            <w:tcW w:w="3310" w:type="dxa"/>
          </w:tcPr>
          <w:p w14:paraId="010998C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Blødning</w:t>
            </w:r>
            <w:r w:rsidRPr="004402BD">
              <w:rPr>
                <w:rFonts w:asciiTheme="majorBidi" w:hAnsiTheme="majorBidi" w:cstheme="majorBidi"/>
                <w:spacing w:val="-5"/>
                <w:lang w:val="da-DK"/>
              </w:rPr>
              <w:t xml:space="preserve"> </w:t>
            </w:r>
            <w:r w:rsidRPr="004402BD">
              <w:rPr>
                <w:rFonts w:asciiTheme="majorBidi" w:hAnsiTheme="majorBidi" w:cstheme="majorBidi"/>
                <w:lang w:val="da-DK"/>
              </w:rPr>
              <w:t>i</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huden</w:t>
            </w:r>
          </w:p>
        </w:tc>
        <w:tc>
          <w:tcPr>
            <w:tcW w:w="2458" w:type="dxa"/>
          </w:tcPr>
          <w:p w14:paraId="6835D989"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74E74A2A"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4402BD" w14:paraId="63EF0176" w14:textId="77777777" w:rsidTr="00322A8A">
        <w:trPr>
          <w:trHeight w:val="251"/>
        </w:trPr>
        <w:tc>
          <w:tcPr>
            <w:tcW w:w="3310" w:type="dxa"/>
          </w:tcPr>
          <w:p w14:paraId="0C955B0A"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Alopeci</w:t>
            </w:r>
          </w:p>
        </w:tc>
        <w:tc>
          <w:tcPr>
            <w:tcW w:w="2458" w:type="dxa"/>
          </w:tcPr>
          <w:p w14:paraId="58D23AD7" w14:textId="77777777" w:rsidR="00322A8A" w:rsidRPr="004402BD" w:rsidRDefault="00322A8A" w:rsidP="00322A8A">
            <w:pPr>
              <w:pStyle w:val="TableParagraph"/>
              <w:spacing w:line="240" w:lineRule="auto"/>
              <w:ind w:left="458" w:right="451"/>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c>
          <w:tcPr>
            <w:tcW w:w="3519" w:type="dxa"/>
          </w:tcPr>
          <w:p w14:paraId="14282A64" w14:textId="77777777" w:rsidR="00322A8A" w:rsidRPr="004402BD" w:rsidRDefault="00322A8A" w:rsidP="00322A8A">
            <w:pPr>
              <w:pStyle w:val="TableParagraph"/>
              <w:spacing w:line="240" w:lineRule="auto"/>
              <w:ind w:left="1054"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kendt</w:t>
            </w:r>
          </w:p>
        </w:tc>
      </w:tr>
      <w:tr w:rsidR="00322A8A" w:rsidRPr="002827EE" w14:paraId="2B23F0C4" w14:textId="77777777" w:rsidTr="00322A8A">
        <w:trPr>
          <w:trHeight w:val="253"/>
        </w:trPr>
        <w:tc>
          <w:tcPr>
            <w:tcW w:w="9287" w:type="dxa"/>
            <w:gridSpan w:val="3"/>
          </w:tcPr>
          <w:p w14:paraId="6318027A"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Knogler,</w:t>
            </w:r>
            <w:r w:rsidRPr="004402BD">
              <w:rPr>
                <w:rFonts w:asciiTheme="majorBidi" w:hAnsiTheme="majorBidi" w:cstheme="majorBidi"/>
                <w:spacing w:val="-6"/>
                <w:lang w:val="da-DK"/>
              </w:rPr>
              <w:t xml:space="preserve"> </w:t>
            </w:r>
            <w:r w:rsidRPr="004402BD">
              <w:rPr>
                <w:rFonts w:asciiTheme="majorBidi" w:hAnsiTheme="majorBidi" w:cstheme="majorBidi"/>
                <w:lang w:val="da-DK"/>
              </w:rPr>
              <w:t>led,</w:t>
            </w:r>
            <w:r w:rsidRPr="004402BD">
              <w:rPr>
                <w:rFonts w:asciiTheme="majorBidi" w:hAnsiTheme="majorBidi" w:cstheme="majorBidi"/>
                <w:spacing w:val="-4"/>
                <w:lang w:val="da-DK"/>
              </w:rPr>
              <w:t xml:space="preserve"> </w:t>
            </w:r>
            <w:r w:rsidRPr="004402BD">
              <w:rPr>
                <w:rFonts w:asciiTheme="majorBidi" w:hAnsiTheme="majorBidi" w:cstheme="majorBidi"/>
                <w:lang w:val="da-DK"/>
              </w:rPr>
              <w:t>muskler</w:t>
            </w:r>
            <w:r w:rsidRPr="004402BD">
              <w:rPr>
                <w:rFonts w:asciiTheme="majorBidi" w:hAnsiTheme="majorBidi" w:cstheme="majorBidi"/>
                <w:spacing w:val="-5"/>
                <w:lang w:val="da-DK"/>
              </w:rPr>
              <w:t xml:space="preserve"> </w:t>
            </w:r>
            <w:r w:rsidRPr="004402BD">
              <w:rPr>
                <w:rFonts w:asciiTheme="majorBidi" w:hAnsiTheme="majorBidi" w:cstheme="majorBidi"/>
                <w:lang w:val="da-DK"/>
              </w:rPr>
              <w:t>og</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bindevæv</w:t>
            </w:r>
          </w:p>
        </w:tc>
      </w:tr>
      <w:tr w:rsidR="00322A8A" w:rsidRPr="004402BD" w14:paraId="5696E5A5" w14:textId="77777777" w:rsidTr="00322A8A">
        <w:trPr>
          <w:trHeight w:val="251"/>
        </w:trPr>
        <w:tc>
          <w:tcPr>
            <w:tcW w:w="3310" w:type="dxa"/>
          </w:tcPr>
          <w:p w14:paraId="1CD85F01"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Hæmartrose</w:t>
            </w:r>
          </w:p>
        </w:tc>
        <w:tc>
          <w:tcPr>
            <w:tcW w:w="2458" w:type="dxa"/>
          </w:tcPr>
          <w:p w14:paraId="33C16E00"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1EA5B82A"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49CC42BA" w14:textId="77777777" w:rsidTr="00322A8A">
        <w:trPr>
          <w:trHeight w:val="253"/>
        </w:trPr>
        <w:tc>
          <w:tcPr>
            <w:tcW w:w="9287" w:type="dxa"/>
            <w:gridSpan w:val="3"/>
          </w:tcPr>
          <w:p w14:paraId="75F4C23B"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Nyrer</w:t>
            </w:r>
            <w:r w:rsidRPr="004402BD">
              <w:rPr>
                <w:rFonts w:asciiTheme="majorBidi" w:hAnsiTheme="majorBidi" w:cstheme="majorBidi"/>
                <w:spacing w:val="-4"/>
                <w:lang w:val="da-DK"/>
              </w:rPr>
              <w:t xml:space="preserve"> </w:t>
            </w:r>
            <w:r w:rsidRPr="004402BD">
              <w:rPr>
                <w:rFonts w:asciiTheme="majorBidi" w:hAnsiTheme="majorBidi" w:cstheme="majorBidi"/>
                <w:lang w:val="da-DK"/>
              </w:rPr>
              <w:t>og</w:t>
            </w:r>
            <w:r w:rsidRPr="004402BD">
              <w:rPr>
                <w:rFonts w:asciiTheme="majorBidi" w:hAnsiTheme="majorBidi" w:cstheme="majorBidi"/>
                <w:spacing w:val="-3"/>
                <w:lang w:val="da-DK"/>
              </w:rPr>
              <w:t xml:space="preserve"> </w:t>
            </w:r>
            <w:r w:rsidRPr="004402BD">
              <w:rPr>
                <w:rFonts w:asciiTheme="majorBidi" w:hAnsiTheme="majorBidi" w:cstheme="majorBidi"/>
                <w:spacing w:val="-2"/>
                <w:lang w:val="da-DK"/>
              </w:rPr>
              <w:t>urinveje</w:t>
            </w:r>
          </w:p>
        </w:tc>
      </w:tr>
      <w:tr w:rsidR="00322A8A" w:rsidRPr="004402BD" w14:paraId="53C61A65" w14:textId="77777777" w:rsidTr="00322A8A">
        <w:trPr>
          <w:trHeight w:val="506"/>
        </w:trPr>
        <w:tc>
          <w:tcPr>
            <w:tcW w:w="3310" w:type="dxa"/>
          </w:tcPr>
          <w:p w14:paraId="3C28A5A0"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Urogenital</w:t>
            </w:r>
            <w:r w:rsidRPr="004402BD">
              <w:rPr>
                <w:rFonts w:asciiTheme="majorBidi" w:hAnsiTheme="majorBidi" w:cstheme="majorBidi"/>
                <w:spacing w:val="-10"/>
                <w:lang w:val="da-DK"/>
              </w:rPr>
              <w:t xml:space="preserve"> </w:t>
            </w:r>
            <w:r w:rsidRPr="004402BD">
              <w:rPr>
                <w:rFonts w:asciiTheme="majorBidi" w:hAnsiTheme="majorBidi" w:cstheme="majorBidi"/>
                <w:lang w:val="da-DK"/>
              </w:rPr>
              <w:t>blødning,</w:t>
            </w:r>
            <w:r w:rsidRPr="004402BD">
              <w:rPr>
                <w:rFonts w:asciiTheme="majorBidi" w:hAnsiTheme="majorBidi" w:cstheme="majorBidi"/>
                <w:spacing w:val="-9"/>
                <w:lang w:val="da-DK"/>
              </w:rPr>
              <w:t xml:space="preserve"> </w:t>
            </w:r>
            <w:r w:rsidRPr="004402BD">
              <w:rPr>
                <w:rFonts w:asciiTheme="majorBidi" w:hAnsiTheme="majorBidi" w:cstheme="majorBidi"/>
                <w:spacing w:val="-2"/>
                <w:lang w:val="da-DK"/>
              </w:rPr>
              <w:t>inklusive</w:t>
            </w:r>
          </w:p>
          <w:p w14:paraId="7E66AC9C"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spacing w:val="-2"/>
                <w:lang w:val="da-DK"/>
              </w:rPr>
              <w:t>hæmaturi</w:t>
            </w:r>
          </w:p>
        </w:tc>
        <w:tc>
          <w:tcPr>
            <w:tcW w:w="2458" w:type="dxa"/>
          </w:tcPr>
          <w:p w14:paraId="43F8D36F" w14:textId="77777777" w:rsidR="00322A8A" w:rsidRPr="004402BD" w:rsidRDefault="00322A8A" w:rsidP="00322A8A">
            <w:pPr>
              <w:pStyle w:val="TableParagraph"/>
              <w:spacing w:line="240" w:lineRule="auto"/>
              <w:ind w:left="458" w:right="448"/>
              <w:jc w:val="center"/>
              <w:rPr>
                <w:rFonts w:asciiTheme="majorBidi" w:hAnsiTheme="majorBidi" w:cstheme="majorBidi"/>
                <w:lang w:val="da-DK"/>
              </w:rPr>
            </w:pPr>
            <w:r w:rsidRPr="004402BD">
              <w:rPr>
                <w:rFonts w:asciiTheme="majorBidi" w:hAnsiTheme="majorBidi" w:cstheme="majorBidi"/>
                <w:spacing w:val="-2"/>
                <w:lang w:val="da-DK"/>
              </w:rPr>
              <w:t>Almindelig</w:t>
            </w:r>
          </w:p>
        </w:tc>
        <w:tc>
          <w:tcPr>
            <w:tcW w:w="3519" w:type="dxa"/>
          </w:tcPr>
          <w:p w14:paraId="3BD41F6B"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spacing w:val="-2"/>
                <w:lang w:val="da-DK"/>
              </w:rPr>
              <w:t>Almindelig</w:t>
            </w:r>
          </w:p>
        </w:tc>
      </w:tr>
      <w:tr w:rsidR="00322A8A" w:rsidRPr="002827EE" w14:paraId="0B811149" w14:textId="77777777" w:rsidTr="00322A8A">
        <w:trPr>
          <w:trHeight w:val="253"/>
        </w:trPr>
        <w:tc>
          <w:tcPr>
            <w:tcW w:w="9287" w:type="dxa"/>
            <w:gridSpan w:val="3"/>
          </w:tcPr>
          <w:p w14:paraId="71EF7C51"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Almene</w:t>
            </w:r>
            <w:r w:rsidRPr="004402BD">
              <w:rPr>
                <w:rFonts w:asciiTheme="majorBidi" w:hAnsiTheme="majorBidi" w:cstheme="majorBidi"/>
                <w:spacing w:val="-8"/>
                <w:lang w:val="da-DK"/>
              </w:rPr>
              <w:t xml:space="preserve"> </w:t>
            </w:r>
            <w:r w:rsidRPr="004402BD">
              <w:rPr>
                <w:rFonts w:asciiTheme="majorBidi" w:hAnsiTheme="majorBidi" w:cstheme="majorBidi"/>
                <w:lang w:val="da-DK"/>
              </w:rPr>
              <w:t>symptomer</w:t>
            </w:r>
            <w:r w:rsidRPr="004402BD">
              <w:rPr>
                <w:rFonts w:asciiTheme="majorBidi" w:hAnsiTheme="majorBidi" w:cstheme="majorBidi"/>
                <w:spacing w:val="-6"/>
                <w:lang w:val="da-DK"/>
              </w:rPr>
              <w:t xml:space="preserve"> </w:t>
            </w:r>
            <w:r w:rsidRPr="004402BD">
              <w:rPr>
                <w:rFonts w:asciiTheme="majorBidi" w:hAnsiTheme="majorBidi" w:cstheme="majorBidi"/>
                <w:lang w:val="da-DK"/>
              </w:rPr>
              <w:t>og</w:t>
            </w:r>
            <w:r w:rsidRPr="004402BD">
              <w:rPr>
                <w:rFonts w:asciiTheme="majorBidi" w:hAnsiTheme="majorBidi" w:cstheme="majorBidi"/>
                <w:spacing w:val="-6"/>
                <w:lang w:val="da-DK"/>
              </w:rPr>
              <w:t xml:space="preserve"> </w:t>
            </w:r>
            <w:r w:rsidRPr="004402BD">
              <w:rPr>
                <w:rFonts w:asciiTheme="majorBidi" w:hAnsiTheme="majorBidi" w:cstheme="majorBidi"/>
                <w:lang w:val="da-DK"/>
              </w:rPr>
              <w:t>reaktioner</w:t>
            </w:r>
            <w:r w:rsidRPr="004402BD">
              <w:rPr>
                <w:rFonts w:asciiTheme="majorBidi" w:hAnsiTheme="majorBidi" w:cstheme="majorBidi"/>
                <w:spacing w:val="-6"/>
                <w:lang w:val="da-DK"/>
              </w:rPr>
              <w:t xml:space="preserve"> </w:t>
            </w:r>
            <w:r w:rsidRPr="004402BD">
              <w:rPr>
                <w:rFonts w:asciiTheme="majorBidi" w:hAnsiTheme="majorBidi" w:cstheme="majorBidi"/>
                <w:lang w:val="da-DK"/>
              </w:rPr>
              <w:t>på</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administrationsstedet</w:t>
            </w:r>
          </w:p>
        </w:tc>
      </w:tr>
      <w:tr w:rsidR="00322A8A" w:rsidRPr="004402BD" w14:paraId="65BF9FEA" w14:textId="77777777" w:rsidTr="00322A8A">
        <w:trPr>
          <w:trHeight w:val="251"/>
        </w:trPr>
        <w:tc>
          <w:tcPr>
            <w:tcW w:w="3310" w:type="dxa"/>
          </w:tcPr>
          <w:p w14:paraId="7180D9AF"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Blødning</w:t>
            </w:r>
            <w:r w:rsidRPr="004402BD">
              <w:rPr>
                <w:rFonts w:asciiTheme="majorBidi" w:hAnsiTheme="majorBidi" w:cstheme="majorBidi"/>
                <w:spacing w:val="-8"/>
                <w:lang w:val="da-DK"/>
              </w:rPr>
              <w:t xml:space="preserve"> </w:t>
            </w:r>
            <w:r w:rsidRPr="004402BD">
              <w:rPr>
                <w:rFonts w:asciiTheme="majorBidi" w:hAnsiTheme="majorBidi" w:cstheme="majorBidi"/>
                <w:lang w:val="da-DK"/>
              </w:rPr>
              <w:t>ved</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injektionsstedet</w:t>
            </w:r>
          </w:p>
        </w:tc>
        <w:tc>
          <w:tcPr>
            <w:tcW w:w="2458" w:type="dxa"/>
          </w:tcPr>
          <w:p w14:paraId="772C094E"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6F6DE38E"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5E540BC9" w14:textId="77777777" w:rsidTr="00322A8A">
        <w:trPr>
          <w:trHeight w:val="254"/>
        </w:trPr>
        <w:tc>
          <w:tcPr>
            <w:tcW w:w="3310" w:type="dxa"/>
          </w:tcPr>
          <w:p w14:paraId="0366D26A"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Blødning</w:t>
            </w:r>
            <w:r w:rsidRPr="004402BD">
              <w:rPr>
                <w:rFonts w:asciiTheme="majorBidi" w:hAnsiTheme="majorBidi" w:cstheme="majorBidi"/>
                <w:spacing w:val="-8"/>
                <w:lang w:val="da-DK"/>
              </w:rPr>
              <w:t xml:space="preserve"> </w:t>
            </w:r>
            <w:r w:rsidRPr="004402BD">
              <w:rPr>
                <w:rFonts w:asciiTheme="majorBidi" w:hAnsiTheme="majorBidi" w:cstheme="majorBidi"/>
                <w:lang w:val="da-DK"/>
              </w:rPr>
              <w:t>omkring</w:t>
            </w:r>
            <w:r w:rsidRPr="004402BD">
              <w:rPr>
                <w:rFonts w:asciiTheme="majorBidi" w:hAnsiTheme="majorBidi" w:cstheme="majorBidi"/>
                <w:spacing w:val="-7"/>
                <w:lang w:val="da-DK"/>
              </w:rPr>
              <w:t xml:space="preserve"> </w:t>
            </w:r>
            <w:r w:rsidRPr="004402BD">
              <w:rPr>
                <w:rFonts w:asciiTheme="majorBidi" w:hAnsiTheme="majorBidi" w:cstheme="majorBidi"/>
                <w:spacing w:val="-2"/>
                <w:lang w:val="da-DK"/>
              </w:rPr>
              <w:t>kateter</w:t>
            </w:r>
          </w:p>
        </w:tc>
        <w:tc>
          <w:tcPr>
            <w:tcW w:w="2458" w:type="dxa"/>
          </w:tcPr>
          <w:p w14:paraId="1AA2F065"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77ED1BE5"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r w:rsidR="00322A8A" w:rsidRPr="004402BD" w14:paraId="3083CD3E" w14:textId="77777777" w:rsidTr="00322A8A">
        <w:trPr>
          <w:trHeight w:val="251"/>
        </w:trPr>
        <w:tc>
          <w:tcPr>
            <w:tcW w:w="9287" w:type="dxa"/>
            <w:gridSpan w:val="3"/>
          </w:tcPr>
          <w:p w14:paraId="595517ED" w14:textId="77777777" w:rsidR="00322A8A" w:rsidRPr="004402BD" w:rsidRDefault="00322A8A" w:rsidP="00322A8A">
            <w:pPr>
              <w:pStyle w:val="TableParagraph"/>
              <w:spacing w:line="240" w:lineRule="auto"/>
              <w:rPr>
                <w:rFonts w:asciiTheme="majorBidi" w:hAnsiTheme="majorBidi" w:cstheme="majorBidi"/>
                <w:lang w:val="da-DK"/>
              </w:rPr>
            </w:pPr>
            <w:r w:rsidRPr="004402BD">
              <w:rPr>
                <w:rFonts w:asciiTheme="majorBidi" w:hAnsiTheme="majorBidi" w:cstheme="majorBidi"/>
                <w:lang w:val="da-DK"/>
              </w:rPr>
              <w:t>Traumer,</w:t>
            </w:r>
            <w:r w:rsidRPr="004402BD">
              <w:rPr>
                <w:rFonts w:asciiTheme="majorBidi" w:hAnsiTheme="majorBidi" w:cstheme="majorBidi"/>
                <w:spacing w:val="-8"/>
                <w:lang w:val="da-DK"/>
              </w:rPr>
              <w:t xml:space="preserve"> </w:t>
            </w:r>
            <w:r w:rsidRPr="004402BD">
              <w:rPr>
                <w:rFonts w:asciiTheme="majorBidi" w:hAnsiTheme="majorBidi" w:cstheme="majorBidi"/>
                <w:lang w:val="da-DK"/>
              </w:rPr>
              <w:t>forgiftninger</w:t>
            </w:r>
            <w:r w:rsidRPr="004402BD">
              <w:rPr>
                <w:rFonts w:asciiTheme="majorBidi" w:hAnsiTheme="majorBidi" w:cstheme="majorBidi"/>
                <w:spacing w:val="-8"/>
                <w:lang w:val="da-DK"/>
              </w:rPr>
              <w:t xml:space="preserve"> </w:t>
            </w:r>
            <w:r w:rsidRPr="004402BD">
              <w:rPr>
                <w:rFonts w:asciiTheme="majorBidi" w:hAnsiTheme="majorBidi" w:cstheme="majorBidi"/>
                <w:lang w:val="da-DK"/>
              </w:rPr>
              <w:t>og</w:t>
            </w:r>
            <w:r w:rsidRPr="004402BD">
              <w:rPr>
                <w:rFonts w:asciiTheme="majorBidi" w:hAnsiTheme="majorBidi" w:cstheme="majorBidi"/>
                <w:spacing w:val="-7"/>
                <w:lang w:val="da-DK"/>
              </w:rPr>
              <w:t xml:space="preserve"> </w:t>
            </w:r>
            <w:r w:rsidRPr="004402BD">
              <w:rPr>
                <w:rFonts w:asciiTheme="majorBidi" w:hAnsiTheme="majorBidi" w:cstheme="majorBidi"/>
                <w:spacing w:val="-2"/>
                <w:lang w:val="da-DK"/>
              </w:rPr>
              <w:t>behandlingskomplikationer</w:t>
            </w:r>
          </w:p>
        </w:tc>
      </w:tr>
      <w:tr w:rsidR="00322A8A" w:rsidRPr="004402BD" w14:paraId="558AD7A2" w14:textId="77777777" w:rsidTr="00322A8A">
        <w:trPr>
          <w:trHeight w:val="254"/>
        </w:trPr>
        <w:tc>
          <w:tcPr>
            <w:tcW w:w="3310" w:type="dxa"/>
          </w:tcPr>
          <w:p w14:paraId="4B659DD0"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Traumatisk</w:t>
            </w:r>
            <w:r w:rsidRPr="004402BD">
              <w:rPr>
                <w:rFonts w:asciiTheme="majorBidi" w:hAnsiTheme="majorBidi" w:cstheme="majorBidi"/>
                <w:spacing w:val="-10"/>
                <w:lang w:val="da-DK"/>
              </w:rPr>
              <w:t xml:space="preserve"> </w:t>
            </w:r>
            <w:r w:rsidRPr="004402BD">
              <w:rPr>
                <w:rFonts w:asciiTheme="majorBidi" w:hAnsiTheme="majorBidi" w:cstheme="majorBidi"/>
                <w:spacing w:val="-2"/>
                <w:lang w:val="da-DK"/>
              </w:rPr>
              <w:t>blødning</w:t>
            </w:r>
          </w:p>
        </w:tc>
        <w:tc>
          <w:tcPr>
            <w:tcW w:w="2458" w:type="dxa"/>
          </w:tcPr>
          <w:p w14:paraId="146409AF"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5CD43F3C" w14:textId="77777777" w:rsidR="00322A8A" w:rsidRPr="004402BD" w:rsidRDefault="00322A8A" w:rsidP="00322A8A">
            <w:pPr>
              <w:pStyle w:val="TableParagraph"/>
              <w:spacing w:line="240" w:lineRule="auto"/>
              <w:ind w:left="1057" w:right="1048"/>
              <w:jc w:val="center"/>
              <w:rPr>
                <w:rFonts w:asciiTheme="majorBidi" w:hAnsiTheme="majorBidi" w:cstheme="majorBidi"/>
                <w:lang w:val="da-DK"/>
              </w:rPr>
            </w:pPr>
            <w:r w:rsidRPr="004402BD">
              <w:rPr>
                <w:rFonts w:asciiTheme="majorBidi" w:hAnsiTheme="majorBidi" w:cstheme="majorBidi"/>
                <w:lang w:val="da-DK"/>
              </w:rPr>
              <w:t>Ikke</w:t>
            </w:r>
            <w:r w:rsidRPr="004402BD">
              <w:rPr>
                <w:rFonts w:asciiTheme="majorBidi" w:hAnsiTheme="majorBidi" w:cstheme="majorBidi"/>
                <w:spacing w:val="-4"/>
                <w:lang w:val="da-DK"/>
              </w:rPr>
              <w:t xml:space="preserve"> </w:t>
            </w:r>
            <w:r w:rsidRPr="004402BD">
              <w:rPr>
                <w:rFonts w:asciiTheme="majorBidi" w:hAnsiTheme="majorBidi" w:cstheme="majorBidi"/>
                <w:spacing w:val="-2"/>
                <w:lang w:val="da-DK"/>
              </w:rPr>
              <w:t>almindelig</w:t>
            </w:r>
          </w:p>
        </w:tc>
      </w:tr>
      <w:tr w:rsidR="00322A8A" w:rsidRPr="004402BD" w14:paraId="3AB3D693" w14:textId="77777777" w:rsidTr="00322A8A">
        <w:trPr>
          <w:trHeight w:val="253"/>
        </w:trPr>
        <w:tc>
          <w:tcPr>
            <w:tcW w:w="3310" w:type="dxa"/>
          </w:tcPr>
          <w:p w14:paraId="4A7F3ED6" w14:textId="77777777" w:rsidR="00322A8A" w:rsidRPr="004402BD" w:rsidRDefault="00322A8A" w:rsidP="00322A8A">
            <w:pPr>
              <w:pStyle w:val="TableParagraph"/>
              <w:spacing w:line="240" w:lineRule="auto"/>
              <w:ind w:left="287"/>
              <w:rPr>
                <w:rFonts w:asciiTheme="majorBidi" w:hAnsiTheme="majorBidi" w:cstheme="majorBidi"/>
                <w:lang w:val="da-DK"/>
              </w:rPr>
            </w:pPr>
            <w:r w:rsidRPr="004402BD">
              <w:rPr>
                <w:rFonts w:asciiTheme="majorBidi" w:hAnsiTheme="majorBidi" w:cstheme="majorBidi"/>
                <w:lang w:val="da-DK"/>
              </w:rPr>
              <w:t>Blødning</w:t>
            </w:r>
            <w:r w:rsidRPr="004402BD">
              <w:rPr>
                <w:rFonts w:asciiTheme="majorBidi" w:hAnsiTheme="majorBidi" w:cstheme="majorBidi"/>
                <w:spacing w:val="-6"/>
                <w:lang w:val="da-DK"/>
              </w:rPr>
              <w:t xml:space="preserve"> </w:t>
            </w:r>
            <w:r w:rsidRPr="004402BD">
              <w:rPr>
                <w:rFonts w:asciiTheme="majorBidi" w:hAnsiTheme="majorBidi" w:cstheme="majorBidi"/>
                <w:lang w:val="da-DK"/>
              </w:rPr>
              <w:t>fra</w:t>
            </w:r>
            <w:r w:rsidRPr="004402BD">
              <w:rPr>
                <w:rFonts w:asciiTheme="majorBidi" w:hAnsiTheme="majorBidi" w:cstheme="majorBidi"/>
                <w:spacing w:val="-5"/>
                <w:lang w:val="da-DK"/>
              </w:rPr>
              <w:t xml:space="preserve"> </w:t>
            </w:r>
            <w:r w:rsidRPr="004402BD">
              <w:rPr>
                <w:rFonts w:asciiTheme="majorBidi" w:hAnsiTheme="majorBidi" w:cstheme="majorBidi"/>
                <w:spacing w:val="-2"/>
                <w:lang w:val="da-DK"/>
              </w:rPr>
              <w:t>incisionsstedet</w:t>
            </w:r>
          </w:p>
        </w:tc>
        <w:tc>
          <w:tcPr>
            <w:tcW w:w="2458" w:type="dxa"/>
          </w:tcPr>
          <w:p w14:paraId="0E9A818B" w14:textId="77777777" w:rsidR="00322A8A" w:rsidRPr="004402BD" w:rsidRDefault="00322A8A" w:rsidP="00322A8A">
            <w:pPr>
              <w:pStyle w:val="TableParagraph"/>
              <w:spacing w:line="240" w:lineRule="auto"/>
              <w:ind w:left="458" w:right="450"/>
              <w:jc w:val="center"/>
              <w:rPr>
                <w:rFonts w:asciiTheme="majorBidi" w:hAnsiTheme="majorBidi" w:cstheme="majorBidi"/>
                <w:lang w:val="da-DK"/>
              </w:rPr>
            </w:pPr>
            <w:r w:rsidRPr="004402BD">
              <w:rPr>
                <w:rFonts w:asciiTheme="majorBidi" w:hAnsiTheme="majorBidi" w:cstheme="majorBidi"/>
                <w:spacing w:val="-2"/>
                <w:lang w:val="da-DK"/>
              </w:rPr>
              <w:t>Sjælden</w:t>
            </w:r>
          </w:p>
        </w:tc>
        <w:tc>
          <w:tcPr>
            <w:tcW w:w="3519" w:type="dxa"/>
          </w:tcPr>
          <w:p w14:paraId="58687741" w14:textId="77777777" w:rsidR="00322A8A" w:rsidRPr="004402BD" w:rsidRDefault="00322A8A" w:rsidP="00322A8A">
            <w:pPr>
              <w:pStyle w:val="TableParagraph"/>
              <w:spacing w:line="240" w:lineRule="auto"/>
              <w:ind w:left="1055" w:right="1048"/>
              <w:jc w:val="center"/>
              <w:rPr>
                <w:rFonts w:asciiTheme="majorBidi" w:hAnsiTheme="majorBidi" w:cstheme="majorBidi"/>
                <w:lang w:val="da-DK"/>
              </w:rPr>
            </w:pPr>
            <w:r w:rsidRPr="004402BD">
              <w:rPr>
                <w:rFonts w:asciiTheme="majorBidi" w:hAnsiTheme="majorBidi" w:cstheme="majorBidi"/>
                <w:spacing w:val="-2"/>
                <w:lang w:val="da-DK"/>
              </w:rPr>
              <w:t>Sjælden</w:t>
            </w:r>
          </w:p>
        </w:tc>
      </w:tr>
    </w:tbl>
    <w:p w14:paraId="35C16835" w14:textId="77777777" w:rsidR="00886871" w:rsidRPr="00307CA4" w:rsidRDefault="00886871" w:rsidP="00322A8A">
      <w:pPr>
        <w:pStyle w:val="Brdtekst"/>
        <w:widowControl/>
        <w:ind w:left="851"/>
        <w:rPr>
          <w:rFonts w:asciiTheme="majorBidi" w:hAnsiTheme="majorBidi" w:cstheme="majorBidi"/>
          <w:b/>
          <w:sz w:val="24"/>
          <w:szCs w:val="24"/>
          <w:lang w:val="da-DK"/>
        </w:rPr>
      </w:pPr>
    </w:p>
    <w:p w14:paraId="57C77E69"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Beskrivelse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z w:val="24"/>
          <w:szCs w:val="24"/>
          <w:u w:val="single"/>
          <w:lang w:val="da-DK"/>
        </w:rPr>
        <w:t>udvalgte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1B497516"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6C1D98E4"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2"/>
          <w:sz w:val="24"/>
          <w:szCs w:val="24"/>
        </w:rPr>
        <w:t>Blødningsreaktioner</w:t>
      </w:r>
    </w:p>
    <w:p w14:paraId="2009DB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omfanget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anæmien.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mukosale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samtidig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hæmostasen,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potente P</w:t>
      </w:r>
      <w:r w:rsidRPr="00307CA4">
        <w:rPr>
          <w:rFonts w:asciiTheme="majorBidi" w:hAnsiTheme="majorBidi" w:cstheme="majorBidi"/>
          <w:sz w:val="24"/>
          <w:szCs w:val="24"/>
          <w:lang w:val="da-DK"/>
        </w:rPr>
        <w:noBreakHyphen/>
        <w:t>gp-inhibitorer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4.4</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Blødningskomplikationer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svaghed, bleghed, svimmelhed, hovedpine eller uforklarlig hævelse, dyspnø og uforklarligt shock.</w:t>
      </w:r>
    </w:p>
    <w:p w14:paraId="3534A00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EECBA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Kendte blødningskomplikationer som kompartmentsyndrom og akut nyresvigt på grund af hypoperfusion og antikoagulant-relateret nefropati hos patienter med disponerende faktorer er blevet rapporteret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skal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muligheden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overvejes,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tilstanden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alle antikoagulerede patienter evalueres. En specifik antidot for dabigatran, idarucizumab, er tilgængelig for voksne patienter i tilfælde af ukontrolleret blødning (se pkt. 4.9).</w:t>
      </w:r>
    </w:p>
    <w:p w14:paraId="3DDBB241" w14:textId="053ECE13" w:rsidR="00322A8A" w:rsidRDefault="00322A8A">
      <w:pPr>
        <w:rPr>
          <w:rFonts w:asciiTheme="majorBidi" w:hAnsiTheme="majorBidi" w:cstheme="majorBidi"/>
          <w:sz w:val="22"/>
          <w:szCs w:val="22"/>
        </w:rPr>
      </w:pPr>
      <w:r>
        <w:rPr>
          <w:rFonts w:asciiTheme="majorBidi" w:hAnsiTheme="majorBidi" w:cstheme="majorBidi"/>
        </w:rPr>
        <w:br w:type="page"/>
      </w:r>
    </w:p>
    <w:p w14:paraId="55746D2B" w14:textId="77777777" w:rsidR="00886871" w:rsidRDefault="00886871" w:rsidP="00DB26E1">
      <w:pPr>
        <w:pStyle w:val="Brdtekst"/>
        <w:widowControl/>
        <w:ind w:left="851"/>
        <w:rPr>
          <w:rFonts w:asciiTheme="majorBidi" w:hAnsiTheme="majorBidi" w:cstheme="majorBidi"/>
          <w:lang w:val="da-DK"/>
        </w:rPr>
      </w:pPr>
    </w:p>
    <w:p w14:paraId="56AD21BA" w14:textId="77777777" w:rsidR="00322A8A" w:rsidRPr="00322A8A" w:rsidRDefault="00322A8A" w:rsidP="00322A8A">
      <w:pPr>
        <w:pStyle w:val="Brdtekst"/>
        <w:widowControl/>
        <w:ind w:left="851"/>
        <w:rPr>
          <w:rFonts w:asciiTheme="majorBidi" w:hAnsiTheme="majorBidi" w:cstheme="majorBidi"/>
          <w:i/>
          <w:sz w:val="24"/>
          <w:szCs w:val="24"/>
        </w:rPr>
      </w:pPr>
      <w:r w:rsidRPr="00322A8A">
        <w:rPr>
          <w:rFonts w:asciiTheme="majorBidi" w:hAnsiTheme="majorBidi" w:cstheme="majorBidi"/>
          <w:i/>
          <w:sz w:val="24"/>
          <w:szCs w:val="24"/>
        </w:rPr>
        <w:t>Forebyggelse af apopleksi og systemisk emboli hos voksne patienter med non-valvulær atrieflimren med en eller flere risikofaktorer (SPAF)</w:t>
      </w:r>
    </w:p>
    <w:p w14:paraId="68100768" w14:textId="0709ABE6"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1</w:t>
      </w:r>
      <w:r w:rsidR="00322A8A">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opdelt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pivotale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undersøgte forebyggelse af tromboembolisk apopleksi og systemisk emboli hos patienter med atrieflimren.</w:t>
      </w:r>
    </w:p>
    <w:p w14:paraId="49F91F56" w14:textId="77777777" w:rsidR="00886871" w:rsidRDefault="00886871" w:rsidP="00DB26E1">
      <w:pPr>
        <w:pStyle w:val="Brdtekst"/>
        <w:widowControl/>
        <w:ind w:left="851"/>
        <w:rPr>
          <w:rFonts w:asciiTheme="majorBidi" w:hAnsiTheme="majorBidi" w:cstheme="majorBidi"/>
          <w:lang w:val="da-DK"/>
        </w:rPr>
      </w:pPr>
    </w:p>
    <w:p w14:paraId="7533F810" w14:textId="2DD1F84A" w:rsidR="00886871" w:rsidRDefault="00886871" w:rsidP="00146E50">
      <w:pPr>
        <w:pStyle w:val="Overskrift2"/>
        <w:keepNext/>
        <w:keepLines/>
        <w:widowControl/>
        <w:ind w:left="1106" w:hanging="851"/>
        <w:rPr>
          <w:rFonts w:asciiTheme="majorBidi" w:hAnsiTheme="majorBidi" w:cstheme="majorBidi"/>
          <w:lang w:val="da-DK"/>
        </w:rPr>
      </w:pPr>
      <w:r>
        <w:rPr>
          <w:rFonts w:asciiTheme="majorBidi" w:hAnsiTheme="majorBidi" w:cstheme="majorBidi"/>
          <w:lang w:val="da-DK"/>
        </w:rPr>
        <w:t>Tabel 1</w:t>
      </w:r>
      <w:r w:rsidR="00322A8A">
        <w:rPr>
          <w:rFonts w:asciiTheme="majorBidi" w:hAnsiTheme="majorBidi" w:cstheme="majorBidi"/>
          <w:lang w:val="da-DK"/>
        </w:rPr>
        <w:t>2</w:t>
      </w:r>
      <w:r>
        <w:rPr>
          <w:rFonts w:asciiTheme="majorBidi" w:hAnsiTheme="majorBidi" w:cstheme="majorBidi"/>
          <w:lang w:val="da-DK"/>
        </w:rPr>
        <w:t xml:space="preserve"> Blødningsrelaterede hændelser fra et studie, der undersøgte forebyggelse af tromboembolisk</w:t>
      </w:r>
      <w:r>
        <w:rPr>
          <w:rFonts w:asciiTheme="majorBidi" w:hAnsiTheme="majorBidi" w:cstheme="majorBidi"/>
          <w:spacing w:val="-4"/>
          <w:lang w:val="da-DK"/>
        </w:rPr>
        <w:t xml:space="preserve"> </w:t>
      </w:r>
      <w:r>
        <w:rPr>
          <w:rFonts w:asciiTheme="majorBidi" w:hAnsiTheme="majorBidi" w:cstheme="majorBidi"/>
          <w:lang w:val="da-DK"/>
        </w:rPr>
        <w:t>apopleksi</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systemisk</w:t>
      </w:r>
      <w:r>
        <w:rPr>
          <w:rFonts w:asciiTheme="majorBidi" w:hAnsiTheme="majorBidi" w:cstheme="majorBidi"/>
          <w:spacing w:val="-4"/>
          <w:lang w:val="da-DK"/>
        </w:rPr>
        <w:t xml:space="preserve"> </w:t>
      </w:r>
      <w:r>
        <w:rPr>
          <w:rFonts w:asciiTheme="majorBidi" w:hAnsiTheme="majorBidi" w:cstheme="majorBidi"/>
          <w:lang w:val="da-DK"/>
        </w:rPr>
        <w:t>emboli</w:t>
      </w:r>
      <w:r>
        <w:rPr>
          <w:rFonts w:asciiTheme="majorBidi" w:hAnsiTheme="majorBidi" w:cstheme="majorBidi"/>
          <w:spacing w:val="-4"/>
          <w:lang w:val="da-DK"/>
        </w:rPr>
        <w:t xml:space="preserve"> </w:t>
      </w:r>
      <w:r>
        <w:rPr>
          <w:rFonts w:asciiTheme="majorBidi" w:hAnsiTheme="majorBidi" w:cstheme="majorBidi"/>
          <w:lang w:val="da-DK"/>
        </w:rPr>
        <w:t>hos</w:t>
      </w:r>
      <w:r>
        <w:rPr>
          <w:rFonts w:asciiTheme="majorBidi" w:hAnsiTheme="majorBidi" w:cstheme="majorBidi"/>
          <w:spacing w:val="-4"/>
          <w:lang w:val="da-DK"/>
        </w:rPr>
        <w:t xml:space="preserve"> </w:t>
      </w:r>
      <w:r>
        <w:rPr>
          <w:rFonts w:asciiTheme="majorBidi" w:hAnsiTheme="majorBidi" w:cstheme="majorBidi"/>
          <w:lang w:val="da-DK"/>
        </w:rPr>
        <w:t>patienter</w:t>
      </w:r>
      <w:r>
        <w:rPr>
          <w:rFonts w:asciiTheme="majorBidi" w:hAnsiTheme="majorBidi" w:cstheme="majorBidi"/>
          <w:spacing w:val="-4"/>
          <w:lang w:val="da-DK"/>
        </w:rPr>
        <w:t xml:space="preserve"> </w:t>
      </w:r>
      <w:r>
        <w:rPr>
          <w:rFonts w:asciiTheme="majorBidi" w:hAnsiTheme="majorBidi" w:cstheme="majorBidi"/>
          <w:lang w:val="da-DK"/>
        </w:rPr>
        <w:t>med</w:t>
      </w:r>
      <w:r>
        <w:rPr>
          <w:rFonts w:asciiTheme="majorBidi" w:hAnsiTheme="majorBidi" w:cstheme="majorBidi"/>
          <w:spacing w:val="-4"/>
          <w:lang w:val="da-DK"/>
        </w:rPr>
        <w:t xml:space="preserve"> </w:t>
      </w:r>
      <w:r>
        <w:rPr>
          <w:rFonts w:asciiTheme="majorBidi" w:hAnsiTheme="majorBidi" w:cstheme="majorBidi"/>
          <w:lang w:val="da-DK"/>
        </w:rPr>
        <w:t>atrieflimren.</w:t>
      </w:r>
    </w:p>
    <w:p w14:paraId="65C0652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2128"/>
        <w:gridCol w:w="2127"/>
        <w:gridCol w:w="1985"/>
      </w:tblGrid>
      <w:tr w:rsidR="00886871" w14:paraId="65AA8D9E"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tcPr>
          <w:p w14:paraId="20F4DC23"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7" w:type="dxa"/>
            <w:tcBorders>
              <w:top w:val="single" w:sz="4" w:space="0" w:color="000000"/>
              <w:left w:val="single" w:sz="4" w:space="0" w:color="000000"/>
              <w:bottom w:val="single" w:sz="4" w:space="0" w:color="000000"/>
              <w:right w:val="single" w:sz="4" w:space="0" w:color="000000"/>
            </w:tcBorders>
            <w:hideMark/>
          </w:tcPr>
          <w:p w14:paraId="6CADFE2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110 mg 2 gange</w:t>
            </w:r>
          </w:p>
          <w:p w14:paraId="69FD3840"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dagligt</w:t>
            </w:r>
          </w:p>
        </w:tc>
        <w:tc>
          <w:tcPr>
            <w:tcW w:w="2126" w:type="dxa"/>
            <w:tcBorders>
              <w:top w:val="single" w:sz="4" w:space="0" w:color="000000"/>
              <w:left w:val="single" w:sz="4" w:space="0" w:color="000000"/>
              <w:bottom w:val="single" w:sz="4" w:space="0" w:color="000000"/>
              <w:right w:val="single" w:sz="4" w:space="0" w:color="000000"/>
            </w:tcBorders>
            <w:hideMark/>
          </w:tcPr>
          <w:p w14:paraId="3263CDBC"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150 mg 2 gange</w:t>
            </w:r>
          </w:p>
          <w:p w14:paraId="39D88103"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dagligt</w:t>
            </w:r>
          </w:p>
        </w:tc>
        <w:tc>
          <w:tcPr>
            <w:tcW w:w="1984" w:type="dxa"/>
            <w:tcBorders>
              <w:top w:val="single" w:sz="4" w:space="0" w:color="000000"/>
              <w:left w:val="single" w:sz="4" w:space="0" w:color="000000"/>
              <w:bottom w:val="single" w:sz="4" w:space="0" w:color="000000"/>
              <w:right w:val="single" w:sz="4" w:space="0" w:color="000000"/>
            </w:tcBorders>
            <w:hideMark/>
          </w:tcPr>
          <w:p w14:paraId="41DA102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8F64B5A"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5B07E45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7" w:type="dxa"/>
            <w:tcBorders>
              <w:top w:val="single" w:sz="4" w:space="0" w:color="000000"/>
              <w:left w:val="single" w:sz="4" w:space="0" w:color="000000"/>
              <w:bottom w:val="single" w:sz="4" w:space="0" w:color="000000"/>
              <w:right w:val="single" w:sz="4" w:space="0" w:color="000000"/>
            </w:tcBorders>
            <w:hideMark/>
          </w:tcPr>
          <w:p w14:paraId="58D0377F"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126" w:type="dxa"/>
            <w:tcBorders>
              <w:top w:val="single" w:sz="4" w:space="0" w:color="000000"/>
              <w:left w:val="single" w:sz="4" w:space="0" w:color="000000"/>
              <w:bottom w:val="single" w:sz="4" w:space="0" w:color="000000"/>
              <w:right w:val="single" w:sz="4" w:space="0" w:color="000000"/>
            </w:tcBorders>
            <w:hideMark/>
          </w:tcPr>
          <w:p w14:paraId="46EDE511"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2F79A687"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444167AF"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BB5B26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148928A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347</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(2,92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CE95A58"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409</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(3,40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F3BCD57"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426</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(3,61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412F364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1C337FB1" w14:textId="77777777" w:rsidR="00886871" w:rsidRDefault="00886871" w:rsidP="00146E50">
            <w:pPr>
              <w:pStyle w:val="TableParagraph"/>
              <w:keepNext/>
              <w:keepLines/>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7EB657FA"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 (0,23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345A183E"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 (0,32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F60D744"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91 (0,77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4363C19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4B411A7A" w14:textId="77777777" w:rsidR="00886871" w:rsidRDefault="00886871" w:rsidP="00146E50">
            <w:pPr>
              <w:pStyle w:val="TableParagraph"/>
              <w:keepNext/>
              <w:keepLines/>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1BA1A35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(1,13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23054051"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192</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(1,60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B811DDF"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128</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(1,09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6E96C32B"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5058B13" w14:textId="77777777" w:rsidR="00886871" w:rsidRDefault="00886871" w:rsidP="00146E50">
            <w:pPr>
              <w:pStyle w:val="TableParagraph"/>
              <w:widowControl/>
              <w:spacing w:line="240" w:lineRule="auto"/>
              <w:ind w:left="39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Letal</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20B548F9"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(0,22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5BD2F9A"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 (0,25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5D81B29"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 (0,36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2CFF272"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28CA293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Mindre</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7" w:type="dxa"/>
            <w:tcBorders>
              <w:top w:val="single" w:sz="4" w:space="0" w:color="000000"/>
              <w:left w:val="single" w:sz="4" w:space="0" w:color="000000"/>
              <w:bottom w:val="single" w:sz="4" w:space="0" w:color="000000"/>
              <w:right w:val="single" w:sz="4" w:space="0" w:color="000000"/>
            </w:tcBorders>
            <w:hideMark/>
          </w:tcPr>
          <w:p w14:paraId="6E9B8EF9"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1.566</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(13,16</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0C8D38D"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1.787</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(14,85</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368B40C" w14:textId="77777777" w:rsidR="00886871" w:rsidRDefault="00886871" w:rsidP="00146E50">
            <w:pPr>
              <w:pStyle w:val="TableParagraph"/>
              <w:keepNext/>
              <w:keepLines/>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1.931</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(16,37</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6A7C00E0" w14:textId="77777777" w:rsidTr="00886871">
        <w:trPr>
          <w:cantSplit/>
          <w:trHeight w:val="20"/>
        </w:trPr>
        <w:tc>
          <w:tcPr>
            <w:tcW w:w="2835" w:type="dxa"/>
            <w:tcBorders>
              <w:top w:val="single" w:sz="4" w:space="0" w:color="000000"/>
              <w:left w:val="single" w:sz="4" w:space="0" w:color="000000"/>
              <w:bottom w:val="single" w:sz="4" w:space="0" w:color="000000"/>
              <w:right w:val="single" w:sz="4" w:space="0" w:color="000000"/>
            </w:tcBorders>
            <w:hideMark/>
          </w:tcPr>
          <w:p w14:paraId="6E94E131"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7" w:type="dxa"/>
            <w:tcBorders>
              <w:top w:val="single" w:sz="4" w:space="0" w:color="000000"/>
              <w:left w:val="single" w:sz="4" w:space="0" w:color="000000"/>
              <w:bottom w:val="single" w:sz="4" w:space="0" w:color="000000"/>
              <w:right w:val="single" w:sz="4" w:space="0" w:color="000000"/>
            </w:tcBorders>
            <w:hideMark/>
          </w:tcPr>
          <w:p w14:paraId="60901693"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1.759</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(14,78</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12BEF653"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1.997</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(16,60</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2FC775D" w14:textId="77777777" w:rsidR="00886871" w:rsidRDefault="00886871" w:rsidP="00146E50">
            <w:pPr>
              <w:pStyle w:val="TableParagraph"/>
              <w:widowControl/>
              <w:spacing w:line="240" w:lineRule="auto"/>
              <w:ind w:left="108"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2.169</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(18,39</w:t>
            </w:r>
            <w:r>
              <w:rPr>
                <w:rFonts w:asciiTheme="majorBidi" w:hAnsiTheme="majorBidi" w:cstheme="majorBidi"/>
                <w:spacing w:val="-7"/>
                <w:kern w:val="2"/>
                <w:lang w:val="da-DK"/>
                <w14:ligatures w14:val="standardContextual"/>
              </w:rPr>
              <w:t> </w:t>
            </w:r>
            <w:r>
              <w:rPr>
                <w:rFonts w:asciiTheme="majorBidi" w:hAnsiTheme="majorBidi" w:cstheme="majorBidi"/>
                <w:spacing w:val="-5"/>
                <w:kern w:val="2"/>
                <w:lang w:val="da-DK"/>
                <w14:ligatures w14:val="standardContextual"/>
              </w:rPr>
              <w:t>%)</w:t>
            </w:r>
          </w:p>
        </w:tc>
      </w:tr>
    </w:tbl>
    <w:p w14:paraId="323A8644" w14:textId="77777777" w:rsidR="00886871" w:rsidRDefault="00886871" w:rsidP="00DB26E1">
      <w:pPr>
        <w:pStyle w:val="Brdtekst"/>
        <w:widowControl/>
        <w:ind w:left="851"/>
        <w:rPr>
          <w:rFonts w:asciiTheme="majorBidi" w:hAnsiTheme="majorBidi" w:cstheme="majorBidi"/>
          <w:b/>
          <w:lang w:val="da-DK"/>
        </w:rPr>
      </w:pPr>
    </w:p>
    <w:p w14:paraId="0A3D9FF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forekomst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 2</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0,81 [p = 0,0027]). Patienter randomiseret til 150 mg dabigatranetexilat 2 gange dagligt havde en signifikant højere risiko for alvorlige gastrointestinale blødninger sammenlignet med 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1,48 [p = 0,0005]. Denne virkning sås primært hos patienter ≥ 75 år. 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patient delpopulationer har en øget risiko for 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antikoagulantia,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gastrointestinal blødning ved dabigatran, som typisk ses inden for de første 3</w:t>
      </w:r>
      <w:r w:rsidRPr="00307CA4">
        <w:rPr>
          <w:rFonts w:asciiTheme="majorBidi" w:hAnsiTheme="majorBidi" w:cstheme="majorBidi"/>
          <w:sz w:val="24"/>
          <w:szCs w:val="24"/>
          <w:lang w:val="da-DK"/>
        </w:rPr>
        <w:noBreakHyphen/>
        <w:t>6 måneder af behandlingen med dabigatranetexilat.</w:t>
      </w:r>
    </w:p>
    <w:p w14:paraId="792EA89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E0664E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 xml:space="preserve">(DVT/LE- </w:t>
      </w:r>
      <w:r w:rsidRPr="00307CA4">
        <w:rPr>
          <w:rFonts w:asciiTheme="majorBidi" w:hAnsiTheme="majorBidi" w:cstheme="majorBidi"/>
          <w:i/>
          <w:spacing w:val="-2"/>
          <w:sz w:val="24"/>
          <w:szCs w:val="24"/>
        </w:rPr>
        <w:t>behandling)</w:t>
      </w:r>
    </w:p>
    <w:p w14:paraId="32C6D405" w14:textId="3B7CDA2A"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w:t>
      </w:r>
      <w:r w:rsidR="00322A8A">
        <w:rPr>
          <w:rFonts w:asciiTheme="majorBidi" w:hAnsiTheme="majorBidi" w:cstheme="majorBidi"/>
          <w:sz w:val="24"/>
          <w:szCs w:val="24"/>
          <w:lang w:val="da-DK"/>
        </w:rPr>
        <w:t>3</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poolede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registreringsstudierne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 II, der undersøgte behandling af DVT og LE. I de poolede studier var de primære sikkerhedsendepunkter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 signifikant lavere end for warfarin ved et nominelt alfa-niveau på 5 %.</w:t>
      </w:r>
    </w:p>
    <w:p w14:paraId="10C0924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6B81B5C" w14:textId="4E9F0139"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1</w:t>
      </w:r>
      <w:r w:rsidR="00322A8A">
        <w:rPr>
          <w:rFonts w:asciiTheme="majorBidi" w:hAnsiTheme="majorBidi" w:cstheme="majorBidi"/>
          <w:lang w:val="da-DK"/>
        </w:rPr>
        <w:t>3</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Blødningstilfælde</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studierne</w:t>
      </w:r>
      <w:r>
        <w:rPr>
          <w:rFonts w:asciiTheme="majorBidi" w:hAnsiTheme="majorBidi" w:cstheme="majorBidi"/>
          <w:spacing w:val="-3"/>
          <w:lang w:val="da-DK"/>
        </w:rPr>
        <w:t xml:space="preserve"> </w:t>
      </w:r>
      <w:r>
        <w:rPr>
          <w:rFonts w:asciiTheme="majorBidi" w:hAnsiTheme="majorBidi" w:cstheme="majorBidi"/>
          <w:lang w:val="da-DK"/>
        </w:rPr>
        <w:t>RE-COVER</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RE-COVER</w:t>
      </w:r>
      <w:r>
        <w:rPr>
          <w:rFonts w:asciiTheme="majorBidi" w:hAnsiTheme="majorBidi" w:cstheme="majorBidi"/>
          <w:spacing w:val="-3"/>
          <w:lang w:val="da-DK"/>
        </w:rPr>
        <w:t xml:space="preserve"> </w:t>
      </w:r>
      <w:r>
        <w:rPr>
          <w:rFonts w:asciiTheme="majorBidi" w:hAnsiTheme="majorBidi" w:cstheme="majorBidi"/>
          <w:lang w:val="da-DK"/>
        </w:rPr>
        <w:t>II,</w:t>
      </w:r>
      <w:r>
        <w:rPr>
          <w:rFonts w:asciiTheme="majorBidi" w:hAnsiTheme="majorBidi" w:cstheme="majorBidi"/>
          <w:spacing w:val="-3"/>
          <w:lang w:val="da-DK"/>
        </w:rPr>
        <w:t xml:space="preserve"> </w:t>
      </w:r>
      <w:r>
        <w:rPr>
          <w:rFonts w:asciiTheme="majorBidi" w:hAnsiTheme="majorBidi" w:cstheme="majorBidi"/>
          <w:lang w:val="da-DK"/>
        </w:rPr>
        <w:t>der</w:t>
      </w:r>
      <w:r>
        <w:rPr>
          <w:rFonts w:asciiTheme="majorBidi" w:hAnsiTheme="majorBidi" w:cstheme="majorBidi"/>
          <w:spacing w:val="-3"/>
          <w:lang w:val="da-DK"/>
        </w:rPr>
        <w:t xml:space="preserve"> </w:t>
      </w:r>
      <w:r>
        <w:rPr>
          <w:rFonts w:asciiTheme="majorBidi" w:hAnsiTheme="majorBidi" w:cstheme="majorBidi"/>
          <w:lang w:val="da-DK"/>
        </w:rPr>
        <w:t>undersøgte behandling af DVT og LE</w:t>
      </w:r>
    </w:p>
    <w:p w14:paraId="1FFE7E67"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9"/>
        <w:gridCol w:w="2095"/>
        <w:gridCol w:w="1986"/>
        <w:gridCol w:w="1985"/>
      </w:tblGrid>
      <w:tr w:rsidR="00886871" w14:paraId="4BABB808" w14:textId="77777777" w:rsidTr="00886871">
        <w:trPr>
          <w:cantSplit/>
          <w:trHeight w:val="20"/>
          <w:tblHeader/>
        </w:trPr>
        <w:tc>
          <w:tcPr>
            <w:tcW w:w="3009" w:type="dxa"/>
            <w:tcBorders>
              <w:top w:val="single" w:sz="4" w:space="0" w:color="000000"/>
              <w:left w:val="single" w:sz="4" w:space="0" w:color="000000"/>
              <w:bottom w:val="single" w:sz="4" w:space="0" w:color="000000"/>
              <w:right w:val="single" w:sz="4" w:space="0" w:color="000000"/>
            </w:tcBorders>
          </w:tcPr>
          <w:p w14:paraId="0143F111"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094" w:type="dxa"/>
            <w:tcBorders>
              <w:top w:val="single" w:sz="4" w:space="0" w:color="000000"/>
              <w:left w:val="single" w:sz="4" w:space="0" w:color="000000"/>
              <w:bottom w:val="single" w:sz="4" w:space="0" w:color="000000"/>
              <w:right w:val="single" w:sz="4" w:space="0" w:color="000000"/>
            </w:tcBorders>
            <w:hideMark/>
          </w:tcPr>
          <w:p w14:paraId="2683BCC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26ED8FC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1984" w:type="dxa"/>
            <w:tcBorders>
              <w:top w:val="single" w:sz="4" w:space="0" w:color="000000"/>
              <w:left w:val="single" w:sz="4" w:space="0" w:color="000000"/>
              <w:bottom w:val="single" w:sz="4" w:space="0" w:color="000000"/>
              <w:right w:val="single" w:sz="4" w:space="0" w:color="000000"/>
            </w:tcBorders>
            <w:hideMark/>
          </w:tcPr>
          <w:p w14:paraId="02B0E1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4"/>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warfarin</w:t>
            </w:r>
            <w:r>
              <w:rPr>
                <w:rFonts w:asciiTheme="majorBidi" w:hAnsiTheme="majorBidi" w:cstheme="majorBidi"/>
                <w:spacing w:val="80"/>
                <w:kern w:val="2"/>
                <w:lang w:val="da-DK"/>
                <w14:ligatures w14:val="standardContextual"/>
              </w:rPr>
              <w:t xml:space="preserve"> </w:t>
            </w:r>
            <w:r>
              <w:rPr>
                <w:rFonts w:asciiTheme="majorBidi" w:hAnsiTheme="majorBidi" w:cstheme="majorBidi"/>
                <w:kern w:val="2"/>
                <w:lang w:val="da-DK"/>
                <w14:ligatures w14:val="standardContextual"/>
              </w:rPr>
              <w:t>(95 %</w:t>
            </w:r>
          </w:p>
          <w:p w14:paraId="56CE840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5846C39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5BFD58A"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inkluderet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10"/>
                <w:kern w:val="2"/>
                <w:lang w:val="da-DK"/>
                <w14:ligatures w14:val="standardContextual"/>
              </w:rPr>
              <w:t>i</w:t>
            </w:r>
          </w:p>
          <w:p w14:paraId="7B6FBF4F"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sikkerhedsanalysen</w:t>
            </w:r>
          </w:p>
        </w:tc>
        <w:tc>
          <w:tcPr>
            <w:tcW w:w="2094" w:type="dxa"/>
            <w:tcBorders>
              <w:top w:val="single" w:sz="4" w:space="0" w:color="000000"/>
              <w:left w:val="single" w:sz="4" w:space="0" w:color="000000"/>
              <w:bottom w:val="single" w:sz="4" w:space="0" w:color="000000"/>
              <w:right w:val="single" w:sz="4" w:space="0" w:color="000000"/>
            </w:tcBorders>
            <w:hideMark/>
          </w:tcPr>
          <w:p w14:paraId="090B320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2.456</w:t>
            </w:r>
          </w:p>
        </w:tc>
        <w:tc>
          <w:tcPr>
            <w:tcW w:w="1985" w:type="dxa"/>
            <w:tcBorders>
              <w:top w:val="single" w:sz="4" w:space="0" w:color="000000"/>
              <w:left w:val="single" w:sz="4" w:space="0" w:color="000000"/>
              <w:bottom w:val="single" w:sz="4" w:space="0" w:color="000000"/>
              <w:right w:val="single" w:sz="4" w:space="0" w:color="000000"/>
            </w:tcBorders>
            <w:hideMark/>
          </w:tcPr>
          <w:p w14:paraId="0D8B525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2.462</w:t>
            </w:r>
          </w:p>
        </w:tc>
        <w:tc>
          <w:tcPr>
            <w:tcW w:w="1984" w:type="dxa"/>
            <w:tcBorders>
              <w:top w:val="single" w:sz="4" w:space="0" w:color="000000"/>
              <w:left w:val="single" w:sz="4" w:space="0" w:color="000000"/>
              <w:bottom w:val="single" w:sz="4" w:space="0" w:color="000000"/>
              <w:right w:val="single" w:sz="4" w:space="0" w:color="000000"/>
            </w:tcBorders>
          </w:tcPr>
          <w:p w14:paraId="34E1DF7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9492FD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2DCACFF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898716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(1,0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6B44156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(1,6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DF5C9B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0,99)</w:t>
            </w:r>
          </w:p>
        </w:tc>
      </w:tr>
      <w:tr w:rsidR="00886871" w14:paraId="62AF08A3"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7BD9005"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E4AD0C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7384EA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62DB61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2,74)</w:t>
            </w:r>
          </w:p>
        </w:tc>
      </w:tr>
      <w:tr w:rsidR="00886871" w14:paraId="60FA0E3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6FEB3A37"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 gastrointestinal</w:t>
            </w:r>
          </w:p>
          <w:p w14:paraId="2E254A7D"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67A776A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(0,4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1E7FA4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 (0,5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1E81F0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1,93)</w:t>
            </w:r>
          </w:p>
        </w:tc>
      </w:tr>
      <w:tr w:rsidR="00886871" w14:paraId="39E06939"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7400AEFE"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5946440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7ABAC6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0020E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2,36)</w:t>
            </w:r>
          </w:p>
        </w:tc>
      </w:tr>
      <w:tr w:rsidR="00886871" w14:paraId="16DF6EBE"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71318B44"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14B8AE8F"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094" w:type="dxa"/>
            <w:tcBorders>
              <w:top w:val="single" w:sz="4" w:space="0" w:color="000000"/>
              <w:left w:val="single" w:sz="4" w:space="0" w:color="000000"/>
              <w:bottom w:val="single" w:sz="4" w:space="0" w:color="000000"/>
              <w:right w:val="single" w:sz="4" w:space="0" w:color="000000"/>
            </w:tcBorders>
            <w:hideMark/>
          </w:tcPr>
          <w:p w14:paraId="0C0D6B5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 (4,4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9DC5F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189 (7,7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656B16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0,71)</w:t>
            </w:r>
          </w:p>
        </w:tc>
      </w:tr>
      <w:tr w:rsidR="00886871" w14:paraId="7504C11A"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14A831B6"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094" w:type="dxa"/>
            <w:tcBorders>
              <w:top w:val="single" w:sz="4" w:space="0" w:color="000000"/>
              <w:left w:val="single" w:sz="4" w:space="0" w:color="000000"/>
              <w:bottom w:val="single" w:sz="4" w:space="0" w:color="000000"/>
              <w:right w:val="single" w:sz="4" w:space="0" w:color="000000"/>
            </w:tcBorders>
            <w:hideMark/>
          </w:tcPr>
          <w:p w14:paraId="1387DFE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354</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(14,4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EA61B2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503</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(20,4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56D814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0,77)</w:t>
            </w:r>
          </w:p>
        </w:tc>
      </w:tr>
      <w:tr w:rsidR="00886871" w14:paraId="66CAA1E3" w14:textId="77777777" w:rsidTr="00886871">
        <w:trPr>
          <w:cantSplit/>
          <w:trHeight w:val="20"/>
        </w:trPr>
        <w:tc>
          <w:tcPr>
            <w:tcW w:w="3009" w:type="dxa"/>
            <w:tcBorders>
              <w:top w:val="single" w:sz="4" w:space="0" w:color="000000"/>
              <w:left w:val="single" w:sz="4" w:space="0" w:color="000000"/>
              <w:bottom w:val="single" w:sz="4" w:space="0" w:color="000000"/>
              <w:right w:val="single" w:sz="4" w:space="0" w:color="000000"/>
            </w:tcBorders>
            <w:hideMark/>
          </w:tcPr>
          <w:p w14:paraId="5270F383" w14:textId="77777777" w:rsidR="00886871" w:rsidRDefault="00886871" w:rsidP="00146E50">
            <w:pPr>
              <w:pStyle w:val="TableParagraph"/>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gastrointestinale </w:t>
            </w:r>
            <w:r>
              <w:rPr>
                <w:rFonts w:asciiTheme="majorBidi" w:hAnsiTheme="majorBidi" w:cstheme="majorBidi"/>
                <w:spacing w:val="-2"/>
                <w:kern w:val="2"/>
                <w:lang w:val="da-DK"/>
                <w14:ligatures w14:val="standardContextual"/>
              </w:rPr>
              <w:t>blødninger</w:t>
            </w:r>
          </w:p>
        </w:tc>
        <w:tc>
          <w:tcPr>
            <w:tcW w:w="2094" w:type="dxa"/>
            <w:tcBorders>
              <w:top w:val="single" w:sz="4" w:space="0" w:color="000000"/>
              <w:left w:val="single" w:sz="4" w:space="0" w:color="000000"/>
              <w:bottom w:val="single" w:sz="4" w:space="0" w:color="000000"/>
              <w:right w:val="single" w:sz="4" w:space="0" w:color="000000"/>
            </w:tcBorders>
            <w:hideMark/>
          </w:tcPr>
          <w:p w14:paraId="523AC62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70 (2,9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33D1812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55 (2,2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075519C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1,82)</w:t>
            </w:r>
          </w:p>
        </w:tc>
      </w:tr>
    </w:tbl>
    <w:p w14:paraId="06B15CF5" w14:textId="77777777" w:rsidR="00886871" w:rsidRPr="00307CA4" w:rsidRDefault="00886871" w:rsidP="00146E50">
      <w:pPr>
        <w:pStyle w:val="Brdtekst"/>
        <w:widowControl/>
        <w:rPr>
          <w:rFonts w:asciiTheme="majorBidi" w:hAnsiTheme="majorBidi" w:cstheme="majorBidi"/>
          <w:b/>
          <w:sz w:val="24"/>
          <w:szCs w:val="24"/>
          <w:lang w:val="da-DK"/>
        </w:rPr>
      </w:pPr>
    </w:p>
    <w:p w14:paraId="5D47CE2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Blødningstilfælde for begge behandlinger tælles fra første indtagelse af dabigatranetexilat eller warfarin efter ophør af parenterel behandling (kun oral behandlingsperiode). Det inkluderer alle 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forekom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løbet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 der opstod under behandlingen med warfarin er inkluderet, med undtagelse af de blødninger, der forekom i den overlappende periode mellem warfarin og parenterel behandling.</w:t>
      </w:r>
    </w:p>
    <w:p w14:paraId="26BCECB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8D1D896" w14:textId="7B4B756D"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w:t>
      </w:r>
      <w:r w:rsidR="00322A8A">
        <w:rPr>
          <w:rFonts w:asciiTheme="majorBidi" w:hAnsiTheme="majorBidi" w:cstheme="majorBidi"/>
          <w:sz w:val="24"/>
          <w:szCs w:val="24"/>
          <w:lang w:val="da-DK"/>
        </w:rPr>
        <w:t>4</w:t>
      </w:r>
      <w:r w:rsidRPr="00307CA4">
        <w:rPr>
          <w:rFonts w:asciiTheme="majorBidi" w:hAnsiTheme="majorBidi" w:cstheme="majorBidi"/>
          <w:sz w:val="24"/>
          <w:szCs w:val="24"/>
          <w:lang w:val="da-DK"/>
        </w:rPr>
        <w:t xml:space="preserve"> viser blødningstilfælde i registreringsstudiet RE</w:t>
      </w:r>
      <w:r w:rsidRPr="00307CA4">
        <w:rPr>
          <w:rFonts w:asciiTheme="majorBidi" w:hAnsiTheme="majorBidi" w:cstheme="majorBidi"/>
          <w:sz w:val="24"/>
          <w:szCs w:val="24"/>
          <w:lang w:val="da-DK"/>
        </w:rPr>
        <w:noBreakHyphen/>
        <w:t>MEDY, der undersøgte forebyggelse af DVT og LE. Forekomsten af visse blødningstilfælde (MBE/CRBE; enhver blødning) var signifikant lavere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nominelt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alfa-niveau</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 patienter behandlet med warfarin.</w:t>
      </w:r>
    </w:p>
    <w:p w14:paraId="656EBD7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4688428" w14:textId="1D5390C2" w:rsidR="00886871" w:rsidRDefault="00886871" w:rsidP="00146E50">
      <w:pPr>
        <w:pStyle w:val="Overskrift2"/>
        <w:keepNext/>
        <w:keepLines/>
        <w:widowControl/>
        <w:jc w:val="both"/>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w:t>
      </w:r>
      <w:r w:rsidR="00322A8A">
        <w:rPr>
          <w:rFonts w:asciiTheme="majorBidi" w:hAnsiTheme="majorBidi" w:cstheme="majorBidi"/>
          <w:lang w:val="da-DK"/>
        </w:rPr>
        <w:t>4</w:t>
      </w:r>
      <w:r>
        <w:rPr>
          <w:rFonts w:asciiTheme="majorBidi" w:hAnsiTheme="majorBidi" w:cstheme="majorBidi"/>
          <w:lang w:val="da-DK"/>
        </w:rPr>
        <w:t>:</w:t>
      </w:r>
      <w:r>
        <w:rPr>
          <w:rFonts w:asciiTheme="majorBidi" w:hAnsiTheme="majorBidi" w:cstheme="majorBidi"/>
          <w:spacing w:val="-6"/>
          <w:lang w:val="da-DK"/>
        </w:rPr>
        <w:t xml:space="preserve"> </w:t>
      </w:r>
      <w:r>
        <w:rPr>
          <w:rFonts w:asciiTheme="majorBidi" w:hAnsiTheme="majorBidi" w:cstheme="majorBidi"/>
          <w:lang w:val="da-DK"/>
        </w:rPr>
        <w:t>Blødningstilfælde</w:t>
      </w:r>
      <w:r>
        <w:rPr>
          <w:rFonts w:asciiTheme="majorBidi" w:hAnsiTheme="majorBidi" w:cstheme="majorBidi"/>
          <w:spacing w:val="-6"/>
          <w:lang w:val="da-DK"/>
        </w:rPr>
        <w:t xml:space="preserve"> </w:t>
      </w:r>
      <w:r>
        <w:rPr>
          <w:rFonts w:asciiTheme="majorBidi" w:hAnsiTheme="majorBidi" w:cstheme="majorBidi"/>
          <w:lang w:val="da-DK"/>
        </w:rPr>
        <w:t>i</w:t>
      </w:r>
      <w:r>
        <w:rPr>
          <w:rFonts w:asciiTheme="majorBidi" w:hAnsiTheme="majorBidi" w:cstheme="majorBidi"/>
          <w:spacing w:val="-7"/>
          <w:lang w:val="da-DK"/>
        </w:rPr>
        <w:t xml:space="preserve"> </w:t>
      </w:r>
      <w:r>
        <w:rPr>
          <w:rFonts w:asciiTheme="majorBidi" w:hAnsiTheme="majorBidi" w:cstheme="majorBidi"/>
          <w:lang w:val="da-DK"/>
        </w:rPr>
        <w:t>studiet</w:t>
      </w:r>
      <w:r>
        <w:rPr>
          <w:rFonts w:asciiTheme="majorBidi" w:hAnsiTheme="majorBidi" w:cstheme="majorBidi"/>
          <w:spacing w:val="-6"/>
          <w:lang w:val="da-DK"/>
        </w:rPr>
        <w:t xml:space="preserve"> </w:t>
      </w:r>
      <w:r>
        <w:rPr>
          <w:rFonts w:asciiTheme="majorBidi" w:hAnsiTheme="majorBidi" w:cstheme="majorBidi"/>
          <w:lang w:val="da-DK"/>
        </w:rPr>
        <w:t>RE-MEDY,</w:t>
      </w:r>
      <w:r>
        <w:rPr>
          <w:rFonts w:asciiTheme="majorBidi" w:hAnsiTheme="majorBidi" w:cstheme="majorBidi"/>
          <w:spacing w:val="-6"/>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undersøgte</w:t>
      </w:r>
      <w:r>
        <w:rPr>
          <w:rFonts w:asciiTheme="majorBidi" w:hAnsiTheme="majorBidi" w:cstheme="majorBidi"/>
          <w:spacing w:val="-7"/>
          <w:lang w:val="da-DK"/>
        </w:rPr>
        <w:t xml:space="preserve"> </w:t>
      </w:r>
      <w:r>
        <w:rPr>
          <w:rFonts w:asciiTheme="majorBidi" w:hAnsiTheme="majorBidi" w:cstheme="majorBidi"/>
          <w:lang w:val="da-DK"/>
        </w:rPr>
        <w:t>forebyggelse</w:t>
      </w:r>
      <w:r>
        <w:rPr>
          <w:rFonts w:asciiTheme="majorBidi" w:hAnsiTheme="majorBidi" w:cstheme="majorBidi"/>
          <w:spacing w:val="-6"/>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DVT</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5"/>
          <w:lang w:val="da-DK"/>
        </w:rPr>
        <w:t>LE</w:t>
      </w:r>
    </w:p>
    <w:p w14:paraId="18A2D64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127"/>
        <w:gridCol w:w="1986"/>
        <w:gridCol w:w="1985"/>
      </w:tblGrid>
      <w:tr w:rsidR="00886871" w14:paraId="31D441EA"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3A02991D"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hideMark/>
          </w:tcPr>
          <w:p w14:paraId="10B8C00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1AABCC3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1984" w:type="dxa"/>
            <w:tcBorders>
              <w:top w:val="single" w:sz="4" w:space="0" w:color="000000"/>
              <w:left w:val="single" w:sz="4" w:space="0" w:color="000000"/>
              <w:bottom w:val="single" w:sz="4" w:space="0" w:color="000000"/>
              <w:right w:val="single" w:sz="4" w:space="0" w:color="000000"/>
            </w:tcBorders>
            <w:hideMark/>
          </w:tcPr>
          <w:p w14:paraId="4BC66DF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4"/>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warfarin</w:t>
            </w:r>
            <w:r>
              <w:rPr>
                <w:rFonts w:asciiTheme="majorBidi" w:hAnsiTheme="majorBidi" w:cstheme="majorBidi"/>
                <w:spacing w:val="80"/>
                <w:kern w:val="2"/>
                <w:lang w:val="da-DK"/>
                <w14:ligatures w14:val="standardContextual"/>
              </w:rPr>
              <w:t xml:space="preserve"> </w:t>
            </w:r>
            <w:r>
              <w:rPr>
                <w:rFonts w:asciiTheme="majorBidi" w:hAnsiTheme="majorBidi" w:cstheme="majorBidi"/>
                <w:kern w:val="2"/>
                <w:lang w:val="da-DK"/>
                <w14:ligatures w14:val="standardContextual"/>
              </w:rPr>
              <w:t>(95 %</w:t>
            </w:r>
          </w:p>
          <w:p w14:paraId="16756C9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4DB467F6"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6F16C0D"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6" w:type="dxa"/>
            <w:tcBorders>
              <w:top w:val="single" w:sz="4" w:space="0" w:color="000000"/>
              <w:left w:val="single" w:sz="4" w:space="0" w:color="000000"/>
              <w:bottom w:val="single" w:sz="4" w:space="0" w:color="000000"/>
              <w:right w:val="single" w:sz="4" w:space="0" w:color="000000"/>
            </w:tcBorders>
            <w:hideMark/>
          </w:tcPr>
          <w:p w14:paraId="66CAF17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1.430</w:t>
            </w:r>
          </w:p>
        </w:tc>
        <w:tc>
          <w:tcPr>
            <w:tcW w:w="1985" w:type="dxa"/>
            <w:tcBorders>
              <w:top w:val="single" w:sz="4" w:space="0" w:color="000000"/>
              <w:left w:val="single" w:sz="4" w:space="0" w:color="000000"/>
              <w:bottom w:val="single" w:sz="4" w:space="0" w:color="000000"/>
              <w:right w:val="single" w:sz="4" w:space="0" w:color="000000"/>
            </w:tcBorders>
            <w:hideMark/>
          </w:tcPr>
          <w:p w14:paraId="129EF5D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1.426</w:t>
            </w:r>
          </w:p>
        </w:tc>
        <w:tc>
          <w:tcPr>
            <w:tcW w:w="1984" w:type="dxa"/>
            <w:tcBorders>
              <w:top w:val="single" w:sz="4" w:space="0" w:color="000000"/>
              <w:left w:val="single" w:sz="4" w:space="0" w:color="000000"/>
              <w:bottom w:val="single" w:sz="4" w:space="0" w:color="000000"/>
              <w:right w:val="single" w:sz="4" w:space="0" w:color="000000"/>
            </w:tcBorders>
          </w:tcPr>
          <w:p w14:paraId="77492F9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D402D41"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D051E9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6874232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(0,9</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A74AEB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 (1,8</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796044E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1,16)</w:t>
            </w:r>
          </w:p>
        </w:tc>
      </w:tr>
      <w:tr w:rsidR="00886871" w14:paraId="23AD514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21500A4"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1AC647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3C3343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32B6A38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213EB86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B150B8E"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w:t>
            </w:r>
          </w:p>
          <w:p w14:paraId="016927D9"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 blødning</w:t>
            </w:r>
          </w:p>
        </w:tc>
        <w:tc>
          <w:tcPr>
            <w:tcW w:w="2126" w:type="dxa"/>
            <w:tcBorders>
              <w:top w:val="single" w:sz="4" w:space="0" w:color="000000"/>
              <w:left w:val="single" w:sz="4" w:space="0" w:color="000000"/>
              <w:bottom w:val="single" w:sz="4" w:space="0" w:color="000000"/>
              <w:right w:val="single" w:sz="4" w:space="0" w:color="000000"/>
            </w:tcBorders>
            <w:hideMark/>
          </w:tcPr>
          <w:p w14:paraId="3A2A5A7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05DD6EA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 (0,5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AEA154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20D3165C"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E362EEC"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7FB3013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1142104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E76DB9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68C2DE9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D0D8D7A"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6BF97B27"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5CF66E5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80 (5,6</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74F4047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145</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505BB1D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0,55</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(0,41;0,72)</w:t>
            </w:r>
          </w:p>
        </w:tc>
      </w:tr>
      <w:tr w:rsidR="00886871" w14:paraId="7A30EB9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6E35F3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2BC8989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278</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(19,4</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4991FFD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373</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(26,2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0110BD0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0,83)</w:t>
            </w:r>
          </w:p>
        </w:tc>
      </w:tr>
      <w:tr w:rsidR="00886871" w14:paraId="01250D2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1CBF513"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gastrointestinale</w:t>
            </w:r>
          </w:p>
          <w:p w14:paraId="4885B5D7"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4C9DCE1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 (3,1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CF787F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32 (2,2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1F28F3F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2,20)</w:t>
            </w:r>
          </w:p>
        </w:tc>
      </w:tr>
    </w:tbl>
    <w:p w14:paraId="0576354A" w14:textId="77777777" w:rsidR="00886871" w:rsidRDefault="00886871" w:rsidP="00146E50">
      <w:pPr>
        <w:pStyle w:val="Brdtekst"/>
        <w:widowControl/>
        <w:ind w:left="258"/>
        <w:jc w:val="both"/>
        <w:rPr>
          <w:rFonts w:asciiTheme="majorBidi" w:hAnsiTheme="majorBidi" w:cstheme="majorBidi"/>
          <w:lang w:val="da-DK"/>
        </w:rPr>
      </w:pPr>
      <w:r>
        <w:rPr>
          <w:rFonts w:asciiTheme="majorBidi" w:hAnsiTheme="majorBidi" w:cstheme="majorBidi"/>
          <w:lang w:val="da-DK"/>
        </w:rPr>
        <w:t>*HR</w:t>
      </w:r>
      <w:r>
        <w:rPr>
          <w:rFonts w:asciiTheme="majorBidi" w:hAnsiTheme="majorBidi" w:cstheme="majorBidi"/>
          <w:spacing w:val="-7"/>
          <w:lang w:val="da-DK"/>
        </w:rPr>
        <w:t xml:space="preserve"> </w:t>
      </w:r>
      <w:r>
        <w:rPr>
          <w:rFonts w:asciiTheme="majorBidi" w:hAnsiTheme="majorBidi" w:cstheme="majorBidi"/>
          <w:lang w:val="da-DK"/>
        </w:rPr>
        <w:t>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mulig</w:t>
      </w:r>
      <w:r>
        <w:rPr>
          <w:rFonts w:asciiTheme="majorBidi" w:hAnsiTheme="majorBidi" w:cstheme="majorBidi"/>
          <w:spacing w:val="-4"/>
          <w:lang w:val="da-DK"/>
        </w:rPr>
        <w:t xml:space="preserve"> </w:t>
      </w:r>
      <w:r>
        <w:rPr>
          <w:rFonts w:asciiTheme="majorBidi" w:hAnsiTheme="majorBidi" w:cstheme="majorBidi"/>
          <w:lang w:val="da-DK"/>
        </w:rPr>
        <w:t>at</w:t>
      </w:r>
      <w:r>
        <w:rPr>
          <w:rFonts w:asciiTheme="majorBidi" w:hAnsiTheme="majorBidi" w:cstheme="majorBidi"/>
          <w:spacing w:val="-5"/>
          <w:lang w:val="da-DK"/>
        </w:rPr>
        <w:t xml:space="preserve"> </w:t>
      </w:r>
      <w:r>
        <w:rPr>
          <w:rFonts w:asciiTheme="majorBidi" w:hAnsiTheme="majorBidi" w:cstheme="majorBidi"/>
          <w:lang w:val="da-DK"/>
        </w:rPr>
        <w:t>beregne,</w:t>
      </w:r>
      <w:r>
        <w:rPr>
          <w:rFonts w:asciiTheme="majorBidi" w:hAnsiTheme="majorBidi" w:cstheme="majorBidi"/>
          <w:spacing w:val="-4"/>
          <w:lang w:val="da-DK"/>
        </w:rPr>
        <w:t xml:space="preserve"> </w:t>
      </w:r>
      <w:r>
        <w:rPr>
          <w:rFonts w:asciiTheme="majorBidi" w:hAnsiTheme="majorBidi" w:cstheme="majorBidi"/>
          <w:lang w:val="da-DK"/>
        </w:rPr>
        <w:t>da</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forekom</w:t>
      </w:r>
      <w:r>
        <w:rPr>
          <w:rFonts w:asciiTheme="majorBidi" w:hAnsiTheme="majorBidi" w:cstheme="majorBidi"/>
          <w:spacing w:val="-5"/>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hændelse</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lang w:val="da-DK"/>
        </w:rPr>
        <w:t>denne</w:t>
      </w:r>
      <w:r>
        <w:rPr>
          <w:rFonts w:asciiTheme="majorBidi" w:hAnsiTheme="majorBidi" w:cstheme="majorBidi"/>
          <w:spacing w:val="-4"/>
          <w:lang w:val="da-DK"/>
        </w:rPr>
        <w:t xml:space="preserve"> </w:t>
      </w:r>
      <w:r>
        <w:rPr>
          <w:rFonts w:asciiTheme="majorBidi" w:hAnsiTheme="majorBidi" w:cstheme="majorBidi"/>
          <w:spacing w:val="-2"/>
          <w:lang w:val="da-DK"/>
        </w:rPr>
        <w:t>kohort/behandling</w:t>
      </w:r>
    </w:p>
    <w:p w14:paraId="22E6FA21" w14:textId="77777777" w:rsidR="00886871" w:rsidRPr="00307CA4" w:rsidRDefault="00886871" w:rsidP="00307CA4">
      <w:pPr>
        <w:pStyle w:val="Brdtekst"/>
        <w:widowControl/>
        <w:ind w:left="851"/>
        <w:rPr>
          <w:rFonts w:asciiTheme="majorBidi" w:hAnsiTheme="majorBidi" w:cstheme="majorBidi"/>
          <w:sz w:val="24"/>
          <w:szCs w:val="24"/>
          <w:lang w:val="da-DK"/>
        </w:rPr>
      </w:pPr>
    </w:p>
    <w:p w14:paraId="12168357" w14:textId="5606521C" w:rsidR="00886871" w:rsidRPr="00307CA4" w:rsidRDefault="00886871" w:rsidP="00307CA4">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1</w:t>
      </w:r>
      <w:r w:rsidR="00322A8A">
        <w:rPr>
          <w:rFonts w:asciiTheme="majorBidi" w:hAnsiTheme="majorBidi" w:cstheme="majorBidi"/>
          <w:sz w:val="24"/>
          <w:szCs w:val="24"/>
          <w:lang w:val="da-DK"/>
        </w:rPr>
        <w:t>5</w:t>
      </w:r>
      <w:r w:rsidRPr="00307CA4">
        <w:rPr>
          <w:rFonts w:asciiTheme="majorBidi" w:hAnsiTheme="majorBidi" w:cstheme="majorBidi"/>
          <w:sz w:val="24"/>
          <w:szCs w:val="24"/>
          <w:lang w:val="da-DK"/>
        </w:rPr>
        <w:t xml:space="preserve"> viser blødningstilfælde i registreringsstudiet RE-SONATE, der undersøgte forebyggelse af DVT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MBE/CRBE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enhver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lastRenderedPageBreak/>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signifikant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 ved et nominelt alfa-niveau på 5 % ved placebo, sammenlignet med dabigatranetexilat.</w:t>
      </w:r>
    </w:p>
    <w:p w14:paraId="04B94F67" w14:textId="77777777" w:rsidR="00886871" w:rsidRPr="00307CA4" w:rsidRDefault="00886871" w:rsidP="00307CA4">
      <w:pPr>
        <w:pStyle w:val="Brdtekst"/>
        <w:widowControl/>
        <w:ind w:left="851"/>
        <w:rPr>
          <w:rFonts w:asciiTheme="majorBidi" w:hAnsiTheme="majorBidi" w:cstheme="majorBidi"/>
          <w:sz w:val="24"/>
          <w:szCs w:val="24"/>
          <w:lang w:val="da-DK"/>
        </w:rPr>
      </w:pPr>
    </w:p>
    <w:p w14:paraId="5427D362" w14:textId="5F8EF455" w:rsidR="00886871" w:rsidRDefault="00886871" w:rsidP="00146E50">
      <w:pPr>
        <w:pStyle w:val="Overskrift2"/>
        <w:keepNext/>
        <w:keepLines/>
        <w:widowControl/>
        <w:jc w:val="both"/>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w:t>
      </w:r>
      <w:r w:rsidR="00322A8A">
        <w:rPr>
          <w:rFonts w:asciiTheme="majorBidi" w:hAnsiTheme="majorBidi" w:cstheme="majorBidi"/>
          <w:lang w:val="da-DK"/>
        </w:rPr>
        <w:t>5</w:t>
      </w:r>
      <w:r>
        <w:rPr>
          <w:rFonts w:asciiTheme="majorBidi" w:hAnsiTheme="majorBidi" w:cstheme="majorBidi"/>
          <w:lang w:val="da-DK"/>
        </w:rPr>
        <w:t>:</w:t>
      </w:r>
      <w:r>
        <w:rPr>
          <w:rFonts w:asciiTheme="majorBidi" w:hAnsiTheme="majorBidi" w:cstheme="majorBidi"/>
          <w:spacing w:val="-6"/>
          <w:lang w:val="da-DK"/>
        </w:rPr>
        <w:t xml:space="preserve"> </w:t>
      </w:r>
      <w:r>
        <w:rPr>
          <w:rFonts w:asciiTheme="majorBidi" w:hAnsiTheme="majorBidi" w:cstheme="majorBidi"/>
          <w:lang w:val="da-DK"/>
        </w:rPr>
        <w:t>Blødningstilfælde</w:t>
      </w:r>
      <w:r>
        <w:rPr>
          <w:rFonts w:asciiTheme="majorBidi" w:hAnsiTheme="majorBidi" w:cstheme="majorBidi"/>
          <w:spacing w:val="-6"/>
          <w:lang w:val="da-DK"/>
        </w:rPr>
        <w:t xml:space="preserve"> </w:t>
      </w:r>
      <w:r>
        <w:rPr>
          <w:rFonts w:asciiTheme="majorBidi" w:hAnsiTheme="majorBidi" w:cstheme="majorBidi"/>
          <w:lang w:val="da-DK"/>
        </w:rPr>
        <w:t>i</w:t>
      </w:r>
      <w:r>
        <w:rPr>
          <w:rFonts w:asciiTheme="majorBidi" w:hAnsiTheme="majorBidi" w:cstheme="majorBidi"/>
          <w:spacing w:val="-6"/>
          <w:lang w:val="da-DK"/>
        </w:rPr>
        <w:t xml:space="preserve"> </w:t>
      </w:r>
      <w:r>
        <w:rPr>
          <w:rFonts w:asciiTheme="majorBidi" w:hAnsiTheme="majorBidi" w:cstheme="majorBidi"/>
          <w:lang w:val="da-DK"/>
        </w:rPr>
        <w:t>studiet</w:t>
      </w:r>
      <w:r>
        <w:rPr>
          <w:rFonts w:asciiTheme="majorBidi" w:hAnsiTheme="majorBidi" w:cstheme="majorBidi"/>
          <w:spacing w:val="-6"/>
          <w:lang w:val="da-DK"/>
        </w:rPr>
        <w:t xml:space="preserve"> </w:t>
      </w:r>
      <w:r>
        <w:rPr>
          <w:rFonts w:asciiTheme="majorBidi" w:hAnsiTheme="majorBidi" w:cstheme="majorBidi"/>
          <w:lang w:val="da-DK"/>
        </w:rPr>
        <w:t>RE-SONATE,</w:t>
      </w:r>
      <w:r>
        <w:rPr>
          <w:rFonts w:asciiTheme="majorBidi" w:hAnsiTheme="majorBidi" w:cstheme="majorBidi"/>
          <w:spacing w:val="-8"/>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undersøgte</w:t>
      </w:r>
      <w:r>
        <w:rPr>
          <w:rFonts w:asciiTheme="majorBidi" w:hAnsiTheme="majorBidi" w:cstheme="majorBidi"/>
          <w:spacing w:val="-6"/>
          <w:lang w:val="da-DK"/>
        </w:rPr>
        <w:t xml:space="preserve"> </w:t>
      </w:r>
      <w:r>
        <w:rPr>
          <w:rFonts w:asciiTheme="majorBidi" w:hAnsiTheme="majorBidi" w:cstheme="majorBidi"/>
          <w:lang w:val="da-DK"/>
        </w:rPr>
        <w:t>forebyggelse</w:t>
      </w:r>
      <w:r>
        <w:rPr>
          <w:rFonts w:asciiTheme="majorBidi" w:hAnsiTheme="majorBidi" w:cstheme="majorBidi"/>
          <w:spacing w:val="-6"/>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DVT</w:t>
      </w:r>
      <w:r>
        <w:rPr>
          <w:rFonts w:asciiTheme="majorBidi" w:hAnsiTheme="majorBidi" w:cstheme="majorBidi"/>
          <w:spacing w:val="-6"/>
          <w:lang w:val="da-DK"/>
        </w:rPr>
        <w:t xml:space="preserve"> </w:t>
      </w:r>
      <w:r>
        <w:rPr>
          <w:rFonts w:asciiTheme="majorBidi" w:hAnsiTheme="majorBidi" w:cstheme="majorBidi"/>
          <w:lang w:val="da-DK"/>
        </w:rPr>
        <w:t>og</w:t>
      </w:r>
      <w:r>
        <w:rPr>
          <w:rFonts w:asciiTheme="majorBidi" w:hAnsiTheme="majorBidi" w:cstheme="majorBidi"/>
          <w:spacing w:val="-6"/>
          <w:lang w:val="da-DK"/>
        </w:rPr>
        <w:t xml:space="preserve"> </w:t>
      </w:r>
      <w:r>
        <w:rPr>
          <w:rFonts w:asciiTheme="majorBidi" w:hAnsiTheme="majorBidi" w:cstheme="majorBidi"/>
          <w:spacing w:val="-5"/>
          <w:lang w:val="da-DK"/>
        </w:rPr>
        <w:t>LE</w:t>
      </w:r>
    </w:p>
    <w:p w14:paraId="16E53833"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127"/>
        <w:gridCol w:w="1986"/>
        <w:gridCol w:w="1985"/>
      </w:tblGrid>
      <w:tr w:rsidR="00886871" w14:paraId="267DF6DE"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tcPr>
          <w:p w14:paraId="72A9B35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hideMark/>
          </w:tcPr>
          <w:p w14:paraId="7353423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 xml:space="preserve">150 mg 2 gange </w:t>
            </w:r>
            <w:r>
              <w:rPr>
                <w:rFonts w:asciiTheme="majorBidi" w:hAnsiTheme="majorBidi" w:cstheme="majorBidi"/>
                <w:spacing w:val="-2"/>
                <w:kern w:val="2"/>
                <w:lang w:val="da-DK"/>
                <w14:ligatures w14:val="standardContextual"/>
              </w:rPr>
              <w:t>dagligt</w:t>
            </w:r>
          </w:p>
        </w:tc>
        <w:tc>
          <w:tcPr>
            <w:tcW w:w="1985" w:type="dxa"/>
            <w:tcBorders>
              <w:top w:val="single" w:sz="4" w:space="0" w:color="000000"/>
              <w:left w:val="single" w:sz="4" w:space="0" w:color="000000"/>
              <w:bottom w:val="single" w:sz="4" w:space="0" w:color="000000"/>
              <w:right w:val="single" w:sz="4" w:space="0" w:color="000000"/>
            </w:tcBorders>
            <w:hideMark/>
          </w:tcPr>
          <w:p w14:paraId="5C2017D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Placebo</w:t>
            </w:r>
          </w:p>
        </w:tc>
        <w:tc>
          <w:tcPr>
            <w:tcW w:w="1984" w:type="dxa"/>
            <w:tcBorders>
              <w:top w:val="single" w:sz="4" w:space="0" w:color="000000"/>
              <w:left w:val="single" w:sz="4" w:space="0" w:color="000000"/>
              <w:bottom w:val="single" w:sz="4" w:space="0" w:color="000000"/>
              <w:right w:val="single" w:sz="4" w:space="0" w:color="000000"/>
            </w:tcBorders>
            <w:hideMark/>
          </w:tcPr>
          <w:p w14:paraId="563E6CB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5"/>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33DC8BE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placebo </w:t>
            </w:r>
            <w:r>
              <w:rPr>
                <w:rFonts w:asciiTheme="majorBidi" w:hAnsiTheme="majorBidi" w:cstheme="majorBidi"/>
                <w:kern w:val="2"/>
                <w:lang w:val="da-DK"/>
                <w14:ligatures w14:val="standardContextual"/>
              </w:rPr>
              <w:t>(95 %</w:t>
            </w:r>
          </w:p>
          <w:p w14:paraId="2EEF1ED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r>
      <w:tr w:rsidR="00886871" w14:paraId="64EE840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9746C4D" w14:textId="77777777" w:rsidR="00886871" w:rsidRDefault="00886871" w:rsidP="00146E50">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126" w:type="dxa"/>
            <w:tcBorders>
              <w:top w:val="single" w:sz="4" w:space="0" w:color="000000"/>
              <w:left w:val="single" w:sz="4" w:space="0" w:color="000000"/>
              <w:bottom w:val="single" w:sz="4" w:space="0" w:color="000000"/>
              <w:right w:val="single" w:sz="4" w:space="0" w:color="000000"/>
            </w:tcBorders>
            <w:hideMark/>
          </w:tcPr>
          <w:p w14:paraId="126BB50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684</w:t>
            </w:r>
          </w:p>
        </w:tc>
        <w:tc>
          <w:tcPr>
            <w:tcW w:w="1985" w:type="dxa"/>
            <w:tcBorders>
              <w:top w:val="single" w:sz="4" w:space="0" w:color="000000"/>
              <w:left w:val="single" w:sz="4" w:space="0" w:color="000000"/>
              <w:bottom w:val="single" w:sz="4" w:space="0" w:color="000000"/>
              <w:right w:val="single" w:sz="4" w:space="0" w:color="000000"/>
            </w:tcBorders>
            <w:hideMark/>
          </w:tcPr>
          <w:p w14:paraId="490C3BA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659</w:t>
            </w:r>
          </w:p>
        </w:tc>
        <w:tc>
          <w:tcPr>
            <w:tcW w:w="1984" w:type="dxa"/>
            <w:tcBorders>
              <w:top w:val="single" w:sz="4" w:space="0" w:color="000000"/>
              <w:left w:val="single" w:sz="4" w:space="0" w:color="000000"/>
              <w:bottom w:val="single" w:sz="4" w:space="0" w:color="000000"/>
              <w:right w:val="single" w:sz="4" w:space="0" w:color="000000"/>
            </w:tcBorders>
          </w:tcPr>
          <w:p w14:paraId="7558A63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0737864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D4C8D0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6CCA7EF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2F75792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48B5F2F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1A0CC7B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8269493"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7B1EBC3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5" w:type="dxa"/>
            <w:tcBorders>
              <w:top w:val="single" w:sz="4" w:space="0" w:color="000000"/>
              <w:left w:val="single" w:sz="4" w:space="0" w:color="000000"/>
              <w:bottom w:val="single" w:sz="4" w:space="0" w:color="000000"/>
              <w:right w:val="single" w:sz="4" w:space="0" w:color="000000"/>
            </w:tcBorders>
            <w:hideMark/>
          </w:tcPr>
          <w:p w14:paraId="652885A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5E9BCCC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50BB826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75678E4"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Alvorlig</w:t>
            </w:r>
          </w:p>
          <w:p w14:paraId="4B68B29F" w14:textId="77777777" w:rsidR="00886871" w:rsidRDefault="00886871" w:rsidP="00146E50">
            <w:pPr>
              <w:pStyle w:val="TableParagraph"/>
              <w:keepNext/>
              <w:keepLines/>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 blødning</w:t>
            </w:r>
          </w:p>
        </w:tc>
        <w:tc>
          <w:tcPr>
            <w:tcW w:w="2126" w:type="dxa"/>
            <w:tcBorders>
              <w:top w:val="single" w:sz="4" w:space="0" w:color="000000"/>
              <w:left w:val="single" w:sz="4" w:space="0" w:color="000000"/>
              <w:bottom w:val="single" w:sz="4" w:space="0" w:color="000000"/>
              <w:right w:val="single" w:sz="4" w:space="0" w:color="000000"/>
            </w:tcBorders>
            <w:hideMark/>
          </w:tcPr>
          <w:p w14:paraId="0A9957E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37CE001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74E6AE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7662637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48726E7" w14:textId="77777777" w:rsidR="00886871" w:rsidRDefault="00886871" w:rsidP="00146E50">
            <w:pPr>
              <w:pStyle w:val="TableParagraph"/>
              <w:widowControl/>
              <w:spacing w:line="240" w:lineRule="auto"/>
              <w:ind w:left="67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Livstruende</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0FEC32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5" w:type="dxa"/>
            <w:tcBorders>
              <w:top w:val="single" w:sz="4" w:space="0" w:color="000000"/>
              <w:left w:val="single" w:sz="4" w:space="0" w:color="000000"/>
              <w:bottom w:val="single" w:sz="4" w:space="0" w:color="000000"/>
              <w:right w:val="single" w:sz="4" w:space="0" w:color="000000"/>
            </w:tcBorders>
            <w:hideMark/>
          </w:tcPr>
          <w:p w14:paraId="734EB6E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w:t>
            </w:r>
          </w:p>
        </w:tc>
        <w:tc>
          <w:tcPr>
            <w:tcW w:w="1984" w:type="dxa"/>
            <w:tcBorders>
              <w:top w:val="single" w:sz="4" w:space="0" w:color="000000"/>
              <w:left w:val="single" w:sz="4" w:space="0" w:color="000000"/>
              <w:bottom w:val="single" w:sz="4" w:space="0" w:color="000000"/>
              <w:right w:val="single" w:sz="4" w:space="0" w:color="000000"/>
            </w:tcBorders>
            <w:hideMark/>
          </w:tcPr>
          <w:p w14:paraId="2DCB96B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mulig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 xml:space="preserve">at </w:t>
            </w:r>
            <w:r>
              <w:rPr>
                <w:rFonts w:asciiTheme="majorBidi" w:hAnsiTheme="majorBidi" w:cstheme="majorBidi"/>
                <w:spacing w:val="-2"/>
                <w:kern w:val="2"/>
                <w:lang w:val="da-DK"/>
                <w14:ligatures w14:val="standardContextual"/>
              </w:rPr>
              <w:t>beregne*</w:t>
            </w:r>
          </w:p>
        </w:tc>
      </w:tr>
      <w:tr w:rsidR="00886871" w14:paraId="1B749ED8"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78EBCC6"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Alvorlig</w:t>
            </w:r>
            <w:r>
              <w:rPr>
                <w:rFonts w:asciiTheme="majorBidi" w:hAnsiTheme="majorBidi" w:cstheme="majorBidi"/>
                <w:spacing w:val="-8"/>
                <w:kern w:val="2"/>
                <w:lang w:val="nb-NO"/>
                <w14:ligatures w14:val="standardContextual"/>
              </w:rPr>
              <w:t xml:space="preserve"> </w:t>
            </w:r>
            <w:r>
              <w:rPr>
                <w:rFonts w:asciiTheme="majorBidi" w:hAnsiTheme="majorBidi" w:cstheme="majorBidi"/>
                <w:spacing w:val="-2"/>
                <w:kern w:val="2"/>
                <w:lang w:val="nb-NO"/>
                <w14:ligatures w14:val="standardContextual"/>
              </w:rPr>
              <w:t>blødning/klinisk</w:t>
            </w:r>
          </w:p>
          <w:p w14:paraId="79ECCB2C" w14:textId="77777777" w:rsidR="00886871" w:rsidRDefault="00886871" w:rsidP="00146E50">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relevant</w:t>
            </w:r>
            <w:r>
              <w:rPr>
                <w:rFonts w:asciiTheme="majorBidi" w:hAnsiTheme="majorBidi" w:cstheme="majorBidi"/>
                <w:spacing w:val="-10"/>
                <w:kern w:val="2"/>
                <w:lang w:val="nb-NO"/>
                <w14:ligatures w14:val="standardContextual"/>
              </w:rPr>
              <w:t xml:space="preserve"> </w:t>
            </w:r>
            <w:r>
              <w:rPr>
                <w:rFonts w:asciiTheme="majorBidi" w:hAnsiTheme="majorBidi" w:cstheme="majorBidi"/>
                <w:spacing w:val="-2"/>
                <w:kern w:val="2"/>
                <w:lang w:val="nb-NO"/>
                <w14:ligatures w14:val="standardContextual"/>
              </w:rPr>
              <w:t>blødning</w:t>
            </w:r>
          </w:p>
        </w:tc>
        <w:tc>
          <w:tcPr>
            <w:tcW w:w="2126" w:type="dxa"/>
            <w:tcBorders>
              <w:top w:val="single" w:sz="4" w:space="0" w:color="000000"/>
              <w:left w:val="single" w:sz="4" w:space="0" w:color="000000"/>
              <w:bottom w:val="single" w:sz="4" w:space="0" w:color="000000"/>
              <w:right w:val="single" w:sz="4" w:space="0" w:color="000000"/>
            </w:tcBorders>
            <w:hideMark/>
          </w:tcPr>
          <w:p w14:paraId="0C3B4F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 (5,3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A6A4B5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3AD86A5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5,07)</w:t>
            </w:r>
          </w:p>
        </w:tc>
      </w:tr>
      <w:tr w:rsidR="00886871" w14:paraId="4A15C9E1"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3FE750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33DC35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72 (10,5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2202422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(6,1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BB06B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(1,20;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2,61)</w:t>
            </w:r>
          </w:p>
        </w:tc>
      </w:tr>
      <w:tr w:rsidR="00886871" w14:paraId="28BAA3D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0EE86B1"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gastrointestinale</w:t>
            </w:r>
          </w:p>
          <w:p w14:paraId="19B218DB" w14:textId="77777777" w:rsidR="00886871" w:rsidRDefault="00886871" w:rsidP="00146E50">
            <w:pPr>
              <w:pStyle w:val="TableParagraph"/>
              <w:keepNext/>
              <w:keepLines/>
              <w:widowControl/>
              <w:spacing w:line="240" w:lineRule="auto"/>
              <w:ind w:left="674"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blødninger</w:t>
            </w:r>
          </w:p>
        </w:tc>
        <w:tc>
          <w:tcPr>
            <w:tcW w:w="2126" w:type="dxa"/>
            <w:tcBorders>
              <w:top w:val="single" w:sz="4" w:space="0" w:color="000000"/>
              <w:left w:val="single" w:sz="4" w:space="0" w:color="000000"/>
              <w:bottom w:val="single" w:sz="4" w:space="0" w:color="000000"/>
              <w:right w:val="single" w:sz="4" w:space="0" w:color="000000"/>
            </w:tcBorders>
            <w:hideMark/>
          </w:tcPr>
          <w:p w14:paraId="60705A4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 (0,7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5" w:type="dxa"/>
            <w:tcBorders>
              <w:top w:val="single" w:sz="4" w:space="0" w:color="000000"/>
              <w:left w:val="single" w:sz="4" w:space="0" w:color="000000"/>
              <w:bottom w:val="single" w:sz="4" w:space="0" w:color="000000"/>
              <w:right w:val="single" w:sz="4" w:space="0" w:color="000000"/>
            </w:tcBorders>
            <w:hideMark/>
          </w:tcPr>
          <w:p w14:paraId="5143618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21006F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12,27)</w:t>
            </w:r>
          </w:p>
        </w:tc>
      </w:tr>
    </w:tbl>
    <w:p w14:paraId="1B2CDBF5" w14:textId="77777777" w:rsidR="00886871" w:rsidRDefault="00886871" w:rsidP="00146E50">
      <w:pPr>
        <w:pStyle w:val="Brdtekst"/>
        <w:widowControl/>
        <w:ind w:left="258"/>
        <w:jc w:val="both"/>
        <w:rPr>
          <w:rFonts w:asciiTheme="majorBidi" w:hAnsiTheme="majorBidi" w:cstheme="majorBidi"/>
          <w:lang w:val="da-DK"/>
        </w:rPr>
      </w:pPr>
      <w:r>
        <w:rPr>
          <w:rFonts w:asciiTheme="majorBidi" w:hAnsiTheme="majorBidi" w:cstheme="majorBidi"/>
          <w:lang w:val="da-DK"/>
        </w:rPr>
        <w:t>*HR</w:t>
      </w:r>
      <w:r>
        <w:rPr>
          <w:rFonts w:asciiTheme="majorBidi" w:hAnsiTheme="majorBidi" w:cstheme="majorBidi"/>
          <w:spacing w:val="-7"/>
          <w:lang w:val="da-DK"/>
        </w:rPr>
        <w:t xml:space="preserve"> </w:t>
      </w:r>
      <w:r>
        <w:rPr>
          <w:rFonts w:asciiTheme="majorBidi" w:hAnsiTheme="majorBidi" w:cstheme="majorBidi"/>
          <w:lang w:val="da-DK"/>
        </w:rPr>
        <w:t>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mulig</w:t>
      </w:r>
      <w:r>
        <w:rPr>
          <w:rFonts w:asciiTheme="majorBidi" w:hAnsiTheme="majorBidi" w:cstheme="majorBidi"/>
          <w:spacing w:val="-4"/>
          <w:lang w:val="da-DK"/>
        </w:rPr>
        <w:t xml:space="preserve"> </w:t>
      </w:r>
      <w:r>
        <w:rPr>
          <w:rFonts w:asciiTheme="majorBidi" w:hAnsiTheme="majorBidi" w:cstheme="majorBidi"/>
          <w:lang w:val="da-DK"/>
        </w:rPr>
        <w:t>at</w:t>
      </w:r>
      <w:r>
        <w:rPr>
          <w:rFonts w:asciiTheme="majorBidi" w:hAnsiTheme="majorBidi" w:cstheme="majorBidi"/>
          <w:spacing w:val="-4"/>
          <w:lang w:val="da-DK"/>
        </w:rPr>
        <w:t xml:space="preserve"> </w:t>
      </w:r>
      <w:r>
        <w:rPr>
          <w:rFonts w:asciiTheme="majorBidi" w:hAnsiTheme="majorBidi" w:cstheme="majorBidi"/>
          <w:lang w:val="da-DK"/>
        </w:rPr>
        <w:t>beregne,</w:t>
      </w:r>
      <w:r>
        <w:rPr>
          <w:rFonts w:asciiTheme="majorBidi" w:hAnsiTheme="majorBidi" w:cstheme="majorBidi"/>
          <w:spacing w:val="-4"/>
          <w:lang w:val="da-DK"/>
        </w:rPr>
        <w:t xml:space="preserve"> </w:t>
      </w:r>
      <w:r>
        <w:rPr>
          <w:rFonts w:asciiTheme="majorBidi" w:hAnsiTheme="majorBidi" w:cstheme="majorBidi"/>
          <w:lang w:val="da-DK"/>
        </w:rPr>
        <w:t>da</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ikke</w:t>
      </w:r>
      <w:r>
        <w:rPr>
          <w:rFonts w:asciiTheme="majorBidi" w:hAnsiTheme="majorBidi" w:cstheme="majorBidi"/>
          <w:spacing w:val="-4"/>
          <w:lang w:val="da-DK"/>
        </w:rPr>
        <w:t xml:space="preserve"> </w:t>
      </w:r>
      <w:r>
        <w:rPr>
          <w:rFonts w:asciiTheme="majorBidi" w:hAnsiTheme="majorBidi" w:cstheme="majorBidi"/>
          <w:lang w:val="da-DK"/>
        </w:rPr>
        <w:t>forekom</w:t>
      </w:r>
      <w:r>
        <w:rPr>
          <w:rFonts w:asciiTheme="majorBidi" w:hAnsiTheme="majorBidi" w:cstheme="majorBidi"/>
          <w:spacing w:val="-4"/>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hændelse</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lang w:val="da-DK"/>
        </w:rPr>
        <w:t>nogen</w:t>
      </w:r>
      <w:r>
        <w:rPr>
          <w:rFonts w:asciiTheme="majorBidi" w:hAnsiTheme="majorBidi" w:cstheme="majorBidi"/>
          <w:spacing w:val="-4"/>
          <w:lang w:val="da-DK"/>
        </w:rPr>
        <w:t xml:space="preserve"> </w:t>
      </w:r>
      <w:r>
        <w:rPr>
          <w:rFonts w:asciiTheme="majorBidi" w:hAnsiTheme="majorBidi" w:cstheme="majorBidi"/>
          <w:lang w:val="da-DK"/>
        </w:rPr>
        <w:t>af</w:t>
      </w:r>
      <w:r>
        <w:rPr>
          <w:rFonts w:asciiTheme="majorBidi" w:hAnsiTheme="majorBidi" w:cstheme="majorBidi"/>
          <w:spacing w:val="-4"/>
          <w:lang w:val="da-DK"/>
        </w:rPr>
        <w:t xml:space="preserve"> </w:t>
      </w:r>
      <w:r>
        <w:rPr>
          <w:rFonts w:asciiTheme="majorBidi" w:hAnsiTheme="majorBidi" w:cstheme="majorBidi"/>
          <w:spacing w:val="-2"/>
          <w:lang w:val="da-DK"/>
        </w:rPr>
        <w:t>behandlingerne.</w:t>
      </w:r>
    </w:p>
    <w:p w14:paraId="22FEFFD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AA0A5D" w14:textId="77777777" w:rsidR="00886871" w:rsidRPr="00307CA4" w:rsidRDefault="00886871" w:rsidP="00DB26E1">
      <w:pPr>
        <w:keepNext/>
        <w:keepLines/>
        <w:ind w:left="851"/>
        <w:jc w:val="both"/>
        <w:rPr>
          <w:rFonts w:asciiTheme="majorBidi" w:hAnsiTheme="majorBidi" w:cstheme="majorBidi"/>
          <w:iCs/>
          <w:spacing w:val="-2"/>
          <w:sz w:val="24"/>
          <w:szCs w:val="24"/>
          <w:u w:val="single"/>
        </w:rPr>
      </w:pPr>
      <w:r w:rsidRPr="00307CA4">
        <w:rPr>
          <w:rFonts w:asciiTheme="majorBidi" w:hAnsiTheme="majorBidi" w:cstheme="majorBidi"/>
          <w:iCs/>
          <w:sz w:val="24"/>
          <w:szCs w:val="24"/>
          <w:u w:val="single"/>
        </w:rPr>
        <w:t>Agranulocytose</w:t>
      </w:r>
      <w:r w:rsidRPr="00307CA4">
        <w:rPr>
          <w:rFonts w:asciiTheme="majorBidi" w:hAnsiTheme="majorBidi" w:cstheme="majorBidi"/>
          <w:iCs/>
          <w:spacing w:val="-8"/>
          <w:sz w:val="24"/>
          <w:szCs w:val="24"/>
          <w:u w:val="single"/>
        </w:rPr>
        <w:t xml:space="preserve"> </w:t>
      </w:r>
      <w:r w:rsidRPr="00307CA4">
        <w:rPr>
          <w:rFonts w:asciiTheme="majorBidi" w:hAnsiTheme="majorBidi" w:cstheme="majorBidi"/>
          <w:iCs/>
          <w:sz w:val="24"/>
          <w:szCs w:val="24"/>
          <w:u w:val="single"/>
        </w:rPr>
        <w:t>og</w:t>
      </w:r>
      <w:r w:rsidRPr="00307CA4">
        <w:rPr>
          <w:rFonts w:asciiTheme="majorBidi" w:hAnsiTheme="majorBidi" w:cstheme="majorBidi"/>
          <w:iCs/>
          <w:spacing w:val="-8"/>
          <w:sz w:val="24"/>
          <w:szCs w:val="24"/>
          <w:u w:val="single"/>
        </w:rPr>
        <w:t xml:space="preserve"> </w:t>
      </w:r>
      <w:r w:rsidRPr="00307CA4">
        <w:rPr>
          <w:rFonts w:asciiTheme="majorBidi" w:hAnsiTheme="majorBidi" w:cstheme="majorBidi"/>
          <w:iCs/>
          <w:spacing w:val="-2"/>
          <w:sz w:val="24"/>
          <w:szCs w:val="24"/>
          <w:u w:val="single"/>
        </w:rPr>
        <w:t>neutropeni</w:t>
      </w:r>
    </w:p>
    <w:p w14:paraId="34C7D43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Fra anvendelse efter godkendelse af dabigatranetexilat er der rapporteret om meget sjældne tilfælde af agranulocytose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neutropeni.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overvågning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markedsføring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indberettes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 usikker populationsstørrelse, er det ikke muligt at bestemme hyppigheden på pålidelig vis. Rapporteringshyppigheden</w:t>
      </w:r>
      <w:r w:rsidRPr="00307CA4">
        <w:rPr>
          <w:rFonts w:asciiTheme="majorBidi" w:hAnsiTheme="majorBidi" w:cstheme="majorBidi"/>
          <w:spacing w:val="-10"/>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estimeret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7</w:t>
      </w:r>
      <w:r w:rsidRPr="00307CA4">
        <w:rPr>
          <w:rFonts w:asciiTheme="majorBidi" w:hAnsiTheme="majorBidi" w:cstheme="majorBidi"/>
          <w:spacing w:val="-7"/>
          <w:sz w:val="24"/>
          <w:szCs w:val="24"/>
          <w:lang w:val="da-DK"/>
        </w:rPr>
        <w:t> </w:t>
      </w:r>
      <w:r w:rsidRPr="00307CA4">
        <w:rPr>
          <w:rFonts w:asciiTheme="majorBidi" w:hAnsiTheme="majorBidi" w:cstheme="majorBidi"/>
          <w:sz w:val="24"/>
          <w:szCs w:val="24"/>
          <w:lang w:val="da-DK"/>
        </w:rPr>
        <w:t>hændelser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1</w:t>
      </w:r>
      <w:r w:rsidRPr="00307CA4">
        <w:rPr>
          <w:rFonts w:asciiTheme="majorBidi" w:hAnsiTheme="majorBidi" w:cstheme="majorBidi"/>
          <w:spacing w:val="-7"/>
          <w:sz w:val="24"/>
          <w:szCs w:val="24"/>
          <w:lang w:val="da-DK"/>
        </w:rPr>
        <w:t> </w:t>
      </w:r>
      <w:r w:rsidRPr="00307CA4">
        <w:rPr>
          <w:rFonts w:asciiTheme="majorBidi" w:hAnsiTheme="majorBidi" w:cstheme="majorBidi"/>
          <w:sz w:val="24"/>
          <w:szCs w:val="24"/>
          <w:lang w:val="da-DK"/>
        </w:rPr>
        <w:t>million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agranulocytose,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som</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5</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hændelser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1</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million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neutropeni.</w:t>
      </w:r>
    </w:p>
    <w:p w14:paraId="7125FB7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92D76EC" w14:textId="77777777" w:rsidR="00886871" w:rsidRPr="00307CA4" w:rsidRDefault="00886871" w:rsidP="00DB26E1">
      <w:pPr>
        <w:pStyle w:val="Brdtekst"/>
        <w:keepNext/>
        <w:keepLines/>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u w:val="single"/>
          <w:lang w:val="da-DK"/>
        </w:rPr>
        <w:t>Pædiatrisk population</w:t>
      </w:r>
    </w:p>
    <w:p w14:paraId="448EE3D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Sikkerheden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venøs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 hos pædiatriske patienter blev undersøgt i to fase-III studier (DIVERSITY og 1160.108). I alt er 328</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pædiatriske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alders-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og vægtjusterede doser af en aldersrelevant formulering af dabigatranetexilat.</w:t>
      </w:r>
    </w:p>
    <w:p w14:paraId="38C7297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B8F625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Samlet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set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forventes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sikkerhedsprofilen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børn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være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samme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voksne.</w:t>
      </w:r>
    </w:p>
    <w:p w14:paraId="56BCC42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2BED60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26</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pædiatriske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som forebyggelse mod recidiverende VTE, bivirkninger.</w:t>
      </w:r>
    </w:p>
    <w:p w14:paraId="0E24AE2C"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03A7E3D" w14:textId="77777777" w:rsidR="00886871" w:rsidRPr="00307CA4" w:rsidRDefault="00886871" w:rsidP="00DB26E1">
      <w:pPr>
        <w:keepNext/>
        <w:keepLines/>
        <w:ind w:left="851"/>
        <w:jc w:val="both"/>
        <w:rPr>
          <w:rFonts w:asciiTheme="majorBidi" w:hAnsiTheme="majorBidi" w:cstheme="majorBidi"/>
          <w:i/>
          <w:sz w:val="24"/>
          <w:szCs w:val="24"/>
        </w:rPr>
      </w:pPr>
      <w:r w:rsidRPr="00307CA4">
        <w:rPr>
          <w:rFonts w:asciiTheme="majorBidi" w:hAnsiTheme="majorBidi" w:cstheme="majorBidi"/>
          <w:i/>
          <w:sz w:val="24"/>
          <w:szCs w:val="24"/>
          <w:u w:val="single"/>
        </w:rPr>
        <w:t>Tabeloversigt</w:t>
      </w:r>
      <w:r w:rsidRPr="00307CA4">
        <w:rPr>
          <w:rFonts w:asciiTheme="majorBidi" w:hAnsiTheme="majorBidi" w:cstheme="majorBidi"/>
          <w:i/>
          <w:spacing w:val="-9"/>
          <w:sz w:val="24"/>
          <w:szCs w:val="24"/>
          <w:u w:val="single"/>
        </w:rPr>
        <w:t xml:space="preserve"> </w:t>
      </w:r>
      <w:r w:rsidRPr="00307CA4">
        <w:rPr>
          <w:rFonts w:asciiTheme="majorBidi" w:hAnsiTheme="majorBidi" w:cstheme="majorBidi"/>
          <w:i/>
          <w:sz w:val="24"/>
          <w:szCs w:val="24"/>
          <w:u w:val="single"/>
        </w:rPr>
        <w:t>over</w:t>
      </w:r>
      <w:r w:rsidRPr="00307CA4">
        <w:rPr>
          <w:rFonts w:asciiTheme="majorBidi" w:hAnsiTheme="majorBidi" w:cstheme="majorBidi"/>
          <w:i/>
          <w:spacing w:val="-8"/>
          <w:sz w:val="24"/>
          <w:szCs w:val="24"/>
          <w:u w:val="single"/>
        </w:rPr>
        <w:t xml:space="preserve"> </w:t>
      </w:r>
      <w:r w:rsidRPr="00307CA4">
        <w:rPr>
          <w:rFonts w:asciiTheme="majorBidi" w:hAnsiTheme="majorBidi" w:cstheme="majorBidi"/>
          <w:i/>
          <w:spacing w:val="-2"/>
          <w:sz w:val="24"/>
          <w:szCs w:val="24"/>
          <w:u w:val="single"/>
        </w:rPr>
        <w:t>bivirkninger</w:t>
      </w:r>
    </w:p>
    <w:p w14:paraId="448E8739" w14:textId="5F893A73"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 1</w:t>
      </w:r>
      <w:r w:rsidR="00322A8A">
        <w:rPr>
          <w:rFonts w:asciiTheme="majorBidi" w:hAnsiTheme="majorBidi" w:cstheme="majorBidi"/>
          <w:sz w:val="24"/>
          <w:szCs w:val="24"/>
          <w:lang w:val="da-DK"/>
        </w:rPr>
        <w:t>6</w:t>
      </w:r>
      <w:r w:rsidRPr="00307CA4">
        <w:rPr>
          <w:rFonts w:asciiTheme="majorBidi" w:hAnsiTheme="majorBidi" w:cstheme="majorBidi"/>
          <w:sz w:val="24"/>
          <w:szCs w:val="24"/>
          <w:lang w:val="da-DK"/>
        </w:rPr>
        <w:t xml:space="preserve"> viser bivirkningerne, der blev identificeret fra studier med behandlingen af VTE og 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pædiatriske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Bivirkningerne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opstillet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henhold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 systemorganklasse (SOC) og hyppighed i henhold til følgende klassifikation: Meget almindelig (≥ 1/10);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1/100</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1/10);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almindelig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1/1.000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1/100);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sjælden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xml:space="preserve">1/10.000 til &lt; 1/1.000); meget sjælden (&lt; 1/10.000); ikke kendt (kan ikke estimeres ud fra forhåndenværende </w:t>
      </w:r>
      <w:r w:rsidRPr="00307CA4">
        <w:rPr>
          <w:rFonts w:asciiTheme="majorBidi" w:hAnsiTheme="majorBidi" w:cstheme="majorBidi"/>
          <w:spacing w:val="-2"/>
          <w:sz w:val="24"/>
          <w:szCs w:val="24"/>
          <w:lang w:val="da-DK"/>
        </w:rPr>
        <w:t>data).</w:t>
      </w:r>
    </w:p>
    <w:p w14:paraId="2AE67A3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6EA4D2A" w14:textId="08A61D33"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lastRenderedPageBreak/>
        <w:t>Tabel 1</w:t>
      </w:r>
      <w:r w:rsidR="00322A8A">
        <w:rPr>
          <w:rFonts w:asciiTheme="majorBidi" w:hAnsiTheme="majorBidi" w:cstheme="majorBidi"/>
          <w:lang w:val="da-DK"/>
        </w:rPr>
        <w:t>6</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spacing w:val="-2"/>
          <w:lang w:val="da-DK"/>
        </w:rPr>
        <w:t>Bivirkninger</w:t>
      </w:r>
    </w:p>
    <w:p w14:paraId="459F3A45"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88"/>
      </w:tblGrid>
      <w:tr w:rsidR="00886871" w14:paraId="547D2654" w14:textId="77777777" w:rsidTr="00886871">
        <w:trPr>
          <w:cantSplit/>
          <w:trHeight w:val="20"/>
          <w:tblHeader/>
        </w:trPr>
        <w:tc>
          <w:tcPr>
            <w:tcW w:w="3686" w:type="dxa"/>
            <w:tcBorders>
              <w:top w:val="single" w:sz="4" w:space="0" w:color="000000"/>
              <w:left w:val="single" w:sz="4" w:space="0" w:color="000000"/>
              <w:bottom w:val="single" w:sz="4" w:space="0" w:color="000000"/>
              <w:right w:val="single" w:sz="4" w:space="0" w:color="000000"/>
            </w:tcBorders>
          </w:tcPr>
          <w:p w14:paraId="088B4622"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5386" w:type="dxa"/>
            <w:tcBorders>
              <w:top w:val="single" w:sz="4" w:space="0" w:color="000000"/>
              <w:left w:val="single" w:sz="4" w:space="0" w:color="000000"/>
              <w:bottom w:val="single" w:sz="4" w:space="0" w:color="000000"/>
              <w:right w:val="single" w:sz="4" w:space="0" w:color="000000"/>
            </w:tcBorders>
            <w:hideMark/>
          </w:tcPr>
          <w:p w14:paraId="620E2A6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Hyppighed</w:t>
            </w:r>
          </w:p>
        </w:tc>
      </w:tr>
      <w:tr w:rsidR="00886871" w14:paraId="76CD578A" w14:textId="77777777" w:rsidTr="00886871">
        <w:trPr>
          <w:cantSplit/>
          <w:trHeight w:val="20"/>
          <w:tblHeader/>
        </w:trPr>
        <w:tc>
          <w:tcPr>
            <w:tcW w:w="3686" w:type="dxa"/>
            <w:tcBorders>
              <w:top w:val="single" w:sz="4" w:space="0" w:color="000000"/>
              <w:left w:val="single" w:sz="4" w:space="0" w:color="000000"/>
              <w:bottom w:val="single" w:sz="4" w:space="0" w:color="000000"/>
              <w:right w:val="single" w:sz="4" w:space="0" w:color="000000"/>
            </w:tcBorders>
            <w:hideMark/>
          </w:tcPr>
          <w:p w14:paraId="603442D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Systemorganklasse/</w:t>
            </w:r>
            <w:r>
              <w:rPr>
                <w:rFonts w:asciiTheme="majorBidi" w:hAnsiTheme="majorBidi" w:cstheme="majorBidi"/>
                <w:spacing w:val="14"/>
                <w:kern w:val="2"/>
                <w:lang w:val="da-DK"/>
                <w14:ligatures w14:val="standardContextual"/>
              </w:rPr>
              <w:t xml:space="preserve"> </w:t>
            </w:r>
            <w:r>
              <w:rPr>
                <w:rFonts w:asciiTheme="majorBidi" w:hAnsiTheme="majorBidi" w:cstheme="majorBidi"/>
                <w:spacing w:val="-2"/>
                <w:kern w:val="2"/>
                <w:lang w:val="da-DK"/>
                <w14:ligatures w14:val="standardContextual"/>
              </w:rPr>
              <w:t>foretrukken</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4"/>
                <w:kern w:val="2"/>
                <w:lang w:val="da-DK"/>
                <w14:ligatures w14:val="standardContextual"/>
              </w:rPr>
              <w:t>term</w:t>
            </w:r>
          </w:p>
        </w:tc>
        <w:tc>
          <w:tcPr>
            <w:tcW w:w="5386" w:type="dxa"/>
            <w:tcBorders>
              <w:top w:val="single" w:sz="4" w:space="0" w:color="000000"/>
              <w:left w:val="single" w:sz="4" w:space="0" w:color="000000"/>
              <w:bottom w:val="single" w:sz="4" w:space="0" w:color="000000"/>
              <w:right w:val="single" w:sz="4" w:space="0" w:color="000000"/>
            </w:tcBorders>
            <w:hideMark/>
          </w:tcPr>
          <w:p w14:paraId="4FF572F8"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recidiverende</w:t>
            </w:r>
          </w:p>
          <w:p w14:paraId="164882C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pædiatriske</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r>
      <w:tr w:rsidR="00886871" w14:paraId="405631B6"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EA44E2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lymfesystem</w:t>
            </w:r>
          </w:p>
        </w:tc>
      </w:tr>
      <w:tr w:rsidR="00886871" w14:paraId="6F37EFB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5BDF84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Anæmi</w:t>
            </w:r>
          </w:p>
        </w:tc>
        <w:tc>
          <w:tcPr>
            <w:tcW w:w="5386" w:type="dxa"/>
            <w:tcBorders>
              <w:top w:val="single" w:sz="4" w:space="0" w:color="000000"/>
              <w:left w:val="single" w:sz="4" w:space="0" w:color="000000"/>
              <w:bottom w:val="single" w:sz="4" w:space="0" w:color="000000"/>
              <w:right w:val="single" w:sz="4" w:space="0" w:color="000000"/>
            </w:tcBorders>
            <w:hideMark/>
          </w:tcPr>
          <w:p w14:paraId="23EA512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00E9690"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FF49301"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hæmoglobin</w:t>
            </w:r>
          </w:p>
        </w:tc>
        <w:tc>
          <w:tcPr>
            <w:tcW w:w="5386" w:type="dxa"/>
            <w:tcBorders>
              <w:top w:val="single" w:sz="4" w:space="0" w:color="000000"/>
              <w:left w:val="single" w:sz="4" w:space="0" w:color="000000"/>
              <w:bottom w:val="single" w:sz="4" w:space="0" w:color="000000"/>
              <w:right w:val="single" w:sz="4" w:space="0" w:color="000000"/>
            </w:tcBorders>
            <w:hideMark/>
          </w:tcPr>
          <w:p w14:paraId="74B85E82"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891B921"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AB2FD8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Trombocytopeni</w:t>
            </w:r>
          </w:p>
        </w:tc>
        <w:tc>
          <w:tcPr>
            <w:tcW w:w="5386" w:type="dxa"/>
            <w:tcBorders>
              <w:top w:val="single" w:sz="4" w:space="0" w:color="000000"/>
              <w:left w:val="single" w:sz="4" w:space="0" w:color="000000"/>
              <w:bottom w:val="single" w:sz="4" w:space="0" w:color="000000"/>
              <w:right w:val="single" w:sz="4" w:space="0" w:color="000000"/>
            </w:tcBorders>
            <w:hideMark/>
          </w:tcPr>
          <w:p w14:paraId="2FB547D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509BDB6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977FF67"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hæmatokrit</w:t>
            </w:r>
          </w:p>
        </w:tc>
        <w:tc>
          <w:tcPr>
            <w:tcW w:w="5386" w:type="dxa"/>
            <w:tcBorders>
              <w:top w:val="single" w:sz="4" w:space="0" w:color="000000"/>
              <w:left w:val="single" w:sz="4" w:space="0" w:color="000000"/>
              <w:bottom w:val="single" w:sz="4" w:space="0" w:color="000000"/>
              <w:right w:val="single" w:sz="4" w:space="0" w:color="000000"/>
            </w:tcBorders>
            <w:hideMark/>
          </w:tcPr>
          <w:p w14:paraId="3B8DF925"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691720D"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63CEBE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Neutropeni</w:t>
            </w:r>
          </w:p>
        </w:tc>
        <w:tc>
          <w:tcPr>
            <w:tcW w:w="5386" w:type="dxa"/>
            <w:tcBorders>
              <w:top w:val="single" w:sz="4" w:space="0" w:color="000000"/>
              <w:left w:val="single" w:sz="4" w:space="0" w:color="000000"/>
              <w:bottom w:val="single" w:sz="4" w:space="0" w:color="000000"/>
              <w:right w:val="single" w:sz="4" w:space="0" w:color="000000"/>
            </w:tcBorders>
            <w:hideMark/>
          </w:tcPr>
          <w:p w14:paraId="6A324BC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A051B98"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4D11A04"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Agranulocytose</w:t>
            </w:r>
          </w:p>
        </w:tc>
        <w:tc>
          <w:tcPr>
            <w:tcW w:w="5386" w:type="dxa"/>
            <w:tcBorders>
              <w:top w:val="single" w:sz="4" w:space="0" w:color="000000"/>
              <w:left w:val="single" w:sz="4" w:space="0" w:color="000000"/>
              <w:bottom w:val="single" w:sz="4" w:space="0" w:color="000000"/>
              <w:right w:val="single" w:sz="4" w:space="0" w:color="000000"/>
            </w:tcBorders>
            <w:hideMark/>
          </w:tcPr>
          <w:p w14:paraId="54DFD542"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8B542A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1006F2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Immunsystemet</w:t>
            </w:r>
          </w:p>
        </w:tc>
      </w:tr>
      <w:tr w:rsidR="00886871" w14:paraId="609BBB84"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CBA4F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Lægemiddeloverfølsomhed</w:t>
            </w:r>
          </w:p>
        </w:tc>
        <w:tc>
          <w:tcPr>
            <w:tcW w:w="5386" w:type="dxa"/>
            <w:tcBorders>
              <w:top w:val="single" w:sz="4" w:space="0" w:color="000000"/>
              <w:left w:val="single" w:sz="4" w:space="0" w:color="000000"/>
              <w:bottom w:val="single" w:sz="4" w:space="0" w:color="000000"/>
              <w:right w:val="single" w:sz="4" w:space="0" w:color="000000"/>
            </w:tcBorders>
            <w:hideMark/>
          </w:tcPr>
          <w:p w14:paraId="3B84617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1B51E490"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1759403"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Udslæt</w:t>
            </w:r>
          </w:p>
        </w:tc>
        <w:tc>
          <w:tcPr>
            <w:tcW w:w="5386" w:type="dxa"/>
            <w:tcBorders>
              <w:top w:val="single" w:sz="4" w:space="0" w:color="000000"/>
              <w:left w:val="single" w:sz="4" w:space="0" w:color="000000"/>
              <w:bottom w:val="single" w:sz="4" w:space="0" w:color="000000"/>
              <w:right w:val="single" w:sz="4" w:space="0" w:color="000000"/>
            </w:tcBorders>
            <w:hideMark/>
          </w:tcPr>
          <w:p w14:paraId="26BC27D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3BAF51E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FBA2049"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Pruritus</w:t>
            </w:r>
          </w:p>
        </w:tc>
        <w:tc>
          <w:tcPr>
            <w:tcW w:w="5386" w:type="dxa"/>
            <w:tcBorders>
              <w:top w:val="single" w:sz="4" w:space="0" w:color="000000"/>
              <w:left w:val="single" w:sz="4" w:space="0" w:color="000000"/>
              <w:bottom w:val="single" w:sz="4" w:space="0" w:color="000000"/>
              <w:right w:val="single" w:sz="4" w:space="0" w:color="000000"/>
            </w:tcBorders>
            <w:hideMark/>
          </w:tcPr>
          <w:p w14:paraId="12755E4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E53B56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FE662B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Anafylaktisk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reaktion</w:t>
            </w:r>
          </w:p>
        </w:tc>
        <w:tc>
          <w:tcPr>
            <w:tcW w:w="5386" w:type="dxa"/>
            <w:tcBorders>
              <w:top w:val="single" w:sz="4" w:space="0" w:color="000000"/>
              <w:left w:val="single" w:sz="4" w:space="0" w:color="000000"/>
              <w:bottom w:val="single" w:sz="4" w:space="0" w:color="000000"/>
              <w:right w:val="single" w:sz="4" w:space="0" w:color="000000"/>
            </w:tcBorders>
            <w:hideMark/>
          </w:tcPr>
          <w:p w14:paraId="5465BEC0"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4E888A5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62E83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Angioødem</w:t>
            </w:r>
          </w:p>
        </w:tc>
        <w:tc>
          <w:tcPr>
            <w:tcW w:w="5386" w:type="dxa"/>
            <w:tcBorders>
              <w:top w:val="single" w:sz="4" w:space="0" w:color="000000"/>
              <w:left w:val="single" w:sz="4" w:space="0" w:color="000000"/>
              <w:bottom w:val="single" w:sz="4" w:space="0" w:color="000000"/>
              <w:right w:val="single" w:sz="4" w:space="0" w:color="000000"/>
            </w:tcBorders>
            <w:hideMark/>
          </w:tcPr>
          <w:p w14:paraId="0974525E"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616449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72FC2D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Urticaria</w:t>
            </w:r>
          </w:p>
        </w:tc>
        <w:tc>
          <w:tcPr>
            <w:tcW w:w="5386" w:type="dxa"/>
            <w:tcBorders>
              <w:top w:val="single" w:sz="4" w:space="0" w:color="000000"/>
              <w:left w:val="single" w:sz="4" w:space="0" w:color="000000"/>
              <w:bottom w:val="single" w:sz="4" w:space="0" w:color="000000"/>
              <w:right w:val="single" w:sz="4" w:space="0" w:color="000000"/>
            </w:tcBorders>
            <w:hideMark/>
          </w:tcPr>
          <w:p w14:paraId="2E524B0F"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32E5FB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F51E291"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Bronkospasme</w:t>
            </w:r>
          </w:p>
        </w:tc>
        <w:tc>
          <w:tcPr>
            <w:tcW w:w="5386" w:type="dxa"/>
            <w:tcBorders>
              <w:top w:val="single" w:sz="4" w:space="0" w:color="000000"/>
              <w:left w:val="single" w:sz="4" w:space="0" w:color="000000"/>
              <w:bottom w:val="single" w:sz="4" w:space="0" w:color="000000"/>
              <w:right w:val="single" w:sz="4" w:space="0" w:color="000000"/>
            </w:tcBorders>
            <w:hideMark/>
          </w:tcPr>
          <w:p w14:paraId="436DB7BB"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741F4D1E"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51AE712"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Nervesystemet</w:t>
            </w:r>
          </w:p>
        </w:tc>
      </w:tr>
      <w:tr w:rsidR="00886871" w14:paraId="5CE665F3"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FDE5ED9"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40E99ADA"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32AA58D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DE2036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sygdomme</w:t>
            </w:r>
          </w:p>
        </w:tc>
      </w:tr>
      <w:tr w:rsidR="00886871" w14:paraId="542D2DAB"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C20288B"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Hæmatom</w:t>
            </w:r>
          </w:p>
        </w:tc>
        <w:tc>
          <w:tcPr>
            <w:tcW w:w="5386" w:type="dxa"/>
            <w:tcBorders>
              <w:top w:val="single" w:sz="4" w:space="0" w:color="000000"/>
              <w:left w:val="single" w:sz="4" w:space="0" w:color="000000"/>
              <w:bottom w:val="single" w:sz="4" w:space="0" w:color="000000"/>
              <w:right w:val="single" w:sz="4" w:space="0" w:color="000000"/>
            </w:tcBorders>
            <w:hideMark/>
          </w:tcPr>
          <w:p w14:paraId="08C04BEB"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5CF8F2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43DD4E8"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331DB5AD"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CC46320"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6B4AFA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Luftveje,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thorax</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mediastinum</w:t>
            </w:r>
          </w:p>
        </w:tc>
      </w:tr>
      <w:tr w:rsidR="00886871" w14:paraId="27B3F59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51BB65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Næseblod</w:t>
            </w:r>
          </w:p>
        </w:tc>
        <w:tc>
          <w:tcPr>
            <w:tcW w:w="5386" w:type="dxa"/>
            <w:tcBorders>
              <w:top w:val="single" w:sz="4" w:space="0" w:color="000000"/>
              <w:left w:val="single" w:sz="4" w:space="0" w:color="000000"/>
              <w:bottom w:val="single" w:sz="4" w:space="0" w:color="000000"/>
              <w:right w:val="single" w:sz="4" w:space="0" w:color="000000"/>
            </w:tcBorders>
            <w:hideMark/>
          </w:tcPr>
          <w:p w14:paraId="532E0649"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40855DE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DE157E1"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Hæmoptyse</w:t>
            </w:r>
          </w:p>
        </w:tc>
        <w:tc>
          <w:tcPr>
            <w:tcW w:w="5386" w:type="dxa"/>
            <w:tcBorders>
              <w:top w:val="single" w:sz="4" w:space="0" w:color="000000"/>
              <w:left w:val="single" w:sz="4" w:space="0" w:color="000000"/>
              <w:bottom w:val="single" w:sz="4" w:space="0" w:color="000000"/>
              <w:right w:val="single" w:sz="4" w:space="0" w:color="000000"/>
            </w:tcBorders>
            <w:hideMark/>
          </w:tcPr>
          <w:p w14:paraId="08F52B28"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D1CC6A3"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76FF527"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Mave-tarm-kanalen</w:t>
            </w:r>
          </w:p>
        </w:tc>
      </w:tr>
      <w:tr w:rsidR="00886871" w14:paraId="36565FC4"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3FD438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3613F2C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4458CBE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AA4AC02"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Abdominalsmerter</w:t>
            </w:r>
          </w:p>
        </w:tc>
        <w:tc>
          <w:tcPr>
            <w:tcW w:w="5386" w:type="dxa"/>
            <w:tcBorders>
              <w:top w:val="single" w:sz="4" w:space="0" w:color="000000"/>
              <w:left w:val="single" w:sz="4" w:space="0" w:color="000000"/>
              <w:bottom w:val="single" w:sz="4" w:space="0" w:color="000000"/>
              <w:right w:val="single" w:sz="4" w:space="0" w:color="000000"/>
            </w:tcBorders>
            <w:hideMark/>
          </w:tcPr>
          <w:p w14:paraId="0A679F59"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6F4313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D93746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Diarré</w:t>
            </w:r>
          </w:p>
        </w:tc>
        <w:tc>
          <w:tcPr>
            <w:tcW w:w="5386" w:type="dxa"/>
            <w:tcBorders>
              <w:top w:val="single" w:sz="4" w:space="0" w:color="000000"/>
              <w:left w:val="single" w:sz="4" w:space="0" w:color="000000"/>
              <w:bottom w:val="single" w:sz="4" w:space="0" w:color="000000"/>
              <w:right w:val="single" w:sz="4" w:space="0" w:color="000000"/>
            </w:tcBorders>
            <w:hideMark/>
          </w:tcPr>
          <w:p w14:paraId="3CE637B7"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579369C"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110B44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Dyspepsi</w:t>
            </w:r>
          </w:p>
        </w:tc>
        <w:tc>
          <w:tcPr>
            <w:tcW w:w="5386" w:type="dxa"/>
            <w:tcBorders>
              <w:top w:val="single" w:sz="4" w:space="0" w:color="000000"/>
              <w:left w:val="single" w:sz="4" w:space="0" w:color="000000"/>
              <w:bottom w:val="single" w:sz="4" w:space="0" w:color="000000"/>
              <w:right w:val="single" w:sz="4" w:space="0" w:color="000000"/>
            </w:tcBorders>
            <w:hideMark/>
          </w:tcPr>
          <w:p w14:paraId="38E071C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7ECA80C"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630C04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Kvalme</w:t>
            </w:r>
          </w:p>
        </w:tc>
        <w:tc>
          <w:tcPr>
            <w:tcW w:w="5386" w:type="dxa"/>
            <w:tcBorders>
              <w:top w:val="single" w:sz="4" w:space="0" w:color="000000"/>
              <w:left w:val="single" w:sz="4" w:space="0" w:color="000000"/>
              <w:bottom w:val="single" w:sz="4" w:space="0" w:color="000000"/>
              <w:right w:val="single" w:sz="4" w:space="0" w:color="000000"/>
            </w:tcBorders>
            <w:hideMark/>
          </w:tcPr>
          <w:p w14:paraId="774E7508"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4725036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CF79CD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Rektal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7247CA3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5472165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2018B5E"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hæmorider</w:t>
            </w:r>
          </w:p>
        </w:tc>
        <w:tc>
          <w:tcPr>
            <w:tcW w:w="5386" w:type="dxa"/>
            <w:tcBorders>
              <w:top w:val="single" w:sz="4" w:space="0" w:color="000000"/>
              <w:left w:val="single" w:sz="4" w:space="0" w:color="000000"/>
              <w:bottom w:val="single" w:sz="4" w:space="0" w:color="000000"/>
              <w:right w:val="single" w:sz="4" w:space="0" w:color="000000"/>
            </w:tcBorders>
            <w:hideMark/>
          </w:tcPr>
          <w:p w14:paraId="404C91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0F32260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7D11613"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Mave-tarm-sår,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øsofagealt</w:t>
            </w:r>
          </w:p>
          <w:p w14:paraId="6B48AF64"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ulcus</w:t>
            </w:r>
          </w:p>
        </w:tc>
        <w:tc>
          <w:tcPr>
            <w:tcW w:w="5386" w:type="dxa"/>
            <w:tcBorders>
              <w:top w:val="single" w:sz="4" w:space="0" w:color="000000"/>
              <w:left w:val="single" w:sz="4" w:space="0" w:color="000000"/>
              <w:bottom w:val="single" w:sz="4" w:space="0" w:color="000000"/>
              <w:right w:val="single" w:sz="4" w:space="0" w:color="000000"/>
            </w:tcBorders>
            <w:hideMark/>
          </w:tcPr>
          <w:p w14:paraId="5E7D7D06"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59666896"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1E97BAA"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Gastroøsofagitis</w:t>
            </w:r>
          </w:p>
        </w:tc>
        <w:tc>
          <w:tcPr>
            <w:tcW w:w="5386" w:type="dxa"/>
            <w:tcBorders>
              <w:top w:val="single" w:sz="4" w:space="0" w:color="000000"/>
              <w:left w:val="single" w:sz="4" w:space="0" w:color="000000"/>
              <w:bottom w:val="single" w:sz="4" w:space="0" w:color="000000"/>
              <w:right w:val="single" w:sz="4" w:space="0" w:color="000000"/>
            </w:tcBorders>
            <w:hideMark/>
          </w:tcPr>
          <w:p w14:paraId="4539E72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968138D"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8C7280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Gastroøsofageal</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2"/>
                <w:kern w:val="2"/>
                <w:lang w:val="da-DK"/>
                <w14:ligatures w14:val="standardContextual"/>
              </w:rPr>
              <w:t>reflukssygdom</w:t>
            </w:r>
          </w:p>
        </w:tc>
        <w:tc>
          <w:tcPr>
            <w:tcW w:w="5386" w:type="dxa"/>
            <w:tcBorders>
              <w:top w:val="single" w:sz="4" w:space="0" w:color="000000"/>
              <w:left w:val="single" w:sz="4" w:space="0" w:color="000000"/>
              <w:bottom w:val="single" w:sz="4" w:space="0" w:color="000000"/>
              <w:right w:val="single" w:sz="4" w:space="0" w:color="000000"/>
            </w:tcBorders>
            <w:hideMark/>
          </w:tcPr>
          <w:p w14:paraId="1B5726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6B96611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8C310E5"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Opkastning</w:t>
            </w:r>
          </w:p>
        </w:tc>
        <w:tc>
          <w:tcPr>
            <w:tcW w:w="5386" w:type="dxa"/>
            <w:tcBorders>
              <w:top w:val="single" w:sz="4" w:space="0" w:color="000000"/>
              <w:left w:val="single" w:sz="4" w:space="0" w:color="000000"/>
              <w:bottom w:val="single" w:sz="4" w:space="0" w:color="000000"/>
              <w:right w:val="single" w:sz="4" w:space="0" w:color="000000"/>
            </w:tcBorders>
            <w:hideMark/>
          </w:tcPr>
          <w:p w14:paraId="5E6BE0A7"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30573638"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317F4A5"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Dysfagi</w:t>
            </w:r>
          </w:p>
        </w:tc>
        <w:tc>
          <w:tcPr>
            <w:tcW w:w="5386" w:type="dxa"/>
            <w:tcBorders>
              <w:top w:val="single" w:sz="4" w:space="0" w:color="000000"/>
              <w:left w:val="single" w:sz="4" w:space="0" w:color="000000"/>
              <w:bottom w:val="single" w:sz="4" w:space="0" w:color="000000"/>
              <w:right w:val="single" w:sz="4" w:space="0" w:color="000000"/>
            </w:tcBorders>
            <w:hideMark/>
          </w:tcPr>
          <w:p w14:paraId="49111B75"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35B39E29"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CC7BD3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Lever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galdeveje</w:t>
            </w:r>
          </w:p>
        </w:tc>
      </w:tr>
      <w:tr w:rsidR="00886871" w14:paraId="120D6029"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6C74BE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Unormal</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leverfunktion/unormal</w:t>
            </w:r>
          </w:p>
          <w:p w14:paraId="66B8DCC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leverfunktionstest</w:t>
            </w:r>
          </w:p>
        </w:tc>
        <w:tc>
          <w:tcPr>
            <w:tcW w:w="5386" w:type="dxa"/>
            <w:tcBorders>
              <w:top w:val="single" w:sz="4" w:space="0" w:color="000000"/>
              <w:left w:val="single" w:sz="4" w:space="0" w:color="000000"/>
              <w:bottom w:val="single" w:sz="4" w:space="0" w:color="000000"/>
              <w:right w:val="single" w:sz="4" w:space="0" w:color="000000"/>
            </w:tcBorders>
            <w:hideMark/>
          </w:tcPr>
          <w:p w14:paraId="5CFA86AC"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18FC2B7B"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62EB90C"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alaninaminotransferase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697DC504"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012CC31E"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D1CDF48"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aspartataminotransferase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77AE9F9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408E69BE"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D45FAFD"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Forhøjede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leverenzymer</w:t>
            </w:r>
          </w:p>
        </w:tc>
        <w:tc>
          <w:tcPr>
            <w:tcW w:w="5386" w:type="dxa"/>
            <w:tcBorders>
              <w:top w:val="single" w:sz="4" w:space="0" w:color="000000"/>
              <w:left w:val="single" w:sz="4" w:space="0" w:color="000000"/>
              <w:bottom w:val="single" w:sz="4" w:space="0" w:color="000000"/>
              <w:right w:val="single" w:sz="4" w:space="0" w:color="000000"/>
            </w:tcBorders>
            <w:hideMark/>
          </w:tcPr>
          <w:p w14:paraId="70BA9260"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084EAACF"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27B7FCE"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Hyperbilirubinæmi</w:t>
            </w:r>
          </w:p>
        </w:tc>
        <w:tc>
          <w:tcPr>
            <w:tcW w:w="5386" w:type="dxa"/>
            <w:tcBorders>
              <w:top w:val="single" w:sz="4" w:space="0" w:color="000000"/>
              <w:left w:val="single" w:sz="4" w:space="0" w:color="000000"/>
              <w:bottom w:val="single" w:sz="4" w:space="0" w:color="000000"/>
              <w:right w:val="single" w:sz="4" w:space="0" w:color="000000"/>
            </w:tcBorders>
            <w:hideMark/>
          </w:tcPr>
          <w:p w14:paraId="46E2DD40"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514423C"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CFB7069"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Hud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subkutane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væv</w:t>
            </w:r>
          </w:p>
        </w:tc>
      </w:tr>
      <w:tr w:rsidR="00886871" w14:paraId="000BCF63"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53DECAF"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huden</w:t>
            </w:r>
          </w:p>
        </w:tc>
        <w:tc>
          <w:tcPr>
            <w:tcW w:w="5386" w:type="dxa"/>
            <w:tcBorders>
              <w:top w:val="single" w:sz="4" w:space="0" w:color="000000"/>
              <w:left w:val="single" w:sz="4" w:space="0" w:color="000000"/>
              <w:bottom w:val="single" w:sz="4" w:space="0" w:color="000000"/>
              <w:right w:val="single" w:sz="4" w:space="0" w:color="000000"/>
            </w:tcBorders>
            <w:hideMark/>
          </w:tcPr>
          <w:p w14:paraId="43ADDD33"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258923C5"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01FC4FB"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Alopeci</w:t>
            </w:r>
          </w:p>
        </w:tc>
        <w:tc>
          <w:tcPr>
            <w:tcW w:w="5386" w:type="dxa"/>
            <w:tcBorders>
              <w:top w:val="single" w:sz="4" w:space="0" w:color="000000"/>
              <w:left w:val="single" w:sz="4" w:space="0" w:color="000000"/>
              <w:bottom w:val="single" w:sz="4" w:space="0" w:color="000000"/>
              <w:right w:val="single" w:sz="4" w:space="0" w:color="000000"/>
            </w:tcBorders>
            <w:hideMark/>
          </w:tcPr>
          <w:p w14:paraId="3DD4BDFB"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886871" w14:paraId="175DCE1F"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92E1163"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Knogler,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muskler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bindevæv</w:t>
            </w:r>
          </w:p>
        </w:tc>
      </w:tr>
      <w:tr w:rsidR="00886871" w14:paraId="3EE013E2"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4B935DC"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Hæmartrose</w:t>
            </w:r>
          </w:p>
        </w:tc>
        <w:tc>
          <w:tcPr>
            <w:tcW w:w="5386" w:type="dxa"/>
            <w:tcBorders>
              <w:top w:val="single" w:sz="4" w:space="0" w:color="000000"/>
              <w:left w:val="single" w:sz="4" w:space="0" w:color="000000"/>
              <w:bottom w:val="single" w:sz="4" w:space="0" w:color="000000"/>
              <w:right w:val="single" w:sz="4" w:space="0" w:color="000000"/>
            </w:tcBorders>
            <w:hideMark/>
          </w:tcPr>
          <w:p w14:paraId="5053EE0C"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1216E0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3567908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Nyrer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urinveje</w:t>
            </w:r>
          </w:p>
        </w:tc>
      </w:tr>
      <w:tr w:rsidR="00886871" w14:paraId="60DE819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A87DA16"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Urogenital</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hæmaturi</w:t>
            </w:r>
          </w:p>
        </w:tc>
        <w:tc>
          <w:tcPr>
            <w:tcW w:w="5386" w:type="dxa"/>
            <w:tcBorders>
              <w:top w:val="single" w:sz="4" w:space="0" w:color="000000"/>
              <w:left w:val="single" w:sz="4" w:space="0" w:color="000000"/>
              <w:bottom w:val="single" w:sz="4" w:space="0" w:color="000000"/>
              <w:right w:val="single" w:sz="4" w:space="0" w:color="000000"/>
            </w:tcBorders>
            <w:hideMark/>
          </w:tcPr>
          <w:p w14:paraId="28C67761"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63BA4020"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31EE815"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Almene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symptomer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reaktioner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administrationsstedet</w:t>
            </w:r>
          </w:p>
        </w:tc>
      </w:tr>
      <w:tr w:rsidR="00886871" w14:paraId="1557AD2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B3AE4F0"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injektionsstedet</w:t>
            </w:r>
          </w:p>
        </w:tc>
        <w:tc>
          <w:tcPr>
            <w:tcW w:w="5386" w:type="dxa"/>
            <w:tcBorders>
              <w:top w:val="single" w:sz="4" w:space="0" w:color="000000"/>
              <w:left w:val="single" w:sz="4" w:space="0" w:color="000000"/>
              <w:bottom w:val="single" w:sz="4" w:space="0" w:color="000000"/>
              <w:right w:val="single" w:sz="4" w:space="0" w:color="000000"/>
            </w:tcBorders>
            <w:hideMark/>
          </w:tcPr>
          <w:p w14:paraId="1D6DB8CF"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69C8440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F9A5D60"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kateter</w:t>
            </w:r>
          </w:p>
        </w:tc>
        <w:tc>
          <w:tcPr>
            <w:tcW w:w="5386" w:type="dxa"/>
            <w:tcBorders>
              <w:top w:val="single" w:sz="4" w:space="0" w:color="000000"/>
              <w:left w:val="single" w:sz="4" w:space="0" w:color="000000"/>
              <w:bottom w:val="single" w:sz="4" w:space="0" w:color="000000"/>
              <w:right w:val="single" w:sz="4" w:space="0" w:color="000000"/>
            </w:tcBorders>
            <w:hideMark/>
          </w:tcPr>
          <w:p w14:paraId="3FFD0C28"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886871" w14:paraId="280D419D" w14:textId="77777777" w:rsidTr="00886871">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2E6B72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forgiftninger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behandlingskomplikationer</w:t>
            </w:r>
          </w:p>
        </w:tc>
      </w:tr>
      <w:tr w:rsidR="00886871" w14:paraId="2538D467"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F9AF3D6" w14:textId="77777777" w:rsidR="00886871" w:rsidRDefault="00886871" w:rsidP="00146E50">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Traumatisk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16891D61" w14:textId="77777777" w:rsidR="00886871" w:rsidRDefault="00886871" w:rsidP="00146E50">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886871" w14:paraId="7B0277EA" w14:textId="77777777" w:rsidTr="00886871">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03935CF" w14:textId="77777777" w:rsidR="00886871" w:rsidRDefault="00886871" w:rsidP="00146E50">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incisionsstedet</w:t>
            </w:r>
          </w:p>
        </w:tc>
        <w:tc>
          <w:tcPr>
            <w:tcW w:w="5386" w:type="dxa"/>
            <w:tcBorders>
              <w:top w:val="single" w:sz="4" w:space="0" w:color="000000"/>
              <w:left w:val="single" w:sz="4" w:space="0" w:color="000000"/>
              <w:bottom w:val="single" w:sz="4" w:space="0" w:color="000000"/>
              <w:right w:val="single" w:sz="4" w:space="0" w:color="000000"/>
            </w:tcBorders>
            <w:hideMark/>
          </w:tcPr>
          <w:p w14:paraId="7DD1F720" w14:textId="77777777" w:rsidR="00886871" w:rsidRDefault="00886871" w:rsidP="00146E50">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bl>
    <w:p w14:paraId="28BF3E6D"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4BCA9D29"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2"/>
          <w:sz w:val="24"/>
          <w:szCs w:val="24"/>
          <w:u w:val="single"/>
        </w:rPr>
        <w:t>Blødningsreaktioner</w:t>
      </w:r>
    </w:p>
    <w:p w14:paraId="7D62AD3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III-studier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omhandlende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indikationen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 VTE hos pædiatriske patienter oplevede i alt 7 patienter (2,1 %) en alvorlig blødning, 5 patienter (1,5 %) en klinisk relevant ikke-alvorlig blødning og 75 patienter (22,9 %) en mindre blødning. Hyppigheden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generelt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ældste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18 år: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28,6</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 end i de yngre aldersgrupper (fødsel til &lt; 2 år: 23,3 %; 2 til &lt; 12 år: 16,2 %). Alvorlig eller svær blødning, uafhængigt af placering, kan have invaliderende, livstruende eller dødelig udgang.</w:t>
      </w:r>
    </w:p>
    <w:p w14:paraId="4D9CC51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241EB95"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Indberetning</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8"/>
          <w:sz w:val="24"/>
          <w:szCs w:val="24"/>
          <w:u w:val="single"/>
          <w:lang w:val="da-DK"/>
        </w:rPr>
        <w:t xml:space="preserve"> </w:t>
      </w:r>
      <w:r w:rsidRPr="00307CA4">
        <w:rPr>
          <w:rFonts w:asciiTheme="majorBidi" w:hAnsiTheme="majorBidi" w:cstheme="majorBidi"/>
          <w:sz w:val="24"/>
          <w:szCs w:val="24"/>
          <w:u w:val="single"/>
          <w:lang w:val="da-DK"/>
        </w:rPr>
        <w:t>formodede</w:t>
      </w:r>
      <w:r w:rsidRPr="00307CA4">
        <w:rPr>
          <w:rFonts w:asciiTheme="majorBidi" w:hAnsiTheme="majorBidi" w:cstheme="majorBidi"/>
          <w:spacing w:val="-7"/>
          <w:sz w:val="24"/>
          <w:szCs w:val="24"/>
          <w:u w:val="single"/>
          <w:lang w:val="da-DK"/>
        </w:rPr>
        <w:t xml:space="preserve"> </w:t>
      </w:r>
      <w:r w:rsidRPr="00307CA4">
        <w:rPr>
          <w:rFonts w:asciiTheme="majorBidi" w:hAnsiTheme="majorBidi" w:cstheme="majorBidi"/>
          <w:spacing w:val="-2"/>
          <w:sz w:val="24"/>
          <w:szCs w:val="24"/>
          <w:u w:val="single"/>
          <w:lang w:val="da-DK"/>
        </w:rPr>
        <w:t>bivirkninger</w:t>
      </w:r>
    </w:p>
    <w:p w14:paraId="5B44E4B3" w14:textId="77777777" w:rsidR="001A5891" w:rsidRDefault="00886871" w:rsidP="00DB5BD8">
      <w:pPr>
        <w:pStyle w:val="Brdtekst"/>
        <w:widowControl/>
        <w:ind w:left="851"/>
        <w:jc w:val="both"/>
        <w:rPr>
          <w:rFonts w:asciiTheme="majorBidi" w:hAnsiTheme="majorBidi" w:cstheme="majorBidi"/>
          <w:sz w:val="24"/>
          <w:szCs w:val="24"/>
          <w:lang w:val="da-DK"/>
        </w:rPr>
      </w:pPr>
      <w:r w:rsidRPr="00307CA4">
        <w:rPr>
          <w:rFonts w:asciiTheme="majorBidi" w:hAnsiTheme="majorBidi" w:cstheme="majorBidi"/>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r w:rsidR="001A5891">
        <w:rPr>
          <w:rFonts w:asciiTheme="majorBidi" w:hAnsiTheme="majorBidi" w:cstheme="majorBidi"/>
          <w:sz w:val="24"/>
          <w:szCs w:val="24"/>
          <w:lang w:val="da-DK"/>
        </w:rPr>
        <w:t>:</w:t>
      </w:r>
    </w:p>
    <w:p w14:paraId="7D767739" w14:textId="77777777" w:rsidR="001A5891" w:rsidRDefault="001A5891" w:rsidP="00DB5BD8">
      <w:pPr>
        <w:pStyle w:val="Brdtekst"/>
        <w:widowControl/>
        <w:ind w:left="851"/>
        <w:jc w:val="both"/>
        <w:rPr>
          <w:rFonts w:asciiTheme="majorBidi" w:hAnsiTheme="majorBidi" w:cstheme="majorBidi"/>
          <w:sz w:val="24"/>
          <w:szCs w:val="24"/>
          <w:lang w:val="da-DK"/>
        </w:rPr>
      </w:pPr>
    </w:p>
    <w:p w14:paraId="1F525F0B" w14:textId="77777777" w:rsidR="00DB5BD8" w:rsidRPr="00DB5BD8" w:rsidRDefault="00DB5BD8" w:rsidP="00DB5BD8">
      <w:pPr>
        <w:pStyle w:val="Brdtekst"/>
        <w:ind w:left="851"/>
        <w:rPr>
          <w:rFonts w:asciiTheme="majorBidi" w:hAnsiTheme="majorBidi" w:cstheme="majorBidi"/>
          <w:sz w:val="24"/>
          <w:szCs w:val="24"/>
        </w:rPr>
      </w:pPr>
      <w:bookmarkStart w:id="1" w:name="_Hlk117501544"/>
      <w:bookmarkStart w:id="2" w:name="_Hlk112664459"/>
      <w:r w:rsidRPr="00DB5BD8">
        <w:rPr>
          <w:rFonts w:asciiTheme="majorBidi" w:hAnsiTheme="majorBidi" w:cstheme="majorBidi"/>
          <w:sz w:val="24"/>
          <w:szCs w:val="24"/>
        </w:rPr>
        <w:t>Lægemiddelstyrelsen</w:t>
      </w:r>
    </w:p>
    <w:p w14:paraId="3614EC48" w14:textId="77777777" w:rsidR="00DB5BD8" w:rsidRPr="00DB5BD8" w:rsidRDefault="00DB5BD8" w:rsidP="00DB5BD8">
      <w:pPr>
        <w:pStyle w:val="Brdtekst"/>
        <w:ind w:left="851"/>
        <w:rPr>
          <w:rFonts w:asciiTheme="majorBidi" w:hAnsiTheme="majorBidi" w:cstheme="majorBidi"/>
          <w:sz w:val="24"/>
          <w:szCs w:val="24"/>
        </w:rPr>
      </w:pPr>
      <w:bookmarkStart w:id="3" w:name="_Hlk117501524"/>
      <w:bookmarkEnd w:id="1"/>
      <w:r w:rsidRPr="00DB5BD8">
        <w:rPr>
          <w:rFonts w:asciiTheme="majorBidi" w:hAnsiTheme="majorBidi" w:cstheme="majorBidi"/>
          <w:sz w:val="24"/>
          <w:szCs w:val="24"/>
        </w:rPr>
        <w:t>Axel Heides Gade 1</w:t>
      </w:r>
    </w:p>
    <w:p w14:paraId="5BB96457" w14:textId="77777777" w:rsidR="00DB5BD8" w:rsidRPr="00DB5BD8" w:rsidRDefault="00DB5BD8" w:rsidP="00DB5BD8">
      <w:pPr>
        <w:pStyle w:val="Brdtekst"/>
        <w:ind w:left="851"/>
        <w:rPr>
          <w:rFonts w:asciiTheme="majorBidi" w:hAnsiTheme="majorBidi" w:cstheme="majorBidi"/>
          <w:sz w:val="24"/>
          <w:szCs w:val="24"/>
        </w:rPr>
      </w:pPr>
      <w:r w:rsidRPr="00DB5BD8">
        <w:rPr>
          <w:rFonts w:asciiTheme="majorBidi" w:hAnsiTheme="majorBidi" w:cstheme="majorBidi"/>
          <w:sz w:val="24"/>
          <w:szCs w:val="24"/>
        </w:rPr>
        <w:t>DK-2300 København S</w:t>
      </w:r>
    </w:p>
    <w:p w14:paraId="724B43CE" w14:textId="77777777" w:rsidR="00DB5BD8" w:rsidRPr="00DB5BD8" w:rsidRDefault="00DB5BD8" w:rsidP="00DB5BD8">
      <w:pPr>
        <w:pStyle w:val="Brdtekst"/>
        <w:ind w:left="851"/>
        <w:rPr>
          <w:rFonts w:asciiTheme="majorBidi" w:hAnsiTheme="majorBidi" w:cstheme="majorBidi"/>
          <w:sz w:val="24"/>
          <w:szCs w:val="24"/>
        </w:rPr>
      </w:pPr>
      <w:r w:rsidRPr="00DB5BD8">
        <w:rPr>
          <w:rFonts w:asciiTheme="majorBidi" w:hAnsiTheme="majorBidi" w:cstheme="majorBidi"/>
          <w:sz w:val="24"/>
          <w:szCs w:val="24"/>
        </w:rPr>
        <w:t>Websted: www.meldenbivirkning.dk</w:t>
      </w:r>
      <w:bookmarkEnd w:id="2"/>
      <w:bookmarkEnd w:id="3"/>
    </w:p>
    <w:p w14:paraId="4231EC0A" w14:textId="77777777" w:rsidR="009260DE" w:rsidRPr="00A10294" w:rsidRDefault="009260DE" w:rsidP="00DB5BD8">
      <w:pPr>
        <w:tabs>
          <w:tab w:val="left" w:pos="851"/>
        </w:tabs>
        <w:ind w:left="851"/>
        <w:rPr>
          <w:sz w:val="24"/>
          <w:szCs w:val="24"/>
        </w:rPr>
      </w:pPr>
    </w:p>
    <w:p w14:paraId="10391314" w14:textId="77777777" w:rsidR="009260DE" w:rsidRPr="00C84483" w:rsidRDefault="009260DE" w:rsidP="00146E50">
      <w:pPr>
        <w:tabs>
          <w:tab w:val="left" w:pos="851"/>
        </w:tabs>
        <w:ind w:left="851" w:hanging="851"/>
        <w:rPr>
          <w:b/>
          <w:sz w:val="24"/>
          <w:szCs w:val="24"/>
        </w:rPr>
      </w:pPr>
      <w:r w:rsidRPr="00C84483">
        <w:rPr>
          <w:b/>
          <w:sz w:val="24"/>
          <w:szCs w:val="24"/>
        </w:rPr>
        <w:t>4.9</w:t>
      </w:r>
      <w:r w:rsidRPr="00C84483">
        <w:rPr>
          <w:b/>
          <w:sz w:val="24"/>
          <w:szCs w:val="24"/>
        </w:rPr>
        <w:tab/>
        <w:t>Overdosering</w:t>
      </w:r>
    </w:p>
    <w:p w14:paraId="4A097C7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Doser</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ud</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over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anbefalede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udsætter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patienten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forøget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blødning.</w:t>
      </w:r>
    </w:p>
    <w:p w14:paraId="68F911E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630FD5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tilfælde af mistanke om overdosis, kan koagulationstest hjælpe til at påvise en evt. blødningsrisiko (se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pkt.</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4.4</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5.1).</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kalibreret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kvantitativ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dTT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test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gentagne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dTT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målinger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medvirke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at estimere forventede tidspunkter for, hvornår dabigatrankoncentrationen når bestemte niveauer (se</w:t>
      </w:r>
      <w:r w:rsidRPr="00307CA4">
        <w:rPr>
          <w:rFonts w:asciiTheme="majorBidi" w:hAnsiTheme="majorBidi" w:cstheme="majorBidi"/>
          <w:spacing w:val="80"/>
          <w:sz w:val="24"/>
          <w:szCs w:val="24"/>
          <w:lang w:val="da-DK"/>
        </w:rPr>
        <w:t xml:space="preserve"> </w:t>
      </w:r>
      <w:r w:rsidRPr="00307CA4">
        <w:rPr>
          <w:rFonts w:asciiTheme="majorBidi" w:hAnsiTheme="majorBidi" w:cstheme="majorBidi"/>
          <w:sz w:val="24"/>
          <w:szCs w:val="24"/>
          <w:lang w:val="da-DK"/>
        </w:rPr>
        <w:t xml:space="preserve">pkt. 5.1), også i tilfælde, hvor yderligere foranstaltninger, f.eks. dialyse er blevet indledt. </w:t>
      </w:r>
    </w:p>
    <w:p w14:paraId="10731F4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840D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Overdreven antikoagulation kan kræve afbrydelse af dabigatranetexilat-behandling. Da dabigatran hovedsageligt udskilles via nyrerne, skal tilstrækkelig diurese opretholdes. Da der er en lav proteinbinding,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fjernes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dialyse,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forligger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begrænset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erfaring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 kliniske studier, der kan demonstrere nytten heraf (se pkt. 5.2).</w:t>
      </w:r>
    </w:p>
    <w:p w14:paraId="0418531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437453C"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Behandling</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af</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pacing w:val="-2"/>
          <w:sz w:val="24"/>
          <w:szCs w:val="24"/>
          <w:u w:val="single"/>
          <w:lang w:val="da-DK"/>
        </w:rPr>
        <w:t>blødningskomplikationer</w:t>
      </w:r>
    </w:p>
    <w:p w14:paraId="7709F5C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blødningskomplikationer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skal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seponeres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kilden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til blødningen undersøges. Afhængigt af den kliniske tilstand bør passende </w:t>
      </w:r>
      <w:r w:rsidRPr="00307CA4">
        <w:rPr>
          <w:rFonts w:asciiTheme="majorBidi" w:hAnsiTheme="majorBidi" w:cstheme="majorBidi"/>
          <w:sz w:val="24"/>
          <w:szCs w:val="24"/>
          <w:lang w:val="da-DK"/>
        </w:rPr>
        <w:lastRenderedPageBreak/>
        <w:t>understøttende behandling, såsom kirurgisk hæmostase og erstatning af blodtab, foretages efter den ordinerende læges skøn.</w:t>
      </w:r>
    </w:p>
    <w:p w14:paraId="5425FA6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005179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hvor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nødvendigt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modvirke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virkning,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 specifikke antidot (idarucizumab), som modvirker dabigatrans farmakodynamiske virkning, tilgængelig for voksne patienter. Idarucizumabs virkning og sikkerhed hos pædiatriske patienter er ikke klarlagt (se pkt. 4.4).</w:t>
      </w:r>
    </w:p>
    <w:p w14:paraId="6E67D114"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CCCD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307CA4">
        <w:rPr>
          <w:rFonts w:asciiTheme="majorBidi" w:hAnsiTheme="majorBidi" w:cstheme="majorBidi"/>
          <w:i/>
          <w:sz w:val="24"/>
          <w:szCs w:val="24"/>
          <w:lang w:val="da-DK"/>
        </w:rPr>
        <w:t xml:space="preserve">rebound </w:t>
      </w:r>
      <w:r w:rsidRPr="00307CA4">
        <w:rPr>
          <w:rFonts w:asciiTheme="majorBidi" w:hAnsiTheme="majorBidi" w:cstheme="majorBidi"/>
          <w:sz w:val="24"/>
          <w:szCs w:val="24"/>
          <w:lang w:val="da-DK"/>
        </w:rPr>
        <w:t>tromboemboli. Koagulationstests kan blive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upålidelige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ovenstående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koagulationsfaktor-koncentrater.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0EF27EE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7FA703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tilfælde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bør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overvejes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konsultere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koagulationsekspert.</w:t>
      </w:r>
    </w:p>
    <w:p w14:paraId="50FA8160" w14:textId="77777777" w:rsidR="009260DE" w:rsidRPr="00307CA4" w:rsidRDefault="009260DE" w:rsidP="00DB26E1">
      <w:pPr>
        <w:tabs>
          <w:tab w:val="left" w:pos="851"/>
        </w:tabs>
        <w:ind w:left="851"/>
        <w:rPr>
          <w:sz w:val="24"/>
          <w:szCs w:val="24"/>
        </w:rPr>
      </w:pPr>
    </w:p>
    <w:p w14:paraId="3542288D" w14:textId="77777777" w:rsidR="009260DE" w:rsidRPr="00C84483" w:rsidRDefault="009260DE" w:rsidP="00146E50">
      <w:pPr>
        <w:tabs>
          <w:tab w:val="left" w:pos="851"/>
        </w:tabs>
        <w:ind w:left="851" w:hanging="851"/>
        <w:rPr>
          <w:b/>
          <w:sz w:val="24"/>
          <w:szCs w:val="24"/>
        </w:rPr>
      </w:pPr>
      <w:r w:rsidRPr="00C84483">
        <w:rPr>
          <w:b/>
          <w:sz w:val="24"/>
          <w:szCs w:val="24"/>
        </w:rPr>
        <w:t>4.10</w:t>
      </w:r>
      <w:r w:rsidRPr="00C84483">
        <w:rPr>
          <w:b/>
          <w:sz w:val="24"/>
          <w:szCs w:val="24"/>
        </w:rPr>
        <w:tab/>
        <w:t>Udlevering</w:t>
      </w:r>
    </w:p>
    <w:p w14:paraId="461A798C" w14:textId="5FF5AA1A" w:rsidR="009260DE" w:rsidRPr="00C84483" w:rsidRDefault="00886871" w:rsidP="00146E50">
      <w:pPr>
        <w:tabs>
          <w:tab w:val="left" w:pos="851"/>
        </w:tabs>
        <w:ind w:left="851"/>
        <w:rPr>
          <w:sz w:val="24"/>
          <w:szCs w:val="24"/>
        </w:rPr>
      </w:pPr>
      <w:r>
        <w:rPr>
          <w:sz w:val="24"/>
          <w:szCs w:val="24"/>
        </w:rPr>
        <w:t>B</w:t>
      </w:r>
    </w:p>
    <w:p w14:paraId="00B5BEEA" w14:textId="77777777" w:rsidR="009260DE" w:rsidRPr="00C84483" w:rsidRDefault="009260DE" w:rsidP="00146E50">
      <w:pPr>
        <w:tabs>
          <w:tab w:val="left" w:pos="851"/>
        </w:tabs>
        <w:ind w:left="851"/>
        <w:rPr>
          <w:sz w:val="24"/>
          <w:szCs w:val="24"/>
        </w:rPr>
      </w:pPr>
    </w:p>
    <w:p w14:paraId="5769BC52" w14:textId="77777777" w:rsidR="009260DE" w:rsidRPr="00C84483" w:rsidRDefault="009260DE" w:rsidP="00146E50">
      <w:pPr>
        <w:tabs>
          <w:tab w:val="left" w:pos="851"/>
        </w:tabs>
        <w:ind w:left="851"/>
        <w:rPr>
          <w:sz w:val="24"/>
          <w:szCs w:val="24"/>
        </w:rPr>
      </w:pPr>
    </w:p>
    <w:p w14:paraId="0E6A812A" w14:textId="77777777" w:rsidR="009260DE" w:rsidRPr="00C84483" w:rsidRDefault="009260DE" w:rsidP="00146E50">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6E9F25D" w14:textId="77777777" w:rsidR="009260DE" w:rsidRPr="00C84483" w:rsidRDefault="009260DE" w:rsidP="00146E50">
      <w:pPr>
        <w:tabs>
          <w:tab w:val="left" w:pos="851"/>
        </w:tabs>
        <w:ind w:left="851"/>
        <w:rPr>
          <w:sz w:val="24"/>
          <w:szCs w:val="24"/>
        </w:rPr>
      </w:pPr>
    </w:p>
    <w:p w14:paraId="7803A5E9" w14:textId="77777777" w:rsidR="009260DE" w:rsidRPr="00C84483" w:rsidRDefault="009260DE" w:rsidP="00146E50">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7BB57BC" w14:textId="3E71DD09"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Farmakoterapeutisk</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klassifikation: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antitrombosemidler,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virkende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trombin-inhibitorer,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ATC</w:t>
      </w:r>
      <w:r w:rsidRPr="00307CA4">
        <w:rPr>
          <w:rFonts w:asciiTheme="majorBidi" w:hAnsiTheme="majorBidi" w:cstheme="majorBidi"/>
          <w:sz w:val="24"/>
          <w:szCs w:val="24"/>
          <w:lang w:val="da-DK"/>
        </w:rPr>
        <w:noBreakHyphen/>
        <w:t>kode: B01AE07</w:t>
      </w:r>
      <w:r w:rsidR="00E03E86">
        <w:rPr>
          <w:rFonts w:asciiTheme="majorBidi" w:hAnsiTheme="majorBidi" w:cstheme="majorBidi"/>
          <w:sz w:val="24"/>
          <w:szCs w:val="24"/>
          <w:lang w:val="da-DK"/>
        </w:rPr>
        <w:t>.</w:t>
      </w:r>
    </w:p>
    <w:p w14:paraId="3921867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6303B6D"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Virkningsmekanisme</w:t>
      </w:r>
    </w:p>
    <w:p w14:paraId="1772311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Dabigatranetexilat er et lavmolekylært prodrug, som ikke udviser nogen farmakologisk aktivitet. Efter 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indtagelse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absorberes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omdannes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esterasekatalyseret hydrolyse i plasma og i leveren. Dabigatran er en potent, kompetitiv, reversibel, direkte trombinhæmmer, og er den i plasma primære aktive form af lægemidlet.</w:t>
      </w:r>
    </w:p>
    <w:p w14:paraId="12D271E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(serinprotease)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fremmer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konverteringen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fibrinogen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fibrin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koagulationskaskaden,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vil en hæmning af trombin forhindre udviklingen af tromber. Dabigatran hæmmer frit trombin, fibrinbundet trombin og trombininduceret trombocytaggregation.</w:t>
      </w:r>
    </w:p>
    <w:p w14:paraId="2E68CBB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55BFDAE"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Farmakodynamisk</w:t>
      </w:r>
      <w:r w:rsidRPr="00307CA4">
        <w:rPr>
          <w:rFonts w:asciiTheme="majorBidi" w:hAnsiTheme="majorBidi" w:cstheme="majorBidi"/>
          <w:spacing w:val="15"/>
          <w:sz w:val="24"/>
          <w:szCs w:val="24"/>
          <w:u w:val="single"/>
          <w:lang w:val="da-DK"/>
        </w:rPr>
        <w:t xml:space="preserve"> </w:t>
      </w:r>
      <w:r w:rsidRPr="00307CA4">
        <w:rPr>
          <w:rFonts w:asciiTheme="majorBidi" w:hAnsiTheme="majorBidi" w:cstheme="majorBidi"/>
          <w:spacing w:val="-2"/>
          <w:sz w:val="24"/>
          <w:szCs w:val="24"/>
          <w:u w:val="single"/>
          <w:lang w:val="da-DK"/>
        </w:rPr>
        <w:t>virkning</w:t>
      </w:r>
    </w:p>
    <w:p w14:paraId="1D22136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 xml:space="preserve">In-vivo- </w:t>
      </w:r>
      <w:r w:rsidRPr="00307CA4">
        <w:rPr>
          <w:rFonts w:asciiTheme="majorBidi" w:hAnsiTheme="majorBidi" w:cstheme="majorBidi"/>
          <w:sz w:val="24"/>
          <w:szCs w:val="24"/>
          <w:lang w:val="da-DK"/>
        </w:rPr>
        <w:t xml:space="preserve">og </w:t>
      </w:r>
      <w:r w:rsidRPr="00307CA4">
        <w:rPr>
          <w:rFonts w:asciiTheme="majorBidi" w:hAnsiTheme="majorBidi" w:cstheme="majorBidi"/>
          <w:i/>
          <w:sz w:val="24"/>
          <w:szCs w:val="24"/>
          <w:lang w:val="da-DK"/>
        </w:rPr>
        <w:t>ex-vivo-</w:t>
      </w:r>
      <w:r w:rsidRPr="00307CA4">
        <w:rPr>
          <w:rFonts w:asciiTheme="majorBidi" w:hAnsiTheme="majorBidi" w:cstheme="majorBidi"/>
          <w:sz w:val="24"/>
          <w:szCs w:val="24"/>
          <w:lang w:val="da-DK"/>
        </w:rPr>
        <w:t>dyreforsøg i forskellige trombose-dyremodeller har vist, at dabigatran efter intravenøs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antitrombotisk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effekt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antikoagulerende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aktivitet,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 påvist for dabigatranetexilat efter oral indtagelse.</w:t>
      </w:r>
    </w:p>
    <w:p w14:paraId="3F4F718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5C2D50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 II</w:t>
      </w:r>
      <w:r w:rsidRPr="00307CA4">
        <w:rPr>
          <w:rFonts w:asciiTheme="majorBidi" w:hAnsiTheme="majorBidi" w:cstheme="majorBidi"/>
          <w:sz w:val="24"/>
          <w:szCs w:val="24"/>
          <w:lang w:val="da-DK"/>
        </w:rPr>
        <w:noBreakHyphen/>
        <w:t>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fundet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korrelation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dabigatran-koncentrationen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graden af antikoagulerende effekt. Dabigatran forlænger trombintiden (TT), ECT og aPTT.</w:t>
      </w:r>
    </w:p>
    <w:p w14:paraId="7E72717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7779D8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lastRenderedPageBreak/>
        <w:t>Den kalibrerede kvantitative fortyndede TT (dTT)-test giver en estimeret dabigatran- plasmakoncentration,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sammenlignes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forventede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dabigatran-plasmakoncentrationer. Når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kalibrerede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dTT-analyse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angiver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grænsen for kvantificering, bør yderligere en koagulationsanalyse overvejes såsom TT, ECT eller aPTT.</w:t>
      </w:r>
    </w:p>
    <w:p w14:paraId="12E2050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3E89D7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ECT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kan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give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mål</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aktiviteten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direkte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trombinhæmmere.</w:t>
      </w:r>
    </w:p>
    <w:p w14:paraId="0DEE8F1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3F5290C"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vidt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udbredte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test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aktiveret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partiel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tromboplastintid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giver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omtrentlig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indikation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3F347F3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C0109E4" w14:textId="3F9093AF"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Generelt kan det antages, at disse mål for antikoagulationsaktiviteten kan reflektere dabigatranniveauerne og være en hjælp til vurdering af blødningsrisikoen. Det vil sige, at en overskridelse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90-percentilen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-niveauerne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koagulationsanalyse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 xml:space="preserve">- såsom aPTT målt ved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 xml:space="preserve">(se grænseværdier for aPTT i pkt. 4.4, tabel </w:t>
      </w:r>
      <w:r w:rsidR="00FC779C">
        <w:rPr>
          <w:rFonts w:asciiTheme="majorBidi" w:hAnsiTheme="majorBidi" w:cstheme="majorBidi"/>
          <w:sz w:val="24"/>
          <w:szCs w:val="24"/>
          <w:lang w:val="da-DK"/>
        </w:rPr>
        <w:t>5</w:t>
      </w:r>
      <w:r w:rsidRPr="00307CA4">
        <w:rPr>
          <w:rFonts w:asciiTheme="majorBidi" w:hAnsiTheme="majorBidi" w:cstheme="majorBidi"/>
          <w:sz w:val="24"/>
          <w:szCs w:val="24"/>
          <w:lang w:val="da-DK"/>
        </w:rPr>
        <w:t>) - anses for at være forbundet med en øget blødningsrisiko.</w:t>
      </w:r>
    </w:p>
    <w:p w14:paraId="4C1DE94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28C2C7B"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apopleksi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systemisk</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emboli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NVAF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en</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eller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flere risikofaktorer (SPAF)</w:t>
      </w:r>
    </w:p>
    <w:p w14:paraId="1665EC25"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Steady-state</w:t>
      </w:r>
      <w:r w:rsidRPr="00307CA4">
        <w:rPr>
          <w:rFonts w:asciiTheme="majorBidi" w:hAnsiTheme="majorBidi" w:cstheme="majorBidi"/>
          <w:sz w:val="24"/>
          <w:szCs w:val="24"/>
          <w:lang w:val="da-DK"/>
        </w:rPr>
        <w: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angivet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geometrisk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gennemsnitsværdi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peak-plasmakoncentrationen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 målt ca. 2 timer efter indtagelse af 150 mg dabigatranetexilat 2 gange dagligt, var 175 ng/ml, med et interval på 117</w:t>
      </w:r>
      <w:r w:rsidRPr="00307CA4">
        <w:rPr>
          <w:rFonts w:asciiTheme="majorBidi" w:hAnsiTheme="majorBidi" w:cstheme="majorBidi"/>
          <w:sz w:val="24"/>
          <w:szCs w:val="24"/>
          <w:lang w:val="da-DK"/>
        </w:rPr>
        <w:noBreakHyphen/>
        <w:t>275 ng/ml (25.</w:t>
      </w:r>
      <w:r w:rsidRPr="00307CA4">
        <w:rPr>
          <w:rFonts w:asciiTheme="majorBidi" w:hAnsiTheme="majorBidi" w:cstheme="majorBidi"/>
          <w:sz w:val="24"/>
          <w:szCs w:val="24"/>
          <w:lang w:val="da-DK"/>
        </w:rPr>
        <w:noBreakHyphen/>
        <w:t xml:space="preserve">75. percentil). Dabigatrans geometriske gennemsnits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 koncentration, målt om morgenen ved slutningen af et doseringsinterval (dvs. 12 timer efter aftendosen på 150 mg dabigatran), var i gennemsnit 91,0 ng/ml, med et interval på 61,0-143 ng/ml (25.</w:t>
      </w:r>
      <w:r w:rsidRPr="00307CA4">
        <w:rPr>
          <w:rFonts w:asciiTheme="majorBidi" w:hAnsiTheme="majorBidi" w:cstheme="majorBidi"/>
          <w:sz w:val="24"/>
          <w:szCs w:val="24"/>
          <w:lang w:val="da-DK"/>
        </w:rPr>
        <w:noBreakHyphen/>
        <w:t>75. percentil).</w:t>
      </w:r>
    </w:p>
    <w:p w14:paraId="5F21082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143A428"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NVAF,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 apopleksi og systemisk emboli, gjaldt følgende:</w:t>
      </w:r>
    </w:p>
    <w:p w14:paraId="6AFD4508"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6"/>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den forrige dosis) var ca. 200 ng/ml</w:t>
      </w:r>
    </w:p>
    <w:p w14:paraId="114E2E15"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ECT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1"/>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forhøjet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den øvre normalgrænse, svarer til 90</w:t>
      </w:r>
      <w:r w:rsidRPr="00307CA4">
        <w:rPr>
          <w:rFonts w:asciiTheme="majorBidi" w:hAnsiTheme="majorBidi" w:cstheme="majorBidi"/>
          <w:sz w:val="24"/>
          <w:szCs w:val="24"/>
          <w:lang w:val="da-DK"/>
        </w:rPr>
        <w:noBreakHyphen/>
        <w:t>percentilen for den observerede ECT-forlængelse på 103 </w:t>
      </w:r>
      <w:r w:rsidRPr="00307CA4">
        <w:rPr>
          <w:rFonts w:asciiTheme="majorBidi" w:hAnsiTheme="majorBidi" w:cstheme="majorBidi"/>
          <w:spacing w:val="-2"/>
          <w:sz w:val="24"/>
          <w:szCs w:val="24"/>
          <w:lang w:val="da-DK"/>
        </w:rPr>
        <w:t>sekunder</w:t>
      </w:r>
    </w:p>
    <w:p w14:paraId="7F4A9DF0" w14:textId="77777777" w:rsidR="00886871" w:rsidRPr="00307CA4" w:rsidRDefault="00886871" w:rsidP="00E03E86">
      <w:pPr>
        <w:pStyle w:val="Listeafsnit"/>
        <w:widowControl/>
        <w:numPr>
          <w:ilvl w:val="0"/>
          <w:numId w:val="17"/>
        </w:numPr>
        <w:ind w:left="1134" w:hanging="283"/>
        <w:jc w:val="both"/>
        <w:rPr>
          <w:rFonts w:asciiTheme="majorBidi" w:hAnsiTheme="majorBidi" w:cstheme="majorBidi"/>
          <w:sz w:val="24"/>
          <w:szCs w:val="24"/>
          <w:lang w:val="da-DK"/>
        </w:rPr>
      </w:pP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aPTT-ratio,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større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øvre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normalgrænse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(aPTT-forlængelse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ca. 80 sekunder),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3"/>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svarer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 xml:space="preserve">for </w:t>
      </w:r>
      <w:r w:rsidRPr="00307CA4">
        <w:rPr>
          <w:rFonts w:asciiTheme="majorBidi" w:hAnsiTheme="majorBidi" w:cstheme="majorBidi"/>
          <w:spacing w:val="-2"/>
          <w:sz w:val="24"/>
          <w:szCs w:val="24"/>
          <w:lang w:val="da-DK"/>
        </w:rPr>
        <w:t>observationerne.</w:t>
      </w:r>
    </w:p>
    <w:p w14:paraId="6C99F6D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9A0BE6C" w14:textId="18F96B59"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4"/>
          <w:sz w:val="24"/>
          <w:szCs w:val="24"/>
        </w:rPr>
        <w:t xml:space="preserve"> </w:t>
      </w:r>
      <w:r w:rsidR="00FC779C">
        <w:rPr>
          <w:rFonts w:asciiTheme="majorBidi" w:hAnsiTheme="majorBidi" w:cstheme="majorBidi"/>
          <w:i/>
          <w:sz w:val="24"/>
          <w:szCs w:val="24"/>
        </w:rPr>
        <w:t>samt</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4"/>
          <w:sz w:val="24"/>
          <w:szCs w:val="24"/>
        </w:rPr>
        <w:t xml:space="preserve"> </w:t>
      </w:r>
      <w:r w:rsidRPr="00307CA4">
        <w:rPr>
          <w:rFonts w:asciiTheme="majorBidi" w:hAnsiTheme="majorBidi" w:cstheme="majorBidi"/>
          <w:i/>
          <w:spacing w:val="-2"/>
          <w:sz w:val="24"/>
          <w:szCs w:val="24"/>
        </w:rPr>
        <w:t>(DVT/LE)</w:t>
      </w:r>
    </w:p>
    <w:p w14:paraId="251073A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 patienter i behandling for DTV og LE med 150 mg dabigatranetexilat 2 gange dagligt var den geometriske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gennemsnits-</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løbet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slutningen 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dosisintervallet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(dvs.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12 timer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aftendosis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59,7 ng/ml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interval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på 38,6</w:t>
      </w:r>
      <w:r w:rsidRPr="00307CA4">
        <w:rPr>
          <w:rFonts w:asciiTheme="majorBidi" w:hAnsiTheme="majorBidi" w:cstheme="majorBidi"/>
          <w:sz w:val="24"/>
          <w:szCs w:val="24"/>
          <w:lang w:val="da-DK"/>
        </w:rPr>
        <w:noBreakHyphen/>
        <w:t>94,5 ng/ml (25.</w:t>
      </w:r>
      <w:r w:rsidRPr="00307CA4">
        <w:rPr>
          <w:rFonts w:asciiTheme="majorBidi" w:hAnsiTheme="majorBidi" w:cstheme="majorBidi"/>
          <w:sz w:val="24"/>
          <w:szCs w:val="24"/>
          <w:lang w:val="da-DK"/>
        </w:rPr>
        <w:noBreakHyphen/>
        <w:t>75. percentil). For behandling af DVT og LE med dabigatranetexilat 150 mg</w:t>
      </w:r>
    </w:p>
    <w:p w14:paraId="03326E5F"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2</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gjaldt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følgende:</w:t>
      </w:r>
    </w:p>
    <w:p w14:paraId="40C0E0AB"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dabigatran-plasmakoncentrationerne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6"/>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den forrige dosis) var ca. 146 ng/ml</w:t>
      </w:r>
    </w:p>
    <w:p w14:paraId="4277D5C4"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lastRenderedPageBreak/>
        <w:t>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ECT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6"/>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4"/>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 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forhøjet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ca.</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2,3</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til </w:t>
      </w:r>
      <w:r w:rsidRPr="00307CA4">
        <w:rPr>
          <w:rFonts w:asciiTheme="majorBidi" w:hAnsiTheme="majorBidi" w:cstheme="majorBidi"/>
          <w:i/>
          <w:sz w:val="24"/>
          <w:szCs w:val="24"/>
          <w:lang w:val="da-DK"/>
        </w:rPr>
        <w:t>baseline</w:t>
      </w:r>
      <w:r w:rsidRPr="00307CA4">
        <w:rPr>
          <w:rFonts w:asciiTheme="majorBidi" w:hAnsiTheme="majorBidi" w:cstheme="majorBidi"/>
          <w:sz w:val="24"/>
          <w:szCs w:val="24"/>
          <w:lang w:val="da-DK"/>
        </w:rPr>
        <w:t>,</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svarer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observerede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ECT-forlængelse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74 </w:t>
      </w:r>
      <w:r w:rsidRPr="00307CA4">
        <w:rPr>
          <w:rFonts w:asciiTheme="majorBidi" w:hAnsiTheme="majorBidi" w:cstheme="majorBidi"/>
          <w:spacing w:val="-2"/>
          <w:sz w:val="24"/>
          <w:szCs w:val="24"/>
          <w:lang w:val="da-DK"/>
        </w:rPr>
        <w:t>sekunder</w:t>
      </w:r>
    </w:p>
    <w:p w14:paraId="0A50A24A" w14:textId="77777777" w:rsidR="00886871" w:rsidRPr="00307CA4" w:rsidRDefault="00886871" w:rsidP="00E03E86">
      <w:pPr>
        <w:pStyle w:val="Listeafsnit"/>
        <w:widowControl/>
        <w:numPr>
          <w:ilvl w:val="0"/>
          <w:numId w:val="17"/>
        </w:numPr>
        <w:ind w:left="1134" w:hanging="283"/>
        <w:rPr>
          <w:rFonts w:asciiTheme="majorBidi" w:hAnsiTheme="majorBidi" w:cstheme="majorBidi"/>
          <w:sz w:val="24"/>
          <w:szCs w:val="24"/>
          <w:lang w:val="da-DK"/>
        </w:rPr>
      </w:pPr>
      <w:r w:rsidRPr="00307CA4">
        <w:rPr>
          <w:rFonts w:asciiTheme="majorBidi" w:hAnsiTheme="majorBidi" w:cstheme="majorBidi"/>
          <w:sz w:val="24"/>
          <w:szCs w:val="24"/>
          <w:lang w:val="da-DK"/>
        </w:rPr>
        <w:t>90</w:t>
      </w:r>
      <w:r w:rsidRPr="00307CA4">
        <w:rPr>
          <w:rFonts w:asciiTheme="majorBidi" w:hAnsiTheme="majorBidi" w:cstheme="majorBidi"/>
          <w:sz w:val="24"/>
          <w:szCs w:val="24"/>
          <w:lang w:val="da-DK"/>
        </w:rPr>
        <w:noBreakHyphen/>
        <w:t>percentilen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aPTT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i/>
          <w:spacing w:val="-2"/>
          <w:sz w:val="24"/>
          <w:szCs w:val="24"/>
          <w:lang w:val="da-DK"/>
        </w:rPr>
        <w:t xml:space="preserve"> </w:t>
      </w:r>
      <w:r w:rsidRPr="00307CA4">
        <w:rPr>
          <w:rFonts w:asciiTheme="majorBidi" w:hAnsiTheme="majorBidi" w:cstheme="majorBidi"/>
          <w:sz w:val="24"/>
          <w:szCs w:val="24"/>
          <w:lang w:val="da-DK"/>
        </w:rPr>
        <w:t>(10</w:t>
      </w:r>
      <w:r w:rsidRPr="00307CA4">
        <w:rPr>
          <w:rFonts w:asciiTheme="majorBidi" w:hAnsiTheme="majorBidi" w:cstheme="majorBidi"/>
          <w:sz w:val="24"/>
          <w:szCs w:val="24"/>
          <w:lang w:val="da-DK"/>
        </w:rPr>
        <w:noBreakHyphen/>
        <w:t>16</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forrige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62 sekunder, hvilket er 1,8 gange længere end ved </w:t>
      </w:r>
      <w:r w:rsidRPr="00307CA4">
        <w:rPr>
          <w:rFonts w:asciiTheme="majorBidi" w:hAnsiTheme="majorBidi" w:cstheme="majorBidi"/>
          <w:i/>
          <w:sz w:val="24"/>
          <w:szCs w:val="24"/>
          <w:lang w:val="da-DK"/>
        </w:rPr>
        <w:t>baseline</w:t>
      </w:r>
      <w:r w:rsidRPr="00307CA4">
        <w:rPr>
          <w:rFonts w:asciiTheme="majorBidi" w:hAnsiTheme="majorBidi" w:cstheme="majorBidi"/>
          <w:sz w:val="24"/>
          <w:szCs w:val="24"/>
          <w:lang w:val="da-DK"/>
        </w:rPr>
        <w:t>.</w:t>
      </w:r>
    </w:p>
    <w:p w14:paraId="526E9B7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84E1E7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foreligger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farmakokinetiske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 DVT og LE med 150 mg dabigatranetexilat 2 gange dagligt.</w:t>
      </w:r>
    </w:p>
    <w:p w14:paraId="67F44C1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219096B"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Klinisk</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virkning</w:t>
      </w:r>
      <w:r w:rsidRPr="00307CA4">
        <w:rPr>
          <w:rFonts w:asciiTheme="majorBidi" w:hAnsiTheme="majorBidi" w:cstheme="majorBidi"/>
          <w:spacing w:val="-6"/>
          <w:sz w:val="24"/>
          <w:szCs w:val="24"/>
          <w:u w:val="single"/>
          <w:lang w:val="da-DK"/>
        </w:rPr>
        <w:t xml:space="preserve"> </w:t>
      </w:r>
      <w:r w:rsidRPr="00307CA4">
        <w:rPr>
          <w:rFonts w:asciiTheme="majorBidi" w:hAnsiTheme="majorBidi" w:cstheme="majorBidi"/>
          <w:sz w:val="24"/>
          <w:szCs w:val="24"/>
          <w:u w:val="single"/>
          <w:lang w:val="da-DK"/>
        </w:rPr>
        <w:t>og</w:t>
      </w:r>
      <w:r w:rsidRPr="00307CA4">
        <w:rPr>
          <w:rFonts w:asciiTheme="majorBidi" w:hAnsiTheme="majorBidi" w:cstheme="majorBidi"/>
          <w:spacing w:val="-5"/>
          <w:sz w:val="24"/>
          <w:szCs w:val="24"/>
          <w:u w:val="single"/>
          <w:lang w:val="da-DK"/>
        </w:rPr>
        <w:t xml:space="preserve"> </w:t>
      </w:r>
      <w:r w:rsidRPr="00307CA4">
        <w:rPr>
          <w:rFonts w:asciiTheme="majorBidi" w:hAnsiTheme="majorBidi" w:cstheme="majorBidi"/>
          <w:spacing w:val="-2"/>
          <w:sz w:val="24"/>
          <w:szCs w:val="24"/>
          <w:u w:val="single"/>
          <w:lang w:val="da-DK"/>
        </w:rPr>
        <w:t>sikkerhed</w:t>
      </w:r>
    </w:p>
    <w:p w14:paraId="358B24A4"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36096818"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Etnisk</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oprindelse</w:t>
      </w:r>
    </w:p>
    <w:p w14:paraId="54B459D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forskelle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kaukasiske,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afro-amerikanske,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latin</w:t>
      </w:r>
      <w:r w:rsidRPr="00307CA4">
        <w:rPr>
          <w:rFonts w:asciiTheme="majorBidi" w:hAnsiTheme="majorBidi" w:cstheme="majorBidi"/>
          <w:sz w:val="24"/>
          <w:szCs w:val="24"/>
          <w:lang w:val="da-DK"/>
        </w:rPr>
        <w:noBreakHyphen/>
        <w:t>amerikanske, japanske eller kinesiske patienter.</w:t>
      </w:r>
    </w:p>
    <w:p w14:paraId="25E7762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D4A1F0F" w14:textId="3397E9DC"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apopleksi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systemisk</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emboli</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NVAF</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en</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eller</w:t>
      </w:r>
      <w:r w:rsidRPr="00307CA4">
        <w:rPr>
          <w:rFonts w:asciiTheme="majorBidi" w:hAnsiTheme="majorBidi" w:cstheme="majorBidi"/>
          <w:i/>
          <w:spacing w:val="-3"/>
          <w:sz w:val="24"/>
          <w:szCs w:val="24"/>
        </w:rPr>
        <w:t xml:space="preserve"> </w:t>
      </w:r>
      <w:r w:rsidRPr="00307CA4">
        <w:rPr>
          <w:rFonts w:asciiTheme="majorBidi" w:hAnsiTheme="majorBidi" w:cstheme="majorBidi"/>
          <w:i/>
          <w:sz w:val="24"/>
          <w:szCs w:val="24"/>
        </w:rPr>
        <w:t xml:space="preserve">flere </w:t>
      </w:r>
      <w:r w:rsidRPr="00307CA4">
        <w:rPr>
          <w:rFonts w:asciiTheme="majorBidi" w:hAnsiTheme="majorBidi" w:cstheme="majorBidi"/>
          <w:i/>
          <w:spacing w:val="-2"/>
          <w:sz w:val="24"/>
          <w:szCs w:val="24"/>
        </w:rPr>
        <w:t>risikofaktorer</w:t>
      </w:r>
    </w:p>
    <w:p w14:paraId="01744D3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 kliniske evidens for effekten af dabigatranetexilat er fra RE-LY-studiet (</w:t>
      </w:r>
      <w:r w:rsidRPr="00307CA4">
        <w:rPr>
          <w:rFonts w:asciiTheme="majorBidi" w:hAnsiTheme="majorBidi" w:cstheme="majorBidi"/>
          <w:i/>
          <w:sz w:val="24"/>
          <w:szCs w:val="24"/>
          <w:lang w:val="da-DK"/>
        </w:rPr>
        <w:t>Randomized Evaluation of Long–term anticoagulant therapy</w:t>
      </w:r>
      <w:r w:rsidRPr="00307CA4">
        <w:rPr>
          <w:rFonts w:asciiTheme="majorBidi" w:hAnsiTheme="majorBidi" w:cstheme="majorBidi"/>
          <w:sz w:val="24"/>
          <w:szCs w:val="24"/>
          <w:lang w:val="da-DK"/>
        </w:rPr>
        <w:t>) et multinationalt, randomiseret multicenterstudie med parallelle grupper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blindede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sammenlignet med </w:t>
      </w:r>
      <w:r w:rsidRPr="00307CA4">
        <w:rPr>
          <w:rFonts w:asciiTheme="majorBidi" w:hAnsiTheme="majorBidi" w:cstheme="majorBidi"/>
          <w:i/>
          <w:sz w:val="24"/>
          <w:szCs w:val="24"/>
          <w:lang w:val="da-DK"/>
        </w:rPr>
        <w:t xml:space="preserve">open-label </w:t>
      </w:r>
      <w:r w:rsidRPr="00307CA4">
        <w:rPr>
          <w:rFonts w:asciiTheme="majorBidi" w:hAnsiTheme="majorBidi" w:cstheme="majorBidi"/>
          <w:sz w:val="24"/>
          <w:szCs w:val="24"/>
          <w:lang w:val="da-DK"/>
        </w:rPr>
        <w:t>warfarin hos patienter med atrieflimren med moderat til høj risiko for apopleksi og systemisk emboli. Det primære mål med dette studie var at fastslå, om dabigatranetexilat var non- inferior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reducere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forekomsten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sammensatte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endepunkt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apopleksi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systemisk emboli. Statistisk superioritet blev også analyseret.</w:t>
      </w:r>
    </w:p>
    <w:p w14:paraId="65C278D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0A3A03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RE-LY-studiet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18.113 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Disse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gennemsnitsalder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71,5 år </w:t>
      </w:r>
      <w:r w:rsidRPr="00307CA4">
        <w:rPr>
          <w:rFonts w:asciiTheme="majorBidi" w:hAnsiTheme="majorBidi" w:cstheme="majorBidi"/>
          <w:position w:val="2"/>
          <w:sz w:val="24"/>
          <w:szCs w:val="24"/>
          <w:lang w:val="da-DK"/>
        </w:rPr>
        <w:t>og en gennemsnitlig CHADS</w:t>
      </w:r>
      <w:r w:rsidRPr="00307CA4">
        <w:rPr>
          <w:rFonts w:asciiTheme="majorBidi" w:hAnsiTheme="majorBidi" w:cstheme="majorBidi"/>
          <w:sz w:val="24"/>
          <w:szCs w:val="24"/>
          <w:lang w:val="da-DK"/>
        </w:rPr>
        <w:t>2</w:t>
      </w:r>
      <w:r w:rsidRPr="00307CA4">
        <w:rPr>
          <w:rFonts w:asciiTheme="majorBidi" w:hAnsiTheme="majorBidi" w:cstheme="majorBidi"/>
          <w:spacing w:val="28"/>
          <w:sz w:val="24"/>
          <w:szCs w:val="24"/>
          <w:lang w:val="da-DK"/>
        </w:rPr>
        <w:t xml:space="preserve"> </w:t>
      </w:r>
      <w:r w:rsidRPr="00307CA4">
        <w:rPr>
          <w:rFonts w:asciiTheme="majorBidi" w:hAnsiTheme="majorBidi" w:cstheme="majorBidi"/>
          <w:position w:val="2"/>
          <w:sz w:val="24"/>
          <w:szCs w:val="24"/>
          <w:lang w:val="da-DK"/>
        </w:rPr>
        <w:t xml:space="preserve">score på 2,1. I patientpopulationen var 64 % mænd, og 70 % var </w:t>
      </w:r>
      <w:r w:rsidRPr="00307CA4">
        <w:rPr>
          <w:rFonts w:asciiTheme="majorBidi" w:hAnsiTheme="majorBidi" w:cstheme="majorBidi"/>
          <w:sz w:val="24"/>
          <w:szCs w:val="24"/>
          <w:lang w:val="da-DK"/>
        </w:rPr>
        <w:t xml:space="preserve">kaukasiske og 16 % asiatiske. </w:t>
      </w:r>
    </w:p>
    <w:p w14:paraId="5046FCF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E6310D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 patienter randomiseret til warfarin var den gennemsnitlige tid i terapeutisk interval (TTR) (INR 2-3) 64,4 % (median TTR 67 %).</w:t>
      </w:r>
    </w:p>
    <w:p w14:paraId="498A70D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F177BF6"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RE-LY-studiet viste, at dabigatranetexilat 110 mg 2 gange dagligt er non-inferior til warfarin ved forebyggelse af apopleksi og systemisk emboli hos patienter med atrieflimren og medfører en reduceret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 xml:space="preserve">ratio 1,29, p = 0,0929 og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 xml:space="preserve">ratio 1,27, p = 0,1240, henholdsvis). Med en forbedret overvågning af INR vil de observerede fordele ved dabigatranetexilat aftage i forhold til </w:t>
      </w:r>
      <w:r w:rsidRPr="00307CA4">
        <w:rPr>
          <w:rFonts w:asciiTheme="majorBidi" w:hAnsiTheme="majorBidi" w:cstheme="majorBidi"/>
          <w:spacing w:val="-2"/>
          <w:sz w:val="24"/>
          <w:szCs w:val="24"/>
          <w:lang w:val="da-DK"/>
        </w:rPr>
        <w:t>warfarin.</w:t>
      </w:r>
    </w:p>
    <w:p w14:paraId="22FB6B61" w14:textId="785475D0" w:rsidR="00FC779C" w:rsidRDefault="00FC779C">
      <w:pPr>
        <w:rPr>
          <w:rFonts w:asciiTheme="majorBidi" w:hAnsiTheme="majorBidi" w:cstheme="majorBidi"/>
          <w:spacing w:val="-2"/>
          <w:sz w:val="24"/>
          <w:szCs w:val="24"/>
        </w:rPr>
      </w:pPr>
      <w:r>
        <w:rPr>
          <w:rFonts w:asciiTheme="majorBidi" w:hAnsiTheme="majorBidi" w:cstheme="majorBidi"/>
          <w:spacing w:val="-2"/>
          <w:sz w:val="24"/>
          <w:szCs w:val="24"/>
        </w:rPr>
        <w:br w:type="page"/>
      </w:r>
    </w:p>
    <w:p w14:paraId="5B3892FD"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22532801" w14:textId="7468ECE1"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8"/>
          <w:sz w:val="24"/>
          <w:szCs w:val="24"/>
          <w:lang w:val="da-DK"/>
        </w:rPr>
        <w:t> </w:t>
      </w:r>
      <w:r w:rsidR="00FC779C">
        <w:rPr>
          <w:rFonts w:asciiTheme="majorBidi" w:hAnsiTheme="majorBidi" w:cstheme="majorBidi"/>
          <w:sz w:val="24"/>
          <w:szCs w:val="24"/>
          <w:lang w:val="da-DK"/>
        </w:rPr>
        <w:t>17-19</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detaljer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vigtigste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resultater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population:</w:t>
      </w:r>
    </w:p>
    <w:p w14:paraId="6B3277F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A3040A1" w14:textId="5CC71FFB"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sidR="00FC779C">
        <w:rPr>
          <w:rFonts w:asciiTheme="majorBidi" w:hAnsiTheme="majorBidi" w:cstheme="majorBidi"/>
          <w:spacing w:val="-1"/>
          <w:lang w:val="da-DK"/>
        </w:rPr>
        <w:t>17</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første</w:t>
      </w:r>
      <w:r>
        <w:rPr>
          <w:rFonts w:asciiTheme="majorBidi" w:hAnsiTheme="majorBidi" w:cstheme="majorBidi"/>
          <w:spacing w:val="-3"/>
          <w:lang w:val="da-DK"/>
        </w:rPr>
        <w:t xml:space="preserve"> </w:t>
      </w:r>
      <w:r>
        <w:rPr>
          <w:rFonts w:asciiTheme="majorBidi" w:hAnsiTheme="majorBidi" w:cstheme="majorBidi"/>
          <w:lang w:val="da-DK"/>
        </w:rPr>
        <w:t>forekomst</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apopleksi</w:t>
      </w:r>
      <w:r>
        <w:rPr>
          <w:rFonts w:asciiTheme="majorBidi" w:hAnsiTheme="majorBidi" w:cstheme="majorBidi"/>
          <w:spacing w:val="-3"/>
          <w:lang w:val="da-DK"/>
        </w:rPr>
        <w:t xml:space="preserve"> </w:t>
      </w:r>
      <w:r>
        <w:rPr>
          <w:rFonts w:asciiTheme="majorBidi" w:hAnsiTheme="majorBidi" w:cstheme="majorBidi"/>
          <w:lang w:val="da-DK"/>
        </w:rPr>
        <w:t>eller</w:t>
      </w:r>
      <w:r>
        <w:rPr>
          <w:rFonts w:asciiTheme="majorBidi" w:hAnsiTheme="majorBidi" w:cstheme="majorBidi"/>
          <w:spacing w:val="-3"/>
          <w:lang w:val="da-DK"/>
        </w:rPr>
        <w:t xml:space="preserve"> </w:t>
      </w:r>
      <w:r>
        <w:rPr>
          <w:rFonts w:asciiTheme="majorBidi" w:hAnsiTheme="majorBidi" w:cstheme="majorBidi"/>
          <w:lang w:val="da-DK"/>
        </w:rPr>
        <w:t>systemisk</w:t>
      </w:r>
      <w:r>
        <w:rPr>
          <w:rFonts w:asciiTheme="majorBidi" w:hAnsiTheme="majorBidi" w:cstheme="majorBidi"/>
          <w:spacing w:val="-3"/>
          <w:lang w:val="da-DK"/>
        </w:rPr>
        <w:t xml:space="preserve"> </w:t>
      </w:r>
      <w:r>
        <w:rPr>
          <w:rFonts w:asciiTheme="majorBidi" w:hAnsiTheme="majorBidi" w:cstheme="majorBidi"/>
          <w:lang w:val="da-DK"/>
        </w:rPr>
        <w:t>emboli</w:t>
      </w:r>
      <w:r>
        <w:rPr>
          <w:rFonts w:asciiTheme="majorBidi" w:hAnsiTheme="majorBidi" w:cstheme="majorBidi"/>
          <w:spacing w:val="-3"/>
          <w:lang w:val="da-DK"/>
        </w:rPr>
        <w:t xml:space="preserve"> </w:t>
      </w:r>
      <w:r>
        <w:rPr>
          <w:rFonts w:asciiTheme="majorBidi" w:hAnsiTheme="majorBidi" w:cstheme="majorBidi"/>
          <w:lang w:val="da-DK"/>
        </w:rPr>
        <w:t>(primært</w:t>
      </w:r>
      <w:r>
        <w:rPr>
          <w:rFonts w:asciiTheme="majorBidi" w:hAnsiTheme="majorBidi" w:cstheme="majorBidi"/>
          <w:spacing w:val="-3"/>
          <w:lang w:val="da-DK"/>
        </w:rPr>
        <w:t xml:space="preserve"> </w:t>
      </w:r>
      <w:r>
        <w:rPr>
          <w:rFonts w:asciiTheme="majorBidi" w:hAnsiTheme="majorBidi" w:cstheme="majorBidi"/>
          <w:lang w:val="da-DK"/>
        </w:rPr>
        <w:t>endepunkt)</w:t>
      </w:r>
      <w:r>
        <w:rPr>
          <w:rFonts w:asciiTheme="majorBidi" w:hAnsiTheme="majorBidi" w:cstheme="majorBidi"/>
          <w:spacing w:val="-3"/>
          <w:lang w:val="da-DK"/>
        </w:rPr>
        <w:t xml:space="preserve"> </w:t>
      </w:r>
      <w:r>
        <w:rPr>
          <w:rFonts w:asciiTheme="majorBidi" w:hAnsiTheme="majorBidi" w:cstheme="majorBidi"/>
          <w:lang w:val="da-DK"/>
        </w:rPr>
        <w:t>i studieperioden i RE-LY.</w:t>
      </w:r>
    </w:p>
    <w:p w14:paraId="782C1F80"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01A50FD4"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4FC1687C"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49D247F8"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31FD6A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177A8B2E"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33A144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7628432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3251345"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45CF7C8"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p w14:paraId="6D9A7D3C"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5AC35A5F"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136EE294"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1FF7091B" w14:textId="77777777" w:rsidR="00886871" w:rsidRDefault="00886871" w:rsidP="00146E50">
            <w:pPr>
              <w:pStyle w:val="TableParagraph"/>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7C0EE24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0611C54"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Apopleksi</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og/eller</w:t>
            </w:r>
          </w:p>
          <w:p w14:paraId="48888953"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systemisk</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emboli</w:t>
            </w:r>
          </w:p>
        </w:tc>
        <w:tc>
          <w:tcPr>
            <w:tcW w:w="2268" w:type="dxa"/>
            <w:tcBorders>
              <w:top w:val="single" w:sz="4" w:space="0" w:color="000000"/>
              <w:left w:val="single" w:sz="4" w:space="0" w:color="000000"/>
              <w:bottom w:val="single" w:sz="4" w:space="0" w:color="000000"/>
              <w:right w:val="single" w:sz="4" w:space="0" w:color="000000"/>
            </w:tcBorders>
          </w:tcPr>
          <w:p w14:paraId="3909019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98E6F19"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5848CDE0"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60BCD45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20B2703"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0E495E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(1,54)</w:t>
            </w:r>
          </w:p>
        </w:tc>
        <w:tc>
          <w:tcPr>
            <w:tcW w:w="2268" w:type="dxa"/>
            <w:tcBorders>
              <w:top w:val="single" w:sz="4" w:space="0" w:color="000000"/>
              <w:left w:val="single" w:sz="4" w:space="0" w:color="000000"/>
              <w:bottom w:val="single" w:sz="4" w:space="0" w:color="000000"/>
              <w:right w:val="single" w:sz="4" w:space="0" w:color="000000"/>
            </w:tcBorders>
            <w:hideMark/>
          </w:tcPr>
          <w:p w14:paraId="3C57836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(1,12)</w:t>
            </w:r>
          </w:p>
        </w:tc>
        <w:tc>
          <w:tcPr>
            <w:tcW w:w="1984" w:type="dxa"/>
            <w:tcBorders>
              <w:top w:val="single" w:sz="4" w:space="0" w:color="000000"/>
              <w:left w:val="single" w:sz="4" w:space="0" w:color="000000"/>
              <w:bottom w:val="single" w:sz="4" w:space="0" w:color="000000"/>
              <w:right w:val="single" w:sz="4" w:space="0" w:color="000000"/>
            </w:tcBorders>
            <w:hideMark/>
          </w:tcPr>
          <w:p w14:paraId="0458E103"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(1,72)</w:t>
            </w:r>
          </w:p>
        </w:tc>
      </w:tr>
      <w:tr w:rsidR="00886871" w14:paraId="440BB20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72B7D9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6A7E4EE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0AA65C46"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1,09)</w:t>
            </w:r>
          </w:p>
        </w:tc>
        <w:tc>
          <w:tcPr>
            <w:tcW w:w="2268" w:type="dxa"/>
            <w:tcBorders>
              <w:top w:val="single" w:sz="4" w:space="0" w:color="000000"/>
              <w:left w:val="single" w:sz="4" w:space="0" w:color="000000"/>
              <w:bottom w:val="single" w:sz="4" w:space="0" w:color="000000"/>
              <w:right w:val="single" w:sz="4" w:space="0" w:color="000000"/>
            </w:tcBorders>
            <w:hideMark/>
          </w:tcPr>
          <w:p w14:paraId="2B2EA72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0,81)</w:t>
            </w:r>
          </w:p>
        </w:tc>
        <w:tc>
          <w:tcPr>
            <w:tcW w:w="1984" w:type="dxa"/>
            <w:tcBorders>
              <w:top w:val="single" w:sz="4" w:space="0" w:color="000000"/>
              <w:left w:val="single" w:sz="4" w:space="0" w:color="000000"/>
              <w:bottom w:val="single" w:sz="4" w:space="0" w:color="000000"/>
              <w:right w:val="single" w:sz="4" w:space="0" w:color="000000"/>
            </w:tcBorders>
          </w:tcPr>
          <w:p w14:paraId="37D0103C"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r w:rsidR="00886871" w14:paraId="0E950EC7"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FBA77EA" w14:textId="77777777" w:rsidR="00886871" w:rsidRDefault="00886871" w:rsidP="00146E50">
            <w:pPr>
              <w:pStyle w:val="TableParagraph"/>
              <w:keepNext/>
              <w:keepLines/>
              <w:widowControl/>
              <w:spacing w:line="240" w:lineRule="auto"/>
              <w:ind w:left="42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w:t>
            </w:r>
            <w:r>
              <w:rPr>
                <w:rFonts w:asciiTheme="majorBidi" w:hAnsiTheme="majorBidi" w:cstheme="majorBidi"/>
                <w:kern w:val="2"/>
                <w:lang w:val="da-DK"/>
                <w14:ligatures w14:val="standardContextual"/>
              </w:rPr>
              <w:noBreakHyphen/>
              <w:t>værdi-superioritet</w:t>
            </w:r>
          </w:p>
        </w:tc>
        <w:tc>
          <w:tcPr>
            <w:tcW w:w="2268" w:type="dxa"/>
            <w:tcBorders>
              <w:top w:val="single" w:sz="4" w:space="0" w:color="000000"/>
              <w:left w:val="single" w:sz="4" w:space="0" w:color="000000"/>
              <w:bottom w:val="single" w:sz="4" w:space="0" w:color="000000"/>
              <w:right w:val="single" w:sz="4" w:space="0" w:color="000000"/>
            </w:tcBorders>
            <w:hideMark/>
          </w:tcPr>
          <w:p w14:paraId="7F9701A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p = </w:t>
            </w:r>
            <w:r>
              <w:rPr>
                <w:rFonts w:asciiTheme="majorBidi" w:hAnsiTheme="majorBidi" w:cstheme="majorBidi"/>
                <w:spacing w:val="-2"/>
                <w:kern w:val="2"/>
                <w:lang w:val="da-DK"/>
                <w14:ligatures w14:val="standardContextual"/>
              </w:rPr>
              <w:t>0,2721</w:t>
            </w:r>
          </w:p>
        </w:tc>
        <w:tc>
          <w:tcPr>
            <w:tcW w:w="2268" w:type="dxa"/>
            <w:tcBorders>
              <w:top w:val="single" w:sz="4" w:space="0" w:color="000000"/>
              <w:left w:val="single" w:sz="4" w:space="0" w:color="000000"/>
              <w:bottom w:val="single" w:sz="4" w:space="0" w:color="000000"/>
              <w:right w:val="single" w:sz="4" w:space="0" w:color="000000"/>
            </w:tcBorders>
            <w:hideMark/>
          </w:tcPr>
          <w:p w14:paraId="5F2765F7"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p = </w:t>
            </w: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57FB024" w14:textId="77777777" w:rsidR="00886871" w:rsidRDefault="00886871" w:rsidP="00146E50">
            <w:pPr>
              <w:pStyle w:val="TableParagraph"/>
              <w:keepNext/>
              <w:keepLines/>
              <w:widowControl/>
              <w:spacing w:line="240" w:lineRule="auto"/>
              <w:ind w:left="74" w:right="57"/>
              <w:jc w:val="center"/>
              <w:rPr>
                <w:rFonts w:asciiTheme="majorBidi" w:hAnsiTheme="majorBidi" w:cstheme="majorBidi"/>
                <w:kern w:val="2"/>
                <w:lang w:val="da-DK"/>
                <w14:ligatures w14:val="standardContextual"/>
              </w:rPr>
            </w:pPr>
          </w:p>
        </w:tc>
      </w:tr>
    </w:tbl>
    <w:p w14:paraId="07649687" w14:textId="77777777" w:rsidR="00886871" w:rsidRDefault="00886871" w:rsidP="00146E50">
      <w:pPr>
        <w:pStyle w:val="Brdtekst"/>
        <w:widowControl/>
        <w:ind w:left="258"/>
        <w:rPr>
          <w:rFonts w:asciiTheme="majorBidi" w:hAnsiTheme="majorBidi" w:cstheme="majorBidi"/>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38EF6F4B" w14:textId="77777777" w:rsidR="00886871" w:rsidRDefault="00886871" w:rsidP="00146E50">
      <w:pPr>
        <w:pStyle w:val="Brdtekst"/>
        <w:widowControl/>
        <w:rPr>
          <w:rFonts w:asciiTheme="majorBidi" w:hAnsiTheme="majorBidi" w:cstheme="majorBidi"/>
          <w:lang w:val="da-DK"/>
        </w:rPr>
      </w:pPr>
    </w:p>
    <w:p w14:paraId="548D5734" w14:textId="78D3AE3B"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sidR="00FC779C">
        <w:rPr>
          <w:rFonts w:asciiTheme="majorBidi" w:hAnsiTheme="majorBidi" w:cstheme="majorBidi"/>
          <w:lang w:val="da-DK"/>
        </w:rPr>
        <w:t>18</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første</w:t>
      </w:r>
      <w:r>
        <w:rPr>
          <w:rFonts w:asciiTheme="majorBidi" w:hAnsiTheme="majorBidi" w:cstheme="majorBidi"/>
          <w:spacing w:val="-3"/>
          <w:lang w:val="da-DK"/>
        </w:rPr>
        <w:t xml:space="preserve"> </w:t>
      </w:r>
      <w:r>
        <w:rPr>
          <w:rFonts w:asciiTheme="majorBidi" w:hAnsiTheme="majorBidi" w:cstheme="majorBidi"/>
          <w:lang w:val="da-DK"/>
        </w:rPr>
        <w:t>forekomst</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iskæmisk</w:t>
      </w:r>
      <w:r>
        <w:rPr>
          <w:rFonts w:asciiTheme="majorBidi" w:hAnsiTheme="majorBidi" w:cstheme="majorBidi"/>
          <w:spacing w:val="-3"/>
          <w:lang w:val="da-DK"/>
        </w:rPr>
        <w:t xml:space="preserve"> </w:t>
      </w:r>
      <w:r>
        <w:rPr>
          <w:rFonts w:asciiTheme="majorBidi" w:hAnsiTheme="majorBidi" w:cstheme="majorBidi"/>
          <w:lang w:val="da-DK"/>
        </w:rPr>
        <w:t>eller</w:t>
      </w:r>
      <w:r>
        <w:rPr>
          <w:rFonts w:asciiTheme="majorBidi" w:hAnsiTheme="majorBidi" w:cstheme="majorBidi"/>
          <w:spacing w:val="-3"/>
          <w:lang w:val="da-DK"/>
        </w:rPr>
        <w:t xml:space="preserve"> </w:t>
      </w:r>
      <w:r>
        <w:rPr>
          <w:rFonts w:asciiTheme="majorBidi" w:hAnsiTheme="majorBidi" w:cstheme="majorBidi"/>
          <w:lang w:val="da-DK"/>
        </w:rPr>
        <w:t>hæmoragisk</w:t>
      </w:r>
      <w:r>
        <w:rPr>
          <w:rFonts w:asciiTheme="majorBidi" w:hAnsiTheme="majorBidi" w:cstheme="majorBidi"/>
          <w:spacing w:val="-3"/>
          <w:lang w:val="da-DK"/>
        </w:rPr>
        <w:t xml:space="preserve"> </w:t>
      </w:r>
      <w:r>
        <w:rPr>
          <w:rFonts w:asciiTheme="majorBidi" w:hAnsiTheme="majorBidi" w:cstheme="majorBidi"/>
          <w:lang w:val="da-DK"/>
        </w:rPr>
        <w:t>apopleksi</w:t>
      </w:r>
      <w:r>
        <w:rPr>
          <w:rFonts w:asciiTheme="majorBidi" w:hAnsiTheme="majorBidi" w:cstheme="majorBidi"/>
          <w:spacing w:val="-2"/>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løbet</w:t>
      </w:r>
      <w:r>
        <w:rPr>
          <w:rFonts w:asciiTheme="majorBidi" w:hAnsiTheme="majorBidi" w:cstheme="majorBidi"/>
          <w:spacing w:val="-3"/>
          <w:lang w:val="da-DK"/>
        </w:rPr>
        <w:t xml:space="preserve"> </w:t>
      </w:r>
      <w:r>
        <w:rPr>
          <w:rFonts w:asciiTheme="majorBidi" w:hAnsiTheme="majorBidi" w:cstheme="majorBidi"/>
          <w:lang w:val="da-DK"/>
        </w:rPr>
        <w:t>af studieperioden i RE-LY.</w:t>
      </w:r>
    </w:p>
    <w:p w14:paraId="4D574041"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7CB0D73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tcPr>
          <w:p w14:paraId="2748D9B4"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30D48AE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64E2C3A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6A7976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0D51D7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1AD8729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76BFFB1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3CE99E" w14:textId="77777777" w:rsidR="00886871" w:rsidRDefault="00886871" w:rsidP="00146E50">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66DB127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7D601E5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6B78076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64E8AEE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E117083"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3E16178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70904F0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6B34D55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185F38A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D8A1D4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4692B6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(1,44)</w:t>
            </w:r>
          </w:p>
        </w:tc>
        <w:tc>
          <w:tcPr>
            <w:tcW w:w="2268" w:type="dxa"/>
            <w:tcBorders>
              <w:top w:val="single" w:sz="4" w:space="0" w:color="000000"/>
              <w:left w:val="single" w:sz="4" w:space="0" w:color="000000"/>
              <w:bottom w:val="single" w:sz="4" w:space="0" w:color="000000"/>
              <w:right w:val="single" w:sz="4" w:space="0" w:color="000000"/>
            </w:tcBorders>
            <w:hideMark/>
          </w:tcPr>
          <w:p w14:paraId="056FB70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(1,02)</w:t>
            </w:r>
          </w:p>
        </w:tc>
        <w:tc>
          <w:tcPr>
            <w:tcW w:w="1984" w:type="dxa"/>
            <w:tcBorders>
              <w:top w:val="single" w:sz="4" w:space="0" w:color="000000"/>
              <w:left w:val="single" w:sz="4" w:space="0" w:color="000000"/>
              <w:bottom w:val="single" w:sz="4" w:space="0" w:color="000000"/>
              <w:right w:val="single" w:sz="4" w:space="0" w:color="000000"/>
            </w:tcBorders>
            <w:hideMark/>
          </w:tcPr>
          <w:p w14:paraId="29CC297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(1,59)</w:t>
            </w:r>
          </w:p>
        </w:tc>
      </w:tr>
      <w:tr w:rsidR="00886871" w14:paraId="6BED6190"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180D65FE"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550E7666"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26E0F89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1,12)</w:t>
            </w:r>
          </w:p>
        </w:tc>
        <w:tc>
          <w:tcPr>
            <w:tcW w:w="2268" w:type="dxa"/>
            <w:tcBorders>
              <w:top w:val="single" w:sz="4" w:space="0" w:color="000000"/>
              <w:left w:val="single" w:sz="4" w:space="0" w:color="000000"/>
              <w:bottom w:val="single" w:sz="4" w:space="0" w:color="000000"/>
              <w:right w:val="single" w:sz="4" w:space="0" w:color="000000"/>
            </w:tcBorders>
            <w:hideMark/>
          </w:tcPr>
          <w:p w14:paraId="1FAD113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0,81)</w:t>
            </w:r>
          </w:p>
        </w:tc>
        <w:tc>
          <w:tcPr>
            <w:tcW w:w="1984" w:type="dxa"/>
            <w:tcBorders>
              <w:top w:val="single" w:sz="4" w:space="0" w:color="000000"/>
              <w:left w:val="single" w:sz="4" w:space="0" w:color="000000"/>
              <w:bottom w:val="single" w:sz="4" w:space="0" w:color="000000"/>
              <w:right w:val="single" w:sz="4" w:space="0" w:color="000000"/>
            </w:tcBorders>
          </w:tcPr>
          <w:p w14:paraId="4D7A67C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4A8A8A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CC4CAB3"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74A0F26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0,3553</w:t>
            </w:r>
          </w:p>
        </w:tc>
        <w:tc>
          <w:tcPr>
            <w:tcW w:w="2268" w:type="dxa"/>
            <w:tcBorders>
              <w:top w:val="single" w:sz="4" w:space="0" w:color="000000"/>
              <w:left w:val="single" w:sz="4" w:space="0" w:color="000000"/>
              <w:bottom w:val="single" w:sz="4" w:space="0" w:color="000000"/>
              <w:right w:val="single" w:sz="4" w:space="0" w:color="000000"/>
            </w:tcBorders>
            <w:hideMark/>
          </w:tcPr>
          <w:p w14:paraId="5D7FDD7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D5FF0E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0552D32E"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4559E781"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Systemisk</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emboli</w:t>
            </w:r>
          </w:p>
        </w:tc>
        <w:tc>
          <w:tcPr>
            <w:tcW w:w="2268" w:type="dxa"/>
            <w:tcBorders>
              <w:top w:val="single" w:sz="4" w:space="0" w:color="000000"/>
              <w:left w:val="single" w:sz="4" w:space="0" w:color="000000"/>
              <w:bottom w:val="single" w:sz="4" w:space="0" w:color="000000"/>
              <w:right w:val="single" w:sz="4" w:space="0" w:color="000000"/>
            </w:tcBorders>
          </w:tcPr>
          <w:p w14:paraId="251310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676C4FF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4144BEA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63AF659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57C3C43"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1A20CB2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w:t>
            </w:r>
            <w:r>
              <w:rPr>
                <w:rFonts w:asciiTheme="majorBidi" w:hAnsiTheme="majorBidi" w:cstheme="majorBidi"/>
                <w:spacing w:val="-2"/>
                <w:kern w:val="2"/>
                <w:lang w:val="da-DK"/>
                <w14:ligatures w14:val="standardContextual"/>
              </w:rPr>
              <w:t xml:space="preserve"> (0,13)</w:t>
            </w:r>
          </w:p>
        </w:tc>
        <w:tc>
          <w:tcPr>
            <w:tcW w:w="2268" w:type="dxa"/>
            <w:tcBorders>
              <w:top w:val="single" w:sz="4" w:space="0" w:color="000000"/>
              <w:left w:val="single" w:sz="4" w:space="0" w:color="000000"/>
              <w:bottom w:val="single" w:sz="4" w:space="0" w:color="000000"/>
              <w:right w:val="single" w:sz="4" w:space="0" w:color="000000"/>
            </w:tcBorders>
            <w:hideMark/>
          </w:tcPr>
          <w:p w14:paraId="771E77D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2"/>
                <w:kern w:val="2"/>
                <w:lang w:val="da-DK"/>
                <w14:ligatures w14:val="standardContextual"/>
              </w:rPr>
              <w:t xml:space="preserve"> (0,11)</w:t>
            </w:r>
          </w:p>
        </w:tc>
        <w:tc>
          <w:tcPr>
            <w:tcW w:w="1984" w:type="dxa"/>
            <w:tcBorders>
              <w:top w:val="single" w:sz="4" w:space="0" w:color="000000"/>
              <w:left w:val="single" w:sz="4" w:space="0" w:color="000000"/>
              <w:bottom w:val="single" w:sz="4" w:space="0" w:color="000000"/>
              <w:right w:val="single" w:sz="4" w:space="0" w:color="000000"/>
            </w:tcBorders>
            <w:hideMark/>
          </w:tcPr>
          <w:p w14:paraId="66E7BF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w:t>
            </w:r>
            <w:r>
              <w:rPr>
                <w:rFonts w:asciiTheme="majorBidi" w:hAnsiTheme="majorBidi" w:cstheme="majorBidi"/>
                <w:spacing w:val="-2"/>
                <w:kern w:val="2"/>
                <w:lang w:val="da-DK"/>
                <w14:ligatures w14:val="standardContextual"/>
              </w:rPr>
              <w:t xml:space="preserve"> (0,18)</w:t>
            </w:r>
          </w:p>
        </w:tc>
      </w:tr>
      <w:tr w:rsidR="00886871" w14:paraId="3355F67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AD862F6"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3A5957C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 (95 % CI)</w:t>
            </w:r>
          </w:p>
        </w:tc>
        <w:tc>
          <w:tcPr>
            <w:tcW w:w="2268" w:type="dxa"/>
            <w:tcBorders>
              <w:top w:val="single" w:sz="4" w:space="0" w:color="000000"/>
              <w:left w:val="single" w:sz="4" w:space="0" w:color="000000"/>
              <w:bottom w:val="single" w:sz="4" w:space="0" w:color="000000"/>
              <w:right w:val="single" w:sz="4" w:space="0" w:color="000000"/>
            </w:tcBorders>
            <w:hideMark/>
          </w:tcPr>
          <w:p w14:paraId="108A248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2268" w:type="dxa"/>
            <w:tcBorders>
              <w:top w:val="single" w:sz="4" w:space="0" w:color="000000"/>
              <w:left w:val="single" w:sz="4" w:space="0" w:color="000000"/>
              <w:bottom w:val="single" w:sz="4" w:space="0" w:color="000000"/>
              <w:right w:val="single" w:sz="4" w:space="0" w:color="000000"/>
            </w:tcBorders>
            <w:hideMark/>
          </w:tcPr>
          <w:p w14:paraId="1EA8D6D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1,21)</w:t>
            </w:r>
          </w:p>
        </w:tc>
        <w:tc>
          <w:tcPr>
            <w:tcW w:w="1984" w:type="dxa"/>
            <w:tcBorders>
              <w:top w:val="single" w:sz="4" w:space="0" w:color="000000"/>
              <w:left w:val="single" w:sz="4" w:space="0" w:color="000000"/>
              <w:bottom w:val="single" w:sz="4" w:space="0" w:color="000000"/>
              <w:right w:val="single" w:sz="4" w:space="0" w:color="000000"/>
            </w:tcBorders>
          </w:tcPr>
          <w:p w14:paraId="4E47CB7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987BD64"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3DC0ED8"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2C3214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0,3099</w:t>
            </w:r>
          </w:p>
        </w:tc>
        <w:tc>
          <w:tcPr>
            <w:tcW w:w="2268" w:type="dxa"/>
            <w:tcBorders>
              <w:top w:val="single" w:sz="4" w:space="0" w:color="000000"/>
              <w:left w:val="single" w:sz="4" w:space="0" w:color="000000"/>
              <w:bottom w:val="single" w:sz="4" w:space="0" w:color="000000"/>
              <w:right w:val="single" w:sz="4" w:space="0" w:color="000000"/>
            </w:tcBorders>
            <w:hideMark/>
          </w:tcPr>
          <w:p w14:paraId="1836A2F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0,1582</w:t>
            </w:r>
          </w:p>
        </w:tc>
        <w:tc>
          <w:tcPr>
            <w:tcW w:w="1984" w:type="dxa"/>
            <w:tcBorders>
              <w:top w:val="single" w:sz="4" w:space="0" w:color="000000"/>
              <w:left w:val="single" w:sz="4" w:space="0" w:color="000000"/>
              <w:bottom w:val="single" w:sz="4" w:space="0" w:color="000000"/>
              <w:right w:val="single" w:sz="4" w:space="0" w:color="000000"/>
            </w:tcBorders>
          </w:tcPr>
          <w:p w14:paraId="03178CF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606F3B7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79811F"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Iskæmisk</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7B5B39E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75CA5E1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6F88714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22F6E78D"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6490964"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5AFA0DE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(1,28)</w:t>
            </w:r>
          </w:p>
        </w:tc>
        <w:tc>
          <w:tcPr>
            <w:tcW w:w="2268" w:type="dxa"/>
            <w:tcBorders>
              <w:top w:val="single" w:sz="4" w:space="0" w:color="000000"/>
              <w:left w:val="single" w:sz="4" w:space="0" w:color="000000"/>
              <w:bottom w:val="single" w:sz="4" w:space="0" w:color="000000"/>
              <w:right w:val="single" w:sz="4" w:space="0" w:color="000000"/>
            </w:tcBorders>
            <w:hideMark/>
          </w:tcPr>
          <w:p w14:paraId="45F4492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(0,86)</w:t>
            </w:r>
          </w:p>
        </w:tc>
        <w:tc>
          <w:tcPr>
            <w:tcW w:w="1984" w:type="dxa"/>
            <w:tcBorders>
              <w:top w:val="single" w:sz="4" w:space="0" w:color="000000"/>
              <w:left w:val="single" w:sz="4" w:space="0" w:color="000000"/>
              <w:bottom w:val="single" w:sz="4" w:space="0" w:color="000000"/>
              <w:right w:val="single" w:sz="4" w:space="0" w:color="000000"/>
            </w:tcBorders>
            <w:hideMark/>
          </w:tcPr>
          <w:p w14:paraId="47A869F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(1,14)</w:t>
            </w:r>
          </w:p>
        </w:tc>
      </w:tr>
      <w:tr w:rsidR="00886871" w14:paraId="70CC10B9"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51DE17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16606D60"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0C50C42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1,42)</w:t>
            </w:r>
          </w:p>
        </w:tc>
        <w:tc>
          <w:tcPr>
            <w:tcW w:w="2268" w:type="dxa"/>
            <w:tcBorders>
              <w:top w:val="single" w:sz="4" w:space="0" w:color="000000"/>
              <w:left w:val="single" w:sz="4" w:space="0" w:color="000000"/>
              <w:bottom w:val="single" w:sz="4" w:space="0" w:color="000000"/>
              <w:right w:val="single" w:sz="4" w:space="0" w:color="000000"/>
            </w:tcBorders>
            <w:hideMark/>
          </w:tcPr>
          <w:p w14:paraId="1182FD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0,98)</w:t>
            </w:r>
          </w:p>
        </w:tc>
        <w:tc>
          <w:tcPr>
            <w:tcW w:w="1984" w:type="dxa"/>
            <w:tcBorders>
              <w:top w:val="single" w:sz="4" w:space="0" w:color="000000"/>
              <w:left w:val="single" w:sz="4" w:space="0" w:color="000000"/>
              <w:bottom w:val="single" w:sz="4" w:space="0" w:color="000000"/>
              <w:right w:val="single" w:sz="4" w:space="0" w:color="000000"/>
            </w:tcBorders>
          </w:tcPr>
          <w:p w14:paraId="6940AA2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1534D807"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FAA8DC1"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2D0D0B6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0,3138</w:t>
            </w:r>
          </w:p>
        </w:tc>
        <w:tc>
          <w:tcPr>
            <w:tcW w:w="2268" w:type="dxa"/>
            <w:tcBorders>
              <w:top w:val="single" w:sz="4" w:space="0" w:color="000000"/>
              <w:left w:val="single" w:sz="4" w:space="0" w:color="000000"/>
              <w:bottom w:val="single" w:sz="4" w:space="0" w:color="000000"/>
              <w:right w:val="single" w:sz="4" w:space="0" w:color="000000"/>
            </w:tcBorders>
            <w:hideMark/>
          </w:tcPr>
          <w:p w14:paraId="687AD2D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0,0351</w:t>
            </w:r>
          </w:p>
        </w:tc>
        <w:tc>
          <w:tcPr>
            <w:tcW w:w="1984" w:type="dxa"/>
            <w:tcBorders>
              <w:top w:val="single" w:sz="4" w:space="0" w:color="000000"/>
              <w:left w:val="single" w:sz="4" w:space="0" w:color="000000"/>
              <w:bottom w:val="single" w:sz="4" w:space="0" w:color="000000"/>
              <w:right w:val="single" w:sz="4" w:space="0" w:color="000000"/>
            </w:tcBorders>
          </w:tcPr>
          <w:p w14:paraId="4AF788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565FE51"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7504728"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Hæmoragisk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apopleksi</w:t>
            </w:r>
          </w:p>
        </w:tc>
        <w:tc>
          <w:tcPr>
            <w:tcW w:w="2268" w:type="dxa"/>
            <w:tcBorders>
              <w:top w:val="single" w:sz="4" w:space="0" w:color="000000"/>
              <w:left w:val="single" w:sz="4" w:space="0" w:color="000000"/>
              <w:bottom w:val="single" w:sz="4" w:space="0" w:color="000000"/>
              <w:right w:val="single" w:sz="4" w:space="0" w:color="000000"/>
            </w:tcBorders>
          </w:tcPr>
          <w:p w14:paraId="4DC68F5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5576C7B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48D884A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55F2FF26"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4DA48B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5252FE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14 </w:t>
            </w:r>
            <w:r>
              <w:rPr>
                <w:rFonts w:asciiTheme="majorBidi" w:hAnsiTheme="majorBidi" w:cstheme="majorBidi"/>
                <w:spacing w:val="-2"/>
                <w:kern w:val="2"/>
                <w:lang w:val="da-DK"/>
                <w14:ligatures w14:val="standardContextual"/>
              </w:rPr>
              <w:t>(0,12)</w:t>
            </w:r>
          </w:p>
        </w:tc>
        <w:tc>
          <w:tcPr>
            <w:tcW w:w="2268" w:type="dxa"/>
            <w:tcBorders>
              <w:top w:val="single" w:sz="4" w:space="0" w:color="000000"/>
              <w:left w:val="single" w:sz="4" w:space="0" w:color="000000"/>
              <w:bottom w:val="single" w:sz="4" w:space="0" w:color="000000"/>
              <w:right w:val="single" w:sz="4" w:space="0" w:color="000000"/>
            </w:tcBorders>
            <w:hideMark/>
          </w:tcPr>
          <w:p w14:paraId="5EACC34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w:t>
            </w:r>
            <w:r>
              <w:rPr>
                <w:rFonts w:asciiTheme="majorBidi" w:hAnsiTheme="majorBidi" w:cstheme="majorBidi"/>
                <w:spacing w:val="-2"/>
                <w:kern w:val="2"/>
                <w:lang w:val="da-DK"/>
                <w14:ligatures w14:val="standardContextual"/>
              </w:rPr>
              <w:t xml:space="preserve"> (0,10)</w:t>
            </w:r>
          </w:p>
        </w:tc>
        <w:tc>
          <w:tcPr>
            <w:tcW w:w="1984" w:type="dxa"/>
            <w:tcBorders>
              <w:top w:val="single" w:sz="4" w:space="0" w:color="000000"/>
              <w:left w:val="single" w:sz="4" w:space="0" w:color="000000"/>
              <w:bottom w:val="single" w:sz="4" w:space="0" w:color="000000"/>
              <w:right w:val="single" w:sz="4" w:space="0" w:color="000000"/>
            </w:tcBorders>
            <w:hideMark/>
          </w:tcPr>
          <w:p w14:paraId="24CC8AB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w:t>
            </w:r>
            <w:r>
              <w:rPr>
                <w:rFonts w:asciiTheme="majorBidi" w:hAnsiTheme="majorBidi" w:cstheme="majorBidi"/>
                <w:spacing w:val="-2"/>
                <w:kern w:val="2"/>
                <w:lang w:val="da-DK"/>
                <w14:ligatures w14:val="standardContextual"/>
              </w:rPr>
              <w:t xml:space="preserve"> (0,38)</w:t>
            </w:r>
          </w:p>
        </w:tc>
      </w:tr>
      <w:tr w:rsidR="00886871" w14:paraId="6206CF2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6333F20"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5709A529"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2811FD5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0,56)</w:t>
            </w:r>
          </w:p>
        </w:tc>
        <w:tc>
          <w:tcPr>
            <w:tcW w:w="2268" w:type="dxa"/>
            <w:tcBorders>
              <w:top w:val="single" w:sz="4" w:space="0" w:color="000000"/>
              <w:left w:val="single" w:sz="4" w:space="0" w:color="000000"/>
              <w:bottom w:val="single" w:sz="4" w:space="0" w:color="000000"/>
              <w:right w:val="single" w:sz="4" w:space="0" w:color="000000"/>
            </w:tcBorders>
            <w:hideMark/>
          </w:tcPr>
          <w:p w14:paraId="5531F96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0,26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0,49)</w:t>
            </w:r>
          </w:p>
        </w:tc>
        <w:tc>
          <w:tcPr>
            <w:tcW w:w="1984" w:type="dxa"/>
            <w:tcBorders>
              <w:top w:val="single" w:sz="4" w:space="0" w:color="000000"/>
              <w:left w:val="single" w:sz="4" w:space="0" w:color="000000"/>
              <w:bottom w:val="single" w:sz="4" w:space="0" w:color="000000"/>
              <w:right w:val="single" w:sz="4" w:space="0" w:color="000000"/>
            </w:tcBorders>
          </w:tcPr>
          <w:p w14:paraId="793ADB9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3F42379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A46C87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488646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0,0001</w:t>
            </w:r>
          </w:p>
        </w:tc>
        <w:tc>
          <w:tcPr>
            <w:tcW w:w="2268" w:type="dxa"/>
            <w:tcBorders>
              <w:top w:val="single" w:sz="4" w:space="0" w:color="000000"/>
              <w:left w:val="single" w:sz="4" w:space="0" w:color="000000"/>
              <w:bottom w:val="single" w:sz="4" w:space="0" w:color="000000"/>
              <w:right w:val="single" w:sz="4" w:space="0" w:color="000000"/>
            </w:tcBorders>
            <w:hideMark/>
          </w:tcPr>
          <w:p w14:paraId="6255A17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&lt; </w:t>
            </w:r>
            <w:r>
              <w:rPr>
                <w:rFonts w:asciiTheme="majorBidi" w:hAnsiTheme="majorBidi" w:cstheme="majorBidi"/>
                <w:spacing w:val="-2"/>
                <w:kern w:val="2"/>
                <w:lang w:val="da-DK"/>
                <w14:ligatures w14:val="standardContextual"/>
              </w:rPr>
              <w:t>0,0001</w:t>
            </w:r>
          </w:p>
        </w:tc>
        <w:tc>
          <w:tcPr>
            <w:tcW w:w="1984" w:type="dxa"/>
            <w:tcBorders>
              <w:top w:val="single" w:sz="4" w:space="0" w:color="000000"/>
              <w:left w:val="single" w:sz="4" w:space="0" w:color="000000"/>
              <w:bottom w:val="single" w:sz="4" w:space="0" w:color="000000"/>
              <w:right w:val="single" w:sz="4" w:space="0" w:color="000000"/>
            </w:tcBorders>
          </w:tcPr>
          <w:p w14:paraId="0A216C3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bl>
    <w:p w14:paraId="6A5BE7CF" w14:textId="77777777" w:rsidR="00886871" w:rsidRDefault="00886871" w:rsidP="00146E50">
      <w:pPr>
        <w:pStyle w:val="Brdtekst"/>
        <w:widowControl/>
        <w:ind w:left="258"/>
        <w:rPr>
          <w:rFonts w:asciiTheme="majorBidi" w:hAnsiTheme="majorBidi" w:cstheme="majorBidi"/>
          <w:spacing w:val="-2"/>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62D8DA5F" w14:textId="77777777" w:rsidR="00886871" w:rsidRDefault="00886871" w:rsidP="00146E50">
      <w:pPr>
        <w:pStyle w:val="Brdtekst"/>
        <w:widowControl/>
        <w:ind w:left="258"/>
        <w:rPr>
          <w:rFonts w:asciiTheme="majorBidi" w:hAnsiTheme="majorBidi" w:cstheme="majorBidi"/>
          <w:spacing w:val="-2"/>
          <w:lang w:val="da-DK"/>
        </w:rPr>
      </w:pPr>
    </w:p>
    <w:p w14:paraId="343E571D" w14:textId="33A114D6" w:rsidR="00886871" w:rsidRDefault="00886871" w:rsidP="00146E50">
      <w:pPr>
        <w:pStyle w:val="Overskrift2"/>
        <w:keepNext/>
        <w:keepLines/>
        <w:widowControl/>
        <w:ind w:left="1247" w:hanging="992"/>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sidR="00FC779C">
        <w:rPr>
          <w:rFonts w:asciiTheme="majorBidi" w:hAnsiTheme="majorBidi" w:cstheme="majorBidi"/>
          <w:lang w:val="da-DK"/>
        </w:rPr>
        <w:t>19</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overlevelse</w:t>
      </w:r>
      <w:r>
        <w:rPr>
          <w:rFonts w:asciiTheme="majorBidi" w:hAnsiTheme="majorBidi" w:cstheme="majorBidi"/>
          <w:spacing w:val="-3"/>
          <w:lang w:val="da-DK"/>
        </w:rPr>
        <w:t xml:space="preserve"> </w:t>
      </w:r>
      <w:r>
        <w:rPr>
          <w:rFonts w:asciiTheme="majorBidi" w:hAnsiTheme="majorBidi" w:cstheme="majorBidi"/>
          <w:lang w:val="da-DK"/>
        </w:rPr>
        <w:t>uanset</w:t>
      </w:r>
      <w:r>
        <w:rPr>
          <w:rFonts w:asciiTheme="majorBidi" w:hAnsiTheme="majorBidi" w:cstheme="majorBidi"/>
          <w:spacing w:val="-3"/>
          <w:lang w:val="da-DK"/>
        </w:rPr>
        <w:t xml:space="preserve"> </w:t>
      </w:r>
      <w:r>
        <w:rPr>
          <w:rFonts w:asciiTheme="majorBidi" w:hAnsiTheme="majorBidi" w:cstheme="majorBidi"/>
          <w:lang w:val="da-DK"/>
        </w:rPr>
        <w:t>årsag</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kardiovaskulær</w:t>
      </w:r>
      <w:r>
        <w:rPr>
          <w:rFonts w:asciiTheme="majorBidi" w:hAnsiTheme="majorBidi" w:cstheme="majorBidi"/>
          <w:spacing w:val="-6"/>
          <w:lang w:val="da-DK"/>
        </w:rPr>
        <w:t xml:space="preserve"> </w:t>
      </w:r>
      <w:r>
        <w:rPr>
          <w:rFonts w:asciiTheme="majorBidi" w:hAnsiTheme="majorBidi" w:cstheme="majorBidi"/>
          <w:lang w:val="da-DK"/>
        </w:rPr>
        <w:t>overlevelse</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studieperioden</w:t>
      </w:r>
      <w:r>
        <w:rPr>
          <w:rFonts w:asciiTheme="majorBidi" w:hAnsiTheme="majorBidi" w:cstheme="majorBidi"/>
          <w:spacing w:val="-3"/>
          <w:lang w:val="da-DK"/>
        </w:rPr>
        <w:t xml:space="preserve"> </w:t>
      </w:r>
      <w:r>
        <w:rPr>
          <w:rFonts w:asciiTheme="majorBidi" w:hAnsiTheme="majorBidi" w:cstheme="majorBidi"/>
          <w:lang w:val="da-DK"/>
        </w:rPr>
        <w:t xml:space="preserve">i </w:t>
      </w:r>
      <w:r>
        <w:rPr>
          <w:rFonts w:asciiTheme="majorBidi" w:hAnsiTheme="majorBidi" w:cstheme="majorBidi"/>
          <w:spacing w:val="-2"/>
          <w:lang w:val="da-DK"/>
        </w:rPr>
        <w:t>RE-LY.</w:t>
      </w:r>
    </w:p>
    <w:p w14:paraId="56A0BCE4"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269"/>
        <w:gridCol w:w="2269"/>
        <w:gridCol w:w="1985"/>
      </w:tblGrid>
      <w:tr w:rsidR="00886871" w14:paraId="29A9E292" w14:textId="77777777" w:rsidTr="00886871">
        <w:trPr>
          <w:cantSplit/>
          <w:trHeight w:val="20"/>
          <w:tblHeader/>
        </w:trPr>
        <w:tc>
          <w:tcPr>
            <w:tcW w:w="2552" w:type="dxa"/>
            <w:tcBorders>
              <w:top w:val="single" w:sz="4" w:space="0" w:color="000000"/>
              <w:left w:val="single" w:sz="4" w:space="0" w:color="000000"/>
              <w:bottom w:val="single" w:sz="4" w:space="0" w:color="000000"/>
              <w:right w:val="single" w:sz="4" w:space="0" w:color="000000"/>
            </w:tcBorders>
          </w:tcPr>
          <w:p w14:paraId="6F7B49FF"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67D2AD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184F51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268" w:type="dxa"/>
            <w:tcBorders>
              <w:top w:val="single" w:sz="4" w:space="0" w:color="000000"/>
              <w:left w:val="single" w:sz="4" w:space="0" w:color="000000"/>
              <w:bottom w:val="single" w:sz="4" w:space="0" w:color="000000"/>
              <w:right w:val="single" w:sz="4" w:space="0" w:color="000000"/>
            </w:tcBorders>
            <w:hideMark/>
          </w:tcPr>
          <w:p w14:paraId="360764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4B1815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1984" w:type="dxa"/>
            <w:tcBorders>
              <w:top w:val="single" w:sz="4" w:space="0" w:color="000000"/>
              <w:left w:val="single" w:sz="4" w:space="0" w:color="000000"/>
              <w:bottom w:val="single" w:sz="4" w:space="0" w:color="000000"/>
              <w:right w:val="single" w:sz="4" w:space="0" w:color="000000"/>
            </w:tcBorders>
            <w:hideMark/>
          </w:tcPr>
          <w:p w14:paraId="38BC44D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10402E33"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565B52E"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Randomiserede</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59E4A41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6.015</w:t>
            </w:r>
          </w:p>
        </w:tc>
        <w:tc>
          <w:tcPr>
            <w:tcW w:w="2268" w:type="dxa"/>
            <w:tcBorders>
              <w:top w:val="single" w:sz="4" w:space="0" w:color="000000"/>
              <w:left w:val="single" w:sz="4" w:space="0" w:color="000000"/>
              <w:bottom w:val="single" w:sz="4" w:space="0" w:color="000000"/>
              <w:right w:val="single" w:sz="4" w:space="0" w:color="000000"/>
            </w:tcBorders>
            <w:hideMark/>
          </w:tcPr>
          <w:p w14:paraId="3378D6D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6.076</w:t>
            </w:r>
          </w:p>
        </w:tc>
        <w:tc>
          <w:tcPr>
            <w:tcW w:w="1984" w:type="dxa"/>
            <w:tcBorders>
              <w:top w:val="single" w:sz="4" w:space="0" w:color="000000"/>
              <w:left w:val="single" w:sz="4" w:space="0" w:color="000000"/>
              <w:bottom w:val="single" w:sz="4" w:space="0" w:color="000000"/>
              <w:right w:val="single" w:sz="4" w:space="0" w:color="000000"/>
            </w:tcBorders>
            <w:hideMark/>
          </w:tcPr>
          <w:p w14:paraId="3DD7861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6.022</w:t>
            </w:r>
          </w:p>
        </w:tc>
      </w:tr>
      <w:tr w:rsidR="00886871" w14:paraId="698E6E1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09390816"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Mortalitet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tcPr>
          <w:p w14:paraId="6BF7F84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2FB9B4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298189C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486B29EA"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1822D61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0B7C8A8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446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(3,75)</w:t>
            </w:r>
          </w:p>
        </w:tc>
        <w:tc>
          <w:tcPr>
            <w:tcW w:w="2268" w:type="dxa"/>
            <w:tcBorders>
              <w:top w:val="single" w:sz="4" w:space="0" w:color="000000"/>
              <w:left w:val="single" w:sz="4" w:space="0" w:color="000000"/>
              <w:bottom w:val="single" w:sz="4" w:space="0" w:color="000000"/>
              <w:right w:val="single" w:sz="4" w:space="0" w:color="000000"/>
            </w:tcBorders>
            <w:hideMark/>
          </w:tcPr>
          <w:p w14:paraId="43DBF44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438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(3,64)</w:t>
            </w:r>
          </w:p>
        </w:tc>
        <w:tc>
          <w:tcPr>
            <w:tcW w:w="1984" w:type="dxa"/>
            <w:tcBorders>
              <w:top w:val="single" w:sz="4" w:space="0" w:color="000000"/>
              <w:left w:val="single" w:sz="4" w:space="0" w:color="000000"/>
              <w:bottom w:val="single" w:sz="4" w:space="0" w:color="000000"/>
              <w:right w:val="single" w:sz="4" w:space="0" w:color="000000"/>
            </w:tcBorders>
            <w:hideMark/>
          </w:tcPr>
          <w:p w14:paraId="683806D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487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(4,13)</w:t>
            </w:r>
          </w:p>
        </w:tc>
      </w:tr>
      <w:tr w:rsidR="00886871" w14:paraId="19263978"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5233DE9B"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spacing w:val="-2"/>
                <w:kern w:val="2"/>
                <w:lang w:val="da-DK"/>
                <w14:ligatures w14:val="standardContextual"/>
              </w:rPr>
              <w:t>ratio</w:t>
            </w:r>
          </w:p>
          <w:p w14:paraId="2AEFD007"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 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4D0C6FB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1,03)</w:t>
            </w:r>
          </w:p>
        </w:tc>
        <w:tc>
          <w:tcPr>
            <w:tcW w:w="2268" w:type="dxa"/>
            <w:tcBorders>
              <w:top w:val="single" w:sz="4" w:space="0" w:color="000000"/>
              <w:left w:val="single" w:sz="4" w:space="0" w:color="000000"/>
              <w:bottom w:val="single" w:sz="4" w:space="0" w:color="000000"/>
              <w:right w:val="single" w:sz="4" w:space="0" w:color="000000"/>
            </w:tcBorders>
            <w:hideMark/>
          </w:tcPr>
          <w:p w14:paraId="71268AC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w:t>
            </w:r>
          </w:p>
        </w:tc>
        <w:tc>
          <w:tcPr>
            <w:tcW w:w="1984" w:type="dxa"/>
            <w:tcBorders>
              <w:top w:val="single" w:sz="4" w:space="0" w:color="000000"/>
              <w:left w:val="single" w:sz="4" w:space="0" w:color="000000"/>
              <w:bottom w:val="single" w:sz="4" w:space="0" w:color="000000"/>
              <w:right w:val="single" w:sz="4" w:space="0" w:color="000000"/>
            </w:tcBorders>
          </w:tcPr>
          <w:p w14:paraId="6EA7098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7B2ADB6B"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A7782F0" w14:textId="77777777" w:rsidR="00886871" w:rsidRDefault="00886871" w:rsidP="00146E50">
            <w:pPr>
              <w:pStyle w:val="TableParagraph"/>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05E722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0,1308</w:t>
            </w:r>
          </w:p>
        </w:tc>
        <w:tc>
          <w:tcPr>
            <w:tcW w:w="2268" w:type="dxa"/>
            <w:tcBorders>
              <w:top w:val="single" w:sz="4" w:space="0" w:color="000000"/>
              <w:left w:val="single" w:sz="4" w:space="0" w:color="000000"/>
              <w:bottom w:val="single" w:sz="4" w:space="0" w:color="000000"/>
              <w:right w:val="single" w:sz="4" w:space="0" w:color="000000"/>
            </w:tcBorders>
            <w:hideMark/>
          </w:tcPr>
          <w:p w14:paraId="0F33D3F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0,0517</w:t>
            </w:r>
          </w:p>
        </w:tc>
        <w:tc>
          <w:tcPr>
            <w:tcW w:w="1984" w:type="dxa"/>
            <w:tcBorders>
              <w:top w:val="single" w:sz="4" w:space="0" w:color="000000"/>
              <w:left w:val="single" w:sz="4" w:space="0" w:color="000000"/>
              <w:bottom w:val="single" w:sz="4" w:space="0" w:color="000000"/>
              <w:right w:val="single" w:sz="4" w:space="0" w:color="000000"/>
            </w:tcBorders>
          </w:tcPr>
          <w:p w14:paraId="5257537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2676557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36307F20" w14:textId="77777777" w:rsidR="00886871" w:rsidRDefault="00886871" w:rsidP="00146E50">
            <w:pPr>
              <w:pStyle w:val="TableParagraph"/>
              <w:keepNext/>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mortalitet</w:t>
            </w:r>
          </w:p>
        </w:tc>
        <w:tc>
          <w:tcPr>
            <w:tcW w:w="2268" w:type="dxa"/>
            <w:tcBorders>
              <w:top w:val="single" w:sz="4" w:space="0" w:color="000000"/>
              <w:left w:val="single" w:sz="4" w:space="0" w:color="000000"/>
              <w:bottom w:val="single" w:sz="4" w:space="0" w:color="000000"/>
              <w:right w:val="single" w:sz="4" w:space="0" w:color="000000"/>
            </w:tcBorders>
          </w:tcPr>
          <w:p w14:paraId="7D89ADC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tcPr>
          <w:p w14:paraId="25DCFCF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1984" w:type="dxa"/>
            <w:tcBorders>
              <w:top w:val="single" w:sz="4" w:space="0" w:color="000000"/>
              <w:left w:val="single" w:sz="4" w:space="0" w:color="000000"/>
              <w:bottom w:val="single" w:sz="4" w:space="0" w:color="000000"/>
              <w:right w:val="single" w:sz="4" w:space="0" w:color="000000"/>
            </w:tcBorders>
          </w:tcPr>
          <w:p w14:paraId="29E08C6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522F2F8C"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24BA2D45"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156784E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(2,43)</w:t>
            </w:r>
          </w:p>
        </w:tc>
        <w:tc>
          <w:tcPr>
            <w:tcW w:w="2268" w:type="dxa"/>
            <w:tcBorders>
              <w:top w:val="single" w:sz="4" w:space="0" w:color="000000"/>
              <w:left w:val="single" w:sz="4" w:space="0" w:color="000000"/>
              <w:bottom w:val="single" w:sz="4" w:space="0" w:color="000000"/>
              <w:right w:val="single" w:sz="4" w:space="0" w:color="000000"/>
            </w:tcBorders>
            <w:hideMark/>
          </w:tcPr>
          <w:p w14:paraId="3F61C39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(2,28)</w:t>
            </w:r>
          </w:p>
        </w:tc>
        <w:tc>
          <w:tcPr>
            <w:tcW w:w="1984" w:type="dxa"/>
            <w:tcBorders>
              <w:top w:val="single" w:sz="4" w:space="0" w:color="000000"/>
              <w:left w:val="single" w:sz="4" w:space="0" w:color="000000"/>
              <w:bottom w:val="single" w:sz="4" w:space="0" w:color="000000"/>
              <w:right w:val="single" w:sz="4" w:space="0" w:color="000000"/>
            </w:tcBorders>
            <w:hideMark/>
          </w:tcPr>
          <w:p w14:paraId="249A655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317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(2,69)</w:t>
            </w:r>
          </w:p>
        </w:tc>
      </w:tr>
      <w:tr w:rsidR="00886871" w14:paraId="3F4C374F"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773FDF61"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Hazard </w:t>
            </w:r>
            <w:r>
              <w:rPr>
                <w:rFonts w:asciiTheme="majorBidi" w:hAnsiTheme="majorBidi" w:cstheme="majorBidi"/>
                <w:kern w:val="2"/>
                <w:lang w:val="da-DK"/>
                <w14:ligatures w14:val="standardContextual"/>
              </w:rPr>
              <w:t>ratio sammenlignet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med</w:t>
            </w:r>
          </w:p>
          <w:p w14:paraId="68697E0D"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(95</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CI)</w:t>
            </w:r>
          </w:p>
        </w:tc>
        <w:tc>
          <w:tcPr>
            <w:tcW w:w="2268" w:type="dxa"/>
            <w:tcBorders>
              <w:top w:val="single" w:sz="4" w:space="0" w:color="000000"/>
              <w:left w:val="single" w:sz="4" w:space="0" w:color="000000"/>
              <w:bottom w:val="single" w:sz="4" w:space="0" w:color="000000"/>
              <w:right w:val="single" w:sz="4" w:space="0" w:color="000000"/>
            </w:tcBorders>
            <w:hideMark/>
          </w:tcPr>
          <w:p w14:paraId="3215B5A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1,06)</w:t>
            </w:r>
          </w:p>
        </w:tc>
        <w:tc>
          <w:tcPr>
            <w:tcW w:w="2268" w:type="dxa"/>
            <w:tcBorders>
              <w:top w:val="single" w:sz="4" w:space="0" w:color="000000"/>
              <w:left w:val="single" w:sz="4" w:space="0" w:color="000000"/>
              <w:bottom w:val="single" w:sz="4" w:space="0" w:color="000000"/>
              <w:right w:val="single" w:sz="4" w:space="0" w:color="000000"/>
            </w:tcBorders>
            <w:hideMark/>
          </w:tcPr>
          <w:p w14:paraId="05E5B37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(0,72;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0,99)</w:t>
            </w:r>
          </w:p>
        </w:tc>
        <w:tc>
          <w:tcPr>
            <w:tcW w:w="1984" w:type="dxa"/>
            <w:tcBorders>
              <w:top w:val="single" w:sz="4" w:space="0" w:color="000000"/>
              <w:left w:val="single" w:sz="4" w:space="0" w:color="000000"/>
              <w:bottom w:val="single" w:sz="4" w:space="0" w:color="000000"/>
              <w:right w:val="single" w:sz="4" w:space="0" w:color="000000"/>
            </w:tcBorders>
          </w:tcPr>
          <w:p w14:paraId="582284C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0F298A60" w14:textId="77777777" w:rsidTr="00886871">
        <w:trPr>
          <w:cantSplit/>
          <w:trHeight w:val="20"/>
        </w:trPr>
        <w:tc>
          <w:tcPr>
            <w:tcW w:w="2552" w:type="dxa"/>
            <w:tcBorders>
              <w:top w:val="single" w:sz="4" w:space="0" w:color="000000"/>
              <w:left w:val="single" w:sz="4" w:space="0" w:color="000000"/>
              <w:bottom w:val="single" w:sz="4" w:space="0" w:color="000000"/>
              <w:right w:val="single" w:sz="4" w:space="0" w:color="000000"/>
            </w:tcBorders>
            <w:hideMark/>
          </w:tcPr>
          <w:p w14:paraId="69F29EF3" w14:textId="77777777" w:rsidR="00886871" w:rsidRDefault="00886871" w:rsidP="00146E50">
            <w:pPr>
              <w:pStyle w:val="TableParagraph"/>
              <w:keepNext/>
              <w:keepLines/>
              <w:widowControl/>
              <w:spacing w:line="240" w:lineRule="auto"/>
              <w:ind w:left="63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p-værdi</w:t>
            </w:r>
          </w:p>
        </w:tc>
        <w:tc>
          <w:tcPr>
            <w:tcW w:w="2268" w:type="dxa"/>
            <w:tcBorders>
              <w:top w:val="single" w:sz="4" w:space="0" w:color="000000"/>
              <w:left w:val="single" w:sz="4" w:space="0" w:color="000000"/>
              <w:bottom w:val="single" w:sz="4" w:space="0" w:color="000000"/>
              <w:right w:val="single" w:sz="4" w:space="0" w:color="000000"/>
            </w:tcBorders>
            <w:hideMark/>
          </w:tcPr>
          <w:p w14:paraId="1BC8B48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0,2081</w:t>
            </w:r>
          </w:p>
        </w:tc>
        <w:tc>
          <w:tcPr>
            <w:tcW w:w="2268" w:type="dxa"/>
            <w:tcBorders>
              <w:top w:val="single" w:sz="4" w:space="0" w:color="000000"/>
              <w:left w:val="single" w:sz="4" w:space="0" w:color="000000"/>
              <w:bottom w:val="single" w:sz="4" w:space="0" w:color="000000"/>
              <w:right w:val="single" w:sz="4" w:space="0" w:color="000000"/>
            </w:tcBorders>
            <w:hideMark/>
          </w:tcPr>
          <w:p w14:paraId="7DC2A09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0,0430</w:t>
            </w:r>
          </w:p>
        </w:tc>
        <w:tc>
          <w:tcPr>
            <w:tcW w:w="1984" w:type="dxa"/>
            <w:tcBorders>
              <w:top w:val="single" w:sz="4" w:space="0" w:color="000000"/>
              <w:left w:val="single" w:sz="4" w:space="0" w:color="000000"/>
              <w:bottom w:val="single" w:sz="4" w:space="0" w:color="000000"/>
              <w:right w:val="single" w:sz="4" w:space="0" w:color="000000"/>
            </w:tcBorders>
          </w:tcPr>
          <w:p w14:paraId="2E97C33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bl>
    <w:p w14:paraId="47AE337B" w14:textId="77777777" w:rsidR="00886871" w:rsidRDefault="00886871" w:rsidP="00146E50">
      <w:pPr>
        <w:pStyle w:val="Brdtekst"/>
        <w:widowControl/>
        <w:ind w:left="258"/>
        <w:rPr>
          <w:rFonts w:asciiTheme="majorBidi" w:hAnsiTheme="majorBidi" w:cstheme="majorBidi"/>
          <w:lang w:val="da-DK"/>
        </w:rPr>
      </w:pP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refererer</w:t>
      </w:r>
      <w:r>
        <w:rPr>
          <w:rFonts w:asciiTheme="majorBidi" w:hAnsiTheme="majorBidi" w:cstheme="majorBidi"/>
          <w:spacing w:val="-4"/>
          <w:lang w:val="da-DK"/>
        </w:rPr>
        <w:t xml:space="preserve"> </w:t>
      </w:r>
      <w:r>
        <w:rPr>
          <w:rFonts w:asciiTheme="majorBidi" w:hAnsiTheme="majorBidi" w:cstheme="majorBidi"/>
          <w:lang w:val="da-DK"/>
        </w:rPr>
        <w:t>til</w:t>
      </w:r>
      <w:r>
        <w:rPr>
          <w:rFonts w:asciiTheme="majorBidi" w:hAnsiTheme="majorBidi" w:cstheme="majorBidi"/>
          <w:spacing w:val="-5"/>
          <w:lang w:val="da-DK"/>
        </w:rPr>
        <w:t xml:space="preserve"> </w:t>
      </w:r>
      <w:r>
        <w:rPr>
          <w:rFonts w:asciiTheme="majorBidi" w:hAnsiTheme="majorBidi" w:cstheme="majorBidi"/>
          <w:lang w:val="da-DK"/>
        </w:rPr>
        <w:t>den</w:t>
      </w:r>
      <w:r>
        <w:rPr>
          <w:rFonts w:asciiTheme="majorBidi" w:hAnsiTheme="majorBidi" w:cstheme="majorBidi"/>
          <w:spacing w:val="-4"/>
          <w:lang w:val="da-DK"/>
        </w:rPr>
        <w:t xml:space="preserve"> </w:t>
      </w:r>
      <w:r>
        <w:rPr>
          <w:rFonts w:asciiTheme="majorBidi" w:hAnsiTheme="majorBidi" w:cstheme="majorBidi"/>
          <w:lang w:val="da-DK"/>
        </w:rPr>
        <w:t>årlige</w:t>
      </w:r>
      <w:r>
        <w:rPr>
          <w:rFonts w:asciiTheme="majorBidi" w:hAnsiTheme="majorBidi" w:cstheme="majorBidi"/>
          <w:spacing w:val="-4"/>
          <w:lang w:val="da-DK"/>
        </w:rPr>
        <w:t xml:space="preserve"> </w:t>
      </w:r>
      <w:r>
        <w:rPr>
          <w:rFonts w:asciiTheme="majorBidi" w:hAnsiTheme="majorBidi" w:cstheme="majorBidi"/>
          <w:spacing w:val="-2"/>
          <w:lang w:val="da-DK"/>
        </w:rPr>
        <w:t>hændelseshyppighed</w:t>
      </w:r>
    </w:p>
    <w:p w14:paraId="00F9CEC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A7E5AA6" w14:textId="22AE283C"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Tabel</w:t>
      </w:r>
      <w:r w:rsidRPr="00307CA4">
        <w:rPr>
          <w:rFonts w:asciiTheme="majorBidi" w:hAnsiTheme="majorBidi" w:cstheme="majorBidi"/>
          <w:spacing w:val="-10"/>
          <w:sz w:val="24"/>
          <w:szCs w:val="24"/>
          <w:lang w:val="da-DK"/>
        </w:rPr>
        <w:t> </w:t>
      </w:r>
      <w:r w:rsidR="00FC779C">
        <w:rPr>
          <w:rFonts w:asciiTheme="majorBidi" w:hAnsiTheme="majorBidi" w:cstheme="majorBidi"/>
          <w:spacing w:val="-10"/>
          <w:sz w:val="24"/>
          <w:szCs w:val="24"/>
          <w:lang w:val="da-DK"/>
        </w:rPr>
        <w:t>20-21</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viser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resultater</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sikkerhedsendepunkter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delpopulationer:</w:t>
      </w:r>
    </w:p>
    <w:p w14:paraId="2C68482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7A5E2B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apopleksi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systemisk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emboli,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identificeret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nogen undergrupper (såsom alder, vægt, køn, nyrefunktion, etnicitet, mv.) med en anden risikoratio sammenlignet med warfarin.</w:t>
      </w:r>
    </w:p>
    <w:p w14:paraId="71F6778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7555D41" w14:textId="55A5A900"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2</w:t>
      </w:r>
      <w:r w:rsidR="00FC779C">
        <w:rPr>
          <w:rFonts w:asciiTheme="majorBidi" w:hAnsiTheme="majorBidi" w:cstheme="majorBidi"/>
          <w:lang w:val="da-DK"/>
        </w:rPr>
        <w:t>0</w:t>
      </w:r>
      <w:r>
        <w:rPr>
          <w:rFonts w:asciiTheme="majorBidi" w:hAnsiTheme="majorBidi" w:cstheme="majorBidi"/>
          <w:lang w:val="da-DK"/>
        </w:rPr>
        <w:t>:</w:t>
      </w:r>
      <w:r>
        <w:rPr>
          <w:rFonts w:asciiTheme="majorBidi" w:hAnsiTheme="majorBidi" w:cstheme="majorBidi"/>
          <w:spacing w:val="-7"/>
          <w:lang w:val="da-DK"/>
        </w:rPr>
        <w:t xml:space="preserve"> </w:t>
      </w:r>
      <w:r>
        <w:rPr>
          <w:rFonts w:asciiTheme="majorBidi" w:hAnsiTheme="majorBidi" w:cstheme="majorBidi"/>
          <w:i/>
          <w:lang w:val="da-DK"/>
        </w:rPr>
        <w:t>Hazard</w:t>
      </w:r>
      <w:r>
        <w:rPr>
          <w:rFonts w:asciiTheme="majorBidi" w:hAnsiTheme="majorBidi" w:cstheme="majorBidi"/>
          <w:i/>
          <w:spacing w:val="-3"/>
          <w:lang w:val="da-DK"/>
        </w:rPr>
        <w:t xml:space="preserve"> </w:t>
      </w:r>
      <w:r>
        <w:rPr>
          <w:rFonts w:asciiTheme="majorBidi" w:hAnsiTheme="majorBidi" w:cstheme="majorBidi"/>
          <w:lang w:val="da-DK"/>
        </w:rPr>
        <w:t>ratio</w:t>
      </w:r>
      <w:r>
        <w:rPr>
          <w:rFonts w:asciiTheme="majorBidi" w:hAnsiTheme="majorBidi" w:cstheme="majorBidi"/>
          <w:spacing w:val="-5"/>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95</w:t>
      </w:r>
      <w:r>
        <w:rPr>
          <w:rFonts w:asciiTheme="majorBidi" w:hAnsiTheme="majorBidi" w:cstheme="majorBidi"/>
          <w:spacing w:val="-4"/>
          <w:lang w:val="da-DK"/>
        </w:rPr>
        <w:t> </w:t>
      </w: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CI</w:t>
      </w:r>
      <w:r>
        <w:rPr>
          <w:rFonts w:asciiTheme="majorBidi" w:hAnsiTheme="majorBidi" w:cstheme="majorBidi"/>
          <w:spacing w:val="-4"/>
          <w:lang w:val="da-DK"/>
        </w:rPr>
        <w:t xml:space="preserve"> </w:t>
      </w:r>
      <w:r>
        <w:rPr>
          <w:rFonts w:asciiTheme="majorBidi" w:hAnsiTheme="majorBidi" w:cstheme="majorBidi"/>
          <w:lang w:val="da-DK"/>
        </w:rPr>
        <w:t>for</w:t>
      </w:r>
      <w:r>
        <w:rPr>
          <w:rFonts w:asciiTheme="majorBidi" w:hAnsiTheme="majorBidi" w:cstheme="majorBidi"/>
          <w:spacing w:val="-5"/>
          <w:lang w:val="da-DK"/>
        </w:rPr>
        <w:t xml:space="preserve"> </w:t>
      </w:r>
      <w:r>
        <w:rPr>
          <w:rFonts w:asciiTheme="majorBidi" w:hAnsiTheme="majorBidi" w:cstheme="majorBidi"/>
          <w:lang w:val="da-DK"/>
        </w:rPr>
        <w:t>apopleksi/systemisk</w:t>
      </w:r>
      <w:r>
        <w:rPr>
          <w:rFonts w:asciiTheme="majorBidi" w:hAnsiTheme="majorBidi" w:cstheme="majorBidi"/>
          <w:spacing w:val="-4"/>
          <w:lang w:val="da-DK"/>
        </w:rPr>
        <w:t xml:space="preserve"> </w:t>
      </w:r>
      <w:r>
        <w:rPr>
          <w:rFonts w:asciiTheme="majorBidi" w:hAnsiTheme="majorBidi" w:cstheme="majorBidi"/>
          <w:lang w:val="da-DK"/>
        </w:rPr>
        <w:t>emboli</w:t>
      </w:r>
      <w:r>
        <w:rPr>
          <w:rFonts w:asciiTheme="majorBidi" w:hAnsiTheme="majorBidi" w:cstheme="majorBidi"/>
          <w:spacing w:val="-5"/>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spacing w:val="-2"/>
          <w:lang w:val="da-DK"/>
        </w:rPr>
        <w:t>delpopulationer</w:t>
      </w:r>
    </w:p>
    <w:p w14:paraId="40E731FF"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3184"/>
        <w:gridCol w:w="2913"/>
      </w:tblGrid>
      <w:tr w:rsidR="00886871" w14:paraId="02687A2F" w14:textId="77777777" w:rsidTr="00886871">
        <w:trPr>
          <w:cantSplit/>
          <w:trHeight w:val="757"/>
          <w:tblHeader/>
        </w:trPr>
        <w:tc>
          <w:tcPr>
            <w:tcW w:w="2977" w:type="dxa"/>
            <w:tcBorders>
              <w:top w:val="single" w:sz="4" w:space="0" w:color="000000"/>
              <w:left w:val="single" w:sz="4" w:space="0" w:color="000000"/>
              <w:bottom w:val="single" w:sz="4" w:space="0" w:color="000000"/>
              <w:right w:val="single" w:sz="4" w:space="0" w:color="000000"/>
            </w:tcBorders>
            <w:hideMark/>
          </w:tcPr>
          <w:p w14:paraId="0075E400"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Endepunkt</w:t>
            </w:r>
          </w:p>
        </w:tc>
        <w:tc>
          <w:tcPr>
            <w:tcW w:w="3183" w:type="dxa"/>
            <w:tcBorders>
              <w:top w:val="single" w:sz="4" w:space="0" w:color="000000"/>
              <w:left w:val="single" w:sz="4" w:space="0" w:color="000000"/>
              <w:bottom w:val="single" w:sz="4" w:space="0" w:color="000000"/>
              <w:right w:val="single" w:sz="4" w:space="0" w:color="000000"/>
            </w:tcBorders>
            <w:hideMark/>
          </w:tcPr>
          <w:p w14:paraId="45B877BE"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0D68027" w14:textId="77777777" w:rsidR="00886871" w:rsidRDefault="00886871" w:rsidP="00146E50">
            <w:pPr>
              <w:pStyle w:val="TableParagraph"/>
              <w:keepNext/>
              <w:keepLines/>
              <w:widowControl/>
              <w:spacing w:line="240" w:lineRule="auto"/>
              <w:ind w:left="108"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4FFF2C16"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2912" w:type="dxa"/>
            <w:tcBorders>
              <w:top w:val="single" w:sz="4" w:space="0" w:color="000000"/>
              <w:left w:val="single" w:sz="4" w:space="0" w:color="000000"/>
              <w:bottom w:val="single" w:sz="4" w:space="0" w:color="000000"/>
              <w:right w:val="single" w:sz="4" w:space="0" w:color="000000"/>
            </w:tcBorders>
            <w:hideMark/>
          </w:tcPr>
          <w:p w14:paraId="0B4B329E"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5EE19D15" w14:textId="77777777" w:rsidR="00886871" w:rsidRDefault="00886871" w:rsidP="00146E50">
            <w:pPr>
              <w:pStyle w:val="TableParagraph"/>
              <w:keepNext/>
              <w:keepLines/>
              <w:widowControl/>
              <w:spacing w:line="240" w:lineRule="auto"/>
              <w:ind w:left="108"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05405A0" w14:textId="77777777" w:rsidR="00886871" w:rsidRDefault="00886871" w:rsidP="00146E50">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2F3755E6"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7D24133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(år)</w:t>
            </w:r>
          </w:p>
        </w:tc>
        <w:tc>
          <w:tcPr>
            <w:tcW w:w="3183" w:type="dxa"/>
            <w:tcBorders>
              <w:top w:val="single" w:sz="4" w:space="0" w:color="000000"/>
              <w:left w:val="single" w:sz="4" w:space="0" w:color="000000"/>
              <w:bottom w:val="single" w:sz="4" w:space="0" w:color="000000"/>
              <w:right w:val="single" w:sz="4" w:space="0" w:color="000000"/>
            </w:tcBorders>
          </w:tcPr>
          <w:p w14:paraId="6C033E3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912" w:type="dxa"/>
            <w:tcBorders>
              <w:top w:val="single" w:sz="4" w:space="0" w:color="000000"/>
              <w:left w:val="single" w:sz="4" w:space="0" w:color="000000"/>
              <w:bottom w:val="single" w:sz="4" w:space="0" w:color="000000"/>
              <w:right w:val="single" w:sz="4" w:space="0" w:color="000000"/>
            </w:tcBorders>
          </w:tcPr>
          <w:p w14:paraId="53779FB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4A6193A1"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78E71C4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65</w:t>
            </w:r>
          </w:p>
        </w:tc>
        <w:tc>
          <w:tcPr>
            <w:tcW w:w="3183" w:type="dxa"/>
            <w:tcBorders>
              <w:top w:val="single" w:sz="4" w:space="0" w:color="000000"/>
              <w:left w:val="single" w:sz="4" w:space="0" w:color="000000"/>
              <w:bottom w:val="single" w:sz="4" w:space="0" w:color="000000"/>
              <w:right w:val="single" w:sz="4" w:space="0" w:color="000000"/>
            </w:tcBorders>
            <w:hideMark/>
          </w:tcPr>
          <w:p w14:paraId="5535248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1,87)</w:t>
            </w:r>
          </w:p>
        </w:tc>
        <w:tc>
          <w:tcPr>
            <w:tcW w:w="2912" w:type="dxa"/>
            <w:tcBorders>
              <w:top w:val="single" w:sz="4" w:space="0" w:color="000000"/>
              <w:left w:val="single" w:sz="4" w:space="0" w:color="000000"/>
              <w:bottom w:val="single" w:sz="4" w:space="0" w:color="000000"/>
              <w:right w:val="single" w:sz="4" w:space="0" w:color="000000"/>
            </w:tcBorders>
            <w:hideMark/>
          </w:tcPr>
          <w:p w14:paraId="72C6A98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0,98)</w:t>
            </w:r>
          </w:p>
        </w:tc>
      </w:tr>
      <w:tr w:rsidR="00886871" w14:paraId="4CE319B0" w14:textId="77777777" w:rsidTr="00886871">
        <w:trPr>
          <w:cantSplit/>
          <w:trHeight w:val="254"/>
        </w:trPr>
        <w:tc>
          <w:tcPr>
            <w:tcW w:w="2977" w:type="dxa"/>
            <w:tcBorders>
              <w:top w:val="single" w:sz="4" w:space="0" w:color="000000"/>
              <w:left w:val="single" w:sz="4" w:space="0" w:color="000000"/>
              <w:bottom w:val="single" w:sz="4" w:space="0" w:color="000000"/>
              <w:right w:val="single" w:sz="4" w:space="0" w:color="000000"/>
            </w:tcBorders>
            <w:hideMark/>
          </w:tcPr>
          <w:p w14:paraId="1C69525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65</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75</w:t>
            </w:r>
          </w:p>
        </w:tc>
        <w:tc>
          <w:tcPr>
            <w:tcW w:w="3183" w:type="dxa"/>
            <w:tcBorders>
              <w:top w:val="single" w:sz="4" w:space="0" w:color="000000"/>
              <w:left w:val="single" w:sz="4" w:space="0" w:color="000000"/>
              <w:bottom w:val="single" w:sz="4" w:space="0" w:color="000000"/>
              <w:right w:val="single" w:sz="4" w:space="0" w:color="000000"/>
            </w:tcBorders>
            <w:hideMark/>
          </w:tcPr>
          <w:p w14:paraId="0F88BF0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0,86</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1,19)</w:t>
            </w:r>
          </w:p>
        </w:tc>
        <w:tc>
          <w:tcPr>
            <w:tcW w:w="2912" w:type="dxa"/>
            <w:tcBorders>
              <w:top w:val="single" w:sz="4" w:space="0" w:color="000000"/>
              <w:left w:val="single" w:sz="4" w:space="0" w:color="000000"/>
              <w:bottom w:val="single" w:sz="4" w:space="0" w:color="000000"/>
              <w:right w:val="single" w:sz="4" w:space="0" w:color="000000"/>
            </w:tcBorders>
            <w:hideMark/>
          </w:tcPr>
          <w:p w14:paraId="0C1641B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0,95)</w:t>
            </w:r>
          </w:p>
        </w:tc>
      </w:tr>
      <w:tr w:rsidR="00886871" w14:paraId="2D5EFCC1"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3F5D4E7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75</w:t>
            </w:r>
          </w:p>
        </w:tc>
        <w:tc>
          <w:tcPr>
            <w:tcW w:w="3183" w:type="dxa"/>
            <w:tcBorders>
              <w:top w:val="single" w:sz="4" w:space="0" w:color="000000"/>
              <w:left w:val="single" w:sz="4" w:space="0" w:color="000000"/>
              <w:bottom w:val="single" w:sz="4" w:space="0" w:color="000000"/>
              <w:right w:val="single" w:sz="4" w:space="0" w:color="000000"/>
            </w:tcBorders>
            <w:hideMark/>
          </w:tcPr>
          <w:p w14:paraId="79987A7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1,17)</w:t>
            </w:r>
          </w:p>
        </w:tc>
        <w:tc>
          <w:tcPr>
            <w:tcW w:w="2912" w:type="dxa"/>
            <w:tcBorders>
              <w:top w:val="single" w:sz="4" w:space="0" w:color="000000"/>
              <w:left w:val="single" w:sz="4" w:space="0" w:color="000000"/>
              <w:bottom w:val="single" w:sz="4" w:space="0" w:color="000000"/>
              <w:right w:val="single" w:sz="4" w:space="0" w:color="000000"/>
            </w:tcBorders>
            <w:hideMark/>
          </w:tcPr>
          <w:p w14:paraId="699FAA8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0,92)</w:t>
            </w:r>
          </w:p>
        </w:tc>
      </w:tr>
      <w:tr w:rsidR="00886871" w14:paraId="74C9308E"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3013328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6B87657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(0,44;</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1,05)</w:t>
            </w:r>
          </w:p>
        </w:tc>
        <w:tc>
          <w:tcPr>
            <w:tcW w:w="2912" w:type="dxa"/>
            <w:tcBorders>
              <w:top w:val="single" w:sz="4" w:space="0" w:color="000000"/>
              <w:left w:val="single" w:sz="4" w:space="0" w:color="000000"/>
              <w:bottom w:val="single" w:sz="4" w:space="0" w:color="000000"/>
              <w:right w:val="single" w:sz="4" w:space="0" w:color="000000"/>
            </w:tcBorders>
            <w:hideMark/>
          </w:tcPr>
          <w:p w14:paraId="444DB94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1,02)</w:t>
            </w:r>
          </w:p>
        </w:tc>
      </w:tr>
      <w:tr w:rsidR="00886871" w14:paraId="5EF6AE29"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6558A308"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CrCL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(ml/min)</w:t>
            </w:r>
          </w:p>
        </w:tc>
        <w:tc>
          <w:tcPr>
            <w:tcW w:w="3183" w:type="dxa"/>
            <w:tcBorders>
              <w:top w:val="single" w:sz="4" w:space="0" w:color="000000"/>
              <w:left w:val="single" w:sz="4" w:space="0" w:color="000000"/>
              <w:bottom w:val="single" w:sz="4" w:space="0" w:color="000000"/>
              <w:right w:val="single" w:sz="4" w:space="0" w:color="000000"/>
            </w:tcBorders>
          </w:tcPr>
          <w:p w14:paraId="1473560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912" w:type="dxa"/>
            <w:tcBorders>
              <w:top w:val="single" w:sz="4" w:space="0" w:color="000000"/>
              <w:left w:val="single" w:sz="4" w:space="0" w:color="000000"/>
              <w:bottom w:val="single" w:sz="4" w:space="0" w:color="000000"/>
              <w:right w:val="single" w:sz="4" w:space="0" w:color="000000"/>
            </w:tcBorders>
          </w:tcPr>
          <w:p w14:paraId="27B8288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0821FB97"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388437C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50</w:t>
            </w:r>
          </w:p>
        </w:tc>
        <w:tc>
          <w:tcPr>
            <w:tcW w:w="3183" w:type="dxa"/>
            <w:tcBorders>
              <w:top w:val="single" w:sz="4" w:space="0" w:color="000000"/>
              <w:left w:val="single" w:sz="4" w:space="0" w:color="000000"/>
              <w:bottom w:val="single" w:sz="4" w:space="0" w:color="000000"/>
              <w:right w:val="single" w:sz="4" w:space="0" w:color="000000"/>
            </w:tcBorders>
            <w:hideMark/>
          </w:tcPr>
          <w:p w14:paraId="435DBCA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1,31)</w:t>
            </w:r>
          </w:p>
        </w:tc>
        <w:tc>
          <w:tcPr>
            <w:tcW w:w="2912" w:type="dxa"/>
            <w:tcBorders>
              <w:top w:val="single" w:sz="4" w:space="0" w:color="000000"/>
              <w:left w:val="single" w:sz="4" w:space="0" w:color="000000"/>
              <w:bottom w:val="single" w:sz="4" w:space="0" w:color="000000"/>
              <w:right w:val="single" w:sz="4" w:space="0" w:color="000000"/>
            </w:tcBorders>
            <w:hideMark/>
          </w:tcPr>
          <w:p w14:paraId="7E1BB5F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0,48</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(0,31;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0,76)</w:t>
            </w:r>
          </w:p>
        </w:tc>
      </w:tr>
      <w:tr w:rsidR="00886871" w14:paraId="4BDD86F4" w14:textId="77777777" w:rsidTr="00886871">
        <w:trPr>
          <w:cantSplit/>
          <w:trHeight w:val="253"/>
        </w:trPr>
        <w:tc>
          <w:tcPr>
            <w:tcW w:w="2977" w:type="dxa"/>
            <w:tcBorders>
              <w:top w:val="single" w:sz="4" w:space="0" w:color="000000"/>
              <w:left w:val="single" w:sz="4" w:space="0" w:color="000000"/>
              <w:bottom w:val="single" w:sz="4" w:space="0" w:color="000000"/>
              <w:right w:val="single" w:sz="4" w:space="0" w:color="000000"/>
            </w:tcBorders>
            <w:hideMark/>
          </w:tcPr>
          <w:p w14:paraId="1ABD7E6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72A66E1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1,20)</w:t>
            </w:r>
          </w:p>
        </w:tc>
        <w:tc>
          <w:tcPr>
            <w:tcW w:w="2912" w:type="dxa"/>
            <w:tcBorders>
              <w:top w:val="single" w:sz="4" w:space="0" w:color="000000"/>
              <w:left w:val="single" w:sz="4" w:space="0" w:color="000000"/>
              <w:bottom w:val="single" w:sz="4" w:space="0" w:color="000000"/>
              <w:right w:val="single" w:sz="4" w:space="0" w:color="000000"/>
            </w:tcBorders>
            <w:hideMark/>
          </w:tcPr>
          <w:p w14:paraId="75DA1ED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0,65</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(0,47;0,88)</w:t>
            </w:r>
          </w:p>
        </w:tc>
      </w:tr>
      <w:tr w:rsidR="00886871" w14:paraId="7E65C106" w14:textId="77777777" w:rsidTr="00886871">
        <w:trPr>
          <w:cantSplit/>
          <w:trHeight w:val="251"/>
        </w:trPr>
        <w:tc>
          <w:tcPr>
            <w:tcW w:w="2977" w:type="dxa"/>
            <w:tcBorders>
              <w:top w:val="single" w:sz="4" w:space="0" w:color="000000"/>
              <w:left w:val="single" w:sz="4" w:space="0" w:color="000000"/>
              <w:bottom w:val="single" w:sz="4" w:space="0" w:color="000000"/>
              <w:right w:val="single" w:sz="4" w:space="0" w:color="000000"/>
            </w:tcBorders>
            <w:hideMark/>
          </w:tcPr>
          <w:p w14:paraId="0C8F13B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183" w:type="dxa"/>
            <w:tcBorders>
              <w:top w:val="single" w:sz="4" w:space="0" w:color="000000"/>
              <w:left w:val="single" w:sz="4" w:space="0" w:color="000000"/>
              <w:bottom w:val="single" w:sz="4" w:space="0" w:color="000000"/>
              <w:right w:val="single" w:sz="4" w:space="0" w:color="000000"/>
            </w:tcBorders>
            <w:hideMark/>
          </w:tcPr>
          <w:p w14:paraId="67F300A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0,81(0,51;</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1,28)</w:t>
            </w:r>
          </w:p>
        </w:tc>
        <w:tc>
          <w:tcPr>
            <w:tcW w:w="2912" w:type="dxa"/>
            <w:tcBorders>
              <w:top w:val="single" w:sz="4" w:space="0" w:color="000000"/>
              <w:left w:val="single" w:sz="4" w:space="0" w:color="000000"/>
              <w:bottom w:val="single" w:sz="4" w:space="0" w:color="000000"/>
              <w:right w:val="single" w:sz="4" w:space="0" w:color="000000"/>
            </w:tcBorders>
            <w:hideMark/>
          </w:tcPr>
          <w:p w14:paraId="706C1B7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1,12)</w:t>
            </w:r>
          </w:p>
        </w:tc>
      </w:tr>
    </w:tbl>
    <w:p w14:paraId="20AAF081" w14:textId="77777777" w:rsidR="00886871" w:rsidRDefault="00886871" w:rsidP="00DB26E1">
      <w:pPr>
        <w:pStyle w:val="Brdtekst"/>
        <w:widowControl/>
        <w:ind w:left="851"/>
        <w:rPr>
          <w:rFonts w:asciiTheme="majorBidi" w:hAnsiTheme="majorBidi" w:cstheme="majorBidi"/>
          <w:b/>
          <w:lang w:val="da-DK"/>
        </w:rPr>
      </w:pPr>
    </w:p>
    <w:p w14:paraId="58D938F0" w14:textId="77777777" w:rsidR="00886871" w:rsidRPr="00307CA4" w:rsidRDefault="00886871" w:rsidP="00DB26E1">
      <w:pPr>
        <w:pStyle w:val="Brdtekst"/>
        <w:widowControl/>
        <w:ind w:left="851"/>
        <w:rPr>
          <w:rFonts w:asciiTheme="majorBidi" w:hAnsiTheme="majorBidi" w:cstheme="majorBidi"/>
          <w:position w:val="2"/>
          <w:sz w:val="24"/>
          <w:szCs w:val="24"/>
          <w:lang w:val="da-DK"/>
        </w:rPr>
      </w:pPr>
      <w:r w:rsidRPr="00307CA4">
        <w:rPr>
          <w:rFonts w:asciiTheme="majorBidi" w:hAnsiTheme="majorBidi" w:cstheme="majorBidi"/>
          <w:sz w:val="24"/>
          <w:szCs w:val="24"/>
          <w:lang w:val="da-DK"/>
        </w:rPr>
        <w:t>Alder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indvirkning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sikkerhedsendepunkt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relative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w:t>
      </w:r>
      <w:r w:rsidRPr="00307CA4">
        <w:rPr>
          <w:rFonts w:asciiTheme="majorBidi" w:hAnsiTheme="majorBidi" w:cstheme="majorBidi"/>
          <w:position w:val="2"/>
          <w:sz w:val="24"/>
          <w:szCs w:val="24"/>
          <w:lang w:val="da-DK"/>
        </w:rPr>
        <w:t>forskellig nyrefunktionsstatus og CHADS</w:t>
      </w:r>
      <w:r w:rsidRPr="00307CA4">
        <w:rPr>
          <w:rFonts w:asciiTheme="majorBidi" w:hAnsiTheme="majorBidi" w:cstheme="majorBidi"/>
          <w:sz w:val="24"/>
          <w:szCs w:val="24"/>
          <w:lang w:val="da-DK"/>
        </w:rPr>
        <w:t>2</w:t>
      </w:r>
      <w:r w:rsidRPr="00307CA4">
        <w:rPr>
          <w:rFonts w:asciiTheme="majorBidi" w:hAnsiTheme="majorBidi" w:cstheme="majorBidi"/>
          <w:position w:val="2"/>
          <w:sz w:val="24"/>
          <w:szCs w:val="24"/>
          <w:lang w:val="da-DK"/>
        </w:rPr>
        <w:t>-score.</w:t>
      </w:r>
    </w:p>
    <w:p w14:paraId="206A323F" w14:textId="77777777" w:rsidR="00886871" w:rsidRPr="00307CA4" w:rsidRDefault="00886871" w:rsidP="00DB26E1">
      <w:pPr>
        <w:pStyle w:val="Brdtekst"/>
        <w:widowControl/>
        <w:ind w:left="851"/>
        <w:rPr>
          <w:rFonts w:asciiTheme="majorBidi" w:hAnsiTheme="majorBidi" w:cstheme="majorBidi"/>
          <w:position w:val="2"/>
          <w:sz w:val="24"/>
          <w:szCs w:val="24"/>
          <w:lang w:val="da-DK"/>
        </w:rPr>
      </w:pPr>
    </w:p>
    <w:p w14:paraId="2516534F" w14:textId="7A4C36A1" w:rsidR="00886871" w:rsidRDefault="00886871" w:rsidP="00146E50">
      <w:pPr>
        <w:pStyle w:val="Overskrift2"/>
        <w:keepNext/>
        <w:keepLines/>
        <w:widowControl/>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5"/>
          <w:lang w:val="da-DK"/>
        </w:rPr>
        <w:t> </w:t>
      </w:r>
      <w:r>
        <w:rPr>
          <w:rFonts w:asciiTheme="majorBidi" w:hAnsiTheme="majorBidi" w:cstheme="majorBidi"/>
          <w:lang w:val="da-DK"/>
        </w:rPr>
        <w:t>2</w:t>
      </w:r>
      <w:r w:rsidR="00FC779C">
        <w:rPr>
          <w:rFonts w:asciiTheme="majorBidi" w:hAnsiTheme="majorBidi" w:cstheme="majorBidi"/>
          <w:lang w:val="da-DK"/>
        </w:rPr>
        <w:t>1</w:t>
      </w:r>
      <w:r>
        <w:rPr>
          <w:rFonts w:asciiTheme="majorBidi" w:hAnsiTheme="majorBidi" w:cstheme="majorBidi"/>
          <w:lang w:val="da-DK"/>
        </w:rPr>
        <w:t>:</w:t>
      </w:r>
      <w:r>
        <w:rPr>
          <w:rFonts w:asciiTheme="majorBidi" w:hAnsiTheme="majorBidi" w:cstheme="majorBidi"/>
          <w:spacing w:val="-6"/>
          <w:lang w:val="da-DK"/>
        </w:rPr>
        <w:t xml:space="preserve"> </w:t>
      </w:r>
      <w:r>
        <w:rPr>
          <w:rFonts w:asciiTheme="majorBidi" w:hAnsiTheme="majorBidi" w:cstheme="majorBidi"/>
          <w:i/>
          <w:lang w:val="da-DK"/>
        </w:rPr>
        <w:t>Hazard</w:t>
      </w:r>
      <w:r>
        <w:rPr>
          <w:rFonts w:asciiTheme="majorBidi" w:hAnsiTheme="majorBidi" w:cstheme="majorBidi"/>
          <w:i/>
          <w:spacing w:val="-3"/>
          <w:lang w:val="da-DK"/>
        </w:rPr>
        <w:t xml:space="preserve"> </w:t>
      </w:r>
      <w:r>
        <w:rPr>
          <w:rFonts w:asciiTheme="majorBidi" w:hAnsiTheme="majorBidi" w:cstheme="majorBidi"/>
          <w:lang w:val="da-DK"/>
        </w:rPr>
        <w:t>ratio</w:t>
      </w:r>
      <w:r>
        <w:rPr>
          <w:rFonts w:asciiTheme="majorBidi" w:hAnsiTheme="majorBidi" w:cstheme="majorBidi"/>
          <w:spacing w:val="-4"/>
          <w:lang w:val="da-DK"/>
        </w:rPr>
        <w:t xml:space="preserve"> </w:t>
      </w:r>
      <w:r>
        <w:rPr>
          <w:rFonts w:asciiTheme="majorBidi" w:hAnsiTheme="majorBidi" w:cstheme="majorBidi"/>
          <w:lang w:val="da-DK"/>
        </w:rPr>
        <w:t>og</w:t>
      </w:r>
      <w:r>
        <w:rPr>
          <w:rFonts w:asciiTheme="majorBidi" w:hAnsiTheme="majorBidi" w:cstheme="majorBidi"/>
          <w:spacing w:val="-4"/>
          <w:lang w:val="da-DK"/>
        </w:rPr>
        <w:t xml:space="preserve"> </w:t>
      </w:r>
      <w:r>
        <w:rPr>
          <w:rFonts w:asciiTheme="majorBidi" w:hAnsiTheme="majorBidi" w:cstheme="majorBidi"/>
          <w:lang w:val="da-DK"/>
        </w:rPr>
        <w:t>95</w:t>
      </w:r>
      <w:r>
        <w:rPr>
          <w:rFonts w:asciiTheme="majorBidi" w:hAnsiTheme="majorBidi" w:cstheme="majorBidi"/>
          <w:spacing w:val="-3"/>
          <w:lang w:val="da-DK"/>
        </w:rPr>
        <w:t> </w:t>
      </w:r>
      <w:r>
        <w:rPr>
          <w:rFonts w:asciiTheme="majorBidi" w:hAnsiTheme="majorBidi" w:cstheme="majorBidi"/>
          <w:lang w:val="da-DK"/>
        </w:rPr>
        <w:t>%</w:t>
      </w:r>
      <w:r>
        <w:rPr>
          <w:rFonts w:asciiTheme="majorBidi" w:hAnsiTheme="majorBidi" w:cstheme="majorBidi"/>
          <w:spacing w:val="-4"/>
          <w:lang w:val="da-DK"/>
        </w:rPr>
        <w:t xml:space="preserve"> </w:t>
      </w:r>
      <w:r>
        <w:rPr>
          <w:rFonts w:asciiTheme="majorBidi" w:hAnsiTheme="majorBidi" w:cstheme="majorBidi"/>
          <w:lang w:val="da-DK"/>
        </w:rPr>
        <w:t>CI</w:t>
      </w:r>
      <w:r>
        <w:rPr>
          <w:rFonts w:asciiTheme="majorBidi" w:hAnsiTheme="majorBidi" w:cstheme="majorBidi"/>
          <w:spacing w:val="-4"/>
          <w:lang w:val="da-DK"/>
        </w:rPr>
        <w:t xml:space="preserve"> </w:t>
      </w:r>
      <w:r>
        <w:rPr>
          <w:rFonts w:asciiTheme="majorBidi" w:hAnsiTheme="majorBidi" w:cstheme="majorBidi"/>
          <w:lang w:val="da-DK"/>
        </w:rPr>
        <w:t>for</w:t>
      </w:r>
      <w:r>
        <w:rPr>
          <w:rFonts w:asciiTheme="majorBidi" w:hAnsiTheme="majorBidi" w:cstheme="majorBidi"/>
          <w:spacing w:val="-4"/>
          <w:lang w:val="da-DK"/>
        </w:rPr>
        <w:t xml:space="preserve"> </w:t>
      </w:r>
      <w:r>
        <w:rPr>
          <w:rFonts w:asciiTheme="majorBidi" w:hAnsiTheme="majorBidi" w:cstheme="majorBidi"/>
          <w:lang w:val="da-DK"/>
        </w:rPr>
        <w:t>alvorlige</w:t>
      </w:r>
      <w:r>
        <w:rPr>
          <w:rFonts w:asciiTheme="majorBidi" w:hAnsiTheme="majorBidi" w:cstheme="majorBidi"/>
          <w:spacing w:val="-4"/>
          <w:lang w:val="da-DK"/>
        </w:rPr>
        <w:t xml:space="preserve"> </w:t>
      </w:r>
      <w:r>
        <w:rPr>
          <w:rFonts w:asciiTheme="majorBidi" w:hAnsiTheme="majorBidi" w:cstheme="majorBidi"/>
          <w:lang w:val="da-DK"/>
        </w:rPr>
        <w:t>blødninger</w:t>
      </w:r>
      <w:r>
        <w:rPr>
          <w:rFonts w:asciiTheme="majorBidi" w:hAnsiTheme="majorBidi" w:cstheme="majorBidi"/>
          <w:spacing w:val="-4"/>
          <w:lang w:val="da-DK"/>
        </w:rPr>
        <w:t xml:space="preserve"> </w:t>
      </w:r>
      <w:r>
        <w:rPr>
          <w:rFonts w:asciiTheme="majorBidi" w:hAnsiTheme="majorBidi" w:cstheme="majorBidi"/>
          <w:lang w:val="da-DK"/>
        </w:rPr>
        <w:t>i</w:t>
      </w:r>
      <w:r>
        <w:rPr>
          <w:rFonts w:asciiTheme="majorBidi" w:hAnsiTheme="majorBidi" w:cstheme="majorBidi"/>
          <w:spacing w:val="-4"/>
          <w:lang w:val="da-DK"/>
        </w:rPr>
        <w:t xml:space="preserve"> </w:t>
      </w:r>
      <w:r>
        <w:rPr>
          <w:rFonts w:asciiTheme="majorBidi" w:hAnsiTheme="majorBidi" w:cstheme="majorBidi"/>
          <w:spacing w:val="-2"/>
          <w:lang w:val="da-DK"/>
        </w:rPr>
        <w:t>delpopulationer</w:t>
      </w:r>
    </w:p>
    <w:p w14:paraId="6486CEEB"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3226"/>
        <w:gridCol w:w="2871"/>
      </w:tblGrid>
      <w:tr w:rsidR="00886871" w14:paraId="1FF94735" w14:textId="77777777" w:rsidTr="00886871">
        <w:trPr>
          <w:cantSplit/>
          <w:trHeight w:val="20"/>
          <w:tblHeader/>
        </w:trPr>
        <w:tc>
          <w:tcPr>
            <w:tcW w:w="2977" w:type="dxa"/>
            <w:tcBorders>
              <w:top w:val="single" w:sz="4" w:space="0" w:color="000000"/>
              <w:left w:val="single" w:sz="4" w:space="0" w:color="000000"/>
              <w:bottom w:val="single" w:sz="4" w:space="0" w:color="000000"/>
              <w:right w:val="single" w:sz="4" w:space="0" w:color="000000"/>
            </w:tcBorders>
            <w:hideMark/>
          </w:tcPr>
          <w:p w14:paraId="22BD09A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Endepunkt</w:t>
            </w:r>
          </w:p>
        </w:tc>
        <w:tc>
          <w:tcPr>
            <w:tcW w:w="3225" w:type="dxa"/>
            <w:tcBorders>
              <w:top w:val="single" w:sz="4" w:space="0" w:color="000000"/>
              <w:left w:val="single" w:sz="4" w:space="0" w:color="000000"/>
              <w:bottom w:val="single" w:sz="4" w:space="0" w:color="000000"/>
              <w:right w:val="single" w:sz="4" w:space="0" w:color="000000"/>
            </w:tcBorders>
            <w:hideMark/>
          </w:tcPr>
          <w:p w14:paraId="492918CD"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48A939FA" w14:textId="77777777" w:rsidR="00886871" w:rsidRDefault="00886871" w:rsidP="00146E50">
            <w:pPr>
              <w:pStyle w:val="TableParagraph"/>
              <w:keepNext/>
              <w:keepLines/>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F220CE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c>
          <w:tcPr>
            <w:tcW w:w="2870" w:type="dxa"/>
            <w:tcBorders>
              <w:top w:val="single" w:sz="4" w:space="0" w:color="000000"/>
              <w:left w:val="single" w:sz="4" w:space="0" w:color="000000"/>
              <w:bottom w:val="single" w:sz="4" w:space="0" w:color="000000"/>
              <w:right w:val="single" w:sz="4" w:space="0" w:color="000000"/>
            </w:tcBorders>
            <w:hideMark/>
          </w:tcPr>
          <w:p w14:paraId="7856C985" w14:textId="77777777" w:rsidR="00886871" w:rsidRDefault="00886871" w:rsidP="00146E50">
            <w:pPr>
              <w:pStyle w:val="TableParagraph"/>
              <w:keepNext/>
              <w:keepLines/>
              <w:widowControl/>
              <w:spacing w:line="240" w:lineRule="auto"/>
              <w:ind w:left="10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347DE2F6" w14:textId="77777777" w:rsidR="00886871" w:rsidRDefault="00886871" w:rsidP="00146E50">
            <w:pPr>
              <w:pStyle w:val="TableParagraph"/>
              <w:keepNext/>
              <w:keepLines/>
              <w:widowControl/>
              <w:spacing w:line="240" w:lineRule="auto"/>
              <w:ind w:left="109" w:right="57"/>
              <w:rPr>
                <w:rFonts w:asciiTheme="majorBidi" w:hAnsiTheme="majorBidi" w:cstheme="majorBidi"/>
                <w: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3"/>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5C78C3B8" w14:textId="77777777" w:rsidR="00886871" w:rsidRDefault="00886871" w:rsidP="00146E50">
            <w:pPr>
              <w:pStyle w:val="TableParagraph"/>
              <w:keepNext/>
              <w:keepLines/>
              <w:widowControl/>
              <w:spacing w:line="240" w:lineRule="auto"/>
              <w:ind w:left="10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71F783E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92D7C2B"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(år)</w:t>
            </w:r>
          </w:p>
        </w:tc>
        <w:tc>
          <w:tcPr>
            <w:tcW w:w="3225" w:type="dxa"/>
            <w:tcBorders>
              <w:top w:val="single" w:sz="4" w:space="0" w:color="000000"/>
              <w:left w:val="single" w:sz="4" w:space="0" w:color="000000"/>
              <w:bottom w:val="single" w:sz="4" w:space="0" w:color="000000"/>
              <w:right w:val="single" w:sz="4" w:space="0" w:color="000000"/>
            </w:tcBorders>
          </w:tcPr>
          <w:p w14:paraId="21015524"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870" w:type="dxa"/>
            <w:tcBorders>
              <w:top w:val="single" w:sz="4" w:space="0" w:color="000000"/>
              <w:left w:val="single" w:sz="4" w:space="0" w:color="000000"/>
              <w:bottom w:val="single" w:sz="4" w:space="0" w:color="000000"/>
              <w:right w:val="single" w:sz="4" w:space="0" w:color="000000"/>
            </w:tcBorders>
          </w:tcPr>
          <w:p w14:paraId="4B2BFF8C"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r>
      <w:tr w:rsidR="00886871" w14:paraId="7B1597D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F8C6A9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65</w:t>
            </w:r>
          </w:p>
        </w:tc>
        <w:tc>
          <w:tcPr>
            <w:tcW w:w="3225" w:type="dxa"/>
            <w:tcBorders>
              <w:top w:val="single" w:sz="4" w:space="0" w:color="000000"/>
              <w:left w:val="single" w:sz="4" w:space="0" w:color="000000"/>
              <w:bottom w:val="single" w:sz="4" w:space="0" w:color="000000"/>
              <w:right w:val="single" w:sz="4" w:space="0" w:color="000000"/>
            </w:tcBorders>
            <w:hideMark/>
          </w:tcPr>
          <w:p w14:paraId="08E31BA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(0,18;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0,57)</w:t>
            </w:r>
          </w:p>
        </w:tc>
        <w:tc>
          <w:tcPr>
            <w:tcW w:w="2870" w:type="dxa"/>
            <w:tcBorders>
              <w:top w:val="single" w:sz="4" w:space="0" w:color="000000"/>
              <w:left w:val="single" w:sz="4" w:space="0" w:color="000000"/>
              <w:bottom w:val="single" w:sz="4" w:space="0" w:color="000000"/>
              <w:right w:val="single" w:sz="4" w:space="0" w:color="000000"/>
            </w:tcBorders>
            <w:hideMark/>
          </w:tcPr>
          <w:p w14:paraId="0BA95B0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(0,20;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0,61)</w:t>
            </w:r>
          </w:p>
        </w:tc>
      </w:tr>
      <w:tr w:rsidR="00886871" w14:paraId="0CAEF8FC"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67023A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65</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75</w:t>
            </w:r>
          </w:p>
        </w:tc>
        <w:tc>
          <w:tcPr>
            <w:tcW w:w="3225" w:type="dxa"/>
            <w:tcBorders>
              <w:top w:val="single" w:sz="4" w:space="0" w:color="000000"/>
              <w:left w:val="single" w:sz="4" w:space="0" w:color="000000"/>
              <w:bottom w:val="single" w:sz="4" w:space="0" w:color="000000"/>
              <w:right w:val="single" w:sz="4" w:space="0" w:color="000000"/>
            </w:tcBorders>
            <w:hideMark/>
          </w:tcPr>
          <w:p w14:paraId="1715596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0,71</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0,89)</w:t>
            </w:r>
          </w:p>
        </w:tc>
        <w:tc>
          <w:tcPr>
            <w:tcW w:w="2870" w:type="dxa"/>
            <w:tcBorders>
              <w:top w:val="single" w:sz="4" w:space="0" w:color="000000"/>
              <w:left w:val="single" w:sz="4" w:space="0" w:color="000000"/>
              <w:bottom w:val="single" w:sz="4" w:space="0" w:color="000000"/>
              <w:right w:val="single" w:sz="4" w:space="0" w:color="000000"/>
            </w:tcBorders>
            <w:hideMark/>
          </w:tcPr>
          <w:p w14:paraId="2914593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1,03)</w:t>
            </w:r>
          </w:p>
        </w:tc>
      </w:tr>
      <w:tr w:rsidR="00886871" w14:paraId="3C4003A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F928DE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75</w:t>
            </w:r>
          </w:p>
        </w:tc>
        <w:tc>
          <w:tcPr>
            <w:tcW w:w="3225" w:type="dxa"/>
            <w:tcBorders>
              <w:top w:val="single" w:sz="4" w:space="0" w:color="000000"/>
              <w:left w:val="single" w:sz="4" w:space="0" w:color="000000"/>
              <w:bottom w:val="single" w:sz="4" w:space="0" w:color="000000"/>
              <w:right w:val="single" w:sz="4" w:space="0" w:color="000000"/>
            </w:tcBorders>
            <w:hideMark/>
          </w:tcPr>
          <w:p w14:paraId="245A8CC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(0,84;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1,23)</w:t>
            </w:r>
          </w:p>
        </w:tc>
        <w:tc>
          <w:tcPr>
            <w:tcW w:w="2870" w:type="dxa"/>
            <w:tcBorders>
              <w:top w:val="single" w:sz="4" w:space="0" w:color="000000"/>
              <w:left w:val="single" w:sz="4" w:space="0" w:color="000000"/>
              <w:bottom w:val="single" w:sz="4" w:space="0" w:color="000000"/>
              <w:right w:val="single" w:sz="4" w:space="0" w:color="000000"/>
            </w:tcBorders>
            <w:hideMark/>
          </w:tcPr>
          <w:p w14:paraId="40D8123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(0,99;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1,43)</w:t>
            </w:r>
          </w:p>
        </w:tc>
      </w:tr>
      <w:tr w:rsidR="00886871" w14:paraId="0E3080E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ED9DE0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0728D9F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(0,86;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1,51)</w:t>
            </w:r>
          </w:p>
        </w:tc>
        <w:tc>
          <w:tcPr>
            <w:tcW w:w="2870" w:type="dxa"/>
            <w:tcBorders>
              <w:top w:val="single" w:sz="4" w:space="0" w:color="000000"/>
              <w:left w:val="single" w:sz="4" w:space="0" w:color="000000"/>
              <w:bottom w:val="single" w:sz="4" w:space="0" w:color="000000"/>
              <w:right w:val="single" w:sz="4" w:space="0" w:color="000000"/>
            </w:tcBorders>
            <w:hideMark/>
          </w:tcPr>
          <w:p w14:paraId="453E9D9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(1,03;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1,76)</w:t>
            </w:r>
          </w:p>
        </w:tc>
      </w:tr>
      <w:tr w:rsidR="00886871" w14:paraId="44ED505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5CEBA1E" w14:textId="77777777" w:rsidR="00886871" w:rsidRDefault="00886871" w:rsidP="00146E50">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CrCL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(ml/min)</w:t>
            </w:r>
          </w:p>
        </w:tc>
        <w:tc>
          <w:tcPr>
            <w:tcW w:w="3225" w:type="dxa"/>
            <w:tcBorders>
              <w:top w:val="single" w:sz="4" w:space="0" w:color="000000"/>
              <w:left w:val="single" w:sz="4" w:space="0" w:color="000000"/>
              <w:bottom w:val="single" w:sz="4" w:space="0" w:color="000000"/>
              <w:right w:val="single" w:sz="4" w:space="0" w:color="000000"/>
            </w:tcBorders>
          </w:tcPr>
          <w:p w14:paraId="16C70F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c>
          <w:tcPr>
            <w:tcW w:w="2870" w:type="dxa"/>
            <w:tcBorders>
              <w:top w:val="single" w:sz="4" w:space="0" w:color="000000"/>
              <w:left w:val="single" w:sz="4" w:space="0" w:color="000000"/>
              <w:bottom w:val="single" w:sz="4" w:space="0" w:color="000000"/>
              <w:right w:val="single" w:sz="4" w:space="0" w:color="000000"/>
            </w:tcBorders>
          </w:tcPr>
          <w:p w14:paraId="6DB1469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p>
        </w:tc>
      </w:tr>
      <w:tr w:rsidR="00886871" w14:paraId="21B93155"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F30ED6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50</w:t>
            </w:r>
          </w:p>
        </w:tc>
        <w:tc>
          <w:tcPr>
            <w:tcW w:w="3225" w:type="dxa"/>
            <w:tcBorders>
              <w:top w:val="single" w:sz="4" w:space="0" w:color="000000"/>
              <w:left w:val="single" w:sz="4" w:space="0" w:color="000000"/>
              <w:bottom w:val="single" w:sz="4" w:space="0" w:color="000000"/>
              <w:right w:val="single" w:sz="4" w:space="0" w:color="000000"/>
            </w:tcBorders>
            <w:hideMark/>
          </w:tcPr>
          <w:p w14:paraId="73107EA7"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1,32)</w:t>
            </w:r>
          </w:p>
        </w:tc>
        <w:tc>
          <w:tcPr>
            <w:tcW w:w="2870" w:type="dxa"/>
            <w:tcBorders>
              <w:top w:val="single" w:sz="4" w:space="0" w:color="000000"/>
              <w:left w:val="single" w:sz="4" w:space="0" w:color="000000"/>
              <w:bottom w:val="single" w:sz="4" w:space="0" w:color="000000"/>
              <w:right w:val="single" w:sz="4" w:space="0" w:color="000000"/>
            </w:tcBorders>
            <w:hideMark/>
          </w:tcPr>
          <w:p w14:paraId="5AD7BEA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1,22)</w:t>
            </w:r>
          </w:p>
        </w:tc>
      </w:tr>
      <w:tr w:rsidR="00886871" w14:paraId="1AE592C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8A6539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50</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7FE2575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0,92)</w:t>
            </w:r>
          </w:p>
        </w:tc>
        <w:tc>
          <w:tcPr>
            <w:tcW w:w="2870" w:type="dxa"/>
            <w:tcBorders>
              <w:top w:val="single" w:sz="4" w:space="0" w:color="000000"/>
              <w:left w:val="single" w:sz="4" w:space="0" w:color="000000"/>
              <w:bottom w:val="single" w:sz="4" w:space="0" w:color="000000"/>
              <w:right w:val="single" w:sz="4" w:space="0" w:color="000000"/>
            </w:tcBorders>
            <w:hideMark/>
          </w:tcPr>
          <w:p w14:paraId="293CC1D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0,90</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1,09)</w:t>
            </w:r>
          </w:p>
        </w:tc>
      </w:tr>
      <w:tr w:rsidR="00886871" w14:paraId="4F7677A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43B9F5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3225" w:type="dxa"/>
            <w:tcBorders>
              <w:top w:val="single" w:sz="4" w:space="0" w:color="000000"/>
              <w:left w:val="single" w:sz="4" w:space="0" w:color="000000"/>
              <w:bottom w:val="single" w:sz="4" w:space="0" w:color="000000"/>
              <w:right w:val="single" w:sz="4" w:space="0" w:color="000000"/>
            </w:tcBorders>
            <w:hideMark/>
          </w:tcPr>
          <w:p w14:paraId="2E5C093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(0,43;</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0,82)</w:t>
            </w:r>
          </w:p>
        </w:tc>
        <w:tc>
          <w:tcPr>
            <w:tcW w:w="2870" w:type="dxa"/>
            <w:tcBorders>
              <w:top w:val="single" w:sz="4" w:space="0" w:color="000000"/>
              <w:left w:val="single" w:sz="4" w:space="0" w:color="000000"/>
              <w:bottom w:val="single" w:sz="4" w:space="0" w:color="000000"/>
              <w:right w:val="single" w:sz="4" w:space="0" w:color="000000"/>
            </w:tcBorders>
            <w:hideMark/>
          </w:tcPr>
          <w:p w14:paraId="1BDB847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1,17)</w:t>
            </w:r>
          </w:p>
        </w:tc>
      </w:tr>
      <w:tr w:rsidR="00886871" w14:paraId="63AD683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ED8AC51"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Brug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ASA</w:t>
            </w:r>
          </w:p>
        </w:tc>
        <w:tc>
          <w:tcPr>
            <w:tcW w:w="3225" w:type="dxa"/>
            <w:tcBorders>
              <w:top w:val="single" w:sz="4" w:space="0" w:color="000000"/>
              <w:left w:val="single" w:sz="4" w:space="0" w:color="000000"/>
              <w:bottom w:val="single" w:sz="4" w:space="0" w:color="000000"/>
              <w:right w:val="single" w:sz="4" w:space="0" w:color="000000"/>
            </w:tcBorders>
            <w:hideMark/>
          </w:tcPr>
          <w:p w14:paraId="29575BD2"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(0,69;</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1,03)</w:t>
            </w:r>
          </w:p>
        </w:tc>
        <w:tc>
          <w:tcPr>
            <w:tcW w:w="2870" w:type="dxa"/>
            <w:tcBorders>
              <w:top w:val="single" w:sz="4" w:space="0" w:color="000000"/>
              <w:left w:val="single" w:sz="4" w:space="0" w:color="000000"/>
              <w:bottom w:val="single" w:sz="4" w:space="0" w:color="000000"/>
              <w:right w:val="single" w:sz="4" w:space="0" w:color="000000"/>
            </w:tcBorders>
            <w:hideMark/>
          </w:tcPr>
          <w:p w14:paraId="176A4A3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(0,79;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1,18)</w:t>
            </w:r>
          </w:p>
        </w:tc>
      </w:tr>
      <w:tr w:rsidR="00886871" w14:paraId="055E233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E849A3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Brug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clopidogrel</w:t>
            </w:r>
          </w:p>
        </w:tc>
        <w:tc>
          <w:tcPr>
            <w:tcW w:w="3225" w:type="dxa"/>
            <w:tcBorders>
              <w:top w:val="single" w:sz="4" w:space="0" w:color="000000"/>
              <w:left w:val="single" w:sz="4" w:space="0" w:color="000000"/>
              <w:bottom w:val="single" w:sz="4" w:space="0" w:color="000000"/>
              <w:right w:val="single" w:sz="4" w:space="0" w:color="000000"/>
            </w:tcBorders>
            <w:hideMark/>
          </w:tcPr>
          <w:p w14:paraId="101E0B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0,89</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1,45)</w:t>
            </w:r>
          </w:p>
        </w:tc>
        <w:tc>
          <w:tcPr>
            <w:tcW w:w="2870" w:type="dxa"/>
            <w:tcBorders>
              <w:top w:val="single" w:sz="4" w:space="0" w:color="000000"/>
              <w:left w:val="single" w:sz="4" w:space="0" w:color="000000"/>
              <w:bottom w:val="single" w:sz="4" w:space="0" w:color="000000"/>
              <w:right w:val="single" w:sz="4" w:space="0" w:color="000000"/>
            </w:tcBorders>
            <w:hideMark/>
          </w:tcPr>
          <w:p w14:paraId="6BA072B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(0,57;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1,48)</w:t>
            </w:r>
          </w:p>
        </w:tc>
      </w:tr>
    </w:tbl>
    <w:p w14:paraId="0778A535"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3A66A1A5"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RELY-ABLE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(langtids-multicenterstudie</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fortsat</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dabigatranbehandling</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for</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4"/>
          <w:sz w:val="24"/>
          <w:szCs w:val="24"/>
        </w:rPr>
        <w:t xml:space="preserve"> </w:t>
      </w:r>
      <w:r w:rsidRPr="00307CA4">
        <w:rPr>
          <w:rFonts w:asciiTheme="majorBidi" w:hAnsiTheme="majorBidi" w:cstheme="majorBidi"/>
          <w:i/>
          <w:sz w:val="24"/>
          <w:szCs w:val="24"/>
        </w:rPr>
        <w:t>med atrieflimren, som havde fuldført RE-LY-studiet)</w:t>
      </w:r>
    </w:p>
    <w:p w14:paraId="482BF05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Opfølgningsstudiet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(RELY-ABLE)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indsamlede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yderligere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sikkerhedsoplysninger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 gruppe patienter i fortsat behandling med samme dosis dabigatranetexilat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49</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oprindeligt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RE-LY og til 86 % af de RELY-ABLE-inkluderbare patienter.</w:t>
      </w:r>
    </w:p>
    <w:p w14:paraId="58AF107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Gennem de yderligere 2,5 års behandling i RELY-ABLE, med en maksimal eksponering på over 6 år (total eksponering i RELY + RELY-ABLE) bekræftedes langtids-sikkerhedsprofilen for 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begge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studiedoser,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hhv.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110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blev ikke observeret nye sikkerhedsfund.</w:t>
      </w:r>
    </w:p>
    <w:p w14:paraId="4F188D0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Hyppigheden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blødningstilfælde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overensstemmelse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 blev set i RE-LY.</w:t>
      </w:r>
    </w:p>
    <w:p w14:paraId="7BE7753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989F01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Data</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fra</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non-</w:t>
      </w:r>
      <w:r w:rsidRPr="00307CA4">
        <w:rPr>
          <w:rFonts w:asciiTheme="majorBidi" w:hAnsiTheme="majorBidi" w:cstheme="majorBidi"/>
          <w:i/>
          <w:spacing w:val="-2"/>
          <w:sz w:val="24"/>
          <w:szCs w:val="24"/>
        </w:rPr>
        <w:t>interventionsstudier</w:t>
      </w:r>
    </w:p>
    <w:p w14:paraId="0B9A70F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Under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non-interventionsstudie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(GLORIA-AF)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prospektivt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indsamlet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data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sikkerhed og virkning hos nydiagnosticerede NVAF-patienter på dabigatranetexilat i daglig klinisk praksis.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omfattede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4.859</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(55</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gange dagligt, 43 % behandlet med 110 mg 2 gange dagligt, 2 % behandlet med 75 mg 2 gange dagligt). </w:t>
      </w:r>
      <w:r w:rsidRPr="00307CA4">
        <w:rPr>
          <w:rFonts w:asciiTheme="majorBidi" w:hAnsiTheme="majorBidi" w:cstheme="majorBidi"/>
          <w:position w:val="2"/>
          <w:sz w:val="24"/>
          <w:szCs w:val="24"/>
          <w:lang w:val="da-DK"/>
        </w:rPr>
        <w:t>Patienterne blev fulgt i 2 år. Gennemsnitlige CHADS</w:t>
      </w:r>
      <w:r w:rsidRPr="00307CA4">
        <w:rPr>
          <w:rFonts w:asciiTheme="majorBidi" w:hAnsiTheme="majorBidi" w:cstheme="majorBidi"/>
          <w:sz w:val="24"/>
          <w:szCs w:val="24"/>
          <w:lang w:val="da-DK"/>
        </w:rPr>
        <w:t>2</w:t>
      </w:r>
      <w:r w:rsidRPr="00307CA4">
        <w:rPr>
          <w:rFonts w:asciiTheme="majorBidi" w:hAnsiTheme="majorBidi" w:cstheme="majorBidi"/>
          <w:position w:val="2"/>
          <w:sz w:val="24"/>
          <w:szCs w:val="24"/>
          <w:lang w:val="da-DK"/>
        </w:rPr>
        <w:t xml:space="preserve">- og HAS-BLED-scorer var hhv. 1,9 og 1,2. </w:t>
      </w:r>
      <w:r w:rsidRPr="00307CA4">
        <w:rPr>
          <w:rFonts w:asciiTheme="majorBidi" w:hAnsiTheme="majorBidi" w:cstheme="majorBidi"/>
          <w:sz w:val="24"/>
          <w:szCs w:val="24"/>
          <w:lang w:val="da-DK"/>
        </w:rPr>
        <w:t>Gennemsnitlig opfølgningstid for behandlingen var 18,3 måneder. Alvorlige blødningstilfælde opstod hos 0,97 pr. 100 patientår. Livstruende blødning blev rapporteret hos 0,46 pr. 100 patientår, 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0,17</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gastrointestinal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0,60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patientår. Slagtilfælde opstod hos 0,65 pr. 100 patientår.</w:t>
      </w:r>
    </w:p>
    <w:p w14:paraId="3EEC587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C09E76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Ydermere,</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non-interventionsstudie</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[Graham</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DJ</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al.,</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Circulation.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2015;131:157-164]</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7"/>
          <w:sz w:val="24"/>
          <w:szCs w:val="24"/>
          <w:lang w:val="da-DK"/>
        </w:rPr>
        <w:t xml:space="preserve"> </w:t>
      </w:r>
      <w:r w:rsidRPr="00307CA4">
        <w:rPr>
          <w:rFonts w:asciiTheme="majorBidi" w:hAnsiTheme="majorBidi" w:cstheme="majorBidi"/>
          <w:spacing w:val="-4"/>
          <w:sz w:val="24"/>
          <w:szCs w:val="24"/>
          <w:lang w:val="da-DK"/>
        </w:rPr>
        <w:t xml:space="preserve">over </w:t>
      </w:r>
      <w:r w:rsidRPr="00307CA4">
        <w:rPr>
          <w:rFonts w:asciiTheme="majorBidi" w:hAnsiTheme="majorBidi" w:cstheme="majorBidi"/>
          <w:sz w:val="24"/>
          <w:szCs w:val="24"/>
          <w:lang w:val="da-DK"/>
        </w:rPr>
        <w:t>134.000 ældre patienter med NVAF i USA (der bidrager med behandlingsopfølgningstid på over 37.500</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patientår),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(84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 xml:space="preserve">% patienter behandlet med 75 mg 2 gange </w:t>
      </w:r>
      <w:r w:rsidRPr="00307CA4">
        <w:rPr>
          <w:rFonts w:asciiTheme="majorBidi" w:hAnsiTheme="majorBidi" w:cstheme="majorBidi"/>
          <w:sz w:val="24"/>
          <w:szCs w:val="24"/>
          <w:lang w:val="da-DK"/>
        </w:rPr>
        <w:lastRenderedPageBreak/>
        <w:t>dagligt) forbundet med en nedsat risiko for iskæmisk apopleksi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0,80; 95 % konfidensinterval [CI] 0,67</w:t>
      </w:r>
      <w:r w:rsidRPr="00307CA4">
        <w:rPr>
          <w:rFonts w:asciiTheme="majorBidi" w:hAnsiTheme="majorBidi" w:cstheme="majorBidi"/>
          <w:sz w:val="24"/>
          <w:szCs w:val="24"/>
          <w:lang w:val="da-DK"/>
        </w:rPr>
        <w:noBreakHyphen/>
        <w:t>0,96), intrakraniel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0,34; CI 0,26</w:t>
      </w:r>
      <w:r w:rsidRPr="00307CA4">
        <w:rPr>
          <w:rFonts w:asciiTheme="majorBidi" w:hAnsiTheme="majorBidi" w:cstheme="majorBidi"/>
          <w:sz w:val="24"/>
          <w:szCs w:val="24"/>
          <w:lang w:val="da-DK"/>
        </w:rPr>
        <w:noBreakHyphen/>
        <w:t>0,46) og mortalitet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0,86; CI 0,77</w:t>
      </w:r>
      <w:r w:rsidRPr="00307CA4">
        <w:rPr>
          <w:rFonts w:asciiTheme="majorBidi" w:hAnsiTheme="majorBidi" w:cstheme="majorBidi"/>
          <w:sz w:val="24"/>
          <w:szCs w:val="24"/>
          <w:lang w:val="da-DK"/>
        </w:rPr>
        <w:noBreakHyphen/>
        <w:t>0,96) og en øget risiko for gastrointestinal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1,28; CI 1,14</w:t>
      </w:r>
      <w:r w:rsidRPr="00307CA4">
        <w:rPr>
          <w:rFonts w:asciiTheme="majorBidi" w:hAnsiTheme="majorBidi" w:cstheme="majorBidi"/>
          <w:sz w:val="24"/>
          <w:szCs w:val="24"/>
          <w:lang w:val="da-DK"/>
        </w:rPr>
        <w:noBreakHyphen/>
        <w:t>1,44), sammenlignet med warfarin. Der blev ikke fundet nogen forskel for alvorlig blødning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0,97; CI 0,88</w:t>
      </w:r>
      <w:r w:rsidRPr="00307CA4">
        <w:rPr>
          <w:rFonts w:asciiTheme="majorBidi" w:hAnsiTheme="majorBidi" w:cstheme="majorBidi"/>
          <w:sz w:val="24"/>
          <w:szCs w:val="24"/>
          <w:lang w:val="da-DK"/>
        </w:rPr>
        <w:noBreakHyphen/>
        <w:t>1,07).</w:t>
      </w:r>
    </w:p>
    <w:p w14:paraId="72FF3A0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461EFB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Disse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observationer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praksis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overensstemmelse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etablerede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profiler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 sikkerhed og virkning for dabigatranetexilat i RE-LY-studiet for denne indikation.</w:t>
      </w:r>
    </w:p>
    <w:p w14:paraId="7C352859" w14:textId="45AF2C02" w:rsidR="00886871" w:rsidRDefault="00886871" w:rsidP="00DB26E1">
      <w:pPr>
        <w:pStyle w:val="Brdtekst"/>
        <w:widowControl/>
        <w:ind w:left="851"/>
        <w:rPr>
          <w:rFonts w:asciiTheme="majorBidi" w:hAnsiTheme="majorBidi" w:cstheme="majorBidi"/>
          <w:sz w:val="24"/>
          <w:szCs w:val="24"/>
          <w:lang w:val="da-DK"/>
        </w:rPr>
      </w:pPr>
    </w:p>
    <w:p w14:paraId="78669DFD" w14:textId="77777777" w:rsidR="00FC779C" w:rsidRPr="00FC779C" w:rsidRDefault="00FC779C" w:rsidP="00FC779C">
      <w:pPr>
        <w:pStyle w:val="Brdtekst"/>
        <w:widowControl/>
        <w:ind w:left="851"/>
        <w:rPr>
          <w:rFonts w:asciiTheme="majorBidi" w:hAnsiTheme="majorBidi" w:cstheme="majorBidi"/>
          <w:i/>
          <w:sz w:val="24"/>
          <w:szCs w:val="24"/>
        </w:rPr>
      </w:pPr>
      <w:r w:rsidRPr="00FC779C">
        <w:rPr>
          <w:rFonts w:asciiTheme="majorBidi" w:hAnsiTheme="majorBidi" w:cstheme="majorBidi"/>
          <w:i/>
          <w:sz w:val="24"/>
          <w:szCs w:val="24"/>
        </w:rPr>
        <w:t>Patienter, der gennemgår kateterablation for atrieflimren</w:t>
      </w:r>
    </w:p>
    <w:p w14:paraId="77E63B5E" w14:textId="77777777" w:rsidR="00FC779C" w:rsidRPr="00FC779C" w:rsidRDefault="00FC779C" w:rsidP="00FC779C">
      <w:pPr>
        <w:pStyle w:val="Brdtekst"/>
        <w:widowControl/>
        <w:ind w:left="851"/>
        <w:rPr>
          <w:rFonts w:asciiTheme="majorBidi" w:hAnsiTheme="majorBidi" w:cstheme="majorBidi"/>
          <w:sz w:val="24"/>
          <w:szCs w:val="24"/>
        </w:rPr>
      </w:pPr>
      <w:r w:rsidRPr="00FC779C">
        <w:rPr>
          <w:rFonts w:asciiTheme="majorBidi" w:hAnsiTheme="majorBidi" w:cstheme="majorBidi"/>
          <w:sz w:val="24"/>
          <w:szCs w:val="24"/>
        </w:rPr>
        <w:t xml:space="preserve">Et prospektivt, randomiseret, </w:t>
      </w:r>
      <w:r w:rsidRPr="00FC779C">
        <w:rPr>
          <w:rFonts w:asciiTheme="majorBidi" w:hAnsiTheme="majorBidi" w:cstheme="majorBidi"/>
          <w:i/>
          <w:sz w:val="24"/>
          <w:szCs w:val="24"/>
        </w:rPr>
        <w:t>open-label</w:t>
      </w:r>
      <w:r w:rsidRPr="00FC779C">
        <w:rPr>
          <w:rFonts w:asciiTheme="majorBidi" w:hAnsiTheme="majorBidi" w:cstheme="majorBidi"/>
          <w:sz w:val="24"/>
          <w:szCs w:val="24"/>
        </w:rPr>
        <w:t xml:space="preserve">,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w:t>
      </w:r>
      <w:r w:rsidRPr="00FC779C">
        <w:rPr>
          <w:rFonts w:asciiTheme="majorBidi" w:hAnsiTheme="majorBidi" w:cstheme="majorBidi"/>
          <w:sz w:val="24"/>
          <w:szCs w:val="24"/>
        </w:rPr>
        <w:noBreakHyphen/>
        <w:t>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 justeret warfarin.</w:t>
      </w:r>
    </w:p>
    <w:p w14:paraId="6C38130E" w14:textId="77777777" w:rsidR="00FC779C" w:rsidRPr="00FC779C" w:rsidRDefault="00FC779C" w:rsidP="00DB26E1">
      <w:pPr>
        <w:pStyle w:val="Brdtekst"/>
        <w:widowControl/>
        <w:ind w:left="851"/>
        <w:rPr>
          <w:rFonts w:asciiTheme="majorBidi" w:hAnsiTheme="majorBidi" w:cstheme="majorBidi"/>
          <w:sz w:val="24"/>
          <w:szCs w:val="24"/>
        </w:rPr>
      </w:pPr>
    </w:p>
    <w:p w14:paraId="1E59D060"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Patienter,</w:t>
      </w:r>
      <w:r w:rsidRPr="00307CA4">
        <w:rPr>
          <w:rFonts w:asciiTheme="majorBidi" w:hAnsiTheme="majorBidi" w:cstheme="majorBidi"/>
          <w:i/>
          <w:spacing w:val="-10"/>
          <w:sz w:val="24"/>
          <w:szCs w:val="24"/>
        </w:rPr>
        <w:t xml:space="preserve"> </w:t>
      </w:r>
      <w:r w:rsidRPr="00307CA4">
        <w:rPr>
          <w:rFonts w:asciiTheme="majorBidi" w:hAnsiTheme="majorBidi" w:cstheme="majorBidi"/>
          <w:i/>
          <w:sz w:val="24"/>
          <w:szCs w:val="24"/>
        </w:rPr>
        <w:t>som</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gennemgik</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perkutan</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koronar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intervention</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(PCI)</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pacing w:val="-2"/>
          <w:sz w:val="24"/>
          <w:szCs w:val="24"/>
        </w:rPr>
        <w:t>stenting</w:t>
      </w:r>
    </w:p>
    <w:p w14:paraId="4EEFFDD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Et prospektivt, randomiseret, </w:t>
      </w:r>
      <w:r w:rsidRPr="00307CA4">
        <w:rPr>
          <w:rFonts w:asciiTheme="majorBidi" w:hAnsiTheme="majorBidi" w:cstheme="majorBidi"/>
          <w:i/>
          <w:sz w:val="24"/>
          <w:szCs w:val="24"/>
          <w:lang w:val="da-DK"/>
        </w:rPr>
        <w:t xml:space="preserve">open-label </w:t>
      </w:r>
      <w:r w:rsidRPr="00307CA4">
        <w:rPr>
          <w:rFonts w:asciiTheme="majorBidi" w:hAnsiTheme="majorBidi" w:cstheme="majorBidi"/>
          <w:sz w:val="24"/>
          <w:szCs w:val="24"/>
          <w:lang w:val="da-DK"/>
        </w:rPr>
        <w:t>studie (fase IIIb) med blindet endepunkt (PROBE) til evaluering af dobbeltterapi med dabigatranetexilat (110 mg eller 150 mg 2 gange dagligt) plus clopidogrel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ticagrelor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(P2Y12-antagonist)</w:t>
      </w:r>
      <w:r w:rsidRPr="00307CA4">
        <w:rPr>
          <w:rFonts w:asciiTheme="majorBidi" w:hAnsiTheme="majorBidi" w:cstheme="majorBidi"/>
          <w:spacing w:val="-2"/>
          <w:sz w:val="24"/>
          <w:szCs w:val="24"/>
          <w:lang w:val="da-DK"/>
        </w:rPr>
        <w:t xml:space="preserve"> </w:t>
      </w:r>
      <w:r w:rsidRPr="00307CA4">
        <w:rPr>
          <w:rFonts w:asciiTheme="majorBidi" w:hAnsiTheme="majorBidi" w:cstheme="majorBidi"/>
          <w:i/>
          <w:sz w:val="24"/>
          <w:szCs w:val="24"/>
          <w:lang w:val="da-DK"/>
        </w:rPr>
        <w:t>vs.</w:t>
      </w:r>
      <w:r w:rsidRPr="00307CA4">
        <w:rPr>
          <w:rFonts w:asciiTheme="majorBidi" w:hAnsiTheme="majorBidi" w:cstheme="majorBidi"/>
          <w:i/>
          <w:spacing w:val="-2"/>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(justeret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67EA39E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BB7AF4"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Forekomsten af det primære endepunkt var 15,4 % (151 patienter) i gruppen med dabigatranetexilat 110 mg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26,9</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tripelterapi (HR 0,52; 95 % CI 0,42; 0,63; p &lt; 0,0001 for non-inferioritet, og p &lt; 0,0001 for superioritet) og</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14</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 xml:space="preserve">hændelser (1,4 %) i gruppen med dabigatranetexilat 110 mg dobbeltterapi, </w:t>
      </w:r>
      <w:r w:rsidRPr="00307CA4">
        <w:rPr>
          <w:rFonts w:asciiTheme="majorBidi" w:hAnsiTheme="majorBidi" w:cstheme="majorBidi"/>
          <w:sz w:val="24"/>
          <w:szCs w:val="24"/>
          <w:lang w:val="da-DK"/>
        </w:rPr>
        <w:lastRenderedPageBreak/>
        <w:t>sammenlignet med 37 hændelser (3,8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tripelterapi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0,37;</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95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CI</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0,20;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0,68;</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0,002),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hændelser (2,1 %) i gruppen med dabigatranetexilat 150 mg dobbeltterapi, sammenlignet med 30 hændelser (3,9 %) i den tilsvarende gruppe med warfarin tripelterapi (HR 0,51; 95 % CI 0,28; 0,93; p = 0,03). Begge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grupper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dobbeltterapi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hyppigheder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intrakraniel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hændelser (1,0</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 xml:space="preserve">%)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307CA4">
        <w:rPr>
          <w:rFonts w:asciiTheme="majorBidi" w:hAnsiTheme="majorBidi" w:cstheme="majorBidi"/>
          <w:i/>
          <w:sz w:val="24"/>
          <w:szCs w:val="24"/>
          <w:lang w:val="da-DK"/>
        </w:rPr>
        <w:t xml:space="preserve">vs. </w:t>
      </w:r>
      <w:r w:rsidRPr="00307CA4">
        <w:rPr>
          <w:rFonts w:asciiTheme="majorBidi" w:hAnsiTheme="majorBidi" w:cstheme="majorBidi"/>
          <w:sz w:val="24"/>
          <w:szCs w:val="24"/>
          <w:lang w:val="da-DK"/>
        </w:rPr>
        <w:t>13,4 %, HR 1,04; 95 % CI: 0,84; 1,29; p = 0,0047 for non-inferioritet). Der var ingen statistiske forskelle i de individuelle komponenter af endepunkterne for virkning, hverken mellem grupperne med dabigatranetexilat dobbeltterapi eller med warfarin tripelterapi.</w:t>
      </w:r>
    </w:p>
    <w:p w14:paraId="7668B30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9A95CA7" w14:textId="7AC1CA5A"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Dette studie viste, at dobbeltterapi med dabigatranetexilat og en P2Y12-antagonist reducerede blødningsrisikoen signifikant </w:t>
      </w:r>
      <w:r w:rsidRPr="00307CA4">
        <w:rPr>
          <w:rFonts w:asciiTheme="majorBidi" w:hAnsiTheme="majorBidi" w:cstheme="majorBidi"/>
          <w:i/>
          <w:sz w:val="24"/>
          <w:szCs w:val="24"/>
          <w:lang w:val="da-DK"/>
        </w:rPr>
        <w:t>vs.</w:t>
      </w:r>
      <w:r w:rsidR="00FC779C">
        <w:rPr>
          <w:rFonts w:asciiTheme="majorBidi" w:hAnsiTheme="majorBidi" w:cstheme="majorBidi"/>
          <w:i/>
          <w:sz w:val="24"/>
          <w:szCs w:val="24"/>
          <w:lang w:val="da-DK"/>
        </w:rPr>
        <w:t xml:space="preserve"> </w:t>
      </w:r>
      <w:r w:rsidR="00FC779C" w:rsidRPr="00FC779C">
        <w:rPr>
          <w:rFonts w:asciiTheme="majorBidi" w:hAnsiTheme="majorBidi" w:cstheme="majorBidi"/>
          <w:sz w:val="24"/>
          <w:szCs w:val="24"/>
          <w:lang w:val="da-DK"/>
        </w:rPr>
        <w:t>w</w:t>
      </w:r>
      <w:r w:rsidRPr="00307CA4">
        <w:rPr>
          <w:rFonts w:asciiTheme="majorBidi" w:hAnsiTheme="majorBidi" w:cstheme="majorBidi"/>
          <w:sz w:val="24"/>
          <w:szCs w:val="24"/>
          <w:lang w:val="da-DK"/>
        </w:rPr>
        <w:t>arfarin tripelterapi, med non-inferioritet for de samlede tromboemboliske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hændelser,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atrieflimren,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gennemgik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PCI</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stenting.</w:t>
      </w:r>
    </w:p>
    <w:p w14:paraId="61543A3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74A8873"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Behandling</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voksne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(DVT/LE-</w:t>
      </w:r>
      <w:r w:rsidRPr="00307CA4">
        <w:rPr>
          <w:rFonts w:asciiTheme="majorBidi" w:hAnsiTheme="majorBidi" w:cstheme="majorBidi"/>
          <w:i/>
          <w:spacing w:val="-2"/>
          <w:sz w:val="24"/>
          <w:szCs w:val="24"/>
        </w:rPr>
        <w:t>behandling)</w:t>
      </w:r>
    </w:p>
    <w:p w14:paraId="1B01D8B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Virkning og sikkerhed hos patienter med akut DVT og/eller LE blev undersøgt i to multicenter, randomiserede, dobbeltblindede, parallelgruppe, duplikat-studier, RE</w:t>
      </w:r>
      <w:r w:rsidRPr="00307CA4">
        <w:rPr>
          <w:rFonts w:asciiTheme="majorBidi" w:hAnsiTheme="majorBidi" w:cstheme="majorBidi"/>
          <w:sz w:val="24"/>
          <w:szCs w:val="24"/>
          <w:lang w:val="da-DK"/>
        </w:rPr>
        <w:noBreakHyphen/>
        <w:t>COVER og RE</w:t>
      </w:r>
      <w:r w:rsidRPr="00307CA4">
        <w:rPr>
          <w:rFonts w:asciiTheme="majorBidi" w:hAnsiTheme="majorBidi" w:cstheme="majorBidi"/>
          <w:sz w:val="24"/>
          <w:szCs w:val="24"/>
          <w:lang w:val="da-DK"/>
        </w:rPr>
        <w:noBreakHyphen/>
        <w:t>COVER II. Disse studier sammenlignede dabigatranetexilat (150 mg 2 gange dagligt) med warfarin (behandlingsmål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z w:val="24"/>
          <w:szCs w:val="24"/>
          <w:lang w:val="da-DK"/>
        </w:rPr>
        <w:noBreakHyphen/>
        <w:t>3,0).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primære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non-inferior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forhold til warfarin til reduktion af forekomsten af det sammensatte primære endepunkt, recidiverende symptomatisk DVT og/eller LE og relateret død indenfor den 6 måneder lange behandlingsperiode.</w:t>
      </w:r>
    </w:p>
    <w:p w14:paraId="30E4ACA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FC0F194"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5.153</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poolede</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6"/>
          <w:sz w:val="24"/>
          <w:szCs w:val="24"/>
          <w:lang w:val="da-DK"/>
        </w:rPr>
        <w:t> </w:t>
      </w:r>
      <w:r w:rsidRPr="00307CA4">
        <w:rPr>
          <w:rFonts w:asciiTheme="majorBidi" w:hAnsiTheme="majorBidi" w:cstheme="majorBidi"/>
          <w:sz w:val="24"/>
          <w:szCs w:val="24"/>
          <w:lang w:val="da-DK"/>
        </w:rPr>
        <w:t>II-studier,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5.107</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2"/>
          <w:sz w:val="24"/>
          <w:szCs w:val="24"/>
          <w:lang w:val="da-DK"/>
        </w:rPr>
        <w:t>behandlet.</w:t>
      </w:r>
    </w:p>
    <w:p w14:paraId="3800879B"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075F1663" w14:textId="77777777" w:rsidR="00886871" w:rsidRPr="00307CA4" w:rsidRDefault="00886871" w:rsidP="00FC779C">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behandlingperioden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174,0 dage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koagulationen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monitoreret.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terapeutiske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interval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 60,6 %.</w:t>
      </w:r>
    </w:p>
    <w:p w14:paraId="65EA759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EAEAA8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Studierne viste, at dabigatranetexilat 150 mg 2 gange dagligt er non-inferior til warfarin (non</w:t>
      </w:r>
      <w:r w:rsidRPr="00307CA4">
        <w:rPr>
          <w:rFonts w:asciiTheme="majorBidi" w:hAnsiTheme="majorBidi" w:cstheme="majorBidi"/>
          <w:sz w:val="24"/>
          <w:szCs w:val="24"/>
          <w:lang w:val="da-DK"/>
        </w:rPr>
        <w:noBreakHyphen/>
        <w:t xml:space="preserve"> inferioritet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II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3,6</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risiko-forskel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2,75</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i/>
          <w:sz w:val="24"/>
          <w:szCs w:val="24"/>
          <w:lang w:val="da-DK"/>
        </w:rPr>
        <w:t>hazard</w:t>
      </w:r>
      <w:r w:rsidRPr="00307CA4">
        <w:rPr>
          <w:rFonts w:asciiTheme="majorBidi" w:hAnsiTheme="majorBidi" w:cstheme="majorBidi"/>
          <w:i/>
          <w:spacing w:val="-5"/>
          <w:sz w:val="24"/>
          <w:szCs w:val="24"/>
          <w:lang w:val="da-DK"/>
        </w:rPr>
        <w:t xml:space="preserve"> </w:t>
      </w:r>
      <w:r w:rsidRPr="00307CA4">
        <w:rPr>
          <w:rFonts w:asciiTheme="majorBidi" w:hAnsiTheme="majorBidi" w:cstheme="majorBidi"/>
          <w:sz w:val="24"/>
          <w:szCs w:val="24"/>
          <w:lang w:val="da-DK"/>
        </w:rPr>
        <w:t>ratio).</w:t>
      </w:r>
    </w:p>
    <w:p w14:paraId="3DCFDF9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AC2989F" w14:textId="0BDEF68C" w:rsidR="00886871" w:rsidRDefault="00886871" w:rsidP="00146E50">
      <w:pPr>
        <w:pStyle w:val="Overskrift2"/>
        <w:keepNext/>
        <w:keepLines/>
        <w:widowControl/>
        <w:ind w:left="1249" w:hanging="992"/>
        <w:jc w:val="both"/>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2</w:t>
      </w:r>
      <w:r w:rsidR="00FC779C">
        <w:rPr>
          <w:rFonts w:asciiTheme="majorBidi" w:hAnsiTheme="majorBidi" w:cstheme="majorBidi"/>
          <w:lang w:val="da-DK"/>
        </w:rPr>
        <w:t>2</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de</w:t>
      </w:r>
      <w:r>
        <w:rPr>
          <w:rFonts w:asciiTheme="majorBidi" w:hAnsiTheme="majorBidi" w:cstheme="majorBidi"/>
          <w:spacing w:val="-3"/>
          <w:lang w:val="da-DK"/>
        </w:rPr>
        <w:t xml:space="preserve"> </w:t>
      </w:r>
      <w:r>
        <w:rPr>
          <w:rFonts w:asciiTheme="majorBidi" w:hAnsiTheme="majorBidi" w:cstheme="majorBidi"/>
          <w:lang w:val="da-DK"/>
        </w:rPr>
        <w:t>primære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sekundære</w:t>
      </w:r>
      <w:r>
        <w:rPr>
          <w:rFonts w:asciiTheme="majorBidi" w:hAnsiTheme="majorBidi" w:cstheme="majorBidi"/>
          <w:spacing w:val="-3"/>
          <w:lang w:val="da-DK"/>
        </w:rPr>
        <w:t xml:space="preserve"> </w:t>
      </w:r>
      <w:r>
        <w:rPr>
          <w:rFonts w:asciiTheme="majorBidi" w:hAnsiTheme="majorBidi" w:cstheme="majorBidi"/>
          <w:lang w:val="da-DK"/>
        </w:rPr>
        <w:t>virkningsendepunkter</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er</w:t>
      </w:r>
      <w:r>
        <w:rPr>
          <w:rFonts w:asciiTheme="majorBidi" w:hAnsiTheme="majorBidi" w:cstheme="majorBidi"/>
          <w:spacing w:val="-3"/>
          <w:lang w:val="da-DK"/>
        </w:rPr>
        <w:t xml:space="preserve"> </w:t>
      </w:r>
      <w:r>
        <w:rPr>
          <w:rFonts w:asciiTheme="majorBidi" w:hAnsiTheme="majorBidi" w:cstheme="majorBidi"/>
          <w:lang w:val="da-DK"/>
        </w:rPr>
        <w:t>summen</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DVT og/eller</w:t>
      </w:r>
      <w:r>
        <w:rPr>
          <w:rFonts w:asciiTheme="majorBidi" w:hAnsiTheme="majorBidi" w:cstheme="majorBidi"/>
          <w:spacing w:val="-1"/>
          <w:lang w:val="da-DK"/>
        </w:rPr>
        <w:t xml:space="preserve"> </w:t>
      </w:r>
      <w:r>
        <w:rPr>
          <w:rFonts w:asciiTheme="majorBidi" w:hAnsiTheme="majorBidi" w:cstheme="majorBidi"/>
          <w:lang w:val="da-DK"/>
        </w:rPr>
        <w:t>LE)</w:t>
      </w:r>
      <w:r>
        <w:rPr>
          <w:rFonts w:asciiTheme="majorBidi" w:hAnsiTheme="majorBidi" w:cstheme="majorBidi"/>
          <w:spacing w:val="-1"/>
          <w:lang w:val="da-DK"/>
        </w:rPr>
        <w:t xml:space="preserve"> </w:t>
      </w:r>
      <w:r>
        <w:rPr>
          <w:rFonts w:asciiTheme="majorBidi" w:hAnsiTheme="majorBidi" w:cstheme="majorBidi"/>
          <w:lang w:val="da-DK"/>
        </w:rPr>
        <w:t>for</w:t>
      </w:r>
      <w:r>
        <w:rPr>
          <w:rFonts w:asciiTheme="majorBidi" w:hAnsiTheme="majorBidi" w:cstheme="majorBidi"/>
          <w:spacing w:val="-1"/>
          <w:lang w:val="da-DK"/>
        </w:rPr>
        <w:t xml:space="preserve"> </w:t>
      </w:r>
      <w:r>
        <w:rPr>
          <w:rFonts w:asciiTheme="majorBidi" w:hAnsiTheme="majorBidi" w:cstheme="majorBidi"/>
          <w:lang w:val="da-DK"/>
        </w:rPr>
        <w:t>de</w:t>
      </w:r>
      <w:r>
        <w:rPr>
          <w:rFonts w:asciiTheme="majorBidi" w:hAnsiTheme="majorBidi" w:cstheme="majorBidi"/>
          <w:spacing w:val="-1"/>
          <w:lang w:val="da-DK"/>
        </w:rPr>
        <w:t xml:space="preserve"> </w:t>
      </w:r>
      <w:r>
        <w:rPr>
          <w:rFonts w:asciiTheme="majorBidi" w:hAnsiTheme="majorBidi" w:cstheme="majorBidi"/>
          <w:lang w:val="da-DK"/>
        </w:rPr>
        <w:t>poolede</w:t>
      </w:r>
      <w:r>
        <w:rPr>
          <w:rFonts w:asciiTheme="majorBidi" w:hAnsiTheme="majorBidi" w:cstheme="majorBidi"/>
          <w:spacing w:val="-1"/>
          <w:lang w:val="da-DK"/>
        </w:rPr>
        <w:t xml:space="preserve"> </w:t>
      </w:r>
      <w:r>
        <w:rPr>
          <w:rFonts w:asciiTheme="majorBidi" w:hAnsiTheme="majorBidi" w:cstheme="majorBidi"/>
          <w:lang w:val="da-DK"/>
        </w:rPr>
        <w:t>studier</w:t>
      </w:r>
      <w:r>
        <w:rPr>
          <w:rFonts w:asciiTheme="majorBidi" w:hAnsiTheme="majorBidi" w:cstheme="majorBidi"/>
          <w:spacing w:val="-1"/>
          <w:lang w:val="da-DK"/>
        </w:rPr>
        <w:t xml:space="preserve"> </w:t>
      </w:r>
      <w:r>
        <w:rPr>
          <w:rFonts w:asciiTheme="majorBidi" w:hAnsiTheme="majorBidi" w:cstheme="majorBidi"/>
          <w:lang w:val="da-DK"/>
        </w:rPr>
        <w:t>RE-COVER</w:t>
      </w:r>
      <w:r>
        <w:rPr>
          <w:rFonts w:asciiTheme="majorBidi" w:hAnsiTheme="majorBidi" w:cstheme="majorBidi"/>
          <w:spacing w:val="-2"/>
          <w:lang w:val="da-DK"/>
        </w:rPr>
        <w:t xml:space="preserve"> </w:t>
      </w:r>
      <w:r>
        <w:rPr>
          <w:rFonts w:asciiTheme="majorBidi" w:hAnsiTheme="majorBidi" w:cstheme="majorBidi"/>
          <w:lang w:val="da-DK"/>
        </w:rPr>
        <w:t>og</w:t>
      </w:r>
      <w:r>
        <w:rPr>
          <w:rFonts w:asciiTheme="majorBidi" w:hAnsiTheme="majorBidi" w:cstheme="majorBidi"/>
          <w:spacing w:val="-2"/>
          <w:lang w:val="da-DK"/>
        </w:rPr>
        <w:t xml:space="preserve"> </w:t>
      </w:r>
      <w:r>
        <w:rPr>
          <w:rFonts w:asciiTheme="majorBidi" w:hAnsiTheme="majorBidi" w:cstheme="majorBidi"/>
          <w:lang w:val="da-DK"/>
        </w:rPr>
        <w:t>RE-COVER</w:t>
      </w:r>
      <w:r>
        <w:rPr>
          <w:rFonts w:asciiTheme="majorBidi" w:hAnsiTheme="majorBidi" w:cstheme="majorBidi"/>
          <w:spacing w:val="-1"/>
          <w:lang w:val="da-DK"/>
        </w:rPr>
        <w:t xml:space="preserve"> </w:t>
      </w:r>
      <w:r>
        <w:rPr>
          <w:rFonts w:asciiTheme="majorBidi" w:hAnsiTheme="majorBidi" w:cstheme="majorBidi"/>
          <w:lang w:val="da-DK"/>
        </w:rPr>
        <w:t>II</w:t>
      </w:r>
      <w:r>
        <w:rPr>
          <w:rFonts w:asciiTheme="majorBidi" w:hAnsiTheme="majorBidi" w:cstheme="majorBidi"/>
          <w:spacing w:val="-1"/>
          <w:lang w:val="da-DK"/>
        </w:rPr>
        <w:t xml:space="preserve"> </w:t>
      </w:r>
      <w:r>
        <w:rPr>
          <w:rFonts w:asciiTheme="majorBidi" w:hAnsiTheme="majorBidi" w:cstheme="majorBidi"/>
          <w:lang w:val="da-DK"/>
        </w:rPr>
        <w:t>indtil</w:t>
      </w:r>
      <w:r>
        <w:rPr>
          <w:rFonts w:asciiTheme="majorBidi" w:hAnsiTheme="majorBidi" w:cstheme="majorBidi"/>
          <w:spacing w:val="-1"/>
          <w:lang w:val="da-DK"/>
        </w:rPr>
        <w:t xml:space="preserve"> </w:t>
      </w:r>
      <w:r>
        <w:rPr>
          <w:rFonts w:asciiTheme="majorBidi" w:hAnsiTheme="majorBidi" w:cstheme="majorBidi"/>
          <w:lang w:val="da-DK"/>
        </w:rPr>
        <w:t>slutningen</w:t>
      </w:r>
      <w:r>
        <w:rPr>
          <w:rFonts w:asciiTheme="majorBidi" w:hAnsiTheme="majorBidi" w:cstheme="majorBidi"/>
          <w:spacing w:val="-1"/>
          <w:lang w:val="da-DK"/>
        </w:rPr>
        <w:t xml:space="preserve"> </w:t>
      </w:r>
      <w:r>
        <w:rPr>
          <w:rFonts w:asciiTheme="majorBidi" w:hAnsiTheme="majorBidi" w:cstheme="majorBidi"/>
          <w:lang w:val="da-DK"/>
        </w:rPr>
        <w:t>af perioden efter behandlingen.</w:t>
      </w:r>
    </w:p>
    <w:p w14:paraId="4665FF00"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909"/>
        <w:gridCol w:w="2693"/>
      </w:tblGrid>
      <w:tr w:rsidR="00886871" w14:paraId="666535DB" w14:textId="77777777" w:rsidTr="00886871">
        <w:trPr>
          <w:cantSplit/>
          <w:trHeight w:val="20"/>
          <w:tblHeader/>
        </w:trPr>
        <w:tc>
          <w:tcPr>
            <w:tcW w:w="2539" w:type="dxa"/>
            <w:tcBorders>
              <w:top w:val="single" w:sz="4" w:space="0" w:color="000000"/>
              <w:left w:val="single" w:sz="4" w:space="0" w:color="000000"/>
              <w:bottom w:val="single" w:sz="4" w:space="0" w:color="000000"/>
              <w:right w:val="single" w:sz="4" w:space="0" w:color="000000"/>
            </w:tcBorders>
          </w:tcPr>
          <w:p w14:paraId="51F48AC6"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909" w:type="dxa"/>
            <w:tcBorders>
              <w:top w:val="single" w:sz="4" w:space="0" w:color="000000"/>
              <w:left w:val="single" w:sz="4" w:space="0" w:color="000000"/>
              <w:bottom w:val="single" w:sz="4" w:space="0" w:color="000000"/>
              <w:right w:val="single" w:sz="4" w:space="0" w:color="000000"/>
            </w:tcBorders>
            <w:hideMark/>
          </w:tcPr>
          <w:p w14:paraId="2D7CBDB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mg</w:t>
            </w:r>
          </w:p>
          <w:p w14:paraId="25873C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693" w:type="dxa"/>
            <w:tcBorders>
              <w:top w:val="single" w:sz="4" w:space="0" w:color="000000"/>
              <w:left w:val="single" w:sz="4" w:space="0" w:color="000000"/>
              <w:bottom w:val="single" w:sz="4" w:space="0" w:color="000000"/>
              <w:right w:val="single" w:sz="4" w:space="0" w:color="000000"/>
            </w:tcBorders>
            <w:hideMark/>
          </w:tcPr>
          <w:p w14:paraId="5022E98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6560A62F"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53D008A5"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909" w:type="dxa"/>
            <w:tcBorders>
              <w:top w:val="single" w:sz="4" w:space="0" w:color="000000"/>
              <w:left w:val="single" w:sz="4" w:space="0" w:color="000000"/>
              <w:bottom w:val="single" w:sz="4" w:space="0" w:color="000000"/>
              <w:right w:val="single" w:sz="4" w:space="0" w:color="000000"/>
            </w:tcBorders>
            <w:hideMark/>
          </w:tcPr>
          <w:p w14:paraId="6EE885F8"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2.553</w:t>
            </w:r>
          </w:p>
        </w:tc>
        <w:tc>
          <w:tcPr>
            <w:tcW w:w="2693" w:type="dxa"/>
            <w:tcBorders>
              <w:top w:val="single" w:sz="4" w:space="0" w:color="000000"/>
              <w:left w:val="single" w:sz="4" w:space="0" w:color="000000"/>
              <w:bottom w:val="single" w:sz="4" w:space="0" w:color="000000"/>
              <w:right w:val="single" w:sz="4" w:space="0" w:color="000000"/>
            </w:tcBorders>
            <w:hideMark/>
          </w:tcPr>
          <w:p w14:paraId="696867B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2.554</w:t>
            </w:r>
          </w:p>
        </w:tc>
      </w:tr>
      <w:tr w:rsidR="00886871" w14:paraId="319D7FD6"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47D441D3"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spacing w:val="-2"/>
                <w:kern w:val="2"/>
                <w:lang w:val="nb-NO"/>
                <w14:ligatures w14:val="standardContextual"/>
              </w:rPr>
              <w:t>Recidiverende</w:t>
            </w:r>
          </w:p>
          <w:p w14:paraId="34EE12F2"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symptomatisk</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og VTE-relateret død</w:t>
            </w:r>
          </w:p>
        </w:tc>
        <w:tc>
          <w:tcPr>
            <w:tcW w:w="2909" w:type="dxa"/>
            <w:tcBorders>
              <w:top w:val="single" w:sz="4" w:space="0" w:color="000000"/>
              <w:left w:val="single" w:sz="4" w:space="0" w:color="000000"/>
              <w:bottom w:val="single" w:sz="4" w:space="0" w:color="000000"/>
              <w:right w:val="single" w:sz="4" w:space="0" w:color="000000"/>
            </w:tcBorders>
          </w:tcPr>
          <w:p w14:paraId="2C5998D8"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nb-NO"/>
                <w14:ligatures w14:val="standardContextual"/>
              </w:rPr>
            </w:pPr>
          </w:p>
          <w:p w14:paraId="0449628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68 (2,7</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tcPr>
          <w:p w14:paraId="0E55702C"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EBCF20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2"/>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EF8CFAC"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23DFC4E" w14:textId="77777777" w:rsidR="00886871" w:rsidRDefault="00886871" w:rsidP="00146E50">
            <w:pPr>
              <w:pStyle w:val="TableParagraph"/>
              <w:widowControl/>
              <w:spacing w:line="240" w:lineRule="auto"/>
              <w:ind w:left="69"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5"/>
                <w:kern w:val="2"/>
                <w:lang w:val="da-DK"/>
                <w14:ligatures w14:val="standardContextual"/>
              </w:rPr>
              <w:t xml:space="preserve"> </w:t>
            </w:r>
            <w:r>
              <w:rPr>
                <w:rFonts w:asciiTheme="majorBidi" w:hAnsiTheme="majorBidi" w:cstheme="majorBidi"/>
                <w:i/>
                <w:spacing w:val="-5"/>
                <w:kern w:val="2"/>
                <w:lang w:val="da-DK"/>
                <w14:ligatures w14:val="standardContextual"/>
              </w:rPr>
              <w:t>vs.</w:t>
            </w:r>
          </w:p>
          <w:p w14:paraId="1F04DB5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warfarin </w:t>
            </w:r>
            <w:r>
              <w:rPr>
                <w:rFonts w:asciiTheme="majorBidi" w:hAnsiTheme="majorBidi" w:cstheme="majorBidi"/>
                <w:kern w:val="2"/>
                <w:lang w:val="da-DK"/>
                <w14:ligatures w14:val="standardContextual"/>
              </w:rPr>
              <w:t>(95 %</w:t>
            </w:r>
          </w:p>
          <w:p w14:paraId="1860138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tcPr>
          <w:p w14:paraId="38DA920A"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4215B9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1,09</w:t>
            </w:r>
          </w:p>
          <w:p w14:paraId="7EC4183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(0,77;</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1,54)</w:t>
            </w:r>
          </w:p>
        </w:tc>
        <w:tc>
          <w:tcPr>
            <w:tcW w:w="2693" w:type="dxa"/>
            <w:tcBorders>
              <w:top w:val="single" w:sz="4" w:space="0" w:color="000000"/>
              <w:left w:val="single" w:sz="4" w:space="0" w:color="000000"/>
              <w:bottom w:val="single" w:sz="4" w:space="0" w:color="000000"/>
              <w:right w:val="single" w:sz="4" w:space="0" w:color="000000"/>
            </w:tcBorders>
          </w:tcPr>
          <w:p w14:paraId="43E18D5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271C068"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6A43DD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Sekundære virkningsendepunkter</w:t>
            </w:r>
          </w:p>
        </w:tc>
        <w:tc>
          <w:tcPr>
            <w:tcW w:w="2909" w:type="dxa"/>
            <w:tcBorders>
              <w:top w:val="single" w:sz="4" w:space="0" w:color="000000"/>
              <w:left w:val="single" w:sz="4" w:space="0" w:color="000000"/>
              <w:bottom w:val="single" w:sz="4" w:space="0" w:color="000000"/>
              <w:right w:val="single" w:sz="4" w:space="0" w:color="000000"/>
            </w:tcBorders>
          </w:tcPr>
          <w:p w14:paraId="489E76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693" w:type="dxa"/>
            <w:tcBorders>
              <w:top w:val="single" w:sz="4" w:space="0" w:color="000000"/>
              <w:left w:val="single" w:sz="4" w:space="0" w:color="000000"/>
              <w:bottom w:val="single" w:sz="4" w:space="0" w:color="000000"/>
              <w:right w:val="single" w:sz="4" w:space="0" w:color="000000"/>
            </w:tcBorders>
          </w:tcPr>
          <w:p w14:paraId="02423E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1A6804AA"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0EF2AC1"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Recidiverende</w:t>
            </w:r>
          </w:p>
          <w:p w14:paraId="1247F7D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og død uanset årsag</w:t>
            </w:r>
          </w:p>
        </w:tc>
        <w:tc>
          <w:tcPr>
            <w:tcW w:w="2909" w:type="dxa"/>
            <w:tcBorders>
              <w:top w:val="single" w:sz="4" w:space="0" w:color="000000"/>
              <w:left w:val="single" w:sz="4" w:space="0" w:color="000000"/>
              <w:bottom w:val="single" w:sz="4" w:space="0" w:color="000000"/>
              <w:right w:val="single" w:sz="4" w:space="0" w:color="000000"/>
            </w:tcBorders>
          </w:tcPr>
          <w:p w14:paraId="6DFBE91D"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42B00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 (4,3</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tcPr>
          <w:p w14:paraId="30D0A7EC"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FC6D8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104 (4,1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23761FD2"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387B82A"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8B0E4E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5,13</w:t>
            </w:r>
          </w:p>
        </w:tc>
        <w:tc>
          <w:tcPr>
            <w:tcW w:w="2693" w:type="dxa"/>
            <w:tcBorders>
              <w:top w:val="single" w:sz="4" w:space="0" w:color="000000"/>
              <w:left w:val="single" w:sz="4" w:space="0" w:color="000000"/>
              <w:bottom w:val="single" w:sz="4" w:space="0" w:color="000000"/>
              <w:right w:val="single" w:sz="4" w:space="0" w:color="000000"/>
            </w:tcBorders>
            <w:hideMark/>
          </w:tcPr>
          <w:p w14:paraId="254A038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3,34;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4,91</w:t>
            </w:r>
          </w:p>
        </w:tc>
      </w:tr>
      <w:tr w:rsidR="00886871" w14:paraId="118E9DCD"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5AF839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909" w:type="dxa"/>
            <w:tcBorders>
              <w:top w:val="single" w:sz="4" w:space="0" w:color="000000"/>
              <w:left w:val="single" w:sz="4" w:space="0" w:color="000000"/>
              <w:bottom w:val="single" w:sz="4" w:space="0" w:color="000000"/>
              <w:right w:val="single" w:sz="4" w:space="0" w:color="000000"/>
            </w:tcBorders>
            <w:hideMark/>
          </w:tcPr>
          <w:p w14:paraId="395842E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45 (1,8</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0A0C365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 (1,5</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D88881B"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748794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262187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2,35</w:t>
            </w:r>
          </w:p>
        </w:tc>
        <w:tc>
          <w:tcPr>
            <w:tcW w:w="2693" w:type="dxa"/>
            <w:tcBorders>
              <w:top w:val="single" w:sz="4" w:space="0" w:color="000000"/>
              <w:left w:val="single" w:sz="4" w:space="0" w:color="000000"/>
              <w:bottom w:val="single" w:sz="4" w:space="0" w:color="000000"/>
              <w:right w:val="single" w:sz="4" w:space="0" w:color="000000"/>
            </w:tcBorders>
            <w:hideMark/>
          </w:tcPr>
          <w:p w14:paraId="2850C454"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2,08</w:t>
            </w:r>
          </w:p>
        </w:tc>
      </w:tr>
      <w:tr w:rsidR="00886871" w14:paraId="5505EFE1"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39DA597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909" w:type="dxa"/>
            <w:tcBorders>
              <w:top w:val="single" w:sz="4" w:space="0" w:color="000000"/>
              <w:left w:val="single" w:sz="4" w:space="0" w:color="000000"/>
              <w:bottom w:val="single" w:sz="4" w:space="0" w:color="000000"/>
              <w:right w:val="single" w:sz="4" w:space="0" w:color="000000"/>
            </w:tcBorders>
            <w:hideMark/>
          </w:tcPr>
          <w:p w14:paraId="08A7D68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 (1,1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29DE6CF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(1,0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337B7FE0"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5FD0698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596D0AE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1,54</w:t>
            </w:r>
          </w:p>
        </w:tc>
        <w:tc>
          <w:tcPr>
            <w:tcW w:w="2693" w:type="dxa"/>
            <w:tcBorders>
              <w:top w:val="single" w:sz="4" w:space="0" w:color="000000"/>
              <w:left w:val="single" w:sz="4" w:space="0" w:color="000000"/>
              <w:bottom w:val="single" w:sz="4" w:space="0" w:color="000000"/>
              <w:right w:val="single" w:sz="4" w:space="0" w:color="000000"/>
            </w:tcBorders>
            <w:hideMark/>
          </w:tcPr>
          <w:p w14:paraId="474815D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1,49</w:t>
            </w:r>
          </w:p>
        </w:tc>
      </w:tr>
      <w:tr w:rsidR="00886871" w14:paraId="5D1CAE78"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23E57DE2"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relateret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909" w:type="dxa"/>
            <w:tcBorders>
              <w:top w:val="single" w:sz="4" w:space="0" w:color="000000"/>
              <w:left w:val="single" w:sz="4" w:space="0" w:color="000000"/>
              <w:bottom w:val="single" w:sz="4" w:space="0" w:color="000000"/>
              <w:right w:val="single" w:sz="4" w:space="0" w:color="000000"/>
            </w:tcBorders>
            <w:hideMark/>
          </w:tcPr>
          <w:p w14:paraId="361B01D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(0,2</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4522A4E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(0,1</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21CE8FAF"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305E242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269E085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0,40</w:t>
            </w:r>
          </w:p>
        </w:tc>
        <w:tc>
          <w:tcPr>
            <w:tcW w:w="2693" w:type="dxa"/>
            <w:tcBorders>
              <w:top w:val="single" w:sz="4" w:space="0" w:color="000000"/>
              <w:left w:val="single" w:sz="4" w:space="0" w:color="000000"/>
              <w:bottom w:val="single" w:sz="4" w:space="0" w:color="000000"/>
              <w:right w:val="single" w:sz="4" w:space="0" w:color="000000"/>
            </w:tcBorders>
            <w:hideMark/>
          </w:tcPr>
          <w:p w14:paraId="17B1F9F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0,34</w:t>
            </w:r>
          </w:p>
        </w:tc>
      </w:tr>
      <w:tr w:rsidR="00886871" w14:paraId="17E34737"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C6AED17"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909" w:type="dxa"/>
            <w:tcBorders>
              <w:top w:val="single" w:sz="4" w:space="0" w:color="000000"/>
              <w:left w:val="single" w:sz="4" w:space="0" w:color="000000"/>
              <w:bottom w:val="single" w:sz="4" w:space="0" w:color="000000"/>
              <w:right w:val="single" w:sz="4" w:space="0" w:color="000000"/>
            </w:tcBorders>
            <w:hideMark/>
          </w:tcPr>
          <w:p w14:paraId="7D164DE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51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c>
          <w:tcPr>
            <w:tcW w:w="2693" w:type="dxa"/>
            <w:tcBorders>
              <w:top w:val="single" w:sz="4" w:space="0" w:color="000000"/>
              <w:left w:val="single" w:sz="4" w:space="0" w:color="000000"/>
              <w:bottom w:val="single" w:sz="4" w:space="0" w:color="000000"/>
              <w:right w:val="single" w:sz="4" w:space="0" w:color="000000"/>
            </w:tcBorders>
            <w:hideMark/>
          </w:tcPr>
          <w:p w14:paraId="5BB7090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52 (2,0</w:t>
            </w:r>
            <w:r>
              <w:rPr>
                <w:rFonts w:asciiTheme="majorBidi" w:hAnsiTheme="majorBidi" w:cstheme="majorBidi"/>
                <w:spacing w:val="-3"/>
                <w:kern w:val="2"/>
                <w:lang w:val="da-DK"/>
                <w14:ligatures w14:val="standardContextual"/>
              </w:rPr>
              <w:t> </w:t>
            </w:r>
            <w:r>
              <w:rPr>
                <w:rFonts w:asciiTheme="majorBidi" w:hAnsiTheme="majorBidi" w:cstheme="majorBidi"/>
                <w:spacing w:val="-5"/>
                <w:kern w:val="2"/>
                <w:lang w:val="da-DK"/>
                <w14:ligatures w14:val="standardContextual"/>
              </w:rPr>
              <w:t>%)</w:t>
            </w:r>
          </w:p>
        </w:tc>
      </w:tr>
      <w:tr w:rsidR="00886871" w14:paraId="00A0F177" w14:textId="77777777" w:rsidTr="00886871">
        <w:trPr>
          <w:cantSplit/>
          <w:trHeight w:val="20"/>
        </w:trPr>
        <w:tc>
          <w:tcPr>
            <w:tcW w:w="2539" w:type="dxa"/>
            <w:tcBorders>
              <w:top w:val="single" w:sz="4" w:space="0" w:color="000000"/>
              <w:left w:val="single" w:sz="4" w:space="0" w:color="000000"/>
              <w:bottom w:val="single" w:sz="4" w:space="0" w:color="000000"/>
              <w:right w:val="single" w:sz="4" w:space="0" w:color="000000"/>
            </w:tcBorders>
            <w:hideMark/>
          </w:tcPr>
          <w:p w14:paraId="052FB66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909" w:type="dxa"/>
            <w:tcBorders>
              <w:top w:val="single" w:sz="4" w:space="0" w:color="000000"/>
              <w:left w:val="single" w:sz="4" w:space="0" w:color="000000"/>
              <w:bottom w:val="single" w:sz="4" w:space="0" w:color="000000"/>
              <w:right w:val="single" w:sz="4" w:space="0" w:color="000000"/>
            </w:tcBorders>
            <w:hideMark/>
          </w:tcPr>
          <w:p w14:paraId="1274D0A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2,62</w:t>
            </w:r>
          </w:p>
        </w:tc>
        <w:tc>
          <w:tcPr>
            <w:tcW w:w="2693" w:type="dxa"/>
            <w:tcBorders>
              <w:top w:val="single" w:sz="4" w:space="0" w:color="000000"/>
              <w:left w:val="single" w:sz="4" w:space="0" w:color="000000"/>
              <w:bottom w:val="single" w:sz="4" w:space="0" w:color="000000"/>
              <w:right w:val="single" w:sz="4" w:space="0" w:color="000000"/>
            </w:tcBorders>
            <w:hideMark/>
          </w:tcPr>
          <w:p w14:paraId="2675649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2,66</w:t>
            </w:r>
          </w:p>
        </w:tc>
      </w:tr>
    </w:tbl>
    <w:p w14:paraId="395C1854"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1D1E2DE7"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Forebyggelse</w:t>
      </w:r>
      <w:r w:rsidRPr="00307CA4">
        <w:rPr>
          <w:rFonts w:asciiTheme="majorBidi" w:hAnsiTheme="majorBidi" w:cstheme="majorBidi"/>
          <w:i/>
          <w:spacing w:val="-8"/>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recidiverende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DVT</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og</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LE</w:t>
      </w:r>
      <w:r w:rsidRPr="00307CA4">
        <w:rPr>
          <w:rFonts w:asciiTheme="majorBidi" w:hAnsiTheme="majorBidi" w:cstheme="majorBidi"/>
          <w:i/>
          <w:spacing w:val="-5"/>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voksne</w:t>
      </w:r>
    </w:p>
    <w:p w14:paraId="3B44D372"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2 randomiserede, dobbeltblinde, parallelgruppe-studier indgik tidligere antikoagulansbehandlede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RE-MEDY,</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warfarinkontrolleret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indgik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tidligere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til 12 måneder og med behov for yderligere antikoagulansbehandling og i RE-SONATE, som er et placebokontrolleret studie, indgik patienter tidligere behandlet i 6 til 18 måneder med vitamin-K- </w:t>
      </w:r>
      <w:r w:rsidRPr="00307CA4">
        <w:rPr>
          <w:rFonts w:asciiTheme="majorBidi" w:hAnsiTheme="majorBidi" w:cstheme="majorBidi"/>
          <w:spacing w:val="-2"/>
          <w:sz w:val="24"/>
          <w:szCs w:val="24"/>
          <w:lang w:val="da-DK"/>
        </w:rPr>
        <w:t>antagonist.</w:t>
      </w:r>
    </w:p>
    <w:p w14:paraId="5A7095A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C2A0E52" w14:textId="4989BCD2"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Formålet med RE-MEDY-studiet var at sammenligne virkning og sikkerhed af oral dabigatranetexilat (150 mg 2 gange dagligt) med warfarin (behandlingsmål for INR: 2,0</w:t>
      </w:r>
      <w:r w:rsidRPr="00307CA4">
        <w:rPr>
          <w:rFonts w:asciiTheme="majorBidi" w:hAnsiTheme="majorBidi" w:cstheme="majorBidi"/>
          <w:sz w:val="24"/>
          <w:szCs w:val="24"/>
          <w:lang w:val="da-DK"/>
        </w:rPr>
        <w:noBreakHyphen/>
        <w:t>3,0) ved langtidsbehandling og 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symptomatisk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randomiseredes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2.866</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og 2.856 patienter blev behandlet. </w:t>
      </w:r>
      <w:bookmarkStart w:id="4" w:name="_Hlk152786126"/>
      <w:r w:rsidRPr="00307CA4">
        <w:rPr>
          <w:rFonts w:asciiTheme="majorBidi" w:hAnsiTheme="majorBidi" w:cstheme="majorBidi"/>
          <w:sz w:val="24"/>
          <w:szCs w:val="24"/>
          <w:lang w:val="da-DK"/>
        </w:rPr>
        <w:t>Varigheden af dabigatranetexilat-behandlingen varierede fra 6 til 36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(median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53</w:t>
      </w:r>
      <w:r w:rsidR="00FC779C">
        <w:rPr>
          <w:rFonts w:asciiTheme="majorBidi" w:hAnsiTheme="majorBidi" w:cstheme="majorBidi"/>
          <w:sz w:val="24"/>
          <w:szCs w:val="24"/>
          <w:lang w:val="da-DK"/>
        </w:rPr>
        <w:t>5</w:t>
      </w:r>
      <w:r w:rsidRPr="00307CA4">
        <w:rPr>
          <w:rFonts w:asciiTheme="majorBidi" w:hAnsiTheme="majorBidi" w:cstheme="majorBidi"/>
          <w:sz w:val="24"/>
          <w:szCs w:val="24"/>
          <w:lang w:val="da-DK"/>
        </w:rPr>
        <w:t>,0 dage)</w:t>
      </w:r>
      <w:bookmarkEnd w:id="4"/>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terapeutiske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interval (INR 2,0</w:t>
      </w:r>
      <w:r w:rsidRPr="00307CA4">
        <w:rPr>
          <w:rFonts w:asciiTheme="majorBidi" w:hAnsiTheme="majorBidi" w:cstheme="majorBidi"/>
          <w:sz w:val="24"/>
          <w:szCs w:val="24"/>
          <w:lang w:val="da-DK"/>
        </w:rPr>
        <w:noBreakHyphen/>
        <w:t>3,0) i en mediantid på 64,9 %.</w:t>
      </w:r>
    </w:p>
    <w:p w14:paraId="647433C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8F3713F"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RE-MEDY</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2 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dagligt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non-inferior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 xml:space="preserve">i forhold til warfarin; non-inferioritetsmargin: 2,85 for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og 2,8 i risiko-forskel.</w:t>
      </w:r>
    </w:p>
    <w:p w14:paraId="0E4C65D1"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3EAB3EE" w14:textId="6EEB047F"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w:t>
      </w:r>
      <w:r>
        <w:rPr>
          <w:rFonts w:asciiTheme="majorBidi" w:hAnsiTheme="majorBidi" w:cstheme="majorBidi"/>
          <w:spacing w:val="-1"/>
          <w:lang w:val="da-DK"/>
        </w:rPr>
        <w:t> </w:t>
      </w:r>
      <w:r>
        <w:rPr>
          <w:rFonts w:asciiTheme="majorBidi" w:hAnsiTheme="majorBidi" w:cstheme="majorBidi"/>
          <w:lang w:val="da-DK"/>
        </w:rPr>
        <w:t>2</w:t>
      </w:r>
      <w:r w:rsidR="00FC779C">
        <w:rPr>
          <w:rFonts w:asciiTheme="majorBidi" w:hAnsiTheme="majorBidi" w:cstheme="majorBidi"/>
          <w:lang w:val="da-DK"/>
        </w:rPr>
        <w:t>3</w:t>
      </w:r>
      <w:r>
        <w:rPr>
          <w:rFonts w:asciiTheme="majorBidi" w:hAnsiTheme="majorBidi" w:cstheme="majorBidi"/>
          <w:lang w:val="da-DK"/>
        </w:rPr>
        <w:t>:</w:t>
      </w:r>
      <w:r>
        <w:rPr>
          <w:rFonts w:asciiTheme="majorBidi" w:hAnsiTheme="majorBidi" w:cstheme="majorBidi"/>
          <w:spacing w:val="-3"/>
          <w:lang w:val="da-DK"/>
        </w:rPr>
        <w:t xml:space="preserve"> </w:t>
      </w:r>
      <w:r>
        <w:rPr>
          <w:rFonts w:asciiTheme="majorBidi" w:hAnsiTheme="majorBidi" w:cstheme="majorBidi"/>
          <w:lang w:val="da-DK"/>
        </w:rPr>
        <w:t>Analyse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de</w:t>
      </w:r>
      <w:r>
        <w:rPr>
          <w:rFonts w:asciiTheme="majorBidi" w:hAnsiTheme="majorBidi" w:cstheme="majorBidi"/>
          <w:spacing w:val="-3"/>
          <w:lang w:val="da-DK"/>
        </w:rPr>
        <w:t xml:space="preserve"> </w:t>
      </w:r>
      <w:r>
        <w:rPr>
          <w:rFonts w:asciiTheme="majorBidi" w:hAnsiTheme="majorBidi" w:cstheme="majorBidi"/>
          <w:lang w:val="da-DK"/>
        </w:rPr>
        <w:t>primære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sekundære</w:t>
      </w:r>
      <w:r>
        <w:rPr>
          <w:rFonts w:asciiTheme="majorBidi" w:hAnsiTheme="majorBidi" w:cstheme="majorBidi"/>
          <w:spacing w:val="-3"/>
          <w:lang w:val="da-DK"/>
        </w:rPr>
        <w:t xml:space="preserve"> </w:t>
      </w:r>
      <w:r>
        <w:rPr>
          <w:rFonts w:asciiTheme="majorBidi" w:hAnsiTheme="majorBidi" w:cstheme="majorBidi"/>
          <w:lang w:val="da-DK"/>
        </w:rPr>
        <w:t>virkningsendepunkter</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er</w:t>
      </w:r>
      <w:r>
        <w:rPr>
          <w:rFonts w:asciiTheme="majorBidi" w:hAnsiTheme="majorBidi" w:cstheme="majorBidi"/>
          <w:spacing w:val="-3"/>
          <w:lang w:val="da-DK"/>
        </w:rPr>
        <w:t xml:space="preserve"> </w:t>
      </w:r>
      <w:r>
        <w:rPr>
          <w:rFonts w:asciiTheme="majorBidi" w:hAnsiTheme="majorBidi" w:cstheme="majorBidi"/>
          <w:lang w:val="da-DK"/>
        </w:rPr>
        <w:t>summen</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DVT og/eller LE) indtil afslutning af perioden efter behandling for RE-MEDY-studiet.</w:t>
      </w:r>
    </w:p>
    <w:p w14:paraId="7E05835B"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8"/>
        <w:gridCol w:w="2268"/>
        <w:gridCol w:w="2126"/>
      </w:tblGrid>
      <w:tr w:rsidR="00886871" w14:paraId="5BC8C335" w14:textId="77777777" w:rsidTr="00886871">
        <w:trPr>
          <w:cantSplit/>
          <w:trHeight w:val="20"/>
          <w:tblHeader/>
        </w:trPr>
        <w:tc>
          <w:tcPr>
            <w:tcW w:w="3888" w:type="dxa"/>
            <w:tcBorders>
              <w:top w:val="single" w:sz="4" w:space="0" w:color="000000"/>
              <w:left w:val="single" w:sz="4" w:space="0" w:color="000000"/>
              <w:bottom w:val="single" w:sz="4" w:space="0" w:color="000000"/>
              <w:right w:val="single" w:sz="4" w:space="0" w:color="000000"/>
            </w:tcBorders>
          </w:tcPr>
          <w:p w14:paraId="348D285B"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268" w:type="dxa"/>
            <w:tcBorders>
              <w:top w:val="single" w:sz="4" w:space="0" w:color="000000"/>
              <w:left w:val="single" w:sz="4" w:space="0" w:color="000000"/>
              <w:bottom w:val="single" w:sz="4" w:space="0" w:color="000000"/>
              <w:right w:val="single" w:sz="4" w:space="0" w:color="000000"/>
            </w:tcBorders>
            <w:hideMark/>
          </w:tcPr>
          <w:p w14:paraId="2651ECEC"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FFAE69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2"/>
                <w:kern w:val="2"/>
                <w:lang w:val="da-DK"/>
                <w14:ligatures w14:val="standardContextual"/>
              </w:rPr>
              <w:t xml:space="preserve"> dagligt</w:t>
            </w:r>
          </w:p>
        </w:tc>
        <w:tc>
          <w:tcPr>
            <w:tcW w:w="2126" w:type="dxa"/>
            <w:tcBorders>
              <w:top w:val="single" w:sz="4" w:space="0" w:color="000000"/>
              <w:left w:val="single" w:sz="4" w:space="0" w:color="000000"/>
              <w:bottom w:val="single" w:sz="4" w:space="0" w:color="000000"/>
              <w:right w:val="single" w:sz="4" w:space="0" w:color="000000"/>
            </w:tcBorders>
            <w:hideMark/>
          </w:tcPr>
          <w:p w14:paraId="476DD67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Warfarin</w:t>
            </w:r>
          </w:p>
        </w:tc>
      </w:tr>
      <w:tr w:rsidR="00886871" w14:paraId="439566E1"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FF5A265"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268" w:type="dxa"/>
            <w:tcBorders>
              <w:top w:val="single" w:sz="4" w:space="0" w:color="000000"/>
              <w:left w:val="single" w:sz="4" w:space="0" w:color="000000"/>
              <w:bottom w:val="single" w:sz="4" w:space="0" w:color="000000"/>
              <w:right w:val="single" w:sz="4" w:space="0" w:color="000000"/>
            </w:tcBorders>
            <w:hideMark/>
          </w:tcPr>
          <w:p w14:paraId="4D63C3D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1.430</w:t>
            </w:r>
          </w:p>
        </w:tc>
        <w:tc>
          <w:tcPr>
            <w:tcW w:w="2126" w:type="dxa"/>
            <w:tcBorders>
              <w:top w:val="single" w:sz="4" w:space="0" w:color="000000"/>
              <w:left w:val="single" w:sz="4" w:space="0" w:color="000000"/>
              <w:bottom w:val="single" w:sz="4" w:space="0" w:color="000000"/>
              <w:right w:val="single" w:sz="4" w:space="0" w:color="000000"/>
            </w:tcBorders>
            <w:hideMark/>
          </w:tcPr>
          <w:p w14:paraId="075E314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1.426</w:t>
            </w:r>
          </w:p>
        </w:tc>
      </w:tr>
      <w:tr w:rsidR="00886871" w14:paraId="0C158CB6"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5598A9C4"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Recidiverende</w:t>
            </w:r>
            <w:r>
              <w:rPr>
                <w:rFonts w:asciiTheme="majorBidi" w:hAnsiTheme="majorBidi" w:cstheme="majorBidi"/>
                <w:spacing w:val="-10"/>
                <w:kern w:val="2"/>
                <w:lang w:val="nb-NO"/>
                <w14:ligatures w14:val="standardContextual"/>
              </w:rPr>
              <w:t xml:space="preserve"> </w:t>
            </w:r>
            <w:r>
              <w:rPr>
                <w:rFonts w:asciiTheme="majorBidi" w:hAnsiTheme="majorBidi" w:cstheme="majorBidi"/>
                <w:kern w:val="2"/>
                <w:lang w:val="nb-NO"/>
                <w14:ligatures w14:val="standardContextual"/>
              </w:rPr>
              <w:t>symptomatisk</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9"/>
                <w:kern w:val="2"/>
                <w:lang w:val="nb-NO"/>
                <w14:ligatures w14:val="standardContextual"/>
              </w:rPr>
              <w:t xml:space="preserve"> </w:t>
            </w:r>
            <w:r>
              <w:rPr>
                <w:rFonts w:asciiTheme="majorBidi" w:hAnsiTheme="majorBidi" w:cstheme="majorBidi"/>
                <w:spacing w:val="-5"/>
                <w:kern w:val="2"/>
                <w:lang w:val="nb-NO"/>
                <w14:ligatures w14:val="standardContextual"/>
              </w:rPr>
              <w:t>og</w:t>
            </w:r>
          </w:p>
          <w:p w14:paraId="5CB5B0D9"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VTE-relateret</w:t>
            </w:r>
            <w:r>
              <w:rPr>
                <w:rFonts w:asciiTheme="majorBidi" w:hAnsiTheme="majorBidi" w:cstheme="majorBidi"/>
                <w:spacing w:val="-13"/>
                <w:kern w:val="2"/>
                <w:lang w:val="nb-NO"/>
                <w14:ligatures w14:val="standardContextual"/>
              </w:rPr>
              <w:t xml:space="preserve"> </w:t>
            </w:r>
            <w:r>
              <w:rPr>
                <w:rFonts w:asciiTheme="majorBidi" w:hAnsiTheme="majorBidi" w:cstheme="majorBidi"/>
                <w:spacing w:val="-5"/>
                <w:kern w:val="2"/>
                <w:lang w:val="nb-NO"/>
                <w14:ligatures w14:val="standardContextual"/>
              </w:rPr>
              <w:t>død</w:t>
            </w:r>
          </w:p>
        </w:tc>
        <w:tc>
          <w:tcPr>
            <w:tcW w:w="2268" w:type="dxa"/>
            <w:tcBorders>
              <w:top w:val="single" w:sz="4" w:space="0" w:color="000000"/>
              <w:left w:val="single" w:sz="4" w:space="0" w:color="000000"/>
              <w:bottom w:val="single" w:sz="4" w:space="0" w:color="000000"/>
              <w:right w:val="single" w:sz="4" w:space="0" w:color="000000"/>
            </w:tcBorders>
            <w:hideMark/>
          </w:tcPr>
          <w:p w14:paraId="414E5D3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 (1,8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65A951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 (1,3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7F43C647"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1C3EC5F"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5"/>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4"/>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i/>
                <w:spacing w:val="-4"/>
                <w:kern w:val="2"/>
                <w:lang w:val="da-DK"/>
                <w14:ligatures w14:val="standardContextual"/>
              </w:rPr>
              <w:t xml:space="preserve"> </w:t>
            </w:r>
            <w:r>
              <w:rPr>
                <w:rFonts w:asciiTheme="majorBidi" w:hAnsiTheme="majorBidi" w:cstheme="majorBidi"/>
                <w:spacing w:val="-2"/>
                <w:kern w:val="2"/>
                <w:lang w:val="da-DK"/>
                <w14:ligatures w14:val="standardContextual"/>
              </w:rPr>
              <w:t>warfarin</w:t>
            </w:r>
          </w:p>
          <w:p w14:paraId="444FD29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454E37F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1,44</w:t>
            </w:r>
          </w:p>
          <w:p w14:paraId="64C6653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(0,78;</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2,64)</w:t>
            </w:r>
          </w:p>
        </w:tc>
        <w:tc>
          <w:tcPr>
            <w:tcW w:w="2126" w:type="dxa"/>
            <w:tcBorders>
              <w:top w:val="single" w:sz="4" w:space="0" w:color="000000"/>
              <w:left w:val="single" w:sz="4" w:space="0" w:color="000000"/>
              <w:bottom w:val="single" w:sz="4" w:space="0" w:color="000000"/>
              <w:right w:val="single" w:sz="4" w:space="0" w:color="000000"/>
            </w:tcBorders>
          </w:tcPr>
          <w:p w14:paraId="2A2597F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C611A4E"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61A930B"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Non-inferioritetsmargin</w:t>
            </w:r>
          </w:p>
        </w:tc>
        <w:tc>
          <w:tcPr>
            <w:tcW w:w="2268" w:type="dxa"/>
            <w:tcBorders>
              <w:top w:val="single" w:sz="4" w:space="0" w:color="000000"/>
              <w:left w:val="single" w:sz="4" w:space="0" w:color="000000"/>
              <w:bottom w:val="single" w:sz="4" w:space="0" w:color="000000"/>
              <w:right w:val="single" w:sz="4" w:space="0" w:color="000000"/>
            </w:tcBorders>
            <w:hideMark/>
          </w:tcPr>
          <w:p w14:paraId="2487F39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2,85</w:t>
            </w:r>
          </w:p>
        </w:tc>
        <w:tc>
          <w:tcPr>
            <w:tcW w:w="2126" w:type="dxa"/>
            <w:tcBorders>
              <w:top w:val="single" w:sz="4" w:space="0" w:color="000000"/>
              <w:left w:val="single" w:sz="4" w:space="0" w:color="000000"/>
              <w:bottom w:val="single" w:sz="4" w:space="0" w:color="000000"/>
              <w:right w:val="single" w:sz="4" w:space="0" w:color="000000"/>
            </w:tcBorders>
          </w:tcPr>
          <w:p w14:paraId="0E981B6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9539C4B"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43B304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bivirkning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5"/>
                <w:kern w:val="2"/>
                <w:lang w:val="da-DK"/>
                <w14:ligatures w14:val="standardContextual"/>
              </w:rPr>
              <w:t>ved</w:t>
            </w:r>
          </w:p>
          <w:p w14:paraId="5DB6E24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18 </w:t>
            </w:r>
            <w:r>
              <w:rPr>
                <w:rFonts w:asciiTheme="majorBidi" w:hAnsiTheme="majorBidi" w:cstheme="majorBidi"/>
                <w:spacing w:val="-2"/>
                <w:kern w:val="2"/>
                <w:lang w:val="da-DK"/>
                <w14:ligatures w14:val="standardContextual"/>
              </w:rPr>
              <w:t>måneder</w:t>
            </w:r>
          </w:p>
        </w:tc>
        <w:tc>
          <w:tcPr>
            <w:tcW w:w="2268" w:type="dxa"/>
            <w:tcBorders>
              <w:top w:val="single" w:sz="4" w:space="0" w:color="000000"/>
              <w:left w:val="single" w:sz="4" w:space="0" w:color="000000"/>
              <w:bottom w:val="single" w:sz="4" w:space="0" w:color="000000"/>
              <w:right w:val="single" w:sz="4" w:space="0" w:color="000000"/>
            </w:tcBorders>
            <w:hideMark/>
          </w:tcPr>
          <w:p w14:paraId="4C13FE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w:t>
            </w:r>
          </w:p>
        </w:tc>
        <w:tc>
          <w:tcPr>
            <w:tcW w:w="2126" w:type="dxa"/>
            <w:tcBorders>
              <w:top w:val="single" w:sz="4" w:space="0" w:color="000000"/>
              <w:left w:val="single" w:sz="4" w:space="0" w:color="000000"/>
              <w:bottom w:val="single" w:sz="4" w:space="0" w:color="000000"/>
              <w:right w:val="single" w:sz="4" w:space="0" w:color="000000"/>
            </w:tcBorders>
            <w:hideMark/>
          </w:tcPr>
          <w:p w14:paraId="3628E12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17</w:t>
            </w:r>
          </w:p>
        </w:tc>
      </w:tr>
      <w:tr w:rsidR="00886871" w14:paraId="64E74BCD"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79FC96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Samlet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risiko</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18 måneder</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47FD69C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1,7</w:t>
            </w:r>
          </w:p>
        </w:tc>
        <w:tc>
          <w:tcPr>
            <w:tcW w:w="2126" w:type="dxa"/>
            <w:tcBorders>
              <w:top w:val="single" w:sz="4" w:space="0" w:color="000000"/>
              <w:left w:val="single" w:sz="4" w:space="0" w:color="000000"/>
              <w:bottom w:val="single" w:sz="4" w:space="0" w:color="000000"/>
              <w:right w:val="single" w:sz="4" w:space="0" w:color="000000"/>
            </w:tcBorders>
            <w:hideMark/>
          </w:tcPr>
          <w:p w14:paraId="5FD0B61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1,4</w:t>
            </w:r>
          </w:p>
        </w:tc>
      </w:tr>
      <w:tr w:rsidR="00886871" w14:paraId="3A303B91"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853EC70"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Risikoforskel</w:t>
            </w:r>
            <w:r>
              <w:rPr>
                <w:rFonts w:asciiTheme="majorBidi" w:hAnsiTheme="majorBidi" w:cstheme="majorBidi"/>
                <w:spacing w:val="-9"/>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kern w:val="2"/>
                <w:lang w:val="da-DK"/>
                <w14:ligatures w14:val="standardContextual"/>
              </w:rPr>
              <w: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warfarin</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68" w:type="dxa"/>
            <w:tcBorders>
              <w:top w:val="single" w:sz="4" w:space="0" w:color="000000"/>
              <w:left w:val="single" w:sz="4" w:space="0" w:color="000000"/>
              <w:bottom w:val="single" w:sz="4" w:space="0" w:color="000000"/>
              <w:right w:val="single" w:sz="4" w:space="0" w:color="000000"/>
            </w:tcBorders>
            <w:hideMark/>
          </w:tcPr>
          <w:p w14:paraId="66A24CE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0,4</w:t>
            </w:r>
          </w:p>
        </w:tc>
        <w:tc>
          <w:tcPr>
            <w:tcW w:w="2126" w:type="dxa"/>
            <w:tcBorders>
              <w:top w:val="single" w:sz="4" w:space="0" w:color="000000"/>
              <w:left w:val="single" w:sz="4" w:space="0" w:color="000000"/>
              <w:bottom w:val="single" w:sz="4" w:space="0" w:color="000000"/>
              <w:right w:val="single" w:sz="4" w:space="0" w:color="000000"/>
            </w:tcBorders>
          </w:tcPr>
          <w:p w14:paraId="7B6DB11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92B2F89"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769EC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tcPr>
          <w:p w14:paraId="65ABD7F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tcPr>
          <w:p w14:paraId="0C8804C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01ADA9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8CB894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Non-inferioritetsmargin</w:t>
            </w:r>
          </w:p>
        </w:tc>
        <w:tc>
          <w:tcPr>
            <w:tcW w:w="2268" w:type="dxa"/>
            <w:tcBorders>
              <w:top w:val="single" w:sz="4" w:space="0" w:color="000000"/>
              <w:left w:val="single" w:sz="4" w:space="0" w:color="000000"/>
              <w:bottom w:val="single" w:sz="4" w:space="0" w:color="000000"/>
              <w:right w:val="single" w:sz="4" w:space="0" w:color="000000"/>
            </w:tcBorders>
            <w:hideMark/>
          </w:tcPr>
          <w:p w14:paraId="635EB2A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2,8</w:t>
            </w:r>
          </w:p>
        </w:tc>
        <w:tc>
          <w:tcPr>
            <w:tcW w:w="2126" w:type="dxa"/>
            <w:tcBorders>
              <w:top w:val="single" w:sz="4" w:space="0" w:color="000000"/>
              <w:left w:val="single" w:sz="4" w:space="0" w:color="000000"/>
              <w:bottom w:val="single" w:sz="4" w:space="0" w:color="000000"/>
              <w:right w:val="single" w:sz="4" w:space="0" w:color="000000"/>
            </w:tcBorders>
          </w:tcPr>
          <w:p w14:paraId="42F8712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728350FA"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14177E7"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Sekundære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virkningsendepunkter</w:t>
            </w:r>
          </w:p>
        </w:tc>
        <w:tc>
          <w:tcPr>
            <w:tcW w:w="2268" w:type="dxa"/>
            <w:tcBorders>
              <w:top w:val="single" w:sz="4" w:space="0" w:color="000000"/>
              <w:left w:val="single" w:sz="4" w:space="0" w:color="000000"/>
              <w:bottom w:val="single" w:sz="4" w:space="0" w:color="000000"/>
              <w:right w:val="single" w:sz="4" w:space="0" w:color="000000"/>
            </w:tcBorders>
          </w:tcPr>
          <w:p w14:paraId="37A19B9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tcPr>
          <w:p w14:paraId="4DDB561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2CBE4C5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32C67AB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Recidiverende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symptomatisk</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og</w:t>
            </w:r>
          </w:p>
          <w:p w14:paraId="035F582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hideMark/>
          </w:tcPr>
          <w:p w14:paraId="7BC508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42 (2,9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50DF975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 (2,5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40160CA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B84382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3A6AAB4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2,12;</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3,95</w:t>
            </w:r>
          </w:p>
        </w:tc>
        <w:tc>
          <w:tcPr>
            <w:tcW w:w="2126" w:type="dxa"/>
            <w:tcBorders>
              <w:top w:val="single" w:sz="4" w:space="0" w:color="000000"/>
              <w:left w:val="single" w:sz="4" w:space="0" w:color="000000"/>
              <w:bottom w:val="single" w:sz="4" w:space="0" w:color="000000"/>
              <w:right w:val="single" w:sz="4" w:space="0" w:color="000000"/>
            </w:tcBorders>
            <w:hideMark/>
          </w:tcPr>
          <w:p w14:paraId="293A63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3,48</w:t>
            </w:r>
          </w:p>
        </w:tc>
      </w:tr>
      <w:tr w:rsidR="00886871" w14:paraId="6CFDDF34"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28EFFD58"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268" w:type="dxa"/>
            <w:tcBorders>
              <w:top w:val="single" w:sz="4" w:space="0" w:color="000000"/>
              <w:left w:val="single" w:sz="4" w:space="0" w:color="000000"/>
              <w:bottom w:val="single" w:sz="4" w:space="0" w:color="000000"/>
              <w:right w:val="single" w:sz="4" w:space="0" w:color="000000"/>
            </w:tcBorders>
            <w:hideMark/>
          </w:tcPr>
          <w:p w14:paraId="19D6E5EC"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 (1,2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643F571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 (0,9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EB2D3E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268CEC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69D11F3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1,90</w:t>
            </w:r>
          </w:p>
        </w:tc>
        <w:tc>
          <w:tcPr>
            <w:tcW w:w="2126" w:type="dxa"/>
            <w:tcBorders>
              <w:top w:val="single" w:sz="4" w:space="0" w:color="000000"/>
              <w:left w:val="single" w:sz="4" w:space="0" w:color="000000"/>
              <w:bottom w:val="single" w:sz="4" w:space="0" w:color="000000"/>
              <w:right w:val="single" w:sz="4" w:space="0" w:color="000000"/>
            </w:tcBorders>
            <w:hideMark/>
          </w:tcPr>
          <w:p w14:paraId="16A7CEB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1,55</w:t>
            </w:r>
          </w:p>
        </w:tc>
      </w:tr>
      <w:tr w:rsidR="00886871" w14:paraId="4BB2718E"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6D77CA9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268" w:type="dxa"/>
            <w:tcBorders>
              <w:top w:val="single" w:sz="4" w:space="0" w:color="000000"/>
              <w:left w:val="single" w:sz="4" w:space="0" w:color="000000"/>
              <w:bottom w:val="single" w:sz="4" w:space="0" w:color="000000"/>
              <w:right w:val="single" w:sz="4" w:space="0" w:color="000000"/>
            </w:tcBorders>
            <w:hideMark/>
          </w:tcPr>
          <w:p w14:paraId="27A4BB6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(0,7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5B56A0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283E3FC"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17BB1FB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00BD76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0,34;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1,28</w:t>
            </w:r>
          </w:p>
        </w:tc>
        <w:tc>
          <w:tcPr>
            <w:tcW w:w="2126" w:type="dxa"/>
            <w:tcBorders>
              <w:top w:val="single" w:sz="4" w:space="0" w:color="000000"/>
              <w:left w:val="single" w:sz="4" w:space="0" w:color="000000"/>
              <w:bottom w:val="single" w:sz="4" w:space="0" w:color="000000"/>
              <w:right w:val="single" w:sz="4" w:space="0" w:color="000000"/>
            </w:tcBorders>
            <w:hideMark/>
          </w:tcPr>
          <w:p w14:paraId="7F7C66E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0,11;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0,82</w:t>
            </w:r>
          </w:p>
        </w:tc>
      </w:tr>
      <w:tr w:rsidR="00886871" w14:paraId="3F0679A5"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8CE37E6"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VTE-relateret</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268" w:type="dxa"/>
            <w:tcBorders>
              <w:top w:val="single" w:sz="4" w:space="0" w:color="000000"/>
              <w:left w:val="single" w:sz="4" w:space="0" w:color="000000"/>
              <w:bottom w:val="single" w:sz="4" w:space="0" w:color="000000"/>
              <w:right w:val="single" w:sz="4" w:space="0" w:color="000000"/>
            </w:tcBorders>
            <w:hideMark/>
          </w:tcPr>
          <w:p w14:paraId="1A436E5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27ECB5C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2A89413"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6758D6C"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16BF6A5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0,39</w:t>
            </w:r>
          </w:p>
        </w:tc>
        <w:tc>
          <w:tcPr>
            <w:tcW w:w="2126" w:type="dxa"/>
            <w:tcBorders>
              <w:top w:val="single" w:sz="4" w:space="0" w:color="000000"/>
              <w:left w:val="single" w:sz="4" w:space="0" w:color="000000"/>
              <w:bottom w:val="single" w:sz="4" w:space="0" w:color="000000"/>
              <w:right w:val="single" w:sz="4" w:space="0" w:color="000000"/>
            </w:tcBorders>
            <w:hideMark/>
          </w:tcPr>
          <w:p w14:paraId="485E3F20"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0,39</w:t>
            </w:r>
          </w:p>
        </w:tc>
      </w:tr>
      <w:tr w:rsidR="00886871" w14:paraId="7095FF0B"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78459ADB"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268" w:type="dxa"/>
            <w:tcBorders>
              <w:top w:val="single" w:sz="4" w:space="0" w:color="000000"/>
              <w:left w:val="single" w:sz="4" w:space="0" w:color="000000"/>
              <w:bottom w:val="single" w:sz="4" w:space="0" w:color="000000"/>
              <w:right w:val="single" w:sz="4" w:space="0" w:color="000000"/>
            </w:tcBorders>
            <w:hideMark/>
          </w:tcPr>
          <w:p w14:paraId="2152AA5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17 (1,2</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hideMark/>
          </w:tcPr>
          <w:p w14:paraId="7B5E6D5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 (1,3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CAA2C60" w14:textId="77777777" w:rsidTr="00886871">
        <w:trPr>
          <w:cantSplit/>
          <w:trHeight w:val="20"/>
        </w:trPr>
        <w:tc>
          <w:tcPr>
            <w:tcW w:w="3888" w:type="dxa"/>
            <w:tcBorders>
              <w:top w:val="single" w:sz="4" w:space="0" w:color="000000"/>
              <w:left w:val="single" w:sz="4" w:space="0" w:color="000000"/>
              <w:bottom w:val="single" w:sz="4" w:space="0" w:color="000000"/>
              <w:right w:val="single" w:sz="4" w:space="0" w:color="000000"/>
            </w:tcBorders>
            <w:hideMark/>
          </w:tcPr>
          <w:p w14:paraId="456631D2"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268" w:type="dxa"/>
            <w:tcBorders>
              <w:top w:val="single" w:sz="4" w:space="0" w:color="000000"/>
              <w:left w:val="single" w:sz="4" w:space="0" w:color="000000"/>
              <w:bottom w:val="single" w:sz="4" w:space="0" w:color="000000"/>
              <w:right w:val="single" w:sz="4" w:space="0" w:color="000000"/>
            </w:tcBorders>
            <w:hideMark/>
          </w:tcPr>
          <w:p w14:paraId="7C92239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1,90</w:t>
            </w:r>
          </w:p>
        </w:tc>
        <w:tc>
          <w:tcPr>
            <w:tcW w:w="2126" w:type="dxa"/>
            <w:tcBorders>
              <w:top w:val="single" w:sz="4" w:space="0" w:color="000000"/>
              <w:left w:val="single" w:sz="4" w:space="0" w:color="000000"/>
              <w:bottom w:val="single" w:sz="4" w:space="0" w:color="000000"/>
              <w:right w:val="single" w:sz="4" w:space="0" w:color="000000"/>
            </w:tcBorders>
            <w:hideMark/>
          </w:tcPr>
          <w:p w14:paraId="0D6D7EE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2,07</w:t>
            </w:r>
          </w:p>
        </w:tc>
      </w:tr>
    </w:tbl>
    <w:p w14:paraId="67752B26"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15054D9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Formålet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RE-SONATE-studiet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vurdere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superioritet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versus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placebo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 forebyggelse af recidiverende symptomatisk DVT og/eller LE hos patienter tidligere behandlet med VKA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6</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18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tilsigtede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behandling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6 måneders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150 mg</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2 gange dagligt uden behov for monitorering.</w:t>
      </w:r>
    </w:p>
    <w:p w14:paraId="077D515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DA69A7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RE-SONATE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superior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overfor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placebo</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forebyggelse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recidiverende symptomatisk DVT/LE inklusive uforklarlig død i behandlingsperioden (p &lt; 0,0001), med en risikoreduktion på fra 5,6 % til 0,4 % (relativ risikoreduktion på 92 % baseret på </w:t>
      </w:r>
      <w:r w:rsidRPr="00307CA4">
        <w:rPr>
          <w:rFonts w:asciiTheme="majorBidi" w:hAnsiTheme="majorBidi" w:cstheme="majorBidi"/>
          <w:i/>
          <w:sz w:val="24"/>
          <w:szCs w:val="24"/>
          <w:lang w:val="da-DK"/>
        </w:rPr>
        <w:t xml:space="preserve">hazard </w:t>
      </w:r>
      <w:r w:rsidRPr="00307CA4">
        <w:rPr>
          <w:rFonts w:asciiTheme="majorBidi" w:hAnsiTheme="majorBidi" w:cstheme="majorBidi"/>
          <w:sz w:val="24"/>
          <w:szCs w:val="24"/>
          <w:lang w:val="da-DK"/>
        </w:rPr>
        <w:t>ratio). Alle sekundære analyser og sensitivitetsanalyser af det primære endepunkt og alle sekundære endepunkter viste, at dabigatranetexilat var superior overfor placebo.</w:t>
      </w:r>
    </w:p>
    <w:p w14:paraId="2B80F75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D9C8C8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307CA4">
        <w:rPr>
          <w:rFonts w:asciiTheme="majorBidi" w:hAnsiTheme="majorBidi" w:cstheme="majorBidi"/>
          <w:i/>
          <w:sz w:val="24"/>
          <w:szCs w:val="24"/>
          <w:lang w:val="da-DK"/>
        </w:rPr>
        <w:t>rebound</w:t>
      </w:r>
      <w:r w:rsidRPr="00307CA4">
        <w:rPr>
          <w:rFonts w:asciiTheme="majorBidi" w:hAnsiTheme="majorBidi" w:cstheme="majorBidi"/>
          <w:sz w:val="24"/>
          <w:szCs w:val="24"/>
          <w:lang w:val="da-DK"/>
        </w:rPr>
        <w:t>-effekt. Ved afslutningen af observationsperioden havde 6,9 % af de dabigatranbehandlede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haft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mod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10,7</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placebogruppen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i/>
          <w:sz w:val="24"/>
          <w:szCs w:val="24"/>
          <w:lang w:val="da-DK"/>
        </w:rPr>
        <w:t>hazard</w:t>
      </w:r>
      <w:r w:rsidRPr="00307CA4">
        <w:rPr>
          <w:rFonts w:asciiTheme="majorBidi" w:hAnsiTheme="majorBidi" w:cstheme="majorBidi"/>
          <w:i/>
          <w:spacing w:val="-4"/>
          <w:sz w:val="24"/>
          <w:szCs w:val="24"/>
          <w:lang w:val="da-DK"/>
        </w:rPr>
        <w:t xml:space="preserve"> </w:t>
      </w:r>
      <w:r w:rsidRPr="00307CA4">
        <w:rPr>
          <w:rFonts w:asciiTheme="majorBidi" w:hAnsiTheme="majorBidi" w:cstheme="majorBidi"/>
          <w:sz w:val="24"/>
          <w:szCs w:val="24"/>
          <w:lang w:val="da-DK"/>
        </w:rPr>
        <w:t>ratio 0,61 (95 % CI 0,42; 0,88), p = 0,0082).</w:t>
      </w:r>
    </w:p>
    <w:p w14:paraId="49C725E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805DE1D" w14:textId="3F4B0988"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lastRenderedPageBreak/>
        <w:t>Tabel 2</w:t>
      </w:r>
      <w:r w:rsidR="00FC779C">
        <w:rPr>
          <w:rFonts w:asciiTheme="majorBidi" w:hAnsiTheme="majorBidi" w:cstheme="majorBidi"/>
          <w:lang w:val="da-DK"/>
        </w:rPr>
        <w:t>4</w:t>
      </w:r>
      <w:r>
        <w:rPr>
          <w:rFonts w:asciiTheme="majorBidi" w:hAnsiTheme="majorBidi" w:cstheme="majorBidi"/>
          <w:lang w:val="da-DK"/>
        </w:rPr>
        <w:t>:</w:t>
      </w:r>
      <w:r>
        <w:rPr>
          <w:rFonts w:asciiTheme="majorBidi" w:hAnsiTheme="majorBidi" w:cstheme="majorBidi"/>
          <w:spacing w:val="-2"/>
          <w:lang w:val="da-DK"/>
        </w:rPr>
        <w:t xml:space="preserve"> </w:t>
      </w:r>
      <w:r>
        <w:rPr>
          <w:rFonts w:asciiTheme="majorBidi" w:hAnsiTheme="majorBidi" w:cstheme="majorBidi"/>
          <w:lang w:val="da-DK"/>
        </w:rPr>
        <w:t>Analyse</w:t>
      </w:r>
      <w:r>
        <w:rPr>
          <w:rFonts w:asciiTheme="majorBidi" w:hAnsiTheme="majorBidi" w:cstheme="majorBidi"/>
          <w:spacing w:val="-2"/>
          <w:lang w:val="da-DK"/>
        </w:rPr>
        <w:t xml:space="preserve"> </w:t>
      </w:r>
      <w:r>
        <w:rPr>
          <w:rFonts w:asciiTheme="majorBidi" w:hAnsiTheme="majorBidi" w:cstheme="majorBidi"/>
          <w:lang w:val="da-DK"/>
        </w:rPr>
        <w:t>af</w:t>
      </w:r>
      <w:r>
        <w:rPr>
          <w:rFonts w:asciiTheme="majorBidi" w:hAnsiTheme="majorBidi" w:cstheme="majorBidi"/>
          <w:spacing w:val="-2"/>
          <w:lang w:val="da-DK"/>
        </w:rPr>
        <w:t xml:space="preserve"> </w:t>
      </w:r>
      <w:r>
        <w:rPr>
          <w:rFonts w:asciiTheme="majorBidi" w:hAnsiTheme="majorBidi" w:cstheme="majorBidi"/>
          <w:lang w:val="da-DK"/>
        </w:rPr>
        <w:t>de</w:t>
      </w:r>
      <w:r>
        <w:rPr>
          <w:rFonts w:asciiTheme="majorBidi" w:hAnsiTheme="majorBidi" w:cstheme="majorBidi"/>
          <w:spacing w:val="-2"/>
          <w:lang w:val="da-DK"/>
        </w:rPr>
        <w:t xml:space="preserve"> </w:t>
      </w:r>
      <w:r>
        <w:rPr>
          <w:rFonts w:asciiTheme="majorBidi" w:hAnsiTheme="majorBidi" w:cstheme="majorBidi"/>
          <w:lang w:val="da-DK"/>
        </w:rPr>
        <w:t>primære</w:t>
      </w:r>
      <w:r>
        <w:rPr>
          <w:rFonts w:asciiTheme="majorBidi" w:hAnsiTheme="majorBidi" w:cstheme="majorBidi"/>
          <w:spacing w:val="-2"/>
          <w:lang w:val="da-DK"/>
        </w:rPr>
        <w:t xml:space="preserve"> </w:t>
      </w:r>
      <w:r>
        <w:rPr>
          <w:rFonts w:asciiTheme="majorBidi" w:hAnsiTheme="majorBidi" w:cstheme="majorBidi"/>
          <w:lang w:val="da-DK"/>
        </w:rPr>
        <w:t>og</w:t>
      </w:r>
      <w:r>
        <w:rPr>
          <w:rFonts w:asciiTheme="majorBidi" w:hAnsiTheme="majorBidi" w:cstheme="majorBidi"/>
          <w:spacing w:val="-2"/>
          <w:lang w:val="da-DK"/>
        </w:rPr>
        <w:t xml:space="preserve"> </w:t>
      </w:r>
      <w:r>
        <w:rPr>
          <w:rFonts w:asciiTheme="majorBidi" w:hAnsiTheme="majorBidi" w:cstheme="majorBidi"/>
          <w:lang w:val="da-DK"/>
        </w:rPr>
        <w:t>sekundære</w:t>
      </w:r>
      <w:r>
        <w:rPr>
          <w:rFonts w:asciiTheme="majorBidi" w:hAnsiTheme="majorBidi" w:cstheme="majorBidi"/>
          <w:spacing w:val="-2"/>
          <w:lang w:val="da-DK"/>
        </w:rPr>
        <w:t xml:space="preserve"> </w:t>
      </w:r>
      <w:r>
        <w:rPr>
          <w:rFonts w:asciiTheme="majorBidi" w:hAnsiTheme="majorBidi" w:cstheme="majorBidi"/>
          <w:lang w:val="da-DK"/>
        </w:rPr>
        <w:t>virkningsendepunkter</w:t>
      </w:r>
      <w:r>
        <w:rPr>
          <w:rFonts w:asciiTheme="majorBidi" w:hAnsiTheme="majorBidi" w:cstheme="majorBidi"/>
          <w:spacing w:val="-2"/>
          <w:lang w:val="da-DK"/>
        </w:rPr>
        <w:t xml:space="preserve"> </w:t>
      </w:r>
      <w:r>
        <w:rPr>
          <w:rFonts w:asciiTheme="majorBidi" w:hAnsiTheme="majorBidi" w:cstheme="majorBidi"/>
          <w:lang w:val="da-DK"/>
        </w:rPr>
        <w:t>(VTE</w:t>
      </w:r>
      <w:r>
        <w:rPr>
          <w:rFonts w:asciiTheme="majorBidi" w:hAnsiTheme="majorBidi" w:cstheme="majorBidi"/>
          <w:spacing w:val="-2"/>
          <w:lang w:val="da-DK"/>
        </w:rPr>
        <w:t xml:space="preserve"> </w:t>
      </w:r>
      <w:r>
        <w:rPr>
          <w:rFonts w:asciiTheme="majorBidi" w:hAnsiTheme="majorBidi" w:cstheme="majorBidi"/>
          <w:lang w:val="da-DK"/>
        </w:rPr>
        <w:t>er</w:t>
      </w:r>
      <w:r>
        <w:rPr>
          <w:rFonts w:asciiTheme="majorBidi" w:hAnsiTheme="majorBidi" w:cstheme="majorBidi"/>
          <w:spacing w:val="-2"/>
          <w:lang w:val="da-DK"/>
        </w:rPr>
        <w:t xml:space="preserve"> </w:t>
      </w:r>
      <w:r>
        <w:rPr>
          <w:rFonts w:asciiTheme="majorBidi" w:hAnsiTheme="majorBidi" w:cstheme="majorBidi"/>
          <w:lang w:val="da-DK"/>
        </w:rPr>
        <w:t>summen</w:t>
      </w:r>
      <w:r>
        <w:rPr>
          <w:rFonts w:asciiTheme="majorBidi" w:hAnsiTheme="majorBidi" w:cstheme="majorBidi"/>
          <w:spacing w:val="-2"/>
          <w:lang w:val="da-DK"/>
        </w:rPr>
        <w:t xml:space="preserve"> </w:t>
      </w:r>
      <w:r>
        <w:rPr>
          <w:rFonts w:asciiTheme="majorBidi" w:hAnsiTheme="majorBidi" w:cstheme="majorBidi"/>
          <w:lang w:val="da-DK"/>
        </w:rPr>
        <w:t>af</w:t>
      </w:r>
      <w:r>
        <w:rPr>
          <w:rFonts w:asciiTheme="majorBidi" w:hAnsiTheme="majorBidi" w:cstheme="majorBidi"/>
          <w:spacing w:val="-2"/>
          <w:lang w:val="da-DK"/>
        </w:rPr>
        <w:t xml:space="preserve"> </w:t>
      </w:r>
      <w:r>
        <w:rPr>
          <w:rFonts w:asciiTheme="majorBidi" w:hAnsiTheme="majorBidi" w:cstheme="majorBidi"/>
          <w:lang w:val="da-DK"/>
        </w:rPr>
        <w:t>DVT og/eller</w:t>
      </w:r>
      <w:r>
        <w:rPr>
          <w:rFonts w:asciiTheme="majorBidi" w:hAnsiTheme="majorBidi" w:cstheme="majorBidi"/>
          <w:spacing w:val="-9"/>
          <w:lang w:val="da-DK"/>
        </w:rPr>
        <w:t xml:space="preserve"> </w:t>
      </w:r>
      <w:r>
        <w:rPr>
          <w:rFonts w:asciiTheme="majorBidi" w:hAnsiTheme="majorBidi" w:cstheme="majorBidi"/>
          <w:lang w:val="da-DK"/>
        </w:rPr>
        <w:t>LE)</w:t>
      </w:r>
      <w:r>
        <w:rPr>
          <w:rFonts w:asciiTheme="majorBidi" w:hAnsiTheme="majorBidi" w:cstheme="majorBidi"/>
          <w:spacing w:val="-7"/>
          <w:lang w:val="da-DK"/>
        </w:rPr>
        <w:t xml:space="preserve"> </w:t>
      </w:r>
      <w:r>
        <w:rPr>
          <w:rFonts w:asciiTheme="majorBidi" w:hAnsiTheme="majorBidi" w:cstheme="majorBidi"/>
          <w:lang w:val="da-DK"/>
        </w:rPr>
        <w:t>indtil</w:t>
      </w:r>
      <w:r>
        <w:rPr>
          <w:rFonts w:asciiTheme="majorBidi" w:hAnsiTheme="majorBidi" w:cstheme="majorBidi"/>
          <w:spacing w:val="-6"/>
          <w:lang w:val="da-DK"/>
        </w:rPr>
        <w:t xml:space="preserve"> </w:t>
      </w:r>
      <w:r>
        <w:rPr>
          <w:rFonts w:asciiTheme="majorBidi" w:hAnsiTheme="majorBidi" w:cstheme="majorBidi"/>
          <w:lang w:val="da-DK"/>
        </w:rPr>
        <w:t>afslutningen</w:t>
      </w:r>
      <w:r>
        <w:rPr>
          <w:rFonts w:asciiTheme="majorBidi" w:hAnsiTheme="majorBidi" w:cstheme="majorBidi"/>
          <w:spacing w:val="-7"/>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perioden</w:t>
      </w:r>
      <w:r>
        <w:rPr>
          <w:rFonts w:asciiTheme="majorBidi" w:hAnsiTheme="majorBidi" w:cstheme="majorBidi"/>
          <w:spacing w:val="-7"/>
          <w:lang w:val="da-DK"/>
        </w:rPr>
        <w:t xml:space="preserve"> </w:t>
      </w:r>
      <w:r>
        <w:rPr>
          <w:rFonts w:asciiTheme="majorBidi" w:hAnsiTheme="majorBidi" w:cstheme="majorBidi"/>
          <w:lang w:val="da-DK"/>
        </w:rPr>
        <w:t>efter</w:t>
      </w:r>
      <w:r>
        <w:rPr>
          <w:rFonts w:asciiTheme="majorBidi" w:hAnsiTheme="majorBidi" w:cstheme="majorBidi"/>
          <w:spacing w:val="-7"/>
          <w:lang w:val="da-DK"/>
        </w:rPr>
        <w:t xml:space="preserve"> </w:t>
      </w:r>
      <w:r>
        <w:rPr>
          <w:rFonts w:asciiTheme="majorBidi" w:hAnsiTheme="majorBidi" w:cstheme="majorBidi"/>
          <w:lang w:val="da-DK"/>
        </w:rPr>
        <w:t>behandling</w:t>
      </w:r>
      <w:r>
        <w:rPr>
          <w:rFonts w:asciiTheme="majorBidi" w:hAnsiTheme="majorBidi" w:cstheme="majorBidi"/>
          <w:spacing w:val="-6"/>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RE-SONATE</w:t>
      </w:r>
      <w:r>
        <w:rPr>
          <w:rFonts w:asciiTheme="majorBidi" w:hAnsiTheme="majorBidi" w:cstheme="majorBidi"/>
          <w:spacing w:val="-6"/>
          <w:lang w:val="da-DK"/>
        </w:rPr>
        <w:t xml:space="preserve"> </w:t>
      </w:r>
      <w:r>
        <w:rPr>
          <w:rFonts w:asciiTheme="majorBidi" w:hAnsiTheme="majorBidi" w:cstheme="majorBidi"/>
          <w:spacing w:val="-2"/>
          <w:lang w:val="da-DK"/>
        </w:rPr>
        <w:t>studiet.</w:t>
      </w:r>
    </w:p>
    <w:p w14:paraId="1426FE84" w14:textId="77777777" w:rsidR="00886871" w:rsidRDefault="00886871" w:rsidP="00146E50">
      <w:pPr>
        <w:pStyle w:val="Brdtekst"/>
        <w:keepNext/>
        <w:keepLines/>
        <w:widowControl/>
        <w:rPr>
          <w:rFonts w:asciiTheme="majorBidi" w:hAnsiTheme="majorBidi" w:cstheme="majorBidi"/>
          <w:b/>
          <w:lang w:val="da-DK"/>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2410"/>
        <w:gridCol w:w="2305"/>
      </w:tblGrid>
      <w:tr w:rsidR="00886871" w14:paraId="1EE5CBE5"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tcPr>
          <w:p w14:paraId="36FECAB9" w14:textId="77777777" w:rsidR="00886871" w:rsidRDefault="00886871" w:rsidP="00146E50">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2410" w:type="dxa"/>
            <w:tcBorders>
              <w:top w:val="single" w:sz="4" w:space="0" w:color="000000"/>
              <w:left w:val="single" w:sz="4" w:space="0" w:color="000000"/>
              <w:bottom w:val="single" w:sz="4" w:space="0" w:color="000000"/>
              <w:right w:val="single" w:sz="4" w:space="0" w:color="000000"/>
            </w:tcBorders>
            <w:hideMark/>
          </w:tcPr>
          <w:p w14:paraId="67B3DA98" w14:textId="77777777" w:rsidR="00886871" w:rsidRDefault="00886871" w:rsidP="00146E50">
            <w:pPr>
              <w:pStyle w:val="TableParagraph"/>
              <w:keepNext/>
              <w:keepLines/>
              <w:widowControl/>
              <w:spacing w:line="240" w:lineRule="auto"/>
              <w:ind w:left="57" w:right="57" w:firstLine="228"/>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150 mg</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dagligt</w:t>
            </w:r>
          </w:p>
        </w:tc>
        <w:tc>
          <w:tcPr>
            <w:tcW w:w="2305" w:type="dxa"/>
            <w:tcBorders>
              <w:top w:val="single" w:sz="4" w:space="0" w:color="000000"/>
              <w:left w:val="single" w:sz="4" w:space="0" w:color="000000"/>
              <w:bottom w:val="single" w:sz="4" w:space="0" w:color="000000"/>
              <w:right w:val="single" w:sz="4" w:space="0" w:color="000000"/>
            </w:tcBorders>
            <w:hideMark/>
          </w:tcPr>
          <w:p w14:paraId="79D5ECA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Placebo</w:t>
            </w:r>
          </w:p>
        </w:tc>
      </w:tr>
      <w:tr w:rsidR="00886871" w14:paraId="2B247FA3"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0CBCD41"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2410" w:type="dxa"/>
            <w:tcBorders>
              <w:top w:val="single" w:sz="4" w:space="0" w:color="000000"/>
              <w:left w:val="single" w:sz="4" w:space="0" w:color="000000"/>
              <w:bottom w:val="single" w:sz="4" w:space="0" w:color="000000"/>
              <w:right w:val="single" w:sz="4" w:space="0" w:color="000000"/>
            </w:tcBorders>
            <w:hideMark/>
          </w:tcPr>
          <w:p w14:paraId="558E383D"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681</w:t>
            </w:r>
          </w:p>
        </w:tc>
        <w:tc>
          <w:tcPr>
            <w:tcW w:w="2305" w:type="dxa"/>
            <w:tcBorders>
              <w:top w:val="single" w:sz="4" w:space="0" w:color="000000"/>
              <w:left w:val="single" w:sz="4" w:space="0" w:color="000000"/>
              <w:bottom w:val="single" w:sz="4" w:space="0" w:color="000000"/>
              <w:right w:val="single" w:sz="4" w:space="0" w:color="000000"/>
            </w:tcBorders>
            <w:hideMark/>
          </w:tcPr>
          <w:p w14:paraId="4C105F4A"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662</w:t>
            </w:r>
          </w:p>
        </w:tc>
      </w:tr>
      <w:tr w:rsidR="00886871" w14:paraId="3FE0295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32415D51"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spacing w:val="-2"/>
                <w:kern w:val="2"/>
                <w:lang w:val="nb-NO"/>
                <w14:ligatures w14:val="standardContextual"/>
              </w:rPr>
              <w:t xml:space="preserve">Recidiverende </w:t>
            </w:r>
            <w:r>
              <w:rPr>
                <w:rFonts w:asciiTheme="majorBidi" w:hAnsiTheme="majorBidi" w:cstheme="majorBidi"/>
                <w:kern w:val="2"/>
                <w:lang w:val="nb-NO"/>
                <w14:ligatures w14:val="standardContextual"/>
              </w:rPr>
              <w:t>symptomatisk</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VTE</w:t>
            </w:r>
            <w:r>
              <w:rPr>
                <w:rFonts w:asciiTheme="majorBidi" w:hAnsiTheme="majorBidi" w:cstheme="majorBidi"/>
                <w:spacing w:val="-14"/>
                <w:kern w:val="2"/>
                <w:lang w:val="nb-NO"/>
                <w14:ligatures w14:val="standardContextual"/>
              </w:rPr>
              <w:t xml:space="preserve"> </w:t>
            </w:r>
            <w:r>
              <w:rPr>
                <w:rFonts w:asciiTheme="majorBidi" w:hAnsiTheme="majorBidi" w:cstheme="majorBidi"/>
                <w:kern w:val="2"/>
                <w:lang w:val="nb-NO"/>
                <w14:ligatures w14:val="standardContextual"/>
              </w:rPr>
              <w:t>og</w:t>
            </w:r>
          </w:p>
          <w:p w14:paraId="10A5C2BF" w14:textId="77777777" w:rsidR="00886871" w:rsidRDefault="00886871" w:rsidP="00146E50">
            <w:pPr>
              <w:pStyle w:val="TableParagraph"/>
              <w:widowControl/>
              <w:spacing w:line="240" w:lineRule="auto"/>
              <w:ind w:left="69"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VTE-relateret</w:t>
            </w:r>
            <w:r>
              <w:rPr>
                <w:rFonts w:asciiTheme="majorBidi" w:hAnsiTheme="majorBidi" w:cstheme="majorBidi"/>
                <w:spacing w:val="-13"/>
                <w:kern w:val="2"/>
                <w:lang w:val="nb-NO"/>
                <w14:ligatures w14:val="standardContextual"/>
              </w:rPr>
              <w:t xml:space="preserve"> </w:t>
            </w:r>
            <w:r>
              <w:rPr>
                <w:rFonts w:asciiTheme="majorBidi" w:hAnsiTheme="majorBidi" w:cstheme="majorBidi"/>
                <w:spacing w:val="-5"/>
                <w:kern w:val="2"/>
                <w:lang w:val="nb-NO"/>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tcPr>
          <w:p w14:paraId="422CD674"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nb-NO"/>
                <w14:ligatures w14:val="standardContextual"/>
              </w:rPr>
            </w:pPr>
          </w:p>
          <w:p w14:paraId="4D2BFB6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tcPr>
          <w:p w14:paraId="2B588166"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D68FDD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 (5,6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07C3DC2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59F5DB4"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Hazard</w:t>
            </w:r>
            <w:r>
              <w:rPr>
                <w:rFonts w:asciiTheme="majorBidi" w:hAnsiTheme="majorBidi" w:cstheme="majorBidi"/>
                <w:i/>
                <w:spacing w:val="-12"/>
                <w:kern w:val="2"/>
                <w:lang w:val="da-DK"/>
                <w14:ligatures w14:val="standardContextual"/>
              </w:rPr>
              <w:t xml:space="preserve"> </w:t>
            </w:r>
            <w:r>
              <w:rPr>
                <w:rFonts w:asciiTheme="majorBidi" w:hAnsiTheme="majorBidi" w:cstheme="majorBidi"/>
                <w:kern w:val="2"/>
                <w:lang w:val="da-DK"/>
                <w14:ligatures w14:val="standardContextual"/>
              </w:rPr>
              <w:t>ratio</w:t>
            </w:r>
            <w:r>
              <w:rPr>
                <w:rFonts w:asciiTheme="majorBidi" w:hAnsiTheme="majorBidi" w:cstheme="majorBidi"/>
                <w:spacing w:val="-13"/>
                <w:kern w:val="2"/>
                <w:lang w:val="da-DK"/>
                <w14:ligatures w14:val="standardContextual"/>
              </w:rPr>
              <w:t xml:space="preserve"> </w:t>
            </w:r>
            <w:r>
              <w:rPr>
                <w:rFonts w:asciiTheme="majorBidi" w:hAnsiTheme="majorBidi" w:cstheme="majorBidi"/>
                <w:i/>
                <w:kern w:val="2"/>
                <w:lang w:val="da-DK"/>
                <w14:ligatures w14:val="standardContextual"/>
              </w:rPr>
              <w:t>vs.</w:t>
            </w:r>
            <w:r>
              <w:rPr>
                <w:rFonts w:asciiTheme="majorBidi" w:hAnsiTheme="majorBidi" w:cstheme="majorBidi"/>
                <w:i/>
                <w:spacing w:val="-12"/>
                <w:kern w:val="2"/>
                <w:lang w:val="da-DK"/>
                <w14:ligatures w14:val="standardContextual"/>
              </w:rPr>
              <w:t xml:space="preserve"> </w:t>
            </w:r>
            <w:r>
              <w:rPr>
                <w:rFonts w:asciiTheme="majorBidi" w:hAnsiTheme="majorBidi" w:cstheme="majorBidi"/>
                <w:kern w:val="2"/>
                <w:lang w:val="da-DK"/>
                <w14:ligatures w14:val="standardContextual"/>
              </w:rPr>
              <w:t>placebo (95 %</w:t>
            </w:r>
          </w:p>
          <w:p w14:paraId="1DDA8D7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4720E9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0,08</w:t>
            </w:r>
          </w:p>
          <w:p w14:paraId="06A649B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0,25)</w:t>
            </w:r>
          </w:p>
        </w:tc>
        <w:tc>
          <w:tcPr>
            <w:tcW w:w="2305" w:type="dxa"/>
            <w:tcBorders>
              <w:top w:val="single" w:sz="4" w:space="0" w:color="000000"/>
              <w:left w:val="single" w:sz="4" w:space="0" w:color="000000"/>
              <w:bottom w:val="single" w:sz="4" w:space="0" w:color="000000"/>
              <w:right w:val="single" w:sz="4" w:space="0" w:color="000000"/>
            </w:tcBorders>
          </w:tcPr>
          <w:p w14:paraId="3467A8C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5E5EF75B"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FE26F0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p-værdi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superioritet</w:t>
            </w:r>
          </w:p>
        </w:tc>
        <w:tc>
          <w:tcPr>
            <w:tcW w:w="2410" w:type="dxa"/>
            <w:tcBorders>
              <w:top w:val="single" w:sz="4" w:space="0" w:color="000000"/>
              <w:left w:val="single" w:sz="4" w:space="0" w:color="000000"/>
              <w:bottom w:val="single" w:sz="4" w:space="0" w:color="000000"/>
              <w:right w:val="single" w:sz="4" w:space="0" w:color="000000"/>
            </w:tcBorders>
            <w:hideMark/>
          </w:tcPr>
          <w:p w14:paraId="2CCB5B9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2"/>
                <w:kern w:val="2"/>
                <w:lang w:val="da-DK"/>
                <w14:ligatures w14:val="standardContextual"/>
              </w:rPr>
              <w:t>0,0001</w:t>
            </w:r>
          </w:p>
        </w:tc>
        <w:tc>
          <w:tcPr>
            <w:tcW w:w="2305" w:type="dxa"/>
            <w:tcBorders>
              <w:top w:val="single" w:sz="4" w:space="0" w:color="000000"/>
              <w:left w:val="single" w:sz="4" w:space="0" w:color="000000"/>
              <w:bottom w:val="single" w:sz="4" w:space="0" w:color="000000"/>
              <w:right w:val="single" w:sz="4" w:space="0" w:color="000000"/>
            </w:tcBorders>
          </w:tcPr>
          <w:p w14:paraId="1085216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6963439F"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C444BD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Sekundære</w:t>
            </w:r>
          </w:p>
          <w:p w14:paraId="631DE1D3"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virkningsendepunkter</w:t>
            </w:r>
          </w:p>
        </w:tc>
        <w:tc>
          <w:tcPr>
            <w:tcW w:w="2410" w:type="dxa"/>
            <w:tcBorders>
              <w:top w:val="single" w:sz="4" w:space="0" w:color="000000"/>
              <w:left w:val="single" w:sz="4" w:space="0" w:color="000000"/>
              <w:bottom w:val="single" w:sz="4" w:space="0" w:color="000000"/>
              <w:right w:val="single" w:sz="4" w:space="0" w:color="000000"/>
            </w:tcBorders>
          </w:tcPr>
          <w:p w14:paraId="0C6D456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c>
          <w:tcPr>
            <w:tcW w:w="2305" w:type="dxa"/>
            <w:tcBorders>
              <w:top w:val="single" w:sz="4" w:space="0" w:color="000000"/>
              <w:left w:val="single" w:sz="4" w:space="0" w:color="000000"/>
              <w:bottom w:val="single" w:sz="4" w:space="0" w:color="000000"/>
              <w:right w:val="single" w:sz="4" w:space="0" w:color="000000"/>
            </w:tcBorders>
          </w:tcPr>
          <w:p w14:paraId="570B5907"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886871" w14:paraId="48BC386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2026220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Recidiverende</w:t>
            </w:r>
          </w:p>
          <w:p w14:paraId="71F506CA"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og død uanset årsag</w:t>
            </w:r>
          </w:p>
        </w:tc>
        <w:tc>
          <w:tcPr>
            <w:tcW w:w="2410" w:type="dxa"/>
            <w:tcBorders>
              <w:top w:val="single" w:sz="4" w:space="0" w:color="000000"/>
              <w:left w:val="single" w:sz="4" w:space="0" w:color="000000"/>
              <w:bottom w:val="single" w:sz="4" w:space="0" w:color="000000"/>
              <w:right w:val="single" w:sz="4" w:space="0" w:color="000000"/>
            </w:tcBorders>
          </w:tcPr>
          <w:p w14:paraId="60126AD1"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D98C27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 (0,4</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tcPr>
          <w:p w14:paraId="2868662F" w14:textId="77777777" w:rsidR="00886871" w:rsidRDefault="00886871" w:rsidP="00146E50">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824D99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37 (5,6</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3802191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7CC398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70C8E5A2"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0,09;</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1,28</w:t>
            </w:r>
          </w:p>
        </w:tc>
        <w:tc>
          <w:tcPr>
            <w:tcW w:w="2305" w:type="dxa"/>
            <w:tcBorders>
              <w:top w:val="single" w:sz="4" w:space="0" w:color="000000"/>
              <w:left w:val="single" w:sz="4" w:space="0" w:color="000000"/>
              <w:bottom w:val="single" w:sz="4" w:space="0" w:color="000000"/>
              <w:right w:val="single" w:sz="4" w:space="0" w:color="000000"/>
            </w:tcBorders>
            <w:hideMark/>
          </w:tcPr>
          <w:p w14:paraId="661E6B2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3,97;</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7,62</w:t>
            </w:r>
          </w:p>
        </w:tc>
      </w:tr>
      <w:tr w:rsidR="00886871" w14:paraId="512B456D"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388E08B"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DVT</w:t>
            </w:r>
          </w:p>
        </w:tc>
        <w:tc>
          <w:tcPr>
            <w:tcW w:w="2410" w:type="dxa"/>
            <w:tcBorders>
              <w:top w:val="single" w:sz="4" w:space="0" w:color="000000"/>
              <w:left w:val="single" w:sz="4" w:space="0" w:color="000000"/>
              <w:bottom w:val="single" w:sz="4" w:space="0" w:color="000000"/>
              <w:right w:val="single" w:sz="4" w:space="0" w:color="000000"/>
            </w:tcBorders>
            <w:hideMark/>
          </w:tcPr>
          <w:p w14:paraId="751B0A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hideMark/>
          </w:tcPr>
          <w:p w14:paraId="297D90D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(3,5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7410C78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041349F5"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7308E9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1,06</w:t>
            </w:r>
          </w:p>
        </w:tc>
        <w:tc>
          <w:tcPr>
            <w:tcW w:w="2305" w:type="dxa"/>
            <w:tcBorders>
              <w:top w:val="single" w:sz="4" w:space="0" w:color="000000"/>
              <w:left w:val="single" w:sz="4" w:space="0" w:color="000000"/>
              <w:bottom w:val="single" w:sz="4" w:space="0" w:color="000000"/>
              <w:right w:val="single" w:sz="4" w:space="0" w:color="000000"/>
            </w:tcBorders>
            <w:hideMark/>
          </w:tcPr>
          <w:p w14:paraId="38035CE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2,21;</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5,17</w:t>
            </w:r>
          </w:p>
        </w:tc>
      </w:tr>
      <w:tr w:rsidR="00886871" w14:paraId="61BAA3C2"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2C3D1FF"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Symptomatisk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5"/>
                <w:kern w:val="2"/>
                <w:lang w:val="da-DK"/>
                <w14:ligatures w14:val="standardContextual"/>
              </w:rPr>
              <w:t>LE</w:t>
            </w:r>
          </w:p>
        </w:tc>
        <w:tc>
          <w:tcPr>
            <w:tcW w:w="2410" w:type="dxa"/>
            <w:tcBorders>
              <w:top w:val="single" w:sz="4" w:space="0" w:color="000000"/>
              <w:left w:val="single" w:sz="4" w:space="0" w:color="000000"/>
              <w:bottom w:val="single" w:sz="4" w:space="0" w:color="000000"/>
              <w:right w:val="single" w:sz="4" w:space="0" w:color="000000"/>
            </w:tcBorders>
            <w:hideMark/>
          </w:tcPr>
          <w:p w14:paraId="6D5C0DF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 (0,1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305" w:type="dxa"/>
            <w:tcBorders>
              <w:top w:val="single" w:sz="4" w:space="0" w:color="000000"/>
              <w:left w:val="single" w:sz="4" w:space="0" w:color="000000"/>
              <w:bottom w:val="single" w:sz="4" w:space="0" w:color="000000"/>
              <w:right w:val="single" w:sz="4" w:space="0" w:color="000000"/>
            </w:tcBorders>
            <w:hideMark/>
          </w:tcPr>
          <w:p w14:paraId="7F906689"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14 (2,1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56870A14"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50292B68"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56731E21"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0,82</w:t>
            </w:r>
          </w:p>
        </w:tc>
        <w:tc>
          <w:tcPr>
            <w:tcW w:w="2305" w:type="dxa"/>
            <w:tcBorders>
              <w:top w:val="single" w:sz="4" w:space="0" w:color="000000"/>
              <w:left w:val="single" w:sz="4" w:space="0" w:color="000000"/>
              <w:bottom w:val="single" w:sz="4" w:space="0" w:color="000000"/>
              <w:right w:val="single" w:sz="4" w:space="0" w:color="000000"/>
            </w:tcBorders>
            <w:hideMark/>
          </w:tcPr>
          <w:p w14:paraId="1957C0AA"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3,52</w:t>
            </w:r>
          </w:p>
        </w:tc>
      </w:tr>
      <w:tr w:rsidR="00886871" w14:paraId="6B5305B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59A96AE"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VTE-relateret</w:t>
            </w:r>
            <w:r>
              <w:rPr>
                <w:rFonts w:asciiTheme="majorBidi" w:hAnsiTheme="majorBidi" w:cstheme="majorBidi"/>
                <w:spacing w:val="-13"/>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hideMark/>
          </w:tcPr>
          <w:p w14:paraId="66935C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3E5F5BD6"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r>
      <w:tr w:rsidR="00886871" w14:paraId="00EB7917"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B104487"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A21EEA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32CD16AB"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0,56</w:t>
            </w:r>
          </w:p>
        </w:tc>
      </w:tr>
      <w:tr w:rsidR="00886871" w14:paraId="0CB9A34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64910819"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Uforklarlig</w:t>
            </w:r>
            <w:r>
              <w:rPr>
                <w:rFonts w:asciiTheme="majorBidi" w:hAnsiTheme="majorBidi" w:cstheme="majorBidi"/>
                <w:spacing w:val="-11"/>
                <w:kern w:val="2"/>
                <w:lang w:val="da-DK"/>
                <w14:ligatures w14:val="standardContextual"/>
              </w:rPr>
              <w:t xml:space="preserve"> </w:t>
            </w:r>
            <w:r>
              <w:rPr>
                <w:rFonts w:asciiTheme="majorBidi" w:hAnsiTheme="majorBidi" w:cstheme="majorBidi"/>
                <w:spacing w:val="-5"/>
                <w:kern w:val="2"/>
                <w:lang w:val="da-DK"/>
                <w14:ligatures w14:val="standardContextual"/>
              </w:rPr>
              <w:t>død</w:t>
            </w:r>
          </w:p>
        </w:tc>
        <w:tc>
          <w:tcPr>
            <w:tcW w:w="2410" w:type="dxa"/>
            <w:tcBorders>
              <w:top w:val="single" w:sz="4" w:space="0" w:color="000000"/>
              <w:left w:val="single" w:sz="4" w:space="0" w:color="000000"/>
              <w:bottom w:val="single" w:sz="4" w:space="0" w:color="000000"/>
              <w:right w:val="single" w:sz="4" w:space="0" w:color="000000"/>
            </w:tcBorders>
            <w:hideMark/>
          </w:tcPr>
          <w:p w14:paraId="2AF08F6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69B981E8"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606E39C9"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48B9E09D"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1DEAD09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5451C7E3"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1,09</w:t>
            </w:r>
          </w:p>
        </w:tc>
      </w:tr>
      <w:tr w:rsidR="00886871" w14:paraId="7FDE5E80"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7FABCA8D" w14:textId="77777777" w:rsidR="00886871" w:rsidRDefault="00886871" w:rsidP="00146E50">
            <w:pPr>
              <w:pStyle w:val="TableParagraph"/>
              <w:keepNext/>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Død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uanset</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årsag</w:t>
            </w:r>
          </w:p>
        </w:tc>
        <w:tc>
          <w:tcPr>
            <w:tcW w:w="2410" w:type="dxa"/>
            <w:tcBorders>
              <w:top w:val="single" w:sz="4" w:space="0" w:color="000000"/>
              <w:left w:val="single" w:sz="4" w:space="0" w:color="000000"/>
              <w:bottom w:val="single" w:sz="4" w:space="0" w:color="000000"/>
              <w:right w:val="single" w:sz="4" w:space="0" w:color="000000"/>
            </w:tcBorders>
            <w:hideMark/>
          </w:tcPr>
          <w:p w14:paraId="7C86910F"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 </w:t>
            </w:r>
            <w:r>
              <w:rPr>
                <w:rFonts w:asciiTheme="majorBidi" w:hAnsiTheme="majorBidi" w:cstheme="majorBidi"/>
                <w:spacing w:val="-5"/>
                <w:kern w:val="2"/>
                <w:lang w:val="da-DK"/>
                <w14:ligatures w14:val="standardContextual"/>
              </w:rPr>
              <w:t>(0)</w:t>
            </w:r>
          </w:p>
        </w:tc>
        <w:tc>
          <w:tcPr>
            <w:tcW w:w="2305" w:type="dxa"/>
            <w:tcBorders>
              <w:top w:val="single" w:sz="4" w:space="0" w:color="000000"/>
              <w:left w:val="single" w:sz="4" w:space="0" w:color="000000"/>
              <w:bottom w:val="single" w:sz="4" w:space="0" w:color="000000"/>
              <w:right w:val="single" w:sz="4" w:space="0" w:color="000000"/>
            </w:tcBorders>
            <w:hideMark/>
          </w:tcPr>
          <w:p w14:paraId="5177E6CE"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(0,3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w:t>
            </w:r>
          </w:p>
        </w:tc>
      </w:tr>
      <w:tr w:rsidR="00886871" w14:paraId="1327246E" w14:textId="77777777" w:rsidTr="00886871">
        <w:trPr>
          <w:cantSplit/>
          <w:trHeight w:val="20"/>
        </w:trPr>
        <w:tc>
          <w:tcPr>
            <w:tcW w:w="2977" w:type="dxa"/>
            <w:tcBorders>
              <w:top w:val="single" w:sz="4" w:space="0" w:color="000000"/>
              <w:left w:val="single" w:sz="4" w:space="0" w:color="000000"/>
              <w:bottom w:val="single" w:sz="4" w:space="0" w:color="000000"/>
              <w:right w:val="single" w:sz="4" w:space="0" w:color="000000"/>
            </w:tcBorders>
            <w:hideMark/>
          </w:tcPr>
          <w:p w14:paraId="10DC4366" w14:textId="77777777" w:rsidR="00886871" w:rsidRDefault="00886871" w:rsidP="00146E50">
            <w:pPr>
              <w:pStyle w:val="TableParagraph"/>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95 %</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2"/>
                <w:kern w:val="2"/>
                <w:lang w:val="da-DK"/>
                <w14:ligatures w14:val="standardContextual"/>
              </w:rPr>
              <w:t>konfidensinterval</w:t>
            </w:r>
          </w:p>
        </w:tc>
        <w:tc>
          <w:tcPr>
            <w:tcW w:w="2410" w:type="dxa"/>
            <w:tcBorders>
              <w:top w:val="single" w:sz="4" w:space="0" w:color="000000"/>
              <w:left w:val="single" w:sz="4" w:space="0" w:color="000000"/>
              <w:bottom w:val="single" w:sz="4" w:space="0" w:color="000000"/>
              <w:right w:val="single" w:sz="4" w:space="0" w:color="000000"/>
            </w:tcBorders>
            <w:hideMark/>
          </w:tcPr>
          <w:p w14:paraId="6D124CEF"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0,54</w:t>
            </w:r>
          </w:p>
        </w:tc>
        <w:tc>
          <w:tcPr>
            <w:tcW w:w="2305" w:type="dxa"/>
            <w:tcBorders>
              <w:top w:val="single" w:sz="4" w:space="0" w:color="000000"/>
              <w:left w:val="single" w:sz="4" w:space="0" w:color="000000"/>
              <w:bottom w:val="single" w:sz="4" w:space="0" w:color="000000"/>
              <w:right w:val="single" w:sz="4" w:space="0" w:color="000000"/>
            </w:tcBorders>
            <w:hideMark/>
          </w:tcPr>
          <w:p w14:paraId="721E6575"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0,04;</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1,09</w:t>
            </w:r>
          </w:p>
        </w:tc>
      </w:tr>
    </w:tbl>
    <w:p w14:paraId="5FAD4B3A" w14:textId="77777777" w:rsidR="00886871" w:rsidRDefault="00886871" w:rsidP="00DB26E1">
      <w:pPr>
        <w:pStyle w:val="Brdtekst"/>
        <w:widowControl/>
        <w:ind w:left="851"/>
        <w:rPr>
          <w:rFonts w:asciiTheme="majorBidi" w:hAnsiTheme="majorBidi" w:cstheme="majorBidi"/>
          <w:b/>
          <w:lang w:val="da-DK"/>
        </w:rPr>
      </w:pPr>
    </w:p>
    <w:p w14:paraId="162BE3EA"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Kliniske</w:t>
      </w:r>
      <w:r w:rsidRPr="00307CA4">
        <w:rPr>
          <w:rFonts w:asciiTheme="majorBidi" w:hAnsiTheme="majorBidi" w:cstheme="majorBidi"/>
          <w:i/>
          <w:spacing w:val="-9"/>
          <w:sz w:val="24"/>
          <w:szCs w:val="24"/>
        </w:rPr>
        <w:t xml:space="preserve"> </w:t>
      </w:r>
      <w:r w:rsidRPr="00307CA4">
        <w:rPr>
          <w:rFonts w:asciiTheme="majorBidi" w:hAnsiTheme="majorBidi" w:cstheme="majorBidi"/>
          <w:i/>
          <w:sz w:val="24"/>
          <w:szCs w:val="24"/>
        </w:rPr>
        <w:t>studier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forebyggelse</w:t>
      </w:r>
      <w:r w:rsidRPr="00307CA4">
        <w:rPr>
          <w:rFonts w:asciiTheme="majorBidi" w:hAnsiTheme="majorBidi" w:cstheme="majorBidi"/>
          <w:i/>
          <w:spacing w:val="-6"/>
          <w:sz w:val="24"/>
          <w:szCs w:val="24"/>
        </w:rPr>
        <w:t xml:space="preserve"> </w:t>
      </w:r>
      <w:r w:rsidRPr="00307CA4">
        <w:rPr>
          <w:rFonts w:asciiTheme="majorBidi" w:hAnsiTheme="majorBidi" w:cstheme="majorBidi"/>
          <w:i/>
          <w:sz w:val="24"/>
          <w:szCs w:val="24"/>
        </w:rPr>
        <w:t>af</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tromboemboli</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hos</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patienter</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med</w:t>
      </w:r>
      <w:r w:rsidRPr="00307CA4">
        <w:rPr>
          <w:rFonts w:asciiTheme="majorBidi" w:hAnsiTheme="majorBidi" w:cstheme="majorBidi"/>
          <w:i/>
          <w:spacing w:val="-7"/>
          <w:sz w:val="24"/>
          <w:szCs w:val="24"/>
        </w:rPr>
        <w:t xml:space="preserve"> </w:t>
      </w:r>
      <w:r w:rsidRPr="00307CA4">
        <w:rPr>
          <w:rFonts w:asciiTheme="majorBidi" w:hAnsiTheme="majorBidi" w:cstheme="majorBidi"/>
          <w:i/>
          <w:sz w:val="24"/>
          <w:szCs w:val="24"/>
        </w:rPr>
        <w:t>kunstige</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hjerteklapper:</w:t>
      </w:r>
    </w:p>
    <w:p w14:paraId="3D8FA1E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II-studie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undersøgte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warfarin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252</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nylig havde fået udskiftet en hjerteklap (dvs. i forbindelse med det aktuelle hospitalsophold) eller hos 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4A41EB83"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DF4D1F6"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u w:val="single"/>
        </w:rPr>
        <w:t>Pædiatrisk</w:t>
      </w:r>
      <w:r w:rsidRPr="00307CA4">
        <w:rPr>
          <w:rFonts w:asciiTheme="majorBidi" w:hAnsiTheme="majorBidi" w:cstheme="majorBidi"/>
          <w:i/>
          <w:spacing w:val="-10"/>
          <w:sz w:val="24"/>
          <w:szCs w:val="24"/>
          <w:u w:val="single"/>
        </w:rPr>
        <w:t xml:space="preserve"> </w:t>
      </w:r>
      <w:r w:rsidRPr="00307CA4">
        <w:rPr>
          <w:rFonts w:asciiTheme="majorBidi" w:hAnsiTheme="majorBidi" w:cstheme="majorBidi"/>
          <w:i/>
          <w:spacing w:val="-2"/>
          <w:sz w:val="24"/>
          <w:szCs w:val="24"/>
          <w:u w:val="single"/>
        </w:rPr>
        <w:t>population</w:t>
      </w:r>
    </w:p>
    <w:p w14:paraId="1427AE40" w14:textId="77777777" w:rsidR="00886871" w:rsidRPr="00307CA4" w:rsidRDefault="00886871" w:rsidP="00DB26E1">
      <w:pPr>
        <w:pStyle w:val="Brdtekst"/>
        <w:keepNext/>
        <w:keepLines/>
        <w:widowControl/>
        <w:ind w:left="851"/>
        <w:rPr>
          <w:rFonts w:asciiTheme="majorBidi" w:hAnsiTheme="majorBidi" w:cstheme="majorBidi"/>
          <w:i/>
          <w:sz w:val="24"/>
          <w:szCs w:val="24"/>
          <w:lang w:val="da-DK"/>
        </w:rPr>
      </w:pPr>
    </w:p>
    <w:p w14:paraId="329608D6" w14:textId="77777777" w:rsidR="00886871" w:rsidRPr="00FC779C" w:rsidRDefault="00886871" w:rsidP="00DB26E1">
      <w:pPr>
        <w:keepNext/>
        <w:keepLines/>
        <w:ind w:left="851"/>
        <w:rPr>
          <w:rFonts w:asciiTheme="majorBidi" w:hAnsiTheme="majorBidi" w:cstheme="majorBidi"/>
          <w:i/>
          <w:sz w:val="24"/>
          <w:szCs w:val="24"/>
          <w:u w:val="single"/>
        </w:rPr>
      </w:pPr>
      <w:r w:rsidRPr="00FC779C">
        <w:rPr>
          <w:rFonts w:asciiTheme="majorBidi" w:hAnsiTheme="majorBidi" w:cstheme="majorBidi"/>
          <w:i/>
          <w:sz w:val="24"/>
          <w:szCs w:val="24"/>
          <w:u w:val="single"/>
        </w:rPr>
        <w:t>Forebyggelse</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af</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apopleksi</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og</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systemisk</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emboli</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hos</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voksne</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patienter</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med</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NVAF</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med</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en</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eller</w:t>
      </w:r>
      <w:r w:rsidRPr="00FC779C">
        <w:rPr>
          <w:rFonts w:asciiTheme="majorBidi" w:hAnsiTheme="majorBidi" w:cstheme="majorBidi"/>
          <w:i/>
          <w:spacing w:val="-3"/>
          <w:sz w:val="24"/>
          <w:szCs w:val="24"/>
          <w:u w:val="single"/>
        </w:rPr>
        <w:t xml:space="preserve"> </w:t>
      </w:r>
      <w:r w:rsidRPr="00FC779C">
        <w:rPr>
          <w:rFonts w:asciiTheme="majorBidi" w:hAnsiTheme="majorBidi" w:cstheme="majorBidi"/>
          <w:i/>
          <w:sz w:val="24"/>
          <w:szCs w:val="24"/>
          <w:u w:val="single"/>
        </w:rPr>
        <w:t xml:space="preserve">flere </w:t>
      </w:r>
      <w:r w:rsidRPr="00FC779C">
        <w:rPr>
          <w:rFonts w:asciiTheme="majorBidi" w:hAnsiTheme="majorBidi" w:cstheme="majorBidi"/>
          <w:i/>
          <w:spacing w:val="-2"/>
          <w:sz w:val="24"/>
          <w:szCs w:val="24"/>
          <w:u w:val="single"/>
        </w:rPr>
        <w:t>risikofaktorer</w:t>
      </w:r>
    </w:p>
    <w:p w14:paraId="19136C6A" w14:textId="3CB97BAD"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Det Europæiske Lægemiddelagentur har dispenseret fra kravet om at fremlægge resultaterne af studier med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i alle undergrupper af den pædiatriske population for indikationen forebyggelse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apopleksi og systemisk emboli hos patienter med NVAF (se pkt. 4.2 for oplysninger om pædiatrisk anvendelse).</w:t>
      </w:r>
    </w:p>
    <w:p w14:paraId="1932EB89" w14:textId="32CA6A73" w:rsidR="00FC779C" w:rsidRDefault="00FC779C">
      <w:pPr>
        <w:rPr>
          <w:rFonts w:asciiTheme="majorBidi" w:hAnsiTheme="majorBidi" w:cstheme="majorBidi"/>
          <w:sz w:val="24"/>
          <w:szCs w:val="24"/>
        </w:rPr>
      </w:pPr>
      <w:r>
        <w:rPr>
          <w:rFonts w:asciiTheme="majorBidi" w:hAnsiTheme="majorBidi" w:cstheme="majorBidi"/>
          <w:sz w:val="24"/>
          <w:szCs w:val="24"/>
        </w:rPr>
        <w:br w:type="page"/>
      </w:r>
    </w:p>
    <w:p w14:paraId="1A628603"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82B61E" w14:textId="77777777" w:rsidR="00886871" w:rsidRPr="00FC779C" w:rsidRDefault="00886871" w:rsidP="00DB26E1">
      <w:pPr>
        <w:ind w:left="851"/>
        <w:rPr>
          <w:rFonts w:asciiTheme="majorBidi" w:hAnsiTheme="majorBidi" w:cstheme="majorBidi"/>
          <w:iCs/>
          <w:sz w:val="24"/>
          <w:szCs w:val="24"/>
          <w:u w:val="single"/>
        </w:rPr>
      </w:pPr>
      <w:r w:rsidRPr="00FC779C">
        <w:rPr>
          <w:rFonts w:asciiTheme="majorBidi" w:hAnsiTheme="majorBidi" w:cstheme="majorBidi"/>
          <w:iCs/>
          <w:sz w:val="24"/>
          <w:szCs w:val="24"/>
          <w:u w:val="single"/>
        </w:rPr>
        <w:t>Behandling</w:t>
      </w:r>
      <w:r w:rsidRPr="00FC779C">
        <w:rPr>
          <w:rFonts w:asciiTheme="majorBidi" w:hAnsiTheme="majorBidi" w:cstheme="majorBidi"/>
          <w:iCs/>
          <w:spacing w:val="-7"/>
          <w:sz w:val="24"/>
          <w:szCs w:val="24"/>
          <w:u w:val="single"/>
        </w:rPr>
        <w:t xml:space="preserve"> </w:t>
      </w:r>
      <w:r w:rsidRPr="00FC779C">
        <w:rPr>
          <w:rFonts w:asciiTheme="majorBidi" w:hAnsiTheme="majorBidi" w:cstheme="majorBidi"/>
          <w:iCs/>
          <w:sz w:val="24"/>
          <w:szCs w:val="24"/>
          <w:u w:val="single"/>
        </w:rPr>
        <w:t>af</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VTE</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og</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forebyggelse</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af</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recidiverende</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VTE</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hos</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z w:val="24"/>
          <w:szCs w:val="24"/>
          <w:u w:val="single"/>
        </w:rPr>
        <w:t>pædiatriske</w:t>
      </w:r>
      <w:r w:rsidRPr="00FC779C">
        <w:rPr>
          <w:rFonts w:asciiTheme="majorBidi" w:hAnsiTheme="majorBidi" w:cstheme="majorBidi"/>
          <w:iCs/>
          <w:spacing w:val="-6"/>
          <w:sz w:val="24"/>
          <w:szCs w:val="24"/>
          <w:u w:val="single"/>
        </w:rPr>
        <w:t xml:space="preserve"> </w:t>
      </w:r>
      <w:r w:rsidRPr="00FC779C">
        <w:rPr>
          <w:rFonts w:asciiTheme="majorBidi" w:hAnsiTheme="majorBidi" w:cstheme="majorBidi"/>
          <w:iCs/>
          <w:spacing w:val="-2"/>
          <w:sz w:val="24"/>
          <w:szCs w:val="24"/>
          <w:u w:val="single"/>
        </w:rPr>
        <w:t>patienter</w:t>
      </w:r>
    </w:p>
    <w:p w14:paraId="4F930AA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DIVERSITY-studiet blev udført for at påvise dabigatranetexilats virkning og sikkerhed sammenlignet med behandlingsstandarden for VTE hos pædiatriske patienter fra fødsel til under 18 år. Studiet blev udført som et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 randomiseret, parallelgruppe, non-inferioritetsstudie. De inkluderede 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forholdet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aldersrelevant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formulering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(kapsler,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307CA4">
        <w:rPr>
          <w:rFonts w:asciiTheme="majorBidi" w:hAnsiTheme="majorBidi" w:cstheme="majorBidi"/>
          <w:spacing w:val="-2"/>
          <w:sz w:val="24"/>
          <w:szCs w:val="24"/>
          <w:lang w:val="da-DK"/>
        </w:rPr>
        <w:t>absces.</w:t>
      </w:r>
    </w:p>
    <w:p w14:paraId="570D024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91C8A6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 var i alt 267 randomiserede patienter. Af disse blev 176 patienter behandlet med dabigatranetexilat og 90 patienter blev behandlet med standardbehandlingen (1 randomiseret patient blev</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behandlet).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168</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18 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64</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12 år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35</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2 år.</w:t>
      </w:r>
    </w:p>
    <w:p w14:paraId="46F63E86"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FC981D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267</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randomiserede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opfyldte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81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(45,8</w:t>
      </w:r>
      <w:r w:rsidRPr="00307CA4">
        <w:rPr>
          <w:rFonts w:asciiTheme="majorBidi" w:hAnsiTheme="majorBidi" w:cstheme="majorBidi"/>
          <w:spacing w:val="-5"/>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38 patienter (42,2 %) i standardbehandlingsgruppen kriterierne for det sammensatte, primære 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(komplet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trombeopløsning,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frihed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recidiverende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frihed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20878CF8"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B37DAD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rapporteret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(2,3</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dabigatranetexilatgruppen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kombinerede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endepunkt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(MBE)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ikke-alvorlig (CRNM) blødning (ved behandling) blev rapporteret for 6 (3,4 %) patienter i dabigatranetexilatgruppen og 3 patienter (3,3 %) i standardbehandlingsgruppen.</w:t>
      </w:r>
    </w:p>
    <w:p w14:paraId="78D32E49"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8A3B1F6"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udført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enkeltgruppe,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prospektivt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kohorte,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multicenter,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III-sikkerhedsstudie (1160.108) for at vurdere sikkerheden ved dabigatranetexilat til forebyggelse af recidiverende VTE</w:t>
      </w:r>
      <w:r w:rsidRPr="00307CA4">
        <w:rPr>
          <w:rFonts w:asciiTheme="majorBidi" w:hAnsiTheme="majorBidi" w:cstheme="majorBidi"/>
          <w:spacing w:val="40"/>
          <w:sz w:val="24"/>
          <w:szCs w:val="24"/>
          <w:lang w:val="da-DK"/>
        </w:rPr>
        <w:t xml:space="preserve"> </w:t>
      </w:r>
      <w:r w:rsidRPr="00307CA4">
        <w:rPr>
          <w:rFonts w:asciiTheme="majorBidi" w:hAnsiTheme="majorBidi" w:cstheme="majorBidi"/>
          <w:sz w:val="24"/>
          <w:szCs w:val="24"/>
          <w:lang w:val="da-DK"/>
        </w:rPr>
        <w:t>hos pædiatriske patienter fra fødsel til under 18 år. Patienter, der havde brug for yderligere antikoagulation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grundet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tilstedeværelsen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risikofaktor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fuldført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w:t>
      </w:r>
      <w:r w:rsidRPr="00307CA4">
        <w:rPr>
          <w:rFonts w:asciiTheme="majorBidi" w:hAnsiTheme="majorBidi" w:cstheme="majorBidi"/>
          <w:sz w:val="24"/>
          <w:szCs w:val="24"/>
          <w:lang w:val="da-DK"/>
        </w:rPr>
        <w:lastRenderedPageBreak/>
        <w:t>mortaliteten (generelt og relateret til trombotiske eller trombeemboliske hændelser) efter 6 og 12 måneder. Resultaterne blev vurderet af en uafhængig og blindet evalueringskomité.</w:t>
      </w:r>
    </w:p>
    <w:p w14:paraId="1AEF058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EB4F49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 alt blev 214 patienter inkluderet i studiet; blandt dem 162 patienter i aldersgruppe 1 (fra 12 til &lt; 18 år),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43</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2</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12 år)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9</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aldersgruppe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(fra</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fødsel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blødningshændelse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evaluering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første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12 måneder.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 (1,4 %) blev der rapporteret en CRNM-blødning bekræftet ved evaluering inden for de første 12 måneder.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opstod</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dødsfald</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under</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behandlingen.</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7"/>
          <w:sz w:val="24"/>
          <w:szCs w:val="24"/>
          <w:lang w:val="da-DK"/>
        </w:rPr>
        <w:t xml:space="preserve"> </w:t>
      </w:r>
      <w:r w:rsidRPr="00307CA4">
        <w:rPr>
          <w:rFonts w:asciiTheme="majorBidi" w:hAnsiTheme="majorBidi" w:cstheme="majorBidi"/>
          <w:sz w:val="24"/>
          <w:szCs w:val="24"/>
          <w:lang w:val="da-DK"/>
        </w:rPr>
        <w:t>behandlingsperioden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pacing w:val="-2"/>
          <w:sz w:val="24"/>
          <w:szCs w:val="24"/>
          <w:lang w:val="da-DK"/>
        </w:rPr>
        <w:t xml:space="preserve">udviklede </w:t>
      </w:r>
      <w:r w:rsidRPr="00307CA4">
        <w:rPr>
          <w:rFonts w:asciiTheme="majorBidi" w:hAnsiTheme="majorBidi" w:cstheme="majorBidi"/>
          <w:sz w:val="24"/>
          <w:szCs w:val="24"/>
          <w:lang w:val="da-DK"/>
        </w:rPr>
        <w:t>3</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(1,4</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posttrombotisk</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syndrom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(PTS)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oplevede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forværring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PTS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 første 12 måneder.</w:t>
      </w:r>
    </w:p>
    <w:p w14:paraId="1C640396" w14:textId="77777777" w:rsidR="009260DE" w:rsidRPr="00307CA4" w:rsidRDefault="009260DE" w:rsidP="00DB26E1">
      <w:pPr>
        <w:tabs>
          <w:tab w:val="left" w:pos="851"/>
        </w:tabs>
        <w:ind w:left="851"/>
        <w:rPr>
          <w:sz w:val="24"/>
          <w:szCs w:val="24"/>
        </w:rPr>
      </w:pPr>
    </w:p>
    <w:p w14:paraId="43EA487D" w14:textId="77777777" w:rsidR="009260DE" w:rsidRPr="00C84483" w:rsidRDefault="009260DE" w:rsidP="00146E5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8905984" w14:textId="5ED906B6"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omdannes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hurtigt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fuldstændigt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plasma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aktive form dabigatran. Den væsentligste metaboliske reaktion er en spaltning ved esterasekatalyseret hydrolyse af prodruget dabigatranetexilat til det aktive stof dabigatran. Den absolutte biotilgængelighed af dabigatran efter oral indtagelse af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var ca. 6,5 %. Efter oral administration af </w:t>
      </w:r>
      <w:r w:rsidRPr="00307CA4">
        <w:rPr>
          <w:rFonts w:asciiTheme="majorBidi" w:hAnsiTheme="majorBidi" w:cstheme="majorBidi"/>
          <w:color w:val="000000"/>
          <w:sz w:val="24"/>
          <w:szCs w:val="24"/>
          <w:lang w:val="da-DK"/>
        </w:rPr>
        <w:t>dabigatranetexilat</w:t>
      </w:r>
      <w:r w:rsidRPr="00307CA4">
        <w:rPr>
          <w:rFonts w:asciiTheme="majorBidi" w:hAnsiTheme="majorBidi" w:cstheme="majorBidi"/>
          <w:sz w:val="24"/>
          <w:szCs w:val="24"/>
          <w:lang w:val="da-DK"/>
        </w:rPr>
        <w:t xml:space="preserve"> til raske frivillige er den farmakokinetiske profil for dabigatran i </w:t>
      </w:r>
      <w:r w:rsidRPr="00307CA4">
        <w:rPr>
          <w:rFonts w:asciiTheme="majorBidi" w:hAnsiTheme="majorBidi" w:cstheme="majorBidi"/>
          <w:position w:val="2"/>
          <w:sz w:val="24"/>
          <w:szCs w:val="24"/>
          <w:lang w:val="da-DK"/>
        </w:rPr>
        <w:t>plasma</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karakteriseret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ved</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en</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hurtig</w:t>
      </w:r>
      <w:r w:rsidRPr="00307CA4">
        <w:rPr>
          <w:rFonts w:asciiTheme="majorBidi" w:hAnsiTheme="majorBidi" w:cstheme="majorBidi"/>
          <w:spacing w:val="-3"/>
          <w:position w:val="2"/>
          <w:sz w:val="24"/>
          <w:szCs w:val="24"/>
          <w:lang w:val="da-DK"/>
        </w:rPr>
        <w:t xml:space="preserve"> </w:t>
      </w:r>
      <w:r w:rsidR="00B952EC">
        <w:rPr>
          <w:rFonts w:asciiTheme="majorBidi" w:hAnsiTheme="majorBidi" w:cstheme="majorBidi"/>
          <w:spacing w:val="-3"/>
          <w:position w:val="2"/>
          <w:sz w:val="24"/>
          <w:szCs w:val="24"/>
          <w:lang w:val="da-DK"/>
        </w:rPr>
        <w:t xml:space="preserve">stigning i </w:t>
      </w:r>
      <w:r w:rsidRPr="00307CA4">
        <w:rPr>
          <w:rFonts w:asciiTheme="majorBidi" w:hAnsiTheme="majorBidi" w:cstheme="majorBidi"/>
          <w:position w:val="2"/>
          <w:sz w:val="24"/>
          <w:szCs w:val="24"/>
          <w:lang w:val="da-DK"/>
        </w:rPr>
        <w:t>plasmakoncentrationen</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5"/>
          <w:sz w:val="24"/>
          <w:szCs w:val="24"/>
          <w:lang w:val="da-DK"/>
        </w:rPr>
        <w:t xml:space="preserve"> </w:t>
      </w:r>
      <w:r w:rsidRPr="00307CA4">
        <w:rPr>
          <w:rFonts w:asciiTheme="majorBidi" w:hAnsiTheme="majorBidi" w:cstheme="majorBidi"/>
          <w:position w:val="2"/>
          <w:sz w:val="24"/>
          <w:szCs w:val="24"/>
          <w:lang w:val="da-DK"/>
        </w:rPr>
        <w:t>opnås</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inden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for</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0,5</w:t>
      </w:r>
      <w:r w:rsidRPr="00307CA4">
        <w:rPr>
          <w:rFonts w:asciiTheme="majorBidi" w:hAnsiTheme="majorBidi" w:cstheme="majorBidi"/>
          <w:position w:val="2"/>
          <w:sz w:val="24"/>
          <w:szCs w:val="24"/>
          <w:lang w:val="da-DK"/>
        </w:rPr>
        <w:noBreakHyphen/>
        <w:t>2,0 timer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 xml:space="preserve">efter </w:t>
      </w:r>
      <w:r w:rsidRPr="00307CA4">
        <w:rPr>
          <w:rFonts w:asciiTheme="majorBidi" w:hAnsiTheme="majorBidi" w:cstheme="majorBidi"/>
          <w:spacing w:val="-2"/>
          <w:sz w:val="24"/>
          <w:szCs w:val="24"/>
          <w:lang w:val="da-DK"/>
        </w:rPr>
        <w:t>administration.</w:t>
      </w:r>
    </w:p>
    <w:p w14:paraId="24C6D6B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B2852C4"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Absorption</w:t>
      </w:r>
    </w:p>
    <w:p w14:paraId="68998EDB" w14:textId="77777777" w:rsidR="00886871" w:rsidRPr="00307CA4" w:rsidRDefault="00886871" w:rsidP="00DB26E1">
      <w:pPr>
        <w:pStyle w:val="Brdtekst"/>
        <w:widowControl/>
        <w:ind w:left="851"/>
        <w:rPr>
          <w:rFonts w:asciiTheme="majorBidi" w:hAnsiTheme="majorBidi" w:cstheme="majorBidi"/>
          <w:spacing w:val="-2"/>
          <w:position w:val="2"/>
          <w:sz w:val="24"/>
          <w:szCs w:val="24"/>
          <w:lang w:val="da-DK"/>
        </w:rPr>
      </w:pPr>
      <w:r w:rsidRPr="00307CA4">
        <w:rPr>
          <w:rFonts w:asciiTheme="majorBidi" w:hAnsiTheme="majorBidi" w:cstheme="majorBidi"/>
          <w:sz w:val="24"/>
          <w:szCs w:val="24"/>
          <w:lang w:val="da-DK"/>
        </w:rPr>
        <w:t xml:space="preserve">Et absorptionsstudie påviste, at absorptionen af dabigatranetexilat 1 3 timer efter afsluttet operation, var relativt langsom sammenlignet med det, man så hos raske frivillige. Studiet viste tillige en jævn </w:t>
      </w:r>
      <w:r w:rsidRPr="00307CA4">
        <w:rPr>
          <w:rFonts w:asciiTheme="majorBidi" w:hAnsiTheme="majorBidi" w:cstheme="majorBidi"/>
          <w:position w:val="2"/>
          <w:sz w:val="24"/>
          <w:szCs w:val="24"/>
          <w:lang w:val="da-DK"/>
        </w:rPr>
        <w:t>plasmakoncentrationstids-kurve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uden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store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stigninger</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i</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den</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maksimale</w:t>
      </w:r>
      <w:r w:rsidRPr="00307CA4">
        <w:rPr>
          <w:rFonts w:asciiTheme="majorBidi" w:hAnsiTheme="majorBidi" w:cstheme="majorBidi"/>
          <w:spacing w:val="-2"/>
          <w:position w:val="2"/>
          <w:sz w:val="24"/>
          <w:szCs w:val="24"/>
          <w:lang w:val="da-DK"/>
        </w:rPr>
        <w:t xml:space="preserve"> </w:t>
      </w:r>
      <w:r w:rsidRPr="00307CA4">
        <w:rPr>
          <w:rFonts w:asciiTheme="majorBidi" w:hAnsiTheme="majorBidi" w:cstheme="majorBidi"/>
          <w:position w:val="2"/>
          <w:sz w:val="24"/>
          <w:szCs w:val="24"/>
          <w:lang w:val="da-DK"/>
        </w:rPr>
        <w:t>plasmakoncentration.</w:t>
      </w:r>
      <w:r w:rsidRPr="00307CA4">
        <w:rPr>
          <w:rFonts w:asciiTheme="majorBidi" w:hAnsiTheme="majorBidi" w:cstheme="majorBidi"/>
          <w:spacing w:val="-2"/>
          <w:position w:val="2"/>
          <w:sz w:val="24"/>
          <w:szCs w:val="24"/>
          <w:lang w:val="da-DK"/>
        </w:rPr>
        <w:t xml:space="preserve"> </w:t>
      </w:r>
    </w:p>
    <w:p w14:paraId="660A455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6"/>
          <w:sz w:val="24"/>
          <w:szCs w:val="24"/>
          <w:lang w:val="da-DK"/>
        </w:rPr>
        <w:t xml:space="preserve"> </w:t>
      </w:r>
      <w:r w:rsidRPr="00307CA4">
        <w:rPr>
          <w:rFonts w:asciiTheme="majorBidi" w:hAnsiTheme="majorBidi" w:cstheme="majorBidi"/>
          <w:spacing w:val="-2"/>
          <w:sz w:val="24"/>
          <w:szCs w:val="24"/>
          <w:lang w:val="da-DK"/>
        </w:rPr>
        <w:t xml:space="preserve">blev opnået </w:t>
      </w:r>
      <w:r w:rsidRPr="00307CA4">
        <w:rPr>
          <w:rFonts w:asciiTheme="majorBidi" w:hAnsiTheme="majorBidi" w:cstheme="majorBidi"/>
          <w:sz w:val="24"/>
          <w:szCs w:val="24"/>
          <w:lang w:val="da-DK"/>
        </w:rPr>
        <w:t>6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postoperative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pga.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medvirkende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faktorer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såsom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anæstesi, gastrointestinal parese og kirurgiske eftervirkninger, uafhængigt af den orale lægemiddelformulering. Et andet studie viste, at langsom og forsinket absorption normalt kun ses på operationsdagen. De </w:t>
      </w:r>
      <w:r w:rsidRPr="00307CA4">
        <w:rPr>
          <w:rFonts w:asciiTheme="majorBidi" w:hAnsiTheme="majorBidi" w:cstheme="majorBidi"/>
          <w:position w:val="2"/>
          <w:sz w:val="24"/>
          <w:szCs w:val="24"/>
          <w:lang w:val="da-DK"/>
        </w:rPr>
        <w:t>efterfølgende dage er absorptionen af dabigatran hurtig med C</w:t>
      </w:r>
      <w:r w:rsidRPr="00307CA4">
        <w:rPr>
          <w:rFonts w:asciiTheme="majorBidi" w:hAnsiTheme="majorBidi" w:cstheme="majorBidi"/>
          <w:sz w:val="24"/>
          <w:szCs w:val="24"/>
          <w:lang w:val="da-DK"/>
        </w:rPr>
        <w:t>max</w:t>
      </w:r>
      <w:r w:rsidRPr="00307CA4">
        <w:rPr>
          <w:rFonts w:asciiTheme="majorBidi" w:hAnsiTheme="majorBidi" w:cstheme="majorBidi"/>
          <w:spacing w:val="27"/>
          <w:sz w:val="24"/>
          <w:szCs w:val="24"/>
          <w:lang w:val="da-DK"/>
        </w:rPr>
        <w:t xml:space="preserve"> </w:t>
      </w:r>
      <w:r w:rsidRPr="00307CA4">
        <w:rPr>
          <w:rFonts w:asciiTheme="majorBidi" w:hAnsiTheme="majorBidi" w:cstheme="majorBidi"/>
          <w:position w:val="2"/>
          <w:sz w:val="24"/>
          <w:szCs w:val="24"/>
          <w:lang w:val="da-DK"/>
        </w:rPr>
        <w:t xml:space="preserve">opnået 2 timer efter </w:t>
      </w:r>
      <w:r w:rsidRPr="00307CA4">
        <w:rPr>
          <w:rFonts w:asciiTheme="majorBidi" w:hAnsiTheme="majorBidi" w:cstheme="majorBidi"/>
          <w:spacing w:val="-2"/>
          <w:sz w:val="24"/>
          <w:szCs w:val="24"/>
          <w:lang w:val="da-DK"/>
        </w:rPr>
        <w:t>lægemiddeladministration.</w:t>
      </w:r>
    </w:p>
    <w:p w14:paraId="331410E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3D8202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påvirker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biotilgængeligheden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forsinker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maksimal plasmakoncentration med 2 timer.</w:t>
      </w:r>
      <w:r w:rsidRPr="00307CA4">
        <w:rPr>
          <w:rFonts w:asciiTheme="majorBidi" w:hAnsiTheme="majorBidi" w:cstheme="majorBidi"/>
          <w:position w:val="2"/>
          <w:sz w:val="24"/>
          <w:szCs w:val="24"/>
          <w:lang w:val="da-DK"/>
        </w:rPr>
        <w:t xml:space="preserve"> C</w:t>
      </w:r>
      <w:r w:rsidRPr="00307CA4">
        <w:rPr>
          <w:rFonts w:asciiTheme="majorBidi" w:hAnsiTheme="majorBidi" w:cstheme="majorBidi"/>
          <w:sz w:val="24"/>
          <w:szCs w:val="24"/>
          <w:lang w:val="da-DK"/>
        </w:rPr>
        <w:t>max</w:t>
      </w:r>
      <w:r w:rsidRPr="00307CA4">
        <w:rPr>
          <w:rFonts w:asciiTheme="majorBidi" w:hAnsiTheme="majorBidi" w:cstheme="majorBidi"/>
          <w:spacing w:val="17"/>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4"/>
          <w:position w:val="2"/>
          <w:sz w:val="24"/>
          <w:szCs w:val="24"/>
          <w:lang w:val="da-DK"/>
        </w:rPr>
        <w:t xml:space="preserve"> </w:t>
      </w:r>
      <w:r w:rsidRPr="00307CA4">
        <w:rPr>
          <w:rFonts w:asciiTheme="majorBidi" w:hAnsiTheme="majorBidi" w:cstheme="majorBidi"/>
          <w:position w:val="2"/>
          <w:sz w:val="24"/>
          <w:szCs w:val="24"/>
          <w:lang w:val="da-DK"/>
        </w:rPr>
        <w:t>AUC</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var</w:t>
      </w:r>
      <w:r w:rsidRPr="00307CA4">
        <w:rPr>
          <w:rFonts w:asciiTheme="majorBidi" w:hAnsiTheme="majorBidi" w:cstheme="majorBidi"/>
          <w:spacing w:val="-4"/>
          <w:position w:val="2"/>
          <w:sz w:val="24"/>
          <w:szCs w:val="24"/>
          <w:lang w:val="da-DK"/>
        </w:rPr>
        <w:t xml:space="preserve"> </w:t>
      </w:r>
      <w:r w:rsidRPr="00307CA4">
        <w:rPr>
          <w:rFonts w:asciiTheme="majorBidi" w:hAnsiTheme="majorBidi" w:cstheme="majorBidi"/>
          <w:spacing w:val="-2"/>
          <w:position w:val="2"/>
          <w:sz w:val="24"/>
          <w:szCs w:val="24"/>
          <w:lang w:val="da-DK"/>
        </w:rPr>
        <w:t>dosisproportionale.</w:t>
      </w:r>
    </w:p>
    <w:p w14:paraId="3556CD57"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E10538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Den orale biotilgængelighed kan være øget med 75 % efter en enkelt dosis og med 37 % ved </w:t>
      </w:r>
      <w:r w:rsidRPr="00307CA4">
        <w:rPr>
          <w:rFonts w:asciiTheme="majorBidi" w:hAnsiTheme="majorBidi" w:cstheme="majorBidi"/>
          <w:i/>
          <w:sz w:val="24"/>
          <w:szCs w:val="24"/>
          <w:lang w:val="da-DK"/>
        </w:rPr>
        <w:t xml:space="preserve">steady state </w:t>
      </w:r>
      <w:r w:rsidRPr="00307CA4">
        <w:rPr>
          <w:rFonts w:asciiTheme="majorBidi" w:hAnsiTheme="majorBidi" w:cstheme="majorBidi"/>
          <w:sz w:val="24"/>
          <w:szCs w:val="24"/>
          <w:lang w:val="da-DK"/>
        </w:rPr>
        <w:t>efter gentagne doser, hvis pellets indtages uden hydroxypropylmethylcellulose (HPMC)</w:t>
      </w:r>
      <w:r w:rsidRPr="00307CA4">
        <w:rPr>
          <w:rFonts w:asciiTheme="majorBidi" w:hAnsiTheme="majorBidi" w:cstheme="majorBidi"/>
          <w:sz w:val="24"/>
          <w:szCs w:val="24"/>
          <w:lang w:val="da-DK"/>
        </w:rPr>
        <w:noBreakHyphen/>
        <w:t>kapselskallen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forhold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til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indtagelse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kapsel.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undgå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utilsigtet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øget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biotilgængelighed af dabigatranetexilat bør HPMC-kapslerne derfor altid indtages uåbnede (se pkt. 4.2.).</w:t>
      </w:r>
    </w:p>
    <w:p w14:paraId="3361427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5401365"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Fordeling</w:t>
      </w:r>
    </w:p>
    <w:p w14:paraId="635D88DB"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proteinbinding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lav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(34</w:t>
      </w:r>
      <w:r w:rsidRPr="00307CA4">
        <w:rPr>
          <w:rFonts w:asciiTheme="majorBidi" w:hAnsiTheme="majorBidi" w:cstheme="majorBidi"/>
          <w:sz w:val="24"/>
          <w:szCs w:val="24"/>
          <w:lang w:val="da-DK"/>
        </w:rPr>
        <w:noBreakHyphen/>
        <w:t>35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koncentrationsuafhængig. Fordelingsvolumen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60</w:t>
      </w:r>
      <w:r w:rsidRPr="00307CA4">
        <w:rPr>
          <w:rFonts w:asciiTheme="majorBidi" w:hAnsiTheme="majorBidi" w:cstheme="majorBidi"/>
          <w:sz w:val="24"/>
          <w:szCs w:val="24"/>
          <w:lang w:val="da-DK"/>
        </w:rPr>
        <w:noBreakHyphen/>
        <w:t>70 l,</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hvilket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overstiger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mængden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kropsvæske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antyder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en moderat vævsfordeling af dabigatran.</w:t>
      </w:r>
    </w:p>
    <w:p w14:paraId="165828A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F1D5CFF"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lastRenderedPageBreak/>
        <w:t>Biotransformation</w:t>
      </w:r>
    </w:p>
    <w:p w14:paraId="02C8462F"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dosis.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168 timer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lå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genindvindingen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samlede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radioaktivitet på 88</w:t>
      </w:r>
      <w:r w:rsidRPr="00307CA4">
        <w:rPr>
          <w:rFonts w:asciiTheme="majorBidi" w:hAnsiTheme="majorBidi" w:cstheme="majorBidi"/>
          <w:sz w:val="24"/>
          <w:szCs w:val="24"/>
          <w:lang w:val="da-DK"/>
        </w:rPr>
        <w:noBreakHyphen/>
        <w:t>94 % af den administrerede dosis.</w:t>
      </w:r>
    </w:p>
    <w:p w14:paraId="58391BC4" w14:textId="77777777" w:rsidR="00886871" w:rsidRPr="00307CA4" w:rsidRDefault="00886871" w:rsidP="004471AA">
      <w:pPr>
        <w:pStyle w:val="Brdtekst"/>
        <w:widowControl/>
        <w:tabs>
          <w:tab w:val="left" w:pos="5812"/>
        </w:tabs>
        <w:ind w:left="851"/>
        <w:rPr>
          <w:rFonts w:asciiTheme="majorBidi" w:hAnsiTheme="majorBidi" w:cstheme="majorBidi"/>
          <w:sz w:val="24"/>
          <w:szCs w:val="24"/>
          <w:lang w:val="da-DK"/>
        </w:rPr>
      </w:pPr>
      <w:r w:rsidRPr="00307CA4">
        <w:rPr>
          <w:rFonts w:asciiTheme="majorBidi" w:hAnsiTheme="majorBidi" w:cstheme="majorBidi"/>
          <w:sz w:val="24"/>
          <w:szCs w:val="24"/>
          <w:lang w:val="da-DK"/>
        </w:rPr>
        <w:t>Dabigatran konjugeres under dannelse af farmakologisk aktive acylglucuronider. Der findes fire positionelle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isomerer,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1-O, 2-O,</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3-O</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4-O-acylglucuronid,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hver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tegner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sig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mindre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21EB0BD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51331013"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pacing w:val="-2"/>
          <w:sz w:val="24"/>
          <w:szCs w:val="24"/>
          <w:u w:val="single"/>
          <w:lang w:val="da-DK"/>
        </w:rPr>
        <w:t>Elimination</w:t>
      </w:r>
    </w:p>
    <w:p w14:paraId="29C2F297" w14:textId="671308FD"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Plasmakoncentrationer for dabigatran viste et bieksponentielt fald med en gennemsnitlig terminal halveringstid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11 timer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ældre.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flere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doser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observeredes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terminal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halveringstid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 ca. 12</w:t>
      </w:r>
      <w:r w:rsidRPr="00307CA4">
        <w:rPr>
          <w:rFonts w:asciiTheme="majorBidi" w:hAnsiTheme="majorBidi" w:cstheme="majorBidi"/>
          <w:sz w:val="24"/>
          <w:szCs w:val="24"/>
          <w:lang w:val="da-DK"/>
        </w:rPr>
        <w:noBreakHyphen/>
        <w:t>14 timer. Halveringstiden var uafhængig af dosis. Halveringstiden forlænges ved nedsat nyrefunktion, som vist i tabel </w:t>
      </w:r>
      <w:r w:rsidR="004471AA">
        <w:rPr>
          <w:rFonts w:asciiTheme="majorBidi" w:hAnsiTheme="majorBidi" w:cstheme="majorBidi"/>
          <w:sz w:val="24"/>
          <w:szCs w:val="24"/>
          <w:lang w:val="da-DK"/>
        </w:rPr>
        <w:t>25</w:t>
      </w:r>
      <w:r w:rsidRPr="00307CA4">
        <w:rPr>
          <w:rFonts w:asciiTheme="majorBidi" w:hAnsiTheme="majorBidi" w:cstheme="majorBidi"/>
          <w:sz w:val="24"/>
          <w:szCs w:val="24"/>
          <w:lang w:val="da-DK"/>
        </w:rPr>
        <w:t>.</w:t>
      </w:r>
    </w:p>
    <w:p w14:paraId="36E162B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7F9615B2"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r w:rsidRPr="00307CA4">
        <w:rPr>
          <w:rFonts w:asciiTheme="majorBidi" w:hAnsiTheme="majorBidi" w:cstheme="majorBidi"/>
          <w:sz w:val="24"/>
          <w:szCs w:val="24"/>
          <w:u w:val="single"/>
          <w:lang w:val="da-DK"/>
        </w:rPr>
        <w:t>Særlige</w:t>
      </w:r>
      <w:r w:rsidRPr="00307CA4">
        <w:rPr>
          <w:rFonts w:asciiTheme="majorBidi" w:hAnsiTheme="majorBidi" w:cstheme="majorBidi"/>
          <w:spacing w:val="-9"/>
          <w:sz w:val="24"/>
          <w:szCs w:val="24"/>
          <w:u w:val="single"/>
          <w:lang w:val="da-DK"/>
        </w:rPr>
        <w:t xml:space="preserve"> </w:t>
      </w:r>
      <w:r w:rsidRPr="00307CA4">
        <w:rPr>
          <w:rFonts w:asciiTheme="majorBidi" w:hAnsiTheme="majorBidi" w:cstheme="majorBidi"/>
          <w:spacing w:val="-2"/>
          <w:sz w:val="24"/>
          <w:szCs w:val="24"/>
          <w:u w:val="single"/>
          <w:lang w:val="da-DK"/>
        </w:rPr>
        <w:t>populationer</w:t>
      </w:r>
    </w:p>
    <w:p w14:paraId="3BCB457A" w14:textId="77777777" w:rsidR="00886871" w:rsidRPr="00307CA4" w:rsidRDefault="00886871" w:rsidP="00DB26E1">
      <w:pPr>
        <w:pStyle w:val="Brdtekst"/>
        <w:keepNext/>
        <w:keepLines/>
        <w:widowControl/>
        <w:ind w:left="851"/>
        <w:rPr>
          <w:rFonts w:asciiTheme="majorBidi" w:hAnsiTheme="majorBidi" w:cstheme="majorBidi"/>
          <w:sz w:val="24"/>
          <w:szCs w:val="24"/>
          <w:lang w:val="da-DK"/>
        </w:rPr>
      </w:pPr>
    </w:p>
    <w:p w14:paraId="00351DE2"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Nedsat</w:t>
      </w:r>
      <w:r w:rsidRPr="00307CA4">
        <w:rPr>
          <w:rFonts w:asciiTheme="majorBidi" w:hAnsiTheme="majorBidi" w:cstheme="majorBidi"/>
          <w:i/>
          <w:spacing w:val="-8"/>
          <w:sz w:val="24"/>
          <w:szCs w:val="24"/>
        </w:rPr>
        <w:t xml:space="preserve"> </w:t>
      </w:r>
      <w:r w:rsidRPr="00307CA4">
        <w:rPr>
          <w:rFonts w:asciiTheme="majorBidi" w:hAnsiTheme="majorBidi" w:cstheme="majorBidi"/>
          <w:i/>
          <w:spacing w:val="-2"/>
          <w:sz w:val="24"/>
          <w:szCs w:val="24"/>
        </w:rPr>
        <w:t>nyrefunktion</w:t>
      </w:r>
    </w:p>
    <w:p w14:paraId="68D8841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fase</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I-studier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(AUC)</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oral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dabigatranetexilat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ca. 2,7 gange højere hos voksne frivillige med moderat nedsat nyrefunktion (CrCL mellem 30 og 50 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end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dem</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uden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pacing w:val="-2"/>
          <w:sz w:val="24"/>
          <w:szCs w:val="24"/>
          <w:lang w:val="da-DK"/>
        </w:rPr>
        <w:t>nyrefunktion.</w:t>
      </w:r>
    </w:p>
    <w:p w14:paraId="5551582F"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CB0D499"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nogle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frivillige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svært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10-30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eksponeringen (AUC) for dabigatran ca. 6 gange højere og halveringstiden ca. 2 gange længere end det, man så hos en population uden nedsat nyrefunktion (se pkt. 4.2, 4.3 og 4.4).</w:t>
      </w:r>
    </w:p>
    <w:p w14:paraId="16D8BD0A"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3D8D8BD" w14:textId="20387831" w:rsidR="00886871" w:rsidRDefault="00886871" w:rsidP="00146E50">
      <w:pPr>
        <w:pStyle w:val="Overskrift2"/>
        <w:keepNext/>
        <w:keepLines/>
        <w:widowControl/>
        <w:ind w:left="1249"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sidR="00B952EC">
        <w:rPr>
          <w:rFonts w:asciiTheme="majorBidi" w:hAnsiTheme="majorBidi" w:cstheme="majorBidi"/>
          <w:lang w:val="da-DK"/>
        </w:rPr>
        <w:t>25</w:t>
      </w:r>
      <w:r>
        <w:rPr>
          <w:rFonts w:asciiTheme="majorBidi" w:hAnsiTheme="majorBidi" w:cstheme="majorBidi"/>
          <w:lang w:val="da-DK"/>
        </w:rPr>
        <w:t>:</w:t>
      </w:r>
      <w:r>
        <w:rPr>
          <w:rFonts w:asciiTheme="majorBidi" w:hAnsiTheme="majorBidi" w:cstheme="majorBidi"/>
          <w:spacing w:val="40"/>
          <w:lang w:val="da-DK"/>
        </w:rPr>
        <w:t xml:space="preserve"> </w:t>
      </w:r>
      <w:r>
        <w:rPr>
          <w:rFonts w:asciiTheme="majorBidi" w:hAnsiTheme="majorBidi" w:cstheme="majorBidi"/>
          <w:lang w:val="da-DK"/>
        </w:rPr>
        <w:t>Halveringstid</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total</w:t>
      </w:r>
      <w:r>
        <w:rPr>
          <w:rFonts w:asciiTheme="majorBidi" w:hAnsiTheme="majorBidi" w:cstheme="majorBidi"/>
          <w:spacing w:val="-3"/>
          <w:lang w:val="da-DK"/>
        </w:rPr>
        <w:t xml:space="preserve"> </w:t>
      </w:r>
      <w:r>
        <w:rPr>
          <w:rFonts w:asciiTheme="majorBidi" w:hAnsiTheme="majorBidi" w:cstheme="majorBidi"/>
          <w:lang w:val="da-DK"/>
        </w:rPr>
        <w:t>dabigatran</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raske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 xml:space="preserve">nedsat </w:t>
      </w:r>
      <w:r>
        <w:rPr>
          <w:rFonts w:asciiTheme="majorBidi" w:hAnsiTheme="majorBidi" w:cstheme="majorBidi"/>
          <w:spacing w:val="-2"/>
          <w:lang w:val="da-DK"/>
        </w:rPr>
        <w:t>nyrefunktion.</w:t>
      </w:r>
    </w:p>
    <w:p w14:paraId="00FF95AB" w14:textId="77777777" w:rsidR="00886871" w:rsidRDefault="00886871" w:rsidP="00146E50">
      <w:pPr>
        <w:pStyle w:val="Brdtekst"/>
        <w:keepNext/>
        <w:keepLines/>
        <w:widowControl/>
        <w:rPr>
          <w:rFonts w:asciiTheme="majorBidi" w:hAnsiTheme="majorBidi" w:cstheme="majorBidi"/>
          <w:b/>
          <w:lang w:val="da-DK"/>
        </w:rPr>
      </w:pPr>
    </w:p>
    <w:tbl>
      <w:tblPr>
        <w:tblW w:w="90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70"/>
        <w:gridCol w:w="5105"/>
      </w:tblGrid>
      <w:tr w:rsidR="00886871" w14:paraId="3ED2C94D"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681D6DC7" w14:textId="77777777" w:rsidR="00886871" w:rsidRDefault="00886871" w:rsidP="00146E50">
            <w:pPr>
              <w:pStyle w:val="TableParagraph"/>
              <w:keepNext/>
              <w:keepLines/>
              <w:widowControl/>
              <w:spacing w:line="240" w:lineRule="auto"/>
              <w:ind w:left="57" w:right="57" w:hanging="4"/>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Glomerulær </w:t>
            </w:r>
            <w:r>
              <w:rPr>
                <w:rFonts w:asciiTheme="majorBidi" w:hAnsiTheme="majorBidi" w:cstheme="majorBidi"/>
                <w:kern w:val="2"/>
                <w:lang w:val="da-DK"/>
                <w14:ligatures w14:val="standardContextual"/>
              </w:rPr>
              <w:t>filtrationshastighed</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(CrCL)</w:t>
            </w:r>
          </w:p>
          <w:p w14:paraId="4C094F06"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[ml/min]</w:t>
            </w:r>
          </w:p>
        </w:tc>
        <w:tc>
          <w:tcPr>
            <w:tcW w:w="5103" w:type="dxa"/>
            <w:tcBorders>
              <w:top w:val="single" w:sz="6" w:space="0" w:color="000000"/>
              <w:left w:val="single" w:sz="6" w:space="0" w:color="000000"/>
              <w:bottom w:val="single" w:sz="6" w:space="0" w:color="000000"/>
              <w:right w:val="single" w:sz="6" w:space="0" w:color="000000"/>
            </w:tcBorders>
            <w:hideMark/>
          </w:tcPr>
          <w:p w14:paraId="1C29756B"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gMean</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(gCV</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 xml:space="preserve">range) </w:t>
            </w:r>
            <w:r>
              <w:rPr>
                <w:rFonts w:asciiTheme="majorBidi" w:hAnsiTheme="majorBidi" w:cstheme="majorBidi"/>
                <w:spacing w:val="-2"/>
                <w:kern w:val="2"/>
                <w:lang w:val="da-DK"/>
                <w14:ligatures w14:val="standardContextual"/>
              </w:rPr>
              <w:t>halveringstid</w:t>
            </w:r>
          </w:p>
          <w:p w14:paraId="7D8A545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[h]</w:t>
            </w:r>
          </w:p>
        </w:tc>
      </w:tr>
      <w:tr w:rsidR="00886871" w14:paraId="4DA7E388"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37816943"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5103" w:type="dxa"/>
            <w:tcBorders>
              <w:top w:val="single" w:sz="6" w:space="0" w:color="000000"/>
              <w:left w:val="single" w:sz="6" w:space="0" w:color="000000"/>
              <w:bottom w:val="single" w:sz="6" w:space="0" w:color="000000"/>
              <w:right w:val="single" w:sz="6" w:space="0" w:color="000000"/>
            </w:tcBorders>
            <w:hideMark/>
          </w:tcPr>
          <w:p w14:paraId="7AB00475"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(25,7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11,0-</w:t>
            </w:r>
            <w:r>
              <w:rPr>
                <w:rFonts w:asciiTheme="majorBidi" w:hAnsiTheme="majorBidi" w:cstheme="majorBidi"/>
                <w:spacing w:val="-2"/>
                <w:kern w:val="2"/>
                <w:lang w:val="da-DK"/>
                <w14:ligatures w14:val="standardContextual"/>
              </w:rPr>
              <w:t>21,6)</w:t>
            </w:r>
          </w:p>
        </w:tc>
      </w:tr>
      <w:tr w:rsidR="00886871" w14:paraId="772EB8E5"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3CD0A8F4"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5103" w:type="dxa"/>
            <w:tcBorders>
              <w:top w:val="single" w:sz="6" w:space="0" w:color="000000"/>
              <w:left w:val="single" w:sz="6" w:space="0" w:color="000000"/>
              <w:bottom w:val="single" w:sz="6" w:space="0" w:color="000000"/>
              <w:right w:val="single" w:sz="6" w:space="0" w:color="000000"/>
            </w:tcBorders>
            <w:hideMark/>
          </w:tcPr>
          <w:p w14:paraId="2BEE7C99"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15,3</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(42,7</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11,7-</w:t>
            </w:r>
            <w:r>
              <w:rPr>
                <w:rFonts w:asciiTheme="majorBidi" w:hAnsiTheme="majorBidi" w:cstheme="majorBidi"/>
                <w:spacing w:val="-2"/>
                <w:kern w:val="2"/>
                <w:lang w:val="da-DK"/>
                <w14:ligatures w14:val="standardContextual"/>
              </w:rPr>
              <w:t>34,1)</w:t>
            </w:r>
          </w:p>
        </w:tc>
      </w:tr>
      <w:tr w:rsidR="00886871" w14:paraId="01C0D4EF"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567815B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50</w:t>
            </w:r>
          </w:p>
        </w:tc>
        <w:tc>
          <w:tcPr>
            <w:tcW w:w="5103" w:type="dxa"/>
            <w:tcBorders>
              <w:top w:val="single" w:sz="6" w:space="0" w:color="000000"/>
              <w:left w:val="single" w:sz="6" w:space="0" w:color="000000"/>
              <w:bottom w:val="single" w:sz="6" w:space="0" w:color="000000"/>
              <w:right w:val="single" w:sz="6" w:space="0" w:color="000000"/>
            </w:tcBorders>
            <w:hideMark/>
          </w:tcPr>
          <w:p w14:paraId="57E4DB60" w14:textId="77777777" w:rsidR="00886871" w:rsidRDefault="00886871" w:rsidP="00146E50">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(18,5</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13,3-</w:t>
            </w:r>
            <w:r>
              <w:rPr>
                <w:rFonts w:asciiTheme="majorBidi" w:hAnsiTheme="majorBidi" w:cstheme="majorBidi"/>
                <w:spacing w:val="-2"/>
                <w:kern w:val="2"/>
                <w:lang w:val="da-DK"/>
                <w14:ligatures w14:val="standardContextual"/>
              </w:rPr>
              <w:t>23,0)</w:t>
            </w:r>
          </w:p>
        </w:tc>
      </w:tr>
      <w:tr w:rsidR="00886871" w14:paraId="0F97CE1F" w14:textId="77777777" w:rsidTr="00886871">
        <w:trPr>
          <w:cantSplit/>
          <w:trHeight w:val="20"/>
        </w:trPr>
        <w:tc>
          <w:tcPr>
            <w:tcW w:w="3969" w:type="dxa"/>
            <w:tcBorders>
              <w:top w:val="single" w:sz="6" w:space="0" w:color="000000"/>
              <w:left w:val="single" w:sz="6" w:space="0" w:color="000000"/>
              <w:bottom w:val="single" w:sz="6" w:space="0" w:color="000000"/>
              <w:right w:val="single" w:sz="6" w:space="0" w:color="000000"/>
            </w:tcBorders>
            <w:hideMark/>
          </w:tcPr>
          <w:p w14:paraId="5DB58D3E"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30</w:t>
            </w:r>
          </w:p>
        </w:tc>
        <w:tc>
          <w:tcPr>
            <w:tcW w:w="5103" w:type="dxa"/>
            <w:tcBorders>
              <w:top w:val="single" w:sz="6" w:space="0" w:color="000000"/>
              <w:left w:val="single" w:sz="6" w:space="0" w:color="000000"/>
              <w:bottom w:val="single" w:sz="6" w:space="0" w:color="000000"/>
              <w:right w:val="single" w:sz="6" w:space="0" w:color="000000"/>
            </w:tcBorders>
            <w:hideMark/>
          </w:tcPr>
          <w:p w14:paraId="18F87B1D" w14:textId="77777777" w:rsidR="00886871" w:rsidRDefault="00886871" w:rsidP="00146E50">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27,2</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(15,3</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21,6-</w:t>
            </w:r>
            <w:r>
              <w:rPr>
                <w:rFonts w:asciiTheme="majorBidi" w:hAnsiTheme="majorBidi" w:cstheme="majorBidi"/>
                <w:spacing w:val="-2"/>
                <w:kern w:val="2"/>
                <w:lang w:val="da-DK"/>
                <w14:ligatures w14:val="standardContextual"/>
              </w:rPr>
              <w:t>35,0)</w:t>
            </w:r>
          </w:p>
        </w:tc>
      </w:tr>
    </w:tbl>
    <w:p w14:paraId="4DCB32C8" w14:textId="77777777" w:rsidR="00886871" w:rsidRPr="00307CA4" w:rsidRDefault="00886871" w:rsidP="00DB26E1">
      <w:pPr>
        <w:pStyle w:val="Brdtekst"/>
        <w:widowControl/>
        <w:ind w:left="851"/>
        <w:rPr>
          <w:rFonts w:asciiTheme="majorBidi" w:hAnsiTheme="majorBidi" w:cstheme="majorBidi"/>
          <w:b/>
          <w:sz w:val="24"/>
          <w:szCs w:val="24"/>
          <w:lang w:val="da-DK"/>
        </w:rPr>
      </w:pPr>
    </w:p>
    <w:p w14:paraId="0768135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 xml:space="preserve">Derudover blev dabigatraneksponering (ved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 xml:space="preserve">og peak) vurderet i et prospektivt, </w:t>
      </w:r>
      <w:r w:rsidRPr="00307CA4">
        <w:rPr>
          <w:rFonts w:asciiTheme="majorBidi" w:hAnsiTheme="majorBidi" w:cstheme="majorBidi"/>
          <w:i/>
          <w:sz w:val="24"/>
          <w:szCs w:val="24"/>
          <w:lang w:val="da-DK"/>
        </w:rPr>
        <w:t>open-label</w:t>
      </w:r>
      <w:r w:rsidRPr="00307CA4">
        <w:rPr>
          <w:rFonts w:asciiTheme="majorBidi" w:hAnsiTheme="majorBidi" w:cstheme="majorBidi"/>
          <w:sz w:val="24"/>
          <w:szCs w:val="24"/>
          <w:lang w:val="da-DK"/>
        </w:rPr>
        <w:t>, randomiseret,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farmakokinetisk</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studie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NVAF-patienter</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svært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 xml:space="preserve">(defineret som kreatininclearance [CrCL] 15-30 ml/min), der fik dabigatranetexilat 75 mg to gange dagligt. Dette behandlingsregime førte til en geometrisk gennemsnitlig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på 155 ng/ml (gCV 76,9 %), målt straks før administration af den næste dosis, og til en geometrisk gennemsnitlig peak-koncentration</w:t>
      </w:r>
      <w:r w:rsidRPr="00307CA4">
        <w:rPr>
          <w:rFonts w:asciiTheme="majorBidi" w:hAnsiTheme="majorBidi" w:cstheme="majorBidi"/>
          <w:spacing w:val="-8"/>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202 ng/ml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(gCV</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70.6</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målt</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to timer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efter</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administration</w:t>
      </w:r>
      <w:r w:rsidRPr="00307CA4">
        <w:rPr>
          <w:rFonts w:asciiTheme="majorBidi" w:hAnsiTheme="majorBidi" w:cstheme="majorBidi"/>
          <w:spacing w:val="-6"/>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den</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sidste</w:t>
      </w:r>
      <w:r w:rsidRPr="00307CA4">
        <w:rPr>
          <w:rFonts w:asciiTheme="majorBidi" w:hAnsiTheme="majorBidi" w:cstheme="majorBidi"/>
          <w:spacing w:val="-5"/>
          <w:sz w:val="24"/>
          <w:szCs w:val="24"/>
          <w:lang w:val="da-DK"/>
        </w:rPr>
        <w:t xml:space="preserve"> </w:t>
      </w:r>
      <w:r w:rsidRPr="00307CA4">
        <w:rPr>
          <w:rFonts w:asciiTheme="majorBidi" w:hAnsiTheme="majorBidi" w:cstheme="majorBidi"/>
          <w:spacing w:val="-2"/>
          <w:sz w:val="24"/>
          <w:szCs w:val="24"/>
          <w:lang w:val="da-DK"/>
        </w:rPr>
        <w:t>dosis.</w:t>
      </w:r>
    </w:p>
    <w:p w14:paraId="3EBB1E5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B88B83E"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Elimination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hæmodialyse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undersøgt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7</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nyresygdom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 slutstadiet (ESRD) uden atrieflimren. Dialysen blev udført med en dialysatgennemstrømningshastighed på 700 ml/min, var af fire timers varighed og med en blodgennemstrømningshastighed på enten 200 ml/min eller 350</w:t>
      </w:r>
      <w:r w:rsidRPr="00307CA4">
        <w:rPr>
          <w:rFonts w:asciiTheme="majorBidi" w:hAnsiTheme="majorBidi" w:cstheme="majorBidi"/>
          <w:sz w:val="24"/>
          <w:szCs w:val="24"/>
          <w:lang w:val="da-DK"/>
        </w:rPr>
        <w:noBreakHyphen/>
        <w:t xml:space="preserve">390 ml/min. Dette </w:t>
      </w:r>
      <w:r w:rsidRPr="00307CA4">
        <w:rPr>
          <w:rFonts w:asciiTheme="majorBidi" w:hAnsiTheme="majorBidi" w:cstheme="majorBidi"/>
          <w:sz w:val="24"/>
          <w:szCs w:val="24"/>
          <w:lang w:val="da-DK"/>
        </w:rPr>
        <w:lastRenderedPageBreak/>
        <w:t>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3710EFED"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FD122ED"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68,4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næsten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halvdelen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(45,8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RE-LY</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patienterne var CrCL &gt; 50</w:t>
      </w:r>
      <w:r w:rsidRPr="00307CA4">
        <w:rPr>
          <w:rFonts w:asciiTheme="majorBidi" w:hAnsiTheme="majorBidi" w:cstheme="majorBidi"/>
          <w:sz w:val="24"/>
          <w:szCs w:val="24"/>
          <w:lang w:val="da-DK"/>
        </w:rPr>
        <w:noBreakHyphen/>
        <w:t>&lt; 80 ml/min. Patienter med moderat nedsat nyrefunktion (CrCL mellem 30 og 50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gennemsnit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2,29</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1,81</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gange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højere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præ-</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post-dosis dabigatran-plasmakoncentrationer, i forhold til patienter uden nedsat nyrefunktion (CrCL</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 80 </w:t>
      </w:r>
      <w:r w:rsidRPr="00307CA4">
        <w:rPr>
          <w:rFonts w:asciiTheme="majorBidi" w:hAnsiTheme="majorBidi" w:cstheme="majorBidi"/>
          <w:spacing w:val="-2"/>
          <w:sz w:val="24"/>
          <w:szCs w:val="24"/>
          <w:lang w:val="da-DK"/>
        </w:rPr>
        <w:t>ml/min).</w:t>
      </w:r>
    </w:p>
    <w:p w14:paraId="3535B10B"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7D5CFC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Den mediane CrCL i RE-COVER-studiet var 100,3 ml/min. 21,7 % af patienterne havde let nedsat 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&gt;</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&lt; 80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4,5</w:t>
      </w:r>
      <w:r w:rsidRPr="00307CA4">
        <w:rPr>
          <w:rFonts w:asciiTheme="majorBidi" w:hAnsiTheme="majorBidi" w:cstheme="majorBidi"/>
          <w:spacing w:val="-2"/>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moderat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nyrefunktion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mellem 30 og 50 ml/min). Patienter med let og moderat nedsat nyrefunktion havde ved </w:t>
      </w:r>
      <w:r w:rsidRPr="00307CA4">
        <w:rPr>
          <w:rFonts w:asciiTheme="majorBidi" w:hAnsiTheme="majorBidi" w:cstheme="majorBidi"/>
          <w:i/>
          <w:sz w:val="24"/>
          <w:szCs w:val="24"/>
          <w:lang w:val="da-DK"/>
        </w:rPr>
        <w:t xml:space="preserve">steady state </w:t>
      </w:r>
      <w:r w:rsidRPr="00307CA4">
        <w:rPr>
          <w:rFonts w:asciiTheme="majorBidi" w:hAnsiTheme="majorBidi" w:cstheme="majorBidi"/>
          <w:sz w:val="24"/>
          <w:szCs w:val="24"/>
          <w:lang w:val="da-DK"/>
        </w:rPr>
        <w:t>gennemsnitligt henholdsvis 1,7 gange og 3,4 gange højere dabigatran-</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sammenlignet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&gt; 80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Tilsvarende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værdier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sås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COVER </w:t>
      </w:r>
      <w:r w:rsidRPr="00307CA4">
        <w:rPr>
          <w:rFonts w:asciiTheme="majorBidi" w:hAnsiTheme="majorBidi" w:cstheme="majorBidi"/>
          <w:spacing w:val="-4"/>
          <w:sz w:val="24"/>
          <w:szCs w:val="24"/>
          <w:lang w:val="da-DK"/>
        </w:rPr>
        <w:t>II.</w:t>
      </w:r>
    </w:p>
    <w:p w14:paraId="10901A6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35080A3"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r w:rsidRPr="00307CA4">
        <w:rPr>
          <w:rFonts w:asciiTheme="majorBidi" w:hAnsiTheme="majorBidi" w:cstheme="majorBidi"/>
          <w:sz w:val="24"/>
          <w:szCs w:val="24"/>
          <w:lang w:val="da-DK"/>
        </w:rPr>
        <w:t>Den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mediane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RE-MEDY-</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RE-SONATE-studierne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henholdsvis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99,0 ml/min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 99,7 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Henholdsvis</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22,9</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22,5</w:t>
      </w:r>
      <w:r w:rsidRPr="00307CA4">
        <w:rPr>
          <w:rFonts w:asciiTheme="majorBidi" w:hAnsiTheme="majorBidi" w:cstheme="majorBidi"/>
          <w:spacing w:val="-6"/>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af</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patienterne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&gt;</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&lt;</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80</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ml/min,</w:t>
      </w:r>
      <w:r w:rsidRPr="00307CA4">
        <w:rPr>
          <w:rFonts w:asciiTheme="majorBidi" w:hAnsiTheme="majorBidi" w:cstheme="majorBidi"/>
          <w:spacing w:val="-4"/>
          <w:sz w:val="24"/>
          <w:szCs w:val="24"/>
          <w:lang w:val="da-DK"/>
        </w:rPr>
        <w:t xml:space="preserve"> </w:t>
      </w:r>
      <w:r w:rsidRPr="00307CA4">
        <w:rPr>
          <w:rFonts w:asciiTheme="majorBidi" w:hAnsiTheme="majorBidi" w:cstheme="majorBidi"/>
          <w:spacing w:val="-5"/>
          <w:sz w:val="24"/>
          <w:szCs w:val="24"/>
          <w:lang w:val="da-DK"/>
        </w:rPr>
        <w:t xml:space="preserve">og </w:t>
      </w:r>
      <w:r w:rsidRPr="00307CA4">
        <w:rPr>
          <w:rFonts w:asciiTheme="majorBidi" w:hAnsiTheme="majorBidi" w:cstheme="majorBidi"/>
          <w:sz w:val="24"/>
          <w:szCs w:val="24"/>
          <w:lang w:val="da-DK"/>
        </w:rPr>
        <w:t>henholdsvis</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4,1</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4,8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havde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CrCL</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mellem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30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50 ml/min</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MEDY-</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w:t>
      </w:r>
      <w:r w:rsidRPr="00307CA4">
        <w:rPr>
          <w:rFonts w:asciiTheme="majorBidi" w:hAnsiTheme="majorBidi" w:cstheme="majorBidi"/>
          <w:sz w:val="24"/>
          <w:szCs w:val="24"/>
          <w:lang w:val="da-DK"/>
        </w:rPr>
        <w:noBreakHyphen/>
        <w:t>SONATE-</w:t>
      </w:r>
      <w:r w:rsidRPr="00307CA4">
        <w:rPr>
          <w:rFonts w:asciiTheme="majorBidi" w:hAnsiTheme="majorBidi" w:cstheme="majorBidi"/>
          <w:spacing w:val="-2"/>
          <w:sz w:val="24"/>
          <w:szCs w:val="24"/>
          <w:lang w:val="da-DK"/>
        </w:rPr>
        <w:t>studierne.</w:t>
      </w:r>
    </w:p>
    <w:p w14:paraId="4263A3B0" w14:textId="77777777" w:rsidR="00886871" w:rsidRPr="00307CA4" w:rsidRDefault="00886871" w:rsidP="00DB26E1">
      <w:pPr>
        <w:pStyle w:val="Brdtekst"/>
        <w:widowControl/>
        <w:ind w:left="851"/>
        <w:rPr>
          <w:rFonts w:asciiTheme="majorBidi" w:hAnsiTheme="majorBidi" w:cstheme="majorBidi"/>
          <w:spacing w:val="-2"/>
          <w:sz w:val="24"/>
          <w:szCs w:val="24"/>
          <w:lang w:val="da-DK"/>
        </w:rPr>
      </w:pPr>
    </w:p>
    <w:p w14:paraId="038B72CE"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Ældre</w:t>
      </w:r>
      <w:r w:rsidRPr="00307CA4">
        <w:rPr>
          <w:rFonts w:asciiTheme="majorBidi" w:hAnsiTheme="majorBidi" w:cstheme="majorBidi"/>
          <w:i/>
          <w:spacing w:val="-5"/>
          <w:sz w:val="24"/>
          <w:szCs w:val="24"/>
        </w:rPr>
        <w:t xml:space="preserve"> </w:t>
      </w:r>
      <w:r w:rsidRPr="00307CA4">
        <w:rPr>
          <w:rFonts w:asciiTheme="majorBidi" w:hAnsiTheme="majorBidi" w:cstheme="majorBidi"/>
          <w:i/>
          <w:spacing w:val="-2"/>
          <w:sz w:val="24"/>
          <w:szCs w:val="24"/>
        </w:rPr>
        <w:t>patienter</w:t>
      </w:r>
    </w:p>
    <w:p w14:paraId="3CEBA777"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position w:val="2"/>
          <w:sz w:val="24"/>
          <w:szCs w:val="24"/>
          <w:lang w:val="da-DK"/>
        </w:rPr>
        <w:t>Specifikke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farmakokinetiske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fase I</w:t>
      </w:r>
      <w:r w:rsidRPr="00307CA4">
        <w:rPr>
          <w:rFonts w:asciiTheme="majorBidi" w:hAnsiTheme="majorBidi" w:cstheme="majorBidi"/>
          <w:position w:val="2"/>
          <w:sz w:val="24"/>
          <w:szCs w:val="24"/>
          <w:lang w:val="da-DK"/>
        </w:rPr>
        <w:noBreakHyphen/>
        <w:t>studier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viste,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at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hos</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ældre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er</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AUC</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40-60</w:t>
      </w:r>
      <w:r w:rsidRPr="00307CA4">
        <w:rPr>
          <w:rFonts w:asciiTheme="majorBidi" w:hAnsiTheme="majorBidi" w:cstheme="majorBidi"/>
          <w:spacing w:val="-3"/>
          <w:position w:val="2"/>
          <w:sz w:val="24"/>
          <w:szCs w:val="24"/>
          <w:lang w:val="da-DK"/>
        </w:rPr>
        <w:t> </w:t>
      </w:r>
      <w:r w:rsidRPr="00307CA4">
        <w:rPr>
          <w:rFonts w:asciiTheme="majorBidi" w:hAnsiTheme="majorBidi" w:cstheme="majorBidi"/>
          <w:position w:val="2"/>
          <w:sz w:val="24"/>
          <w:szCs w:val="24"/>
          <w:lang w:val="da-DK"/>
        </w:rPr>
        <w:t>%</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større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og</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C</w:t>
      </w:r>
      <w:r w:rsidRPr="00307CA4">
        <w:rPr>
          <w:rFonts w:asciiTheme="majorBidi" w:hAnsiTheme="majorBidi" w:cstheme="majorBidi"/>
          <w:sz w:val="24"/>
          <w:szCs w:val="24"/>
          <w:lang w:val="da-DK"/>
        </w:rPr>
        <w:t>max</w:t>
      </w:r>
      <w:r w:rsidRPr="00307CA4">
        <w:rPr>
          <w:rFonts w:asciiTheme="majorBidi" w:hAnsiTheme="majorBidi" w:cstheme="majorBidi"/>
          <w:spacing w:val="18"/>
          <w:sz w:val="24"/>
          <w:szCs w:val="24"/>
          <w:lang w:val="da-DK"/>
        </w:rPr>
        <w:t xml:space="preserve"> </w:t>
      </w:r>
      <w:r w:rsidRPr="00307CA4">
        <w:rPr>
          <w:rFonts w:asciiTheme="majorBidi" w:hAnsiTheme="majorBidi" w:cstheme="majorBidi"/>
          <w:position w:val="2"/>
          <w:sz w:val="24"/>
          <w:szCs w:val="24"/>
          <w:lang w:val="da-DK"/>
        </w:rPr>
        <w:t>mere</w:t>
      </w:r>
      <w:r w:rsidRPr="00307CA4">
        <w:rPr>
          <w:rFonts w:asciiTheme="majorBidi" w:hAnsiTheme="majorBidi" w:cstheme="majorBidi"/>
          <w:spacing w:val="-3"/>
          <w:position w:val="2"/>
          <w:sz w:val="24"/>
          <w:szCs w:val="24"/>
          <w:lang w:val="da-DK"/>
        </w:rPr>
        <w:t xml:space="preserve"> </w:t>
      </w:r>
      <w:r w:rsidRPr="00307CA4">
        <w:rPr>
          <w:rFonts w:asciiTheme="majorBidi" w:hAnsiTheme="majorBidi" w:cstheme="majorBidi"/>
          <w:position w:val="2"/>
          <w:sz w:val="24"/>
          <w:szCs w:val="24"/>
          <w:lang w:val="da-DK"/>
        </w:rPr>
        <w:t xml:space="preserve">end </w:t>
      </w:r>
      <w:r w:rsidRPr="00307CA4">
        <w:rPr>
          <w:rFonts w:asciiTheme="majorBidi" w:hAnsiTheme="majorBidi" w:cstheme="majorBidi"/>
          <w:sz w:val="24"/>
          <w:szCs w:val="24"/>
          <w:lang w:val="da-DK"/>
        </w:rPr>
        <w:t>25 % højere end hos unge. Alderens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indflydelse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kinetik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RE-LY-studiet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cirka</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31</w:t>
      </w:r>
      <w:r w:rsidRPr="00307CA4">
        <w:rPr>
          <w:rFonts w:asciiTheme="majorBidi" w:hAnsiTheme="majorBidi" w:cstheme="majorBidi"/>
          <w:spacing w:val="-3"/>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højere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 xml:space="preserve">-koncentration for patienter ≥ 75 år og med omkring 22 % lavere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 hos patienter &lt; 65 år sammenlignet med patienter mellem 65 og 75 år (se pkt. 4.2 og 4.4).</w:t>
      </w:r>
    </w:p>
    <w:p w14:paraId="3784596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6B66575F"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Nedsat</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leverfunktion</w:t>
      </w:r>
    </w:p>
    <w:p w14:paraId="49483C20"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Man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så</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ingen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ændring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12</w:t>
      </w:r>
      <w:r w:rsidRPr="00307CA4">
        <w:rPr>
          <w:rFonts w:asciiTheme="majorBidi" w:hAnsiTheme="majorBidi" w:cstheme="majorBidi"/>
          <w:spacing w:val="-5"/>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moderat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nedsat leverfunktion (Child Pugh B) sammenlignet med 12 kontrolpersoner (se pkt. 4.2 og 4.4).</w:t>
      </w:r>
    </w:p>
    <w:p w14:paraId="73378312" w14:textId="77777777" w:rsidR="00886871" w:rsidRPr="00307CA4" w:rsidRDefault="00886871" w:rsidP="00DB26E1">
      <w:pPr>
        <w:pStyle w:val="Brdtekst"/>
        <w:widowControl/>
        <w:ind w:left="851"/>
        <w:rPr>
          <w:rFonts w:asciiTheme="majorBidi" w:hAnsiTheme="majorBidi" w:cstheme="majorBidi"/>
          <w:sz w:val="24"/>
          <w:szCs w:val="24"/>
          <w:lang w:val="da-DK"/>
        </w:rPr>
      </w:pPr>
    </w:p>
    <w:p w14:paraId="33AC3583"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4"/>
          <w:sz w:val="24"/>
          <w:szCs w:val="24"/>
        </w:rPr>
        <w:t>Vægt</w:t>
      </w:r>
    </w:p>
    <w:p w14:paraId="070CEA73"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For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vejer</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&gt; 100 kg,</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var</w:t>
      </w:r>
      <w:r w:rsidRPr="00307CA4">
        <w:rPr>
          <w:rFonts w:asciiTheme="majorBidi" w:hAnsiTheme="majorBidi" w:cstheme="majorBidi"/>
          <w:spacing w:val="-1"/>
          <w:sz w:val="24"/>
          <w:szCs w:val="24"/>
          <w:lang w:val="da-DK"/>
        </w:rPr>
        <w:t xml:space="preserv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-koncentrationen</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20</w:t>
      </w:r>
      <w:r w:rsidRPr="00307CA4">
        <w:rPr>
          <w:rFonts w:asciiTheme="majorBidi" w:hAnsiTheme="majorBidi" w:cstheme="majorBidi"/>
          <w:spacing w:val="-1"/>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lavere</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sammenlignet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med voksne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på</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50</w:t>
      </w:r>
      <w:r w:rsidRPr="00307CA4">
        <w:rPr>
          <w:rFonts w:asciiTheme="majorBidi" w:hAnsiTheme="majorBidi" w:cstheme="majorBidi"/>
          <w:sz w:val="24"/>
          <w:szCs w:val="24"/>
          <w:lang w:val="da-DK"/>
        </w:rPr>
        <w:noBreakHyphen/>
        <w:t>100 kg.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fleste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patienter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(80,8</w:t>
      </w:r>
      <w:r w:rsidRPr="00307CA4">
        <w:rPr>
          <w:rFonts w:asciiTheme="majorBidi" w:hAnsiTheme="majorBidi" w:cstheme="majorBidi"/>
          <w:spacing w:val="-4"/>
          <w:sz w:val="24"/>
          <w:szCs w:val="24"/>
          <w:lang w:val="da-DK"/>
        </w:rPr>
        <w:t> </w:t>
      </w:r>
      <w:r w:rsidRPr="00307CA4">
        <w:rPr>
          <w:rFonts w:asciiTheme="majorBidi" w:hAnsiTheme="majorBidi" w:cstheme="majorBidi"/>
          <w:sz w:val="24"/>
          <w:szCs w:val="24"/>
          <w:lang w:val="da-DK"/>
        </w:rPr>
        <w:t>%)</w:t>
      </w:r>
      <w:r w:rsidRPr="00307CA4">
        <w:rPr>
          <w:rFonts w:asciiTheme="majorBidi" w:hAnsiTheme="majorBidi" w:cstheme="majorBidi"/>
          <w:spacing w:val="-1"/>
          <w:sz w:val="24"/>
          <w:szCs w:val="24"/>
          <w:lang w:val="da-DK"/>
        </w:rPr>
        <w:t xml:space="preserve"> </w:t>
      </w:r>
      <w:r w:rsidRPr="00307CA4">
        <w:rPr>
          <w:rFonts w:asciiTheme="majorBidi" w:hAnsiTheme="majorBidi" w:cstheme="majorBidi"/>
          <w:sz w:val="24"/>
          <w:szCs w:val="24"/>
          <w:lang w:val="da-DK"/>
        </w:rPr>
        <w:t>vejede</w:t>
      </w:r>
      <w:r w:rsidRPr="00307CA4">
        <w:rPr>
          <w:rFonts w:asciiTheme="majorBidi" w:hAnsiTheme="majorBidi" w:cstheme="majorBidi"/>
          <w:spacing w:val="-4"/>
          <w:sz w:val="24"/>
          <w:szCs w:val="24"/>
          <w:lang w:val="da-DK"/>
        </w:rPr>
        <w:t xml:space="preserve"> </w:t>
      </w:r>
      <w:r w:rsidRPr="00307CA4">
        <w:rPr>
          <w:rFonts w:asciiTheme="majorBidi" w:hAnsiTheme="majorBidi" w:cstheme="majorBidi"/>
          <w:sz w:val="24"/>
          <w:szCs w:val="24"/>
          <w:lang w:val="da-DK"/>
        </w:rPr>
        <w:t>≥ 50</w:t>
      </w:r>
      <w:r w:rsidRPr="00307CA4">
        <w:rPr>
          <w:rFonts w:asciiTheme="majorBidi" w:hAnsiTheme="majorBidi" w:cstheme="majorBidi"/>
          <w:sz w:val="24"/>
          <w:szCs w:val="24"/>
          <w:lang w:val="da-DK"/>
        </w:rPr>
        <w:noBreakHyphen/>
        <w:t>100 kg,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og</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sås</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ingen klar forskel (se pkt. 4.2 og 4.4). For voksne patienter &lt; 50 kg er kun begrænsede data tilgængelige.</w:t>
      </w:r>
    </w:p>
    <w:p w14:paraId="158AEF7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0E111F64"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pacing w:val="-5"/>
          <w:sz w:val="24"/>
          <w:szCs w:val="24"/>
        </w:rPr>
        <w:t>Køn</w:t>
      </w:r>
    </w:p>
    <w:p w14:paraId="5F603AE8" w14:textId="79C7FE58"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kvindelige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AF-patienter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måltes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gennemsnit 30 % højere </w:t>
      </w:r>
      <w:r w:rsidRPr="00307CA4">
        <w:rPr>
          <w:rFonts w:asciiTheme="majorBidi" w:hAnsiTheme="majorBidi" w:cstheme="majorBidi"/>
          <w:i/>
          <w:sz w:val="24"/>
          <w:szCs w:val="24"/>
          <w:lang w:val="da-DK"/>
        </w:rPr>
        <w:t xml:space="preserve">trough </w:t>
      </w:r>
      <w:r w:rsidRPr="00307CA4">
        <w:rPr>
          <w:rFonts w:asciiTheme="majorBidi" w:hAnsiTheme="majorBidi" w:cstheme="majorBidi"/>
          <w:sz w:val="24"/>
          <w:szCs w:val="24"/>
          <w:lang w:val="da-DK"/>
        </w:rPr>
        <w:t>og post-dosis koncentrationer. Ingen dosisjustering er nødvendig (se pkt. 4.2).</w:t>
      </w:r>
    </w:p>
    <w:p w14:paraId="09C0C46E" w14:textId="77777777" w:rsidR="00886871" w:rsidRPr="00307CA4" w:rsidRDefault="00886871" w:rsidP="00DB26E1">
      <w:pPr>
        <w:pStyle w:val="Brdtekst"/>
        <w:widowControl/>
        <w:ind w:left="851"/>
        <w:rPr>
          <w:rFonts w:asciiTheme="majorBidi" w:hAnsiTheme="majorBidi" w:cstheme="majorBidi"/>
          <w:sz w:val="24"/>
          <w:szCs w:val="24"/>
          <w:lang w:val="da-DK"/>
        </w:rPr>
      </w:pPr>
    </w:p>
    <w:p w14:paraId="433C63E3" w14:textId="77777777" w:rsidR="00886871" w:rsidRPr="00307CA4" w:rsidRDefault="00886871" w:rsidP="00DB26E1">
      <w:pPr>
        <w:keepNext/>
        <w:keepLines/>
        <w:ind w:left="851"/>
        <w:jc w:val="both"/>
        <w:rPr>
          <w:rFonts w:asciiTheme="majorBidi" w:hAnsiTheme="majorBidi" w:cstheme="majorBidi"/>
          <w:i/>
          <w:sz w:val="24"/>
          <w:szCs w:val="24"/>
        </w:rPr>
      </w:pPr>
      <w:r w:rsidRPr="00307CA4">
        <w:rPr>
          <w:rFonts w:asciiTheme="majorBidi" w:hAnsiTheme="majorBidi" w:cstheme="majorBidi"/>
          <w:i/>
          <w:sz w:val="24"/>
          <w:szCs w:val="24"/>
        </w:rPr>
        <w:t>Etnisk</w:t>
      </w:r>
      <w:r w:rsidRPr="00307CA4">
        <w:rPr>
          <w:rFonts w:asciiTheme="majorBidi" w:hAnsiTheme="majorBidi" w:cstheme="majorBidi"/>
          <w:i/>
          <w:spacing w:val="-6"/>
          <w:sz w:val="24"/>
          <w:szCs w:val="24"/>
        </w:rPr>
        <w:t xml:space="preserve"> </w:t>
      </w:r>
      <w:r w:rsidRPr="00307CA4">
        <w:rPr>
          <w:rFonts w:asciiTheme="majorBidi" w:hAnsiTheme="majorBidi" w:cstheme="majorBidi"/>
          <w:i/>
          <w:spacing w:val="-2"/>
          <w:sz w:val="24"/>
          <w:szCs w:val="24"/>
        </w:rPr>
        <w:t>oprindelse</w:t>
      </w:r>
    </w:p>
    <w:p w14:paraId="2BDECB28"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klinisk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relevante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etniske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forskelle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dabigatrans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kinetik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eller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dynamik</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mellem kaukasiske, afro-amerikanske, latin-amerikanske, japanske eller kinesiske patienter.</w:t>
      </w:r>
    </w:p>
    <w:p w14:paraId="1D248E15" w14:textId="77777777" w:rsidR="00886871" w:rsidRPr="00307CA4" w:rsidRDefault="00886871" w:rsidP="00DB26E1">
      <w:pPr>
        <w:pStyle w:val="Brdtekst"/>
        <w:widowControl/>
        <w:ind w:left="851"/>
        <w:rPr>
          <w:rFonts w:asciiTheme="majorBidi" w:hAnsiTheme="majorBidi" w:cstheme="majorBidi"/>
          <w:sz w:val="24"/>
          <w:szCs w:val="24"/>
          <w:lang w:val="da-DK"/>
        </w:rPr>
      </w:pPr>
    </w:p>
    <w:p w14:paraId="1E6B7939" w14:textId="77777777" w:rsidR="00886871" w:rsidRPr="00307CA4" w:rsidRDefault="00886871" w:rsidP="00DB26E1">
      <w:pPr>
        <w:keepNext/>
        <w:keepLines/>
        <w:ind w:left="851"/>
        <w:rPr>
          <w:rFonts w:asciiTheme="majorBidi" w:hAnsiTheme="majorBidi" w:cstheme="majorBidi"/>
          <w:i/>
          <w:sz w:val="24"/>
          <w:szCs w:val="24"/>
        </w:rPr>
      </w:pPr>
      <w:r w:rsidRPr="00307CA4">
        <w:rPr>
          <w:rFonts w:asciiTheme="majorBidi" w:hAnsiTheme="majorBidi" w:cstheme="majorBidi"/>
          <w:i/>
          <w:sz w:val="24"/>
          <w:szCs w:val="24"/>
        </w:rPr>
        <w:t>Pædiatrisk</w:t>
      </w:r>
      <w:r w:rsidRPr="00307CA4">
        <w:rPr>
          <w:rFonts w:asciiTheme="majorBidi" w:hAnsiTheme="majorBidi" w:cstheme="majorBidi"/>
          <w:i/>
          <w:spacing w:val="-9"/>
          <w:sz w:val="24"/>
          <w:szCs w:val="24"/>
        </w:rPr>
        <w:t xml:space="preserve"> </w:t>
      </w:r>
      <w:r w:rsidRPr="00307CA4">
        <w:rPr>
          <w:rFonts w:asciiTheme="majorBidi" w:hAnsiTheme="majorBidi" w:cstheme="majorBidi"/>
          <w:i/>
          <w:spacing w:val="-2"/>
          <w:sz w:val="24"/>
          <w:szCs w:val="24"/>
        </w:rPr>
        <w:t>population</w:t>
      </w:r>
    </w:p>
    <w:p w14:paraId="1C7C8F51"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sz w:val="24"/>
          <w:szCs w:val="24"/>
          <w:lang w:val="da-DK"/>
        </w:rPr>
        <w:t>Oral administration af dabigatranetexilat i henhold til den protokoldefinerede doseringsalgoritme resulterede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eksponering</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inden</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for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intervallet,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der</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blev</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observeret</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hos</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voksne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DVT / LE.</w:t>
      </w:r>
      <w:r w:rsidRPr="00307CA4">
        <w:rPr>
          <w:rFonts w:asciiTheme="majorBidi" w:hAnsiTheme="majorBidi" w:cstheme="majorBidi"/>
          <w:spacing w:val="-3"/>
          <w:sz w:val="24"/>
          <w:szCs w:val="24"/>
          <w:lang w:val="da-DK"/>
        </w:rPr>
        <w:t xml:space="preserve"> </w:t>
      </w:r>
      <w:r w:rsidRPr="00307CA4">
        <w:rPr>
          <w:rFonts w:asciiTheme="majorBidi" w:hAnsiTheme="majorBidi" w:cstheme="majorBidi"/>
          <w:sz w:val="24"/>
          <w:szCs w:val="24"/>
          <w:lang w:val="da-DK"/>
        </w:rPr>
        <w:t xml:space="preserve">Baseret på den poolede analyse af farmakokinetiske data fra studierne DIVERSITY og 1160.108, var de observerede geometrisk gennemsnitlige </w:t>
      </w:r>
      <w:r w:rsidRPr="00307CA4">
        <w:rPr>
          <w:rFonts w:asciiTheme="majorBidi" w:hAnsiTheme="majorBidi" w:cstheme="majorBidi"/>
          <w:i/>
          <w:sz w:val="24"/>
          <w:szCs w:val="24"/>
          <w:lang w:val="da-DK"/>
        </w:rPr>
        <w:t>trough</w:t>
      </w:r>
      <w:r w:rsidRPr="00307CA4">
        <w:rPr>
          <w:rFonts w:asciiTheme="majorBidi" w:hAnsiTheme="majorBidi" w:cstheme="majorBidi"/>
          <w:sz w:val="24"/>
          <w:szCs w:val="24"/>
          <w:lang w:val="da-DK"/>
        </w:rPr>
        <w:t>-eksponeringer 53,9 ng/ml, 63,0 ng/ml og 99,1 ng/ml hos henholdsvis 0 til &lt; 2-årige, 2 til &lt; 12-årige og 12 til &lt; 18-årige pædiatriske VTE-patienter.</w:t>
      </w:r>
    </w:p>
    <w:p w14:paraId="7192CA80" w14:textId="77777777" w:rsidR="00886871" w:rsidRPr="00307CA4" w:rsidRDefault="00886871" w:rsidP="00DB26E1">
      <w:pPr>
        <w:pStyle w:val="Brdtekst"/>
        <w:widowControl/>
        <w:ind w:left="851"/>
        <w:rPr>
          <w:rFonts w:asciiTheme="majorBidi" w:hAnsiTheme="majorBidi" w:cstheme="majorBidi"/>
          <w:sz w:val="24"/>
          <w:szCs w:val="24"/>
          <w:lang w:val="da-DK"/>
        </w:rPr>
      </w:pPr>
    </w:p>
    <w:p w14:paraId="276F738F" w14:textId="77777777" w:rsidR="00886871" w:rsidRPr="00307CA4" w:rsidRDefault="00886871" w:rsidP="00DB26E1">
      <w:pPr>
        <w:pStyle w:val="Brdtekst"/>
        <w:keepNext/>
        <w:keepLines/>
        <w:widowControl/>
        <w:ind w:left="851"/>
        <w:jc w:val="both"/>
        <w:rPr>
          <w:rFonts w:asciiTheme="majorBidi" w:hAnsiTheme="majorBidi" w:cstheme="majorBidi"/>
          <w:i/>
          <w:iCs/>
          <w:sz w:val="24"/>
          <w:szCs w:val="24"/>
          <w:lang w:val="da-DK"/>
        </w:rPr>
      </w:pPr>
      <w:r w:rsidRPr="00307CA4">
        <w:rPr>
          <w:rFonts w:asciiTheme="majorBidi" w:hAnsiTheme="majorBidi" w:cstheme="majorBidi"/>
          <w:i/>
          <w:iCs/>
          <w:spacing w:val="-2"/>
          <w:sz w:val="24"/>
          <w:szCs w:val="24"/>
          <w:lang w:val="da-DK"/>
        </w:rPr>
        <w:t>Farmakokinetiske</w:t>
      </w:r>
      <w:r w:rsidRPr="00307CA4">
        <w:rPr>
          <w:rFonts w:asciiTheme="majorBidi" w:hAnsiTheme="majorBidi" w:cstheme="majorBidi"/>
          <w:i/>
          <w:iCs/>
          <w:spacing w:val="17"/>
          <w:sz w:val="24"/>
          <w:szCs w:val="24"/>
          <w:lang w:val="da-DK"/>
        </w:rPr>
        <w:t xml:space="preserve"> </w:t>
      </w:r>
      <w:r w:rsidRPr="00307CA4">
        <w:rPr>
          <w:rFonts w:asciiTheme="majorBidi" w:hAnsiTheme="majorBidi" w:cstheme="majorBidi"/>
          <w:i/>
          <w:iCs/>
          <w:spacing w:val="-2"/>
          <w:sz w:val="24"/>
          <w:szCs w:val="24"/>
          <w:lang w:val="da-DK"/>
        </w:rPr>
        <w:t>interaktioner</w:t>
      </w:r>
    </w:p>
    <w:p w14:paraId="1394E67A" w14:textId="77777777" w:rsidR="00886871" w:rsidRPr="00307CA4" w:rsidRDefault="00886871" w:rsidP="00DB26E1">
      <w:pPr>
        <w:pStyle w:val="Brdtekst"/>
        <w:widowControl/>
        <w:ind w:left="851"/>
        <w:rPr>
          <w:rFonts w:asciiTheme="majorBidi" w:hAnsiTheme="majorBidi" w:cstheme="majorBidi"/>
          <w:sz w:val="24"/>
          <w:szCs w:val="24"/>
          <w:lang w:val="da-DK"/>
        </w:rPr>
      </w:pPr>
      <w:r w:rsidRPr="00307CA4">
        <w:rPr>
          <w:rFonts w:asciiTheme="majorBidi" w:hAnsiTheme="majorBidi" w:cstheme="majorBidi"/>
          <w:i/>
          <w:sz w:val="24"/>
          <w:szCs w:val="24"/>
          <w:lang w:val="da-DK"/>
        </w:rPr>
        <w:t>In vitro</w:t>
      </w:r>
      <w:r w:rsidRPr="00307CA4">
        <w:rPr>
          <w:rFonts w:asciiTheme="majorBidi" w:hAnsiTheme="majorBidi" w:cstheme="majorBidi"/>
          <w:sz w:val="24"/>
          <w:szCs w:val="24"/>
          <w:lang w:val="da-DK"/>
        </w:rPr>
        <w:t>-interaktionsstudier viste ingen hæmning eller induktion af de vigtigste isoenzymer af cytokrom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P450.</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Dette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bekræftet</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w:t>
      </w:r>
      <w:r w:rsidRPr="00307CA4">
        <w:rPr>
          <w:rFonts w:asciiTheme="majorBidi" w:hAnsiTheme="majorBidi" w:cstheme="majorBidi"/>
          <w:spacing w:val="-4"/>
          <w:sz w:val="24"/>
          <w:szCs w:val="24"/>
          <w:lang w:val="da-DK"/>
        </w:rPr>
        <w:t xml:space="preserve"> </w:t>
      </w:r>
      <w:r w:rsidRPr="00307CA4">
        <w:rPr>
          <w:rFonts w:asciiTheme="majorBidi" w:hAnsiTheme="majorBidi" w:cstheme="majorBidi"/>
          <w:i/>
          <w:sz w:val="24"/>
          <w:szCs w:val="24"/>
          <w:lang w:val="da-DK"/>
        </w:rPr>
        <w:t>in</w:t>
      </w:r>
      <w:r w:rsidRPr="00307CA4">
        <w:rPr>
          <w:rFonts w:asciiTheme="majorBidi" w:hAnsiTheme="majorBidi" w:cstheme="majorBidi"/>
          <w:i/>
          <w:spacing w:val="-1"/>
          <w:sz w:val="24"/>
          <w:szCs w:val="24"/>
          <w:lang w:val="da-DK"/>
        </w:rPr>
        <w:t xml:space="preserve"> </w:t>
      </w:r>
      <w:r w:rsidRPr="00307CA4">
        <w:rPr>
          <w:rFonts w:asciiTheme="majorBidi" w:hAnsiTheme="majorBidi" w:cstheme="majorBidi"/>
          <w:i/>
          <w:sz w:val="24"/>
          <w:szCs w:val="24"/>
          <w:lang w:val="da-DK"/>
        </w:rPr>
        <w:t>vivo</w:t>
      </w:r>
      <w:r w:rsidRPr="00307CA4">
        <w:rPr>
          <w:rFonts w:asciiTheme="majorBidi" w:hAnsiTheme="majorBidi" w:cstheme="majorBidi"/>
          <w:sz w:val="24"/>
          <w:szCs w:val="24"/>
          <w:lang w:val="da-DK"/>
        </w:rPr>
        <w:t>-studier</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med</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raske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frivillige,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som</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ikke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viste</w:t>
      </w:r>
      <w:r w:rsidRPr="00307CA4">
        <w:rPr>
          <w:rFonts w:asciiTheme="majorBidi" w:hAnsiTheme="majorBidi" w:cstheme="majorBidi"/>
          <w:spacing w:val="-2"/>
          <w:sz w:val="24"/>
          <w:szCs w:val="24"/>
          <w:lang w:val="da-DK"/>
        </w:rPr>
        <w:t xml:space="preserve"> </w:t>
      </w:r>
      <w:r w:rsidRPr="00307CA4">
        <w:rPr>
          <w:rFonts w:asciiTheme="majorBidi" w:hAnsiTheme="majorBidi" w:cstheme="majorBidi"/>
          <w:sz w:val="24"/>
          <w:szCs w:val="24"/>
          <w:lang w:val="da-DK"/>
        </w:rPr>
        <w:t>interaktion mellem dabigatran og følgende aktive stoffer: atorvastatin (CYP3A4), digoxin (P-gp- transporterinteraktion) og diclofenac (CYP2C9).</w:t>
      </w:r>
    </w:p>
    <w:p w14:paraId="29A53C75" w14:textId="77777777" w:rsidR="009260DE" w:rsidRPr="00C84483" w:rsidRDefault="009260DE" w:rsidP="00DB26E1">
      <w:pPr>
        <w:tabs>
          <w:tab w:val="left" w:pos="851"/>
        </w:tabs>
        <w:ind w:left="851"/>
        <w:rPr>
          <w:sz w:val="24"/>
          <w:szCs w:val="24"/>
        </w:rPr>
      </w:pPr>
    </w:p>
    <w:p w14:paraId="430D0DF9" w14:textId="77777777" w:rsidR="009260DE" w:rsidRPr="00C84483" w:rsidRDefault="009260DE" w:rsidP="00146E50">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398EFE1"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Non-kliniske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data</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viser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ingen</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speciel</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risiko</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mennesker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vurderet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ud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fra</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konventionelle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af sikkerhedsfarmakologi, toksicitet efter gentagne doser eller genotoksicitet.</w:t>
      </w:r>
    </w:p>
    <w:p w14:paraId="4D379009" w14:textId="77777777" w:rsidR="00886871" w:rsidRPr="004D20F5" w:rsidRDefault="00886871" w:rsidP="00DB26E1">
      <w:pPr>
        <w:pStyle w:val="Brdtekst"/>
        <w:widowControl/>
        <w:ind w:left="851"/>
        <w:rPr>
          <w:rFonts w:asciiTheme="majorBidi" w:hAnsiTheme="majorBidi" w:cstheme="majorBidi"/>
          <w:sz w:val="24"/>
          <w:szCs w:val="24"/>
          <w:lang w:val="da-DK"/>
        </w:rPr>
      </w:pPr>
    </w:p>
    <w:p w14:paraId="679D8880"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virkninger,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blev</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observeret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udførte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af</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toksicitet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efter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gentagne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doser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skyldtes dabigatrans kraftige farmakodynamiske effekt.</w:t>
      </w:r>
    </w:p>
    <w:p w14:paraId="218A9189"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BFDF1FC"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Der blev observeret en påvirkning af fertiliteten hos hundyr ved et fald i implantationer og en øgning i præimplantationstab ved 70 mg/kg (5 gange plasmaeksponeringen hos patienter). Hos rotter og</w:t>
      </w:r>
      <w:r w:rsidRPr="004D20F5">
        <w:rPr>
          <w:rFonts w:asciiTheme="majorBidi" w:hAnsiTheme="majorBidi" w:cstheme="majorBidi"/>
          <w:spacing w:val="40"/>
          <w:sz w:val="24"/>
          <w:szCs w:val="24"/>
          <w:lang w:val="da-DK"/>
        </w:rPr>
        <w:t xml:space="preserve"> </w:t>
      </w:r>
      <w:r w:rsidRPr="004D20F5">
        <w:rPr>
          <w:rFonts w:asciiTheme="majorBidi" w:hAnsiTheme="majorBidi" w:cstheme="majorBidi"/>
          <w:sz w:val="24"/>
          <w:szCs w:val="24"/>
          <w:lang w:val="da-DK"/>
        </w:rPr>
        <w:t>kaniner sås et fald i fostervægt og levedygtighed samt en stigning i foster-variation ved doser, der var toksiske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moderdyret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(5</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til</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10</w:t>
      </w:r>
      <w:r w:rsidRPr="004D20F5">
        <w:rPr>
          <w:rFonts w:asciiTheme="majorBidi" w:hAnsiTheme="majorBidi" w:cstheme="majorBidi"/>
          <w:spacing w:val="-4"/>
          <w:sz w:val="24"/>
          <w:szCs w:val="24"/>
          <w:lang w:val="da-DK"/>
        </w:rPr>
        <w:t xml:space="preserve"> </w:t>
      </w:r>
      <w:r w:rsidRPr="004D20F5">
        <w:rPr>
          <w:rFonts w:asciiTheme="majorBidi" w:hAnsiTheme="majorBidi" w:cstheme="majorBidi"/>
          <w:sz w:val="24"/>
          <w:szCs w:val="24"/>
          <w:lang w:val="da-DK"/>
        </w:rPr>
        <w:t>gange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plasmaeksponeringen</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patienterne).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præ-</w:t>
      </w:r>
      <w:r w:rsidRPr="004D20F5">
        <w:rPr>
          <w:rFonts w:asciiTheme="majorBidi" w:hAnsiTheme="majorBidi" w:cstheme="majorBidi"/>
          <w:spacing w:val="-5"/>
          <w:sz w:val="24"/>
          <w:szCs w:val="24"/>
          <w:lang w:val="da-DK"/>
        </w:rPr>
        <w:t xml:space="preserve"> </w:t>
      </w:r>
      <w:r w:rsidRPr="004D20F5">
        <w:rPr>
          <w:rFonts w:asciiTheme="majorBidi" w:hAnsiTheme="majorBidi" w:cstheme="majorBidi"/>
          <w:sz w:val="24"/>
          <w:szCs w:val="24"/>
          <w:lang w:val="da-DK"/>
        </w:rPr>
        <w:t>og</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postnatale studie sås en stigning i fostermortalitet ved doser, der var toksiske for moderdyret (en dosis, der svarer til en plasmaeksponering 4 gange højere end observeret hos patienter).</w:t>
      </w:r>
    </w:p>
    <w:p w14:paraId="383939BF" w14:textId="77777777" w:rsidR="00886871" w:rsidRPr="004D20F5" w:rsidRDefault="00886871" w:rsidP="00DB26E1">
      <w:pPr>
        <w:pStyle w:val="Brdtekst"/>
        <w:widowControl/>
        <w:ind w:left="851"/>
        <w:rPr>
          <w:rFonts w:asciiTheme="majorBidi" w:hAnsiTheme="majorBidi" w:cstheme="majorBidi"/>
          <w:sz w:val="24"/>
          <w:szCs w:val="24"/>
          <w:lang w:val="da-DK"/>
        </w:rPr>
      </w:pPr>
    </w:p>
    <w:p w14:paraId="06692F21"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I et toksicitetsstudie udført med unge Han Wistar-rotter, blev mortalitet forbundet med blødningstilfælde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ved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lignende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eksponeringer,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hvor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blødning</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sås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voksne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dyr.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Hos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både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voksne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og unge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rotter</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anses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mortalitet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være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forbundet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med</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dabigatrans</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overdrevne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farmakologiske</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aktivitet</w:t>
      </w:r>
      <w:r w:rsidRPr="004D20F5">
        <w:rPr>
          <w:rFonts w:asciiTheme="majorBidi" w:hAnsiTheme="majorBidi" w:cstheme="majorBidi"/>
          <w:spacing w:val="-3"/>
          <w:sz w:val="24"/>
          <w:szCs w:val="24"/>
          <w:lang w:val="da-DK"/>
        </w:rPr>
        <w:t xml:space="preserve"> </w:t>
      </w:r>
      <w:r w:rsidRPr="004D20F5">
        <w:rPr>
          <w:rFonts w:asciiTheme="majorBidi" w:hAnsiTheme="majorBidi" w:cstheme="majorBidi"/>
          <w:sz w:val="24"/>
          <w:szCs w:val="24"/>
          <w:lang w:val="da-DK"/>
        </w:rPr>
        <w:t>i forbindelse med anvendelsen af mekanisk kraft under dosering og håndtering. Data fra toksicitetsstudiet med unge dyr indikerede hverken en øget sensitivitet for toksicitet eller nogen som helst specifik toksicitet for unge dyr.</w:t>
      </w:r>
    </w:p>
    <w:p w14:paraId="0C41B732"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01DA11A"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var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ingen</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tegn</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på</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tumorigent</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potentiale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livslange</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studier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med</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mus</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og</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rotter</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ved</w:t>
      </w:r>
      <w:r w:rsidRPr="004D20F5">
        <w:rPr>
          <w:rFonts w:asciiTheme="majorBidi" w:hAnsiTheme="majorBidi" w:cstheme="majorBidi"/>
          <w:spacing w:val="-2"/>
          <w:sz w:val="24"/>
          <w:szCs w:val="24"/>
          <w:lang w:val="da-DK"/>
        </w:rPr>
        <w:t xml:space="preserve"> </w:t>
      </w:r>
      <w:r w:rsidRPr="004D20F5">
        <w:rPr>
          <w:rFonts w:asciiTheme="majorBidi" w:hAnsiTheme="majorBidi" w:cstheme="majorBidi"/>
          <w:sz w:val="24"/>
          <w:szCs w:val="24"/>
          <w:lang w:val="da-DK"/>
        </w:rPr>
        <w:t>dabigatrandoser op til maks. 200 mg/kg.</w:t>
      </w:r>
    </w:p>
    <w:p w14:paraId="1BBA352B" w14:textId="77777777" w:rsidR="00886871" w:rsidRPr="004D20F5" w:rsidRDefault="00886871" w:rsidP="00DB26E1">
      <w:pPr>
        <w:pStyle w:val="Brdtekst"/>
        <w:widowControl/>
        <w:ind w:left="851"/>
        <w:rPr>
          <w:rFonts w:asciiTheme="majorBidi" w:hAnsiTheme="majorBidi" w:cstheme="majorBidi"/>
          <w:sz w:val="24"/>
          <w:szCs w:val="24"/>
          <w:lang w:val="da-DK"/>
        </w:rPr>
      </w:pPr>
    </w:p>
    <w:p w14:paraId="51967A7A" w14:textId="77777777" w:rsidR="00886871" w:rsidRPr="004D20F5" w:rsidRDefault="00886871" w:rsidP="00DB26E1">
      <w:pPr>
        <w:pStyle w:val="Brdtekst"/>
        <w:widowControl/>
        <w:ind w:left="851"/>
        <w:rPr>
          <w:rFonts w:asciiTheme="majorBidi" w:hAnsiTheme="majorBidi" w:cstheme="majorBidi"/>
          <w:sz w:val="24"/>
          <w:szCs w:val="24"/>
          <w:lang w:val="da-DK"/>
        </w:rPr>
      </w:pPr>
      <w:r w:rsidRPr="004D20F5">
        <w:rPr>
          <w:rFonts w:asciiTheme="majorBidi" w:hAnsiTheme="majorBidi" w:cstheme="majorBidi"/>
          <w:sz w:val="24"/>
          <w:szCs w:val="24"/>
          <w:lang w:val="da-DK"/>
        </w:rPr>
        <w:t>Den</w:t>
      </w:r>
      <w:r w:rsidRPr="004D20F5">
        <w:rPr>
          <w:rFonts w:asciiTheme="majorBidi" w:hAnsiTheme="majorBidi" w:cstheme="majorBidi"/>
          <w:spacing w:val="-8"/>
          <w:sz w:val="24"/>
          <w:szCs w:val="24"/>
          <w:lang w:val="da-DK"/>
        </w:rPr>
        <w:t xml:space="preserve"> </w:t>
      </w:r>
      <w:r w:rsidRPr="004D20F5">
        <w:rPr>
          <w:rFonts w:asciiTheme="majorBidi" w:hAnsiTheme="majorBidi" w:cstheme="majorBidi"/>
          <w:sz w:val="24"/>
          <w:szCs w:val="24"/>
          <w:lang w:val="da-DK"/>
        </w:rPr>
        <w:t>aktive</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del</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af</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dabigatranetexilatmesilat,</w:t>
      </w:r>
      <w:r w:rsidRPr="004D20F5">
        <w:rPr>
          <w:rFonts w:asciiTheme="majorBidi" w:hAnsiTheme="majorBidi" w:cstheme="majorBidi"/>
          <w:spacing w:val="-8"/>
          <w:sz w:val="24"/>
          <w:szCs w:val="24"/>
          <w:lang w:val="da-DK"/>
        </w:rPr>
        <w:t xml:space="preserve"> </w:t>
      </w:r>
      <w:r w:rsidRPr="004D20F5">
        <w:rPr>
          <w:rFonts w:asciiTheme="majorBidi" w:hAnsiTheme="majorBidi" w:cstheme="majorBidi"/>
          <w:sz w:val="24"/>
          <w:szCs w:val="24"/>
          <w:lang w:val="da-DK"/>
        </w:rPr>
        <w:t>dabigatran,</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nedbrydes</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ikke</w:t>
      </w:r>
      <w:r w:rsidRPr="004D20F5">
        <w:rPr>
          <w:rFonts w:asciiTheme="majorBidi" w:hAnsiTheme="majorBidi" w:cstheme="majorBidi"/>
          <w:spacing w:val="-7"/>
          <w:sz w:val="24"/>
          <w:szCs w:val="24"/>
          <w:lang w:val="da-DK"/>
        </w:rPr>
        <w:t xml:space="preserve"> </w:t>
      </w:r>
      <w:r w:rsidRPr="004D20F5">
        <w:rPr>
          <w:rFonts w:asciiTheme="majorBidi" w:hAnsiTheme="majorBidi" w:cstheme="majorBidi"/>
          <w:sz w:val="24"/>
          <w:szCs w:val="24"/>
          <w:lang w:val="da-DK"/>
        </w:rPr>
        <w:t>i</w:t>
      </w:r>
      <w:r w:rsidRPr="004D20F5">
        <w:rPr>
          <w:rFonts w:asciiTheme="majorBidi" w:hAnsiTheme="majorBidi" w:cstheme="majorBidi"/>
          <w:spacing w:val="-7"/>
          <w:sz w:val="24"/>
          <w:szCs w:val="24"/>
          <w:lang w:val="da-DK"/>
        </w:rPr>
        <w:t xml:space="preserve"> </w:t>
      </w:r>
      <w:r w:rsidRPr="004D20F5">
        <w:rPr>
          <w:rFonts w:asciiTheme="majorBidi" w:hAnsiTheme="majorBidi" w:cstheme="majorBidi"/>
          <w:spacing w:val="-2"/>
          <w:sz w:val="24"/>
          <w:szCs w:val="24"/>
          <w:lang w:val="da-DK"/>
        </w:rPr>
        <w:t>miljøet.</w:t>
      </w:r>
    </w:p>
    <w:p w14:paraId="14E57B95" w14:textId="77777777" w:rsidR="00886871" w:rsidRPr="004D20F5" w:rsidRDefault="00886871" w:rsidP="00DB26E1">
      <w:pPr>
        <w:pStyle w:val="Brdtekst"/>
        <w:widowControl/>
        <w:ind w:left="851"/>
        <w:rPr>
          <w:rFonts w:asciiTheme="majorBidi" w:hAnsiTheme="majorBidi" w:cstheme="majorBidi"/>
          <w:sz w:val="24"/>
          <w:szCs w:val="24"/>
          <w:lang w:val="da-DK"/>
        </w:rPr>
      </w:pPr>
    </w:p>
    <w:p w14:paraId="6C3F99E2" w14:textId="77777777" w:rsidR="009260DE" w:rsidRPr="004D20F5" w:rsidRDefault="009260DE" w:rsidP="00DB26E1">
      <w:pPr>
        <w:tabs>
          <w:tab w:val="left" w:pos="851"/>
        </w:tabs>
        <w:ind w:left="851"/>
        <w:rPr>
          <w:sz w:val="24"/>
          <w:szCs w:val="24"/>
        </w:rPr>
      </w:pPr>
    </w:p>
    <w:p w14:paraId="33511D23" w14:textId="77777777" w:rsidR="009260DE" w:rsidRPr="00C84483" w:rsidRDefault="009260DE" w:rsidP="00146E50">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9D794E4" w14:textId="77777777" w:rsidR="009260DE" w:rsidRPr="00BA09F1" w:rsidRDefault="009260DE" w:rsidP="00146E50">
      <w:pPr>
        <w:tabs>
          <w:tab w:val="left" w:pos="851"/>
        </w:tabs>
        <w:ind w:left="851"/>
        <w:rPr>
          <w:sz w:val="24"/>
          <w:szCs w:val="24"/>
        </w:rPr>
      </w:pPr>
    </w:p>
    <w:p w14:paraId="6E77CC1D" w14:textId="77777777" w:rsidR="009260DE" w:rsidRPr="00C84483" w:rsidRDefault="009260DE" w:rsidP="00146E50">
      <w:pPr>
        <w:tabs>
          <w:tab w:val="left" w:pos="851"/>
        </w:tabs>
        <w:ind w:left="851" w:hanging="851"/>
        <w:rPr>
          <w:b/>
          <w:sz w:val="24"/>
          <w:szCs w:val="24"/>
        </w:rPr>
      </w:pPr>
      <w:r w:rsidRPr="00C84483">
        <w:rPr>
          <w:b/>
          <w:sz w:val="24"/>
          <w:szCs w:val="24"/>
        </w:rPr>
        <w:t>6.1</w:t>
      </w:r>
      <w:r w:rsidRPr="00C84483">
        <w:rPr>
          <w:b/>
          <w:sz w:val="24"/>
          <w:szCs w:val="24"/>
        </w:rPr>
        <w:tab/>
        <w:t>Hjælpestoffer</w:t>
      </w:r>
    </w:p>
    <w:p w14:paraId="542E977B" w14:textId="77777777" w:rsidR="000C799F" w:rsidRDefault="000C799F" w:rsidP="00146E50">
      <w:pPr>
        <w:tabs>
          <w:tab w:val="left" w:pos="851"/>
        </w:tabs>
        <w:ind w:left="851"/>
        <w:rPr>
          <w:sz w:val="24"/>
          <w:szCs w:val="24"/>
          <w:u w:val="single"/>
        </w:rPr>
      </w:pPr>
    </w:p>
    <w:p w14:paraId="681EF31D" w14:textId="23E2F06F" w:rsidR="00D94E19" w:rsidRPr="00D94E19" w:rsidRDefault="00D94E19" w:rsidP="00146E50">
      <w:pPr>
        <w:tabs>
          <w:tab w:val="left" w:pos="851"/>
        </w:tabs>
        <w:ind w:left="851"/>
        <w:rPr>
          <w:sz w:val="24"/>
          <w:szCs w:val="24"/>
          <w:u w:val="single"/>
        </w:rPr>
      </w:pPr>
      <w:r w:rsidRPr="00D94E19">
        <w:rPr>
          <w:sz w:val="24"/>
          <w:szCs w:val="24"/>
          <w:u w:val="single"/>
        </w:rPr>
        <w:t>Kapselindhold</w:t>
      </w:r>
    </w:p>
    <w:p w14:paraId="0661813F" w14:textId="77777777" w:rsidR="00D94E19" w:rsidRPr="00D94E19" w:rsidRDefault="00D94E19" w:rsidP="00146E50">
      <w:pPr>
        <w:tabs>
          <w:tab w:val="left" w:pos="851"/>
        </w:tabs>
        <w:ind w:left="851"/>
        <w:rPr>
          <w:sz w:val="24"/>
          <w:szCs w:val="24"/>
        </w:rPr>
      </w:pPr>
      <w:r w:rsidRPr="00D94E19">
        <w:rPr>
          <w:sz w:val="24"/>
          <w:szCs w:val="24"/>
        </w:rPr>
        <w:t>vinsyre (E334)</w:t>
      </w:r>
    </w:p>
    <w:p w14:paraId="65A7FBF7" w14:textId="77777777" w:rsidR="00D94E19" w:rsidRPr="009962B5" w:rsidRDefault="00D94E19" w:rsidP="00146E50">
      <w:pPr>
        <w:tabs>
          <w:tab w:val="left" w:pos="851"/>
        </w:tabs>
        <w:ind w:left="851"/>
        <w:rPr>
          <w:sz w:val="24"/>
          <w:szCs w:val="24"/>
          <w:lang w:val="en-US"/>
        </w:rPr>
      </w:pPr>
      <w:r w:rsidRPr="009962B5">
        <w:rPr>
          <w:sz w:val="24"/>
          <w:szCs w:val="24"/>
          <w:lang w:val="en-US"/>
        </w:rPr>
        <w:t>hydroxypropylcellulose (E463)</w:t>
      </w:r>
    </w:p>
    <w:p w14:paraId="787A27C4" w14:textId="77777777" w:rsidR="00D94E19" w:rsidRPr="009962B5" w:rsidRDefault="00D94E19" w:rsidP="00146E50">
      <w:pPr>
        <w:tabs>
          <w:tab w:val="left" w:pos="851"/>
        </w:tabs>
        <w:ind w:left="851"/>
        <w:rPr>
          <w:sz w:val="24"/>
          <w:szCs w:val="24"/>
          <w:lang w:val="en-US"/>
        </w:rPr>
      </w:pPr>
      <w:r w:rsidRPr="009962B5">
        <w:rPr>
          <w:sz w:val="24"/>
          <w:szCs w:val="24"/>
          <w:lang w:val="en-US"/>
        </w:rPr>
        <w:t>talcum (E553b)</w:t>
      </w:r>
    </w:p>
    <w:p w14:paraId="01547FC5" w14:textId="77777777" w:rsidR="00D94E19" w:rsidRPr="009962B5" w:rsidRDefault="00D94E19" w:rsidP="00146E50">
      <w:pPr>
        <w:tabs>
          <w:tab w:val="left" w:pos="851"/>
        </w:tabs>
        <w:ind w:left="851"/>
        <w:rPr>
          <w:sz w:val="24"/>
          <w:szCs w:val="24"/>
          <w:lang w:val="en-US"/>
        </w:rPr>
      </w:pPr>
      <w:r w:rsidRPr="009962B5">
        <w:rPr>
          <w:sz w:val="24"/>
          <w:szCs w:val="24"/>
          <w:lang w:val="en-US"/>
        </w:rPr>
        <w:lastRenderedPageBreak/>
        <w:t>hypromellose (E464)</w:t>
      </w:r>
    </w:p>
    <w:p w14:paraId="21B65BE5" w14:textId="77777777" w:rsidR="00D94E19" w:rsidRPr="009962B5" w:rsidRDefault="00D94E19" w:rsidP="00146E50">
      <w:pPr>
        <w:tabs>
          <w:tab w:val="left" w:pos="851"/>
        </w:tabs>
        <w:ind w:left="851"/>
        <w:rPr>
          <w:sz w:val="24"/>
          <w:szCs w:val="24"/>
          <w:lang w:val="en-US"/>
        </w:rPr>
      </w:pPr>
    </w:p>
    <w:p w14:paraId="6BF023ED" w14:textId="77777777" w:rsidR="00D94E19" w:rsidRPr="00D94E19" w:rsidRDefault="00D94E19" w:rsidP="00146E50">
      <w:pPr>
        <w:tabs>
          <w:tab w:val="left" w:pos="851"/>
        </w:tabs>
        <w:ind w:left="851"/>
        <w:rPr>
          <w:sz w:val="24"/>
          <w:szCs w:val="24"/>
        </w:rPr>
      </w:pPr>
      <w:r w:rsidRPr="00D94E19">
        <w:rPr>
          <w:sz w:val="24"/>
          <w:szCs w:val="24"/>
          <w:u w:val="single"/>
        </w:rPr>
        <w:t>Kapselskal</w:t>
      </w:r>
    </w:p>
    <w:p w14:paraId="769F283A" w14:textId="77777777" w:rsidR="00D94E19" w:rsidRPr="00D94E19" w:rsidRDefault="00D94E19" w:rsidP="00146E50">
      <w:pPr>
        <w:tabs>
          <w:tab w:val="left" w:pos="851"/>
        </w:tabs>
        <w:ind w:left="851"/>
        <w:rPr>
          <w:sz w:val="24"/>
          <w:szCs w:val="24"/>
        </w:rPr>
      </w:pPr>
      <w:r w:rsidRPr="00D94E19">
        <w:rPr>
          <w:sz w:val="24"/>
          <w:szCs w:val="24"/>
        </w:rPr>
        <w:t>Brilliant Blue FCF (E133)</w:t>
      </w:r>
    </w:p>
    <w:p w14:paraId="52D73BAB" w14:textId="77777777" w:rsidR="00D94E19" w:rsidRPr="00D94E19" w:rsidRDefault="00D94E19" w:rsidP="00146E50">
      <w:pPr>
        <w:tabs>
          <w:tab w:val="left" w:pos="851"/>
        </w:tabs>
        <w:ind w:left="851"/>
        <w:rPr>
          <w:sz w:val="24"/>
          <w:szCs w:val="24"/>
        </w:rPr>
      </w:pPr>
      <w:r w:rsidRPr="00D94E19">
        <w:rPr>
          <w:sz w:val="24"/>
          <w:szCs w:val="24"/>
        </w:rPr>
        <w:t>titandioxid (E171)</w:t>
      </w:r>
    </w:p>
    <w:p w14:paraId="2619000A" w14:textId="77777777" w:rsidR="00D94E19" w:rsidRPr="00D94E19" w:rsidRDefault="00D94E19" w:rsidP="00146E50">
      <w:pPr>
        <w:tabs>
          <w:tab w:val="left" w:pos="851"/>
        </w:tabs>
        <w:ind w:left="851"/>
        <w:rPr>
          <w:sz w:val="24"/>
          <w:szCs w:val="24"/>
        </w:rPr>
      </w:pPr>
      <w:r w:rsidRPr="00D94E19">
        <w:rPr>
          <w:sz w:val="24"/>
          <w:szCs w:val="24"/>
        </w:rPr>
        <w:t>hypromellose (E464)</w:t>
      </w:r>
    </w:p>
    <w:p w14:paraId="28234F35" w14:textId="77777777" w:rsidR="00D94E19" w:rsidRPr="00D94E19" w:rsidRDefault="00D94E19" w:rsidP="00146E50">
      <w:pPr>
        <w:tabs>
          <w:tab w:val="left" w:pos="851"/>
        </w:tabs>
        <w:ind w:left="851"/>
        <w:rPr>
          <w:sz w:val="24"/>
          <w:szCs w:val="24"/>
        </w:rPr>
      </w:pPr>
    </w:p>
    <w:p w14:paraId="6DA27A58" w14:textId="77777777" w:rsidR="00D94E19" w:rsidRPr="00D94E19" w:rsidRDefault="00D94E19" w:rsidP="00146E50">
      <w:pPr>
        <w:tabs>
          <w:tab w:val="left" w:pos="851"/>
        </w:tabs>
        <w:ind w:left="851"/>
        <w:rPr>
          <w:sz w:val="24"/>
          <w:szCs w:val="24"/>
          <w:u w:val="single"/>
        </w:rPr>
      </w:pPr>
      <w:r w:rsidRPr="00D94E19">
        <w:rPr>
          <w:sz w:val="24"/>
          <w:szCs w:val="24"/>
          <w:u w:val="single"/>
        </w:rPr>
        <w:t>Tryksværte</w:t>
      </w:r>
    </w:p>
    <w:p w14:paraId="0D3C76DC" w14:textId="77777777" w:rsidR="00D94E19" w:rsidRPr="00D94E19" w:rsidRDefault="00D94E19" w:rsidP="00146E50">
      <w:pPr>
        <w:tabs>
          <w:tab w:val="left" w:pos="851"/>
        </w:tabs>
        <w:ind w:left="851"/>
        <w:rPr>
          <w:sz w:val="24"/>
          <w:szCs w:val="24"/>
        </w:rPr>
      </w:pPr>
      <w:r w:rsidRPr="00D94E19">
        <w:rPr>
          <w:sz w:val="24"/>
          <w:szCs w:val="24"/>
        </w:rPr>
        <w:t>shellac (E904)</w:t>
      </w:r>
    </w:p>
    <w:p w14:paraId="63A8972F" w14:textId="77777777" w:rsidR="00D94E19" w:rsidRPr="00D94E19" w:rsidRDefault="00D94E19" w:rsidP="00146E50">
      <w:pPr>
        <w:tabs>
          <w:tab w:val="left" w:pos="851"/>
        </w:tabs>
        <w:ind w:left="851"/>
        <w:rPr>
          <w:sz w:val="24"/>
          <w:szCs w:val="24"/>
        </w:rPr>
      </w:pPr>
      <w:r w:rsidRPr="00D94E19">
        <w:rPr>
          <w:sz w:val="24"/>
          <w:szCs w:val="24"/>
        </w:rPr>
        <w:t>propylenglykol (E1520)</w:t>
      </w:r>
    </w:p>
    <w:p w14:paraId="55BCC7EE" w14:textId="77777777" w:rsidR="00D94E19" w:rsidRPr="00D94E19" w:rsidRDefault="00D94E19" w:rsidP="00146E50">
      <w:pPr>
        <w:tabs>
          <w:tab w:val="left" w:pos="851"/>
        </w:tabs>
        <w:ind w:left="851"/>
        <w:rPr>
          <w:sz w:val="24"/>
          <w:szCs w:val="24"/>
        </w:rPr>
      </w:pPr>
      <w:r w:rsidRPr="00D94E19">
        <w:rPr>
          <w:sz w:val="24"/>
          <w:szCs w:val="24"/>
        </w:rPr>
        <w:t>stærk ammoniakopløsning (E527)</w:t>
      </w:r>
    </w:p>
    <w:p w14:paraId="464ED7D7" w14:textId="77777777" w:rsidR="00D94E19" w:rsidRPr="00D94E19" w:rsidRDefault="00D94E19" w:rsidP="00146E50">
      <w:pPr>
        <w:tabs>
          <w:tab w:val="left" w:pos="851"/>
        </w:tabs>
        <w:ind w:left="851"/>
        <w:rPr>
          <w:sz w:val="24"/>
          <w:szCs w:val="24"/>
        </w:rPr>
      </w:pPr>
      <w:r w:rsidRPr="00D94E19">
        <w:rPr>
          <w:sz w:val="24"/>
          <w:szCs w:val="24"/>
        </w:rPr>
        <w:t>sort jernoxid (E172)</w:t>
      </w:r>
    </w:p>
    <w:p w14:paraId="59BB3FE6" w14:textId="77777777" w:rsidR="00D94E19" w:rsidRPr="00D94E19" w:rsidRDefault="00D94E19" w:rsidP="00146E50">
      <w:pPr>
        <w:tabs>
          <w:tab w:val="left" w:pos="851"/>
        </w:tabs>
        <w:ind w:left="851"/>
        <w:rPr>
          <w:sz w:val="24"/>
          <w:szCs w:val="24"/>
        </w:rPr>
      </w:pPr>
      <w:r w:rsidRPr="00D94E19">
        <w:rPr>
          <w:sz w:val="24"/>
          <w:szCs w:val="24"/>
        </w:rPr>
        <w:t>kaliumhydroxid (E525)</w:t>
      </w:r>
    </w:p>
    <w:p w14:paraId="6043611B" w14:textId="77777777" w:rsidR="009260DE" w:rsidRPr="00C84483" w:rsidRDefault="009260DE" w:rsidP="00146E50">
      <w:pPr>
        <w:tabs>
          <w:tab w:val="left" w:pos="851"/>
        </w:tabs>
        <w:ind w:left="851"/>
        <w:rPr>
          <w:sz w:val="24"/>
          <w:szCs w:val="24"/>
        </w:rPr>
      </w:pPr>
    </w:p>
    <w:p w14:paraId="13F12845" w14:textId="77777777" w:rsidR="009260DE" w:rsidRPr="00C84483" w:rsidRDefault="009260DE" w:rsidP="00146E50">
      <w:pPr>
        <w:tabs>
          <w:tab w:val="left" w:pos="851"/>
        </w:tabs>
        <w:ind w:left="851" w:hanging="851"/>
        <w:rPr>
          <w:b/>
          <w:sz w:val="24"/>
          <w:szCs w:val="24"/>
        </w:rPr>
      </w:pPr>
      <w:r w:rsidRPr="00C84483">
        <w:rPr>
          <w:b/>
          <w:sz w:val="24"/>
          <w:szCs w:val="24"/>
        </w:rPr>
        <w:t>6.2</w:t>
      </w:r>
      <w:r w:rsidRPr="00C84483">
        <w:rPr>
          <w:b/>
          <w:sz w:val="24"/>
          <w:szCs w:val="24"/>
        </w:rPr>
        <w:tab/>
        <w:t>Uforligeligheder</w:t>
      </w:r>
    </w:p>
    <w:p w14:paraId="2B29B67B" w14:textId="77777777" w:rsidR="00D94E19" w:rsidRPr="00D94E19" w:rsidRDefault="00D94E19" w:rsidP="00146E50">
      <w:pPr>
        <w:tabs>
          <w:tab w:val="left" w:pos="851"/>
        </w:tabs>
        <w:ind w:left="851"/>
        <w:rPr>
          <w:sz w:val="24"/>
          <w:szCs w:val="24"/>
        </w:rPr>
      </w:pPr>
      <w:r w:rsidRPr="00D94E19">
        <w:rPr>
          <w:sz w:val="24"/>
          <w:szCs w:val="24"/>
        </w:rPr>
        <w:t>Ikke relevant</w:t>
      </w:r>
    </w:p>
    <w:p w14:paraId="6B385502" w14:textId="77777777" w:rsidR="009260DE" w:rsidRPr="00C84483" w:rsidRDefault="009260DE" w:rsidP="00146E50">
      <w:pPr>
        <w:tabs>
          <w:tab w:val="left" w:pos="851"/>
        </w:tabs>
        <w:ind w:left="851"/>
        <w:rPr>
          <w:sz w:val="24"/>
          <w:szCs w:val="24"/>
        </w:rPr>
      </w:pPr>
    </w:p>
    <w:p w14:paraId="6B22180C" w14:textId="77777777" w:rsidR="009260DE" w:rsidRPr="00C84483" w:rsidRDefault="009260DE" w:rsidP="00146E50">
      <w:pPr>
        <w:tabs>
          <w:tab w:val="left" w:pos="851"/>
        </w:tabs>
        <w:ind w:left="851" w:hanging="851"/>
        <w:rPr>
          <w:b/>
          <w:sz w:val="24"/>
          <w:szCs w:val="24"/>
        </w:rPr>
      </w:pPr>
      <w:r w:rsidRPr="00C84483">
        <w:rPr>
          <w:b/>
          <w:sz w:val="24"/>
          <w:szCs w:val="24"/>
        </w:rPr>
        <w:t>6.3</w:t>
      </w:r>
      <w:r w:rsidRPr="00C84483">
        <w:rPr>
          <w:b/>
          <w:sz w:val="24"/>
          <w:szCs w:val="24"/>
        </w:rPr>
        <w:tab/>
        <w:t>Opbevaringstid</w:t>
      </w:r>
    </w:p>
    <w:p w14:paraId="648A53A2" w14:textId="77777777" w:rsidR="00D94E19" w:rsidRPr="00D94E19" w:rsidRDefault="00D94E19" w:rsidP="00146E50">
      <w:pPr>
        <w:tabs>
          <w:tab w:val="left" w:pos="851"/>
        </w:tabs>
        <w:ind w:left="851"/>
        <w:rPr>
          <w:sz w:val="24"/>
          <w:szCs w:val="24"/>
        </w:rPr>
      </w:pPr>
      <w:r w:rsidRPr="00D94E19">
        <w:rPr>
          <w:sz w:val="24"/>
          <w:szCs w:val="24"/>
        </w:rPr>
        <w:t>2 år</w:t>
      </w:r>
    </w:p>
    <w:p w14:paraId="51D76A9D" w14:textId="77777777" w:rsidR="009260DE" w:rsidRPr="00C84483" w:rsidRDefault="009260DE" w:rsidP="00146E50">
      <w:pPr>
        <w:tabs>
          <w:tab w:val="left" w:pos="851"/>
        </w:tabs>
        <w:ind w:left="851"/>
        <w:rPr>
          <w:sz w:val="24"/>
          <w:szCs w:val="24"/>
        </w:rPr>
      </w:pPr>
    </w:p>
    <w:p w14:paraId="5021DFCD" w14:textId="77777777" w:rsidR="009260DE" w:rsidRPr="00C84483" w:rsidRDefault="009260DE" w:rsidP="00146E5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3D72E22" w14:textId="77777777" w:rsidR="00D94E19" w:rsidRPr="00D94E19" w:rsidRDefault="00D94E19" w:rsidP="00146E50">
      <w:pPr>
        <w:tabs>
          <w:tab w:val="left" w:pos="851"/>
        </w:tabs>
        <w:ind w:left="851"/>
        <w:rPr>
          <w:sz w:val="24"/>
          <w:szCs w:val="24"/>
        </w:rPr>
      </w:pPr>
      <w:r w:rsidRPr="00D94E19">
        <w:rPr>
          <w:sz w:val="24"/>
          <w:szCs w:val="24"/>
        </w:rPr>
        <w:t>Opbevares i den originale beholder for at beskytte mod fugt.</w:t>
      </w:r>
    </w:p>
    <w:p w14:paraId="40C8193B" w14:textId="77777777" w:rsidR="009260DE" w:rsidRPr="00C84483" w:rsidRDefault="009260DE" w:rsidP="00146E50">
      <w:pPr>
        <w:tabs>
          <w:tab w:val="left" w:pos="851"/>
        </w:tabs>
        <w:ind w:left="851"/>
        <w:rPr>
          <w:sz w:val="24"/>
          <w:szCs w:val="24"/>
        </w:rPr>
      </w:pPr>
    </w:p>
    <w:p w14:paraId="577CD1A9" w14:textId="77777777" w:rsidR="009260DE" w:rsidRPr="00C84483" w:rsidRDefault="009260DE" w:rsidP="00146E5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5009207" w14:textId="77777777" w:rsidR="000C799F" w:rsidRDefault="000C799F" w:rsidP="00146E50">
      <w:pPr>
        <w:tabs>
          <w:tab w:val="left" w:pos="851"/>
        </w:tabs>
        <w:ind w:left="851"/>
        <w:rPr>
          <w:sz w:val="24"/>
          <w:szCs w:val="24"/>
        </w:rPr>
      </w:pPr>
    </w:p>
    <w:p w14:paraId="2EA284C9" w14:textId="77777777" w:rsidR="000C799F" w:rsidRPr="000C799F" w:rsidRDefault="00D94E19" w:rsidP="00146E50">
      <w:pPr>
        <w:tabs>
          <w:tab w:val="left" w:pos="851"/>
        </w:tabs>
        <w:ind w:left="851"/>
        <w:rPr>
          <w:sz w:val="24"/>
          <w:szCs w:val="24"/>
          <w:u w:val="single"/>
        </w:rPr>
      </w:pPr>
      <w:r w:rsidRPr="000C799F">
        <w:rPr>
          <w:sz w:val="24"/>
          <w:szCs w:val="24"/>
          <w:u w:val="single"/>
        </w:rPr>
        <w:t>Blist</w:t>
      </w:r>
      <w:r w:rsidR="000C799F" w:rsidRPr="000C799F">
        <w:rPr>
          <w:sz w:val="24"/>
          <w:szCs w:val="24"/>
          <w:u w:val="single"/>
        </w:rPr>
        <w:t>er</w:t>
      </w:r>
      <w:r w:rsidRPr="000C799F">
        <w:rPr>
          <w:sz w:val="24"/>
          <w:szCs w:val="24"/>
          <w:u w:val="single"/>
        </w:rPr>
        <w:t xml:space="preserve"> sammensat af aluminium-OPA/aluminium/PVC</w:t>
      </w:r>
    </w:p>
    <w:p w14:paraId="685C98DD" w14:textId="0ACEA6A3" w:rsid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 xml:space="preserve">30, 60 </w:t>
      </w:r>
      <w:r>
        <w:rPr>
          <w:sz w:val="24"/>
          <w:szCs w:val="24"/>
        </w:rPr>
        <w:t>og</w:t>
      </w:r>
      <w:r w:rsidR="00D94E19" w:rsidRPr="00D94E19">
        <w:rPr>
          <w:sz w:val="24"/>
          <w:szCs w:val="24"/>
        </w:rPr>
        <w:t xml:space="preserve"> 180 kapsler</w:t>
      </w:r>
      <w:r>
        <w:rPr>
          <w:sz w:val="24"/>
          <w:szCs w:val="24"/>
        </w:rPr>
        <w:t>.</w:t>
      </w:r>
    </w:p>
    <w:p w14:paraId="6E9F33BA" w14:textId="77777777" w:rsidR="000C799F" w:rsidRPr="00D94E19" w:rsidRDefault="000C799F" w:rsidP="00146E50">
      <w:pPr>
        <w:tabs>
          <w:tab w:val="left" w:pos="851"/>
        </w:tabs>
        <w:ind w:left="851"/>
        <w:rPr>
          <w:sz w:val="24"/>
          <w:szCs w:val="24"/>
        </w:rPr>
      </w:pPr>
    </w:p>
    <w:p w14:paraId="79ACB84B" w14:textId="2C6F39E0" w:rsidR="000C799F" w:rsidRPr="000C799F" w:rsidRDefault="00D94E19" w:rsidP="00146E50">
      <w:pPr>
        <w:tabs>
          <w:tab w:val="left" w:pos="851"/>
        </w:tabs>
        <w:ind w:left="851"/>
        <w:rPr>
          <w:sz w:val="24"/>
          <w:szCs w:val="24"/>
          <w:u w:val="single"/>
        </w:rPr>
      </w:pPr>
      <w:r w:rsidRPr="000C799F">
        <w:rPr>
          <w:sz w:val="24"/>
          <w:szCs w:val="24"/>
          <w:u w:val="single"/>
        </w:rPr>
        <w:t>Perforere</w:t>
      </w:r>
      <w:r w:rsidR="000C799F" w:rsidRPr="000C799F">
        <w:rPr>
          <w:sz w:val="24"/>
          <w:szCs w:val="24"/>
          <w:u w:val="single"/>
        </w:rPr>
        <w:t>t</w:t>
      </w:r>
      <w:r w:rsidRPr="000C799F">
        <w:rPr>
          <w:sz w:val="24"/>
          <w:szCs w:val="24"/>
          <w:u w:val="single"/>
        </w:rPr>
        <w:t xml:space="preserve"> aluminium-OPA/aluminium/PVC-enkeltdosis-blisterpakning</w:t>
      </w:r>
    </w:p>
    <w:p w14:paraId="43613645" w14:textId="29CC612D" w:rsidR="00D94E19" w:rsidRP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10</w:t>
      </w:r>
      <w:bookmarkStart w:id="5" w:name="_Hlk152884164"/>
      <w:r w:rsidR="00D94E19" w:rsidRPr="00D94E19">
        <w:rPr>
          <w:sz w:val="24"/>
          <w:szCs w:val="24"/>
        </w:rPr>
        <w:t>×</w:t>
      </w:r>
      <w:bookmarkEnd w:id="5"/>
      <w:r w:rsidR="00D94E19" w:rsidRPr="00D94E19">
        <w:rPr>
          <w:sz w:val="24"/>
          <w:szCs w:val="24"/>
        </w:rPr>
        <w:t xml:space="preserve">1, 30×1, 60×1, 100×1 </w:t>
      </w:r>
      <w:r>
        <w:rPr>
          <w:sz w:val="24"/>
          <w:szCs w:val="24"/>
        </w:rPr>
        <w:t>og</w:t>
      </w:r>
      <w:r w:rsidR="00D94E19" w:rsidRPr="00D94E19">
        <w:rPr>
          <w:sz w:val="24"/>
          <w:szCs w:val="24"/>
        </w:rPr>
        <w:t xml:space="preserve"> 180×1 kaps</w:t>
      </w:r>
      <w:r>
        <w:rPr>
          <w:sz w:val="24"/>
          <w:szCs w:val="24"/>
        </w:rPr>
        <w:t>el.</w:t>
      </w:r>
    </w:p>
    <w:p w14:paraId="068B9126" w14:textId="77777777" w:rsidR="000C799F" w:rsidRDefault="000C799F" w:rsidP="00146E50">
      <w:pPr>
        <w:tabs>
          <w:tab w:val="left" w:pos="851"/>
        </w:tabs>
        <w:ind w:left="851"/>
        <w:rPr>
          <w:sz w:val="24"/>
          <w:szCs w:val="24"/>
        </w:rPr>
      </w:pPr>
    </w:p>
    <w:p w14:paraId="2CD2438D" w14:textId="77777777" w:rsidR="000C799F" w:rsidRDefault="00D94E19" w:rsidP="00146E50">
      <w:pPr>
        <w:tabs>
          <w:tab w:val="left" w:pos="851"/>
        </w:tabs>
        <w:ind w:left="851"/>
        <w:rPr>
          <w:sz w:val="24"/>
          <w:szCs w:val="24"/>
        </w:rPr>
      </w:pPr>
      <w:r w:rsidRPr="00D94E19">
        <w:rPr>
          <w:sz w:val="24"/>
          <w:szCs w:val="24"/>
        </w:rPr>
        <w:t>Hvid HDPE-beholder (højdensitets-polyethylen) med hvidt, uigennemsigtigt børnesikret skruelåg af polypropylen (PP) med induktionsforsegling af aluminium og et tørremiddel (silicagel)</w:t>
      </w:r>
    </w:p>
    <w:p w14:paraId="036BC2B2" w14:textId="666025FC" w:rsidR="00D94E19" w:rsidRPr="00D94E19" w:rsidRDefault="000C799F" w:rsidP="00146E50">
      <w:pPr>
        <w:tabs>
          <w:tab w:val="left" w:pos="851"/>
        </w:tabs>
        <w:ind w:left="851"/>
        <w:rPr>
          <w:sz w:val="24"/>
          <w:szCs w:val="24"/>
        </w:rPr>
      </w:pPr>
      <w:r>
        <w:rPr>
          <w:sz w:val="24"/>
          <w:szCs w:val="24"/>
        </w:rPr>
        <w:t xml:space="preserve">Pakningsstørrelser: </w:t>
      </w:r>
      <w:r w:rsidR="00D94E19" w:rsidRPr="00D94E19">
        <w:rPr>
          <w:sz w:val="24"/>
          <w:szCs w:val="24"/>
        </w:rPr>
        <w:t xml:space="preserve">100 </w:t>
      </w:r>
      <w:r>
        <w:rPr>
          <w:sz w:val="24"/>
          <w:szCs w:val="24"/>
        </w:rPr>
        <w:t>og</w:t>
      </w:r>
      <w:r w:rsidR="00D94E19" w:rsidRPr="00D94E19">
        <w:rPr>
          <w:sz w:val="24"/>
          <w:szCs w:val="24"/>
        </w:rPr>
        <w:t xml:space="preserve"> 180 kapsler</w:t>
      </w:r>
      <w:r>
        <w:rPr>
          <w:sz w:val="24"/>
          <w:szCs w:val="24"/>
        </w:rPr>
        <w:t>.</w:t>
      </w:r>
    </w:p>
    <w:p w14:paraId="5818E108" w14:textId="77777777" w:rsidR="00D94E19" w:rsidRPr="00D94E19" w:rsidRDefault="00D94E19" w:rsidP="00146E50">
      <w:pPr>
        <w:tabs>
          <w:tab w:val="left" w:pos="851"/>
        </w:tabs>
        <w:ind w:left="851"/>
        <w:rPr>
          <w:sz w:val="24"/>
          <w:szCs w:val="24"/>
        </w:rPr>
      </w:pPr>
    </w:p>
    <w:p w14:paraId="4D7DDCDA" w14:textId="77777777" w:rsidR="00D94E19" w:rsidRPr="00D94E19" w:rsidRDefault="00D94E19" w:rsidP="00146E50">
      <w:pPr>
        <w:tabs>
          <w:tab w:val="left" w:pos="851"/>
        </w:tabs>
        <w:ind w:left="851"/>
        <w:rPr>
          <w:sz w:val="24"/>
          <w:szCs w:val="24"/>
        </w:rPr>
      </w:pPr>
      <w:r w:rsidRPr="00D94E19">
        <w:rPr>
          <w:sz w:val="24"/>
          <w:szCs w:val="24"/>
        </w:rPr>
        <w:t>Ikke alle pakningsstørrelser er nødvendigvis markedsført.</w:t>
      </w:r>
    </w:p>
    <w:p w14:paraId="6B36C737" w14:textId="77777777" w:rsidR="009260DE" w:rsidRPr="00C84483" w:rsidRDefault="009260DE" w:rsidP="00146E50">
      <w:pPr>
        <w:tabs>
          <w:tab w:val="left" w:pos="851"/>
        </w:tabs>
        <w:ind w:left="851"/>
        <w:rPr>
          <w:sz w:val="24"/>
          <w:szCs w:val="24"/>
        </w:rPr>
      </w:pPr>
    </w:p>
    <w:p w14:paraId="2F8569CA" w14:textId="77777777" w:rsidR="009260DE" w:rsidRPr="00C84483" w:rsidRDefault="009260DE" w:rsidP="00146E5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6AEE6AB" w14:textId="77777777" w:rsidR="00D94E19" w:rsidRPr="00D94E19" w:rsidRDefault="00D94E19" w:rsidP="00146E50">
      <w:pPr>
        <w:tabs>
          <w:tab w:val="left" w:pos="851"/>
        </w:tabs>
        <w:ind w:left="851"/>
        <w:rPr>
          <w:sz w:val="24"/>
          <w:szCs w:val="24"/>
        </w:rPr>
      </w:pPr>
      <w:r w:rsidRPr="00D94E19">
        <w:rPr>
          <w:sz w:val="24"/>
          <w:szCs w:val="24"/>
        </w:rPr>
        <w:t>Ikke anvendt lægemiddel samt affald heraf skal bortskaffes i henhold til lokale retningslinjer.</w:t>
      </w:r>
    </w:p>
    <w:p w14:paraId="03C6A598" w14:textId="77777777" w:rsidR="009260DE" w:rsidRPr="00C84483" w:rsidRDefault="009260DE" w:rsidP="00146E50">
      <w:pPr>
        <w:tabs>
          <w:tab w:val="left" w:pos="851"/>
        </w:tabs>
        <w:ind w:left="851"/>
        <w:rPr>
          <w:sz w:val="24"/>
          <w:szCs w:val="24"/>
        </w:rPr>
      </w:pPr>
    </w:p>
    <w:p w14:paraId="76CB5C8E" w14:textId="77777777" w:rsidR="009260DE" w:rsidRPr="00C84483" w:rsidRDefault="009260DE" w:rsidP="00146E5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0FEE628" w14:textId="77777777" w:rsidR="00F60199" w:rsidRPr="00F60199" w:rsidRDefault="00F60199" w:rsidP="00146E50">
      <w:pPr>
        <w:tabs>
          <w:tab w:val="left" w:pos="851"/>
        </w:tabs>
        <w:ind w:left="851"/>
        <w:rPr>
          <w:sz w:val="24"/>
          <w:szCs w:val="24"/>
        </w:rPr>
      </w:pPr>
      <w:r w:rsidRPr="00F60199">
        <w:rPr>
          <w:sz w:val="24"/>
          <w:szCs w:val="24"/>
        </w:rPr>
        <w:t>Viatris Limited</w:t>
      </w:r>
    </w:p>
    <w:p w14:paraId="2DD06D7E" w14:textId="77777777" w:rsidR="00F60199" w:rsidRPr="00F60199" w:rsidRDefault="00F60199" w:rsidP="00146E50">
      <w:pPr>
        <w:tabs>
          <w:tab w:val="left" w:pos="851"/>
        </w:tabs>
        <w:ind w:left="851"/>
        <w:rPr>
          <w:sz w:val="24"/>
          <w:szCs w:val="24"/>
        </w:rPr>
      </w:pPr>
      <w:r w:rsidRPr="00F60199">
        <w:rPr>
          <w:sz w:val="24"/>
          <w:szCs w:val="24"/>
        </w:rPr>
        <w:t>Damastown Industrial Park</w:t>
      </w:r>
    </w:p>
    <w:p w14:paraId="30053B5D" w14:textId="77777777" w:rsidR="00F60199" w:rsidRDefault="00F60199" w:rsidP="00146E50">
      <w:pPr>
        <w:tabs>
          <w:tab w:val="left" w:pos="851"/>
        </w:tabs>
        <w:ind w:left="851"/>
        <w:rPr>
          <w:sz w:val="24"/>
          <w:szCs w:val="24"/>
        </w:rPr>
      </w:pPr>
      <w:r>
        <w:rPr>
          <w:sz w:val="24"/>
          <w:szCs w:val="24"/>
        </w:rPr>
        <w:t>Mulhuddart</w:t>
      </w:r>
      <w:r>
        <w:rPr>
          <w:sz w:val="24"/>
          <w:szCs w:val="24"/>
        </w:rPr>
        <w:br/>
        <w:t>Dublin 15</w:t>
      </w:r>
      <w:r>
        <w:rPr>
          <w:sz w:val="24"/>
          <w:szCs w:val="24"/>
        </w:rPr>
        <w:br/>
        <w:t>DUBLIN</w:t>
      </w:r>
    </w:p>
    <w:p w14:paraId="53C3284A" w14:textId="77777777" w:rsidR="00F60199" w:rsidRDefault="00F60199" w:rsidP="00146E50">
      <w:pPr>
        <w:tabs>
          <w:tab w:val="left" w:pos="851"/>
        </w:tabs>
        <w:ind w:left="851"/>
        <w:rPr>
          <w:sz w:val="24"/>
          <w:szCs w:val="24"/>
        </w:rPr>
      </w:pPr>
      <w:r>
        <w:rPr>
          <w:sz w:val="24"/>
          <w:szCs w:val="24"/>
        </w:rPr>
        <w:t>Irland</w:t>
      </w:r>
    </w:p>
    <w:p w14:paraId="00ED7FFE" w14:textId="34DB829F" w:rsidR="00266086" w:rsidRDefault="00266086">
      <w:pPr>
        <w:rPr>
          <w:sz w:val="24"/>
          <w:szCs w:val="24"/>
        </w:rPr>
      </w:pPr>
      <w:r>
        <w:rPr>
          <w:sz w:val="24"/>
          <w:szCs w:val="24"/>
        </w:rPr>
        <w:br w:type="page"/>
      </w:r>
    </w:p>
    <w:p w14:paraId="642EEB92" w14:textId="77777777" w:rsidR="00F60199" w:rsidRDefault="00F60199" w:rsidP="00146E50">
      <w:pPr>
        <w:tabs>
          <w:tab w:val="left" w:pos="851"/>
        </w:tabs>
        <w:ind w:left="851"/>
        <w:rPr>
          <w:sz w:val="24"/>
          <w:szCs w:val="24"/>
        </w:rPr>
      </w:pPr>
    </w:p>
    <w:p w14:paraId="3253F656" w14:textId="77777777" w:rsidR="00F60199" w:rsidRDefault="00F60199" w:rsidP="00146E50">
      <w:pPr>
        <w:tabs>
          <w:tab w:val="left" w:pos="851"/>
        </w:tabs>
        <w:ind w:left="851"/>
        <w:rPr>
          <w:sz w:val="24"/>
          <w:szCs w:val="24"/>
        </w:rPr>
      </w:pPr>
      <w:r>
        <w:rPr>
          <w:b/>
          <w:sz w:val="24"/>
          <w:szCs w:val="24"/>
        </w:rPr>
        <w:t>Repræsentant</w:t>
      </w:r>
    </w:p>
    <w:p w14:paraId="5A1E0A86" w14:textId="77777777" w:rsidR="00F60199" w:rsidRDefault="00F60199" w:rsidP="00146E50">
      <w:pPr>
        <w:tabs>
          <w:tab w:val="left" w:pos="851"/>
        </w:tabs>
        <w:ind w:left="851"/>
        <w:rPr>
          <w:sz w:val="24"/>
          <w:szCs w:val="24"/>
          <w:lang w:val="es-ES"/>
        </w:rPr>
      </w:pPr>
      <w:r>
        <w:rPr>
          <w:sz w:val="24"/>
          <w:szCs w:val="24"/>
          <w:lang w:val="es-ES"/>
        </w:rPr>
        <w:t>Viatris ApS</w:t>
      </w:r>
      <w:r>
        <w:rPr>
          <w:sz w:val="24"/>
          <w:szCs w:val="24"/>
          <w:lang w:val="es-ES"/>
        </w:rPr>
        <w:br/>
        <w:t>Borupvang 1</w:t>
      </w:r>
    </w:p>
    <w:p w14:paraId="4D868E62" w14:textId="77777777" w:rsidR="00F60199" w:rsidRDefault="00F60199" w:rsidP="00146E50">
      <w:pPr>
        <w:tabs>
          <w:tab w:val="left" w:pos="851"/>
        </w:tabs>
        <w:ind w:left="851"/>
        <w:rPr>
          <w:sz w:val="24"/>
          <w:szCs w:val="24"/>
        </w:rPr>
      </w:pPr>
      <w:r>
        <w:rPr>
          <w:sz w:val="24"/>
          <w:szCs w:val="24"/>
          <w:lang w:val="es-ES"/>
        </w:rPr>
        <w:t>2750 Ballerup</w:t>
      </w:r>
    </w:p>
    <w:p w14:paraId="6D56FF95" w14:textId="77777777" w:rsidR="00641C65" w:rsidRPr="00641C65" w:rsidRDefault="00641C65" w:rsidP="00146E50">
      <w:pPr>
        <w:tabs>
          <w:tab w:val="left" w:pos="851"/>
        </w:tabs>
        <w:ind w:left="851"/>
        <w:rPr>
          <w:sz w:val="24"/>
          <w:szCs w:val="24"/>
        </w:rPr>
      </w:pPr>
    </w:p>
    <w:p w14:paraId="3D97DDA2" w14:textId="77777777" w:rsidR="009260DE" w:rsidRPr="00C84483" w:rsidRDefault="009260DE" w:rsidP="00146E5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61E55EA" w14:textId="13376DBF" w:rsidR="009260DE" w:rsidRPr="00C84483" w:rsidRDefault="00F60199" w:rsidP="00146E50">
      <w:pPr>
        <w:tabs>
          <w:tab w:val="left" w:pos="851"/>
        </w:tabs>
        <w:ind w:left="851"/>
        <w:rPr>
          <w:sz w:val="24"/>
          <w:szCs w:val="24"/>
        </w:rPr>
      </w:pPr>
      <w:r>
        <w:rPr>
          <w:sz w:val="24"/>
          <w:szCs w:val="24"/>
        </w:rPr>
        <w:t>6847</w:t>
      </w:r>
      <w:r w:rsidR="009962B5">
        <w:rPr>
          <w:sz w:val="24"/>
          <w:szCs w:val="24"/>
        </w:rPr>
        <w:t>2</w:t>
      </w:r>
    </w:p>
    <w:p w14:paraId="54D29F1D" w14:textId="77777777" w:rsidR="009260DE" w:rsidRPr="00C84483" w:rsidRDefault="009260DE" w:rsidP="00146E50">
      <w:pPr>
        <w:tabs>
          <w:tab w:val="left" w:pos="851"/>
        </w:tabs>
        <w:ind w:left="851"/>
        <w:jc w:val="both"/>
        <w:rPr>
          <w:sz w:val="24"/>
          <w:szCs w:val="24"/>
        </w:rPr>
      </w:pPr>
    </w:p>
    <w:p w14:paraId="2F2F02B6" w14:textId="77777777" w:rsidR="009260DE" w:rsidRPr="00C84483" w:rsidRDefault="009260DE" w:rsidP="00146E5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987DE87" w14:textId="62CE81D0" w:rsidR="009260DE" w:rsidRPr="00C84483" w:rsidRDefault="00023ABB" w:rsidP="00146E50">
      <w:pPr>
        <w:tabs>
          <w:tab w:val="left" w:pos="851"/>
        </w:tabs>
        <w:ind w:left="851"/>
        <w:rPr>
          <w:sz w:val="24"/>
          <w:szCs w:val="24"/>
        </w:rPr>
      </w:pPr>
      <w:r>
        <w:rPr>
          <w:sz w:val="24"/>
          <w:szCs w:val="24"/>
        </w:rPr>
        <w:t>7. februar 2025</w:t>
      </w:r>
    </w:p>
    <w:p w14:paraId="2C70B5CA" w14:textId="77777777" w:rsidR="009260DE" w:rsidRPr="00C84483" w:rsidRDefault="009260DE" w:rsidP="00146E50">
      <w:pPr>
        <w:tabs>
          <w:tab w:val="left" w:pos="851"/>
        </w:tabs>
        <w:ind w:left="851"/>
        <w:rPr>
          <w:sz w:val="24"/>
          <w:szCs w:val="24"/>
        </w:rPr>
      </w:pPr>
    </w:p>
    <w:p w14:paraId="7AFACA90" w14:textId="77777777" w:rsidR="009260DE" w:rsidRPr="00C84483" w:rsidRDefault="009260DE" w:rsidP="00146E5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23A01C2" w14:textId="753E0A5A" w:rsidR="009260DE" w:rsidRPr="00C84483" w:rsidRDefault="00F60199" w:rsidP="00146E50">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74F66" w14:textId="77777777" w:rsidR="00322A8A" w:rsidRDefault="00322A8A">
      <w:r>
        <w:separator/>
      </w:r>
    </w:p>
  </w:endnote>
  <w:endnote w:type="continuationSeparator" w:id="0">
    <w:p w14:paraId="620ADAF2" w14:textId="77777777" w:rsidR="00322A8A" w:rsidRDefault="0032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F3AEB" w14:textId="77777777" w:rsidR="00322A8A" w:rsidRDefault="00322A8A">
    <w:pPr>
      <w:pStyle w:val="Sidefod"/>
      <w:pBdr>
        <w:bottom w:val="single" w:sz="6" w:space="1" w:color="auto"/>
      </w:pBdr>
    </w:pPr>
  </w:p>
  <w:p w14:paraId="7C54357D" w14:textId="77777777" w:rsidR="00322A8A" w:rsidRDefault="00322A8A" w:rsidP="00C42586">
    <w:pPr>
      <w:pStyle w:val="Sidefod"/>
      <w:tabs>
        <w:tab w:val="clear" w:pos="4819"/>
        <w:tab w:val="left" w:pos="8505"/>
      </w:tabs>
      <w:rPr>
        <w:i/>
        <w:sz w:val="18"/>
        <w:szCs w:val="18"/>
      </w:rPr>
    </w:pPr>
  </w:p>
  <w:p w14:paraId="459500CF" w14:textId="3293DC5A" w:rsidR="00322A8A" w:rsidRPr="00B373D7" w:rsidRDefault="00322A8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Viatris, hårde kapsler 110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9A846" w14:textId="77777777" w:rsidR="00322A8A" w:rsidRDefault="00322A8A">
      <w:r>
        <w:separator/>
      </w:r>
    </w:p>
  </w:footnote>
  <w:footnote w:type="continuationSeparator" w:id="0">
    <w:p w14:paraId="764CF657" w14:textId="77777777" w:rsidR="00322A8A" w:rsidRDefault="0032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0C5"/>
    <w:multiLevelType w:val="hybridMultilevel"/>
    <w:tmpl w:val="AA0AB8BE"/>
    <w:lvl w:ilvl="0" w:tplc="C99E2A7A">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EB301C7C">
      <w:numFmt w:val="bullet"/>
      <w:lvlText w:val="•"/>
      <w:lvlJc w:val="left"/>
      <w:pPr>
        <w:ind w:left="1074" w:hanging="567"/>
      </w:pPr>
      <w:rPr>
        <w:lang w:eastAsia="en-US" w:bidi="ar-SA"/>
      </w:rPr>
    </w:lvl>
    <w:lvl w:ilvl="2" w:tplc="2D50D696">
      <w:numFmt w:val="bullet"/>
      <w:lvlText w:val="•"/>
      <w:lvlJc w:val="left"/>
      <w:pPr>
        <w:ind w:left="1469" w:hanging="567"/>
      </w:pPr>
      <w:rPr>
        <w:lang w:eastAsia="en-US" w:bidi="ar-SA"/>
      </w:rPr>
    </w:lvl>
    <w:lvl w:ilvl="3" w:tplc="D728DA0A">
      <w:numFmt w:val="bullet"/>
      <w:lvlText w:val="•"/>
      <w:lvlJc w:val="left"/>
      <w:pPr>
        <w:ind w:left="1864" w:hanging="567"/>
      </w:pPr>
      <w:rPr>
        <w:lang w:eastAsia="en-US" w:bidi="ar-SA"/>
      </w:rPr>
    </w:lvl>
    <w:lvl w:ilvl="4" w:tplc="49CC80EC">
      <w:numFmt w:val="bullet"/>
      <w:lvlText w:val="•"/>
      <w:lvlJc w:val="left"/>
      <w:pPr>
        <w:ind w:left="2259" w:hanging="567"/>
      </w:pPr>
      <w:rPr>
        <w:lang w:eastAsia="en-US" w:bidi="ar-SA"/>
      </w:rPr>
    </w:lvl>
    <w:lvl w:ilvl="5" w:tplc="743CAAD8">
      <w:numFmt w:val="bullet"/>
      <w:lvlText w:val="•"/>
      <w:lvlJc w:val="left"/>
      <w:pPr>
        <w:ind w:left="2654" w:hanging="567"/>
      </w:pPr>
      <w:rPr>
        <w:lang w:eastAsia="en-US" w:bidi="ar-SA"/>
      </w:rPr>
    </w:lvl>
    <w:lvl w:ilvl="6" w:tplc="BB80AFAA">
      <w:numFmt w:val="bullet"/>
      <w:lvlText w:val="•"/>
      <w:lvlJc w:val="left"/>
      <w:pPr>
        <w:ind w:left="3049" w:hanging="567"/>
      </w:pPr>
      <w:rPr>
        <w:lang w:eastAsia="en-US" w:bidi="ar-SA"/>
      </w:rPr>
    </w:lvl>
    <w:lvl w:ilvl="7" w:tplc="7EF4BD3C">
      <w:numFmt w:val="bullet"/>
      <w:lvlText w:val="•"/>
      <w:lvlJc w:val="left"/>
      <w:pPr>
        <w:ind w:left="3444" w:hanging="567"/>
      </w:pPr>
      <w:rPr>
        <w:lang w:eastAsia="en-US" w:bidi="ar-SA"/>
      </w:rPr>
    </w:lvl>
    <w:lvl w:ilvl="8" w:tplc="3FF02D98">
      <w:numFmt w:val="bullet"/>
      <w:lvlText w:val="•"/>
      <w:lvlJc w:val="left"/>
      <w:pPr>
        <w:ind w:left="3839" w:hanging="567"/>
      </w:pPr>
      <w:rPr>
        <w:lang w:eastAsia="en-US" w:bidi="ar-SA"/>
      </w:rPr>
    </w:lvl>
  </w:abstractNum>
  <w:abstractNum w:abstractNumId="1" w15:restartNumberingAfterBreak="0">
    <w:nsid w:val="07E47515"/>
    <w:multiLevelType w:val="hybridMultilevel"/>
    <w:tmpl w:val="130C2B20"/>
    <w:lvl w:ilvl="0" w:tplc="B450182A">
      <w:numFmt w:val="bullet"/>
      <w:lvlText w:val=""/>
      <w:lvlJc w:val="left"/>
      <w:pPr>
        <w:ind w:left="978" w:hanging="360"/>
      </w:pPr>
      <w:rPr>
        <w:rFonts w:ascii="Symbol" w:eastAsia="Symbol" w:hAnsi="Symbol" w:cs="Symbol" w:hint="default"/>
        <w:b w:val="0"/>
        <w:bCs w:val="0"/>
        <w:i w:val="0"/>
        <w:iCs w:val="0"/>
        <w:spacing w:val="0"/>
        <w:w w:val="100"/>
        <w:sz w:val="22"/>
        <w:szCs w:val="22"/>
        <w:lang w:eastAsia="en-US" w:bidi="ar-SA"/>
      </w:rPr>
    </w:lvl>
    <w:lvl w:ilvl="1" w:tplc="74183864">
      <w:numFmt w:val="bullet"/>
      <w:lvlText w:val="•"/>
      <w:lvlJc w:val="left"/>
      <w:pPr>
        <w:ind w:left="1876" w:hanging="360"/>
      </w:pPr>
      <w:rPr>
        <w:lang w:eastAsia="en-US" w:bidi="ar-SA"/>
      </w:rPr>
    </w:lvl>
    <w:lvl w:ilvl="2" w:tplc="CEB45902">
      <w:numFmt w:val="bullet"/>
      <w:lvlText w:val="•"/>
      <w:lvlJc w:val="left"/>
      <w:pPr>
        <w:ind w:left="2773" w:hanging="360"/>
      </w:pPr>
      <w:rPr>
        <w:lang w:eastAsia="en-US" w:bidi="ar-SA"/>
      </w:rPr>
    </w:lvl>
    <w:lvl w:ilvl="3" w:tplc="1BCCDF9E">
      <w:numFmt w:val="bullet"/>
      <w:lvlText w:val="•"/>
      <w:lvlJc w:val="left"/>
      <w:pPr>
        <w:ind w:left="3669" w:hanging="360"/>
      </w:pPr>
      <w:rPr>
        <w:lang w:eastAsia="en-US" w:bidi="ar-SA"/>
      </w:rPr>
    </w:lvl>
    <w:lvl w:ilvl="4" w:tplc="428A05F4">
      <w:numFmt w:val="bullet"/>
      <w:lvlText w:val="•"/>
      <w:lvlJc w:val="left"/>
      <w:pPr>
        <w:ind w:left="4566" w:hanging="360"/>
      </w:pPr>
      <w:rPr>
        <w:lang w:eastAsia="en-US" w:bidi="ar-SA"/>
      </w:rPr>
    </w:lvl>
    <w:lvl w:ilvl="5" w:tplc="DC540DC0">
      <w:numFmt w:val="bullet"/>
      <w:lvlText w:val="•"/>
      <w:lvlJc w:val="left"/>
      <w:pPr>
        <w:ind w:left="5462" w:hanging="360"/>
      </w:pPr>
      <w:rPr>
        <w:lang w:eastAsia="en-US" w:bidi="ar-SA"/>
      </w:rPr>
    </w:lvl>
    <w:lvl w:ilvl="6" w:tplc="F2F8DAC0">
      <w:numFmt w:val="bullet"/>
      <w:lvlText w:val="•"/>
      <w:lvlJc w:val="left"/>
      <w:pPr>
        <w:ind w:left="6359" w:hanging="360"/>
      </w:pPr>
      <w:rPr>
        <w:lang w:eastAsia="en-US" w:bidi="ar-SA"/>
      </w:rPr>
    </w:lvl>
    <w:lvl w:ilvl="7" w:tplc="786EBAC8">
      <w:numFmt w:val="bullet"/>
      <w:lvlText w:val="•"/>
      <w:lvlJc w:val="left"/>
      <w:pPr>
        <w:ind w:left="7255" w:hanging="360"/>
      </w:pPr>
      <w:rPr>
        <w:lang w:eastAsia="en-US" w:bidi="ar-SA"/>
      </w:rPr>
    </w:lvl>
    <w:lvl w:ilvl="8" w:tplc="1ED2D48C">
      <w:numFmt w:val="bullet"/>
      <w:lvlText w:val="•"/>
      <w:lvlJc w:val="left"/>
      <w:pPr>
        <w:ind w:left="8152" w:hanging="360"/>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EE3B95"/>
    <w:multiLevelType w:val="multilevel"/>
    <w:tmpl w:val="F194522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6D3930"/>
    <w:multiLevelType w:val="hybridMultilevel"/>
    <w:tmpl w:val="2E582AEA"/>
    <w:lvl w:ilvl="0" w:tplc="A8181240">
      <w:numFmt w:val="bullet"/>
      <w:lvlText w:val=""/>
      <w:lvlJc w:val="left"/>
      <w:pPr>
        <w:ind w:left="674" w:hanging="567"/>
      </w:pPr>
      <w:rPr>
        <w:rFonts w:ascii="Symbol" w:eastAsia="Symbol" w:hAnsi="Symbol" w:cs="Symbol" w:hint="default"/>
        <w:spacing w:val="0"/>
        <w:w w:val="100"/>
        <w:lang w:eastAsia="en-US" w:bidi="ar-SA"/>
      </w:rPr>
    </w:lvl>
    <w:lvl w:ilvl="1" w:tplc="98D258FA">
      <w:numFmt w:val="bullet"/>
      <w:lvlText w:val="•"/>
      <w:lvlJc w:val="left"/>
      <w:pPr>
        <w:ind w:left="1074" w:hanging="567"/>
      </w:pPr>
      <w:rPr>
        <w:lang w:eastAsia="en-US" w:bidi="ar-SA"/>
      </w:rPr>
    </w:lvl>
    <w:lvl w:ilvl="2" w:tplc="E3C6E13E">
      <w:numFmt w:val="bullet"/>
      <w:lvlText w:val="•"/>
      <w:lvlJc w:val="left"/>
      <w:pPr>
        <w:ind w:left="1469" w:hanging="567"/>
      </w:pPr>
      <w:rPr>
        <w:lang w:eastAsia="en-US" w:bidi="ar-SA"/>
      </w:rPr>
    </w:lvl>
    <w:lvl w:ilvl="3" w:tplc="A0B00EBE">
      <w:numFmt w:val="bullet"/>
      <w:lvlText w:val="•"/>
      <w:lvlJc w:val="left"/>
      <w:pPr>
        <w:ind w:left="1864" w:hanging="567"/>
      </w:pPr>
      <w:rPr>
        <w:lang w:eastAsia="en-US" w:bidi="ar-SA"/>
      </w:rPr>
    </w:lvl>
    <w:lvl w:ilvl="4" w:tplc="119E325A">
      <w:numFmt w:val="bullet"/>
      <w:lvlText w:val="•"/>
      <w:lvlJc w:val="left"/>
      <w:pPr>
        <w:ind w:left="2259" w:hanging="567"/>
      </w:pPr>
      <w:rPr>
        <w:lang w:eastAsia="en-US" w:bidi="ar-SA"/>
      </w:rPr>
    </w:lvl>
    <w:lvl w:ilvl="5" w:tplc="16CE51DC">
      <w:numFmt w:val="bullet"/>
      <w:lvlText w:val="•"/>
      <w:lvlJc w:val="left"/>
      <w:pPr>
        <w:ind w:left="2654" w:hanging="567"/>
      </w:pPr>
      <w:rPr>
        <w:lang w:eastAsia="en-US" w:bidi="ar-SA"/>
      </w:rPr>
    </w:lvl>
    <w:lvl w:ilvl="6" w:tplc="C5C24B84">
      <w:numFmt w:val="bullet"/>
      <w:lvlText w:val="•"/>
      <w:lvlJc w:val="left"/>
      <w:pPr>
        <w:ind w:left="3049" w:hanging="567"/>
      </w:pPr>
      <w:rPr>
        <w:lang w:eastAsia="en-US" w:bidi="ar-SA"/>
      </w:rPr>
    </w:lvl>
    <w:lvl w:ilvl="7" w:tplc="61E866CC">
      <w:numFmt w:val="bullet"/>
      <w:lvlText w:val="•"/>
      <w:lvlJc w:val="left"/>
      <w:pPr>
        <w:ind w:left="3444" w:hanging="567"/>
      </w:pPr>
      <w:rPr>
        <w:lang w:eastAsia="en-US" w:bidi="ar-SA"/>
      </w:rPr>
    </w:lvl>
    <w:lvl w:ilvl="8" w:tplc="41B64978">
      <w:numFmt w:val="bullet"/>
      <w:lvlText w:val="•"/>
      <w:lvlJc w:val="left"/>
      <w:pPr>
        <w:ind w:left="3839" w:hanging="567"/>
      </w:pPr>
      <w:rPr>
        <w:lang w:eastAsia="en-US" w:bidi="ar-SA"/>
      </w:rPr>
    </w:lvl>
  </w:abstractNum>
  <w:abstractNum w:abstractNumId="8" w15:restartNumberingAfterBreak="0">
    <w:nsid w:val="43456EA0"/>
    <w:multiLevelType w:val="hybridMultilevel"/>
    <w:tmpl w:val="6F7A2F76"/>
    <w:lvl w:ilvl="0" w:tplc="4BD24738">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8102D2CA">
      <w:numFmt w:val="bullet"/>
      <w:lvlText w:val="•"/>
      <w:lvlJc w:val="left"/>
      <w:pPr>
        <w:ind w:left="1732" w:hanging="567"/>
      </w:pPr>
      <w:rPr>
        <w:lang w:eastAsia="en-US" w:bidi="ar-SA"/>
      </w:rPr>
    </w:lvl>
    <w:lvl w:ilvl="2" w:tplc="2C4CE4A4">
      <w:numFmt w:val="bullet"/>
      <w:lvlText w:val="•"/>
      <w:lvlJc w:val="left"/>
      <w:pPr>
        <w:ind w:left="2645" w:hanging="567"/>
      </w:pPr>
      <w:rPr>
        <w:lang w:eastAsia="en-US" w:bidi="ar-SA"/>
      </w:rPr>
    </w:lvl>
    <w:lvl w:ilvl="3" w:tplc="F320B8BA">
      <w:numFmt w:val="bullet"/>
      <w:lvlText w:val="•"/>
      <w:lvlJc w:val="left"/>
      <w:pPr>
        <w:ind w:left="3557" w:hanging="567"/>
      </w:pPr>
      <w:rPr>
        <w:lang w:eastAsia="en-US" w:bidi="ar-SA"/>
      </w:rPr>
    </w:lvl>
    <w:lvl w:ilvl="4" w:tplc="3B023EE4">
      <w:numFmt w:val="bullet"/>
      <w:lvlText w:val="•"/>
      <w:lvlJc w:val="left"/>
      <w:pPr>
        <w:ind w:left="4470" w:hanging="567"/>
      </w:pPr>
      <w:rPr>
        <w:lang w:eastAsia="en-US" w:bidi="ar-SA"/>
      </w:rPr>
    </w:lvl>
    <w:lvl w:ilvl="5" w:tplc="2098AE6A">
      <w:numFmt w:val="bullet"/>
      <w:lvlText w:val="•"/>
      <w:lvlJc w:val="left"/>
      <w:pPr>
        <w:ind w:left="5382" w:hanging="567"/>
      </w:pPr>
      <w:rPr>
        <w:lang w:eastAsia="en-US" w:bidi="ar-SA"/>
      </w:rPr>
    </w:lvl>
    <w:lvl w:ilvl="6" w:tplc="942C00F4">
      <w:numFmt w:val="bullet"/>
      <w:lvlText w:val="•"/>
      <w:lvlJc w:val="left"/>
      <w:pPr>
        <w:ind w:left="6295" w:hanging="567"/>
      </w:pPr>
      <w:rPr>
        <w:lang w:eastAsia="en-US" w:bidi="ar-SA"/>
      </w:rPr>
    </w:lvl>
    <w:lvl w:ilvl="7" w:tplc="08748C86">
      <w:numFmt w:val="bullet"/>
      <w:lvlText w:val="•"/>
      <w:lvlJc w:val="left"/>
      <w:pPr>
        <w:ind w:left="7207" w:hanging="567"/>
      </w:pPr>
      <w:rPr>
        <w:lang w:eastAsia="en-US" w:bidi="ar-SA"/>
      </w:rPr>
    </w:lvl>
    <w:lvl w:ilvl="8" w:tplc="5F8CD9A2">
      <w:numFmt w:val="bullet"/>
      <w:lvlText w:val="•"/>
      <w:lvlJc w:val="left"/>
      <w:pPr>
        <w:ind w:left="8120" w:hanging="567"/>
      </w:pPr>
      <w:rPr>
        <w:lang w:eastAsia="en-US" w:bidi="ar-SA"/>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9D55FCA"/>
    <w:multiLevelType w:val="hybridMultilevel"/>
    <w:tmpl w:val="39CA59A2"/>
    <w:lvl w:ilvl="0" w:tplc="0570DA52">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0D524580">
      <w:numFmt w:val="bullet"/>
      <w:lvlText w:val="•"/>
      <w:lvlJc w:val="left"/>
      <w:pPr>
        <w:ind w:left="1074" w:hanging="567"/>
      </w:pPr>
      <w:rPr>
        <w:lang w:eastAsia="en-US" w:bidi="ar-SA"/>
      </w:rPr>
    </w:lvl>
    <w:lvl w:ilvl="2" w:tplc="C0180FC0">
      <w:numFmt w:val="bullet"/>
      <w:lvlText w:val="•"/>
      <w:lvlJc w:val="left"/>
      <w:pPr>
        <w:ind w:left="1469" w:hanging="567"/>
      </w:pPr>
      <w:rPr>
        <w:lang w:eastAsia="en-US" w:bidi="ar-SA"/>
      </w:rPr>
    </w:lvl>
    <w:lvl w:ilvl="3" w:tplc="93129850">
      <w:numFmt w:val="bullet"/>
      <w:lvlText w:val="•"/>
      <w:lvlJc w:val="left"/>
      <w:pPr>
        <w:ind w:left="1864" w:hanging="567"/>
      </w:pPr>
      <w:rPr>
        <w:lang w:eastAsia="en-US" w:bidi="ar-SA"/>
      </w:rPr>
    </w:lvl>
    <w:lvl w:ilvl="4" w:tplc="C284E678">
      <w:numFmt w:val="bullet"/>
      <w:lvlText w:val="•"/>
      <w:lvlJc w:val="left"/>
      <w:pPr>
        <w:ind w:left="2259" w:hanging="567"/>
      </w:pPr>
      <w:rPr>
        <w:lang w:eastAsia="en-US" w:bidi="ar-SA"/>
      </w:rPr>
    </w:lvl>
    <w:lvl w:ilvl="5" w:tplc="2B20C394">
      <w:numFmt w:val="bullet"/>
      <w:lvlText w:val="•"/>
      <w:lvlJc w:val="left"/>
      <w:pPr>
        <w:ind w:left="2654" w:hanging="567"/>
      </w:pPr>
      <w:rPr>
        <w:lang w:eastAsia="en-US" w:bidi="ar-SA"/>
      </w:rPr>
    </w:lvl>
    <w:lvl w:ilvl="6" w:tplc="8AD20230">
      <w:numFmt w:val="bullet"/>
      <w:lvlText w:val="•"/>
      <w:lvlJc w:val="left"/>
      <w:pPr>
        <w:ind w:left="3049" w:hanging="567"/>
      </w:pPr>
      <w:rPr>
        <w:lang w:eastAsia="en-US" w:bidi="ar-SA"/>
      </w:rPr>
    </w:lvl>
    <w:lvl w:ilvl="7" w:tplc="5D7E2F20">
      <w:numFmt w:val="bullet"/>
      <w:lvlText w:val="•"/>
      <w:lvlJc w:val="left"/>
      <w:pPr>
        <w:ind w:left="3444" w:hanging="567"/>
      </w:pPr>
      <w:rPr>
        <w:lang w:eastAsia="en-US" w:bidi="ar-SA"/>
      </w:rPr>
    </w:lvl>
    <w:lvl w:ilvl="8" w:tplc="367202D8">
      <w:numFmt w:val="bullet"/>
      <w:lvlText w:val="•"/>
      <w:lvlJc w:val="left"/>
      <w:pPr>
        <w:ind w:left="3839" w:hanging="567"/>
      </w:pPr>
      <w:rPr>
        <w:lang w:eastAsia="en-US" w:bidi="ar-SA"/>
      </w:rPr>
    </w:lvl>
  </w:abstractNum>
  <w:abstractNum w:abstractNumId="11" w15:restartNumberingAfterBreak="0">
    <w:nsid w:val="74384E4F"/>
    <w:multiLevelType w:val="multilevel"/>
    <w:tmpl w:val="D48CBD2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1"/>
  </w:num>
  <w:num w:numId="10">
    <w:abstractNumId w:val="7"/>
  </w:num>
  <w:num w:numId="11">
    <w:abstractNumId w:val="7"/>
  </w:num>
  <w:num w:numId="12">
    <w:abstractNumId w:val="0"/>
  </w:num>
  <w:num w:numId="13">
    <w:abstractNumId w:val="0"/>
  </w:num>
  <w:num w:numId="14">
    <w:abstractNumId w:val="10"/>
  </w:num>
  <w:num w:numId="15">
    <w:abstractNumId w:val="10"/>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7C"/>
    <w:rsid w:val="00023ABB"/>
    <w:rsid w:val="000259B9"/>
    <w:rsid w:val="00041491"/>
    <w:rsid w:val="00050D16"/>
    <w:rsid w:val="000730CA"/>
    <w:rsid w:val="00074F2A"/>
    <w:rsid w:val="000A1CA8"/>
    <w:rsid w:val="000A466B"/>
    <w:rsid w:val="000B058C"/>
    <w:rsid w:val="000C799F"/>
    <w:rsid w:val="000D68B0"/>
    <w:rsid w:val="000E4EE6"/>
    <w:rsid w:val="001007BC"/>
    <w:rsid w:val="001454E2"/>
    <w:rsid w:val="00146E50"/>
    <w:rsid w:val="001A5891"/>
    <w:rsid w:val="00206CE8"/>
    <w:rsid w:val="0021526C"/>
    <w:rsid w:val="00266086"/>
    <w:rsid w:val="00283A2B"/>
    <w:rsid w:val="002B30AD"/>
    <w:rsid w:val="002C1EC0"/>
    <w:rsid w:val="002C2C01"/>
    <w:rsid w:val="00307CA4"/>
    <w:rsid w:val="00322A8A"/>
    <w:rsid w:val="003A29AE"/>
    <w:rsid w:val="003A32D7"/>
    <w:rsid w:val="003B4074"/>
    <w:rsid w:val="003C769A"/>
    <w:rsid w:val="003D3A90"/>
    <w:rsid w:val="003F1838"/>
    <w:rsid w:val="004251C1"/>
    <w:rsid w:val="004471AA"/>
    <w:rsid w:val="0045746C"/>
    <w:rsid w:val="0049104B"/>
    <w:rsid w:val="004C287C"/>
    <w:rsid w:val="004D20F5"/>
    <w:rsid w:val="004E3B12"/>
    <w:rsid w:val="00532310"/>
    <w:rsid w:val="00565F0F"/>
    <w:rsid w:val="00594A86"/>
    <w:rsid w:val="00596D86"/>
    <w:rsid w:val="00637F5A"/>
    <w:rsid w:val="00641C65"/>
    <w:rsid w:val="006560B1"/>
    <w:rsid w:val="006756DD"/>
    <w:rsid w:val="00694DD8"/>
    <w:rsid w:val="006D26E1"/>
    <w:rsid w:val="0071241E"/>
    <w:rsid w:val="00737275"/>
    <w:rsid w:val="00740EEC"/>
    <w:rsid w:val="0076491D"/>
    <w:rsid w:val="0078011A"/>
    <w:rsid w:val="00782AF4"/>
    <w:rsid w:val="00790EE7"/>
    <w:rsid w:val="007B6649"/>
    <w:rsid w:val="0082576E"/>
    <w:rsid w:val="00886871"/>
    <w:rsid w:val="0089346F"/>
    <w:rsid w:val="00907F75"/>
    <w:rsid w:val="009260DE"/>
    <w:rsid w:val="0093258A"/>
    <w:rsid w:val="00995D39"/>
    <w:rsid w:val="009962B5"/>
    <w:rsid w:val="009C7BA3"/>
    <w:rsid w:val="009D1F5A"/>
    <w:rsid w:val="009F1656"/>
    <w:rsid w:val="00A10294"/>
    <w:rsid w:val="00A23AB9"/>
    <w:rsid w:val="00A91888"/>
    <w:rsid w:val="00B003BF"/>
    <w:rsid w:val="00B34C5A"/>
    <w:rsid w:val="00B373D7"/>
    <w:rsid w:val="00B55271"/>
    <w:rsid w:val="00B952EC"/>
    <w:rsid w:val="00BD7931"/>
    <w:rsid w:val="00BE2F00"/>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94E19"/>
    <w:rsid w:val="00DB26E1"/>
    <w:rsid w:val="00DB5BD8"/>
    <w:rsid w:val="00DB68F8"/>
    <w:rsid w:val="00E03E86"/>
    <w:rsid w:val="00E108AA"/>
    <w:rsid w:val="00E3749A"/>
    <w:rsid w:val="00E7437F"/>
    <w:rsid w:val="00E865B8"/>
    <w:rsid w:val="00EC0B9B"/>
    <w:rsid w:val="00ED5E9F"/>
    <w:rsid w:val="00F60199"/>
    <w:rsid w:val="00F66D4F"/>
    <w:rsid w:val="00FB6D01"/>
    <w:rsid w:val="00FC77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0FD81"/>
  <w15:chartTrackingRefBased/>
  <w15:docId w15:val="{B3878AF3-6597-4EAA-A46D-D868E146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886871"/>
    <w:pPr>
      <w:widowControl w:val="0"/>
      <w:autoSpaceDE w:val="0"/>
      <w:autoSpaceDN w:val="0"/>
      <w:ind w:left="258"/>
      <w:outlineLvl w:val="1"/>
    </w:pPr>
    <w:rPr>
      <w:b/>
      <w:bCs/>
      <w:sz w:val="22"/>
      <w:szCs w:val="22"/>
      <w:lang w:val="es-E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886871"/>
    <w:pPr>
      <w:widowControl w:val="0"/>
      <w:autoSpaceDE w:val="0"/>
      <w:autoSpaceDN w:val="0"/>
    </w:pPr>
    <w:rPr>
      <w:sz w:val="22"/>
      <w:szCs w:val="22"/>
      <w:lang w:val="es-ES"/>
    </w:rPr>
  </w:style>
  <w:style w:type="character" w:customStyle="1" w:styleId="BrdtekstTegn">
    <w:name w:val="Brødtekst Tegn"/>
    <w:basedOn w:val="Standardskrifttypeiafsnit"/>
    <w:link w:val="Brdtekst"/>
    <w:uiPriority w:val="1"/>
    <w:semiHidden/>
    <w:rsid w:val="00886871"/>
    <w:rPr>
      <w:sz w:val="22"/>
      <w:szCs w:val="22"/>
      <w:lang w:val="es-ES" w:eastAsia="en-US"/>
    </w:rPr>
  </w:style>
  <w:style w:type="character" w:customStyle="1" w:styleId="Overskrift2Tegn">
    <w:name w:val="Overskrift 2 Tegn"/>
    <w:basedOn w:val="Standardskrifttypeiafsnit"/>
    <w:link w:val="Overskrift2"/>
    <w:uiPriority w:val="9"/>
    <w:semiHidden/>
    <w:rsid w:val="00886871"/>
    <w:rPr>
      <w:b/>
      <w:bCs/>
      <w:sz w:val="22"/>
      <w:szCs w:val="22"/>
      <w:lang w:val="es-ES" w:eastAsia="en-US"/>
    </w:rPr>
  </w:style>
  <w:style w:type="character" w:customStyle="1" w:styleId="Overskrift1Tegn">
    <w:name w:val="Overskrift 1 Tegn"/>
    <w:basedOn w:val="Standardskrifttypeiafsnit"/>
    <w:link w:val="Overskrift1"/>
    <w:uiPriority w:val="9"/>
    <w:rsid w:val="00886871"/>
    <w:rPr>
      <w:rFonts w:ascii="Arial" w:hAnsi="Arial"/>
      <w:b/>
      <w:kern w:val="28"/>
      <w:sz w:val="28"/>
      <w:lang w:eastAsia="en-US"/>
    </w:rPr>
  </w:style>
  <w:style w:type="character" w:customStyle="1" w:styleId="Overskrift3Tegn">
    <w:name w:val="Overskrift 3 Tegn"/>
    <w:basedOn w:val="Standardskrifttypeiafsnit"/>
    <w:link w:val="Overskrift3"/>
    <w:uiPriority w:val="9"/>
    <w:rsid w:val="00886871"/>
    <w:rPr>
      <w:rFonts w:ascii="Arial" w:hAnsi="Arial"/>
      <w:sz w:val="24"/>
      <w:lang w:eastAsia="en-US"/>
    </w:rPr>
  </w:style>
  <w:style w:type="paragraph" w:customStyle="1" w:styleId="msonormal0">
    <w:name w:val="msonormal"/>
    <w:basedOn w:val="Normal"/>
    <w:rsid w:val="00886871"/>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886871"/>
    <w:rPr>
      <w:sz w:val="23"/>
      <w:lang w:eastAsia="en-US"/>
    </w:rPr>
  </w:style>
  <w:style w:type="character" w:customStyle="1" w:styleId="MarkeringsbobletekstTegn">
    <w:name w:val="Markeringsbobletekst Tegn"/>
    <w:basedOn w:val="Standardskrifttypeiafsnit"/>
    <w:link w:val="Markeringsbobletekst"/>
    <w:uiPriority w:val="99"/>
    <w:semiHidden/>
    <w:rsid w:val="00886871"/>
    <w:rPr>
      <w:rFonts w:ascii="Tahoma" w:hAnsi="Tahoma" w:cs="Tahoma"/>
      <w:sz w:val="16"/>
      <w:szCs w:val="16"/>
      <w:lang w:eastAsia="en-US"/>
    </w:rPr>
  </w:style>
  <w:style w:type="paragraph" w:styleId="Korrektur">
    <w:name w:val="Revision"/>
    <w:uiPriority w:val="99"/>
    <w:semiHidden/>
    <w:rsid w:val="00886871"/>
    <w:rPr>
      <w:sz w:val="22"/>
      <w:szCs w:val="22"/>
      <w:lang w:val="es-ES" w:eastAsia="en-US"/>
    </w:rPr>
  </w:style>
  <w:style w:type="paragraph" w:styleId="Listeafsnit">
    <w:name w:val="List Paragraph"/>
    <w:basedOn w:val="Normal"/>
    <w:uiPriority w:val="1"/>
    <w:qFormat/>
    <w:rsid w:val="00886871"/>
    <w:pPr>
      <w:widowControl w:val="0"/>
      <w:autoSpaceDE w:val="0"/>
      <w:autoSpaceDN w:val="0"/>
      <w:ind w:left="824" w:hanging="566"/>
    </w:pPr>
    <w:rPr>
      <w:sz w:val="22"/>
      <w:szCs w:val="22"/>
      <w:lang w:val="es-ES"/>
    </w:rPr>
  </w:style>
  <w:style w:type="paragraph" w:customStyle="1" w:styleId="TableParagraph">
    <w:name w:val="Table Paragraph"/>
    <w:basedOn w:val="Normal"/>
    <w:uiPriority w:val="1"/>
    <w:qFormat/>
    <w:rsid w:val="00886871"/>
    <w:pPr>
      <w:widowControl w:val="0"/>
      <w:autoSpaceDE w:val="0"/>
      <w:autoSpaceDN w:val="0"/>
      <w:spacing w:line="234" w:lineRule="exact"/>
      <w:ind w:left="107"/>
    </w:pPr>
    <w:rPr>
      <w:sz w:val="22"/>
      <w:szCs w:val="22"/>
      <w:lang w:val="es-ES"/>
    </w:rPr>
  </w:style>
  <w:style w:type="character" w:styleId="Hyperlink">
    <w:name w:val="Hyperlink"/>
    <w:basedOn w:val="Standardskrifttypeiafsnit"/>
    <w:uiPriority w:val="99"/>
    <w:semiHidden/>
    <w:unhideWhenUsed/>
    <w:rsid w:val="00886871"/>
    <w:rPr>
      <w:color w:val="0000FF"/>
      <w:u w:val="single"/>
    </w:rPr>
  </w:style>
  <w:style w:type="character" w:styleId="BesgtLink">
    <w:name w:val="FollowedHyperlink"/>
    <w:basedOn w:val="Standardskrifttypeiafsnit"/>
    <w:uiPriority w:val="99"/>
    <w:semiHidden/>
    <w:unhideWhenUsed/>
    <w:rsid w:val="0088687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1294">
      <w:bodyDiv w:val="1"/>
      <w:marLeft w:val="0"/>
      <w:marRight w:val="0"/>
      <w:marTop w:val="0"/>
      <w:marBottom w:val="0"/>
      <w:divBdr>
        <w:top w:val="none" w:sz="0" w:space="0" w:color="auto"/>
        <w:left w:val="none" w:sz="0" w:space="0" w:color="auto"/>
        <w:bottom w:val="none" w:sz="0" w:space="0" w:color="auto"/>
        <w:right w:val="none" w:sz="0" w:space="0" w:color="auto"/>
      </w:divBdr>
    </w:div>
    <w:div w:id="1119420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782179">
      <w:bodyDiv w:val="1"/>
      <w:marLeft w:val="0"/>
      <w:marRight w:val="0"/>
      <w:marTop w:val="0"/>
      <w:marBottom w:val="0"/>
      <w:divBdr>
        <w:top w:val="none" w:sz="0" w:space="0" w:color="auto"/>
        <w:left w:val="none" w:sz="0" w:space="0" w:color="auto"/>
        <w:bottom w:val="none" w:sz="0" w:space="0" w:color="auto"/>
        <w:right w:val="none" w:sz="0" w:space="0" w:color="auto"/>
      </w:divBdr>
    </w:div>
    <w:div w:id="234246607">
      <w:bodyDiv w:val="1"/>
      <w:marLeft w:val="0"/>
      <w:marRight w:val="0"/>
      <w:marTop w:val="0"/>
      <w:marBottom w:val="0"/>
      <w:divBdr>
        <w:top w:val="none" w:sz="0" w:space="0" w:color="auto"/>
        <w:left w:val="none" w:sz="0" w:space="0" w:color="auto"/>
        <w:bottom w:val="none" w:sz="0" w:space="0" w:color="auto"/>
        <w:right w:val="none" w:sz="0" w:space="0" w:color="auto"/>
      </w:divBdr>
    </w:div>
    <w:div w:id="268396587">
      <w:bodyDiv w:val="1"/>
      <w:marLeft w:val="0"/>
      <w:marRight w:val="0"/>
      <w:marTop w:val="0"/>
      <w:marBottom w:val="0"/>
      <w:divBdr>
        <w:top w:val="none" w:sz="0" w:space="0" w:color="auto"/>
        <w:left w:val="none" w:sz="0" w:space="0" w:color="auto"/>
        <w:bottom w:val="none" w:sz="0" w:space="0" w:color="auto"/>
        <w:right w:val="none" w:sz="0" w:space="0" w:color="auto"/>
      </w:divBdr>
    </w:div>
    <w:div w:id="444428779">
      <w:bodyDiv w:val="1"/>
      <w:marLeft w:val="0"/>
      <w:marRight w:val="0"/>
      <w:marTop w:val="0"/>
      <w:marBottom w:val="0"/>
      <w:divBdr>
        <w:top w:val="none" w:sz="0" w:space="0" w:color="auto"/>
        <w:left w:val="none" w:sz="0" w:space="0" w:color="auto"/>
        <w:bottom w:val="none" w:sz="0" w:space="0" w:color="auto"/>
        <w:right w:val="none" w:sz="0" w:space="0" w:color="auto"/>
      </w:divBdr>
    </w:div>
    <w:div w:id="493107219">
      <w:bodyDiv w:val="1"/>
      <w:marLeft w:val="0"/>
      <w:marRight w:val="0"/>
      <w:marTop w:val="0"/>
      <w:marBottom w:val="0"/>
      <w:divBdr>
        <w:top w:val="none" w:sz="0" w:space="0" w:color="auto"/>
        <w:left w:val="none" w:sz="0" w:space="0" w:color="auto"/>
        <w:bottom w:val="none" w:sz="0" w:space="0" w:color="auto"/>
        <w:right w:val="none" w:sz="0" w:space="0" w:color="auto"/>
      </w:divBdr>
    </w:div>
    <w:div w:id="591595820">
      <w:bodyDiv w:val="1"/>
      <w:marLeft w:val="0"/>
      <w:marRight w:val="0"/>
      <w:marTop w:val="0"/>
      <w:marBottom w:val="0"/>
      <w:divBdr>
        <w:top w:val="none" w:sz="0" w:space="0" w:color="auto"/>
        <w:left w:val="none" w:sz="0" w:space="0" w:color="auto"/>
        <w:bottom w:val="none" w:sz="0" w:space="0" w:color="auto"/>
        <w:right w:val="none" w:sz="0" w:space="0" w:color="auto"/>
      </w:divBdr>
    </w:div>
    <w:div w:id="623194495">
      <w:bodyDiv w:val="1"/>
      <w:marLeft w:val="0"/>
      <w:marRight w:val="0"/>
      <w:marTop w:val="0"/>
      <w:marBottom w:val="0"/>
      <w:divBdr>
        <w:top w:val="none" w:sz="0" w:space="0" w:color="auto"/>
        <w:left w:val="none" w:sz="0" w:space="0" w:color="auto"/>
        <w:bottom w:val="none" w:sz="0" w:space="0" w:color="auto"/>
        <w:right w:val="none" w:sz="0" w:space="0" w:color="auto"/>
      </w:divBdr>
    </w:div>
    <w:div w:id="642395333">
      <w:bodyDiv w:val="1"/>
      <w:marLeft w:val="0"/>
      <w:marRight w:val="0"/>
      <w:marTop w:val="0"/>
      <w:marBottom w:val="0"/>
      <w:divBdr>
        <w:top w:val="none" w:sz="0" w:space="0" w:color="auto"/>
        <w:left w:val="none" w:sz="0" w:space="0" w:color="auto"/>
        <w:bottom w:val="none" w:sz="0" w:space="0" w:color="auto"/>
        <w:right w:val="none" w:sz="0" w:space="0" w:color="auto"/>
      </w:divBdr>
    </w:div>
    <w:div w:id="649604474">
      <w:bodyDiv w:val="1"/>
      <w:marLeft w:val="0"/>
      <w:marRight w:val="0"/>
      <w:marTop w:val="0"/>
      <w:marBottom w:val="0"/>
      <w:divBdr>
        <w:top w:val="none" w:sz="0" w:space="0" w:color="auto"/>
        <w:left w:val="none" w:sz="0" w:space="0" w:color="auto"/>
        <w:bottom w:val="none" w:sz="0" w:space="0" w:color="auto"/>
        <w:right w:val="none" w:sz="0" w:space="0" w:color="auto"/>
      </w:divBdr>
    </w:div>
    <w:div w:id="769204392">
      <w:bodyDiv w:val="1"/>
      <w:marLeft w:val="0"/>
      <w:marRight w:val="0"/>
      <w:marTop w:val="0"/>
      <w:marBottom w:val="0"/>
      <w:divBdr>
        <w:top w:val="none" w:sz="0" w:space="0" w:color="auto"/>
        <w:left w:val="none" w:sz="0" w:space="0" w:color="auto"/>
        <w:bottom w:val="none" w:sz="0" w:space="0" w:color="auto"/>
        <w:right w:val="none" w:sz="0" w:space="0" w:color="auto"/>
      </w:divBdr>
    </w:div>
    <w:div w:id="922373969">
      <w:bodyDiv w:val="1"/>
      <w:marLeft w:val="0"/>
      <w:marRight w:val="0"/>
      <w:marTop w:val="0"/>
      <w:marBottom w:val="0"/>
      <w:divBdr>
        <w:top w:val="none" w:sz="0" w:space="0" w:color="auto"/>
        <w:left w:val="none" w:sz="0" w:space="0" w:color="auto"/>
        <w:bottom w:val="none" w:sz="0" w:space="0" w:color="auto"/>
        <w:right w:val="none" w:sz="0" w:space="0" w:color="auto"/>
      </w:divBdr>
    </w:div>
    <w:div w:id="930895580">
      <w:bodyDiv w:val="1"/>
      <w:marLeft w:val="0"/>
      <w:marRight w:val="0"/>
      <w:marTop w:val="0"/>
      <w:marBottom w:val="0"/>
      <w:divBdr>
        <w:top w:val="none" w:sz="0" w:space="0" w:color="auto"/>
        <w:left w:val="none" w:sz="0" w:space="0" w:color="auto"/>
        <w:bottom w:val="none" w:sz="0" w:space="0" w:color="auto"/>
        <w:right w:val="none" w:sz="0" w:space="0" w:color="auto"/>
      </w:divBdr>
    </w:div>
    <w:div w:id="977683736">
      <w:bodyDiv w:val="1"/>
      <w:marLeft w:val="0"/>
      <w:marRight w:val="0"/>
      <w:marTop w:val="0"/>
      <w:marBottom w:val="0"/>
      <w:divBdr>
        <w:top w:val="none" w:sz="0" w:space="0" w:color="auto"/>
        <w:left w:val="none" w:sz="0" w:space="0" w:color="auto"/>
        <w:bottom w:val="none" w:sz="0" w:space="0" w:color="auto"/>
        <w:right w:val="none" w:sz="0" w:space="0" w:color="auto"/>
      </w:divBdr>
    </w:div>
    <w:div w:id="981542394">
      <w:bodyDiv w:val="1"/>
      <w:marLeft w:val="0"/>
      <w:marRight w:val="0"/>
      <w:marTop w:val="0"/>
      <w:marBottom w:val="0"/>
      <w:divBdr>
        <w:top w:val="none" w:sz="0" w:space="0" w:color="auto"/>
        <w:left w:val="none" w:sz="0" w:space="0" w:color="auto"/>
        <w:bottom w:val="none" w:sz="0" w:space="0" w:color="auto"/>
        <w:right w:val="none" w:sz="0" w:space="0" w:color="auto"/>
      </w:divBdr>
    </w:div>
    <w:div w:id="1295674272">
      <w:bodyDiv w:val="1"/>
      <w:marLeft w:val="0"/>
      <w:marRight w:val="0"/>
      <w:marTop w:val="0"/>
      <w:marBottom w:val="0"/>
      <w:divBdr>
        <w:top w:val="none" w:sz="0" w:space="0" w:color="auto"/>
        <w:left w:val="none" w:sz="0" w:space="0" w:color="auto"/>
        <w:bottom w:val="none" w:sz="0" w:space="0" w:color="auto"/>
        <w:right w:val="none" w:sz="0" w:space="0" w:color="auto"/>
      </w:divBdr>
    </w:div>
    <w:div w:id="1345521578">
      <w:bodyDiv w:val="1"/>
      <w:marLeft w:val="0"/>
      <w:marRight w:val="0"/>
      <w:marTop w:val="0"/>
      <w:marBottom w:val="0"/>
      <w:divBdr>
        <w:top w:val="none" w:sz="0" w:space="0" w:color="auto"/>
        <w:left w:val="none" w:sz="0" w:space="0" w:color="auto"/>
        <w:bottom w:val="none" w:sz="0" w:space="0" w:color="auto"/>
        <w:right w:val="none" w:sz="0" w:space="0" w:color="auto"/>
      </w:divBdr>
    </w:div>
    <w:div w:id="1359040577">
      <w:bodyDiv w:val="1"/>
      <w:marLeft w:val="0"/>
      <w:marRight w:val="0"/>
      <w:marTop w:val="0"/>
      <w:marBottom w:val="0"/>
      <w:divBdr>
        <w:top w:val="none" w:sz="0" w:space="0" w:color="auto"/>
        <w:left w:val="none" w:sz="0" w:space="0" w:color="auto"/>
        <w:bottom w:val="none" w:sz="0" w:space="0" w:color="auto"/>
        <w:right w:val="none" w:sz="0" w:space="0" w:color="auto"/>
      </w:divBdr>
    </w:div>
    <w:div w:id="1431268793">
      <w:bodyDiv w:val="1"/>
      <w:marLeft w:val="0"/>
      <w:marRight w:val="0"/>
      <w:marTop w:val="0"/>
      <w:marBottom w:val="0"/>
      <w:divBdr>
        <w:top w:val="none" w:sz="0" w:space="0" w:color="auto"/>
        <w:left w:val="none" w:sz="0" w:space="0" w:color="auto"/>
        <w:bottom w:val="none" w:sz="0" w:space="0" w:color="auto"/>
        <w:right w:val="none" w:sz="0" w:space="0" w:color="auto"/>
      </w:divBdr>
    </w:div>
    <w:div w:id="1442069599">
      <w:bodyDiv w:val="1"/>
      <w:marLeft w:val="0"/>
      <w:marRight w:val="0"/>
      <w:marTop w:val="0"/>
      <w:marBottom w:val="0"/>
      <w:divBdr>
        <w:top w:val="none" w:sz="0" w:space="0" w:color="auto"/>
        <w:left w:val="none" w:sz="0" w:space="0" w:color="auto"/>
        <w:bottom w:val="none" w:sz="0" w:space="0" w:color="auto"/>
        <w:right w:val="none" w:sz="0" w:space="0" w:color="auto"/>
      </w:divBdr>
    </w:div>
    <w:div w:id="1504323163">
      <w:bodyDiv w:val="1"/>
      <w:marLeft w:val="0"/>
      <w:marRight w:val="0"/>
      <w:marTop w:val="0"/>
      <w:marBottom w:val="0"/>
      <w:divBdr>
        <w:top w:val="none" w:sz="0" w:space="0" w:color="auto"/>
        <w:left w:val="none" w:sz="0" w:space="0" w:color="auto"/>
        <w:bottom w:val="none" w:sz="0" w:space="0" w:color="auto"/>
        <w:right w:val="none" w:sz="0" w:space="0" w:color="auto"/>
      </w:divBdr>
    </w:div>
    <w:div w:id="1573009599">
      <w:bodyDiv w:val="1"/>
      <w:marLeft w:val="0"/>
      <w:marRight w:val="0"/>
      <w:marTop w:val="0"/>
      <w:marBottom w:val="0"/>
      <w:divBdr>
        <w:top w:val="none" w:sz="0" w:space="0" w:color="auto"/>
        <w:left w:val="none" w:sz="0" w:space="0" w:color="auto"/>
        <w:bottom w:val="none" w:sz="0" w:space="0" w:color="auto"/>
        <w:right w:val="none" w:sz="0" w:space="0" w:color="auto"/>
      </w:divBdr>
    </w:div>
    <w:div w:id="1683360951">
      <w:bodyDiv w:val="1"/>
      <w:marLeft w:val="0"/>
      <w:marRight w:val="0"/>
      <w:marTop w:val="0"/>
      <w:marBottom w:val="0"/>
      <w:divBdr>
        <w:top w:val="none" w:sz="0" w:space="0" w:color="auto"/>
        <w:left w:val="none" w:sz="0" w:space="0" w:color="auto"/>
        <w:bottom w:val="none" w:sz="0" w:space="0" w:color="auto"/>
        <w:right w:val="none" w:sz="0" w:space="0" w:color="auto"/>
      </w:divBdr>
    </w:div>
    <w:div w:id="1777599331">
      <w:bodyDiv w:val="1"/>
      <w:marLeft w:val="0"/>
      <w:marRight w:val="0"/>
      <w:marTop w:val="0"/>
      <w:marBottom w:val="0"/>
      <w:divBdr>
        <w:top w:val="none" w:sz="0" w:space="0" w:color="auto"/>
        <w:left w:val="none" w:sz="0" w:space="0" w:color="auto"/>
        <w:bottom w:val="none" w:sz="0" w:space="0" w:color="auto"/>
        <w:right w:val="none" w:sz="0" w:space="0" w:color="auto"/>
      </w:divBdr>
    </w:div>
    <w:div w:id="1780561327">
      <w:bodyDiv w:val="1"/>
      <w:marLeft w:val="0"/>
      <w:marRight w:val="0"/>
      <w:marTop w:val="0"/>
      <w:marBottom w:val="0"/>
      <w:divBdr>
        <w:top w:val="none" w:sz="0" w:space="0" w:color="auto"/>
        <w:left w:val="none" w:sz="0" w:space="0" w:color="auto"/>
        <w:bottom w:val="none" w:sz="0" w:space="0" w:color="auto"/>
        <w:right w:val="none" w:sz="0" w:space="0" w:color="auto"/>
      </w:divBdr>
    </w:div>
    <w:div w:id="1798140020">
      <w:bodyDiv w:val="1"/>
      <w:marLeft w:val="0"/>
      <w:marRight w:val="0"/>
      <w:marTop w:val="0"/>
      <w:marBottom w:val="0"/>
      <w:divBdr>
        <w:top w:val="none" w:sz="0" w:space="0" w:color="auto"/>
        <w:left w:val="none" w:sz="0" w:space="0" w:color="auto"/>
        <w:bottom w:val="none" w:sz="0" w:space="0" w:color="auto"/>
        <w:right w:val="none" w:sz="0" w:space="0" w:color="auto"/>
      </w:divBdr>
    </w:div>
    <w:div w:id="1832019943">
      <w:bodyDiv w:val="1"/>
      <w:marLeft w:val="0"/>
      <w:marRight w:val="0"/>
      <w:marTop w:val="0"/>
      <w:marBottom w:val="0"/>
      <w:divBdr>
        <w:top w:val="none" w:sz="0" w:space="0" w:color="auto"/>
        <w:left w:val="none" w:sz="0" w:space="0" w:color="auto"/>
        <w:bottom w:val="none" w:sz="0" w:space="0" w:color="auto"/>
        <w:right w:val="none" w:sz="0" w:space="0" w:color="auto"/>
      </w:divBdr>
    </w:div>
    <w:div w:id="1841120129">
      <w:bodyDiv w:val="1"/>
      <w:marLeft w:val="0"/>
      <w:marRight w:val="0"/>
      <w:marTop w:val="0"/>
      <w:marBottom w:val="0"/>
      <w:divBdr>
        <w:top w:val="none" w:sz="0" w:space="0" w:color="auto"/>
        <w:left w:val="none" w:sz="0" w:space="0" w:color="auto"/>
        <w:bottom w:val="none" w:sz="0" w:space="0" w:color="auto"/>
        <w:right w:val="none" w:sz="0" w:space="0" w:color="auto"/>
      </w:divBdr>
    </w:div>
    <w:div w:id="1847086439">
      <w:bodyDiv w:val="1"/>
      <w:marLeft w:val="0"/>
      <w:marRight w:val="0"/>
      <w:marTop w:val="0"/>
      <w:marBottom w:val="0"/>
      <w:divBdr>
        <w:top w:val="none" w:sz="0" w:space="0" w:color="auto"/>
        <w:left w:val="none" w:sz="0" w:space="0" w:color="auto"/>
        <w:bottom w:val="none" w:sz="0" w:space="0" w:color="auto"/>
        <w:right w:val="none" w:sz="0" w:space="0" w:color="auto"/>
      </w:divBdr>
    </w:div>
    <w:div w:id="1900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32</TotalTime>
  <Pages>42</Pages>
  <Words>14534</Words>
  <Characters>91614</Characters>
  <Application>Microsoft Office Word</Application>
  <DocSecurity>0</DocSecurity>
  <Lines>763</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2022100835 mt</dc:description>
  <cp:lastModifiedBy>Hanne Thy Iversen</cp:lastModifiedBy>
  <cp:revision>15</cp:revision>
  <cp:lastPrinted>2012-08-22T08:53:00Z</cp:lastPrinted>
  <dcterms:created xsi:type="dcterms:W3CDTF">2025-01-31T15:29:00Z</dcterms:created>
  <dcterms:modified xsi:type="dcterms:W3CDTF">2025-02-07T10:20:00Z</dcterms:modified>
</cp:coreProperties>
</file>