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1D5" w14:textId="77777777" w:rsidR="004A3BF4" w:rsidRPr="00B55C24" w:rsidRDefault="00056601" w:rsidP="004A3BF4">
      <w:pPr>
        <w:rPr>
          <w:sz w:val="24"/>
          <w:szCs w:val="24"/>
          <w:lang w:val="en-GB"/>
        </w:rPr>
      </w:pPr>
      <w:r w:rsidRPr="00B55C24">
        <w:rPr>
          <w:noProof/>
          <w:sz w:val="24"/>
          <w:szCs w:val="24"/>
          <w:lang w:val="en-GB"/>
        </w:rPr>
        <w:drawing>
          <wp:inline distT="0" distB="0" distL="0" distR="0" wp14:anchorId="34C51AB6" wp14:editId="089E96D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8CB1914" w14:textId="77777777" w:rsidR="006B3847" w:rsidRPr="00B55C24" w:rsidRDefault="006B3847" w:rsidP="006B3847">
      <w:pPr>
        <w:rPr>
          <w:sz w:val="24"/>
          <w:szCs w:val="24"/>
          <w:lang w:val="en-GB"/>
        </w:rPr>
      </w:pPr>
    </w:p>
    <w:p w14:paraId="428DDFCB" w14:textId="711E3330" w:rsidR="006B3847" w:rsidRPr="00B55C24" w:rsidRDefault="006B3847" w:rsidP="006B3847">
      <w:pPr>
        <w:tabs>
          <w:tab w:val="right" w:pos="9356"/>
        </w:tabs>
        <w:rPr>
          <w:b/>
          <w:sz w:val="24"/>
          <w:szCs w:val="24"/>
          <w:lang w:val="en-GB"/>
        </w:rPr>
      </w:pPr>
      <w:r w:rsidRPr="00B55C24">
        <w:rPr>
          <w:b/>
          <w:sz w:val="24"/>
          <w:szCs w:val="24"/>
          <w:lang w:val="en-GB"/>
        </w:rPr>
        <w:tab/>
      </w:r>
      <w:r w:rsidR="00946A77">
        <w:rPr>
          <w:b/>
          <w:sz w:val="24"/>
          <w:szCs w:val="24"/>
          <w:lang w:val="en-GB"/>
        </w:rPr>
        <w:t>12 March 2026</w:t>
      </w:r>
    </w:p>
    <w:p w14:paraId="57CF4C2E" w14:textId="77777777" w:rsidR="006B3847" w:rsidRPr="00B55C24" w:rsidRDefault="006B3847" w:rsidP="006B3847">
      <w:pPr>
        <w:rPr>
          <w:sz w:val="24"/>
          <w:szCs w:val="24"/>
          <w:lang w:val="en-GB"/>
        </w:rPr>
      </w:pPr>
    </w:p>
    <w:p w14:paraId="46AA6DF5" w14:textId="77777777" w:rsidR="007C5D2A" w:rsidRPr="00B55C24" w:rsidRDefault="007C5D2A" w:rsidP="007C5D2A">
      <w:pPr>
        <w:rPr>
          <w:sz w:val="24"/>
          <w:szCs w:val="24"/>
          <w:lang w:val="en-GB"/>
        </w:rPr>
      </w:pPr>
    </w:p>
    <w:p w14:paraId="13492367" w14:textId="77777777" w:rsidR="007C5D2A" w:rsidRPr="00B55C24" w:rsidRDefault="007C5D2A" w:rsidP="007C5D2A">
      <w:pPr>
        <w:rPr>
          <w:sz w:val="24"/>
          <w:szCs w:val="24"/>
          <w:lang w:val="en-GB"/>
        </w:rPr>
      </w:pPr>
    </w:p>
    <w:p w14:paraId="77DFE042" w14:textId="77777777" w:rsidR="007C5D2A" w:rsidRPr="00B55C24" w:rsidRDefault="007C5D2A" w:rsidP="007C5D2A">
      <w:pPr>
        <w:jc w:val="center"/>
        <w:rPr>
          <w:b/>
          <w:sz w:val="24"/>
          <w:szCs w:val="24"/>
          <w:lang w:val="en-GB"/>
        </w:rPr>
      </w:pPr>
      <w:bookmarkStart w:id="0" w:name="_Hlk49158549"/>
      <w:r w:rsidRPr="00B55C24">
        <w:rPr>
          <w:b/>
          <w:sz w:val="24"/>
          <w:szCs w:val="24"/>
          <w:lang w:val="en-GB"/>
        </w:rPr>
        <w:t>SUMMARY OF PRODUCT CHARACTERISTICS</w:t>
      </w:r>
    </w:p>
    <w:bookmarkEnd w:id="0"/>
    <w:p w14:paraId="62AB4CDE" w14:textId="77777777" w:rsidR="007C5D2A" w:rsidRPr="00B55C24" w:rsidRDefault="007C5D2A" w:rsidP="007C5D2A">
      <w:pPr>
        <w:jc w:val="center"/>
        <w:rPr>
          <w:sz w:val="24"/>
          <w:szCs w:val="24"/>
          <w:lang w:val="en-GB"/>
        </w:rPr>
      </w:pPr>
    </w:p>
    <w:p w14:paraId="60B0DB74" w14:textId="77777777" w:rsidR="007C5D2A" w:rsidRPr="00B55C24" w:rsidRDefault="007C5D2A" w:rsidP="007C5D2A">
      <w:pPr>
        <w:jc w:val="center"/>
        <w:rPr>
          <w:b/>
          <w:sz w:val="24"/>
          <w:szCs w:val="24"/>
          <w:lang w:val="en-GB"/>
        </w:rPr>
      </w:pPr>
      <w:r w:rsidRPr="00B55C24">
        <w:rPr>
          <w:b/>
          <w:sz w:val="24"/>
          <w:szCs w:val="24"/>
          <w:lang w:val="en-GB"/>
        </w:rPr>
        <w:t>for</w:t>
      </w:r>
    </w:p>
    <w:p w14:paraId="7BDFE62D" w14:textId="77777777" w:rsidR="007C5D2A" w:rsidRPr="00B55C24" w:rsidRDefault="007C5D2A" w:rsidP="007C5D2A">
      <w:pPr>
        <w:jc w:val="center"/>
        <w:rPr>
          <w:sz w:val="24"/>
          <w:szCs w:val="24"/>
          <w:lang w:val="en-GB"/>
        </w:rPr>
      </w:pPr>
    </w:p>
    <w:p w14:paraId="578E41E9" w14:textId="12320E3E" w:rsidR="007C5D2A" w:rsidRPr="00B55C24" w:rsidRDefault="006847E1" w:rsidP="007C5D2A">
      <w:pPr>
        <w:jc w:val="center"/>
        <w:rPr>
          <w:b/>
          <w:sz w:val="24"/>
          <w:szCs w:val="24"/>
          <w:lang w:val="en-GB"/>
        </w:rPr>
      </w:pPr>
      <w:proofErr w:type="spellStart"/>
      <w:r w:rsidRPr="00B55C24">
        <w:rPr>
          <w:b/>
          <w:sz w:val="24"/>
          <w:szCs w:val="24"/>
          <w:lang w:val="en-US"/>
        </w:rPr>
        <w:t>Dabigatranetexilat</w:t>
      </w:r>
      <w:proofErr w:type="spellEnd"/>
      <w:r w:rsidRPr="00B55C24">
        <w:rPr>
          <w:b/>
          <w:sz w:val="24"/>
          <w:szCs w:val="24"/>
          <w:lang w:val="en-US"/>
        </w:rPr>
        <w:t xml:space="preserve"> "Gedeon Richter"</w:t>
      </w:r>
      <w:r w:rsidRPr="00B55C24">
        <w:rPr>
          <w:b/>
          <w:sz w:val="24"/>
          <w:szCs w:val="24"/>
          <w:lang w:val="en-GB"/>
        </w:rPr>
        <w:t>, hard capsules 1</w:t>
      </w:r>
      <w:r w:rsidR="00D476B2">
        <w:rPr>
          <w:b/>
          <w:sz w:val="24"/>
          <w:szCs w:val="24"/>
          <w:lang w:val="en-GB"/>
        </w:rPr>
        <w:t>5</w:t>
      </w:r>
      <w:r w:rsidRPr="00B55C24">
        <w:rPr>
          <w:b/>
          <w:sz w:val="24"/>
          <w:szCs w:val="24"/>
          <w:lang w:val="en-GB"/>
        </w:rPr>
        <w:t>0 mg</w:t>
      </w:r>
    </w:p>
    <w:p w14:paraId="07836156" w14:textId="77777777" w:rsidR="007C5D2A" w:rsidRPr="00B55C24" w:rsidRDefault="007C5D2A" w:rsidP="007C5D2A">
      <w:pPr>
        <w:jc w:val="both"/>
        <w:rPr>
          <w:sz w:val="24"/>
          <w:szCs w:val="24"/>
          <w:lang w:val="en-GB"/>
        </w:rPr>
      </w:pPr>
    </w:p>
    <w:p w14:paraId="5639E3FA" w14:textId="77777777" w:rsidR="0042292D" w:rsidRPr="00B55C24" w:rsidRDefault="0042292D" w:rsidP="007C5D2A">
      <w:pPr>
        <w:jc w:val="both"/>
        <w:rPr>
          <w:sz w:val="24"/>
          <w:szCs w:val="24"/>
          <w:lang w:val="en-GB"/>
        </w:rPr>
      </w:pPr>
    </w:p>
    <w:p w14:paraId="05EBCF75" w14:textId="77777777" w:rsidR="008F2F8C" w:rsidRPr="00B55C24" w:rsidRDefault="008F2F8C" w:rsidP="008F2F8C">
      <w:pPr>
        <w:tabs>
          <w:tab w:val="left" w:pos="8222"/>
        </w:tabs>
        <w:ind w:left="851" w:hanging="851"/>
        <w:rPr>
          <w:b/>
          <w:sz w:val="24"/>
          <w:szCs w:val="24"/>
          <w:lang w:val="en-GB"/>
        </w:rPr>
      </w:pPr>
      <w:r w:rsidRPr="00B55C24">
        <w:rPr>
          <w:b/>
          <w:sz w:val="24"/>
          <w:szCs w:val="24"/>
          <w:lang w:val="en-GB"/>
        </w:rPr>
        <w:t>0.</w:t>
      </w:r>
      <w:r w:rsidRPr="00B55C24">
        <w:rPr>
          <w:b/>
          <w:sz w:val="24"/>
          <w:szCs w:val="24"/>
          <w:lang w:val="en-GB"/>
        </w:rPr>
        <w:tab/>
      </w:r>
      <w:proofErr w:type="gramStart"/>
      <w:r w:rsidRPr="00B55C24">
        <w:rPr>
          <w:b/>
          <w:sz w:val="24"/>
          <w:szCs w:val="24"/>
          <w:lang w:val="en-GB"/>
        </w:rPr>
        <w:t>D.SP.NO</w:t>
      </w:r>
      <w:proofErr w:type="gramEnd"/>
      <w:r w:rsidRPr="00B55C24">
        <w:rPr>
          <w:b/>
          <w:sz w:val="24"/>
          <w:szCs w:val="24"/>
          <w:lang w:val="en-GB"/>
        </w:rPr>
        <w:t>.</w:t>
      </w:r>
    </w:p>
    <w:p w14:paraId="4282629E" w14:textId="5E88E029" w:rsidR="008F2F8C" w:rsidRPr="00B55C24" w:rsidRDefault="006847E1" w:rsidP="008F2F8C">
      <w:pPr>
        <w:tabs>
          <w:tab w:val="left" w:pos="8222"/>
        </w:tabs>
        <w:ind w:left="851"/>
        <w:rPr>
          <w:sz w:val="24"/>
          <w:szCs w:val="24"/>
          <w:lang w:val="en-GB"/>
        </w:rPr>
      </w:pPr>
      <w:r w:rsidRPr="00B55C24">
        <w:rPr>
          <w:sz w:val="24"/>
          <w:szCs w:val="24"/>
          <w:lang w:val="en-GB"/>
        </w:rPr>
        <w:t>34005</w:t>
      </w:r>
    </w:p>
    <w:p w14:paraId="1F0E1A32" w14:textId="77777777" w:rsidR="007C5D2A" w:rsidRPr="00B55C24" w:rsidRDefault="007C5D2A" w:rsidP="007C5D2A">
      <w:pPr>
        <w:tabs>
          <w:tab w:val="left" w:pos="851"/>
        </w:tabs>
        <w:jc w:val="both"/>
        <w:rPr>
          <w:sz w:val="24"/>
          <w:szCs w:val="24"/>
          <w:lang w:val="en-GB"/>
        </w:rPr>
      </w:pPr>
    </w:p>
    <w:p w14:paraId="7B0FBEFC" w14:textId="77777777" w:rsidR="007C5D2A" w:rsidRPr="00B55C24" w:rsidRDefault="009925C9" w:rsidP="007C5D2A">
      <w:pPr>
        <w:tabs>
          <w:tab w:val="left" w:pos="851"/>
        </w:tabs>
        <w:ind w:left="851" w:hanging="851"/>
        <w:rPr>
          <w:sz w:val="24"/>
          <w:szCs w:val="24"/>
          <w:lang w:val="en-GB"/>
        </w:rPr>
      </w:pPr>
      <w:r w:rsidRPr="00B55C24">
        <w:rPr>
          <w:b/>
          <w:sz w:val="24"/>
          <w:szCs w:val="24"/>
          <w:lang w:val="en-GB"/>
        </w:rPr>
        <w:t>1.</w:t>
      </w:r>
      <w:r w:rsidR="007C5D2A" w:rsidRPr="00B55C24">
        <w:rPr>
          <w:b/>
          <w:sz w:val="24"/>
          <w:szCs w:val="24"/>
          <w:lang w:val="en-GB"/>
        </w:rPr>
        <w:tab/>
        <w:t>NAME OF THE MEDICINAL PRODUCT</w:t>
      </w:r>
    </w:p>
    <w:p w14:paraId="06AD16CF" w14:textId="15F9D16A" w:rsidR="007C5D2A" w:rsidRPr="00B55C24" w:rsidRDefault="006847E1" w:rsidP="004A3BF4">
      <w:pPr>
        <w:tabs>
          <w:tab w:val="left" w:pos="851"/>
        </w:tabs>
        <w:ind w:left="851"/>
        <w:rPr>
          <w:sz w:val="24"/>
          <w:szCs w:val="24"/>
          <w:lang w:val="en-US"/>
        </w:rPr>
      </w:pPr>
      <w:proofErr w:type="spellStart"/>
      <w:r w:rsidRPr="00B55C24">
        <w:rPr>
          <w:sz w:val="24"/>
          <w:szCs w:val="24"/>
          <w:lang w:val="en-US"/>
        </w:rPr>
        <w:t>Dabigatranetexilat</w:t>
      </w:r>
      <w:proofErr w:type="spellEnd"/>
      <w:r w:rsidRPr="00B55C24">
        <w:rPr>
          <w:sz w:val="24"/>
          <w:szCs w:val="24"/>
          <w:lang w:val="en-US"/>
        </w:rPr>
        <w:t xml:space="preserve"> "Gedeon Richter"</w:t>
      </w:r>
    </w:p>
    <w:p w14:paraId="555AEA3B" w14:textId="77777777" w:rsidR="006847E1" w:rsidRPr="00B55C24" w:rsidRDefault="006847E1" w:rsidP="004A3BF4">
      <w:pPr>
        <w:tabs>
          <w:tab w:val="left" w:pos="851"/>
        </w:tabs>
        <w:ind w:left="851"/>
        <w:rPr>
          <w:sz w:val="24"/>
          <w:szCs w:val="24"/>
          <w:lang w:val="en-US"/>
        </w:rPr>
      </w:pPr>
    </w:p>
    <w:p w14:paraId="3950C7AF" w14:textId="77777777" w:rsidR="007C5D2A" w:rsidRPr="00B55C24" w:rsidRDefault="009925C9" w:rsidP="007C5D2A">
      <w:pPr>
        <w:ind w:left="851" w:hanging="851"/>
        <w:rPr>
          <w:b/>
          <w:sz w:val="24"/>
          <w:szCs w:val="24"/>
          <w:lang w:val="en-GB"/>
        </w:rPr>
      </w:pPr>
      <w:r w:rsidRPr="00B55C24">
        <w:rPr>
          <w:b/>
          <w:sz w:val="24"/>
          <w:szCs w:val="24"/>
          <w:lang w:val="en-GB"/>
        </w:rPr>
        <w:t>2.</w:t>
      </w:r>
      <w:r w:rsidR="007C5D2A" w:rsidRPr="00B55C24">
        <w:rPr>
          <w:b/>
          <w:sz w:val="24"/>
          <w:szCs w:val="24"/>
          <w:lang w:val="en-GB"/>
        </w:rPr>
        <w:tab/>
        <w:t>QUALITATIVE AND QUANTITATIVE COMPOSITION</w:t>
      </w:r>
    </w:p>
    <w:p w14:paraId="0EFC656C" w14:textId="77777777" w:rsidR="00E607F1" w:rsidRPr="00B55C24" w:rsidRDefault="00E607F1" w:rsidP="004A5906">
      <w:pPr>
        <w:ind w:left="851"/>
        <w:rPr>
          <w:sz w:val="24"/>
          <w:szCs w:val="24"/>
          <w:lang w:val="en-GB"/>
        </w:rPr>
      </w:pPr>
      <w:r w:rsidRPr="00B55C24">
        <w:rPr>
          <w:sz w:val="24"/>
          <w:szCs w:val="24"/>
          <w:lang w:val="en-GB"/>
        </w:rPr>
        <w:t xml:space="preserve">Each hard capsule contains 150 mg of dabigatran </w:t>
      </w:r>
      <w:proofErr w:type="spellStart"/>
      <w:r w:rsidRPr="00B55C24">
        <w:rPr>
          <w:sz w:val="24"/>
          <w:szCs w:val="24"/>
          <w:lang w:val="en-GB"/>
        </w:rPr>
        <w:t>etexilate</w:t>
      </w:r>
      <w:proofErr w:type="spellEnd"/>
      <w:r w:rsidRPr="00B55C24">
        <w:rPr>
          <w:sz w:val="24"/>
          <w:szCs w:val="24"/>
          <w:lang w:val="en-GB"/>
        </w:rPr>
        <w:t xml:space="preserve"> (as </w:t>
      </w:r>
      <w:proofErr w:type="spellStart"/>
      <w:r w:rsidRPr="00B55C24">
        <w:rPr>
          <w:sz w:val="24"/>
          <w:szCs w:val="24"/>
          <w:lang w:val="en-GB"/>
        </w:rPr>
        <w:t>mesilate</w:t>
      </w:r>
      <w:proofErr w:type="spellEnd"/>
      <w:r w:rsidRPr="00B55C24">
        <w:rPr>
          <w:sz w:val="24"/>
          <w:szCs w:val="24"/>
          <w:lang w:val="en-GB"/>
        </w:rPr>
        <w:t>).</w:t>
      </w:r>
    </w:p>
    <w:p w14:paraId="03CBA3D3" w14:textId="77777777" w:rsidR="00E607F1" w:rsidRPr="00B55C24" w:rsidRDefault="00E607F1" w:rsidP="004A5906">
      <w:pPr>
        <w:ind w:left="851"/>
        <w:rPr>
          <w:sz w:val="24"/>
          <w:szCs w:val="24"/>
          <w:lang w:val="en-GB"/>
        </w:rPr>
      </w:pPr>
    </w:p>
    <w:p w14:paraId="365882FC" w14:textId="77777777" w:rsidR="00E607F1" w:rsidRPr="00B55C24" w:rsidRDefault="00E607F1" w:rsidP="004A5906">
      <w:pPr>
        <w:ind w:left="851"/>
        <w:rPr>
          <w:sz w:val="24"/>
          <w:szCs w:val="24"/>
          <w:lang w:val="en-GB"/>
        </w:rPr>
      </w:pPr>
      <w:r w:rsidRPr="00B55C24">
        <w:rPr>
          <w:sz w:val="24"/>
          <w:szCs w:val="24"/>
          <w:lang w:val="en-GB"/>
        </w:rPr>
        <w:t>For the full list of excipients, see section 6.1.</w:t>
      </w:r>
    </w:p>
    <w:p w14:paraId="619498E2" w14:textId="77777777" w:rsidR="007C5D2A" w:rsidRPr="00B55C24" w:rsidRDefault="007C5D2A" w:rsidP="004A3BF4">
      <w:pPr>
        <w:tabs>
          <w:tab w:val="left" w:pos="851"/>
        </w:tabs>
        <w:ind w:left="851"/>
        <w:rPr>
          <w:sz w:val="24"/>
          <w:szCs w:val="24"/>
          <w:lang w:val="en-GB"/>
        </w:rPr>
      </w:pPr>
    </w:p>
    <w:p w14:paraId="1CBA1302"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3.</w:t>
      </w:r>
      <w:r w:rsidRPr="00B55C24">
        <w:rPr>
          <w:b/>
          <w:sz w:val="24"/>
          <w:szCs w:val="24"/>
          <w:lang w:val="en-GB"/>
        </w:rPr>
        <w:tab/>
        <w:t>PHARMACEUTICAL FORM</w:t>
      </w:r>
    </w:p>
    <w:p w14:paraId="30E0241F" w14:textId="17B2A34B" w:rsidR="00E607F1" w:rsidRPr="00B55C24" w:rsidRDefault="00E607F1" w:rsidP="004A5906">
      <w:pPr>
        <w:ind w:left="851"/>
        <w:rPr>
          <w:sz w:val="24"/>
          <w:szCs w:val="24"/>
          <w:lang w:val="en-GB"/>
        </w:rPr>
      </w:pPr>
      <w:r w:rsidRPr="00B55C24">
        <w:rPr>
          <w:sz w:val="24"/>
          <w:szCs w:val="24"/>
          <w:lang w:val="en-GB"/>
        </w:rPr>
        <w:t>Hard capsule</w:t>
      </w:r>
      <w:r w:rsidR="00B55C24">
        <w:rPr>
          <w:sz w:val="24"/>
          <w:szCs w:val="24"/>
          <w:lang w:val="en-GB"/>
        </w:rPr>
        <w:t>s</w:t>
      </w:r>
    </w:p>
    <w:p w14:paraId="21D67B93" w14:textId="77777777" w:rsidR="00E607F1" w:rsidRPr="00B55C24" w:rsidRDefault="00E607F1" w:rsidP="004A5906">
      <w:pPr>
        <w:ind w:left="851"/>
        <w:rPr>
          <w:sz w:val="24"/>
          <w:szCs w:val="24"/>
          <w:lang w:val="en-GB"/>
        </w:rPr>
      </w:pPr>
    </w:p>
    <w:p w14:paraId="3C4F86BA" w14:textId="77777777" w:rsidR="00E607F1" w:rsidRPr="00B55C24" w:rsidRDefault="00E607F1" w:rsidP="004A5906">
      <w:pPr>
        <w:ind w:left="851"/>
        <w:rPr>
          <w:sz w:val="24"/>
          <w:szCs w:val="24"/>
          <w:lang w:val="en-GB"/>
        </w:rPr>
      </w:pPr>
      <w:r w:rsidRPr="00B55C24">
        <w:rPr>
          <w:sz w:val="24"/>
          <w:szCs w:val="24"/>
          <w:lang w:val="en-GB"/>
        </w:rPr>
        <w:t>Capsules with blue cap and white body of size 0 (length approx. 21.7 mm) filled with yellowish pellets. The cap is imprinted with the Gedeon Richter company symbol, the body with “150”.</w:t>
      </w:r>
    </w:p>
    <w:p w14:paraId="7C7F72EC" w14:textId="77777777" w:rsidR="007C5D2A" w:rsidRPr="00B55C24" w:rsidRDefault="007C5D2A" w:rsidP="004A3BF4">
      <w:pPr>
        <w:tabs>
          <w:tab w:val="left" w:pos="851"/>
        </w:tabs>
        <w:ind w:left="851"/>
        <w:rPr>
          <w:sz w:val="24"/>
          <w:szCs w:val="24"/>
          <w:lang w:val="en-GB"/>
        </w:rPr>
      </w:pPr>
    </w:p>
    <w:p w14:paraId="4068D234" w14:textId="77777777" w:rsidR="007C5D2A" w:rsidRPr="00B55C24" w:rsidRDefault="007C5D2A" w:rsidP="004A3BF4">
      <w:pPr>
        <w:tabs>
          <w:tab w:val="left" w:pos="851"/>
        </w:tabs>
        <w:ind w:left="851"/>
        <w:rPr>
          <w:sz w:val="24"/>
          <w:szCs w:val="24"/>
          <w:lang w:val="en-GB"/>
        </w:rPr>
      </w:pPr>
    </w:p>
    <w:p w14:paraId="1054E225" w14:textId="77777777" w:rsidR="007C5D2A" w:rsidRPr="00B55C24" w:rsidRDefault="007C5D2A" w:rsidP="007C5D2A">
      <w:pPr>
        <w:ind w:left="851" w:hanging="851"/>
        <w:rPr>
          <w:b/>
          <w:sz w:val="24"/>
          <w:szCs w:val="24"/>
          <w:lang w:val="en-GB"/>
        </w:rPr>
      </w:pPr>
      <w:r w:rsidRPr="00B55C24">
        <w:rPr>
          <w:b/>
          <w:sz w:val="24"/>
          <w:szCs w:val="24"/>
          <w:lang w:val="en-GB"/>
        </w:rPr>
        <w:t>4.</w:t>
      </w:r>
      <w:r w:rsidRPr="00B55C24">
        <w:rPr>
          <w:b/>
          <w:sz w:val="24"/>
          <w:szCs w:val="24"/>
          <w:lang w:val="en-GB"/>
        </w:rPr>
        <w:tab/>
        <w:t>CLINICAL PARTICULARS</w:t>
      </w:r>
    </w:p>
    <w:p w14:paraId="23746356" w14:textId="77777777" w:rsidR="007C5D2A" w:rsidRPr="00B55C24" w:rsidRDefault="007C5D2A" w:rsidP="004A3BF4">
      <w:pPr>
        <w:tabs>
          <w:tab w:val="left" w:pos="851"/>
        </w:tabs>
        <w:ind w:left="851"/>
        <w:rPr>
          <w:sz w:val="24"/>
          <w:szCs w:val="24"/>
          <w:lang w:val="en-GB"/>
        </w:rPr>
      </w:pPr>
    </w:p>
    <w:p w14:paraId="43138F11" w14:textId="77777777" w:rsidR="007C5D2A" w:rsidRPr="00B55C24" w:rsidRDefault="007C5D2A" w:rsidP="007C5D2A">
      <w:pPr>
        <w:ind w:left="851" w:hanging="851"/>
        <w:rPr>
          <w:b/>
          <w:sz w:val="24"/>
          <w:szCs w:val="24"/>
          <w:u w:val="single"/>
          <w:lang w:val="en-GB"/>
        </w:rPr>
      </w:pPr>
      <w:r w:rsidRPr="00B55C24">
        <w:rPr>
          <w:b/>
          <w:sz w:val="24"/>
          <w:szCs w:val="24"/>
          <w:lang w:val="en-GB"/>
        </w:rPr>
        <w:t>4.1</w:t>
      </w:r>
      <w:r w:rsidRPr="00B55C24">
        <w:rPr>
          <w:b/>
          <w:sz w:val="24"/>
          <w:szCs w:val="24"/>
          <w:lang w:val="en-GB"/>
        </w:rPr>
        <w:tab/>
        <w:t>Therapeutic indications</w:t>
      </w:r>
    </w:p>
    <w:p w14:paraId="65C166DB" w14:textId="3B2F24CD" w:rsidR="00E607F1" w:rsidRPr="00B55C24" w:rsidRDefault="00E607F1" w:rsidP="004A5906">
      <w:pPr>
        <w:ind w:left="851"/>
        <w:rPr>
          <w:sz w:val="24"/>
          <w:szCs w:val="24"/>
          <w:lang w:val="en-GB"/>
        </w:rPr>
      </w:pPr>
      <w:r w:rsidRPr="00B55C24">
        <w:rPr>
          <w:sz w:val="24"/>
          <w:szCs w:val="24"/>
          <w:lang w:val="en-GB"/>
        </w:rPr>
        <w:t>Prevention of stroke and systemic embolism in adult patients with non-valvular atrial fibrillation (NVAF), with one or more risk factors, such as prior stroke or transient ischemic attack (TIA); age ≥ 75 years; heart failure (NYHA Class ≥ II); diabetes mellitus; hypertension.</w:t>
      </w:r>
    </w:p>
    <w:p w14:paraId="4793C7C9" w14:textId="77777777" w:rsidR="00E607F1" w:rsidRPr="00B55C24" w:rsidRDefault="00E607F1" w:rsidP="004A5906">
      <w:pPr>
        <w:ind w:left="851"/>
        <w:rPr>
          <w:sz w:val="24"/>
          <w:szCs w:val="24"/>
          <w:lang w:val="en-GB"/>
        </w:rPr>
      </w:pPr>
    </w:p>
    <w:p w14:paraId="0B6436E6" w14:textId="77777777" w:rsidR="00E607F1" w:rsidRPr="00B55C24" w:rsidRDefault="00E607F1" w:rsidP="004A5906">
      <w:pPr>
        <w:ind w:left="851"/>
        <w:rPr>
          <w:sz w:val="24"/>
          <w:szCs w:val="24"/>
          <w:lang w:val="en-GB"/>
        </w:rPr>
      </w:pPr>
      <w:r w:rsidRPr="00B55C24">
        <w:rPr>
          <w:sz w:val="24"/>
          <w:szCs w:val="24"/>
          <w:lang w:val="en-GB"/>
        </w:rPr>
        <w:t>Treatment of deep vein thrombosis (DVT) and pulmonary embolism (PE), and prevention of recurrent DVT and PE in adults.</w:t>
      </w:r>
    </w:p>
    <w:p w14:paraId="1E9AD6F8" w14:textId="77777777" w:rsidR="00E607F1" w:rsidRPr="00B55C24" w:rsidRDefault="00E607F1" w:rsidP="004A5906">
      <w:pPr>
        <w:ind w:left="851"/>
        <w:rPr>
          <w:sz w:val="24"/>
          <w:szCs w:val="24"/>
          <w:lang w:val="en-GB"/>
        </w:rPr>
      </w:pPr>
    </w:p>
    <w:p w14:paraId="3535B186" w14:textId="77777777" w:rsidR="00E607F1" w:rsidRPr="00B55C24" w:rsidRDefault="00E607F1" w:rsidP="004A5906">
      <w:pPr>
        <w:ind w:left="851"/>
        <w:rPr>
          <w:sz w:val="24"/>
          <w:szCs w:val="24"/>
          <w:lang w:val="en-GB"/>
        </w:rPr>
      </w:pPr>
      <w:r w:rsidRPr="00B55C24">
        <w:rPr>
          <w:sz w:val="24"/>
          <w:szCs w:val="24"/>
          <w:lang w:val="en-GB"/>
        </w:rPr>
        <w:t xml:space="preserve">Treatment of venous thromboembolic events (VTE) and prevention of recurrent VTE in paediatric patients from the time the child </w:t>
      </w:r>
      <w:proofErr w:type="gramStart"/>
      <w:r w:rsidRPr="00B55C24">
        <w:rPr>
          <w:sz w:val="24"/>
          <w:szCs w:val="24"/>
          <w:lang w:val="en-GB"/>
        </w:rPr>
        <w:t>is able to</w:t>
      </w:r>
      <w:proofErr w:type="gramEnd"/>
      <w:r w:rsidRPr="00B55C24">
        <w:rPr>
          <w:sz w:val="24"/>
          <w:szCs w:val="24"/>
          <w:lang w:val="en-GB"/>
        </w:rPr>
        <w:t xml:space="preserve"> swallow soft food to less than 18 years of age.</w:t>
      </w:r>
    </w:p>
    <w:p w14:paraId="67E83BD1" w14:textId="77777777" w:rsidR="00E607F1" w:rsidRPr="00B55C24" w:rsidRDefault="00E607F1" w:rsidP="004A5906">
      <w:pPr>
        <w:ind w:left="851"/>
        <w:rPr>
          <w:sz w:val="24"/>
          <w:szCs w:val="24"/>
          <w:lang w:val="en-GB"/>
        </w:rPr>
      </w:pPr>
    </w:p>
    <w:p w14:paraId="534BAE78" w14:textId="77777777" w:rsidR="00E607F1" w:rsidRPr="00B55C24" w:rsidRDefault="00E607F1" w:rsidP="004A5906">
      <w:pPr>
        <w:ind w:left="851"/>
        <w:rPr>
          <w:sz w:val="24"/>
          <w:szCs w:val="24"/>
          <w:lang w:val="en-GB"/>
        </w:rPr>
      </w:pPr>
      <w:r w:rsidRPr="00B55C24">
        <w:rPr>
          <w:sz w:val="24"/>
          <w:szCs w:val="24"/>
          <w:lang w:val="en-GB"/>
        </w:rPr>
        <w:t xml:space="preserve">For </w:t>
      </w:r>
      <w:proofErr w:type="gramStart"/>
      <w:r w:rsidRPr="00B55C24">
        <w:rPr>
          <w:sz w:val="24"/>
          <w:szCs w:val="24"/>
          <w:lang w:val="en-GB"/>
        </w:rPr>
        <w:t>age appropriate</w:t>
      </w:r>
      <w:proofErr w:type="gramEnd"/>
      <w:r w:rsidRPr="00B55C24">
        <w:rPr>
          <w:sz w:val="24"/>
          <w:szCs w:val="24"/>
          <w:lang w:val="en-GB"/>
        </w:rPr>
        <w:t xml:space="preserve"> dose forms, see section 4.2.</w:t>
      </w:r>
    </w:p>
    <w:p w14:paraId="050B1C61" w14:textId="77777777" w:rsidR="007C5D2A" w:rsidRPr="00B55C24" w:rsidRDefault="007C5D2A" w:rsidP="00A85D26">
      <w:pPr>
        <w:tabs>
          <w:tab w:val="left" w:pos="851"/>
        </w:tabs>
        <w:ind w:left="851"/>
        <w:rPr>
          <w:sz w:val="24"/>
          <w:szCs w:val="24"/>
          <w:lang w:val="en-GB"/>
        </w:rPr>
      </w:pPr>
    </w:p>
    <w:p w14:paraId="164C63D9" w14:textId="77777777" w:rsidR="007C5D2A" w:rsidRPr="00B55C24" w:rsidRDefault="009925C9" w:rsidP="007C5D2A">
      <w:pPr>
        <w:tabs>
          <w:tab w:val="left" w:pos="851"/>
        </w:tabs>
        <w:ind w:left="851" w:hanging="851"/>
        <w:rPr>
          <w:sz w:val="24"/>
          <w:szCs w:val="24"/>
          <w:lang w:val="en-GB"/>
        </w:rPr>
      </w:pPr>
      <w:r w:rsidRPr="00B55C24">
        <w:rPr>
          <w:b/>
          <w:sz w:val="24"/>
          <w:szCs w:val="24"/>
          <w:lang w:val="en-GB"/>
        </w:rPr>
        <w:t>4.2</w:t>
      </w:r>
      <w:r w:rsidR="007C5D2A" w:rsidRPr="00B55C24">
        <w:rPr>
          <w:b/>
          <w:sz w:val="24"/>
          <w:szCs w:val="24"/>
          <w:lang w:val="en-GB"/>
        </w:rPr>
        <w:tab/>
        <w:t>Posology and method of administration</w:t>
      </w:r>
    </w:p>
    <w:p w14:paraId="117B3065" w14:textId="77777777" w:rsidR="00B55C24" w:rsidRDefault="00B55C24" w:rsidP="004A5906">
      <w:pPr>
        <w:ind w:left="851"/>
        <w:rPr>
          <w:sz w:val="24"/>
          <w:szCs w:val="24"/>
          <w:lang w:val="en-GB"/>
        </w:rPr>
      </w:pPr>
    </w:p>
    <w:p w14:paraId="28A6DD78" w14:textId="1AA39AED" w:rsidR="00E607F1" w:rsidRPr="00B55C24" w:rsidRDefault="00E607F1" w:rsidP="004A5906">
      <w:pPr>
        <w:ind w:left="851"/>
        <w:rPr>
          <w:sz w:val="24"/>
          <w:szCs w:val="24"/>
          <w:u w:val="single"/>
          <w:lang w:val="en-GB"/>
        </w:rPr>
      </w:pPr>
      <w:r w:rsidRPr="00B55C24">
        <w:rPr>
          <w:sz w:val="24"/>
          <w:szCs w:val="24"/>
          <w:u w:val="single"/>
          <w:lang w:val="en-GB"/>
        </w:rPr>
        <w:t>Posology</w:t>
      </w:r>
    </w:p>
    <w:p w14:paraId="248B0123" w14:textId="77777777" w:rsidR="00E607F1" w:rsidRPr="00B55C24" w:rsidRDefault="00E607F1" w:rsidP="004A5906">
      <w:pPr>
        <w:ind w:left="851"/>
        <w:rPr>
          <w:sz w:val="24"/>
          <w:szCs w:val="24"/>
          <w:lang w:val="en-GB"/>
        </w:rPr>
      </w:pPr>
    </w:p>
    <w:p w14:paraId="03B76C91" w14:textId="416996F3" w:rsidR="00E607F1" w:rsidRPr="00B55C24" w:rsidRDefault="004A5906" w:rsidP="004A5906">
      <w:pPr>
        <w:ind w:left="851"/>
        <w:rPr>
          <w:sz w:val="24"/>
          <w:szCs w:val="24"/>
          <w:lang w:val="en-GB"/>
        </w:rPr>
      </w:pPr>
      <w:proofErr w:type="spellStart"/>
      <w:r w:rsidRPr="00B55C24">
        <w:rPr>
          <w:sz w:val="24"/>
          <w:szCs w:val="24"/>
          <w:lang w:val="en-GB"/>
        </w:rPr>
        <w:t>Dabigatranetexilat</w:t>
      </w:r>
      <w:proofErr w:type="spellEnd"/>
      <w:r w:rsidRPr="00B55C24">
        <w:rPr>
          <w:sz w:val="24"/>
          <w:szCs w:val="24"/>
          <w:lang w:val="en-GB"/>
        </w:rPr>
        <w:t xml:space="preserve"> "Gedeon Richter"</w:t>
      </w:r>
      <w:r w:rsidR="00E607F1" w:rsidRPr="00B55C24">
        <w:rPr>
          <w:sz w:val="24"/>
          <w:szCs w:val="24"/>
          <w:lang w:val="en-GB"/>
        </w:rPr>
        <w:t xml:space="preserve"> capsules can be used in adults and paediatric patients aged 8 years or older who are able to swallow the capsules whole. Dabigatran </w:t>
      </w:r>
      <w:proofErr w:type="spellStart"/>
      <w:r w:rsidR="00E607F1" w:rsidRPr="00B55C24">
        <w:rPr>
          <w:sz w:val="24"/>
          <w:szCs w:val="24"/>
          <w:lang w:val="en-GB"/>
        </w:rPr>
        <w:t>etexilate</w:t>
      </w:r>
      <w:proofErr w:type="spellEnd"/>
      <w:r w:rsidR="00E607F1" w:rsidRPr="00B55C24">
        <w:rPr>
          <w:sz w:val="24"/>
          <w:szCs w:val="24"/>
          <w:lang w:val="en-GB"/>
        </w:rPr>
        <w:t xml:space="preserve"> coated granules can be used in children aged less than 12 years as soon as the child is able to swallow soft food.</w:t>
      </w:r>
    </w:p>
    <w:p w14:paraId="2ECCA9C7" w14:textId="77777777" w:rsidR="00E607F1" w:rsidRPr="00B55C24" w:rsidRDefault="00E607F1" w:rsidP="004A5906">
      <w:pPr>
        <w:ind w:left="851"/>
        <w:rPr>
          <w:sz w:val="24"/>
          <w:szCs w:val="24"/>
          <w:lang w:val="en-GB"/>
        </w:rPr>
      </w:pPr>
    </w:p>
    <w:p w14:paraId="7C9A0C7C" w14:textId="77777777" w:rsidR="00E607F1" w:rsidRPr="00B55C24" w:rsidRDefault="00E607F1" w:rsidP="004A5906">
      <w:pPr>
        <w:ind w:left="851"/>
        <w:rPr>
          <w:sz w:val="24"/>
          <w:szCs w:val="24"/>
          <w:lang w:val="en-GB"/>
        </w:rPr>
      </w:pPr>
      <w:r w:rsidRPr="00B55C24">
        <w:rPr>
          <w:sz w:val="24"/>
          <w:szCs w:val="24"/>
          <w:lang w:val="en-GB"/>
        </w:rPr>
        <w:t>When changing between the formulations, the prescribed dose may need to be altered. The dose stated in the relevant dosing table of a formulation should be prescribed based on the weight and age of the child.</w:t>
      </w:r>
    </w:p>
    <w:p w14:paraId="3CDDDF0B" w14:textId="77777777" w:rsidR="00E607F1" w:rsidRPr="00B55C24" w:rsidRDefault="00E607F1" w:rsidP="004A5906">
      <w:pPr>
        <w:ind w:left="851"/>
        <w:rPr>
          <w:sz w:val="24"/>
          <w:szCs w:val="24"/>
          <w:lang w:val="en-GB"/>
        </w:rPr>
      </w:pPr>
    </w:p>
    <w:p w14:paraId="26C2755A" w14:textId="77777777" w:rsidR="00E607F1" w:rsidRPr="00B55C24" w:rsidRDefault="00E607F1" w:rsidP="004A5906">
      <w:pPr>
        <w:ind w:left="851"/>
        <w:rPr>
          <w:sz w:val="24"/>
          <w:szCs w:val="24"/>
          <w:u w:val="single"/>
          <w:lang w:val="en-GB"/>
        </w:rPr>
      </w:pPr>
      <w:r w:rsidRPr="00B55C24">
        <w:rPr>
          <w:b/>
          <w:bCs/>
          <w:i/>
          <w:iCs/>
          <w:sz w:val="24"/>
          <w:szCs w:val="24"/>
          <w:u w:val="single"/>
          <w:lang w:val="en-GB"/>
        </w:rPr>
        <w:t>Prevention of stroke and systemic embolism in adult patients with NVAF with one or more risk factors (SPAF)</w:t>
      </w:r>
    </w:p>
    <w:p w14:paraId="0D1CB4B2" w14:textId="77777777" w:rsidR="00E607F1" w:rsidRPr="00B55C24" w:rsidRDefault="00E607F1" w:rsidP="004A5906">
      <w:pPr>
        <w:ind w:left="851"/>
        <w:rPr>
          <w:sz w:val="24"/>
          <w:szCs w:val="24"/>
          <w:u w:val="single"/>
          <w:lang w:val="en-GB"/>
        </w:rPr>
      </w:pPr>
      <w:r w:rsidRPr="00B55C24">
        <w:rPr>
          <w:b/>
          <w:bCs/>
          <w:i/>
          <w:iCs/>
          <w:sz w:val="24"/>
          <w:szCs w:val="24"/>
          <w:u w:val="single"/>
          <w:lang w:val="en-GB"/>
        </w:rPr>
        <w:t>Treatment of DVT and PE and prevention of recurrent DVT and PE in adults (DVT/PE)</w:t>
      </w:r>
    </w:p>
    <w:p w14:paraId="214CD095" w14:textId="77777777" w:rsidR="00E607F1" w:rsidRPr="00B55C24" w:rsidRDefault="00E607F1" w:rsidP="004A5906">
      <w:pPr>
        <w:ind w:left="851"/>
        <w:rPr>
          <w:sz w:val="24"/>
          <w:szCs w:val="24"/>
          <w:lang w:val="en-GB"/>
        </w:rPr>
      </w:pPr>
    </w:p>
    <w:p w14:paraId="1AEA9549" w14:textId="77777777" w:rsidR="00E607F1" w:rsidRPr="00B55C24" w:rsidRDefault="00E607F1" w:rsidP="004A5906">
      <w:pPr>
        <w:ind w:left="851"/>
        <w:rPr>
          <w:sz w:val="24"/>
          <w:szCs w:val="24"/>
          <w:lang w:val="en-GB"/>
        </w:rPr>
      </w:pPr>
      <w:r w:rsidRPr="00B55C24">
        <w:rPr>
          <w:sz w:val="24"/>
          <w:szCs w:val="24"/>
          <w:lang w:val="en-GB"/>
        </w:rPr>
        <w:t xml:space="preserve">The recommended doses of dabigatran </w:t>
      </w:r>
      <w:proofErr w:type="spellStart"/>
      <w:r w:rsidRPr="00B55C24">
        <w:rPr>
          <w:sz w:val="24"/>
          <w:szCs w:val="24"/>
          <w:lang w:val="en-GB"/>
        </w:rPr>
        <w:t>etexilate</w:t>
      </w:r>
      <w:proofErr w:type="spellEnd"/>
      <w:r w:rsidRPr="00B55C24">
        <w:rPr>
          <w:sz w:val="24"/>
          <w:szCs w:val="24"/>
          <w:lang w:val="en-GB"/>
        </w:rPr>
        <w:t xml:space="preserve"> in the indications SPAF, DVT and PE are shown in table 1.</w:t>
      </w:r>
    </w:p>
    <w:p w14:paraId="346DCAFE" w14:textId="77777777" w:rsidR="00E607F1" w:rsidRPr="00B55C24" w:rsidRDefault="00E607F1" w:rsidP="004A5906">
      <w:pPr>
        <w:ind w:left="851"/>
        <w:rPr>
          <w:sz w:val="24"/>
          <w:szCs w:val="24"/>
          <w:lang w:val="en-GB"/>
        </w:rPr>
      </w:pPr>
    </w:p>
    <w:p w14:paraId="731131F6" w14:textId="77777777" w:rsidR="00E607F1" w:rsidRPr="00B55C24" w:rsidRDefault="00E607F1" w:rsidP="004A5906">
      <w:pPr>
        <w:ind w:left="851"/>
        <w:rPr>
          <w:b/>
          <w:bCs/>
          <w:sz w:val="24"/>
          <w:szCs w:val="24"/>
          <w:lang w:val="en-GB"/>
        </w:rPr>
      </w:pPr>
      <w:r w:rsidRPr="00B55C24">
        <w:rPr>
          <w:b/>
          <w:bCs/>
          <w:sz w:val="24"/>
          <w:szCs w:val="24"/>
          <w:lang w:val="en-GB"/>
        </w:rPr>
        <w:t>Table 1: Dose recommendations for SPAF, DVT and PE</w:t>
      </w:r>
    </w:p>
    <w:p w14:paraId="75B69357"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277"/>
        <w:gridCol w:w="5351"/>
      </w:tblGrid>
      <w:tr w:rsidR="00E607F1" w:rsidRPr="00B55C24" w14:paraId="3636CB6E" w14:textId="77777777" w:rsidTr="004A5906">
        <w:trPr>
          <w:trHeight w:val="57"/>
          <w:jc w:val="center"/>
        </w:trPr>
        <w:tc>
          <w:tcPr>
            <w:tcW w:w="2221" w:type="pct"/>
            <w:tcBorders>
              <w:top w:val="single" w:sz="4" w:space="0" w:color="auto"/>
              <w:left w:val="single" w:sz="4" w:space="0" w:color="auto"/>
              <w:bottom w:val="single" w:sz="4" w:space="0" w:color="auto"/>
              <w:right w:val="nil"/>
            </w:tcBorders>
          </w:tcPr>
          <w:p w14:paraId="783F5CE0" w14:textId="77777777" w:rsidR="00E607F1" w:rsidRPr="00B55C24" w:rsidRDefault="00E607F1" w:rsidP="004A5906">
            <w:pPr>
              <w:rPr>
                <w:sz w:val="22"/>
                <w:szCs w:val="22"/>
                <w:lang w:val="en-GB"/>
              </w:rPr>
            </w:pPr>
          </w:p>
        </w:tc>
        <w:tc>
          <w:tcPr>
            <w:tcW w:w="2779" w:type="pct"/>
            <w:tcBorders>
              <w:top w:val="single" w:sz="4" w:space="0" w:color="auto"/>
              <w:left w:val="single" w:sz="4" w:space="0" w:color="auto"/>
              <w:bottom w:val="single" w:sz="4" w:space="0" w:color="auto"/>
              <w:right w:val="single" w:sz="4" w:space="0" w:color="auto"/>
            </w:tcBorders>
            <w:hideMark/>
          </w:tcPr>
          <w:p w14:paraId="31DAE959" w14:textId="77777777" w:rsidR="00E607F1" w:rsidRPr="00B55C24" w:rsidRDefault="00E607F1" w:rsidP="004A5906">
            <w:pPr>
              <w:rPr>
                <w:sz w:val="22"/>
                <w:szCs w:val="22"/>
                <w:lang w:val="en-GB"/>
              </w:rPr>
            </w:pPr>
            <w:r w:rsidRPr="00B55C24">
              <w:rPr>
                <w:b/>
                <w:bCs/>
                <w:sz w:val="22"/>
                <w:szCs w:val="22"/>
                <w:lang w:val="en-GB"/>
              </w:rPr>
              <w:t>Dose recommendation</w:t>
            </w:r>
          </w:p>
        </w:tc>
      </w:tr>
      <w:tr w:rsidR="00E607F1" w:rsidRPr="00D476B2" w14:paraId="524D0B2D" w14:textId="77777777" w:rsidTr="004A5906">
        <w:trPr>
          <w:trHeight w:val="57"/>
          <w:jc w:val="center"/>
        </w:trPr>
        <w:tc>
          <w:tcPr>
            <w:tcW w:w="2221" w:type="pct"/>
            <w:tcBorders>
              <w:top w:val="single" w:sz="4" w:space="0" w:color="auto"/>
              <w:left w:val="single" w:sz="4" w:space="0" w:color="auto"/>
              <w:bottom w:val="single" w:sz="4" w:space="0" w:color="auto"/>
              <w:right w:val="single" w:sz="4" w:space="0" w:color="auto"/>
            </w:tcBorders>
            <w:hideMark/>
          </w:tcPr>
          <w:p w14:paraId="6F271B77" w14:textId="77777777" w:rsidR="00E607F1" w:rsidRPr="00B55C24" w:rsidRDefault="00E607F1" w:rsidP="004A5906">
            <w:pPr>
              <w:rPr>
                <w:sz w:val="22"/>
                <w:szCs w:val="22"/>
                <w:lang w:val="en-GB"/>
              </w:rPr>
            </w:pPr>
            <w:r w:rsidRPr="00B55C24">
              <w:rPr>
                <w:sz w:val="22"/>
                <w:szCs w:val="22"/>
                <w:lang w:val="en-GB"/>
              </w:rPr>
              <w:t>Prevention of stroke and systemic embolism in adult patients with NVAF with one or more risk factors (SPAF)</w:t>
            </w:r>
          </w:p>
        </w:tc>
        <w:tc>
          <w:tcPr>
            <w:tcW w:w="2779" w:type="pct"/>
            <w:tcBorders>
              <w:top w:val="single" w:sz="4" w:space="0" w:color="auto"/>
              <w:left w:val="single" w:sz="4" w:space="0" w:color="auto"/>
              <w:bottom w:val="single" w:sz="4" w:space="0" w:color="auto"/>
              <w:right w:val="single" w:sz="4" w:space="0" w:color="auto"/>
            </w:tcBorders>
            <w:hideMark/>
          </w:tcPr>
          <w:p w14:paraId="4A55A2A2" w14:textId="77777777" w:rsidR="00E607F1" w:rsidRPr="00B55C24" w:rsidRDefault="00E607F1" w:rsidP="004A5906">
            <w:pPr>
              <w:rPr>
                <w:sz w:val="22"/>
                <w:szCs w:val="22"/>
                <w:lang w:val="en-GB"/>
              </w:rPr>
            </w:pPr>
            <w:r w:rsidRPr="00B55C24">
              <w:rPr>
                <w:sz w:val="22"/>
                <w:szCs w:val="22"/>
                <w:lang w:val="en-GB"/>
              </w:rPr>
              <w:t xml:space="preserve">300 mg dabigatran </w:t>
            </w:r>
            <w:proofErr w:type="spellStart"/>
            <w:r w:rsidRPr="00B55C24">
              <w:rPr>
                <w:sz w:val="22"/>
                <w:szCs w:val="22"/>
                <w:lang w:val="en-GB"/>
              </w:rPr>
              <w:t>etexilate</w:t>
            </w:r>
            <w:proofErr w:type="spellEnd"/>
            <w:r w:rsidRPr="00B55C24">
              <w:rPr>
                <w:sz w:val="22"/>
                <w:szCs w:val="22"/>
                <w:lang w:val="en-GB"/>
              </w:rPr>
              <w:t xml:space="preserve"> taken as one 150 mg capsule twice daily</w:t>
            </w:r>
          </w:p>
        </w:tc>
      </w:tr>
      <w:tr w:rsidR="00E607F1" w:rsidRPr="00D476B2" w14:paraId="570055BD" w14:textId="77777777" w:rsidTr="004A5906">
        <w:trPr>
          <w:trHeight w:val="57"/>
          <w:jc w:val="center"/>
        </w:trPr>
        <w:tc>
          <w:tcPr>
            <w:tcW w:w="2221" w:type="pct"/>
            <w:tcBorders>
              <w:top w:val="single" w:sz="4" w:space="0" w:color="auto"/>
              <w:left w:val="single" w:sz="4" w:space="0" w:color="auto"/>
              <w:bottom w:val="nil"/>
              <w:right w:val="nil"/>
            </w:tcBorders>
            <w:hideMark/>
          </w:tcPr>
          <w:p w14:paraId="70B28D85" w14:textId="77777777" w:rsidR="00E607F1" w:rsidRPr="00B55C24" w:rsidRDefault="00E607F1" w:rsidP="004A5906">
            <w:pPr>
              <w:rPr>
                <w:sz w:val="22"/>
                <w:szCs w:val="22"/>
                <w:lang w:val="en-GB"/>
              </w:rPr>
            </w:pPr>
            <w:r w:rsidRPr="00B55C24">
              <w:rPr>
                <w:sz w:val="22"/>
                <w:szCs w:val="22"/>
                <w:lang w:val="en-GB"/>
              </w:rPr>
              <w:t>Treatment of DVT and PE and prevention of recurrent DVT and PE in adults (DVT/PE)</w:t>
            </w:r>
          </w:p>
        </w:tc>
        <w:tc>
          <w:tcPr>
            <w:tcW w:w="2779" w:type="pct"/>
            <w:tcBorders>
              <w:top w:val="single" w:sz="4" w:space="0" w:color="auto"/>
              <w:left w:val="single" w:sz="4" w:space="0" w:color="auto"/>
              <w:bottom w:val="nil"/>
              <w:right w:val="single" w:sz="4" w:space="0" w:color="auto"/>
            </w:tcBorders>
            <w:hideMark/>
          </w:tcPr>
          <w:p w14:paraId="0CEC0ECC" w14:textId="1B4555D1" w:rsidR="00E607F1" w:rsidRPr="00B55C24" w:rsidRDefault="00E607F1" w:rsidP="004A5906">
            <w:pPr>
              <w:rPr>
                <w:sz w:val="22"/>
                <w:szCs w:val="22"/>
                <w:lang w:val="en-GB"/>
              </w:rPr>
            </w:pPr>
            <w:r w:rsidRPr="00B55C24">
              <w:rPr>
                <w:sz w:val="22"/>
                <w:szCs w:val="22"/>
                <w:lang w:val="en-GB"/>
              </w:rPr>
              <w:t xml:space="preserve">300 mg dabigatran </w:t>
            </w:r>
            <w:proofErr w:type="spellStart"/>
            <w:r w:rsidRPr="00B55C24">
              <w:rPr>
                <w:sz w:val="22"/>
                <w:szCs w:val="22"/>
                <w:lang w:val="en-GB"/>
              </w:rPr>
              <w:t>etexilate</w:t>
            </w:r>
            <w:proofErr w:type="spellEnd"/>
            <w:r w:rsidRPr="00B55C24">
              <w:rPr>
                <w:sz w:val="22"/>
                <w:szCs w:val="22"/>
                <w:lang w:val="en-GB"/>
              </w:rPr>
              <w:t xml:space="preserve"> taken as one 150 mg capsule twice daily following treatment with a parenteral anticoagulant for at least 5 days</w:t>
            </w:r>
          </w:p>
        </w:tc>
      </w:tr>
      <w:tr w:rsidR="00E607F1" w:rsidRPr="00B55C24" w14:paraId="541DC5B7" w14:textId="77777777" w:rsidTr="004A5906">
        <w:trPr>
          <w:trHeight w:val="57"/>
          <w:jc w:val="center"/>
        </w:trPr>
        <w:tc>
          <w:tcPr>
            <w:tcW w:w="2221" w:type="pct"/>
            <w:tcBorders>
              <w:top w:val="single" w:sz="4" w:space="0" w:color="auto"/>
              <w:left w:val="single" w:sz="4" w:space="0" w:color="auto"/>
              <w:bottom w:val="nil"/>
              <w:right w:val="nil"/>
            </w:tcBorders>
            <w:vAlign w:val="center"/>
            <w:hideMark/>
          </w:tcPr>
          <w:p w14:paraId="42E62540" w14:textId="77777777" w:rsidR="00E607F1" w:rsidRPr="00B55C24" w:rsidRDefault="00E607F1" w:rsidP="004A5906">
            <w:pPr>
              <w:rPr>
                <w:sz w:val="22"/>
                <w:szCs w:val="22"/>
                <w:lang w:val="en-GB"/>
              </w:rPr>
            </w:pPr>
            <w:r w:rsidRPr="00B55C24">
              <w:rPr>
                <w:b/>
                <w:bCs/>
                <w:i/>
                <w:iCs/>
                <w:sz w:val="22"/>
                <w:szCs w:val="22"/>
                <w:u w:val="single"/>
                <w:lang w:val="en-GB"/>
              </w:rPr>
              <w:t>Dose reduction recommended</w:t>
            </w:r>
          </w:p>
        </w:tc>
        <w:tc>
          <w:tcPr>
            <w:tcW w:w="2779" w:type="pct"/>
            <w:tcBorders>
              <w:top w:val="single" w:sz="4" w:space="0" w:color="auto"/>
              <w:left w:val="single" w:sz="4" w:space="0" w:color="auto"/>
              <w:bottom w:val="nil"/>
              <w:right w:val="single" w:sz="4" w:space="0" w:color="auto"/>
            </w:tcBorders>
          </w:tcPr>
          <w:p w14:paraId="122FF02E" w14:textId="77777777" w:rsidR="00E607F1" w:rsidRPr="00B55C24" w:rsidRDefault="00E607F1" w:rsidP="004A5906">
            <w:pPr>
              <w:rPr>
                <w:sz w:val="22"/>
                <w:szCs w:val="22"/>
                <w:lang w:val="en-GB"/>
              </w:rPr>
            </w:pPr>
          </w:p>
        </w:tc>
      </w:tr>
      <w:tr w:rsidR="00E607F1" w:rsidRPr="00D476B2" w14:paraId="11E14DD9" w14:textId="77777777" w:rsidTr="004A5906">
        <w:trPr>
          <w:trHeight w:val="57"/>
          <w:jc w:val="center"/>
        </w:trPr>
        <w:tc>
          <w:tcPr>
            <w:tcW w:w="2221" w:type="pct"/>
            <w:tcBorders>
              <w:top w:val="single" w:sz="4" w:space="0" w:color="auto"/>
              <w:left w:val="single" w:sz="4" w:space="0" w:color="auto"/>
              <w:bottom w:val="nil"/>
              <w:right w:val="nil"/>
            </w:tcBorders>
            <w:hideMark/>
          </w:tcPr>
          <w:p w14:paraId="1536CF61" w14:textId="77777777" w:rsidR="00E607F1" w:rsidRPr="00B55C24" w:rsidRDefault="00E607F1" w:rsidP="004A5906">
            <w:pPr>
              <w:rPr>
                <w:sz w:val="22"/>
                <w:szCs w:val="22"/>
                <w:lang w:val="en-GB"/>
              </w:rPr>
            </w:pPr>
            <w:r w:rsidRPr="00B55C24">
              <w:rPr>
                <w:sz w:val="22"/>
                <w:szCs w:val="22"/>
                <w:lang w:val="en-GB"/>
              </w:rPr>
              <w:t>Patients aged ≥ 80 years</w:t>
            </w:r>
          </w:p>
        </w:tc>
        <w:tc>
          <w:tcPr>
            <w:tcW w:w="2779" w:type="pct"/>
            <w:vMerge w:val="restart"/>
            <w:tcBorders>
              <w:top w:val="single" w:sz="4" w:space="0" w:color="auto"/>
              <w:left w:val="single" w:sz="4" w:space="0" w:color="auto"/>
              <w:bottom w:val="nil"/>
              <w:right w:val="single" w:sz="4" w:space="0" w:color="auto"/>
            </w:tcBorders>
            <w:vAlign w:val="center"/>
            <w:hideMark/>
          </w:tcPr>
          <w:p w14:paraId="72BE842B" w14:textId="77777777" w:rsidR="00E607F1" w:rsidRPr="00B55C24" w:rsidRDefault="00E607F1" w:rsidP="004A5906">
            <w:pPr>
              <w:rPr>
                <w:sz w:val="22"/>
                <w:szCs w:val="22"/>
                <w:lang w:val="en-GB"/>
              </w:rPr>
            </w:pPr>
            <w:r w:rsidRPr="00B55C24">
              <w:rPr>
                <w:sz w:val="22"/>
                <w:szCs w:val="22"/>
                <w:lang w:val="en-GB"/>
              </w:rPr>
              <w:t xml:space="preserve">daily dose of 220 mg dabigatran </w:t>
            </w:r>
            <w:proofErr w:type="spellStart"/>
            <w:r w:rsidRPr="00B55C24">
              <w:rPr>
                <w:sz w:val="22"/>
                <w:szCs w:val="22"/>
                <w:lang w:val="en-GB"/>
              </w:rPr>
              <w:t>etexilate</w:t>
            </w:r>
            <w:proofErr w:type="spellEnd"/>
            <w:r w:rsidRPr="00B55C24">
              <w:rPr>
                <w:sz w:val="22"/>
                <w:szCs w:val="22"/>
                <w:lang w:val="en-GB"/>
              </w:rPr>
              <w:t xml:space="preserve"> taken as one 110 mg capsule twice daily</w:t>
            </w:r>
          </w:p>
        </w:tc>
      </w:tr>
      <w:tr w:rsidR="00E607F1" w:rsidRPr="00D476B2" w14:paraId="66EC39B9" w14:textId="77777777" w:rsidTr="004A5906">
        <w:trPr>
          <w:trHeight w:val="57"/>
          <w:jc w:val="center"/>
        </w:trPr>
        <w:tc>
          <w:tcPr>
            <w:tcW w:w="2221" w:type="pct"/>
            <w:tcBorders>
              <w:top w:val="single" w:sz="4" w:space="0" w:color="auto"/>
              <w:left w:val="single" w:sz="4" w:space="0" w:color="auto"/>
              <w:bottom w:val="nil"/>
              <w:right w:val="nil"/>
            </w:tcBorders>
            <w:hideMark/>
          </w:tcPr>
          <w:p w14:paraId="0B744AC9" w14:textId="77777777" w:rsidR="00E607F1" w:rsidRPr="00B55C24" w:rsidRDefault="00E607F1" w:rsidP="004A5906">
            <w:pPr>
              <w:rPr>
                <w:sz w:val="22"/>
                <w:szCs w:val="22"/>
                <w:lang w:val="en-GB"/>
              </w:rPr>
            </w:pPr>
            <w:r w:rsidRPr="00B55C24">
              <w:rPr>
                <w:sz w:val="22"/>
                <w:szCs w:val="22"/>
                <w:lang w:val="en-GB"/>
              </w:rPr>
              <w:t>Patients who receive concomitant verapamil</w:t>
            </w:r>
          </w:p>
        </w:tc>
        <w:tc>
          <w:tcPr>
            <w:tcW w:w="2779" w:type="pct"/>
            <w:vMerge/>
            <w:tcBorders>
              <w:top w:val="single" w:sz="4" w:space="0" w:color="auto"/>
              <w:left w:val="single" w:sz="4" w:space="0" w:color="auto"/>
              <w:bottom w:val="nil"/>
              <w:right w:val="single" w:sz="4" w:space="0" w:color="auto"/>
            </w:tcBorders>
            <w:vAlign w:val="center"/>
            <w:hideMark/>
          </w:tcPr>
          <w:p w14:paraId="0765C967" w14:textId="77777777" w:rsidR="00E607F1" w:rsidRPr="00B55C24" w:rsidRDefault="00E607F1" w:rsidP="004A5906">
            <w:pPr>
              <w:rPr>
                <w:sz w:val="22"/>
                <w:szCs w:val="22"/>
                <w:lang w:val="en-GB"/>
              </w:rPr>
            </w:pPr>
          </w:p>
        </w:tc>
      </w:tr>
      <w:tr w:rsidR="00E607F1" w:rsidRPr="00B55C24" w14:paraId="06A67B56" w14:textId="77777777" w:rsidTr="004A5906">
        <w:trPr>
          <w:trHeight w:val="57"/>
          <w:jc w:val="center"/>
        </w:trPr>
        <w:tc>
          <w:tcPr>
            <w:tcW w:w="2221" w:type="pct"/>
            <w:tcBorders>
              <w:top w:val="single" w:sz="4" w:space="0" w:color="auto"/>
              <w:left w:val="single" w:sz="4" w:space="0" w:color="auto"/>
              <w:bottom w:val="nil"/>
              <w:right w:val="nil"/>
            </w:tcBorders>
            <w:vAlign w:val="center"/>
            <w:hideMark/>
          </w:tcPr>
          <w:p w14:paraId="0F6F6F16" w14:textId="77777777" w:rsidR="00E607F1" w:rsidRPr="00B55C24" w:rsidRDefault="00E607F1" w:rsidP="004A5906">
            <w:pPr>
              <w:rPr>
                <w:sz w:val="22"/>
                <w:szCs w:val="22"/>
                <w:lang w:val="en-GB"/>
              </w:rPr>
            </w:pPr>
            <w:r w:rsidRPr="00B55C24">
              <w:rPr>
                <w:b/>
                <w:bCs/>
                <w:i/>
                <w:iCs/>
                <w:sz w:val="22"/>
                <w:szCs w:val="22"/>
                <w:u w:val="single"/>
                <w:lang w:val="en-GB"/>
              </w:rPr>
              <w:t>Dose reduction for consideration</w:t>
            </w:r>
          </w:p>
        </w:tc>
        <w:tc>
          <w:tcPr>
            <w:tcW w:w="2779" w:type="pct"/>
            <w:tcBorders>
              <w:top w:val="single" w:sz="4" w:space="0" w:color="auto"/>
              <w:left w:val="single" w:sz="4" w:space="0" w:color="auto"/>
              <w:bottom w:val="nil"/>
              <w:right w:val="single" w:sz="4" w:space="0" w:color="auto"/>
            </w:tcBorders>
          </w:tcPr>
          <w:p w14:paraId="410562A7" w14:textId="77777777" w:rsidR="00E607F1" w:rsidRPr="00B55C24" w:rsidRDefault="00E607F1" w:rsidP="004A5906">
            <w:pPr>
              <w:rPr>
                <w:sz w:val="22"/>
                <w:szCs w:val="22"/>
                <w:lang w:val="en-GB"/>
              </w:rPr>
            </w:pPr>
          </w:p>
        </w:tc>
      </w:tr>
      <w:tr w:rsidR="00E607F1" w:rsidRPr="00D476B2" w14:paraId="3C90A25F" w14:textId="77777777" w:rsidTr="004A5906">
        <w:trPr>
          <w:trHeight w:val="57"/>
          <w:jc w:val="center"/>
        </w:trPr>
        <w:tc>
          <w:tcPr>
            <w:tcW w:w="2221" w:type="pct"/>
            <w:tcBorders>
              <w:top w:val="single" w:sz="4" w:space="0" w:color="auto"/>
              <w:left w:val="single" w:sz="4" w:space="0" w:color="auto"/>
              <w:bottom w:val="nil"/>
              <w:right w:val="nil"/>
            </w:tcBorders>
            <w:hideMark/>
          </w:tcPr>
          <w:p w14:paraId="3BD63D7A" w14:textId="77777777" w:rsidR="00E607F1" w:rsidRPr="00B55C24" w:rsidRDefault="00E607F1" w:rsidP="004A5906">
            <w:pPr>
              <w:rPr>
                <w:sz w:val="22"/>
                <w:szCs w:val="22"/>
                <w:lang w:val="en-GB"/>
              </w:rPr>
            </w:pPr>
            <w:r w:rsidRPr="00B55C24">
              <w:rPr>
                <w:sz w:val="22"/>
                <w:szCs w:val="22"/>
                <w:lang w:val="en-GB"/>
              </w:rPr>
              <w:t>Patients between 75</w:t>
            </w:r>
            <w:r w:rsidRPr="00B55C24">
              <w:rPr>
                <w:sz w:val="22"/>
                <w:szCs w:val="22"/>
                <w:lang w:val="en-GB"/>
              </w:rPr>
              <w:noBreakHyphen/>
              <w:t>80 years</w:t>
            </w:r>
          </w:p>
        </w:tc>
        <w:tc>
          <w:tcPr>
            <w:tcW w:w="2779" w:type="pct"/>
            <w:vMerge w:val="restart"/>
            <w:tcBorders>
              <w:top w:val="single" w:sz="4" w:space="0" w:color="auto"/>
              <w:left w:val="single" w:sz="4" w:space="0" w:color="auto"/>
              <w:bottom w:val="single" w:sz="4" w:space="0" w:color="auto"/>
              <w:right w:val="single" w:sz="4" w:space="0" w:color="auto"/>
            </w:tcBorders>
            <w:vAlign w:val="center"/>
            <w:hideMark/>
          </w:tcPr>
          <w:p w14:paraId="250143BE" w14:textId="77777777" w:rsidR="00E607F1" w:rsidRPr="00B55C24" w:rsidRDefault="00E607F1" w:rsidP="004A5906">
            <w:pPr>
              <w:rPr>
                <w:sz w:val="22"/>
                <w:szCs w:val="22"/>
                <w:lang w:val="en-GB"/>
              </w:rPr>
            </w:pPr>
            <w:r w:rsidRPr="00B55C24">
              <w:rPr>
                <w:sz w:val="22"/>
                <w:szCs w:val="22"/>
                <w:lang w:val="en-GB"/>
              </w:rPr>
              <w:t xml:space="preserve">daily dose of dabigatran </w:t>
            </w:r>
            <w:proofErr w:type="spellStart"/>
            <w:r w:rsidRPr="00B55C24">
              <w:rPr>
                <w:sz w:val="22"/>
                <w:szCs w:val="22"/>
                <w:lang w:val="en-GB"/>
              </w:rPr>
              <w:t>etexilate</w:t>
            </w:r>
            <w:proofErr w:type="spellEnd"/>
            <w:r w:rsidRPr="00B55C24">
              <w:rPr>
                <w:sz w:val="22"/>
                <w:szCs w:val="22"/>
                <w:lang w:val="en-GB"/>
              </w:rPr>
              <w:t xml:space="preserve"> of 300 mg or 220 mg should be selected based on an individual assessment of the thromboembolic risk and the risk of bleeding</w:t>
            </w:r>
          </w:p>
        </w:tc>
      </w:tr>
      <w:tr w:rsidR="00E607F1" w:rsidRPr="00D476B2" w14:paraId="1D0CE0A4" w14:textId="77777777" w:rsidTr="004A5906">
        <w:trPr>
          <w:trHeight w:val="57"/>
          <w:jc w:val="center"/>
        </w:trPr>
        <w:tc>
          <w:tcPr>
            <w:tcW w:w="2221" w:type="pct"/>
            <w:tcBorders>
              <w:top w:val="single" w:sz="4" w:space="0" w:color="auto"/>
              <w:left w:val="single" w:sz="4" w:space="0" w:color="auto"/>
              <w:bottom w:val="nil"/>
              <w:right w:val="nil"/>
            </w:tcBorders>
            <w:hideMark/>
          </w:tcPr>
          <w:p w14:paraId="13B1E1E5" w14:textId="77777777" w:rsidR="00E607F1" w:rsidRPr="00B55C24" w:rsidRDefault="00E607F1" w:rsidP="004A5906">
            <w:pPr>
              <w:rPr>
                <w:sz w:val="22"/>
                <w:szCs w:val="22"/>
                <w:lang w:val="en-GB"/>
              </w:rPr>
            </w:pPr>
            <w:r w:rsidRPr="00B55C24">
              <w:rPr>
                <w:sz w:val="22"/>
                <w:szCs w:val="22"/>
                <w:lang w:val="en-GB"/>
              </w:rPr>
              <w:t>Patients with moderate renal impairment (</w:t>
            </w:r>
            <w:proofErr w:type="spellStart"/>
            <w:r w:rsidRPr="00B55C24">
              <w:rPr>
                <w:sz w:val="22"/>
                <w:szCs w:val="22"/>
                <w:lang w:val="en-GB"/>
              </w:rPr>
              <w:t>CrCL</w:t>
            </w:r>
            <w:proofErr w:type="spellEnd"/>
            <w:r w:rsidRPr="00B55C24">
              <w:rPr>
                <w:sz w:val="22"/>
                <w:szCs w:val="22"/>
                <w:lang w:val="en-GB"/>
              </w:rPr>
              <w:t xml:space="preserve"> 30</w:t>
            </w:r>
            <w:r w:rsidRPr="00B55C24">
              <w:rPr>
                <w:sz w:val="22"/>
                <w:szCs w:val="22"/>
                <w:lang w:val="en-GB"/>
              </w:rPr>
              <w:noBreakHyphen/>
              <w:t>50 mL/min)</w:t>
            </w:r>
          </w:p>
        </w:tc>
        <w:tc>
          <w:tcPr>
            <w:tcW w:w="2779" w:type="pct"/>
            <w:vMerge/>
            <w:tcBorders>
              <w:top w:val="single" w:sz="4" w:space="0" w:color="auto"/>
              <w:left w:val="single" w:sz="4" w:space="0" w:color="auto"/>
              <w:bottom w:val="single" w:sz="4" w:space="0" w:color="auto"/>
              <w:right w:val="single" w:sz="4" w:space="0" w:color="auto"/>
            </w:tcBorders>
            <w:vAlign w:val="center"/>
            <w:hideMark/>
          </w:tcPr>
          <w:p w14:paraId="2A33B754" w14:textId="77777777" w:rsidR="00E607F1" w:rsidRPr="00B55C24" w:rsidRDefault="00E607F1" w:rsidP="004A5906">
            <w:pPr>
              <w:rPr>
                <w:sz w:val="22"/>
                <w:szCs w:val="22"/>
                <w:lang w:val="en-GB"/>
              </w:rPr>
            </w:pPr>
          </w:p>
        </w:tc>
      </w:tr>
      <w:tr w:rsidR="00E607F1" w:rsidRPr="00D476B2" w14:paraId="67AD1F61" w14:textId="77777777" w:rsidTr="004A5906">
        <w:trPr>
          <w:trHeight w:val="57"/>
          <w:jc w:val="center"/>
        </w:trPr>
        <w:tc>
          <w:tcPr>
            <w:tcW w:w="2221" w:type="pct"/>
            <w:tcBorders>
              <w:top w:val="single" w:sz="4" w:space="0" w:color="auto"/>
              <w:left w:val="single" w:sz="4" w:space="0" w:color="auto"/>
              <w:bottom w:val="nil"/>
              <w:right w:val="nil"/>
            </w:tcBorders>
            <w:hideMark/>
          </w:tcPr>
          <w:p w14:paraId="1212C63A" w14:textId="77777777" w:rsidR="00E607F1" w:rsidRPr="00B55C24" w:rsidRDefault="00E607F1" w:rsidP="004A5906">
            <w:pPr>
              <w:rPr>
                <w:sz w:val="22"/>
                <w:szCs w:val="22"/>
                <w:lang w:val="en-GB"/>
              </w:rPr>
            </w:pPr>
            <w:r w:rsidRPr="00B55C24">
              <w:rPr>
                <w:sz w:val="22"/>
                <w:szCs w:val="22"/>
                <w:lang w:val="en-GB"/>
              </w:rPr>
              <w:t>Patients with gastritis, esophagitis or gastroesophageal reflux</w:t>
            </w:r>
          </w:p>
        </w:tc>
        <w:tc>
          <w:tcPr>
            <w:tcW w:w="2779" w:type="pct"/>
            <w:vMerge/>
            <w:tcBorders>
              <w:top w:val="single" w:sz="4" w:space="0" w:color="auto"/>
              <w:left w:val="single" w:sz="4" w:space="0" w:color="auto"/>
              <w:bottom w:val="single" w:sz="4" w:space="0" w:color="auto"/>
              <w:right w:val="single" w:sz="4" w:space="0" w:color="auto"/>
            </w:tcBorders>
            <w:vAlign w:val="center"/>
            <w:hideMark/>
          </w:tcPr>
          <w:p w14:paraId="754B5FF5" w14:textId="77777777" w:rsidR="00E607F1" w:rsidRPr="00B55C24" w:rsidRDefault="00E607F1" w:rsidP="004A5906">
            <w:pPr>
              <w:rPr>
                <w:sz w:val="22"/>
                <w:szCs w:val="22"/>
                <w:lang w:val="en-GB"/>
              </w:rPr>
            </w:pPr>
          </w:p>
        </w:tc>
      </w:tr>
      <w:tr w:rsidR="00E607F1" w:rsidRPr="00D476B2" w14:paraId="794607EF" w14:textId="77777777" w:rsidTr="004A5906">
        <w:trPr>
          <w:trHeight w:val="57"/>
          <w:jc w:val="center"/>
        </w:trPr>
        <w:tc>
          <w:tcPr>
            <w:tcW w:w="2221" w:type="pct"/>
            <w:tcBorders>
              <w:top w:val="single" w:sz="4" w:space="0" w:color="auto"/>
              <w:left w:val="single" w:sz="4" w:space="0" w:color="auto"/>
              <w:bottom w:val="single" w:sz="4" w:space="0" w:color="auto"/>
              <w:right w:val="nil"/>
            </w:tcBorders>
            <w:hideMark/>
          </w:tcPr>
          <w:p w14:paraId="7799C34C" w14:textId="77777777" w:rsidR="00E607F1" w:rsidRPr="00B55C24" w:rsidRDefault="00E607F1" w:rsidP="004A5906">
            <w:pPr>
              <w:rPr>
                <w:sz w:val="22"/>
                <w:szCs w:val="22"/>
                <w:lang w:val="en-GB"/>
              </w:rPr>
            </w:pPr>
            <w:r w:rsidRPr="00B55C24">
              <w:rPr>
                <w:sz w:val="22"/>
                <w:szCs w:val="22"/>
                <w:lang w:val="en-GB"/>
              </w:rPr>
              <w:t>Other patients at increased risk of bleeding</w:t>
            </w:r>
          </w:p>
        </w:tc>
        <w:tc>
          <w:tcPr>
            <w:tcW w:w="2779" w:type="pct"/>
            <w:vMerge/>
            <w:tcBorders>
              <w:top w:val="single" w:sz="4" w:space="0" w:color="auto"/>
              <w:left w:val="single" w:sz="4" w:space="0" w:color="auto"/>
              <w:bottom w:val="single" w:sz="4" w:space="0" w:color="auto"/>
              <w:right w:val="single" w:sz="4" w:space="0" w:color="auto"/>
            </w:tcBorders>
            <w:vAlign w:val="center"/>
            <w:hideMark/>
          </w:tcPr>
          <w:p w14:paraId="60E62C80" w14:textId="77777777" w:rsidR="00E607F1" w:rsidRPr="00B55C24" w:rsidRDefault="00E607F1" w:rsidP="004A5906">
            <w:pPr>
              <w:rPr>
                <w:sz w:val="22"/>
                <w:szCs w:val="22"/>
                <w:lang w:val="en-GB"/>
              </w:rPr>
            </w:pPr>
          </w:p>
        </w:tc>
      </w:tr>
    </w:tbl>
    <w:p w14:paraId="229A79F4" w14:textId="77777777" w:rsidR="00B55C24" w:rsidRDefault="00B55C24" w:rsidP="004A5906">
      <w:pPr>
        <w:ind w:left="851"/>
        <w:rPr>
          <w:sz w:val="24"/>
          <w:szCs w:val="24"/>
          <w:lang w:val="en-GB"/>
        </w:rPr>
      </w:pPr>
    </w:p>
    <w:p w14:paraId="0EAB4913" w14:textId="5EF97215" w:rsidR="00E607F1" w:rsidRPr="00B55C24" w:rsidRDefault="00E607F1" w:rsidP="004A5906">
      <w:pPr>
        <w:ind w:left="851"/>
        <w:rPr>
          <w:sz w:val="24"/>
          <w:szCs w:val="24"/>
          <w:lang w:val="en-GB"/>
        </w:rPr>
      </w:pPr>
      <w:r w:rsidRPr="00B55C24">
        <w:rPr>
          <w:sz w:val="24"/>
          <w:szCs w:val="24"/>
          <w:lang w:val="en-GB"/>
        </w:rPr>
        <w:t xml:space="preserve">For DVT/PE the recommendation for the use of 220 mg dabigatran </w:t>
      </w:r>
      <w:proofErr w:type="spellStart"/>
      <w:r w:rsidRPr="00B55C24">
        <w:rPr>
          <w:sz w:val="24"/>
          <w:szCs w:val="24"/>
          <w:lang w:val="en-GB"/>
        </w:rPr>
        <w:t>etexilate</w:t>
      </w:r>
      <w:proofErr w:type="spellEnd"/>
      <w:r w:rsidRPr="00B55C24">
        <w:rPr>
          <w:sz w:val="24"/>
          <w:szCs w:val="24"/>
          <w:lang w:val="en-GB"/>
        </w:rPr>
        <w:t xml:space="preserve"> taken as one 110 mg capsule twice daily is based on pharmacokinetic and pharmacodynamic analyses and has not been studied in this clinical setting. See further down and sections 4.4, 4.5, 5.1 and 5.2.</w:t>
      </w:r>
    </w:p>
    <w:p w14:paraId="5C1F0B15" w14:textId="77777777" w:rsidR="00E607F1" w:rsidRPr="00B55C24" w:rsidRDefault="00E607F1" w:rsidP="004A5906">
      <w:pPr>
        <w:ind w:left="851"/>
        <w:rPr>
          <w:sz w:val="24"/>
          <w:szCs w:val="24"/>
          <w:lang w:val="en-GB"/>
        </w:rPr>
      </w:pPr>
    </w:p>
    <w:p w14:paraId="2DF912C6" w14:textId="77777777" w:rsidR="00E607F1" w:rsidRPr="00B55C24" w:rsidRDefault="00E607F1" w:rsidP="004A5906">
      <w:pPr>
        <w:ind w:left="851"/>
        <w:rPr>
          <w:sz w:val="24"/>
          <w:szCs w:val="24"/>
          <w:lang w:val="en-GB"/>
        </w:rPr>
      </w:pPr>
      <w:r w:rsidRPr="00B55C24">
        <w:rPr>
          <w:sz w:val="24"/>
          <w:szCs w:val="24"/>
          <w:lang w:val="en-GB"/>
        </w:rPr>
        <w:t xml:space="preserve">In case of intolerability to dabigatran </w:t>
      </w:r>
      <w:proofErr w:type="spellStart"/>
      <w:r w:rsidRPr="00B55C24">
        <w:rPr>
          <w:sz w:val="24"/>
          <w:szCs w:val="24"/>
          <w:lang w:val="en-GB"/>
        </w:rPr>
        <w:t>etexilate</w:t>
      </w:r>
      <w:proofErr w:type="spellEnd"/>
      <w:r w:rsidRPr="00B55C24">
        <w:rPr>
          <w:sz w:val="24"/>
          <w:szCs w:val="24"/>
          <w:lang w:val="en-GB"/>
        </w:rPr>
        <w:t xml:space="preserve">, patients should be instructed to immediately consult their treating physician </w:t>
      </w:r>
      <w:proofErr w:type="gramStart"/>
      <w:r w:rsidRPr="00B55C24">
        <w:rPr>
          <w:sz w:val="24"/>
          <w:szCs w:val="24"/>
          <w:lang w:val="en-GB"/>
        </w:rPr>
        <w:t>in order to</w:t>
      </w:r>
      <w:proofErr w:type="gramEnd"/>
      <w:r w:rsidRPr="00B55C24">
        <w:rPr>
          <w:sz w:val="24"/>
          <w:szCs w:val="24"/>
          <w:lang w:val="en-GB"/>
        </w:rPr>
        <w:t xml:space="preserve"> be switched to alternate acceptable treatment options for prevention of stroke and systemic embolism associated with atrial fibrillation or for DVT/PE.</w:t>
      </w:r>
    </w:p>
    <w:p w14:paraId="47521038" w14:textId="5C1B5209" w:rsidR="00322951" w:rsidRDefault="00322951">
      <w:pPr>
        <w:rPr>
          <w:sz w:val="24"/>
          <w:szCs w:val="24"/>
          <w:lang w:val="en-GB"/>
        </w:rPr>
      </w:pPr>
      <w:r>
        <w:rPr>
          <w:sz w:val="24"/>
          <w:szCs w:val="24"/>
          <w:lang w:val="en-GB"/>
        </w:rPr>
        <w:br w:type="page"/>
      </w:r>
    </w:p>
    <w:p w14:paraId="1F271337" w14:textId="77777777" w:rsidR="00E607F1" w:rsidRPr="00B55C24" w:rsidRDefault="00E607F1" w:rsidP="004A5906">
      <w:pPr>
        <w:ind w:left="851"/>
        <w:rPr>
          <w:sz w:val="24"/>
          <w:szCs w:val="24"/>
          <w:lang w:val="en-GB"/>
        </w:rPr>
      </w:pPr>
    </w:p>
    <w:p w14:paraId="32450977" w14:textId="77777777" w:rsidR="00E607F1" w:rsidRPr="00B55C24" w:rsidRDefault="00E607F1" w:rsidP="004A5906">
      <w:pPr>
        <w:ind w:left="851"/>
        <w:rPr>
          <w:sz w:val="24"/>
          <w:szCs w:val="24"/>
          <w:lang w:val="en-GB"/>
        </w:rPr>
      </w:pPr>
      <w:r w:rsidRPr="00B55C24">
        <w:rPr>
          <w:i/>
          <w:iCs/>
          <w:sz w:val="24"/>
          <w:szCs w:val="24"/>
          <w:u w:val="single"/>
          <w:lang w:val="en-GB"/>
        </w:rPr>
        <w:t xml:space="preserve">Assessment of renal function prior to and during dabigatran </w:t>
      </w:r>
      <w:proofErr w:type="spellStart"/>
      <w:r w:rsidRPr="00B55C24">
        <w:rPr>
          <w:i/>
          <w:iCs/>
          <w:sz w:val="24"/>
          <w:szCs w:val="24"/>
          <w:u w:val="single"/>
          <w:lang w:val="en-GB"/>
        </w:rPr>
        <w:t>etexilate</w:t>
      </w:r>
      <w:proofErr w:type="spellEnd"/>
      <w:r w:rsidRPr="00B55C24">
        <w:rPr>
          <w:i/>
          <w:iCs/>
          <w:sz w:val="24"/>
          <w:szCs w:val="24"/>
          <w:u w:val="single"/>
          <w:lang w:val="en-GB"/>
        </w:rPr>
        <w:t xml:space="preserve"> treatment</w:t>
      </w:r>
    </w:p>
    <w:p w14:paraId="1D88DAE5" w14:textId="77777777" w:rsidR="00E607F1" w:rsidRPr="00B55C24" w:rsidRDefault="00E607F1" w:rsidP="004A5906">
      <w:pPr>
        <w:ind w:left="851"/>
        <w:rPr>
          <w:sz w:val="24"/>
          <w:szCs w:val="24"/>
          <w:lang w:val="en-GB"/>
        </w:rPr>
      </w:pPr>
    </w:p>
    <w:p w14:paraId="264253AB" w14:textId="77777777" w:rsidR="00E607F1" w:rsidRPr="00B55C24" w:rsidRDefault="00E607F1" w:rsidP="004A5906">
      <w:pPr>
        <w:ind w:left="851"/>
        <w:rPr>
          <w:sz w:val="24"/>
          <w:szCs w:val="24"/>
          <w:lang w:val="en-GB"/>
        </w:rPr>
      </w:pPr>
      <w:r w:rsidRPr="00B55C24">
        <w:rPr>
          <w:sz w:val="24"/>
          <w:szCs w:val="24"/>
          <w:lang w:val="en-GB"/>
        </w:rPr>
        <w:t>In all patients and especially in the elderly (&gt; 75 years), as renal impairment may be frequent in this age group:</w:t>
      </w:r>
    </w:p>
    <w:p w14:paraId="59907DBE" w14:textId="77777777" w:rsidR="00E607F1" w:rsidRPr="00B55C24" w:rsidRDefault="00E607F1" w:rsidP="00B55C24">
      <w:pPr>
        <w:pStyle w:val="Listeafsnit"/>
        <w:numPr>
          <w:ilvl w:val="0"/>
          <w:numId w:val="11"/>
        </w:numPr>
        <w:ind w:left="1276" w:hanging="425"/>
        <w:rPr>
          <w:sz w:val="24"/>
          <w:szCs w:val="24"/>
          <w:lang w:val="en-GB"/>
        </w:rPr>
      </w:pPr>
      <w:r w:rsidRPr="00B55C24">
        <w:rPr>
          <w:sz w:val="24"/>
          <w:szCs w:val="24"/>
          <w:lang w:val="en-GB"/>
        </w:rPr>
        <w:t>Renal function should be assessed by calculating the creatinine clearance (</w:t>
      </w:r>
      <w:proofErr w:type="spellStart"/>
      <w:r w:rsidRPr="00B55C24">
        <w:rPr>
          <w:sz w:val="24"/>
          <w:szCs w:val="24"/>
          <w:lang w:val="en-GB"/>
        </w:rPr>
        <w:t>CrCL</w:t>
      </w:r>
      <w:proofErr w:type="spellEnd"/>
      <w:r w:rsidRPr="00B55C24">
        <w:rPr>
          <w:sz w:val="24"/>
          <w:szCs w:val="24"/>
          <w:lang w:val="en-GB"/>
        </w:rPr>
        <w:t xml:space="preserve">) prior to initiation of treatment with dabigatran </w:t>
      </w:r>
      <w:proofErr w:type="spellStart"/>
      <w:r w:rsidRPr="00B55C24">
        <w:rPr>
          <w:sz w:val="24"/>
          <w:szCs w:val="24"/>
          <w:lang w:val="en-GB"/>
        </w:rPr>
        <w:t>etexilate</w:t>
      </w:r>
      <w:proofErr w:type="spellEnd"/>
      <w:r w:rsidRPr="00B55C24">
        <w:rPr>
          <w:sz w:val="24"/>
          <w:szCs w:val="24"/>
          <w:lang w:val="en-GB"/>
        </w:rPr>
        <w:t xml:space="preserve"> to exclude patients with severe renal impairment (i.e. </w:t>
      </w:r>
      <w:proofErr w:type="spellStart"/>
      <w:r w:rsidRPr="00B55C24">
        <w:rPr>
          <w:sz w:val="24"/>
          <w:szCs w:val="24"/>
          <w:lang w:val="en-GB"/>
        </w:rPr>
        <w:t>CrCL</w:t>
      </w:r>
      <w:proofErr w:type="spellEnd"/>
      <w:r w:rsidRPr="00B55C24">
        <w:rPr>
          <w:sz w:val="24"/>
          <w:szCs w:val="24"/>
          <w:lang w:val="en-GB"/>
        </w:rPr>
        <w:t xml:space="preserve"> &lt; 30 mL/min) (see sections 4.3, 4.4 and 5.2).</w:t>
      </w:r>
    </w:p>
    <w:p w14:paraId="1734CBD3" w14:textId="77777777" w:rsidR="00E607F1" w:rsidRPr="00B55C24" w:rsidRDefault="00E607F1" w:rsidP="00B55C24">
      <w:pPr>
        <w:pStyle w:val="Listeafsnit"/>
        <w:numPr>
          <w:ilvl w:val="0"/>
          <w:numId w:val="11"/>
        </w:numPr>
        <w:ind w:left="1276" w:hanging="425"/>
        <w:rPr>
          <w:sz w:val="24"/>
          <w:szCs w:val="24"/>
          <w:lang w:val="en-GB"/>
        </w:rPr>
      </w:pPr>
      <w:r w:rsidRPr="00B55C24">
        <w:rPr>
          <w:sz w:val="24"/>
          <w:szCs w:val="24"/>
          <w:lang w:val="en-GB"/>
        </w:rPr>
        <w:t>Renal function should also be assessed when a decline in renal function is suspected during treatment (e.g. hypovolaemia, dehydration, and in case of concomitant use of certain medicinal products).</w:t>
      </w:r>
    </w:p>
    <w:p w14:paraId="5F7C2369" w14:textId="77777777" w:rsidR="00E607F1" w:rsidRPr="00B55C24" w:rsidRDefault="00E607F1" w:rsidP="004A5906">
      <w:pPr>
        <w:ind w:left="851"/>
        <w:rPr>
          <w:sz w:val="24"/>
          <w:szCs w:val="24"/>
          <w:lang w:val="en-GB"/>
        </w:rPr>
      </w:pPr>
    </w:p>
    <w:p w14:paraId="3867511B" w14:textId="77777777" w:rsidR="00E607F1" w:rsidRPr="00B55C24" w:rsidRDefault="00E607F1" w:rsidP="004A5906">
      <w:pPr>
        <w:ind w:left="851"/>
        <w:rPr>
          <w:sz w:val="24"/>
          <w:szCs w:val="24"/>
          <w:lang w:val="en-GB"/>
        </w:rPr>
      </w:pPr>
      <w:r w:rsidRPr="00B55C24">
        <w:rPr>
          <w:sz w:val="24"/>
          <w:szCs w:val="24"/>
          <w:lang w:val="en-GB"/>
        </w:rPr>
        <w:t>Additional requirements in patients with mild to moderate renal impairment and in patients aged over 75 years:</w:t>
      </w:r>
    </w:p>
    <w:p w14:paraId="6E9F4A1A" w14:textId="77777777" w:rsidR="00E607F1" w:rsidRPr="00B55C24" w:rsidRDefault="00E607F1" w:rsidP="00B55C24">
      <w:pPr>
        <w:pStyle w:val="Listeafsnit"/>
        <w:numPr>
          <w:ilvl w:val="0"/>
          <w:numId w:val="12"/>
        </w:numPr>
        <w:ind w:left="1276" w:hanging="425"/>
        <w:rPr>
          <w:sz w:val="24"/>
          <w:szCs w:val="24"/>
          <w:lang w:val="en-GB"/>
        </w:rPr>
      </w:pPr>
      <w:r w:rsidRPr="00B55C24">
        <w:rPr>
          <w:sz w:val="24"/>
          <w:szCs w:val="24"/>
          <w:lang w:val="en-GB"/>
        </w:rPr>
        <w:t xml:space="preserve">Renal function should be assessed during treatment with dabigatran </w:t>
      </w:r>
      <w:proofErr w:type="spellStart"/>
      <w:r w:rsidRPr="00B55C24">
        <w:rPr>
          <w:sz w:val="24"/>
          <w:szCs w:val="24"/>
          <w:lang w:val="en-GB"/>
        </w:rPr>
        <w:t>etexilate</w:t>
      </w:r>
      <w:proofErr w:type="spellEnd"/>
      <w:r w:rsidRPr="00B55C24">
        <w:rPr>
          <w:sz w:val="24"/>
          <w:szCs w:val="24"/>
          <w:lang w:val="en-GB"/>
        </w:rPr>
        <w:t xml:space="preserve"> at least once a year or more frequently as needed in certain clinical situations when it is suspected that the renal function could decline or deteriorate (e.g. hypovolaemia, dehydration, and in case of concomitant use of certain medicinal products).</w:t>
      </w:r>
    </w:p>
    <w:p w14:paraId="6FEACAB8" w14:textId="77777777" w:rsidR="00E607F1" w:rsidRPr="00B55C24" w:rsidRDefault="00E607F1" w:rsidP="004A5906">
      <w:pPr>
        <w:ind w:left="851"/>
        <w:rPr>
          <w:sz w:val="24"/>
          <w:szCs w:val="24"/>
          <w:lang w:val="en-GB"/>
        </w:rPr>
      </w:pPr>
    </w:p>
    <w:p w14:paraId="1D6FD7AD" w14:textId="77777777" w:rsidR="00E607F1" w:rsidRPr="00B55C24" w:rsidRDefault="00E607F1" w:rsidP="004A5906">
      <w:pPr>
        <w:ind w:left="851"/>
        <w:rPr>
          <w:sz w:val="24"/>
          <w:szCs w:val="24"/>
          <w:lang w:val="en-GB"/>
        </w:rPr>
      </w:pPr>
      <w:r w:rsidRPr="00B55C24">
        <w:rPr>
          <w:sz w:val="24"/>
          <w:szCs w:val="24"/>
          <w:lang w:val="en-GB"/>
        </w:rPr>
        <w:t>The method to be used to estimate renal function (</w:t>
      </w:r>
      <w:proofErr w:type="spellStart"/>
      <w:r w:rsidRPr="00B55C24">
        <w:rPr>
          <w:sz w:val="24"/>
          <w:szCs w:val="24"/>
          <w:lang w:val="en-GB"/>
        </w:rPr>
        <w:t>CrCL</w:t>
      </w:r>
      <w:proofErr w:type="spellEnd"/>
      <w:r w:rsidRPr="00B55C24">
        <w:rPr>
          <w:sz w:val="24"/>
          <w:szCs w:val="24"/>
          <w:lang w:val="en-GB"/>
        </w:rPr>
        <w:t xml:space="preserve"> in mL/min) is the Cockcroft-Gault method.</w:t>
      </w:r>
    </w:p>
    <w:p w14:paraId="66B1D1CD" w14:textId="77777777" w:rsidR="00E607F1" w:rsidRPr="00B55C24" w:rsidRDefault="00E607F1" w:rsidP="004A5906">
      <w:pPr>
        <w:ind w:left="851"/>
        <w:rPr>
          <w:sz w:val="24"/>
          <w:szCs w:val="24"/>
          <w:lang w:val="en-GB"/>
        </w:rPr>
      </w:pPr>
    </w:p>
    <w:p w14:paraId="4ECA8A07" w14:textId="77777777" w:rsidR="00E607F1" w:rsidRPr="00B55C24" w:rsidRDefault="00E607F1" w:rsidP="004A5906">
      <w:pPr>
        <w:ind w:left="851"/>
        <w:rPr>
          <w:sz w:val="24"/>
          <w:szCs w:val="24"/>
          <w:lang w:val="en-GB"/>
        </w:rPr>
      </w:pPr>
      <w:r w:rsidRPr="00B55C24">
        <w:rPr>
          <w:i/>
          <w:iCs/>
          <w:sz w:val="24"/>
          <w:szCs w:val="24"/>
          <w:u w:val="single"/>
          <w:lang w:val="en-GB"/>
        </w:rPr>
        <w:t>Duration of use</w:t>
      </w:r>
    </w:p>
    <w:p w14:paraId="4B1DFF3E" w14:textId="77777777" w:rsidR="00E607F1" w:rsidRPr="00B55C24" w:rsidRDefault="00E607F1" w:rsidP="004A5906">
      <w:pPr>
        <w:ind w:left="851"/>
        <w:rPr>
          <w:sz w:val="24"/>
          <w:szCs w:val="24"/>
          <w:lang w:val="en-GB"/>
        </w:rPr>
      </w:pPr>
    </w:p>
    <w:p w14:paraId="58D5B90D" w14:textId="77777777" w:rsidR="00E607F1" w:rsidRPr="00B55C24" w:rsidRDefault="00E607F1" w:rsidP="004A5906">
      <w:pPr>
        <w:ind w:left="851"/>
        <w:rPr>
          <w:sz w:val="24"/>
          <w:szCs w:val="24"/>
          <w:lang w:val="en-GB"/>
        </w:rPr>
      </w:pPr>
      <w:r w:rsidRPr="00B55C24">
        <w:rPr>
          <w:sz w:val="24"/>
          <w:szCs w:val="24"/>
          <w:lang w:val="en-GB"/>
        </w:rPr>
        <w:t xml:space="preserve">The duration of use of dabigatran </w:t>
      </w:r>
      <w:proofErr w:type="spellStart"/>
      <w:r w:rsidRPr="00B55C24">
        <w:rPr>
          <w:sz w:val="24"/>
          <w:szCs w:val="24"/>
          <w:lang w:val="en-GB"/>
        </w:rPr>
        <w:t>etexilate</w:t>
      </w:r>
      <w:proofErr w:type="spellEnd"/>
      <w:r w:rsidRPr="00B55C24">
        <w:rPr>
          <w:sz w:val="24"/>
          <w:szCs w:val="24"/>
          <w:lang w:val="en-GB"/>
        </w:rPr>
        <w:t xml:space="preserve"> in the indications SPAF, DVT and PE are shown in table 2.</w:t>
      </w:r>
    </w:p>
    <w:p w14:paraId="1A290529" w14:textId="77777777" w:rsidR="00E607F1" w:rsidRPr="00B55C24" w:rsidRDefault="00E607F1" w:rsidP="004A5906">
      <w:pPr>
        <w:ind w:left="851"/>
        <w:rPr>
          <w:sz w:val="24"/>
          <w:szCs w:val="24"/>
          <w:lang w:val="en-GB"/>
        </w:rPr>
      </w:pPr>
    </w:p>
    <w:p w14:paraId="32B7BCC7"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 Duration of use for SPAF and DVT/PE</w:t>
      </w:r>
    </w:p>
    <w:p w14:paraId="4DD1F1B0"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319"/>
        <w:gridCol w:w="8309"/>
      </w:tblGrid>
      <w:tr w:rsidR="00E607F1" w:rsidRPr="00B55C24" w14:paraId="6584B2D3" w14:textId="77777777" w:rsidTr="004A5906">
        <w:trPr>
          <w:trHeight w:val="57"/>
          <w:jc w:val="center"/>
        </w:trPr>
        <w:tc>
          <w:tcPr>
            <w:tcW w:w="685" w:type="pct"/>
            <w:tcBorders>
              <w:top w:val="single" w:sz="4" w:space="0" w:color="auto"/>
              <w:left w:val="single" w:sz="4" w:space="0" w:color="auto"/>
              <w:bottom w:val="single" w:sz="4" w:space="0" w:color="auto"/>
              <w:right w:val="nil"/>
            </w:tcBorders>
            <w:hideMark/>
          </w:tcPr>
          <w:p w14:paraId="0A31CD26" w14:textId="77777777" w:rsidR="00E607F1" w:rsidRPr="00B55C24" w:rsidRDefault="00E607F1" w:rsidP="004A5906">
            <w:pPr>
              <w:rPr>
                <w:b/>
                <w:bCs/>
                <w:sz w:val="24"/>
                <w:szCs w:val="24"/>
                <w:lang w:val="en-GB"/>
              </w:rPr>
            </w:pPr>
            <w:r w:rsidRPr="00B55C24">
              <w:rPr>
                <w:b/>
                <w:bCs/>
                <w:sz w:val="24"/>
                <w:szCs w:val="24"/>
                <w:lang w:val="en-GB"/>
              </w:rPr>
              <w:t>Indication</w:t>
            </w:r>
          </w:p>
        </w:tc>
        <w:tc>
          <w:tcPr>
            <w:tcW w:w="4315" w:type="pct"/>
            <w:tcBorders>
              <w:top w:val="single" w:sz="4" w:space="0" w:color="auto"/>
              <w:left w:val="single" w:sz="4" w:space="0" w:color="auto"/>
              <w:bottom w:val="single" w:sz="4" w:space="0" w:color="auto"/>
              <w:right w:val="single" w:sz="4" w:space="0" w:color="auto"/>
            </w:tcBorders>
            <w:hideMark/>
          </w:tcPr>
          <w:p w14:paraId="3397E6F9" w14:textId="77777777" w:rsidR="00E607F1" w:rsidRPr="00B55C24" w:rsidRDefault="00E607F1" w:rsidP="004A5906">
            <w:pPr>
              <w:rPr>
                <w:b/>
                <w:bCs/>
                <w:sz w:val="24"/>
                <w:szCs w:val="24"/>
                <w:lang w:val="en-GB"/>
              </w:rPr>
            </w:pPr>
            <w:r w:rsidRPr="00B55C24">
              <w:rPr>
                <w:b/>
                <w:bCs/>
                <w:sz w:val="24"/>
                <w:szCs w:val="24"/>
                <w:lang w:val="en-GB"/>
              </w:rPr>
              <w:t>Duration of use</w:t>
            </w:r>
          </w:p>
        </w:tc>
      </w:tr>
      <w:tr w:rsidR="00E607F1" w:rsidRPr="00D476B2" w14:paraId="07A15649" w14:textId="77777777" w:rsidTr="004A5906">
        <w:trPr>
          <w:trHeight w:val="57"/>
          <w:jc w:val="center"/>
        </w:trPr>
        <w:tc>
          <w:tcPr>
            <w:tcW w:w="685" w:type="pct"/>
            <w:tcBorders>
              <w:top w:val="single" w:sz="4" w:space="0" w:color="auto"/>
              <w:left w:val="single" w:sz="4" w:space="0" w:color="auto"/>
              <w:bottom w:val="single" w:sz="4" w:space="0" w:color="auto"/>
              <w:right w:val="nil"/>
            </w:tcBorders>
            <w:hideMark/>
          </w:tcPr>
          <w:p w14:paraId="2ECD36B9" w14:textId="77777777" w:rsidR="00E607F1" w:rsidRPr="00B55C24" w:rsidRDefault="00E607F1" w:rsidP="004A5906">
            <w:pPr>
              <w:rPr>
                <w:sz w:val="24"/>
                <w:szCs w:val="24"/>
                <w:lang w:val="en-GB"/>
              </w:rPr>
            </w:pPr>
            <w:r w:rsidRPr="00B55C24">
              <w:rPr>
                <w:sz w:val="24"/>
                <w:szCs w:val="24"/>
                <w:lang w:val="en-GB"/>
              </w:rPr>
              <w:t>SPAF</w:t>
            </w:r>
          </w:p>
        </w:tc>
        <w:tc>
          <w:tcPr>
            <w:tcW w:w="4315" w:type="pct"/>
            <w:tcBorders>
              <w:top w:val="single" w:sz="4" w:space="0" w:color="auto"/>
              <w:left w:val="single" w:sz="4" w:space="0" w:color="auto"/>
              <w:bottom w:val="single" w:sz="4" w:space="0" w:color="auto"/>
              <w:right w:val="single" w:sz="4" w:space="0" w:color="auto"/>
            </w:tcBorders>
            <w:hideMark/>
          </w:tcPr>
          <w:p w14:paraId="11B92A88" w14:textId="77777777" w:rsidR="00E607F1" w:rsidRPr="00B55C24" w:rsidRDefault="00E607F1" w:rsidP="004A5906">
            <w:pPr>
              <w:rPr>
                <w:sz w:val="24"/>
                <w:szCs w:val="24"/>
                <w:lang w:val="en-GB"/>
              </w:rPr>
            </w:pPr>
            <w:r w:rsidRPr="00B55C24">
              <w:rPr>
                <w:sz w:val="24"/>
                <w:szCs w:val="24"/>
                <w:lang w:val="en-GB"/>
              </w:rPr>
              <w:t>Therapy should be continued long term.</w:t>
            </w:r>
          </w:p>
        </w:tc>
      </w:tr>
      <w:tr w:rsidR="00E607F1" w:rsidRPr="00D476B2" w14:paraId="0D3A7042" w14:textId="77777777" w:rsidTr="004A5906">
        <w:trPr>
          <w:trHeight w:val="57"/>
          <w:jc w:val="center"/>
        </w:trPr>
        <w:tc>
          <w:tcPr>
            <w:tcW w:w="685" w:type="pct"/>
            <w:tcBorders>
              <w:top w:val="single" w:sz="4" w:space="0" w:color="auto"/>
              <w:left w:val="single" w:sz="4" w:space="0" w:color="auto"/>
              <w:bottom w:val="single" w:sz="4" w:space="0" w:color="auto"/>
              <w:right w:val="nil"/>
            </w:tcBorders>
            <w:hideMark/>
          </w:tcPr>
          <w:p w14:paraId="5377EECF" w14:textId="77777777" w:rsidR="00E607F1" w:rsidRPr="00B55C24" w:rsidRDefault="00E607F1" w:rsidP="004A5906">
            <w:pPr>
              <w:rPr>
                <w:sz w:val="24"/>
                <w:szCs w:val="24"/>
                <w:lang w:val="en-GB"/>
              </w:rPr>
            </w:pPr>
            <w:r w:rsidRPr="00B55C24">
              <w:rPr>
                <w:sz w:val="24"/>
                <w:szCs w:val="24"/>
                <w:lang w:val="en-GB"/>
              </w:rPr>
              <w:t>DVT/PE</w:t>
            </w:r>
          </w:p>
        </w:tc>
        <w:tc>
          <w:tcPr>
            <w:tcW w:w="4315" w:type="pct"/>
            <w:tcBorders>
              <w:top w:val="single" w:sz="4" w:space="0" w:color="auto"/>
              <w:left w:val="single" w:sz="4" w:space="0" w:color="auto"/>
              <w:bottom w:val="single" w:sz="4" w:space="0" w:color="auto"/>
              <w:right w:val="single" w:sz="4" w:space="0" w:color="auto"/>
            </w:tcBorders>
            <w:hideMark/>
          </w:tcPr>
          <w:p w14:paraId="3B114F32" w14:textId="77777777" w:rsidR="00E607F1" w:rsidRPr="00B55C24" w:rsidRDefault="00E607F1" w:rsidP="004A5906">
            <w:pPr>
              <w:rPr>
                <w:sz w:val="24"/>
                <w:szCs w:val="24"/>
                <w:lang w:val="en-GB"/>
              </w:rPr>
            </w:pPr>
            <w:r w:rsidRPr="00B55C24">
              <w:rPr>
                <w:sz w:val="24"/>
                <w:szCs w:val="24"/>
                <w:lang w:val="en-GB"/>
              </w:rPr>
              <w:t>The duration of therapy should be individualised after careful assessment of the treatment benefit against the risk for bleeding (see section 4.4).</w:t>
            </w:r>
          </w:p>
          <w:p w14:paraId="2217FC65" w14:textId="77777777" w:rsidR="00E607F1" w:rsidRPr="00B55C24" w:rsidRDefault="00E607F1" w:rsidP="004A5906">
            <w:pPr>
              <w:rPr>
                <w:sz w:val="24"/>
                <w:szCs w:val="24"/>
                <w:lang w:val="en-GB"/>
              </w:rPr>
            </w:pPr>
            <w:r w:rsidRPr="00B55C24">
              <w:rPr>
                <w:sz w:val="24"/>
                <w:szCs w:val="24"/>
                <w:lang w:val="en-GB"/>
              </w:rPr>
              <w:t>Short duration of therapy (at least 3 months) should be based on transient risk factors (e.g. recent surgery, trauma, immobilisation) and longer durations should be based on permanent risk factors or idiopathic DVT or PE.</w:t>
            </w:r>
          </w:p>
        </w:tc>
      </w:tr>
    </w:tbl>
    <w:p w14:paraId="15F144FC" w14:textId="77777777" w:rsidR="00E607F1" w:rsidRPr="00B55C24" w:rsidRDefault="00E607F1" w:rsidP="00E607F1">
      <w:pPr>
        <w:tabs>
          <w:tab w:val="left" w:pos="851"/>
        </w:tabs>
        <w:ind w:left="851"/>
        <w:rPr>
          <w:sz w:val="24"/>
          <w:szCs w:val="24"/>
          <w:lang w:val="en-GB"/>
        </w:rPr>
      </w:pPr>
    </w:p>
    <w:p w14:paraId="63F02314" w14:textId="77777777" w:rsidR="00E607F1" w:rsidRPr="00B55C24" w:rsidRDefault="00E607F1" w:rsidP="004A5906">
      <w:pPr>
        <w:ind w:left="851"/>
        <w:rPr>
          <w:i/>
          <w:iCs/>
          <w:sz w:val="24"/>
          <w:szCs w:val="24"/>
          <w:u w:val="single"/>
          <w:lang w:val="en-GB"/>
        </w:rPr>
      </w:pPr>
      <w:r w:rsidRPr="00B55C24">
        <w:rPr>
          <w:i/>
          <w:iCs/>
          <w:sz w:val="24"/>
          <w:szCs w:val="24"/>
          <w:u w:val="single"/>
          <w:lang w:val="en-GB"/>
        </w:rPr>
        <w:t>Missed dose</w:t>
      </w:r>
    </w:p>
    <w:p w14:paraId="0E7EA490" w14:textId="77777777" w:rsidR="00E607F1" w:rsidRPr="00B55C24" w:rsidRDefault="00E607F1" w:rsidP="004A5906">
      <w:pPr>
        <w:ind w:left="851"/>
        <w:rPr>
          <w:sz w:val="24"/>
          <w:szCs w:val="24"/>
          <w:lang w:val="en-GB"/>
        </w:rPr>
      </w:pPr>
    </w:p>
    <w:p w14:paraId="2B7BEA2D" w14:textId="77777777" w:rsidR="00E607F1" w:rsidRPr="00B55C24" w:rsidRDefault="00E607F1" w:rsidP="004A5906">
      <w:pPr>
        <w:ind w:left="851"/>
        <w:rPr>
          <w:sz w:val="24"/>
          <w:szCs w:val="24"/>
          <w:lang w:val="en-GB"/>
        </w:rPr>
      </w:pPr>
      <w:r w:rsidRPr="00B55C24">
        <w:rPr>
          <w:sz w:val="24"/>
          <w:szCs w:val="24"/>
          <w:lang w:val="en-GB"/>
        </w:rPr>
        <w:t xml:space="preserve">A forgotten dabigatran </w:t>
      </w:r>
      <w:proofErr w:type="spellStart"/>
      <w:r w:rsidRPr="00B55C24">
        <w:rPr>
          <w:sz w:val="24"/>
          <w:szCs w:val="24"/>
          <w:lang w:val="en-GB"/>
        </w:rPr>
        <w:t>etexilate</w:t>
      </w:r>
      <w:proofErr w:type="spellEnd"/>
      <w:r w:rsidRPr="00B55C24">
        <w:rPr>
          <w:sz w:val="24"/>
          <w:szCs w:val="24"/>
          <w:lang w:val="en-GB"/>
        </w:rPr>
        <w:t xml:space="preserve"> dose may still be taken up to 6 hours prior to the next scheduled dose. From 6 hours prior to the next scheduled dose on, the missed dose should be omitted.</w:t>
      </w:r>
    </w:p>
    <w:p w14:paraId="4BD38D39" w14:textId="77777777" w:rsidR="00E607F1" w:rsidRPr="00B55C24" w:rsidRDefault="00E607F1" w:rsidP="004A5906">
      <w:pPr>
        <w:ind w:left="851"/>
        <w:rPr>
          <w:sz w:val="24"/>
          <w:szCs w:val="24"/>
          <w:lang w:val="en-GB"/>
        </w:rPr>
      </w:pPr>
    </w:p>
    <w:p w14:paraId="0DDDAB7C" w14:textId="77777777" w:rsidR="00E607F1" w:rsidRPr="00B55C24" w:rsidRDefault="00E607F1" w:rsidP="004A5906">
      <w:pPr>
        <w:ind w:left="851"/>
        <w:rPr>
          <w:sz w:val="24"/>
          <w:szCs w:val="24"/>
          <w:lang w:val="en-GB"/>
        </w:rPr>
      </w:pPr>
      <w:r w:rsidRPr="00B55C24">
        <w:rPr>
          <w:sz w:val="24"/>
          <w:szCs w:val="24"/>
          <w:lang w:val="en-GB"/>
        </w:rPr>
        <w:t>No double dose should be taken to make up for missed individual doses.</w:t>
      </w:r>
    </w:p>
    <w:p w14:paraId="0C087D7B" w14:textId="77777777" w:rsidR="00E607F1" w:rsidRPr="00B55C24" w:rsidRDefault="00E607F1" w:rsidP="004A5906">
      <w:pPr>
        <w:ind w:left="851"/>
        <w:rPr>
          <w:sz w:val="24"/>
          <w:szCs w:val="24"/>
          <w:lang w:val="en-GB"/>
        </w:rPr>
      </w:pPr>
    </w:p>
    <w:p w14:paraId="3CC28B76" w14:textId="77777777" w:rsidR="00E607F1" w:rsidRPr="00B55C24" w:rsidRDefault="00E607F1" w:rsidP="004A5906">
      <w:pPr>
        <w:ind w:left="851"/>
        <w:rPr>
          <w:i/>
          <w:iCs/>
          <w:sz w:val="24"/>
          <w:szCs w:val="24"/>
          <w:u w:val="single"/>
          <w:lang w:val="en-GB"/>
        </w:rPr>
      </w:pPr>
      <w:r w:rsidRPr="00B55C24">
        <w:rPr>
          <w:i/>
          <w:iCs/>
          <w:sz w:val="24"/>
          <w:szCs w:val="24"/>
          <w:u w:val="single"/>
          <w:lang w:val="en-GB"/>
        </w:rPr>
        <w:t xml:space="preserve">Discontinuation of dabigatran </w:t>
      </w:r>
      <w:proofErr w:type="spellStart"/>
      <w:r w:rsidRPr="00B55C24">
        <w:rPr>
          <w:i/>
          <w:iCs/>
          <w:sz w:val="24"/>
          <w:szCs w:val="24"/>
          <w:u w:val="single"/>
          <w:lang w:val="en-GB"/>
        </w:rPr>
        <w:t>etexilate</w:t>
      </w:r>
      <w:proofErr w:type="spellEnd"/>
    </w:p>
    <w:p w14:paraId="0E6CF50D" w14:textId="77777777" w:rsidR="00E607F1" w:rsidRPr="00B55C24" w:rsidRDefault="00E607F1" w:rsidP="004A5906">
      <w:pPr>
        <w:ind w:left="851"/>
        <w:rPr>
          <w:sz w:val="24"/>
          <w:szCs w:val="24"/>
          <w:lang w:val="en-GB"/>
        </w:rPr>
      </w:pPr>
    </w:p>
    <w:p w14:paraId="0501BCA2"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should not be discontinued without medical advice. Patients should be instructed to contact the treating physician if they develop gastrointestinal symptoms such as dyspepsia (see section 4.8).</w:t>
      </w:r>
    </w:p>
    <w:p w14:paraId="2EAE3C37" w14:textId="77777777" w:rsidR="00E607F1" w:rsidRPr="00B55C24" w:rsidRDefault="00E607F1" w:rsidP="004A5906">
      <w:pPr>
        <w:ind w:left="851"/>
        <w:rPr>
          <w:sz w:val="24"/>
          <w:szCs w:val="24"/>
          <w:lang w:val="en-GB"/>
        </w:rPr>
      </w:pPr>
    </w:p>
    <w:p w14:paraId="6D48C7A5" w14:textId="77777777" w:rsidR="00E607F1" w:rsidRPr="00B55C24" w:rsidRDefault="00E607F1" w:rsidP="004A5906">
      <w:pPr>
        <w:ind w:left="851"/>
        <w:rPr>
          <w:i/>
          <w:iCs/>
          <w:sz w:val="24"/>
          <w:szCs w:val="24"/>
          <w:u w:val="single"/>
          <w:lang w:val="en-GB"/>
        </w:rPr>
      </w:pPr>
      <w:r w:rsidRPr="00B55C24">
        <w:rPr>
          <w:i/>
          <w:iCs/>
          <w:sz w:val="24"/>
          <w:szCs w:val="24"/>
          <w:u w:val="single"/>
          <w:lang w:val="en-GB"/>
        </w:rPr>
        <w:t>Switching</w:t>
      </w:r>
    </w:p>
    <w:p w14:paraId="1C1FF197" w14:textId="77777777" w:rsidR="00E607F1" w:rsidRPr="00B55C24" w:rsidRDefault="00E607F1" w:rsidP="004A5906">
      <w:pPr>
        <w:ind w:left="851"/>
        <w:rPr>
          <w:sz w:val="24"/>
          <w:szCs w:val="24"/>
          <w:lang w:val="en-GB"/>
        </w:rPr>
      </w:pPr>
    </w:p>
    <w:p w14:paraId="1083F005"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to parenteral anticoagulant:</w:t>
      </w:r>
    </w:p>
    <w:p w14:paraId="309BB234" w14:textId="5748A5B5" w:rsidR="00E607F1" w:rsidRPr="00B55C24" w:rsidRDefault="00E607F1" w:rsidP="004A5906">
      <w:pPr>
        <w:ind w:left="851"/>
        <w:rPr>
          <w:sz w:val="24"/>
          <w:szCs w:val="24"/>
          <w:lang w:val="en-GB"/>
        </w:rPr>
      </w:pPr>
      <w:r w:rsidRPr="00B55C24">
        <w:rPr>
          <w:sz w:val="24"/>
          <w:szCs w:val="24"/>
          <w:lang w:val="en-GB"/>
        </w:rPr>
        <w:t xml:space="preserve">It is recommended to wait 12 hours after the last dose before switching from dabigatran </w:t>
      </w:r>
      <w:proofErr w:type="spellStart"/>
      <w:r w:rsidRPr="00B55C24">
        <w:rPr>
          <w:sz w:val="24"/>
          <w:szCs w:val="24"/>
          <w:lang w:val="en-GB"/>
        </w:rPr>
        <w:t>etexilate</w:t>
      </w:r>
      <w:proofErr w:type="spellEnd"/>
      <w:r w:rsidRPr="00B55C24">
        <w:rPr>
          <w:sz w:val="24"/>
          <w:szCs w:val="24"/>
          <w:lang w:val="en-GB"/>
        </w:rPr>
        <w:t xml:space="preserve"> to a parenteral anticoagulant (see section 4.5).</w:t>
      </w:r>
    </w:p>
    <w:p w14:paraId="60104C2E" w14:textId="77777777" w:rsidR="00E607F1" w:rsidRPr="00B55C24" w:rsidRDefault="00E607F1" w:rsidP="004A5906">
      <w:pPr>
        <w:ind w:left="851"/>
        <w:rPr>
          <w:sz w:val="24"/>
          <w:szCs w:val="24"/>
          <w:lang w:val="en-GB"/>
        </w:rPr>
      </w:pPr>
    </w:p>
    <w:p w14:paraId="6C477200" w14:textId="77777777" w:rsidR="00E607F1" w:rsidRPr="00B55C24" w:rsidRDefault="00E607F1" w:rsidP="004A5906">
      <w:pPr>
        <w:ind w:left="851"/>
        <w:rPr>
          <w:sz w:val="24"/>
          <w:szCs w:val="24"/>
          <w:lang w:val="en-GB"/>
        </w:rPr>
      </w:pPr>
      <w:r w:rsidRPr="00B55C24">
        <w:rPr>
          <w:sz w:val="24"/>
          <w:szCs w:val="24"/>
          <w:lang w:val="en-GB"/>
        </w:rPr>
        <w:t xml:space="preserve">Parenteral anticoagulants to dabigatran </w:t>
      </w:r>
      <w:proofErr w:type="spellStart"/>
      <w:r w:rsidRPr="00B55C24">
        <w:rPr>
          <w:sz w:val="24"/>
          <w:szCs w:val="24"/>
          <w:lang w:val="en-GB"/>
        </w:rPr>
        <w:t>etexilate</w:t>
      </w:r>
      <w:proofErr w:type="spellEnd"/>
      <w:r w:rsidRPr="00B55C24">
        <w:rPr>
          <w:sz w:val="24"/>
          <w:szCs w:val="24"/>
          <w:lang w:val="en-GB"/>
        </w:rPr>
        <w:t>:</w:t>
      </w:r>
    </w:p>
    <w:p w14:paraId="0BED5C6B" w14:textId="77777777" w:rsidR="00E607F1" w:rsidRPr="00B55C24" w:rsidRDefault="00E607F1" w:rsidP="004A5906">
      <w:pPr>
        <w:ind w:left="851"/>
        <w:rPr>
          <w:sz w:val="24"/>
          <w:szCs w:val="24"/>
          <w:lang w:val="en-GB"/>
        </w:rPr>
      </w:pPr>
      <w:r w:rsidRPr="00B55C24">
        <w:rPr>
          <w:sz w:val="24"/>
          <w:szCs w:val="24"/>
          <w:lang w:val="en-GB"/>
        </w:rPr>
        <w:t xml:space="preserve">The parenteral anticoagulant should be discontinued and dabigatran </w:t>
      </w:r>
      <w:proofErr w:type="spellStart"/>
      <w:r w:rsidRPr="00B55C24">
        <w:rPr>
          <w:sz w:val="24"/>
          <w:szCs w:val="24"/>
          <w:lang w:val="en-GB"/>
        </w:rPr>
        <w:t>etexilate</w:t>
      </w:r>
      <w:proofErr w:type="spellEnd"/>
      <w:r w:rsidRPr="00B55C24">
        <w:rPr>
          <w:sz w:val="24"/>
          <w:szCs w:val="24"/>
          <w:lang w:val="en-GB"/>
        </w:rPr>
        <w:t xml:space="preserve"> should be started 0-2 hours prior to the time that the next dose of the alternate therapy would be due, or at the time of discontinuation in case of continuous treatment (e.g. intravenous Unfractionated Heparin (UFH)) </w:t>
      </w:r>
      <w:r w:rsidRPr="00B55C24">
        <w:rPr>
          <w:sz w:val="24"/>
          <w:szCs w:val="24"/>
          <w:lang w:val="en-GB"/>
        </w:rPr>
        <w:br/>
        <w:t>(see section 4.5).</w:t>
      </w:r>
    </w:p>
    <w:p w14:paraId="2BFF366F" w14:textId="77777777" w:rsidR="00E607F1" w:rsidRPr="00B55C24" w:rsidRDefault="00E607F1" w:rsidP="004A5906">
      <w:pPr>
        <w:ind w:left="851"/>
        <w:rPr>
          <w:sz w:val="24"/>
          <w:szCs w:val="24"/>
          <w:lang w:val="en-GB"/>
        </w:rPr>
      </w:pPr>
    </w:p>
    <w:p w14:paraId="78D817B0"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to Vitamin K antagonists (VKA):</w:t>
      </w:r>
    </w:p>
    <w:p w14:paraId="1511B333" w14:textId="77777777" w:rsidR="00E607F1" w:rsidRPr="00B55C24" w:rsidRDefault="00E607F1" w:rsidP="004A5906">
      <w:pPr>
        <w:ind w:left="851"/>
        <w:rPr>
          <w:sz w:val="24"/>
          <w:szCs w:val="24"/>
          <w:lang w:val="en-GB"/>
        </w:rPr>
      </w:pPr>
      <w:r w:rsidRPr="00B55C24">
        <w:rPr>
          <w:sz w:val="24"/>
          <w:szCs w:val="24"/>
          <w:lang w:val="en-GB"/>
        </w:rPr>
        <w:t xml:space="preserve">The starting time of the VKA should be adjusted based on </w:t>
      </w:r>
      <w:proofErr w:type="spellStart"/>
      <w:r w:rsidRPr="00B55C24">
        <w:rPr>
          <w:sz w:val="24"/>
          <w:szCs w:val="24"/>
          <w:lang w:val="en-GB"/>
        </w:rPr>
        <w:t>CrCL</w:t>
      </w:r>
      <w:proofErr w:type="spellEnd"/>
      <w:r w:rsidRPr="00B55C24">
        <w:rPr>
          <w:sz w:val="24"/>
          <w:szCs w:val="24"/>
          <w:lang w:val="en-GB"/>
        </w:rPr>
        <w:t xml:space="preserve"> as follows:</w:t>
      </w:r>
    </w:p>
    <w:p w14:paraId="63147388" w14:textId="77777777" w:rsidR="00E607F1" w:rsidRPr="00B55C24" w:rsidRDefault="00E607F1" w:rsidP="00B55C24">
      <w:pPr>
        <w:pStyle w:val="Listeafsnit"/>
        <w:numPr>
          <w:ilvl w:val="0"/>
          <w:numId w:val="13"/>
        </w:numPr>
        <w:ind w:left="1276" w:hanging="425"/>
        <w:rPr>
          <w:sz w:val="24"/>
          <w:szCs w:val="24"/>
          <w:lang w:val="en-GB"/>
        </w:rPr>
      </w:pPr>
      <w:proofErr w:type="spellStart"/>
      <w:r w:rsidRPr="00B55C24">
        <w:rPr>
          <w:sz w:val="24"/>
          <w:szCs w:val="24"/>
          <w:lang w:val="en-GB"/>
        </w:rPr>
        <w:t>CrCL</w:t>
      </w:r>
      <w:proofErr w:type="spellEnd"/>
      <w:r w:rsidRPr="00B55C24">
        <w:rPr>
          <w:sz w:val="24"/>
          <w:szCs w:val="24"/>
          <w:lang w:val="en-GB"/>
        </w:rPr>
        <w:t xml:space="preserve"> ≥ 50 mL/min, VKA should be started 3 days before discontinuing dabigatran </w:t>
      </w:r>
      <w:proofErr w:type="spellStart"/>
      <w:r w:rsidRPr="00B55C24">
        <w:rPr>
          <w:sz w:val="24"/>
          <w:szCs w:val="24"/>
          <w:lang w:val="en-GB"/>
        </w:rPr>
        <w:t>etexilate</w:t>
      </w:r>
      <w:proofErr w:type="spellEnd"/>
    </w:p>
    <w:p w14:paraId="22A1179A" w14:textId="77777777" w:rsidR="00E607F1" w:rsidRPr="00B55C24" w:rsidRDefault="00E607F1" w:rsidP="00B55C24">
      <w:pPr>
        <w:pStyle w:val="Listeafsnit"/>
        <w:numPr>
          <w:ilvl w:val="0"/>
          <w:numId w:val="13"/>
        </w:numPr>
        <w:ind w:left="1276" w:hanging="425"/>
        <w:rPr>
          <w:sz w:val="24"/>
          <w:szCs w:val="24"/>
          <w:lang w:val="en-GB"/>
        </w:rPr>
      </w:pPr>
      <w:proofErr w:type="spellStart"/>
      <w:r w:rsidRPr="00B55C24">
        <w:rPr>
          <w:sz w:val="24"/>
          <w:szCs w:val="24"/>
          <w:lang w:val="en-GB"/>
        </w:rPr>
        <w:t>CrCL</w:t>
      </w:r>
      <w:proofErr w:type="spellEnd"/>
      <w:r w:rsidRPr="00B55C24">
        <w:rPr>
          <w:sz w:val="24"/>
          <w:szCs w:val="24"/>
          <w:lang w:val="en-GB"/>
        </w:rPr>
        <w:t xml:space="preserve"> ≥ 30 </w:t>
      </w:r>
      <w:r w:rsidRPr="00B55C24">
        <w:rPr>
          <w:sz w:val="24"/>
          <w:szCs w:val="24"/>
          <w:lang w:val="en-GB"/>
        </w:rPr>
        <w:noBreakHyphen/>
        <w:t xml:space="preserve"> &lt;50 mL/min, VKA should be started 2 days before discontinuing dabigatran </w:t>
      </w:r>
      <w:proofErr w:type="spellStart"/>
      <w:r w:rsidRPr="00B55C24">
        <w:rPr>
          <w:sz w:val="24"/>
          <w:szCs w:val="24"/>
          <w:lang w:val="en-GB"/>
        </w:rPr>
        <w:t>etexilate</w:t>
      </w:r>
      <w:proofErr w:type="spellEnd"/>
    </w:p>
    <w:p w14:paraId="191337B4" w14:textId="77777777" w:rsidR="00E607F1" w:rsidRPr="00B55C24" w:rsidRDefault="00E607F1" w:rsidP="004A5906">
      <w:pPr>
        <w:ind w:left="851"/>
        <w:rPr>
          <w:sz w:val="24"/>
          <w:szCs w:val="24"/>
          <w:lang w:val="en-GB"/>
        </w:rPr>
      </w:pPr>
    </w:p>
    <w:p w14:paraId="114CB62E" w14:textId="77777777" w:rsidR="00E607F1" w:rsidRPr="00B55C24" w:rsidRDefault="00E607F1" w:rsidP="004A5906">
      <w:pPr>
        <w:ind w:left="851"/>
        <w:rPr>
          <w:sz w:val="24"/>
          <w:szCs w:val="24"/>
          <w:lang w:val="en-GB"/>
        </w:rPr>
      </w:pPr>
      <w:r w:rsidRPr="00B55C24">
        <w:rPr>
          <w:sz w:val="24"/>
          <w:szCs w:val="24"/>
          <w:lang w:val="en-GB"/>
        </w:rPr>
        <w:t xml:space="preserve">Because dabigatran </w:t>
      </w:r>
      <w:proofErr w:type="spellStart"/>
      <w:r w:rsidRPr="00B55C24">
        <w:rPr>
          <w:sz w:val="24"/>
          <w:szCs w:val="24"/>
          <w:lang w:val="en-GB"/>
        </w:rPr>
        <w:t>etexilate</w:t>
      </w:r>
      <w:proofErr w:type="spellEnd"/>
      <w:r w:rsidRPr="00B55C24">
        <w:rPr>
          <w:sz w:val="24"/>
          <w:szCs w:val="24"/>
          <w:lang w:val="en-GB"/>
        </w:rPr>
        <w:t xml:space="preserve"> can impact the International Normalised Ratio (INR), the INR will better reflect VKA’s effect only after dabigatran </w:t>
      </w:r>
      <w:proofErr w:type="spellStart"/>
      <w:r w:rsidRPr="00B55C24">
        <w:rPr>
          <w:sz w:val="24"/>
          <w:szCs w:val="24"/>
          <w:lang w:val="en-GB"/>
        </w:rPr>
        <w:t>etexilate</w:t>
      </w:r>
      <w:proofErr w:type="spellEnd"/>
      <w:r w:rsidRPr="00B55C24">
        <w:rPr>
          <w:sz w:val="24"/>
          <w:szCs w:val="24"/>
          <w:lang w:val="en-GB"/>
        </w:rPr>
        <w:t xml:space="preserve"> has been stopped for at least 2 days. Until then, INR values should be interpreted with caution.</w:t>
      </w:r>
    </w:p>
    <w:p w14:paraId="46F5C89E" w14:textId="77777777" w:rsidR="00E607F1" w:rsidRPr="00B55C24" w:rsidRDefault="00E607F1" w:rsidP="004A5906">
      <w:pPr>
        <w:ind w:left="851"/>
        <w:rPr>
          <w:sz w:val="24"/>
          <w:szCs w:val="24"/>
          <w:lang w:val="en-GB"/>
        </w:rPr>
      </w:pPr>
    </w:p>
    <w:p w14:paraId="5E1E414B" w14:textId="77777777" w:rsidR="00E607F1" w:rsidRPr="00B55C24" w:rsidRDefault="00E607F1" w:rsidP="004A5906">
      <w:pPr>
        <w:ind w:left="851"/>
        <w:rPr>
          <w:sz w:val="24"/>
          <w:szCs w:val="24"/>
          <w:lang w:val="en-GB"/>
        </w:rPr>
      </w:pPr>
      <w:r w:rsidRPr="00B55C24">
        <w:rPr>
          <w:sz w:val="24"/>
          <w:szCs w:val="24"/>
          <w:lang w:val="en-GB"/>
        </w:rPr>
        <w:t xml:space="preserve">VKA to dabigatran </w:t>
      </w:r>
      <w:proofErr w:type="spellStart"/>
      <w:r w:rsidRPr="00B55C24">
        <w:rPr>
          <w:sz w:val="24"/>
          <w:szCs w:val="24"/>
          <w:lang w:val="en-GB"/>
        </w:rPr>
        <w:t>etexilate</w:t>
      </w:r>
      <w:proofErr w:type="spellEnd"/>
      <w:r w:rsidRPr="00B55C24">
        <w:rPr>
          <w:sz w:val="24"/>
          <w:szCs w:val="24"/>
          <w:lang w:val="en-GB"/>
        </w:rPr>
        <w:t>:</w:t>
      </w:r>
    </w:p>
    <w:p w14:paraId="49BBC9AA" w14:textId="77777777" w:rsidR="00E607F1" w:rsidRPr="00B55C24" w:rsidRDefault="00E607F1" w:rsidP="004A5906">
      <w:pPr>
        <w:ind w:left="851"/>
        <w:rPr>
          <w:sz w:val="24"/>
          <w:szCs w:val="24"/>
          <w:lang w:val="en-GB"/>
        </w:rPr>
      </w:pPr>
      <w:r w:rsidRPr="00B55C24">
        <w:rPr>
          <w:sz w:val="24"/>
          <w:szCs w:val="24"/>
          <w:lang w:val="en-GB"/>
        </w:rPr>
        <w:t xml:space="preserve">The VKA should be stopped. Dabigatran </w:t>
      </w:r>
      <w:proofErr w:type="spellStart"/>
      <w:r w:rsidRPr="00B55C24">
        <w:rPr>
          <w:sz w:val="24"/>
          <w:szCs w:val="24"/>
          <w:lang w:val="en-GB"/>
        </w:rPr>
        <w:t>etexilate</w:t>
      </w:r>
      <w:proofErr w:type="spellEnd"/>
      <w:r w:rsidRPr="00B55C24">
        <w:rPr>
          <w:sz w:val="24"/>
          <w:szCs w:val="24"/>
          <w:lang w:val="en-GB"/>
        </w:rPr>
        <w:t xml:space="preserve"> can be given as soon as the INR is &lt; 2.0.</w:t>
      </w:r>
    </w:p>
    <w:p w14:paraId="44345C6B" w14:textId="77777777" w:rsidR="00E607F1" w:rsidRPr="00B55C24" w:rsidRDefault="00E607F1" w:rsidP="004A5906">
      <w:pPr>
        <w:ind w:left="851"/>
        <w:rPr>
          <w:sz w:val="24"/>
          <w:szCs w:val="24"/>
          <w:lang w:val="en-GB"/>
        </w:rPr>
      </w:pPr>
    </w:p>
    <w:p w14:paraId="27CA50A9" w14:textId="77777777" w:rsidR="00E607F1" w:rsidRPr="00B55C24" w:rsidRDefault="00E607F1" w:rsidP="004A5906">
      <w:pPr>
        <w:ind w:left="851"/>
        <w:rPr>
          <w:i/>
          <w:iCs/>
          <w:sz w:val="24"/>
          <w:szCs w:val="24"/>
          <w:u w:val="single"/>
          <w:lang w:val="en-GB"/>
        </w:rPr>
      </w:pPr>
      <w:r w:rsidRPr="00B55C24">
        <w:rPr>
          <w:i/>
          <w:iCs/>
          <w:sz w:val="24"/>
          <w:szCs w:val="24"/>
          <w:u w:val="single"/>
          <w:lang w:val="en-GB"/>
        </w:rPr>
        <w:t>Cardioversion (SPAF)</w:t>
      </w:r>
    </w:p>
    <w:p w14:paraId="17852A6E" w14:textId="77777777" w:rsidR="00E607F1" w:rsidRPr="00B55C24" w:rsidRDefault="00E607F1" w:rsidP="004A5906">
      <w:pPr>
        <w:ind w:left="851"/>
        <w:rPr>
          <w:sz w:val="24"/>
          <w:szCs w:val="24"/>
          <w:lang w:val="en-GB"/>
        </w:rPr>
      </w:pPr>
    </w:p>
    <w:p w14:paraId="6AB978ED" w14:textId="77777777" w:rsidR="00E607F1" w:rsidRPr="00B55C24" w:rsidRDefault="00E607F1" w:rsidP="004A5906">
      <w:pPr>
        <w:ind w:left="851"/>
        <w:rPr>
          <w:sz w:val="24"/>
          <w:szCs w:val="24"/>
          <w:lang w:val="en-GB"/>
        </w:rPr>
      </w:pPr>
      <w:r w:rsidRPr="00B55C24">
        <w:rPr>
          <w:sz w:val="24"/>
          <w:szCs w:val="24"/>
          <w:lang w:val="en-GB"/>
        </w:rPr>
        <w:t xml:space="preserve">Patients can stay on dabigatran </w:t>
      </w:r>
      <w:proofErr w:type="spellStart"/>
      <w:r w:rsidRPr="00B55C24">
        <w:rPr>
          <w:sz w:val="24"/>
          <w:szCs w:val="24"/>
          <w:lang w:val="en-GB"/>
        </w:rPr>
        <w:t>etexilate</w:t>
      </w:r>
      <w:proofErr w:type="spellEnd"/>
      <w:r w:rsidRPr="00B55C24">
        <w:rPr>
          <w:sz w:val="24"/>
          <w:szCs w:val="24"/>
          <w:lang w:val="en-GB"/>
        </w:rPr>
        <w:t xml:space="preserve"> while being cardioverted.</w:t>
      </w:r>
    </w:p>
    <w:p w14:paraId="68611A6D" w14:textId="77777777" w:rsidR="00E607F1" w:rsidRPr="00B55C24" w:rsidRDefault="00E607F1" w:rsidP="004A5906">
      <w:pPr>
        <w:ind w:left="851"/>
        <w:rPr>
          <w:sz w:val="24"/>
          <w:szCs w:val="24"/>
          <w:lang w:val="en-GB"/>
        </w:rPr>
      </w:pPr>
    </w:p>
    <w:p w14:paraId="703FAAE0" w14:textId="77777777" w:rsidR="00E607F1" w:rsidRPr="00B55C24" w:rsidRDefault="00E607F1" w:rsidP="004A5906">
      <w:pPr>
        <w:ind w:left="851"/>
        <w:rPr>
          <w:i/>
          <w:iCs/>
          <w:sz w:val="24"/>
          <w:szCs w:val="24"/>
          <w:u w:val="single"/>
          <w:lang w:val="en-GB"/>
        </w:rPr>
      </w:pPr>
      <w:r w:rsidRPr="00B55C24">
        <w:rPr>
          <w:i/>
          <w:iCs/>
          <w:sz w:val="24"/>
          <w:szCs w:val="24"/>
          <w:u w:val="single"/>
          <w:lang w:val="en-GB"/>
        </w:rPr>
        <w:t>Catheter ablation for atrial fibrillation (SPAF)</w:t>
      </w:r>
    </w:p>
    <w:p w14:paraId="558B4710" w14:textId="77777777" w:rsidR="00E607F1" w:rsidRPr="00B55C24" w:rsidRDefault="00E607F1" w:rsidP="004A5906">
      <w:pPr>
        <w:ind w:left="851"/>
        <w:rPr>
          <w:sz w:val="24"/>
          <w:szCs w:val="24"/>
          <w:lang w:val="en-GB"/>
        </w:rPr>
      </w:pPr>
    </w:p>
    <w:p w14:paraId="5B321C09" w14:textId="77777777" w:rsidR="00E607F1" w:rsidRPr="00B55C24" w:rsidRDefault="00E607F1" w:rsidP="004A5906">
      <w:pPr>
        <w:ind w:left="851"/>
        <w:rPr>
          <w:sz w:val="24"/>
          <w:szCs w:val="24"/>
          <w:lang w:val="en-GB"/>
        </w:rPr>
      </w:pPr>
      <w:r w:rsidRPr="00B55C24">
        <w:rPr>
          <w:sz w:val="24"/>
          <w:szCs w:val="24"/>
          <w:lang w:val="en-GB"/>
        </w:rPr>
        <w:t xml:space="preserve">Catheter ablation can be conducted in patients on 150 mg twice daily dabigatran </w:t>
      </w:r>
      <w:proofErr w:type="spellStart"/>
      <w:r w:rsidRPr="00B55C24">
        <w:rPr>
          <w:sz w:val="24"/>
          <w:szCs w:val="24"/>
          <w:lang w:val="en-GB"/>
        </w:rPr>
        <w:t>etexilate</w:t>
      </w:r>
      <w:proofErr w:type="spellEnd"/>
      <w:r w:rsidRPr="00B55C24">
        <w:rPr>
          <w:sz w:val="24"/>
          <w:szCs w:val="24"/>
          <w:lang w:val="en-GB"/>
        </w:rPr>
        <w:t xml:space="preserve"> treatment. Dabigatran </w:t>
      </w:r>
      <w:proofErr w:type="spellStart"/>
      <w:r w:rsidRPr="00B55C24">
        <w:rPr>
          <w:sz w:val="24"/>
          <w:szCs w:val="24"/>
          <w:lang w:val="en-GB"/>
        </w:rPr>
        <w:t>etexilate</w:t>
      </w:r>
      <w:proofErr w:type="spellEnd"/>
      <w:r w:rsidRPr="00B55C24">
        <w:rPr>
          <w:sz w:val="24"/>
          <w:szCs w:val="24"/>
          <w:lang w:val="en-GB"/>
        </w:rPr>
        <w:t xml:space="preserve"> treatment does not need to be interrupted (see section 5.1).</w:t>
      </w:r>
    </w:p>
    <w:p w14:paraId="2C6A5C56" w14:textId="77777777" w:rsidR="00E607F1" w:rsidRPr="00B55C24" w:rsidRDefault="00E607F1" w:rsidP="004A5906">
      <w:pPr>
        <w:ind w:left="851"/>
        <w:rPr>
          <w:sz w:val="24"/>
          <w:szCs w:val="24"/>
          <w:lang w:val="en-GB"/>
        </w:rPr>
      </w:pPr>
    </w:p>
    <w:p w14:paraId="07652BA2" w14:textId="77777777" w:rsidR="00E607F1" w:rsidRPr="00B55C24" w:rsidRDefault="00E607F1" w:rsidP="004A5906">
      <w:pPr>
        <w:ind w:left="851"/>
        <w:rPr>
          <w:i/>
          <w:iCs/>
          <w:sz w:val="24"/>
          <w:szCs w:val="24"/>
          <w:u w:val="single"/>
          <w:lang w:val="en-GB"/>
        </w:rPr>
      </w:pPr>
      <w:r w:rsidRPr="00B55C24">
        <w:rPr>
          <w:i/>
          <w:iCs/>
          <w:sz w:val="24"/>
          <w:szCs w:val="24"/>
          <w:u w:val="single"/>
          <w:lang w:val="en-GB"/>
        </w:rPr>
        <w:t>Percutaneous coronary intervention (PCI) with stenting (SPAF)</w:t>
      </w:r>
    </w:p>
    <w:p w14:paraId="4F4797E7" w14:textId="77777777" w:rsidR="00E607F1" w:rsidRPr="00B55C24" w:rsidRDefault="00E607F1" w:rsidP="004A5906">
      <w:pPr>
        <w:ind w:left="851"/>
        <w:rPr>
          <w:sz w:val="24"/>
          <w:szCs w:val="24"/>
          <w:lang w:val="en-GB"/>
        </w:rPr>
      </w:pPr>
      <w:r w:rsidRPr="00B55C24">
        <w:rPr>
          <w:sz w:val="24"/>
          <w:szCs w:val="24"/>
          <w:lang w:val="en-GB"/>
        </w:rPr>
        <w:t>Patients with non</w:t>
      </w:r>
      <w:r w:rsidRPr="00B55C24">
        <w:rPr>
          <w:sz w:val="24"/>
          <w:szCs w:val="24"/>
          <w:lang w:val="en-GB"/>
        </w:rPr>
        <w:noBreakHyphen/>
        <w:t xml:space="preserve">valvular atrial fibrillation who undergo a PCI with stenting can be treated with dabigatran </w:t>
      </w:r>
      <w:proofErr w:type="spellStart"/>
      <w:r w:rsidRPr="00B55C24">
        <w:rPr>
          <w:sz w:val="24"/>
          <w:szCs w:val="24"/>
          <w:lang w:val="en-GB"/>
        </w:rPr>
        <w:t>etexilate</w:t>
      </w:r>
      <w:proofErr w:type="spellEnd"/>
      <w:r w:rsidRPr="00B55C24">
        <w:rPr>
          <w:sz w:val="24"/>
          <w:szCs w:val="24"/>
          <w:lang w:val="en-GB"/>
        </w:rPr>
        <w:t xml:space="preserve"> in combination with antiplatelets after haemostasis is achieved (see section 5.1).</w:t>
      </w:r>
    </w:p>
    <w:p w14:paraId="089B5FA6" w14:textId="77777777" w:rsidR="00E607F1" w:rsidRPr="00B55C24" w:rsidRDefault="00E607F1" w:rsidP="004A5906">
      <w:pPr>
        <w:ind w:left="851"/>
        <w:rPr>
          <w:sz w:val="24"/>
          <w:szCs w:val="24"/>
          <w:lang w:val="en-GB"/>
        </w:rPr>
      </w:pPr>
    </w:p>
    <w:p w14:paraId="4BB117E7" w14:textId="77777777" w:rsidR="00E607F1" w:rsidRPr="00B55C24" w:rsidRDefault="00E607F1" w:rsidP="004A5906">
      <w:pPr>
        <w:ind w:left="851"/>
        <w:rPr>
          <w:i/>
          <w:iCs/>
          <w:sz w:val="24"/>
          <w:szCs w:val="24"/>
          <w:u w:val="single"/>
          <w:lang w:val="en-GB"/>
        </w:rPr>
      </w:pPr>
      <w:r w:rsidRPr="00B55C24">
        <w:rPr>
          <w:i/>
          <w:iCs/>
          <w:sz w:val="24"/>
          <w:szCs w:val="24"/>
          <w:u w:val="single"/>
          <w:lang w:val="en-GB"/>
        </w:rPr>
        <w:t>Special populations</w:t>
      </w:r>
    </w:p>
    <w:p w14:paraId="63EEE663" w14:textId="77777777" w:rsidR="00E607F1" w:rsidRPr="00B55C24" w:rsidRDefault="00E607F1" w:rsidP="004A5906">
      <w:pPr>
        <w:ind w:left="851"/>
        <w:rPr>
          <w:sz w:val="24"/>
          <w:szCs w:val="24"/>
          <w:lang w:val="en-GB"/>
        </w:rPr>
      </w:pPr>
    </w:p>
    <w:p w14:paraId="5F094C43" w14:textId="77777777" w:rsidR="00E607F1" w:rsidRPr="00B55C24" w:rsidRDefault="00E607F1" w:rsidP="004A5906">
      <w:pPr>
        <w:ind w:left="851"/>
        <w:rPr>
          <w:i/>
          <w:iCs/>
          <w:sz w:val="24"/>
          <w:szCs w:val="24"/>
          <w:lang w:val="en-GB"/>
        </w:rPr>
      </w:pPr>
      <w:r w:rsidRPr="00B55C24">
        <w:rPr>
          <w:i/>
          <w:iCs/>
          <w:sz w:val="24"/>
          <w:szCs w:val="24"/>
          <w:lang w:val="en-GB"/>
        </w:rPr>
        <w:t>Elderly</w:t>
      </w:r>
    </w:p>
    <w:p w14:paraId="02BFA08D" w14:textId="77777777" w:rsidR="00E607F1" w:rsidRPr="00B55C24" w:rsidRDefault="00E607F1" w:rsidP="004A5906">
      <w:pPr>
        <w:ind w:left="851"/>
        <w:rPr>
          <w:sz w:val="24"/>
          <w:szCs w:val="24"/>
          <w:lang w:val="en-GB"/>
        </w:rPr>
      </w:pPr>
    </w:p>
    <w:p w14:paraId="0C7EFE84" w14:textId="77777777" w:rsidR="00E607F1" w:rsidRPr="00B55C24" w:rsidRDefault="00E607F1" w:rsidP="004A5906">
      <w:pPr>
        <w:ind w:left="851"/>
        <w:rPr>
          <w:sz w:val="24"/>
          <w:szCs w:val="24"/>
          <w:lang w:val="en-GB"/>
        </w:rPr>
      </w:pPr>
      <w:r w:rsidRPr="00B55C24">
        <w:rPr>
          <w:sz w:val="24"/>
          <w:szCs w:val="24"/>
          <w:lang w:val="en-GB"/>
        </w:rPr>
        <w:t>For dose modifications in this population see table 1 above.</w:t>
      </w:r>
    </w:p>
    <w:p w14:paraId="7EF6D7C2" w14:textId="3918E6B1" w:rsidR="00322951" w:rsidRDefault="00322951">
      <w:pPr>
        <w:rPr>
          <w:sz w:val="24"/>
          <w:szCs w:val="24"/>
          <w:lang w:val="en-GB"/>
        </w:rPr>
      </w:pPr>
      <w:r>
        <w:rPr>
          <w:sz w:val="24"/>
          <w:szCs w:val="24"/>
          <w:lang w:val="en-GB"/>
        </w:rPr>
        <w:br w:type="page"/>
      </w:r>
    </w:p>
    <w:p w14:paraId="0B56F99B" w14:textId="77777777" w:rsidR="00E607F1" w:rsidRPr="00B55C24" w:rsidRDefault="00E607F1" w:rsidP="004A5906">
      <w:pPr>
        <w:ind w:left="851"/>
        <w:rPr>
          <w:sz w:val="24"/>
          <w:szCs w:val="24"/>
          <w:lang w:val="en-GB"/>
        </w:rPr>
      </w:pPr>
    </w:p>
    <w:p w14:paraId="5EC01B16" w14:textId="77777777" w:rsidR="00E607F1" w:rsidRPr="00B55C24" w:rsidRDefault="00E607F1" w:rsidP="004A5906">
      <w:pPr>
        <w:ind w:left="851"/>
        <w:rPr>
          <w:i/>
          <w:iCs/>
          <w:sz w:val="24"/>
          <w:szCs w:val="24"/>
          <w:lang w:val="en-GB"/>
        </w:rPr>
      </w:pPr>
      <w:r w:rsidRPr="00B55C24">
        <w:rPr>
          <w:i/>
          <w:iCs/>
          <w:sz w:val="24"/>
          <w:szCs w:val="24"/>
          <w:lang w:val="en-GB"/>
        </w:rPr>
        <w:t>Patients at risk of bleeding</w:t>
      </w:r>
    </w:p>
    <w:p w14:paraId="0ADC0206" w14:textId="77777777" w:rsidR="00E607F1" w:rsidRPr="00B55C24" w:rsidRDefault="00E607F1" w:rsidP="004A5906">
      <w:pPr>
        <w:ind w:left="851"/>
        <w:rPr>
          <w:sz w:val="24"/>
          <w:szCs w:val="24"/>
          <w:lang w:val="en-GB"/>
        </w:rPr>
      </w:pPr>
    </w:p>
    <w:p w14:paraId="35464A4A" w14:textId="77777777" w:rsidR="00E607F1" w:rsidRPr="00B55C24" w:rsidRDefault="00E607F1" w:rsidP="004A5906">
      <w:pPr>
        <w:ind w:left="851"/>
        <w:rPr>
          <w:sz w:val="24"/>
          <w:szCs w:val="24"/>
          <w:lang w:val="en-GB"/>
        </w:rPr>
      </w:pPr>
      <w:r w:rsidRPr="00B55C24">
        <w:rPr>
          <w:sz w:val="24"/>
          <w:szCs w:val="24"/>
          <w:lang w:val="en-GB"/>
        </w:rPr>
        <w:t>Patients with an increased bleeding risk (see sections 4.4, 4.5, 5.1 and 5.2) should be closely monitored clinically (looking for signs of bleeding or anaemia). Dose adjustment should be decided at the discretion of the physician, following assessment of the potential benefit and risk to an individual patient (see table 1 above). A coagulation test (see section 4.4) may help to identify patients with an increased bleeding risk caused by excessive dabigatran exposure. When excessive dabigatran exposure is identified in patients at high risk of bleeding, a reduced dose of 220 mg taken as one 110 mg capsule twice daily is recommended. When clinically relevant bleeding occurs, treatment should be interrupted.</w:t>
      </w:r>
    </w:p>
    <w:p w14:paraId="649CD5DE" w14:textId="77777777" w:rsidR="00E607F1" w:rsidRPr="00B55C24" w:rsidRDefault="00E607F1" w:rsidP="004A5906">
      <w:pPr>
        <w:ind w:left="851"/>
        <w:rPr>
          <w:sz w:val="24"/>
          <w:szCs w:val="24"/>
          <w:lang w:val="en-GB"/>
        </w:rPr>
      </w:pPr>
    </w:p>
    <w:p w14:paraId="6FC58F72" w14:textId="77777777" w:rsidR="00E607F1" w:rsidRPr="00B55C24" w:rsidRDefault="00E607F1" w:rsidP="004A5906">
      <w:pPr>
        <w:ind w:left="851"/>
        <w:rPr>
          <w:sz w:val="24"/>
          <w:szCs w:val="24"/>
          <w:lang w:val="en-GB"/>
        </w:rPr>
      </w:pPr>
      <w:r w:rsidRPr="00B55C24">
        <w:rPr>
          <w:sz w:val="24"/>
          <w:szCs w:val="24"/>
          <w:lang w:val="en-GB"/>
        </w:rPr>
        <w:t>For subjects with gastritis, esophagitis, or gastroesophageal reflux, a dose reduction may be considered due to the elevated risk of major gastro-intestinal bleeding (see table 1 above and section 4.4).</w:t>
      </w:r>
    </w:p>
    <w:p w14:paraId="091CF48A" w14:textId="77777777" w:rsidR="00E607F1" w:rsidRPr="00B55C24" w:rsidRDefault="00E607F1" w:rsidP="004A5906">
      <w:pPr>
        <w:ind w:left="851"/>
        <w:rPr>
          <w:sz w:val="24"/>
          <w:szCs w:val="24"/>
          <w:lang w:val="en-GB"/>
        </w:rPr>
      </w:pPr>
    </w:p>
    <w:p w14:paraId="36DE09CE" w14:textId="77777777" w:rsidR="00E607F1" w:rsidRPr="00B55C24" w:rsidRDefault="00E607F1" w:rsidP="004A5906">
      <w:pPr>
        <w:ind w:left="851"/>
        <w:rPr>
          <w:i/>
          <w:iCs/>
          <w:sz w:val="24"/>
          <w:szCs w:val="24"/>
          <w:lang w:val="en-GB"/>
        </w:rPr>
      </w:pPr>
      <w:r w:rsidRPr="00B55C24">
        <w:rPr>
          <w:i/>
          <w:iCs/>
          <w:sz w:val="24"/>
          <w:szCs w:val="24"/>
          <w:lang w:val="en-GB"/>
        </w:rPr>
        <w:t>Renal impairment</w:t>
      </w:r>
    </w:p>
    <w:p w14:paraId="7F2AFC19" w14:textId="77777777" w:rsidR="00E607F1" w:rsidRPr="00B55C24" w:rsidRDefault="00E607F1" w:rsidP="004A5906">
      <w:pPr>
        <w:ind w:left="851"/>
        <w:rPr>
          <w:sz w:val="24"/>
          <w:szCs w:val="24"/>
          <w:lang w:val="en-GB"/>
        </w:rPr>
      </w:pPr>
    </w:p>
    <w:p w14:paraId="2F164A3D" w14:textId="3E25BF0E" w:rsidR="00E607F1" w:rsidRPr="00B55C24" w:rsidRDefault="00E607F1" w:rsidP="004A5906">
      <w:pPr>
        <w:ind w:left="851"/>
        <w:rPr>
          <w:sz w:val="24"/>
          <w:szCs w:val="24"/>
          <w:lang w:val="en-GB"/>
        </w:rPr>
      </w:pPr>
      <w:r w:rsidRPr="00B55C24">
        <w:rPr>
          <w:sz w:val="24"/>
          <w:szCs w:val="24"/>
          <w:lang w:val="en-GB"/>
        </w:rPr>
        <w:t xml:space="preserve">Treatment with dabigatran </w:t>
      </w:r>
      <w:proofErr w:type="spellStart"/>
      <w:r w:rsidRPr="00B55C24">
        <w:rPr>
          <w:sz w:val="24"/>
          <w:szCs w:val="24"/>
          <w:lang w:val="en-GB"/>
        </w:rPr>
        <w:t>etexilate</w:t>
      </w:r>
      <w:proofErr w:type="spellEnd"/>
      <w:r w:rsidRPr="00B55C24">
        <w:rPr>
          <w:sz w:val="24"/>
          <w:szCs w:val="24"/>
          <w:lang w:val="en-GB"/>
        </w:rPr>
        <w:t xml:space="preserve"> in patients with severe renal impairment (</w:t>
      </w:r>
      <w:proofErr w:type="spellStart"/>
      <w:r w:rsidRPr="00B55C24">
        <w:rPr>
          <w:sz w:val="24"/>
          <w:szCs w:val="24"/>
          <w:lang w:val="en-GB"/>
        </w:rPr>
        <w:t>CrCL</w:t>
      </w:r>
      <w:proofErr w:type="spellEnd"/>
      <w:r w:rsidRPr="00B55C24">
        <w:rPr>
          <w:sz w:val="24"/>
          <w:szCs w:val="24"/>
          <w:lang w:val="en-GB"/>
        </w:rPr>
        <w:t xml:space="preserve"> &lt;</w:t>
      </w:r>
      <w:r w:rsidR="00B55C24">
        <w:rPr>
          <w:sz w:val="24"/>
          <w:szCs w:val="24"/>
          <w:lang w:val="en-GB"/>
        </w:rPr>
        <w:t> </w:t>
      </w:r>
      <w:r w:rsidRPr="00B55C24">
        <w:rPr>
          <w:sz w:val="24"/>
          <w:szCs w:val="24"/>
          <w:lang w:val="en-GB"/>
        </w:rPr>
        <w:t>30 mL/min) is contraindicated (see section 4.3).</w:t>
      </w:r>
    </w:p>
    <w:p w14:paraId="052AC315" w14:textId="77777777" w:rsidR="00E607F1" w:rsidRPr="00B55C24" w:rsidRDefault="00E607F1" w:rsidP="004A5906">
      <w:pPr>
        <w:ind w:left="851"/>
        <w:rPr>
          <w:sz w:val="24"/>
          <w:szCs w:val="24"/>
          <w:lang w:val="en-GB"/>
        </w:rPr>
      </w:pPr>
    </w:p>
    <w:p w14:paraId="548AA397" w14:textId="4FAC53BD" w:rsidR="00E607F1" w:rsidRPr="00B55C24" w:rsidRDefault="00E607F1" w:rsidP="004A5906">
      <w:pPr>
        <w:ind w:left="851"/>
        <w:rPr>
          <w:sz w:val="24"/>
          <w:szCs w:val="24"/>
          <w:lang w:val="en-GB"/>
        </w:rPr>
      </w:pPr>
      <w:r w:rsidRPr="00B55C24">
        <w:rPr>
          <w:sz w:val="24"/>
          <w:szCs w:val="24"/>
          <w:lang w:val="en-GB"/>
        </w:rPr>
        <w:t>No dose adjustment is necessary in patients with mild renal impairment (</w:t>
      </w:r>
      <w:proofErr w:type="spellStart"/>
      <w:r w:rsidRPr="00B55C24">
        <w:rPr>
          <w:sz w:val="24"/>
          <w:szCs w:val="24"/>
          <w:lang w:val="en-GB"/>
        </w:rPr>
        <w:t>CrCL</w:t>
      </w:r>
      <w:proofErr w:type="spellEnd"/>
      <w:r w:rsidRPr="00B55C24">
        <w:rPr>
          <w:sz w:val="24"/>
          <w:szCs w:val="24"/>
          <w:lang w:val="en-GB"/>
        </w:rPr>
        <w:t xml:space="preserve"> 50 </w:t>
      </w:r>
      <w:r w:rsidRPr="00B55C24">
        <w:rPr>
          <w:sz w:val="24"/>
          <w:szCs w:val="24"/>
          <w:lang w:val="en-GB"/>
        </w:rPr>
        <w:noBreakHyphen/>
        <w:t> ≤</w:t>
      </w:r>
      <w:r w:rsidR="00B55C24">
        <w:rPr>
          <w:sz w:val="24"/>
          <w:szCs w:val="24"/>
          <w:lang w:val="en-GB"/>
        </w:rPr>
        <w:t> </w:t>
      </w:r>
      <w:r w:rsidRPr="00B55C24">
        <w:rPr>
          <w:sz w:val="24"/>
          <w:szCs w:val="24"/>
          <w:lang w:val="en-GB"/>
        </w:rPr>
        <w:t>80 mL/min). For patients with moderate renal impairment (</w:t>
      </w:r>
      <w:proofErr w:type="spellStart"/>
      <w:r w:rsidRPr="00B55C24">
        <w:rPr>
          <w:sz w:val="24"/>
          <w:szCs w:val="24"/>
          <w:lang w:val="en-GB"/>
        </w:rPr>
        <w:t>CrCL</w:t>
      </w:r>
      <w:proofErr w:type="spellEnd"/>
      <w:r w:rsidRPr="00B55C24">
        <w:rPr>
          <w:sz w:val="24"/>
          <w:szCs w:val="24"/>
          <w:lang w:val="en-GB"/>
        </w:rPr>
        <w:t xml:space="preserve"> 30</w:t>
      </w:r>
      <w:r w:rsidRPr="00B55C24">
        <w:rPr>
          <w:sz w:val="24"/>
          <w:szCs w:val="24"/>
          <w:lang w:val="en-GB"/>
        </w:rPr>
        <w:noBreakHyphen/>
        <w:t xml:space="preserve">50 mL/min) the recommended dose of dabigatran </w:t>
      </w:r>
      <w:proofErr w:type="spellStart"/>
      <w:r w:rsidRPr="00B55C24">
        <w:rPr>
          <w:sz w:val="24"/>
          <w:szCs w:val="24"/>
          <w:lang w:val="en-GB"/>
        </w:rPr>
        <w:t>etexilate</w:t>
      </w:r>
      <w:proofErr w:type="spellEnd"/>
      <w:r w:rsidRPr="00B55C24">
        <w:rPr>
          <w:sz w:val="24"/>
          <w:szCs w:val="24"/>
          <w:lang w:val="en-GB"/>
        </w:rPr>
        <w:t xml:space="preserve"> is also 300 mg taken as one 150 mg capsule twice daily. However, for patients with high risk of bleeding, a dose reduction of dabigatran </w:t>
      </w:r>
      <w:proofErr w:type="spellStart"/>
      <w:r w:rsidRPr="00B55C24">
        <w:rPr>
          <w:sz w:val="24"/>
          <w:szCs w:val="24"/>
          <w:lang w:val="en-GB"/>
        </w:rPr>
        <w:t>etexilate</w:t>
      </w:r>
      <w:proofErr w:type="spellEnd"/>
      <w:r w:rsidRPr="00B55C24">
        <w:rPr>
          <w:sz w:val="24"/>
          <w:szCs w:val="24"/>
          <w:lang w:val="en-GB"/>
        </w:rPr>
        <w:t xml:space="preserve"> to 220 mg taken as one 110 mg capsule twice daily should be considered (see sections 4.4 and 5.2). Close clinical surveillance is recommended in patients with renal impairment.</w:t>
      </w:r>
    </w:p>
    <w:p w14:paraId="65B2C313" w14:textId="77777777" w:rsidR="00E607F1" w:rsidRPr="00B55C24" w:rsidRDefault="00E607F1" w:rsidP="004A5906">
      <w:pPr>
        <w:ind w:left="851"/>
        <w:rPr>
          <w:sz w:val="24"/>
          <w:szCs w:val="24"/>
          <w:lang w:val="en-GB"/>
        </w:rPr>
      </w:pPr>
    </w:p>
    <w:p w14:paraId="15F2AD56" w14:textId="21155573" w:rsidR="00E607F1" w:rsidRPr="00B55C24" w:rsidRDefault="00E607F1" w:rsidP="004A5906">
      <w:pPr>
        <w:ind w:left="851"/>
        <w:rPr>
          <w:i/>
          <w:iCs/>
          <w:sz w:val="24"/>
          <w:szCs w:val="24"/>
          <w:lang w:val="en-GB"/>
        </w:rPr>
      </w:pPr>
      <w:r w:rsidRPr="00B55C24">
        <w:rPr>
          <w:i/>
          <w:iCs/>
          <w:sz w:val="24"/>
          <w:szCs w:val="24"/>
          <w:lang w:val="en-GB"/>
        </w:rPr>
        <w:t xml:space="preserve">Concomitant use of dabigatran </w:t>
      </w:r>
      <w:proofErr w:type="spellStart"/>
      <w:r w:rsidRPr="00B55C24">
        <w:rPr>
          <w:i/>
          <w:iCs/>
          <w:sz w:val="24"/>
          <w:szCs w:val="24"/>
          <w:lang w:val="en-GB"/>
        </w:rPr>
        <w:t>etexilate</w:t>
      </w:r>
      <w:proofErr w:type="spellEnd"/>
      <w:r w:rsidRPr="00B55C24">
        <w:rPr>
          <w:i/>
          <w:iCs/>
          <w:sz w:val="24"/>
          <w:szCs w:val="24"/>
          <w:lang w:val="en-GB"/>
        </w:rPr>
        <w:t xml:space="preserve"> with mild to moderate P-glycoprotein (P-</w:t>
      </w:r>
      <w:proofErr w:type="spellStart"/>
      <w:r w:rsidRPr="00B55C24">
        <w:rPr>
          <w:i/>
          <w:iCs/>
          <w:sz w:val="24"/>
          <w:szCs w:val="24"/>
          <w:lang w:val="en-GB"/>
        </w:rPr>
        <w:t>gp</w:t>
      </w:r>
      <w:proofErr w:type="spellEnd"/>
      <w:r w:rsidRPr="00B55C24">
        <w:rPr>
          <w:i/>
          <w:iCs/>
          <w:sz w:val="24"/>
          <w:szCs w:val="24"/>
          <w:lang w:val="en-GB"/>
        </w:rPr>
        <w:t>) inhibitors, i.e. amiodarone, quinidine or verapamil</w:t>
      </w:r>
    </w:p>
    <w:p w14:paraId="19F07245" w14:textId="77777777" w:rsidR="00E607F1" w:rsidRPr="00B55C24" w:rsidRDefault="00E607F1" w:rsidP="004A5906">
      <w:pPr>
        <w:ind w:left="851"/>
        <w:rPr>
          <w:sz w:val="24"/>
          <w:szCs w:val="24"/>
          <w:lang w:val="en-GB"/>
        </w:rPr>
      </w:pPr>
    </w:p>
    <w:p w14:paraId="385C731F" w14:textId="77777777" w:rsidR="00E607F1" w:rsidRPr="00B55C24" w:rsidRDefault="00E607F1" w:rsidP="004A5906">
      <w:pPr>
        <w:ind w:left="851"/>
        <w:rPr>
          <w:sz w:val="24"/>
          <w:szCs w:val="24"/>
          <w:lang w:val="en-GB"/>
        </w:rPr>
      </w:pPr>
      <w:r w:rsidRPr="00B55C24">
        <w:rPr>
          <w:sz w:val="24"/>
          <w:szCs w:val="24"/>
          <w:lang w:val="en-GB"/>
        </w:rPr>
        <w:t>No dose adjustment is necessary for concomitant use of amiodarone or quinidine (see sections 4.4, 4.5 and 5.2).</w:t>
      </w:r>
    </w:p>
    <w:p w14:paraId="4DB92CA0" w14:textId="77777777" w:rsidR="00E607F1" w:rsidRPr="00B55C24" w:rsidRDefault="00E607F1" w:rsidP="004A5906">
      <w:pPr>
        <w:ind w:left="851"/>
        <w:rPr>
          <w:sz w:val="24"/>
          <w:szCs w:val="24"/>
          <w:lang w:val="en-GB"/>
        </w:rPr>
      </w:pPr>
    </w:p>
    <w:p w14:paraId="53F1D116" w14:textId="77777777" w:rsidR="00E607F1" w:rsidRPr="00B55C24" w:rsidRDefault="00E607F1" w:rsidP="004A5906">
      <w:pPr>
        <w:ind w:left="851"/>
        <w:rPr>
          <w:sz w:val="24"/>
          <w:szCs w:val="24"/>
          <w:lang w:val="en-GB"/>
        </w:rPr>
      </w:pPr>
      <w:r w:rsidRPr="00B55C24">
        <w:rPr>
          <w:sz w:val="24"/>
          <w:szCs w:val="24"/>
          <w:lang w:val="en-GB"/>
        </w:rPr>
        <w:t xml:space="preserve">Dose reductions are recommended for patients who receive concomitantly verapamil (see table 1 above and sections 4.4 and 4.5). In this situation dabigatran </w:t>
      </w:r>
      <w:proofErr w:type="spellStart"/>
      <w:r w:rsidRPr="00B55C24">
        <w:rPr>
          <w:sz w:val="24"/>
          <w:szCs w:val="24"/>
          <w:lang w:val="en-GB"/>
        </w:rPr>
        <w:t>etexilate</w:t>
      </w:r>
      <w:proofErr w:type="spellEnd"/>
      <w:r w:rsidRPr="00B55C24">
        <w:rPr>
          <w:sz w:val="24"/>
          <w:szCs w:val="24"/>
          <w:lang w:val="en-GB"/>
        </w:rPr>
        <w:t xml:space="preserve"> and verapamil should be taken at the same time.</w:t>
      </w:r>
    </w:p>
    <w:p w14:paraId="7EEF2675" w14:textId="77777777" w:rsidR="00E607F1" w:rsidRPr="00B55C24" w:rsidRDefault="00E607F1" w:rsidP="004A5906">
      <w:pPr>
        <w:ind w:left="851"/>
        <w:rPr>
          <w:sz w:val="24"/>
          <w:szCs w:val="24"/>
          <w:lang w:val="en-GB"/>
        </w:rPr>
      </w:pPr>
    </w:p>
    <w:p w14:paraId="37A3652B" w14:textId="77777777" w:rsidR="00E607F1" w:rsidRPr="00B55C24" w:rsidRDefault="00E607F1" w:rsidP="004A5906">
      <w:pPr>
        <w:ind w:left="851"/>
        <w:rPr>
          <w:i/>
          <w:iCs/>
          <w:sz w:val="24"/>
          <w:szCs w:val="24"/>
          <w:lang w:val="en-GB"/>
        </w:rPr>
      </w:pPr>
      <w:r w:rsidRPr="00B55C24">
        <w:rPr>
          <w:i/>
          <w:iCs/>
          <w:sz w:val="24"/>
          <w:szCs w:val="24"/>
          <w:lang w:val="en-GB"/>
        </w:rPr>
        <w:t>Weight</w:t>
      </w:r>
    </w:p>
    <w:p w14:paraId="126CF678" w14:textId="77777777" w:rsidR="00E607F1" w:rsidRPr="00B55C24" w:rsidRDefault="00E607F1" w:rsidP="004A5906">
      <w:pPr>
        <w:ind w:left="851"/>
        <w:rPr>
          <w:sz w:val="24"/>
          <w:szCs w:val="24"/>
          <w:lang w:val="en-GB"/>
        </w:rPr>
      </w:pPr>
    </w:p>
    <w:p w14:paraId="793816E2" w14:textId="77777777" w:rsidR="00E607F1" w:rsidRPr="00B55C24" w:rsidRDefault="00E607F1" w:rsidP="004A5906">
      <w:pPr>
        <w:ind w:left="851"/>
        <w:rPr>
          <w:sz w:val="24"/>
          <w:szCs w:val="24"/>
          <w:lang w:val="en-GB"/>
        </w:rPr>
      </w:pPr>
      <w:r w:rsidRPr="00B55C24">
        <w:rPr>
          <w:sz w:val="24"/>
          <w:szCs w:val="24"/>
          <w:lang w:val="en-GB"/>
        </w:rPr>
        <w:t>No dose adjustment is necessary (see section 5.2), but close clinical surveillance is recommended in patients with a body weight &lt; 50 kg (see section 4.4).</w:t>
      </w:r>
    </w:p>
    <w:p w14:paraId="77D2CC44" w14:textId="77777777" w:rsidR="00E607F1" w:rsidRPr="00B55C24" w:rsidRDefault="00E607F1" w:rsidP="004A5906">
      <w:pPr>
        <w:ind w:left="851"/>
        <w:rPr>
          <w:sz w:val="24"/>
          <w:szCs w:val="24"/>
          <w:lang w:val="en-GB"/>
        </w:rPr>
      </w:pPr>
    </w:p>
    <w:p w14:paraId="6CF349C2" w14:textId="77777777" w:rsidR="00E607F1" w:rsidRPr="00B55C24" w:rsidRDefault="00E607F1" w:rsidP="004A5906">
      <w:pPr>
        <w:ind w:left="851"/>
        <w:rPr>
          <w:i/>
          <w:iCs/>
          <w:sz w:val="24"/>
          <w:szCs w:val="24"/>
          <w:lang w:val="en-GB"/>
        </w:rPr>
      </w:pPr>
      <w:r w:rsidRPr="00B55C24">
        <w:rPr>
          <w:i/>
          <w:iCs/>
          <w:sz w:val="24"/>
          <w:szCs w:val="24"/>
          <w:lang w:val="en-GB"/>
        </w:rPr>
        <w:t>Gender</w:t>
      </w:r>
    </w:p>
    <w:p w14:paraId="4C617776" w14:textId="77777777" w:rsidR="00E607F1" w:rsidRPr="00B55C24" w:rsidRDefault="00E607F1" w:rsidP="004A5906">
      <w:pPr>
        <w:ind w:left="851"/>
        <w:rPr>
          <w:sz w:val="24"/>
          <w:szCs w:val="24"/>
          <w:lang w:val="en-GB"/>
        </w:rPr>
      </w:pPr>
    </w:p>
    <w:p w14:paraId="5230B791" w14:textId="77777777" w:rsidR="00E607F1" w:rsidRPr="00B55C24" w:rsidRDefault="00E607F1" w:rsidP="004A5906">
      <w:pPr>
        <w:ind w:left="851"/>
        <w:rPr>
          <w:sz w:val="24"/>
          <w:szCs w:val="24"/>
          <w:lang w:val="en-GB"/>
        </w:rPr>
      </w:pPr>
      <w:r w:rsidRPr="00B55C24">
        <w:rPr>
          <w:sz w:val="24"/>
          <w:szCs w:val="24"/>
          <w:lang w:val="en-GB"/>
        </w:rPr>
        <w:t>No dose adjustment is necessary (see section 5.2).</w:t>
      </w:r>
    </w:p>
    <w:p w14:paraId="31FF1D61" w14:textId="22B278F7" w:rsidR="00322951" w:rsidRDefault="00322951">
      <w:pPr>
        <w:rPr>
          <w:sz w:val="24"/>
          <w:szCs w:val="24"/>
          <w:lang w:val="en-GB"/>
        </w:rPr>
      </w:pPr>
      <w:r>
        <w:rPr>
          <w:sz w:val="24"/>
          <w:szCs w:val="24"/>
          <w:lang w:val="en-GB"/>
        </w:rPr>
        <w:br w:type="page"/>
      </w:r>
    </w:p>
    <w:p w14:paraId="33D76469" w14:textId="77777777" w:rsidR="00E607F1" w:rsidRPr="00B55C24" w:rsidRDefault="00E607F1" w:rsidP="004A5906">
      <w:pPr>
        <w:ind w:left="851"/>
        <w:rPr>
          <w:sz w:val="24"/>
          <w:szCs w:val="24"/>
          <w:lang w:val="en-GB"/>
        </w:rPr>
      </w:pPr>
    </w:p>
    <w:p w14:paraId="2316D4B4" w14:textId="77777777" w:rsidR="00E607F1" w:rsidRPr="00B55C24" w:rsidRDefault="00E607F1" w:rsidP="004A5906">
      <w:pPr>
        <w:ind w:left="851"/>
        <w:rPr>
          <w:i/>
          <w:iCs/>
          <w:sz w:val="24"/>
          <w:szCs w:val="24"/>
          <w:lang w:val="en-GB"/>
        </w:rPr>
      </w:pPr>
      <w:r w:rsidRPr="00B55C24">
        <w:rPr>
          <w:i/>
          <w:iCs/>
          <w:sz w:val="24"/>
          <w:szCs w:val="24"/>
          <w:lang w:val="en-GB"/>
        </w:rPr>
        <w:t>Paediatric population</w:t>
      </w:r>
    </w:p>
    <w:p w14:paraId="3DEAB54A" w14:textId="77777777" w:rsidR="00E607F1" w:rsidRPr="00B55C24" w:rsidRDefault="00E607F1" w:rsidP="004A5906">
      <w:pPr>
        <w:ind w:left="851"/>
        <w:rPr>
          <w:sz w:val="24"/>
          <w:szCs w:val="24"/>
          <w:lang w:val="en-GB"/>
        </w:rPr>
      </w:pPr>
    </w:p>
    <w:p w14:paraId="70399EB0" w14:textId="77777777" w:rsidR="00E607F1" w:rsidRPr="00B55C24" w:rsidRDefault="00E607F1" w:rsidP="004A5906">
      <w:pPr>
        <w:ind w:left="851"/>
        <w:rPr>
          <w:sz w:val="24"/>
          <w:szCs w:val="24"/>
          <w:lang w:val="en-GB"/>
        </w:rPr>
      </w:pPr>
      <w:r w:rsidRPr="00B55C24">
        <w:rPr>
          <w:sz w:val="24"/>
          <w:szCs w:val="24"/>
          <w:lang w:val="en-GB"/>
        </w:rPr>
        <w:t xml:space="preserve">There is no relevant use of dabigatran </w:t>
      </w:r>
      <w:proofErr w:type="spellStart"/>
      <w:r w:rsidRPr="00B55C24">
        <w:rPr>
          <w:sz w:val="24"/>
          <w:szCs w:val="24"/>
          <w:lang w:val="en-GB"/>
        </w:rPr>
        <w:t>etexilate</w:t>
      </w:r>
      <w:proofErr w:type="spellEnd"/>
      <w:r w:rsidRPr="00B55C24">
        <w:rPr>
          <w:sz w:val="24"/>
          <w:szCs w:val="24"/>
          <w:lang w:val="en-GB"/>
        </w:rPr>
        <w:t xml:space="preserve"> in the paediatric population for the indication of prevention of stroke and systemic embolism in patients with NVAF.</w:t>
      </w:r>
    </w:p>
    <w:p w14:paraId="6D89B8BA" w14:textId="77777777" w:rsidR="00E607F1" w:rsidRPr="00B55C24" w:rsidRDefault="00E607F1" w:rsidP="004A5906">
      <w:pPr>
        <w:ind w:left="851"/>
        <w:rPr>
          <w:sz w:val="24"/>
          <w:szCs w:val="24"/>
          <w:lang w:val="en-GB"/>
        </w:rPr>
      </w:pPr>
    </w:p>
    <w:p w14:paraId="57809BE6" w14:textId="77777777" w:rsidR="00E607F1" w:rsidRPr="00B55C24" w:rsidRDefault="00E607F1" w:rsidP="004A5906">
      <w:pPr>
        <w:ind w:left="851"/>
        <w:rPr>
          <w:sz w:val="24"/>
          <w:szCs w:val="24"/>
          <w:u w:val="single"/>
          <w:lang w:val="en-GB"/>
        </w:rPr>
      </w:pPr>
      <w:r w:rsidRPr="00B55C24">
        <w:rPr>
          <w:b/>
          <w:bCs/>
          <w:sz w:val="24"/>
          <w:szCs w:val="24"/>
          <w:u w:val="single"/>
          <w:lang w:val="en-GB"/>
        </w:rPr>
        <w:t>Treatment of VTE and prevention of recurrent VTE in paediatric patients</w:t>
      </w:r>
    </w:p>
    <w:p w14:paraId="7BE9A8C8" w14:textId="77777777" w:rsidR="00E607F1" w:rsidRPr="00B55C24" w:rsidRDefault="00E607F1" w:rsidP="004A5906">
      <w:pPr>
        <w:ind w:left="851"/>
        <w:rPr>
          <w:sz w:val="24"/>
          <w:szCs w:val="24"/>
          <w:lang w:val="en-GB"/>
        </w:rPr>
      </w:pPr>
    </w:p>
    <w:p w14:paraId="4DFD05E1" w14:textId="77777777" w:rsidR="00E607F1" w:rsidRPr="00B55C24" w:rsidRDefault="00E607F1" w:rsidP="004A5906">
      <w:pPr>
        <w:ind w:left="851"/>
        <w:rPr>
          <w:sz w:val="24"/>
          <w:szCs w:val="24"/>
          <w:lang w:val="en-GB"/>
        </w:rPr>
      </w:pPr>
      <w:r w:rsidRPr="00B55C24">
        <w:rPr>
          <w:sz w:val="24"/>
          <w:szCs w:val="24"/>
          <w:lang w:val="en-GB"/>
        </w:rPr>
        <w:t>For the treatment of VTE in paediatric patients, treatment should be initiated following treatment with a parenteral anticoagulant for at least 5 days. For prevention of recurrent VTE, treatment should be initiated following previous treatment.</w:t>
      </w:r>
    </w:p>
    <w:p w14:paraId="7ED76113" w14:textId="77777777" w:rsidR="00E607F1" w:rsidRPr="00B55C24" w:rsidRDefault="00E607F1" w:rsidP="004A5906">
      <w:pPr>
        <w:ind w:left="851"/>
        <w:rPr>
          <w:sz w:val="24"/>
          <w:szCs w:val="24"/>
          <w:lang w:val="en-GB"/>
        </w:rPr>
      </w:pPr>
    </w:p>
    <w:p w14:paraId="27B41C07" w14:textId="4A7BE3CF" w:rsidR="00E607F1" w:rsidRPr="00B55C24" w:rsidRDefault="00E607F1" w:rsidP="004A5906">
      <w:pPr>
        <w:ind w:left="851"/>
        <w:rPr>
          <w:sz w:val="24"/>
          <w:szCs w:val="24"/>
          <w:lang w:val="en-GB"/>
        </w:rPr>
      </w:pPr>
      <w:r w:rsidRPr="00B55C24">
        <w:rPr>
          <w:b/>
          <w:bCs/>
          <w:sz w:val="24"/>
          <w:szCs w:val="24"/>
          <w:lang w:val="en-GB"/>
        </w:rPr>
        <w:t xml:space="preserve">Dabigatran </w:t>
      </w:r>
      <w:proofErr w:type="spellStart"/>
      <w:r w:rsidRPr="00B55C24">
        <w:rPr>
          <w:b/>
          <w:bCs/>
          <w:sz w:val="24"/>
          <w:szCs w:val="24"/>
          <w:lang w:val="en-GB"/>
        </w:rPr>
        <w:t>etexilate</w:t>
      </w:r>
      <w:proofErr w:type="spellEnd"/>
      <w:r w:rsidRPr="00B55C24">
        <w:rPr>
          <w:b/>
          <w:bCs/>
          <w:sz w:val="24"/>
          <w:szCs w:val="24"/>
          <w:lang w:val="en-GB"/>
        </w:rPr>
        <w:t xml:space="preserve"> capsules should be taken twice daily</w:t>
      </w:r>
      <w:r w:rsidRPr="00B55C24">
        <w:rPr>
          <w:sz w:val="24"/>
          <w:szCs w:val="24"/>
          <w:lang w:val="en-GB"/>
        </w:rPr>
        <w:t>, one dose in the morning and one dose in the evening, at approximately the same time every day. The dosing interval should be as close to 12 hours as possible.</w:t>
      </w:r>
    </w:p>
    <w:p w14:paraId="43A3F16A" w14:textId="77777777" w:rsidR="00E607F1" w:rsidRPr="00B55C24" w:rsidRDefault="00E607F1" w:rsidP="004A5906">
      <w:pPr>
        <w:ind w:left="851"/>
        <w:rPr>
          <w:sz w:val="24"/>
          <w:szCs w:val="24"/>
          <w:lang w:val="en-GB"/>
        </w:rPr>
      </w:pPr>
    </w:p>
    <w:p w14:paraId="0371442E" w14:textId="77777777" w:rsidR="00E607F1" w:rsidRPr="00B55C24" w:rsidRDefault="00E607F1" w:rsidP="004A5906">
      <w:pPr>
        <w:ind w:left="851"/>
        <w:rPr>
          <w:sz w:val="24"/>
          <w:szCs w:val="24"/>
          <w:lang w:val="en-GB"/>
        </w:rPr>
      </w:pPr>
      <w:r w:rsidRPr="00B55C24">
        <w:rPr>
          <w:sz w:val="24"/>
          <w:szCs w:val="24"/>
          <w:lang w:val="en-GB"/>
        </w:rPr>
        <w:t xml:space="preserve">The recommended dose of dabigatran </w:t>
      </w:r>
      <w:proofErr w:type="spellStart"/>
      <w:r w:rsidRPr="00B55C24">
        <w:rPr>
          <w:sz w:val="24"/>
          <w:szCs w:val="24"/>
          <w:lang w:val="en-GB"/>
        </w:rPr>
        <w:t>etexilate</w:t>
      </w:r>
      <w:proofErr w:type="spellEnd"/>
      <w:r w:rsidRPr="00B55C24">
        <w:rPr>
          <w:sz w:val="24"/>
          <w:szCs w:val="24"/>
          <w:lang w:val="en-GB"/>
        </w:rPr>
        <w:t xml:space="preserve"> capsules is based on the patient’s weight and age as shown in table 3. The dose should be adjusted according to weight and age as treatment progresses.</w:t>
      </w:r>
    </w:p>
    <w:p w14:paraId="2B5155EE" w14:textId="77777777" w:rsidR="00E607F1" w:rsidRPr="00B55C24" w:rsidRDefault="00E607F1" w:rsidP="004A5906">
      <w:pPr>
        <w:ind w:left="851"/>
        <w:rPr>
          <w:sz w:val="24"/>
          <w:szCs w:val="24"/>
          <w:lang w:val="en-GB"/>
        </w:rPr>
      </w:pPr>
    </w:p>
    <w:p w14:paraId="6A5A4E4B" w14:textId="77777777" w:rsidR="00E607F1" w:rsidRPr="00B55C24" w:rsidRDefault="00E607F1" w:rsidP="004A5906">
      <w:pPr>
        <w:ind w:left="851"/>
        <w:rPr>
          <w:sz w:val="24"/>
          <w:szCs w:val="24"/>
          <w:lang w:val="en-GB"/>
        </w:rPr>
      </w:pPr>
      <w:r w:rsidRPr="00B55C24">
        <w:rPr>
          <w:sz w:val="24"/>
          <w:szCs w:val="24"/>
          <w:lang w:val="en-GB"/>
        </w:rPr>
        <w:t>For weight and age combinations not listed in the dosing table no dosing recommendation can be provided.</w:t>
      </w:r>
    </w:p>
    <w:p w14:paraId="257A9459" w14:textId="77777777" w:rsidR="00E607F1" w:rsidRPr="00B55C24" w:rsidRDefault="00E607F1" w:rsidP="004A5906">
      <w:pPr>
        <w:ind w:left="851"/>
        <w:rPr>
          <w:sz w:val="24"/>
          <w:szCs w:val="24"/>
          <w:lang w:val="en-GB"/>
        </w:rPr>
      </w:pPr>
    </w:p>
    <w:p w14:paraId="6A99F2E5" w14:textId="77777777" w:rsidR="00E607F1" w:rsidRPr="00B55C24" w:rsidRDefault="00E607F1" w:rsidP="00E607F1">
      <w:pPr>
        <w:tabs>
          <w:tab w:val="left" w:pos="851"/>
        </w:tabs>
        <w:ind w:left="851"/>
        <w:rPr>
          <w:sz w:val="24"/>
          <w:szCs w:val="24"/>
          <w:lang w:val="en-GB"/>
        </w:rPr>
      </w:pPr>
      <w:r w:rsidRPr="00B55C24">
        <w:rPr>
          <w:b/>
          <w:bCs/>
          <w:sz w:val="24"/>
          <w:szCs w:val="24"/>
          <w:lang w:val="en-GB"/>
        </w:rPr>
        <w:t xml:space="preserve">Table 3: Single and total daily dabigatran </w:t>
      </w:r>
      <w:proofErr w:type="spellStart"/>
      <w:r w:rsidRPr="00B55C24">
        <w:rPr>
          <w:b/>
          <w:bCs/>
          <w:sz w:val="24"/>
          <w:szCs w:val="24"/>
          <w:lang w:val="en-GB"/>
        </w:rPr>
        <w:t>etexilate</w:t>
      </w:r>
      <w:proofErr w:type="spellEnd"/>
      <w:r w:rsidRPr="00B55C24">
        <w:rPr>
          <w:b/>
          <w:bCs/>
          <w:sz w:val="24"/>
          <w:szCs w:val="24"/>
          <w:lang w:val="en-GB"/>
        </w:rPr>
        <w:t xml:space="preserve"> doses in milligrams (mg) by weight in kilograms (kg) and age in years of the patient</w:t>
      </w:r>
    </w:p>
    <w:p w14:paraId="2F082FDB" w14:textId="77777777" w:rsidR="00E607F1" w:rsidRPr="00B55C24" w:rsidRDefault="00E607F1" w:rsidP="00E607F1">
      <w:pPr>
        <w:tabs>
          <w:tab w:val="left" w:pos="851"/>
        </w:tabs>
        <w:ind w:left="851"/>
        <w:rPr>
          <w:sz w:val="24"/>
          <w:szCs w:val="24"/>
          <w:lang w:val="en-GB"/>
        </w:rPr>
      </w:pPr>
    </w:p>
    <w:tbl>
      <w:tblPr>
        <w:tblW w:w="5000" w:type="pct"/>
        <w:tblLook w:val="01E0" w:firstRow="1" w:lastRow="1" w:firstColumn="1" w:lastColumn="1" w:noHBand="0" w:noVBand="0"/>
      </w:tblPr>
      <w:tblGrid>
        <w:gridCol w:w="2491"/>
        <w:gridCol w:w="2377"/>
        <w:gridCol w:w="2119"/>
        <w:gridCol w:w="2635"/>
      </w:tblGrid>
      <w:tr w:rsidR="00E607F1" w:rsidRPr="00D476B2" w14:paraId="7050E054" w14:textId="77777777" w:rsidTr="004A5906">
        <w:trPr>
          <w:trHeight w:val="57"/>
        </w:trPr>
        <w:tc>
          <w:tcPr>
            <w:tcW w:w="2530" w:type="pct"/>
            <w:gridSpan w:val="2"/>
            <w:tcBorders>
              <w:top w:val="single" w:sz="6" w:space="0" w:color="000000"/>
              <w:left w:val="single" w:sz="6" w:space="0" w:color="000000"/>
              <w:bottom w:val="single" w:sz="6" w:space="0" w:color="000000"/>
              <w:right w:val="single" w:sz="6" w:space="0" w:color="000000"/>
            </w:tcBorders>
            <w:hideMark/>
          </w:tcPr>
          <w:p w14:paraId="6820B747" w14:textId="77777777" w:rsidR="00E607F1" w:rsidRPr="00B55C24" w:rsidRDefault="00E607F1" w:rsidP="004A5906">
            <w:pPr>
              <w:rPr>
                <w:b/>
                <w:bCs/>
                <w:sz w:val="22"/>
                <w:szCs w:val="22"/>
                <w:lang w:val="en-GB"/>
              </w:rPr>
            </w:pPr>
            <w:r w:rsidRPr="00B55C24">
              <w:rPr>
                <w:b/>
                <w:bCs/>
                <w:sz w:val="22"/>
                <w:szCs w:val="22"/>
                <w:lang w:val="en-GB"/>
              </w:rPr>
              <w:t>Weight/age combinations</w:t>
            </w:r>
          </w:p>
        </w:tc>
        <w:tc>
          <w:tcPr>
            <w:tcW w:w="1101" w:type="pct"/>
            <w:vMerge w:val="restart"/>
            <w:tcBorders>
              <w:top w:val="single" w:sz="6" w:space="0" w:color="000000"/>
              <w:left w:val="single" w:sz="6" w:space="0" w:color="000000"/>
              <w:bottom w:val="single" w:sz="6" w:space="0" w:color="000000"/>
              <w:right w:val="single" w:sz="6" w:space="0" w:color="000000"/>
            </w:tcBorders>
            <w:hideMark/>
          </w:tcPr>
          <w:p w14:paraId="4A240D03" w14:textId="77777777" w:rsidR="00E607F1" w:rsidRPr="00B55C24" w:rsidRDefault="00E607F1" w:rsidP="004A5906">
            <w:pPr>
              <w:rPr>
                <w:b/>
                <w:bCs/>
                <w:sz w:val="22"/>
                <w:szCs w:val="22"/>
                <w:lang w:val="en-GB"/>
              </w:rPr>
            </w:pPr>
            <w:r w:rsidRPr="00B55C24">
              <w:rPr>
                <w:b/>
                <w:bCs/>
                <w:sz w:val="22"/>
                <w:szCs w:val="22"/>
                <w:lang w:val="en-GB"/>
              </w:rPr>
              <w:t>Single dose in mg</w:t>
            </w:r>
          </w:p>
        </w:tc>
        <w:tc>
          <w:tcPr>
            <w:tcW w:w="1369" w:type="pct"/>
            <w:vMerge w:val="restart"/>
            <w:tcBorders>
              <w:top w:val="single" w:sz="6" w:space="0" w:color="000000"/>
              <w:left w:val="single" w:sz="6" w:space="0" w:color="000000"/>
              <w:bottom w:val="single" w:sz="6" w:space="0" w:color="000000"/>
              <w:right w:val="single" w:sz="6" w:space="0" w:color="000000"/>
            </w:tcBorders>
            <w:hideMark/>
          </w:tcPr>
          <w:p w14:paraId="64140D58" w14:textId="77777777" w:rsidR="00E607F1" w:rsidRPr="00B55C24" w:rsidRDefault="00E607F1" w:rsidP="004A5906">
            <w:pPr>
              <w:rPr>
                <w:b/>
                <w:bCs/>
                <w:sz w:val="22"/>
                <w:szCs w:val="22"/>
                <w:lang w:val="en-GB"/>
              </w:rPr>
            </w:pPr>
            <w:r w:rsidRPr="00B55C24">
              <w:rPr>
                <w:b/>
                <w:bCs/>
                <w:sz w:val="22"/>
                <w:szCs w:val="22"/>
                <w:lang w:val="en-GB"/>
              </w:rPr>
              <w:t>Total daily dose in mg</w:t>
            </w:r>
          </w:p>
        </w:tc>
      </w:tr>
      <w:tr w:rsidR="00E607F1" w:rsidRPr="00B55C24" w14:paraId="0C454BDB"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9BADDEA" w14:textId="77777777" w:rsidR="00E607F1" w:rsidRPr="00B55C24" w:rsidRDefault="00E607F1" w:rsidP="004A5906">
            <w:pPr>
              <w:rPr>
                <w:b/>
                <w:bCs/>
                <w:sz w:val="22"/>
                <w:szCs w:val="22"/>
                <w:lang w:val="en-GB"/>
              </w:rPr>
            </w:pPr>
            <w:r w:rsidRPr="00B55C24">
              <w:rPr>
                <w:b/>
                <w:bCs/>
                <w:sz w:val="22"/>
                <w:szCs w:val="22"/>
                <w:lang w:val="en-GB"/>
              </w:rPr>
              <w:t>Weight in kg</w:t>
            </w:r>
          </w:p>
        </w:tc>
        <w:tc>
          <w:tcPr>
            <w:tcW w:w="1235" w:type="pct"/>
            <w:tcBorders>
              <w:top w:val="single" w:sz="6" w:space="0" w:color="000000"/>
              <w:left w:val="single" w:sz="6" w:space="0" w:color="000000"/>
              <w:bottom w:val="single" w:sz="6" w:space="0" w:color="000000"/>
              <w:right w:val="single" w:sz="6" w:space="0" w:color="000000"/>
            </w:tcBorders>
            <w:hideMark/>
          </w:tcPr>
          <w:p w14:paraId="40E04D53" w14:textId="77777777" w:rsidR="00E607F1" w:rsidRPr="00B55C24" w:rsidRDefault="00E607F1" w:rsidP="004A5906">
            <w:pPr>
              <w:rPr>
                <w:b/>
                <w:bCs/>
                <w:sz w:val="22"/>
                <w:szCs w:val="22"/>
                <w:lang w:val="en-GB"/>
              </w:rPr>
            </w:pPr>
            <w:r w:rsidRPr="00B55C24">
              <w:rPr>
                <w:b/>
                <w:bCs/>
                <w:sz w:val="22"/>
                <w:szCs w:val="22"/>
                <w:lang w:val="en-GB"/>
              </w:rPr>
              <w:t>Age in years</w:t>
            </w:r>
          </w:p>
        </w:tc>
        <w:tc>
          <w:tcPr>
            <w:tcW w:w="1101" w:type="pct"/>
            <w:vMerge/>
            <w:tcBorders>
              <w:top w:val="single" w:sz="6" w:space="0" w:color="000000"/>
              <w:left w:val="single" w:sz="6" w:space="0" w:color="000000"/>
              <w:bottom w:val="single" w:sz="6" w:space="0" w:color="000000"/>
              <w:right w:val="single" w:sz="6" w:space="0" w:color="000000"/>
            </w:tcBorders>
            <w:vAlign w:val="center"/>
            <w:hideMark/>
          </w:tcPr>
          <w:p w14:paraId="78033188" w14:textId="77777777" w:rsidR="00E607F1" w:rsidRPr="00B55C24" w:rsidRDefault="00E607F1" w:rsidP="004A5906">
            <w:pPr>
              <w:rPr>
                <w:b/>
                <w:bCs/>
                <w:sz w:val="22"/>
                <w:szCs w:val="22"/>
                <w:lang w:val="en-GB"/>
              </w:rPr>
            </w:pPr>
          </w:p>
        </w:tc>
        <w:tc>
          <w:tcPr>
            <w:tcW w:w="1369" w:type="pct"/>
            <w:vMerge/>
            <w:tcBorders>
              <w:top w:val="single" w:sz="6" w:space="0" w:color="000000"/>
              <w:left w:val="single" w:sz="6" w:space="0" w:color="000000"/>
              <w:bottom w:val="single" w:sz="6" w:space="0" w:color="000000"/>
              <w:right w:val="single" w:sz="6" w:space="0" w:color="000000"/>
            </w:tcBorders>
            <w:vAlign w:val="center"/>
            <w:hideMark/>
          </w:tcPr>
          <w:p w14:paraId="2D901A14" w14:textId="77777777" w:rsidR="00E607F1" w:rsidRPr="00B55C24" w:rsidRDefault="00E607F1" w:rsidP="004A5906">
            <w:pPr>
              <w:rPr>
                <w:b/>
                <w:bCs/>
                <w:sz w:val="22"/>
                <w:szCs w:val="22"/>
                <w:lang w:val="en-GB"/>
              </w:rPr>
            </w:pPr>
          </w:p>
        </w:tc>
      </w:tr>
      <w:tr w:rsidR="00E607F1" w:rsidRPr="00B55C24" w14:paraId="5808ADCF"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597BDB30" w14:textId="77777777" w:rsidR="00E607F1" w:rsidRPr="00B55C24" w:rsidRDefault="00E607F1" w:rsidP="004A5906">
            <w:pPr>
              <w:rPr>
                <w:sz w:val="22"/>
                <w:szCs w:val="22"/>
                <w:lang w:val="en-GB"/>
              </w:rPr>
            </w:pPr>
            <w:r w:rsidRPr="00B55C24">
              <w:rPr>
                <w:sz w:val="22"/>
                <w:szCs w:val="22"/>
                <w:lang w:val="en-GB"/>
              </w:rPr>
              <w:t>11 to &lt; 13</w:t>
            </w:r>
          </w:p>
        </w:tc>
        <w:tc>
          <w:tcPr>
            <w:tcW w:w="1235" w:type="pct"/>
            <w:tcBorders>
              <w:top w:val="single" w:sz="6" w:space="0" w:color="000000"/>
              <w:left w:val="single" w:sz="6" w:space="0" w:color="000000"/>
              <w:bottom w:val="single" w:sz="6" w:space="0" w:color="000000"/>
              <w:right w:val="single" w:sz="6" w:space="0" w:color="000000"/>
            </w:tcBorders>
            <w:hideMark/>
          </w:tcPr>
          <w:p w14:paraId="7F9496FA" w14:textId="77777777" w:rsidR="00E607F1" w:rsidRPr="00B55C24" w:rsidRDefault="00E607F1" w:rsidP="004A5906">
            <w:pPr>
              <w:rPr>
                <w:sz w:val="22"/>
                <w:szCs w:val="22"/>
                <w:lang w:val="en-GB"/>
              </w:rPr>
            </w:pPr>
            <w:r w:rsidRPr="00B55C24">
              <w:rPr>
                <w:sz w:val="22"/>
                <w:szCs w:val="22"/>
                <w:lang w:val="en-GB"/>
              </w:rPr>
              <w:t>8 to &lt; 9</w:t>
            </w:r>
          </w:p>
        </w:tc>
        <w:tc>
          <w:tcPr>
            <w:tcW w:w="1101" w:type="pct"/>
            <w:tcBorders>
              <w:top w:val="single" w:sz="6" w:space="0" w:color="000000"/>
              <w:left w:val="single" w:sz="6" w:space="0" w:color="000000"/>
              <w:bottom w:val="single" w:sz="6" w:space="0" w:color="000000"/>
              <w:right w:val="single" w:sz="6" w:space="0" w:color="000000"/>
            </w:tcBorders>
            <w:hideMark/>
          </w:tcPr>
          <w:p w14:paraId="0270ED29" w14:textId="77777777" w:rsidR="00E607F1" w:rsidRPr="00B55C24" w:rsidRDefault="00E607F1" w:rsidP="004A5906">
            <w:pPr>
              <w:rPr>
                <w:sz w:val="22"/>
                <w:szCs w:val="22"/>
                <w:lang w:val="en-GB"/>
              </w:rPr>
            </w:pPr>
            <w:r w:rsidRPr="00B55C24">
              <w:rPr>
                <w:sz w:val="22"/>
                <w:szCs w:val="22"/>
                <w:lang w:val="en-GB"/>
              </w:rPr>
              <w:t>75*</w:t>
            </w:r>
          </w:p>
        </w:tc>
        <w:tc>
          <w:tcPr>
            <w:tcW w:w="1369" w:type="pct"/>
            <w:tcBorders>
              <w:top w:val="single" w:sz="6" w:space="0" w:color="000000"/>
              <w:left w:val="single" w:sz="6" w:space="0" w:color="000000"/>
              <w:bottom w:val="single" w:sz="6" w:space="0" w:color="000000"/>
              <w:right w:val="single" w:sz="6" w:space="0" w:color="000000"/>
            </w:tcBorders>
            <w:hideMark/>
          </w:tcPr>
          <w:p w14:paraId="4146E695" w14:textId="77777777" w:rsidR="00E607F1" w:rsidRPr="00B55C24" w:rsidRDefault="00E607F1" w:rsidP="004A5906">
            <w:pPr>
              <w:rPr>
                <w:sz w:val="22"/>
                <w:szCs w:val="22"/>
                <w:lang w:val="en-GB"/>
              </w:rPr>
            </w:pPr>
            <w:r w:rsidRPr="00B55C24">
              <w:rPr>
                <w:sz w:val="22"/>
                <w:szCs w:val="22"/>
                <w:lang w:val="en-GB"/>
              </w:rPr>
              <w:t>150</w:t>
            </w:r>
          </w:p>
        </w:tc>
      </w:tr>
      <w:tr w:rsidR="00E607F1" w:rsidRPr="00B55C24" w14:paraId="016EFA91"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000BA36" w14:textId="77777777" w:rsidR="00E607F1" w:rsidRPr="00B55C24" w:rsidRDefault="00E607F1" w:rsidP="004A5906">
            <w:pPr>
              <w:rPr>
                <w:sz w:val="22"/>
                <w:szCs w:val="22"/>
                <w:lang w:val="en-GB"/>
              </w:rPr>
            </w:pPr>
            <w:r w:rsidRPr="00B55C24">
              <w:rPr>
                <w:sz w:val="22"/>
                <w:szCs w:val="22"/>
                <w:lang w:val="en-GB"/>
              </w:rPr>
              <w:t>13 to &lt; 16</w:t>
            </w:r>
          </w:p>
        </w:tc>
        <w:tc>
          <w:tcPr>
            <w:tcW w:w="1235" w:type="pct"/>
            <w:tcBorders>
              <w:top w:val="single" w:sz="6" w:space="0" w:color="000000"/>
              <w:left w:val="single" w:sz="6" w:space="0" w:color="000000"/>
              <w:bottom w:val="single" w:sz="6" w:space="0" w:color="000000"/>
              <w:right w:val="single" w:sz="6" w:space="0" w:color="000000"/>
            </w:tcBorders>
            <w:hideMark/>
          </w:tcPr>
          <w:p w14:paraId="16F4858F" w14:textId="77777777" w:rsidR="00E607F1" w:rsidRPr="00B55C24" w:rsidRDefault="00E607F1" w:rsidP="004A5906">
            <w:pPr>
              <w:rPr>
                <w:sz w:val="22"/>
                <w:szCs w:val="22"/>
                <w:lang w:val="en-GB"/>
              </w:rPr>
            </w:pPr>
            <w:r w:rsidRPr="00B55C24">
              <w:rPr>
                <w:sz w:val="22"/>
                <w:szCs w:val="22"/>
                <w:lang w:val="en-GB"/>
              </w:rPr>
              <w:t>8 to &lt; 11</w:t>
            </w:r>
          </w:p>
        </w:tc>
        <w:tc>
          <w:tcPr>
            <w:tcW w:w="1101" w:type="pct"/>
            <w:tcBorders>
              <w:top w:val="single" w:sz="6" w:space="0" w:color="000000"/>
              <w:left w:val="single" w:sz="6" w:space="0" w:color="000000"/>
              <w:bottom w:val="single" w:sz="6" w:space="0" w:color="000000"/>
              <w:right w:val="single" w:sz="6" w:space="0" w:color="000000"/>
            </w:tcBorders>
            <w:hideMark/>
          </w:tcPr>
          <w:p w14:paraId="3DB46D8E" w14:textId="77777777" w:rsidR="00E607F1" w:rsidRPr="00B55C24" w:rsidRDefault="00E607F1" w:rsidP="004A5906">
            <w:pPr>
              <w:rPr>
                <w:sz w:val="22"/>
                <w:szCs w:val="22"/>
                <w:lang w:val="en-GB"/>
              </w:rPr>
            </w:pPr>
            <w:r w:rsidRPr="00B55C24">
              <w:rPr>
                <w:sz w:val="22"/>
                <w:szCs w:val="22"/>
                <w:lang w:val="en-GB"/>
              </w:rPr>
              <w:t>110</w:t>
            </w:r>
          </w:p>
        </w:tc>
        <w:tc>
          <w:tcPr>
            <w:tcW w:w="1369" w:type="pct"/>
            <w:tcBorders>
              <w:top w:val="single" w:sz="6" w:space="0" w:color="000000"/>
              <w:left w:val="single" w:sz="6" w:space="0" w:color="000000"/>
              <w:bottom w:val="single" w:sz="6" w:space="0" w:color="000000"/>
              <w:right w:val="single" w:sz="6" w:space="0" w:color="000000"/>
            </w:tcBorders>
            <w:hideMark/>
          </w:tcPr>
          <w:p w14:paraId="4DDBB9AD" w14:textId="77777777" w:rsidR="00E607F1" w:rsidRPr="00B55C24" w:rsidRDefault="00E607F1" w:rsidP="004A5906">
            <w:pPr>
              <w:rPr>
                <w:sz w:val="22"/>
                <w:szCs w:val="22"/>
                <w:lang w:val="en-GB"/>
              </w:rPr>
            </w:pPr>
            <w:r w:rsidRPr="00B55C24">
              <w:rPr>
                <w:sz w:val="22"/>
                <w:szCs w:val="22"/>
                <w:lang w:val="en-GB"/>
              </w:rPr>
              <w:t>220</w:t>
            </w:r>
          </w:p>
        </w:tc>
      </w:tr>
      <w:tr w:rsidR="00E607F1" w:rsidRPr="00B55C24" w14:paraId="54CAC990"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198F428D" w14:textId="77777777" w:rsidR="00E607F1" w:rsidRPr="00B55C24" w:rsidRDefault="00E607F1" w:rsidP="004A5906">
            <w:pPr>
              <w:rPr>
                <w:sz w:val="22"/>
                <w:szCs w:val="22"/>
                <w:lang w:val="en-GB"/>
              </w:rPr>
            </w:pPr>
            <w:r w:rsidRPr="00B55C24">
              <w:rPr>
                <w:sz w:val="22"/>
                <w:szCs w:val="22"/>
                <w:lang w:val="en-GB"/>
              </w:rPr>
              <w:t>16 to &lt; 21</w:t>
            </w:r>
          </w:p>
        </w:tc>
        <w:tc>
          <w:tcPr>
            <w:tcW w:w="1235" w:type="pct"/>
            <w:tcBorders>
              <w:top w:val="single" w:sz="6" w:space="0" w:color="000000"/>
              <w:left w:val="single" w:sz="6" w:space="0" w:color="000000"/>
              <w:bottom w:val="single" w:sz="6" w:space="0" w:color="000000"/>
              <w:right w:val="single" w:sz="6" w:space="0" w:color="000000"/>
            </w:tcBorders>
            <w:hideMark/>
          </w:tcPr>
          <w:p w14:paraId="27F8E5B4" w14:textId="77777777" w:rsidR="00E607F1" w:rsidRPr="00B55C24" w:rsidRDefault="00E607F1" w:rsidP="004A5906">
            <w:pPr>
              <w:rPr>
                <w:sz w:val="22"/>
                <w:szCs w:val="22"/>
                <w:lang w:val="en-GB"/>
              </w:rPr>
            </w:pPr>
            <w:r w:rsidRPr="00B55C24">
              <w:rPr>
                <w:sz w:val="22"/>
                <w:szCs w:val="22"/>
                <w:lang w:val="en-GB"/>
              </w:rPr>
              <w:t>8 to &lt; 14</w:t>
            </w:r>
          </w:p>
        </w:tc>
        <w:tc>
          <w:tcPr>
            <w:tcW w:w="1101" w:type="pct"/>
            <w:tcBorders>
              <w:top w:val="single" w:sz="6" w:space="0" w:color="000000"/>
              <w:left w:val="single" w:sz="6" w:space="0" w:color="000000"/>
              <w:bottom w:val="single" w:sz="6" w:space="0" w:color="000000"/>
              <w:right w:val="single" w:sz="6" w:space="0" w:color="000000"/>
            </w:tcBorders>
            <w:hideMark/>
          </w:tcPr>
          <w:p w14:paraId="1290FE80" w14:textId="77777777" w:rsidR="00E607F1" w:rsidRPr="00B55C24" w:rsidRDefault="00E607F1" w:rsidP="004A5906">
            <w:pPr>
              <w:rPr>
                <w:sz w:val="22"/>
                <w:szCs w:val="22"/>
                <w:lang w:val="en-GB"/>
              </w:rPr>
            </w:pPr>
            <w:r w:rsidRPr="00B55C24">
              <w:rPr>
                <w:sz w:val="22"/>
                <w:szCs w:val="22"/>
                <w:lang w:val="en-GB"/>
              </w:rPr>
              <w:t>110</w:t>
            </w:r>
          </w:p>
        </w:tc>
        <w:tc>
          <w:tcPr>
            <w:tcW w:w="1369" w:type="pct"/>
            <w:tcBorders>
              <w:top w:val="single" w:sz="6" w:space="0" w:color="000000"/>
              <w:left w:val="single" w:sz="6" w:space="0" w:color="000000"/>
              <w:bottom w:val="single" w:sz="6" w:space="0" w:color="000000"/>
              <w:right w:val="single" w:sz="6" w:space="0" w:color="000000"/>
            </w:tcBorders>
            <w:hideMark/>
          </w:tcPr>
          <w:p w14:paraId="5F8036FF" w14:textId="77777777" w:rsidR="00E607F1" w:rsidRPr="00B55C24" w:rsidRDefault="00E607F1" w:rsidP="004A5906">
            <w:pPr>
              <w:rPr>
                <w:sz w:val="22"/>
                <w:szCs w:val="22"/>
                <w:lang w:val="en-GB"/>
              </w:rPr>
            </w:pPr>
            <w:r w:rsidRPr="00B55C24">
              <w:rPr>
                <w:sz w:val="22"/>
                <w:szCs w:val="22"/>
                <w:lang w:val="en-GB"/>
              </w:rPr>
              <w:t>220</w:t>
            </w:r>
          </w:p>
        </w:tc>
      </w:tr>
      <w:tr w:rsidR="00E607F1" w:rsidRPr="00B55C24" w14:paraId="093772C3"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02A37148" w14:textId="77777777" w:rsidR="00E607F1" w:rsidRPr="00B55C24" w:rsidRDefault="00E607F1" w:rsidP="004A5906">
            <w:pPr>
              <w:rPr>
                <w:sz w:val="22"/>
                <w:szCs w:val="22"/>
                <w:lang w:val="en-GB"/>
              </w:rPr>
            </w:pPr>
            <w:r w:rsidRPr="00B55C24">
              <w:rPr>
                <w:sz w:val="22"/>
                <w:szCs w:val="22"/>
                <w:lang w:val="en-GB"/>
              </w:rPr>
              <w:t>21 to &lt; 26</w:t>
            </w:r>
          </w:p>
        </w:tc>
        <w:tc>
          <w:tcPr>
            <w:tcW w:w="1235" w:type="pct"/>
            <w:tcBorders>
              <w:top w:val="single" w:sz="6" w:space="0" w:color="000000"/>
              <w:left w:val="single" w:sz="6" w:space="0" w:color="000000"/>
              <w:bottom w:val="single" w:sz="6" w:space="0" w:color="000000"/>
              <w:right w:val="single" w:sz="6" w:space="0" w:color="000000"/>
            </w:tcBorders>
            <w:hideMark/>
          </w:tcPr>
          <w:p w14:paraId="533D9412" w14:textId="77777777" w:rsidR="00E607F1" w:rsidRPr="00B55C24" w:rsidRDefault="00E607F1" w:rsidP="004A5906">
            <w:pPr>
              <w:rPr>
                <w:sz w:val="22"/>
                <w:szCs w:val="22"/>
                <w:lang w:val="en-GB"/>
              </w:rPr>
            </w:pPr>
            <w:r w:rsidRPr="00B55C24">
              <w:rPr>
                <w:sz w:val="22"/>
                <w:szCs w:val="22"/>
                <w:lang w:val="en-GB"/>
              </w:rPr>
              <w:t>8 to &lt; 16</w:t>
            </w:r>
          </w:p>
        </w:tc>
        <w:tc>
          <w:tcPr>
            <w:tcW w:w="1101" w:type="pct"/>
            <w:tcBorders>
              <w:top w:val="single" w:sz="6" w:space="0" w:color="000000"/>
              <w:left w:val="single" w:sz="6" w:space="0" w:color="000000"/>
              <w:bottom w:val="single" w:sz="6" w:space="0" w:color="000000"/>
              <w:right w:val="single" w:sz="6" w:space="0" w:color="000000"/>
            </w:tcBorders>
            <w:hideMark/>
          </w:tcPr>
          <w:p w14:paraId="7C666A3A" w14:textId="77777777" w:rsidR="00E607F1" w:rsidRPr="00B55C24" w:rsidRDefault="00E607F1" w:rsidP="004A5906">
            <w:pPr>
              <w:rPr>
                <w:sz w:val="22"/>
                <w:szCs w:val="22"/>
                <w:lang w:val="en-GB"/>
              </w:rPr>
            </w:pPr>
            <w:r w:rsidRPr="00B55C24">
              <w:rPr>
                <w:sz w:val="22"/>
                <w:szCs w:val="22"/>
                <w:lang w:val="en-GB"/>
              </w:rPr>
              <w:t>150</w:t>
            </w:r>
          </w:p>
        </w:tc>
        <w:tc>
          <w:tcPr>
            <w:tcW w:w="1369" w:type="pct"/>
            <w:tcBorders>
              <w:top w:val="single" w:sz="6" w:space="0" w:color="000000"/>
              <w:left w:val="single" w:sz="6" w:space="0" w:color="000000"/>
              <w:bottom w:val="single" w:sz="6" w:space="0" w:color="000000"/>
              <w:right w:val="single" w:sz="6" w:space="0" w:color="000000"/>
            </w:tcBorders>
            <w:hideMark/>
          </w:tcPr>
          <w:p w14:paraId="0006354D" w14:textId="77777777" w:rsidR="00E607F1" w:rsidRPr="00B55C24" w:rsidRDefault="00E607F1" w:rsidP="004A5906">
            <w:pPr>
              <w:rPr>
                <w:sz w:val="22"/>
                <w:szCs w:val="22"/>
                <w:lang w:val="en-GB"/>
              </w:rPr>
            </w:pPr>
            <w:r w:rsidRPr="00B55C24">
              <w:rPr>
                <w:sz w:val="22"/>
                <w:szCs w:val="22"/>
                <w:lang w:val="en-GB"/>
              </w:rPr>
              <w:t>300</w:t>
            </w:r>
          </w:p>
        </w:tc>
      </w:tr>
      <w:tr w:rsidR="00E607F1" w:rsidRPr="00B55C24" w14:paraId="0AF7127F"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2F3A67A0" w14:textId="77777777" w:rsidR="00E607F1" w:rsidRPr="00B55C24" w:rsidRDefault="00E607F1" w:rsidP="004A5906">
            <w:pPr>
              <w:rPr>
                <w:sz w:val="22"/>
                <w:szCs w:val="22"/>
                <w:lang w:val="en-GB"/>
              </w:rPr>
            </w:pPr>
            <w:r w:rsidRPr="00B55C24">
              <w:rPr>
                <w:sz w:val="22"/>
                <w:szCs w:val="22"/>
                <w:lang w:val="en-GB"/>
              </w:rPr>
              <w:t>26 to &lt; 31</w:t>
            </w:r>
          </w:p>
        </w:tc>
        <w:tc>
          <w:tcPr>
            <w:tcW w:w="1235" w:type="pct"/>
            <w:tcBorders>
              <w:top w:val="single" w:sz="6" w:space="0" w:color="000000"/>
              <w:left w:val="single" w:sz="6" w:space="0" w:color="000000"/>
              <w:bottom w:val="single" w:sz="6" w:space="0" w:color="000000"/>
              <w:right w:val="single" w:sz="6" w:space="0" w:color="000000"/>
            </w:tcBorders>
            <w:hideMark/>
          </w:tcPr>
          <w:p w14:paraId="6EA642E0"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7B608C9F" w14:textId="77777777" w:rsidR="00E607F1" w:rsidRPr="00B55C24" w:rsidRDefault="00E607F1" w:rsidP="004A5906">
            <w:pPr>
              <w:rPr>
                <w:sz w:val="22"/>
                <w:szCs w:val="22"/>
                <w:lang w:val="en-GB"/>
              </w:rPr>
            </w:pPr>
            <w:r w:rsidRPr="00B55C24">
              <w:rPr>
                <w:sz w:val="22"/>
                <w:szCs w:val="22"/>
                <w:lang w:val="en-GB"/>
              </w:rPr>
              <w:t>150</w:t>
            </w:r>
          </w:p>
        </w:tc>
        <w:tc>
          <w:tcPr>
            <w:tcW w:w="1369" w:type="pct"/>
            <w:tcBorders>
              <w:top w:val="single" w:sz="6" w:space="0" w:color="000000"/>
              <w:left w:val="single" w:sz="6" w:space="0" w:color="000000"/>
              <w:bottom w:val="single" w:sz="6" w:space="0" w:color="000000"/>
              <w:right w:val="single" w:sz="6" w:space="0" w:color="000000"/>
            </w:tcBorders>
            <w:hideMark/>
          </w:tcPr>
          <w:p w14:paraId="41FFBCB4" w14:textId="77777777" w:rsidR="00E607F1" w:rsidRPr="00B55C24" w:rsidRDefault="00E607F1" w:rsidP="004A5906">
            <w:pPr>
              <w:rPr>
                <w:sz w:val="22"/>
                <w:szCs w:val="22"/>
                <w:lang w:val="en-GB"/>
              </w:rPr>
            </w:pPr>
            <w:r w:rsidRPr="00B55C24">
              <w:rPr>
                <w:sz w:val="22"/>
                <w:szCs w:val="22"/>
                <w:lang w:val="en-GB"/>
              </w:rPr>
              <w:t>300</w:t>
            </w:r>
          </w:p>
        </w:tc>
      </w:tr>
      <w:tr w:rsidR="00E607F1" w:rsidRPr="00B55C24" w14:paraId="2044C49C"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438D4217" w14:textId="77777777" w:rsidR="00E607F1" w:rsidRPr="00B55C24" w:rsidRDefault="00E607F1" w:rsidP="004A5906">
            <w:pPr>
              <w:rPr>
                <w:sz w:val="22"/>
                <w:szCs w:val="22"/>
                <w:lang w:val="en-GB"/>
              </w:rPr>
            </w:pPr>
            <w:r w:rsidRPr="00B55C24">
              <w:rPr>
                <w:sz w:val="22"/>
                <w:szCs w:val="22"/>
                <w:lang w:val="en-GB"/>
              </w:rPr>
              <w:t>31 to &lt; 41</w:t>
            </w:r>
          </w:p>
        </w:tc>
        <w:tc>
          <w:tcPr>
            <w:tcW w:w="1235" w:type="pct"/>
            <w:tcBorders>
              <w:top w:val="single" w:sz="6" w:space="0" w:color="000000"/>
              <w:left w:val="single" w:sz="6" w:space="0" w:color="000000"/>
              <w:bottom w:val="single" w:sz="6" w:space="0" w:color="000000"/>
              <w:right w:val="single" w:sz="6" w:space="0" w:color="000000"/>
            </w:tcBorders>
            <w:hideMark/>
          </w:tcPr>
          <w:p w14:paraId="1D2D4FCA"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6E5AAD48" w14:textId="77777777" w:rsidR="00E607F1" w:rsidRPr="00B55C24" w:rsidRDefault="00E607F1" w:rsidP="004A5906">
            <w:pPr>
              <w:rPr>
                <w:sz w:val="22"/>
                <w:szCs w:val="22"/>
                <w:lang w:val="en-GB"/>
              </w:rPr>
            </w:pPr>
            <w:r w:rsidRPr="00B55C24">
              <w:rPr>
                <w:sz w:val="22"/>
                <w:szCs w:val="22"/>
                <w:lang w:val="en-GB"/>
              </w:rPr>
              <w:t>185*</w:t>
            </w:r>
          </w:p>
        </w:tc>
        <w:tc>
          <w:tcPr>
            <w:tcW w:w="1369" w:type="pct"/>
            <w:tcBorders>
              <w:top w:val="single" w:sz="6" w:space="0" w:color="000000"/>
              <w:left w:val="single" w:sz="6" w:space="0" w:color="000000"/>
              <w:bottom w:val="single" w:sz="6" w:space="0" w:color="000000"/>
              <w:right w:val="single" w:sz="6" w:space="0" w:color="000000"/>
            </w:tcBorders>
            <w:hideMark/>
          </w:tcPr>
          <w:p w14:paraId="27B68623" w14:textId="77777777" w:rsidR="00E607F1" w:rsidRPr="00B55C24" w:rsidRDefault="00E607F1" w:rsidP="004A5906">
            <w:pPr>
              <w:rPr>
                <w:sz w:val="22"/>
                <w:szCs w:val="22"/>
                <w:lang w:val="en-GB"/>
              </w:rPr>
            </w:pPr>
            <w:r w:rsidRPr="00B55C24">
              <w:rPr>
                <w:sz w:val="22"/>
                <w:szCs w:val="22"/>
                <w:lang w:val="en-GB"/>
              </w:rPr>
              <w:t>370</w:t>
            </w:r>
          </w:p>
        </w:tc>
      </w:tr>
      <w:tr w:rsidR="00E607F1" w:rsidRPr="00B55C24" w14:paraId="66F942E5"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09374AA0" w14:textId="77777777" w:rsidR="00E607F1" w:rsidRPr="00B55C24" w:rsidRDefault="00E607F1" w:rsidP="004A5906">
            <w:pPr>
              <w:rPr>
                <w:sz w:val="22"/>
                <w:szCs w:val="22"/>
                <w:lang w:val="en-GB"/>
              </w:rPr>
            </w:pPr>
            <w:r w:rsidRPr="00B55C24">
              <w:rPr>
                <w:sz w:val="22"/>
                <w:szCs w:val="22"/>
                <w:lang w:val="en-GB"/>
              </w:rPr>
              <w:t>41 to &lt; 51</w:t>
            </w:r>
          </w:p>
        </w:tc>
        <w:tc>
          <w:tcPr>
            <w:tcW w:w="1235" w:type="pct"/>
            <w:tcBorders>
              <w:top w:val="single" w:sz="6" w:space="0" w:color="000000"/>
              <w:left w:val="single" w:sz="6" w:space="0" w:color="000000"/>
              <w:bottom w:val="single" w:sz="6" w:space="0" w:color="000000"/>
              <w:right w:val="single" w:sz="6" w:space="0" w:color="000000"/>
            </w:tcBorders>
            <w:hideMark/>
          </w:tcPr>
          <w:p w14:paraId="29368736"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2BEDE71A" w14:textId="77777777" w:rsidR="00E607F1" w:rsidRPr="00B55C24" w:rsidRDefault="00E607F1" w:rsidP="004A5906">
            <w:pPr>
              <w:rPr>
                <w:sz w:val="22"/>
                <w:szCs w:val="22"/>
                <w:lang w:val="en-GB"/>
              </w:rPr>
            </w:pPr>
            <w:r w:rsidRPr="00B55C24">
              <w:rPr>
                <w:sz w:val="22"/>
                <w:szCs w:val="22"/>
                <w:lang w:val="en-GB"/>
              </w:rPr>
              <w:t>220</w:t>
            </w:r>
          </w:p>
        </w:tc>
        <w:tc>
          <w:tcPr>
            <w:tcW w:w="1369" w:type="pct"/>
            <w:tcBorders>
              <w:top w:val="single" w:sz="6" w:space="0" w:color="000000"/>
              <w:left w:val="single" w:sz="6" w:space="0" w:color="000000"/>
              <w:bottom w:val="single" w:sz="6" w:space="0" w:color="000000"/>
              <w:right w:val="single" w:sz="6" w:space="0" w:color="000000"/>
            </w:tcBorders>
            <w:hideMark/>
          </w:tcPr>
          <w:p w14:paraId="60C7AB08" w14:textId="77777777" w:rsidR="00E607F1" w:rsidRPr="00B55C24" w:rsidRDefault="00E607F1" w:rsidP="004A5906">
            <w:pPr>
              <w:rPr>
                <w:sz w:val="22"/>
                <w:szCs w:val="22"/>
                <w:lang w:val="en-GB"/>
              </w:rPr>
            </w:pPr>
            <w:r w:rsidRPr="00B55C24">
              <w:rPr>
                <w:sz w:val="22"/>
                <w:szCs w:val="22"/>
                <w:lang w:val="en-GB"/>
              </w:rPr>
              <w:t>440</w:t>
            </w:r>
          </w:p>
        </w:tc>
      </w:tr>
      <w:tr w:rsidR="00E607F1" w:rsidRPr="00B55C24" w14:paraId="4C6A7AEB"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0388481A" w14:textId="77777777" w:rsidR="00E607F1" w:rsidRPr="00B55C24" w:rsidRDefault="00E607F1" w:rsidP="004A5906">
            <w:pPr>
              <w:rPr>
                <w:sz w:val="22"/>
                <w:szCs w:val="22"/>
                <w:lang w:val="en-GB"/>
              </w:rPr>
            </w:pPr>
            <w:r w:rsidRPr="00B55C24">
              <w:rPr>
                <w:sz w:val="22"/>
                <w:szCs w:val="22"/>
                <w:lang w:val="en-GB"/>
              </w:rPr>
              <w:t>51 to &lt; 61</w:t>
            </w:r>
          </w:p>
        </w:tc>
        <w:tc>
          <w:tcPr>
            <w:tcW w:w="1235" w:type="pct"/>
            <w:tcBorders>
              <w:top w:val="single" w:sz="6" w:space="0" w:color="000000"/>
              <w:left w:val="single" w:sz="6" w:space="0" w:color="000000"/>
              <w:bottom w:val="single" w:sz="6" w:space="0" w:color="000000"/>
              <w:right w:val="single" w:sz="6" w:space="0" w:color="000000"/>
            </w:tcBorders>
            <w:hideMark/>
          </w:tcPr>
          <w:p w14:paraId="1E42B90E"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00C21CFD" w14:textId="77777777" w:rsidR="00E607F1" w:rsidRPr="00B55C24" w:rsidRDefault="00E607F1" w:rsidP="004A5906">
            <w:pPr>
              <w:rPr>
                <w:sz w:val="22"/>
                <w:szCs w:val="22"/>
                <w:lang w:val="en-GB"/>
              </w:rPr>
            </w:pPr>
            <w:r w:rsidRPr="00B55C24">
              <w:rPr>
                <w:sz w:val="22"/>
                <w:szCs w:val="22"/>
                <w:lang w:val="en-GB"/>
              </w:rPr>
              <w:t>260</w:t>
            </w:r>
          </w:p>
        </w:tc>
        <w:tc>
          <w:tcPr>
            <w:tcW w:w="1369" w:type="pct"/>
            <w:tcBorders>
              <w:top w:val="single" w:sz="6" w:space="0" w:color="000000"/>
              <w:left w:val="single" w:sz="6" w:space="0" w:color="000000"/>
              <w:bottom w:val="single" w:sz="6" w:space="0" w:color="000000"/>
              <w:right w:val="single" w:sz="6" w:space="0" w:color="000000"/>
            </w:tcBorders>
            <w:hideMark/>
          </w:tcPr>
          <w:p w14:paraId="31DED3A7" w14:textId="77777777" w:rsidR="00E607F1" w:rsidRPr="00B55C24" w:rsidRDefault="00E607F1" w:rsidP="004A5906">
            <w:pPr>
              <w:rPr>
                <w:sz w:val="22"/>
                <w:szCs w:val="22"/>
                <w:lang w:val="en-GB"/>
              </w:rPr>
            </w:pPr>
            <w:r w:rsidRPr="00B55C24">
              <w:rPr>
                <w:sz w:val="22"/>
                <w:szCs w:val="22"/>
                <w:lang w:val="en-GB"/>
              </w:rPr>
              <w:t>520</w:t>
            </w:r>
          </w:p>
        </w:tc>
      </w:tr>
      <w:tr w:rsidR="00E607F1" w:rsidRPr="00B55C24" w14:paraId="2889F31E"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2BFA7921" w14:textId="77777777" w:rsidR="00E607F1" w:rsidRPr="00B55C24" w:rsidRDefault="00E607F1" w:rsidP="004A5906">
            <w:pPr>
              <w:rPr>
                <w:sz w:val="22"/>
                <w:szCs w:val="22"/>
                <w:lang w:val="en-GB"/>
              </w:rPr>
            </w:pPr>
            <w:r w:rsidRPr="00B55C24">
              <w:rPr>
                <w:sz w:val="22"/>
                <w:szCs w:val="22"/>
                <w:lang w:val="en-GB"/>
              </w:rPr>
              <w:t>61 to &lt; 71</w:t>
            </w:r>
          </w:p>
        </w:tc>
        <w:tc>
          <w:tcPr>
            <w:tcW w:w="1235" w:type="pct"/>
            <w:tcBorders>
              <w:top w:val="single" w:sz="6" w:space="0" w:color="000000"/>
              <w:left w:val="single" w:sz="6" w:space="0" w:color="000000"/>
              <w:bottom w:val="single" w:sz="6" w:space="0" w:color="000000"/>
              <w:right w:val="single" w:sz="6" w:space="0" w:color="000000"/>
            </w:tcBorders>
            <w:hideMark/>
          </w:tcPr>
          <w:p w14:paraId="4305AA6D"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4B67DD5B" w14:textId="77777777" w:rsidR="00E607F1" w:rsidRPr="00B55C24" w:rsidRDefault="00E607F1" w:rsidP="004A5906">
            <w:pPr>
              <w:rPr>
                <w:sz w:val="22"/>
                <w:szCs w:val="22"/>
                <w:lang w:val="en-GB"/>
              </w:rPr>
            </w:pPr>
            <w:r w:rsidRPr="00B55C24">
              <w:rPr>
                <w:sz w:val="22"/>
                <w:szCs w:val="22"/>
                <w:lang w:val="en-GB"/>
              </w:rPr>
              <w:t>300</w:t>
            </w:r>
          </w:p>
        </w:tc>
        <w:tc>
          <w:tcPr>
            <w:tcW w:w="1369" w:type="pct"/>
            <w:tcBorders>
              <w:top w:val="single" w:sz="6" w:space="0" w:color="000000"/>
              <w:left w:val="single" w:sz="6" w:space="0" w:color="000000"/>
              <w:bottom w:val="single" w:sz="6" w:space="0" w:color="000000"/>
              <w:right w:val="single" w:sz="6" w:space="0" w:color="000000"/>
            </w:tcBorders>
            <w:hideMark/>
          </w:tcPr>
          <w:p w14:paraId="6AA3CA04" w14:textId="77777777" w:rsidR="00E607F1" w:rsidRPr="00B55C24" w:rsidRDefault="00E607F1" w:rsidP="004A5906">
            <w:pPr>
              <w:rPr>
                <w:sz w:val="22"/>
                <w:szCs w:val="22"/>
                <w:lang w:val="en-GB"/>
              </w:rPr>
            </w:pPr>
            <w:r w:rsidRPr="00B55C24">
              <w:rPr>
                <w:sz w:val="22"/>
                <w:szCs w:val="22"/>
                <w:lang w:val="en-GB"/>
              </w:rPr>
              <w:t>600</w:t>
            </w:r>
          </w:p>
        </w:tc>
      </w:tr>
      <w:tr w:rsidR="00E607F1" w:rsidRPr="00B55C24" w14:paraId="309543F2"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4F407C72" w14:textId="77777777" w:rsidR="00E607F1" w:rsidRPr="00B55C24" w:rsidRDefault="00E607F1" w:rsidP="004A5906">
            <w:pPr>
              <w:rPr>
                <w:sz w:val="22"/>
                <w:szCs w:val="22"/>
                <w:lang w:val="en-GB"/>
              </w:rPr>
            </w:pPr>
            <w:r w:rsidRPr="00B55C24">
              <w:rPr>
                <w:sz w:val="22"/>
                <w:szCs w:val="22"/>
                <w:lang w:val="en-GB"/>
              </w:rPr>
              <w:t>71 to &lt; 81</w:t>
            </w:r>
          </w:p>
        </w:tc>
        <w:tc>
          <w:tcPr>
            <w:tcW w:w="1235" w:type="pct"/>
            <w:tcBorders>
              <w:top w:val="single" w:sz="6" w:space="0" w:color="000000"/>
              <w:left w:val="single" w:sz="6" w:space="0" w:color="000000"/>
              <w:bottom w:val="single" w:sz="6" w:space="0" w:color="000000"/>
              <w:right w:val="single" w:sz="6" w:space="0" w:color="000000"/>
            </w:tcBorders>
            <w:hideMark/>
          </w:tcPr>
          <w:p w14:paraId="77F3043E" w14:textId="77777777" w:rsidR="00E607F1" w:rsidRPr="00B55C24" w:rsidRDefault="00E607F1" w:rsidP="004A5906">
            <w:pPr>
              <w:rPr>
                <w:sz w:val="22"/>
                <w:szCs w:val="22"/>
                <w:lang w:val="en-GB"/>
              </w:rPr>
            </w:pPr>
            <w:r w:rsidRPr="00B55C24">
              <w:rPr>
                <w:sz w:val="22"/>
                <w:szCs w:val="22"/>
                <w:lang w:val="en-GB"/>
              </w:rPr>
              <w:t>8 to &lt; 18</w:t>
            </w:r>
          </w:p>
        </w:tc>
        <w:tc>
          <w:tcPr>
            <w:tcW w:w="1101" w:type="pct"/>
            <w:tcBorders>
              <w:top w:val="single" w:sz="6" w:space="0" w:color="000000"/>
              <w:left w:val="single" w:sz="6" w:space="0" w:color="000000"/>
              <w:bottom w:val="single" w:sz="6" w:space="0" w:color="000000"/>
              <w:right w:val="single" w:sz="6" w:space="0" w:color="000000"/>
            </w:tcBorders>
            <w:hideMark/>
          </w:tcPr>
          <w:p w14:paraId="40F6AEC4" w14:textId="77777777" w:rsidR="00E607F1" w:rsidRPr="00B55C24" w:rsidRDefault="00E607F1" w:rsidP="004A5906">
            <w:pPr>
              <w:rPr>
                <w:sz w:val="22"/>
                <w:szCs w:val="22"/>
                <w:lang w:val="en-GB"/>
              </w:rPr>
            </w:pPr>
            <w:r w:rsidRPr="00B55C24">
              <w:rPr>
                <w:sz w:val="22"/>
                <w:szCs w:val="22"/>
                <w:lang w:val="en-GB"/>
              </w:rPr>
              <w:t>300</w:t>
            </w:r>
          </w:p>
        </w:tc>
        <w:tc>
          <w:tcPr>
            <w:tcW w:w="1369" w:type="pct"/>
            <w:tcBorders>
              <w:top w:val="single" w:sz="6" w:space="0" w:color="000000"/>
              <w:left w:val="single" w:sz="6" w:space="0" w:color="000000"/>
              <w:bottom w:val="single" w:sz="6" w:space="0" w:color="000000"/>
              <w:right w:val="single" w:sz="6" w:space="0" w:color="000000"/>
            </w:tcBorders>
            <w:hideMark/>
          </w:tcPr>
          <w:p w14:paraId="529B72F0" w14:textId="77777777" w:rsidR="00E607F1" w:rsidRPr="00B55C24" w:rsidRDefault="00E607F1" w:rsidP="004A5906">
            <w:pPr>
              <w:rPr>
                <w:sz w:val="22"/>
                <w:szCs w:val="22"/>
                <w:lang w:val="en-GB"/>
              </w:rPr>
            </w:pPr>
            <w:r w:rsidRPr="00B55C24">
              <w:rPr>
                <w:sz w:val="22"/>
                <w:szCs w:val="22"/>
                <w:lang w:val="en-GB"/>
              </w:rPr>
              <w:t>600</w:t>
            </w:r>
          </w:p>
        </w:tc>
      </w:tr>
      <w:tr w:rsidR="00E607F1" w:rsidRPr="00B55C24" w14:paraId="7C27D859" w14:textId="77777777" w:rsidTr="004A5906">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95C5DD3" w14:textId="77777777" w:rsidR="00E607F1" w:rsidRPr="00B55C24" w:rsidRDefault="00E607F1" w:rsidP="004A5906">
            <w:pPr>
              <w:rPr>
                <w:sz w:val="22"/>
                <w:szCs w:val="22"/>
                <w:lang w:val="en-GB"/>
              </w:rPr>
            </w:pPr>
            <w:r w:rsidRPr="00B55C24">
              <w:rPr>
                <w:sz w:val="22"/>
                <w:szCs w:val="22"/>
                <w:lang w:val="en-GB"/>
              </w:rPr>
              <w:t>&gt; 81</w:t>
            </w:r>
          </w:p>
        </w:tc>
        <w:tc>
          <w:tcPr>
            <w:tcW w:w="1235" w:type="pct"/>
            <w:tcBorders>
              <w:top w:val="single" w:sz="6" w:space="0" w:color="000000"/>
              <w:left w:val="single" w:sz="6" w:space="0" w:color="000000"/>
              <w:bottom w:val="single" w:sz="6" w:space="0" w:color="000000"/>
              <w:right w:val="single" w:sz="6" w:space="0" w:color="000000"/>
            </w:tcBorders>
            <w:hideMark/>
          </w:tcPr>
          <w:p w14:paraId="1788495D" w14:textId="77777777" w:rsidR="00E607F1" w:rsidRPr="00B55C24" w:rsidRDefault="00E607F1" w:rsidP="004A5906">
            <w:pPr>
              <w:rPr>
                <w:sz w:val="22"/>
                <w:szCs w:val="22"/>
                <w:lang w:val="en-GB"/>
              </w:rPr>
            </w:pPr>
            <w:r w:rsidRPr="00B55C24">
              <w:rPr>
                <w:sz w:val="22"/>
                <w:szCs w:val="22"/>
                <w:lang w:val="en-GB"/>
              </w:rPr>
              <w:t>10 to &lt; 18</w:t>
            </w:r>
          </w:p>
        </w:tc>
        <w:tc>
          <w:tcPr>
            <w:tcW w:w="1101" w:type="pct"/>
            <w:tcBorders>
              <w:top w:val="single" w:sz="6" w:space="0" w:color="000000"/>
              <w:left w:val="single" w:sz="6" w:space="0" w:color="000000"/>
              <w:bottom w:val="single" w:sz="6" w:space="0" w:color="000000"/>
              <w:right w:val="single" w:sz="6" w:space="0" w:color="000000"/>
            </w:tcBorders>
            <w:hideMark/>
          </w:tcPr>
          <w:p w14:paraId="627322DD" w14:textId="77777777" w:rsidR="00E607F1" w:rsidRPr="00B55C24" w:rsidRDefault="00E607F1" w:rsidP="004A5906">
            <w:pPr>
              <w:rPr>
                <w:sz w:val="22"/>
                <w:szCs w:val="22"/>
                <w:lang w:val="en-GB"/>
              </w:rPr>
            </w:pPr>
            <w:r w:rsidRPr="00B55C24">
              <w:rPr>
                <w:sz w:val="22"/>
                <w:szCs w:val="22"/>
                <w:lang w:val="en-GB"/>
              </w:rPr>
              <w:t>300</w:t>
            </w:r>
          </w:p>
        </w:tc>
        <w:tc>
          <w:tcPr>
            <w:tcW w:w="1369" w:type="pct"/>
            <w:tcBorders>
              <w:top w:val="single" w:sz="6" w:space="0" w:color="000000"/>
              <w:left w:val="single" w:sz="6" w:space="0" w:color="000000"/>
              <w:bottom w:val="single" w:sz="6" w:space="0" w:color="000000"/>
              <w:right w:val="single" w:sz="6" w:space="0" w:color="000000"/>
            </w:tcBorders>
            <w:hideMark/>
          </w:tcPr>
          <w:p w14:paraId="760D6D52" w14:textId="77777777" w:rsidR="00E607F1" w:rsidRPr="00B55C24" w:rsidRDefault="00E607F1" w:rsidP="004A5906">
            <w:pPr>
              <w:rPr>
                <w:sz w:val="22"/>
                <w:szCs w:val="22"/>
                <w:lang w:val="en-GB"/>
              </w:rPr>
            </w:pPr>
            <w:r w:rsidRPr="00B55C24">
              <w:rPr>
                <w:sz w:val="22"/>
                <w:szCs w:val="22"/>
                <w:lang w:val="en-GB"/>
              </w:rPr>
              <w:t>600</w:t>
            </w:r>
          </w:p>
        </w:tc>
      </w:tr>
    </w:tbl>
    <w:p w14:paraId="08BDED8C" w14:textId="77777777" w:rsidR="00322951" w:rsidRDefault="00322951" w:rsidP="004A5906">
      <w:pPr>
        <w:ind w:left="851"/>
        <w:rPr>
          <w:sz w:val="24"/>
          <w:szCs w:val="24"/>
          <w:lang w:val="en-GB"/>
        </w:rPr>
      </w:pPr>
    </w:p>
    <w:p w14:paraId="1FA3CE63" w14:textId="6933F153" w:rsidR="00E607F1" w:rsidRPr="00B55C24" w:rsidRDefault="00E607F1" w:rsidP="004A5906">
      <w:pPr>
        <w:ind w:left="851"/>
        <w:rPr>
          <w:sz w:val="24"/>
          <w:szCs w:val="24"/>
          <w:lang w:val="en-GB"/>
        </w:rPr>
      </w:pPr>
      <w:r w:rsidRPr="00B55C24">
        <w:rPr>
          <w:sz w:val="24"/>
          <w:szCs w:val="24"/>
          <w:lang w:val="en-GB"/>
        </w:rPr>
        <w:t>Single doses requiring combinations of more than one capsule:</w:t>
      </w:r>
    </w:p>
    <w:p w14:paraId="6A316FC6" w14:textId="77777777" w:rsidR="00E607F1" w:rsidRPr="00B55C24" w:rsidRDefault="00E607F1" w:rsidP="00B55C24">
      <w:pPr>
        <w:tabs>
          <w:tab w:val="left" w:pos="2127"/>
        </w:tabs>
        <w:ind w:left="851"/>
        <w:rPr>
          <w:sz w:val="24"/>
          <w:szCs w:val="24"/>
          <w:lang w:val="en-GB"/>
        </w:rPr>
      </w:pPr>
      <w:r w:rsidRPr="00B55C24">
        <w:rPr>
          <w:sz w:val="24"/>
          <w:szCs w:val="24"/>
          <w:lang w:val="en-GB"/>
        </w:rPr>
        <w:t>300 mg:</w:t>
      </w:r>
      <w:r w:rsidRPr="00B55C24">
        <w:rPr>
          <w:sz w:val="24"/>
          <w:szCs w:val="24"/>
          <w:lang w:val="en-GB"/>
        </w:rPr>
        <w:tab/>
        <w:t>two 150 mg capsules or</w:t>
      </w:r>
    </w:p>
    <w:p w14:paraId="0599E789" w14:textId="21BB55EB" w:rsidR="00E607F1" w:rsidRPr="00B55C24" w:rsidRDefault="00B55C24" w:rsidP="00B55C24">
      <w:pPr>
        <w:tabs>
          <w:tab w:val="left" w:pos="2127"/>
        </w:tabs>
        <w:ind w:left="851"/>
        <w:rPr>
          <w:sz w:val="24"/>
          <w:szCs w:val="24"/>
          <w:lang w:val="en-GB"/>
        </w:rPr>
      </w:pPr>
      <w:r>
        <w:rPr>
          <w:sz w:val="24"/>
          <w:szCs w:val="24"/>
          <w:lang w:val="en-GB"/>
        </w:rPr>
        <w:tab/>
      </w:r>
      <w:r w:rsidR="00E607F1" w:rsidRPr="00B55C24">
        <w:rPr>
          <w:sz w:val="24"/>
          <w:szCs w:val="24"/>
          <w:lang w:val="en-GB"/>
        </w:rPr>
        <w:t>four 75 mg* capsules</w:t>
      </w:r>
    </w:p>
    <w:p w14:paraId="7C5415C2" w14:textId="77777777" w:rsidR="00E607F1" w:rsidRPr="00B55C24" w:rsidRDefault="00E607F1" w:rsidP="00B55C24">
      <w:pPr>
        <w:tabs>
          <w:tab w:val="left" w:pos="2127"/>
        </w:tabs>
        <w:ind w:left="851"/>
        <w:rPr>
          <w:sz w:val="24"/>
          <w:szCs w:val="24"/>
          <w:lang w:val="en-GB"/>
        </w:rPr>
      </w:pPr>
      <w:r w:rsidRPr="00B55C24">
        <w:rPr>
          <w:sz w:val="24"/>
          <w:szCs w:val="24"/>
          <w:lang w:val="en-GB"/>
        </w:rPr>
        <w:t>260 mg:</w:t>
      </w:r>
      <w:r w:rsidRPr="00B55C24">
        <w:rPr>
          <w:sz w:val="24"/>
          <w:szCs w:val="24"/>
          <w:lang w:val="en-GB"/>
        </w:rPr>
        <w:tab/>
        <w:t>one 110 mg plus one 150 mg capsule or</w:t>
      </w:r>
    </w:p>
    <w:p w14:paraId="40D3AD03" w14:textId="2ADBDF8E" w:rsidR="00E607F1" w:rsidRPr="00B55C24" w:rsidRDefault="00B55C24" w:rsidP="00B55C24">
      <w:pPr>
        <w:tabs>
          <w:tab w:val="left" w:pos="2127"/>
        </w:tabs>
        <w:ind w:left="851"/>
        <w:rPr>
          <w:sz w:val="24"/>
          <w:szCs w:val="24"/>
          <w:lang w:val="en-GB"/>
        </w:rPr>
      </w:pPr>
      <w:r>
        <w:rPr>
          <w:sz w:val="24"/>
          <w:szCs w:val="24"/>
          <w:lang w:val="en-GB"/>
        </w:rPr>
        <w:tab/>
      </w:r>
      <w:r w:rsidR="00E607F1" w:rsidRPr="00B55C24">
        <w:rPr>
          <w:sz w:val="24"/>
          <w:szCs w:val="24"/>
          <w:lang w:val="en-GB"/>
        </w:rPr>
        <w:t>one 110 mg plus two 75 mg* capsules</w:t>
      </w:r>
    </w:p>
    <w:p w14:paraId="13A1178C" w14:textId="77777777" w:rsidR="00E607F1" w:rsidRPr="00B55C24" w:rsidRDefault="00E607F1" w:rsidP="00B55C24">
      <w:pPr>
        <w:tabs>
          <w:tab w:val="left" w:pos="2127"/>
        </w:tabs>
        <w:ind w:left="851"/>
        <w:rPr>
          <w:sz w:val="24"/>
          <w:szCs w:val="24"/>
          <w:lang w:val="en-GB"/>
        </w:rPr>
      </w:pPr>
      <w:r w:rsidRPr="00B55C24">
        <w:rPr>
          <w:sz w:val="24"/>
          <w:szCs w:val="24"/>
          <w:lang w:val="en-GB"/>
        </w:rPr>
        <w:t>220 mg:</w:t>
      </w:r>
      <w:r w:rsidRPr="00B55C24">
        <w:rPr>
          <w:sz w:val="24"/>
          <w:szCs w:val="24"/>
          <w:lang w:val="en-GB"/>
        </w:rPr>
        <w:tab/>
        <w:t>two 110 mg capsules</w:t>
      </w:r>
    </w:p>
    <w:p w14:paraId="261105F7" w14:textId="77777777" w:rsidR="00E607F1" w:rsidRPr="00B55C24" w:rsidRDefault="00E607F1" w:rsidP="00B55C24">
      <w:pPr>
        <w:tabs>
          <w:tab w:val="left" w:pos="2127"/>
        </w:tabs>
        <w:ind w:left="851"/>
        <w:rPr>
          <w:sz w:val="24"/>
          <w:szCs w:val="24"/>
          <w:lang w:val="en-GB"/>
        </w:rPr>
      </w:pPr>
      <w:r w:rsidRPr="00B55C24">
        <w:rPr>
          <w:sz w:val="24"/>
          <w:szCs w:val="24"/>
          <w:lang w:val="en-GB"/>
        </w:rPr>
        <w:t>185 mg*:</w:t>
      </w:r>
      <w:r w:rsidRPr="00B55C24">
        <w:rPr>
          <w:sz w:val="24"/>
          <w:szCs w:val="24"/>
          <w:lang w:val="en-GB"/>
        </w:rPr>
        <w:tab/>
        <w:t>one 75 mg* plus one 110 mg capsule</w:t>
      </w:r>
    </w:p>
    <w:p w14:paraId="761E9FBB" w14:textId="77777777" w:rsidR="00E607F1" w:rsidRPr="00B55C24" w:rsidRDefault="00E607F1" w:rsidP="00B55C24">
      <w:pPr>
        <w:tabs>
          <w:tab w:val="left" w:pos="2127"/>
        </w:tabs>
        <w:ind w:left="851"/>
        <w:rPr>
          <w:sz w:val="24"/>
          <w:szCs w:val="24"/>
          <w:lang w:val="en-GB"/>
        </w:rPr>
      </w:pPr>
      <w:r w:rsidRPr="00B55C24">
        <w:rPr>
          <w:sz w:val="24"/>
          <w:szCs w:val="24"/>
          <w:lang w:val="en-GB"/>
        </w:rPr>
        <w:t>150 mg:</w:t>
      </w:r>
      <w:r w:rsidRPr="00B55C24">
        <w:rPr>
          <w:sz w:val="24"/>
          <w:szCs w:val="24"/>
          <w:lang w:val="en-GB"/>
        </w:rPr>
        <w:tab/>
        <w:t>one 150 mg capsule or</w:t>
      </w:r>
    </w:p>
    <w:p w14:paraId="0FE2C252" w14:textId="501C137E" w:rsidR="00E607F1" w:rsidRPr="00B55C24" w:rsidRDefault="00B55C24" w:rsidP="00B55C24">
      <w:pPr>
        <w:tabs>
          <w:tab w:val="left" w:pos="2127"/>
        </w:tabs>
        <w:ind w:left="851"/>
        <w:rPr>
          <w:sz w:val="24"/>
          <w:szCs w:val="24"/>
          <w:lang w:val="en-GB"/>
        </w:rPr>
      </w:pPr>
      <w:r>
        <w:rPr>
          <w:sz w:val="24"/>
          <w:szCs w:val="24"/>
          <w:lang w:val="en-GB"/>
        </w:rPr>
        <w:tab/>
      </w:r>
      <w:r w:rsidR="00E607F1" w:rsidRPr="00B55C24">
        <w:rPr>
          <w:sz w:val="24"/>
          <w:szCs w:val="24"/>
          <w:lang w:val="en-GB"/>
        </w:rPr>
        <w:t>two 75 mg* capsules</w:t>
      </w:r>
    </w:p>
    <w:p w14:paraId="09458129" w14:textId="05942BFF" w:rsidR="00E607F1" w:rsidRPr="00B55C24" w:rsidRDefault="00E607F1" w:rsidP="004A5906">
      <w:pPr>
        <w:ind w:left="851"/>
        <w:rPr>
          <w:sz w:val="24"/>
          <w:szCs w:val="24"/>
          <w:lang w:val="en-GB"/>
        </w:rPr>
      </w:pPr>
      <w:r w:rsidRPr="00B55C24">
        <w:rPr>
          <w:bCs/>
          <w:iCs/>
          <w:sz w:val="24"/>
          <w:szCs w:val="24"/>
          <w:lang w:val="en-GB"/>
        </w:rPr>
        <w:t xml:space="preserve">*The dose of 75 mg of </w:t>
      </w:r>
      <w:proofErr w:type="spellStart"/>
      <w:r w:rsidR="004A5906" w:rsidRPr="00B55C24">
        <w:rPr>
          <w:sz w:val="24"/>
          <w:szCs w:val="24"/>
          <w:lang w:val="en-GB"/>
        </w:rPr>
        <w:t>Dabigatranetexilat</w:t>
      </w:r>
      <w:proofErr w:type="spellEnd"/>
      <w:r w:rsidR="004A5906" w:rsidRPr="00B55C24">
        <w:rPr>
          <w:sz w:val="24"/>
          <w:szCs w:val="24"/>
          <w:lang w:val="en-GB"/>
        </w:rPr>
        <w:t xml:space="preserve"> "Gedeon Richter"</w:t>
      </w:r>
      <w:r w:rsidRPr="00B55C24">
        <w:rPr>
          <w:sz w:val="24"/>
          <w:szCs w:val="24"/>
          <w:lang w:val="en-GB"/>
        </w:rPr>
        <w:t xml:space="preserve"> </w:t>
      </w:r>
      <w:r w:rsidRPr="00B55C24">
        <w:rPr>
          <w:bCs/>
          <w:iCs/>
          <w:sz w:val="24"/>
          <w:szCs w:val="24"/>
          <w:lang w:val="en-GB"/>
        </w:rPr>
        <w:t xml:space="preserve">is not available, therefore it is not suitable for the </w:t>
      </w:r>
      <w:proofErr w:type="gramStart"/>
      <w:r w:rsidRPr="00B55C24">
        <w:rPr>
          <w:bCs/>
          <w:iCs/>
          <w:sz w:val="24"/>
          <w:szCs w:val="24"/>
          <w:lang w:val="en-GB"/>
        </w:rPr>
        <w:t>above mentioned</w:t>
      </w:r>
      <w:proofErr w:type="gramEnd"/>
      <w:r w:rsidRPr="00B55C24">
        <w:rPr>
          <w:bCs/>
          <w:iCs/>
          <w:sz w:val="24"/>
          <w:szCs w:val="24"/>
          <w:lang w:val="en-GB"/>
        </w:rPr>
        <w:t xml:space="preserve"> patient groups. For these </w:t>
      </w:r>
      <w:proofErr w:type="gramStart"/>
      <w:r w:rsidRPr="00B55C24">
        <w:rPr>
          <w:bCs/>
          <w:iCs/>
          <w:sz w:val="24"/>
          <w:szCs w:val="24"/>
          <w:lang w:val="en-GB"/>
        </w:rPr>
        <w:t>patients</w:t>
      </w:r>
      <w:proofErr w:type="gramEnd"/>
      <w:r w:rsidRPr="00B55C24">
        <w:rPr>
          <w:bCs/>
          <w:iCs/>
          <w:sz w:val="24"/>
          <w:szCs w:val="24"/>
          <w:lang w:val="en-GB"/>
        </w:rPr>
        <w:t xml:space="preserve"> other medicinal products containing dabigatran </w:t>
      </w:r>
      <w:proofErr w:type="spellStart"/>
      <w:r w:rsidRPr="00B55C24">
        <w:rPr>
          <w:bCs/>
          <w:iCs/>
          <w:sz w:val="24"/>
          <w:szCs w:val="24"/>
          <w:lang w:val="en-GB"/>
        </w:rPr>
        <w:t>etexilate</w:t>
      </w:r>
      <w:proofErr w:type="spellEnd"/>
      <w:r w:rsidRPr="00B55C24">
        <w:rPr>
          <w:bCs/>
          <w:iCs/>
          <w:sz w:val="24"/>
          <w:szCs w:val="24"/>
          <w:lang w:val="en-GB"/>
        </w:rPr>
        <w:t xml:space="preserve"> 75 mg should be used.</w:t>
      </w:r>
    </w:p>
    <w:p w14:paraId="4A78AC4E" w14:textId="77777777" w:rsidR="00E607F1" w:rsidRPr="00B55C24" w:rsidRDefault="00E607F1" w:rsidP="004A5906">
      <w:pPr>
        <w:ind w:left="851"/>
        <w:rPr>
          <w:sz w:val="24"/>
          <w:szCs w:val="24"/>
          <w:lang w:val="en-GB"/>
        </w:rPr>
      </w:pPr>
    </w:p>
    <w:p w14:paraId="1276FED6" w14:textId="77777777" w:rsidR="00E607F1" w:rsidRPr="00B55C24" w:rsidRDefault="00E607F1" w:rsidP="004A5906">
      <w:pPr>
        <w:ind w:left="851"/>
        <w:rPr>
          <w:sz w:val="24"/>
          <w:szCs w:val="24"/>
          <w:lang w:val="en-GB"/>
        </w:rPr>
      </w:pPr>
      <w:r w:rsidRPr="00B55C24">
        <w:rPr>
          <w:i/>
          <w:iCs/>
          <w:sz w:val="24"/>
          <w:szCs w:val="24"/>
          <w:u w:val="single"/>
          <w:lang w:val="en-GB"/>
        </w:rPr>
        <w:t>Assessment of renal function prior to and during treatment</w:t>
      </w:r>
    </w:p>
    <w:p w14:paraId="7A1B0AB1" w14:textId="77777777" w:rsidR="00E607F1" w:rsidRPr="00B55C24" w:rsidRDefault="00E607F1" w:rsidP="004A5906">
      <w:pPr>
        <w:ind w:left="851"/>
        <w:rPr>
          <w:sz w:val="24"/>
          <w:szCs w:val="24"/>
          <w:lang w:val="en-GB"/>
        </w:rPr>
      </w:pPr>
    </w:p>
    <w:p w14:paraId="7A7615EB" w14:textId="77777777" w:rsidR="00E607F1" w:rsidRPr="00B55C24" w:rsidRDefault="00E607F1" w:rsidP="004A5906">
      <w:pPr>
        <w:ind w:left="851"/>
        <w:rPr>
          <w:sz w:val="24"/>
          <w:szCs w:val="24"/>
          <w:lang w:val="en-GB"/>
        </w:rPr>
      </w:pPr>
      <w:r w:rsidRPr="00B55C24">
        <w:rPr>
          <w:sz w:val="24"/>
          <w:szCs w:val="24"/>
          <w:lang w:val="en-GB"/>
        </w:rPr>
        <w:t>Prior to the initiation of treatment, the estimated glomerular filtration rate (eGFR) should be estimated using the Schwartz formula (method used for creatinine assessment to be checked with local lab).</w:t>
      </w:r>
    </w:p>
    <w:p w14:paraId="1F33CEAF" w14:textId="77777777" w:rsidR="00E607F1" w:rsidRPr="00B55C24" w:rsidRDefault="00E607F1" w:rsidP="004A5906">
      <w:pPr>
        <w:ind w:left="851"/>
        <w:rPr>
          <w:sz w:val="24"/>
          <w:szCs w:val="24"/>
          <w:lang w:val="en-GB"/>
        </w:rPr>
      </w:pPr>
    </w:p>
    <w:p w14:paraId="218CE239" w14:textId="77777777" w:rsidR="00E607F1" w:rsidRPr="00B55C24" w:rsidRDefault="00E607F1" w:rsidP="004A5906">
      <w:pPr>
        <w:ind w:left="851"/>
        <w:rPr>
          <w:sz w:val="24"/>
          <w:szCs w:val="24"/>
          <w:lang w:val="en-GB"/>
        </w:rPr>
      </w:pPr>
      <w:r w:rsidRPr="00B55C24">
        <w:rPr>
          <w:sz w:val="24"/>
          <w:szCs w:val="24"/>
          <w:lang w:val="en-GB"/>
        </w:rPr>
        <w:t xml:space="preserve">Treatment with dabigatran </w:t>
      </w:r>
      <w:proofErr w:type="spellStart"/>
      <w:r w:rsidRPr="00B55C24">
        <w:rPr>
          <w:sz w:val="24"/>
          <w:szCs w:val="24"/>
          <w:lang w:val="en-GB"/>
        </w:rPr>
        <w:t>etexilate</w:t>
      </w:r>
      <w:proofErr w:type="spellEnd"/>
      <w:r w:rsidRPr="00B55C24">
        <w:rPr>
          <w:sz w:val="24"/>
          <w:szCs w:val="24"/>
          <w:lang w:val="en-GB"/>
        </w:rPr>
        <w:t xml:space="preserve"> in paediatric patients with eGFR &lt; 50 mL/min/1.73 m</w:t>
      </w:r>
      <w:r w:rsidRPr="00B55C24">
        <w:rPr>
          <w:sz w:val="24"/>
          <w:szCs w:val="24"/>
          <w:vertAlign w:val="superscript"/>
          <w:lang w:val="en-GB"/>
        </w:rPr>
        <w:t>2</w:t>
      </w:r>
      <w:r w:rsidRPr="00B55C24">
        <w:rPr>
          <w:sz w:val="24"/>
          <w:szCs w:val="24"/>
          <w:lang w:val="en-GB"/>
        </w:rPr>
        <w:t xml:space="preserve"> is contraindicated (see section 4.3).</w:t>
      </w:r>
    </w:p>
    <w:p w14:paraId="34CF6599" w14:textId="77777777" w:rsidR="00E607F1" w:rsidRPr="00B55C24" w:rsidRDefault="00E607F1" w:rsidP="004A5906">
      <w:pPr>
        <w:ind w:left="851"/>
        <w:rPr>
          <w:sz w:val="24"/>
          <w:szCs w:val="24"/>
          <w:lang w:val="en-GB"/>
        </w:rPr>
      </w:pPr>
    </w:p>
    <w:p w14:paraId="13795D9A" w14:textId="77777777" w:rsidR="00E607F1" w:rsidRPr="00B55C24" w:rsidRDefault="00E607F1" w:rsidP="004A5906">
      <w:pPr>
        <w:ind w:left="851"/>
        <w:rPr>
          <w:sz w:val="24"/>
          <w:szCs w:val="24"/>
          <w:lang w:val="en-GB"/>
        </w:rPr>
      </w:pPr>
      <w:r w:rsidRPr="00B55C24">
        <w:rPr>
          <w:sz w:val="24"/>
          <w:szCs w:val="24"/>
          <w:lang w:val="en-GB"/>
        </w:rPr>
        <w:t>Patients with an eGFR ≥ 50 mL/min/1.73 m</w:t>
      </w:r>
      <w:r w:rsidRPr="00B55C24">
        <w:rPr>
          <w:sz w:val="24"/>
          <w:szCs w:val="24"/>
          <w:vertAlign w:val="superscript"/>
          <w:lang w:val="en-GB"/>
        </w:rPr>
        <w:t>2</w:t>
      </w:r>
      <w:r w:rsidRPr="00B55C24">
        <w:rPr>
          <w:sz w:val="24"/>
          <w:szCs w:val="24"/>
          <w:lang w:val="en-GB"/>
        </w:rPr>
        <w:t xml:space="preserve"> should be treated with the dose according to table 3.</w:t>
      </w:r>
    </w:p>
    <w:p w14:paraId="32088735" w14:textId="77777777" w:rsidR="00E607F1" w:rsidRPr="00B55C24" w:rsidRDefault="00E607F1" w:rsidP="004A5906">
      <w:pPr>
        <w:ind w:left="851"/>
        <w:rPr>
          <w:sz w:val="24"/>
          <w:szCs w:val="24"/>
          <w:lang w:val="en-GB"/>
        </w:rPr>
      </w:pPr>
    </w:p>
    <w:p w14:paraId="0C37C0D1" w14:textId="77777777" w:rsidR="00E607F1" w:rsidRPr="00B55C24" w:rsidRDefault="00E607F1" w:rsidP="004A5906">
      <w:pPr>
        <w:ind w:left="851"/>
        <w:rPr>
          <w:sz w:val="24"/>
          <w:szCs w:val="24"/>
          <w:lang w:val="en-GB"/>
        </w:rPr>
      </w:pPr>
      <w:r w:rsidRPr="00B55C24">
        <w:rPr>
          <w:sz w:val="24"/>
          <w:szCs w:val="24"/>
          <w:lang w:val="en-GB"/>
        </w:rPr>
        <w:t>While on treatment, renal function should be assessed in certain clinical situations when it is suspected that the renal function could decline or deteriorate (such as hypovolemia, dehydration, and with certain co-medications, etc.).</w:t>
      </w:r>
    </w:p>
    <w:p w14:paraId="51ECCD1E" w14:textId="77777777" w:rsidR="00E607F1" w:rsidRPr="00B55C24" w:rsidRDefault="00E607F1" w:rsidP="004A5906">
      <w:pPr>
        <w:ind w:left="851"/>
        <w:rPr>
          <w:sz w:val="24"/>
          <w:szCs w:val="24"/>
          <w:lang w:val="en-GB"/>
        </w:rPr>
      </w:pPr>
    </w:p>
    <w:p w14:paraId="0485E4C6" w14:textId="77777777" w:rsidR="00E607F1" w:rsidRPr="00B55C24" w:rsidRDefault="00E607F1" w:rsidP="004A5906">
      <w:pPr>
        <w:ind w:left="851"/>
        <w:rPr>
          <w:i/>
          <w:iCs/>
          <w:sz w:val="24"/>
          <w:szCs w:val="24"/>
          <w:u w:val="single"/>
          <w:lang w:val="en-GB"/>
        </w:rPr>
      </w:pPr>
      <w:r w:rsidRPr="00B55C24">
        <w:rPr>
          <w:i/>
          <w:iCs/>
          <w:sz w:val="24"/>
          <w:szCs w:val="24"/>
          <w:u w:val="single"/>
          <w:lang w:val="en-GB"/>
        </w:rPr>
        <w:t>Duration of use</w:t>
      </w:r>
    </w:p>
    <w:p w14:paraId="1FA6307C" w14:textId="77777777" w:rsidR="00E607F1" w:rsidRPr="00B55C24" w:rsidRDefault="00E607F1" w:rsidP="004A5906">
      <w:pPr>
        <w:ind w:left="851"/>
        <w:rPr>
          <w:sz w:val="24"/>
          <w:szCs w:val="24"/>
          <w:lang w:val="en-GB"/>
        </w:rPr>
      </w:pPr>
    </w:p>
    <w:p w14:paraId="459ED37F" w14:textId="77777777" w:rsidR="00E607F1" w:rsidRPr="00B55C24" w:rsidRDefault="00E607F1" w:rsidP="004A5906">
      <w:pPr>
        <w:ind w:left="851"/>
        <w:rPr>
          <w:sz w:val="24"/>
          <w:szCs w:val="24"/>
          <w:lang w:val="en-GB"/>
        </w:rPr>
      </w:pPr>
      <w:r w:rsidRPr="00B55C24">
        <w:rPr>
          <w:sz w:val="24"/>
          <w:szCs w:val="24"/>
          <w:lang w:val="en-GB"/>
        </w:rPr>
        <w:t>The duration of therapy should be individualised based on the benefit risk assessment.</w:t>
      </w:r>
    </w:p>
    <w:p w14:paraId="79248FCB" w14:textId="77777777" w:rsidR="00E607F1" w:rsidRPr="00B55C24" w:rsidRDefault="00E607F1" w:rsidP="004A5906">
      <w:pPr>
        <w:ind w:left="851"/>
        <w:rPr>
          <w:sz w:val="24"/>
          <w:szCs w:val="24"/>
          <w:lang w:val="en-GB"/>
        </w:rPr>
      </w:pPr>
    </w:p>
    <w:p w14:paraId="0AAD44BA" w14:textId="77777777" w:rsidR="00E607F1" w:rsidRPr="00B55C24" w:rsidRDefault="00E607F1" w:rsidP="004A5906">
      <w:pPr>
        <w:ind w:left="851"/>
        <w:rPr>
          <w:sz w:val="24"/>
          <w:szCs w:val="24"/>
          <w:lang w:val="en-GB"/>
        </w:rPr>
      </w:pPr>
      <w:r w:rsidRPr="00B55C24">
        <w:rPr>
          <w:i/>
          <w:iCs/>
          <w:sz w:val="24"/>
          <w:szCs w:val="24"/>
          <w:u w:val="single"/>
          <w:lang w:val="en-GB"/>
        </w:rPr>
        <w:t>Missed dose</w:t>
      </w:r>
    </w:p>
    <w:p w14:paraId="34324F4A" w14:textId="77777777" w:rsidR="00E607F1" w:rsidRPr="00B55C24" w:rsidRDefault="00E607F1" w:rsidP="004A5906">
      <w:pPr>
        <w:ind w:left="851"/>
        <w:rPr>
          <w:sz w:val="24"/>
          <w:szCs w:val="24"/>
          <w:lang w:val="en-GB"/>
        </w:rPr>
      </w:pPr>
    </w:p>
    <w:p w14:paraId="09189ACF" w14:textId="77777777" w:rsidR="00E607F1" w:rsidRPr="00B55C24" w:rsidRDefault="00E607F1" w:rsidP="004A5906">
      <w:pPr>
        <w:ind w:left="851"/>
        <w:rPr>
          <w:sz w:val="24"/>
          <w:szCs w:val="24"/>
          <w:lang w:val="en-GB"/>
        </w:rPr>
      </w:pPr>
      <w:r w:rsidRPr="00B55C24">
        <w:rPr>
          <w:sz w:val="24"/>
          <w:szCs w:val="24"/>
          <w:lang w:val="en-GB"/>
        </w:rPr>
        <w:t xml:space="preserve">A forgotten dabigatran </w:t>
      </w:r>
      <w:proofErr w:type="spellStart"/>
      <w:r w:rsidRPr="00B55C24">
        <w:rPr>
          <w:sz w:val="24"/>
          <w:szCs w:val="24"/>
          <w:lang w:val="en-GB"/>
        </w:rPr>
        <w:t>etexilate</w:t>
      </w:r>
      <w:proofErr w:type="spellEnd"/>
      <w:r w:rsidRPr="00B55C24">
        <w:rPr>
          <w:sz w:val="24"/>
          <w:szCs w:val="24"/>
          <w:lang w:val="en-GB"/>
        </w:rPr>
        <w:t xml:space="preserve"> dose may still be taken up to 6 hours prior to the next scheduled dose. From 6 hours prior to the next scheduled dose onwards, the missed dose should be omitted.</w:t>
      </w:r>
    </w:p>
    <w:p w14:paraId="0FF7B146" w14:textId="77777777" w:rsidR="00E607F1" w:rsidRPr="00B55C24" w:rsidRDefault="00E607F1" w:rsidP="004A5906">
      <w:pPr>
        <w:ind w:left="851"/>
        <w:rPr>
          <w:sz w:val="24"/>
          <w:szCs w:val="24"/>
          <w:lang w:val="en-GB"/>
        </w:rPr>
      </w:pPr>
      <w:r w:rsidRPr="00B55C24">
        <w:rPr>
          <w:sz w:val="24"/>
          <w:szCs w:val="24"/>
          <w:lang w:val="en-GB"/>
        </w:rPr>
        <w:t>A double dose to make up for missed individual doses must never be taken.</w:t>
      </w:r>
    </w:p>
    <w:p w14:paraId="2C587524" w14:textId="77777777" w:rsidR="00E607F1" w:rsidRPr="00B55C24" w:rsidRDefault="00E607F1" w:rsidP="004A5906">
      <w:pPr>
        <w:ind w:left="851"/>
        <w:rPr>
          <w:sz w:val="24"/>
          <w:szCs w:val="24"/>
          <w:lang w:val="en-GB"/>
        </w:rPr>
      </w:pPr>
    </w:p>
    <w:p w14:paraId="5892AE15" w14:textId="77777777" w:rsidR="00E607F1" w:rsidRPr="00B55C24" w:rsidRDefault="00E607F1" w:rsidP="004A5906">
      <w:pPr>
        <w:ind w:left="851"/>
        <w:rPr>
          <w:sz w:val="24"/>
          <w:szCs w:val="24"/>
          <w:lang w:val="en-GB"/>
        </w:rPr>
      </w:pPr>
      <w:r w:rsidRPr="00B55C24">
        <w:rPr>
          <w:i/>
          <w:iCs/>
          <w:sz w:val="24"/>
          <w:szCs w:val="24"/>
          <w:u w:val="single"/>
          <w:lang w:val="en-GB"/>
        </w:rPr>
        <w:t xml:space="preserve">Discontinuation of dabigatran </w:t>
      </w:r>
      <w:proofErr w:type="spellStart"/>
      <w:r w:rsidRPr="00B55C24">
        <w:rPr>
          <w:i/>
          <w:iCs/>
          <w:sz w:val="24"/>
          <w:szCs w:val="24"/>
          <w:u w:val="single"/>
          <w:lang w:val="en-GB"/>
        </w:rPr>
        <w:t>etexilate</w:t>
      </w:r>
      <w:proofErr w:type="spellEnd"/>
    </w:p>
    <w:p w14:paraId="0E2D4AD3" w14:textId="77777777" w:rsidR="00E607F1" w:rsidRPr="00B55C24" w:rsidRDefault="00E607F1" w:rsidP="004A5906">
      <w:pPr>
        <w:ind w:left="851"/>
        <w:rPr>
          <w:sz w:val="24"/>
          <w:szCs w:val="24"/>
          <w:lang w:val="en-GB"/>
        </w:rPr>
      </w:pPr>
    </w:p>
    <w:p w14:paraId="7A9C4968"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should not be discontinued without medical advice. Patients or their caregivers should be instructed to contact the treating physician if the patient develops gastrointestinal symptoms such as dyspepsia (see section 4.8).</w:t>
      </w:r>
    </w:p>
    <w:p w14:paraId="58B902EE" w14:textId="77777777" w:rsidR="00E607F1" w:rsidRPr="00B55C24" w:rsidRDefault="00E607F1" w:rsidP="004A5906">
      <w:pPr>
        <w:ind w:left="851"/>
        <w:rPr>
          <w:sz w:val="24"/>
          <w:szCs w:val="24"/>
          <w:lang w:val="en-GB"/>
        </w:rPr>
      </w:pPr>
    </w:p>
    <w:p w14:paraId="4CB250E2" w14:textId="77777777" w:rsidR="00E607F1" w:rsidRPr="00B55C24" w:rsidRDefault="00E607F1" w:rsidP="004A5906">
      <w:pPr>
        <w:ind w:left="851"/>
        <w:rPr>
          <w:sz w:val="24"/>
          <w:szCs w:val="24"/>
          <w:lang w:val="en-GB"/>
        </w:rPr>
      </w:pPr>
      <w:r w:rsidRPr="00B55C24">
        <w:rPr>
          <w:i/>
          <w:iCs/>
          <w:sz w:val="24"/>
          <w:szCs w:val="24"/>
          <w:u w:val="single"/>
          <w:lang w:val="en-GB"/>
        </w:rPr>
        <w:t>Switching</w:t>
      </w:r>
    </w:p>
    <w:p w14:paraId="6FD5C192" w14:textId="77777777" w:rsidR="00E607F1" w:rsidRPr="00B55C24" w:rsidRDefault="00E607F1" w:rsidP="004A5906">
      <w:pPr>
        <w:ind w:left="851"/>
        <w:rPr>
          <w:sz w:val="24"/>
          <w:szCs w:val="24"/>
          <w:lang w:val="en-GB"/>
        </w:rPr>
      </w:pPr>
    </w:p>
    <w:p w14:paraId="766FE536"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to parenteral anticoagulant:</w:t>
      </w:r>
    </w:p>
    <w:p w14:paraId="3DB94D77" w14:textId="77777777" w:rsidR="00E607F1" w:rsidRPr="00B55C24" w:rsidRDefault="00E607F1" w:rsidP="004A5906">
      <w:pPr>
        <w:ind w:left="851"/>
        <w:rPr>
          <w:sz w:val="24"/>
          <w:szCs w:val="24"/>
          <w:lang w:val="en-GB"/>
        </w:rPr>
      </w:pPr>
      <w:r w:rsidRPr="00B55C24">
        <w:rPr>
          <w:sz w:val="24"/>
          <w:szCs w:val="24"/>
          <w:lang w:val="en-GB"/>
        </w:rPr>
        <w:t xml:space="preserve">It is recommended to wait 12 hours after the last dose before switching from dabigatran </w:t>
      </w:r>
      <w:proofErr w:type="spellStart"/>
      <w:r w:rsidRPr="00B55C24">
        <w:rPr>
          <w:sz w:val="24"/>
          <w:szCs w:val="24"/>
          <w:lang w:val="en-GB"/>
        </w:rPr>
        <w:t>etexilate</w:t>
      </w:r>
      <w:proofErr w:type="spellEnd"/>
      <w:r w:rsidRPr="00B55C24">
        <w:rPr>
          <w:sz w:val="24"/>
          <w:szCs w:val="24"/>
          <w:lang w:val="en-GB"/>
        </w:rPr>
        <w:t xml:space="preserve"> to </w:t>
      </w:r>
      <w:r w:rsidRPr="00B55C24">
        <w:rPr>
          <w:sz w:val="24"/>
          <w:szCs w:val="24"/>
          <w:lang w:val="en-GB"/>
        </w:rPr>
        <w:br/>
        <w:t>a parenteral anticoagulant (see section 4.5).</w:t>
      </w:r>
    </w:p>
    <w:p w14:paraId="08DDAA05" w14:textId="77777777" w:rsidR="00E607F1" w:rsidRPr="00B55C24" w:rsidRDefault="00E607F1" w:rsidP="004A5906">
      <w:pPr>
        <w:ind w:left="851"/>
        <w:rPr>
          <w:sz w:val="24"/>
          <w:szCs w:val="24"/>
          <w:lang w:val="en-GB"/>
        </w:rPr>
      </w:pPr>
    </w:p>
    <w:p w14:paraId="3AD048D9" w14:textId="77777777" w:rsidR="00E607F1" w:rsidRPr="00B55C24" w:rsidRDefault="00E607F1" w:rsidP="004A5906">
      <w:pPr>
        <w:ind w:left="851"/>
        <w:rPr>
          <w:sz w:val="24"/>
          <w:szCs w:val="24"/>
          <w:lang w:val="en-GB"/>
        </w:rPr>
      </w:pPr>
      <w:r w:rsidRPr="00B55C24">
        <w:rPr>
          <w:sz w:val="24"/>
          <w:szCs w:val="24"/>
          <w:lang w:val="en-GB"/>
        </w:rPr>
        <w:t xml:space="preserve">Parenteral anticoagulants to dabigatran </w:t>
      </w:r>
      <w:proofErr w:type="spellStart"/>
      <w:r w:rsidRPr="00B55C24">
        <w:rPr>
          <w:sz w:val="24"/>
          <w:szCs w:val="24"/>
          <w:lang w:val="en-GB"/>
        </w:rPr>
        <w:t>etexilate</w:t>
      </w:r>
      <w:proofErr w:type="spellEnd"/>
      <w:r w:rsidRPr="00B55C24">
        <w:rPr>
          <w:sz w:val="24"/>
          <w:szCs w:val="24"/>
          <w:lang w:val="en-GB"/>
        </w:rPr>
        <w:t>:</w:t>
      </w:r>
    </w:p>
    <w:p w14:paraId="63878E29" w14:textId="6024987F" w:rsidR="00E607F1" w:rsidRPr="00B55C24" w:rsidRDefault="00E607F1" w:rsidP="004A5906">
      <w:pPr>
        <w:ind w:left="851"/>
        <w:rPr>
          <w:sz w:val="24"/>
          <w:szCs w:val="24"/>
          <w:lang w:val="en-GB"/>
        </w:rPr>
      </w:pPr>
      <w:r w:rsidRPr="00B55C24">
        <w:rPr>
          <w:sz w:val="24"/>
          <w:szCs w:val="24"/>
          <w:lang w:val="en-GB"/>
        </w:rPr>
        <w:t xml:space="preserve">The parenteral anticoagulant should be discontinued and dabigatran </w:t>
      </w:r>
      <w:proofErr w:type="spellStart"/>
      <w:r w:rsidRPr="00B55C24">
        <w:rPr>
          <w:sz w:val="24"/>
          <w:szCs w:val="24"/>
          <w:lang w:val="en-GB"/>
        </w:rPr>
        <w:t>etexilate</w:t>
      </w:r>
      <w:proofErr w:type="spellEnd"/>
      <w:r w:rsidRPr="00B55C24">
        <w:rPr>
          <w:sz w:val="24"/>
          <w:szCs w:val="24"/>
          <w:lang w:val="en-GB"/>
        </w:rPr>
        <w:t xml:space="preserve"> should be started 0 - 2 hours prior to the time that the next dose of the alternate therapy would be due, or at the time of discontinuation in case of continuous treatment (e.g. intravenous Unfractionated Heparin (UFH)) (see section 4.5).</w:t>
      </w:r>
    </w:p>
    <w:p w14:paraId="6265B939" w14:textId="794ED904" w:rsidR="00322951" w:rsidRDefault="00322951">
      <w:pPr>
        <w:rPr>
          <w:sz w:val="24"/>
          <w:szCs w:val="24"/>
          <w:lang w:val="en-GB"/>
        </w:rPr>
      </w:pPr>
      <w:r>
        <w:rPr>
          <w:sz w:val="24"/>
          <w:szCs w:val="24"/>
          <w:lang w:val="en-GB"/>
        </w:rPr>
        <w:br w:type="page"/>
      </w:r>
    </w:p>
    <w:p w14:paraId="60E86164" w14:textId="77777777" w:rsidR="00E607F1" w:rsidRPr="00B55C24" w:rsidRDefault="00E607F1" w:rsidP="004A5906">
      <w:pPr>
        <w:ind w:left="851"/>
        <w:rPr>
          <w:sz w:val="24"/>
          <w:szCs w:val="24"/>
          <w:lang w:val="en-GB"/>
        </w:rPr>
      </w:pPr>
    </w:p>
    <w:p w14:paraId="737FA2FC"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to Vitamin K antagonists (VKA):</w:t>
      </w:r>
    </w:p>
    <w:p w14:paraId="029C913D" w14:textId="77777777" w:rsidR="00E607F1" w:rsidRPr="00B55C24" w:rsidRDefault="00E607F1" w:rsidP="004A5906">
      <w:pPr>
        <w:ind w:left="851"/>
        <w:rPr>
          <w:sz w:val="24"/>
          <w:szCs w:val="24"/>
          <w:lang w:val="en-GB"/>
        </w:rPr>
      </w:pPr>
      <w:r w:rsidRPr="00B55C24">
        <w:rPr>
          <w:sz w:val="24"/>
          <w:szCs w:val="24"/>
          <w:lang w:val="en-GB"/>
        </w:rPr>
        <w:t xml:space="preserve">Patients should start VKA 3 days before discontinuing dabigatran </w:t>
      </w:r>
      <w:proofErr w:type="spellStart"/>
      <w:r w:rsidRPr="00B55C24">
        <w:rPr>
          <w:sz w:val="24"/>
          <w:szCs w:val="24"/>
          <w:lang w:val="en-GB"/>
        </w:rPr>
        <w:t>etexilate</w:t>
      </w:r>
      <w:proofErr w:type="spellEnd"/>
      <w:r w:rsidRPr="00B55C24">
        <w:rPr>
          <w:sz w:val="24"/>
          <w:szCs w:val="24"/>
          <w:lang w:val="en-GB"/>
        </w:rPr>
        <w:t>.</w:t>
      </w:r>
    </w:p>
    <w:p w14:paraId="4B7C9605" w14:textId="77777777" w:rsidR="00E607F1" w:rsidRPr="00B55C24" w:rsidRDefault="00E607F1" w:rsidP="004A5906">
      <w:pPr>
        <w:ind w:left="851"/>
        <w:rPr>
          <w:sz w:val="24"/>
          <w:szCs w:val="24"/>
          <w:lang w:val="en-GB"/>
        </w:rPr>
      </w:pPr>
      <w:r w:rsidRPr="00B55C24">
        <w:rPr>
          <w:sz w:val="24"/>
          <w:szCs w:val="24"/>
          <w:lang w:val="en-GB"/>
        </w:rPr>
        <w:t xml:space="preserve">Because dabigatran </w:t>
      </w:r>
      <w:proofErr w:type="spellStart"/>
      <w:r w:rsidRPr="00B55C24">
        <w:rPr>
          <w:sz w:val="24"/>
          <w:szCs w:val="24"/>
          <w:lang w:val="en-GB"/>
        </w:rPr>
        <w:t>etexilate</w:t>
      </w:r>
      <w:proofErr w:type="spellEnd"/>
      <w:r w:rsidRPr="00B55C24">
        <w:rPr>
          <w:sz w:val="24"/>
          <w:szCs w:val="24"/>
          <w:lang w:val="en-GB"/>
        </w:rPr>
        <w:t xml:space="preserve"> can impact the International Normalised Ratio (INR), the INR will better reflect VKA’s effect only after dabigatran </w:t>
      </w:r>
      <w:proofErr w:type="spellStart"/>
      <w:r w:rsidRPr="00B55C24">
        <w:rPr>
          <w:sz w:val="24"/>
          <w:szCs w:val="24"/>
          <w:lang w:val="en-GB"/>
        </w:rPr>
        <w:t>etexilate</w:t>
      </w:r>
      <w:proofErr w:type="spellEnd"/>
      <w:r w:rsidRPr="00B55C24">
        <w:rPr>
          <w:sz w:val="24"/>
          <w:szCs w:val="24"/>
          <w:lang w:val="en-GB"/>
        </w:rPr>
        <w:t xml:space="preserve"> has been stopped for at least 2 days. Until then, INR values should be interpreted with caution.</w:t>
      </w:r>
    </w:p>
    <w:p w14:paraId="059414E4" w14:textId="77777777" w:rsidR="00E607F1" w:rsidRPr="00B55C24" w:rsidRDefault="00E607F1" w:rsidP="004A5906">
      <w:pPr>
        <w:ind w:left="851"/>
        <w:rPr>
          <w:sz w:val="24"/>
          <w:szCs w:val="24"/>
          <w:lang w:val="en-GB"/>
        </w:rPr>
      </w:pPr>
    </w:p>
    <w:p w14:paraId="1CF2157E" w14:textId="77777777" w:rsidR="00E607F1" w:rsidRPr="00B55C24" w:rsidRDefault="00E607F1" w:rsidP="004A5906">
      <w:pPr>
        <w:ind w:left="851"/>
        <w:rPr>
          <w:sz w:val="24"/>
          <w:szCs w:val="24"/>
          <w:lang w:val="en-GB"/>
        </w:rPr>
      </w:pPr>
      <w:r w:rsidRPr="00B55C24">
        <w:rPr>
          <w:sz w:val="24"/>
          <w:szCs w:val="24"/>
          <w:lang w:val="en-GB"/>
        </w:rPr>
        <w:t xml:space="preserve">VKA to dabigatran </w:t>
      </w:r>
      <w:proofErr w:type="spellStart"/>
      <w:r w:rsidRPr="00B55C24">
        <w:rPr>
          <w:sz w:val="24"/>
          <w:szCs w:val="24"/>
          <w:lang w:val="en-GB"/>
        </w:rPr>
        <w:t>etexilate</w:t>
      </w:r>
      <w:proofErr w:type="spellEnd"/>
      <w:r w:rsidRPr="00B55C24">
        <w:rPr>
          <w:sz w:val="24"/>
          <w:szCs w:val="24"/>
          <w:lang w:val="en-GB"/>
        </w:rPr>
        <w:t>:</w:t>
      </w:r>
    </w:p>
    <w:p w14:paraId="0E2F5220" w14:textId="77777777" w:rsidR="00E607F1" w:rsidRPr="00B55C24" w:rsidRDefault="00E607F1" w:rsidP="004A5906">
      <w:pPr>
        <w:ind w:left="851"/>
        <w:rPr>
          <w:sz w:val="24"/>
          <w:szCs w:val="24"/>
          <w:lang w:val="en-GB"/>
        </w:rPr>
      </w:pPr>
      <w:r w:rsidRPr="00B55C24">
        <w:rPr>
          <w:sz w:val="24"/>
          <w:szCs w:val="24"/>
          <w:lang w:val="en-GB"/>
        </w:rPr>
        <w:t xml:space="preserve">The VKA should be stopped. Dabigatran </w:t>
      </w:r>
      <w:proofErr w:type="spellStart"/>
      <w:r w:rsidRPr="00B55C24">
        <w:rPr>
          <w:sz w:val="24"/>
          <w:szCs w:val="24"/>
          <w:lang w:val="en-GB"/>
        </w:rPr>
        <w:t>etexilate</w:t>
      </w:r>
      <w:proofErr w:type="spellEnd"/>
      <w:r w:rsidRPr="00B55C24">
        <w:rPr>
          <w:sz w:val="24"/>
          <w:szCs w:val="24"/>
          <w:lang w:val="en-GB"/>
        </w:rPr>
        <w:t xml:space="preserve"> can be given as soon as the INR is &lt; 2.0.</w:t>
      </w:r>
    </w:p>
    <w:p w14:paraId="486E56D0" w14:textId="77777777" w:rsidR="00E607F1" w:rsidRPr="00B55C24" w:rsidRDefault="00E607F1" w:rsidP="004A5906">
      <w:pPr>
        <w:ind w:left="851"/>
        <w:rPr>
          <w:sz w:val="24"/>
          <w:szCs w:val="24"/>
          <w:lang w:val="en-GB"/>
        </w:rPr>
      </w:pPr>
    </w:p>
    <w:p w14:paraId="4C054473" w14:textId="77777777" w:rsidR="00E607F1" w:rsidRPr="00B55C24" w:rsidRDefault="00E607F1" w:rsidP="004A5906">
      <w:pPr>
        <w:ind w:left="851"/>
        <w:rPr>
          <w:sz w:val="24"/>
          <w:szCs w:val="24"/>
          <w:lang w:val="en-GB"/>
        </w:rPr>
      </w:pPr>
      <w:r w:rsidRPr="00B55C24">
        <w:rPr>
          <w:sz w:val="24"/>
          <w:szCs w:val="24"/>
          <w:u w:val="single"/>
          <w:lang w:val="en-GB"/>
        </w:rPr>
        <w:t>Method of administration</w:t>
      </w:r>
    </w:p>
    <w:p w14:paraId="011FD649" w14:textId="77777777" w:rsidR="00E607F1" w:rsidRPr="00B55C24" w:rsidRDefault="00E607F1" w:rsidP="004A5906">
      <w:pPr>
        <w:ind w:left="851"/>
        <w:rPr>
          <w:sz w:val="24"/>
          <w:szCs w:val="24"/>
          <w:lang w:val="en-GB"/>
        </w:rPr>
      </w:pPr>
    </w:p>
    <w:p w14:paraId="3D6C4E37" w14:textId="77777777" w:rsidR="00E607F1" w:rsidRPr="00B55C24" w:rsidRDefault="00E607F1" w:rsidP="004A5906">
      <w:pPr>
        <w:ind w:left="851"/>
        <w:rPr>
          <w:sz w:val="24"/>
          <w:szCs w:val="24"/>
          <w:lang w:val="en-GB"/>
        </w:rPr>
      </w:pPr>
      <w:r w:rsidRPr="00B55C24">
        <w:rPr>
          <w:sz w:val="24"/>
          <w:szCs w:val="24"/>
          <w:lang w:val="en-GB"/>
        </w:rPr>
        <w:t>This medicinal product is for oral use.</w:t>
      </w:r>
    </w:p>
    <w:p w14:paraId="7F016773" w14:textId="76FB242A" w:rsidR="00E607F1" w:rsidRPr="00B55C24" w:rsidRDefault="00E607F1" w:rsidP="004A5906">
      <w:pPr>
        <w:ind w:left="851"/>
        <w:rPr>
          <w:sz w:val="24"/>
          <w:szCs w:val="24"/>
          <w:lang w:val="en-GB"/>
        </w:rPr>
      </w:pPr>
      <w:r w:rsidRPr="00B55C24">
        <w:rPr>
          <w:sz w:val="24"/>
          <w:szCs w:val="24"/>
          <w:lang w:val="en-GB"/>
        </w:rPr>
        <w:t xml:space="preserve">The capsules can be taken with or without food. The capsules should be swallowed </w:t>
      </w:r>
      <w:proofErr w:type="gramStart"/>
      <w:r w:rsidRPr="00B55C24">
        <w:rPr>
          <w:sz w:val="24"/>
          <w:szCs w:val="24"/>
          <w:lang w:val="en-GB"/>
        </w:rPr>
        <w:t>as a whole with</w:t>
      </w:r>
      <w:proofErr w:type="gramEnd"/>
      <w:r w:rsidRPr="00B55C24">
        <w:rPr>
          <w:sz w:val="24"/>
          <w:szCs w:val="24"/>
          <w:lang w:val="en-GB"/>
        </w:rPr>
        <w:t xml:space="preserve"> a glass of water, to facilitate delivery to the stomach.</w:t>
      </w:r>
    </w:p>
    <w:p w14:paraId="73EA996A" w14:textId="1BA74BE8" w:rsidR="00E607F1" w:rsidRPr="00B55C24" w:rsidRDefault="00E607F1" w:rsidP="004A5906">
      <w:pPr>
        <w:ind w:left="851"/>
        <w:rPr>
          <w:sz w:val="24"/>
          <w:szCs w:val="24"/>
          <w:lang w:val="en-GB"/>
        </w:rPr>
      </w:pPr>
      <w:r w:rsidRPr="00B55C24">
        <w:rPr>
          <w:sz w:val="24"/>
          <w:szCs w:val="24"/>
          <w:lang w:val="en-GB"/>
        </w:rPr>
        <w:t>Patients should be instructed not to open the capsule as this may increase the risk of bleeding (see sections 5.2 and 6.6).</w:t>
      </w:r>
    </w:p>
    <w:p w14:paraId="74C9FCA9" w14:textId="77777777" w:rsidR="007C5D2A" w:rsidRPr="00B55C24" w:rsidRDefault="007C5D2A" w:rsidP="004A5906">
      <w:pPr>
        <w:ind w:left="851"/>
        <w:rPr>
          <w:sz w:val="24"/>
          <w:szCs w:val="24"/>
          <w:lang w:val="en-GB"/>
        </w:rPr>
      </w:pPr>
    </w:p>
    <w:p w14:paraId="03EEE200"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4.3</w:t>
      </w:r>
      <w:r w:rsidRPr="00B55C24">
        <w:rPr>
          <w:b/>
          <w:sz w:val="24"/>
          <w:szCs w:val="24"/>
          <w:lang w:val="en-GB"/>
        </w:rPr>
        <w:tab/>
        <w:t>Contraindications</w:t>
      </w:r>
    </w:p>
    <w:p w14:paraId="07D8A3EE"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Hypersensitivity to the active substance or to any of the excipients listed in section 6.1</w:t>
      </w:r>
    </w:p>
    <w:p w14:paraId="1D15A0DA"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Severe renal impairment (</w:t>
      </w:r>
      <w:proofErr w:type="spellStart"/>
      <w:r w:rsidRPr="00B55C24">
        <w:rPr>
          <w:sz w:val="24"/>
          <w:szCs w:val="24"/>
          <w:lang w:val="en-GB"/>
        </w:rPr>
        <w:t>CrCL</w:t>
      </w:r>
      <w:proofErr w:type="spellEnd"/>
      <w:r w:rsidRPr="00B55C24">
        <w:rPr>
          <w:sz w:val="24"/>
          <w:szCs w:val="24"/>
          <w:lang w:val="en-GB"/>
        </w:rPr>
        <w:t xml:space="preserve"> &lt; 30 mL/min) in adult patients</w:t>
      </w:r>
    </w:p>
    <w:p w14:paraId="61C8984B"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eGFR &lt; 50 mL/min/1.73 m</w:t>
      </w:r>
      <w:r w:rsidRPr="00B55C24">
        <w:rPr>
          <w:sz w:val="24"/>
          <w:szCs w:val="24"/>
          <w:vertAlign w:val="superscript"/>
          <w:lang w:val="en-GB"/>
        </w:rPr>
        <w:t>2</w:t>
      </w:r>
      <w:r w:rsidRPr="00B55C24">
        <w:rPr>
          <w:sz w:val="24"/>
          <w:szCs w:val="24"/>
          <w:lang w:val="en-GB"/>
        </w:rPr>
        <w:t xml:space="preserve"> in paediatric patients</w:t>
      </w:r>
    </w:p>
    <w:p w14:paraId="678771ED"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Active clinically significant bleeding</w:t>
      </w:r>
    </w:p>
    <w:p w14:paraId="522A7487"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Lesion or condition, if considered a significant risk factor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41C53A4E"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 xml:space="preserve">Concomitant treatment with any other anticoagulants e.g. unfractionated heparin (UFH), low molecular weight heparins (enoxaparin, </w:t>
      </w:r>
      <w:proofErr w:type="spellStart"/>
      <w:r w:rsidRPr="00B55C24">
        <w:rPr>
          <w:sz w:val="24"/>
          <w:szCs w:val="24"/>
          <w:lang w:val="en-GB"/>
        </w:rPr>
        <w:t>dalteparin</w:t>
      </w:r>
      <w:proofErr w:type="spellEnd"/>
      <w:r w:rsidRPr="00B55C24">
        <w:rPr>
          <w:sz w:val="24"/>
          <w:szCs w:val="24"/>
          <w:lang w:val="en-GB"/>
        </w:rPr>
        <w:t xml:space="preserve"> etc), heparin derivatives (fondaparinux etc), oral anticoagulants (warfarin, rivaroxaban, apixaban etc) except under specific circumstances. These are switching anticoagulant therapy (see section 4.2), when UFH is given at doses necessary to maintain an open central venous or arterial catheter or when UFH is given during catheter ablation for atrial fibrillation (see section 4.5)</w:t>
      </w:r>
    </w:p>
    <w:p w14:paraId="465AA551"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Hepatic impairment or liver disease expected to have any impact on survival</w:t>
      </w:r>
    </w:p>
    <w:p w14:paraId="1E84EC3E"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Concomitant treatment with the following strong P-</w:t>
      </w:r>
      <w:proofErr w:type="spellStart"/>
      <w:r w:rsidRPr="00B55C24">
        <w:rPr>
          <w:sz w:val="24"/>
          <w:szCs w:val="24"/>
          <w:lang w:val="en-GB"/>
        </w:rPr>
        <w:t>gp</w:t>
      </w:r>
      <w:proofErr w:type="spellEnd"/>
      <w:r w:rsidRPr="00B55C24">
        <w:rPr>
          <w:sz w:val="24"/>
          <w:szCs w:val="24"/>
          <w:lang w:val="en-GB"/>
        </w:rPr>
        <w:t xml:space="preserve"> inhibitors: systemic ketoconazole, cyclosporine, itraconazole, dronedarone and the fixed-dose combination </w:t>
      </w:r>
      <w:proofErr w:type="spellStart"/>
      <w:r w:rsidRPr="00B55C24">
        <w:rPr>
          <w:sz w:val="24"/>
          <w:szCs w:val="24"/>
          <w:lang w:val="en-GB"/>
        </w:rPr>
        <w:t>glecaprevir</w:t>
      </w:r>
      <w:proofErr w:type="spellEnd"/>
      <w:r w:rsidRPr="00B55C24">
        <w:rPr>
          <w:sz w:val="24"/>
          <w:szCs w:val="24"/>
          <w:lang w:val="en-GB"/>
        </w:rPr>
        <w:t>/</w:t>
      </w:r>
      <w:proofErr w:type="spellStart"/>
      <w:r w:rsidRPr="00B55C24">
        <w:rPr>
          <w:sz w:val="24"/>
          <w:szCs w:val="24"/>
          <w:lang w:val="en-GB"/>
        </w:rPr>
        <w:t>pibrentasvir</w:t>
      </w:r>
      <w:proofErr w:type="spellEnd"/>
      <w:r w:rsidRPr="00B55C24">
        <w:rPr>
          <w:sz w:val="24"/>
          <w:szCs w:val="24"/>
          <w:lang w:val="en-GB"/>
        </w:rPr>
        <w:t xml:space="preserve"> (see section 4.5)</w:t>
      </w:r>
    </w:p>
    <w:p w14:paraId="6C67DBDD" w14:textId="77777777" w:rsidR="00E607F1" w:rsidRPr="00B55C24" w:rsidRDefault="00E607F1" w:rsidP="004A5906">
      <w:pPr>
        <w:pStyle w:val="Listeafsnit"/>
        <w:numPr>
          <w:ilvl w:val="0"/>
          <w:numId w:val="10"/>
        </w:numPr>
        <w:ind w:left="1276" w:hanging="425"/>
        <w:rPr>
          <w:sz w:val="24"/>
          <w:szCs w:val="24"/>
          <w:lang w:val="en-GB"/>
        </w:rPr>
      </w:pPr>
      <w:r w:rsidRPr="00B55C24">
        <w:rPr>
          <w:sz w:val="24"/>
          <w:szCs w:val="24"/>
          <w:lang w:val="en-GB"/>
        </w:rPr>
        <w:t xml:space="preserve">Prosthetic heart valves requiring anticoagulant treatment </w:t>
      </w:r>
      <w:r w:rsidRPr="00B55C24">
        <w:rPr>
          <w:b/>
          <w:bCs/>
          <w:sz w:val="24"/>
          <w:szCs w:val="24"/>
          <w:lang w:val="en-GB"/>
        </w:rPr>
        <w:t>(</w:t>
      </w:r>
      <w:r w:rsidRPr="00B55C24">
        <w:rPr>
          <w:sz w:val="24"/>
          <w:szCs w:val="24"/>
          <w:lang w:val="en-GB"/>
        </w:rPr>
        <w:t>see section 5.1).</w:t>
      </w:r>
    </w:p>
    <w:p w14:paraId="606D2D5F" w14:textId="77777777" w:rsidR="007C5D2A" w:rsidRPr="00B55C24" w:rsidRDefault="007C5D2A" w:rsidP="003E0341">
      <w:pPr>
        <w:tabs>
          <w:tab w:val="left" w:pos="851"/>
        </w:tabs>
        <w:ind w:left="851"/>
        <w:rPr>
          <w:sz w:val="24"/>
          <w:szCs w:val="24"/>
          <w:lang w:val="en-GB"/>
        </w:rPr>
      </w:pPr>
    </w:p>
    <w:p w14:paraId="5772921E" w14:textId="77777777" w:rsidR="007C5D2A" w:rsidRPr="00B55C24" w:rsidRDefault="007C5D2A" w:rsidP="007C5D2A">
      <w:pPr>
        <w:tabs>
          <w:tab w:val="left" w:pos="851"/>
        </w:tabs>
        <w:rPr>
          <w:b/>
          <w:sz w:val="24"/>
          <w:szCs w:val="24"/>
          <w:lang w:val="en-GB"/>
        </w:rPr>
      </w:pPr>
      <w:r w:rsidRPr="00B55C24">
        <w:rPr>
          <w:b/>
          <w:sz w:val="24"/>
          <w:szCs w:val="24"/>
          <w:lang w:val="en-GB"/>
        </w:rPr>
        <w:t>4.4</w:t>
      </w:r>
      <w:r w:rsidRPr="00B55C24">
        <w:rPr>
          <w:b/>
          <w:sz w:val="24"/>
          <w:szCs w:val="24"/>
          <w:lang w:val="en-GB"/>
        </w:rPr>
        <w:tab/>
        <w:t>Special warnings and precautions for use</w:t>
      </w:r>
    </w:p>
    <w:p w14:paraId="28C7EC83" w14:textId="77777777" w:rsidR="00B55C24" w:rsidRDefault="00B55C24" w:rsidP="004A5906">
      <w:pPr>
        <w:ind w:left="851"/>
        <w:rPr>
          <w:sz w:val="24"/>
          <w:szCs w:val="24"/>
          <w:lang w:val="en-GB"/>
        </w:rPr>
      </w:pPr>
    </w:p>
    <w:p w14:paraId="2800BB94" w14:textId="3B5AE31F" w:rsidR="00E607F1" w:rsidRPr="00B55C24" w:rsidRDefault="00E607F1" w:rsidP="004A5906">
      <w:pPr>
        <w:ind w:left="851"/>
        <w:rPr>
          <w:sz w:val="24"/>
          <w:szCs w:val="24"/>
          <w:u w:val="single"/>
          <w:lang w:val="en-GB"/>
        </w:rPr>
      </w:pPr>
      <w:r w:rsidRPr="00B55C24">
        <w:rPr>
          <w:sz w:val="24"/>
          <w:szCs w:val="24"/>
          <w:u w:val="single"/>
          <w:lang w:val="en-GB"/>
        </w:rPr>
        <w:t>Haemorrhagic risk</w:t>
      </w:r>
    </w:p>
    <w:p w14:paraId="3F28E047" w14:textId="77777777" w:rsidR="00E607F1" w:rsidRPr="00B55C24" w:rsidRDefault="00E607F1" w:rsidP="004A5906">
      <w:pPr>
        <w:ind w:left="851"/>
        <w:rPr>
          <w:sz w:val="24"/>
          <w:szCs w:val="24"/>
          <w:lang w:val="en-GB"/>
        </w:rPr>
      </w:pPr>
    </w:p>
    <w:p w14:paraId="1E30D086"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should be used with caution in conditions with an increased risk of bleeding or with concomitant use of medicinal products affecting haemostasis by inhibition of platelet aggregation. Bleeding can occur at any site during therapy. An unexplained fall in haemoglobin and/or haematocrit or blood pressure should lead to a search for a bleeding site.</w:t>
      </w:r>
    </w:p>
    <w:p w14:paraId="51BC5828" w14:textId="77777777" w:rsidR="00E607F1" w:rsidRPr="00B55C24" w:rsidRDefault="00E607F1" w:rsidP="004A5906">
      <w:pPr>
        <w:ind w:left="851"/>
        <w:rPr>
          <w:sz w:val="24"/>
          <w:szCs w:val="24"/>
          <w:lang w:val="en-GB"/>
        </w:rPr>
      </w:pPr>
    </w:p>
    <w:p w14:paraId="418EC834" w14:textId="77777777" w:rsidR="00E607F1" w:rsidRPr="00B55C24" w:rsidRDefault="00E607F1" w:rsidP="004A5906">
      <w:pPr>
        <w:ind w:left="851"/>
        <w:rPr>
          <w:sz w:val="24"/>
          <w:szCs w:val="24"/>
          <w:lang w:val="en-GB"/>
        </w:rPr>
      </w:pPr>
      <w:r w:rsidRPr="00B55C24">
        <w:rPr>
          <w:sz w:val="24"/>
          <w:szCs w:val="24"/>
          <w:lang w:val="en-GB"/>
        </w:rPr>
        <w:t xml:space="preserve">For adult patients in situations of life-threatening or uncontrolled bleeding, when rapid reversal of the anticoagulation effect of dabigatran is required, the specific reversal agent </w:t>
      </w:r>
      <w:proofErr w:type="spellStart"/>
      <w:r w:rsidRPr="00B55C24">
        <w:rPr>
          <w:sz w:val="24"/>
          <w:szCs w:val="24"/>
          <w:lang w:val="en-GB"/>
        </w:rPr>
        <w:t>idarucizumab</w:t>
      </w:r>
      <w:proofErr w:type="spellEnd"/>
      <w:r w:rsidRPr="00B55C24">
        <w:rPr>
          <w:sz w:val="24"/>
          <w:szCs w:val="24"/>
          <w:lang w:val="en-GB"/>
        </w:rPr>
        <w:t xml:space="preserve"> is available. The efficacy and safety of </w:t>
      </w:r>
      <w:proofErr w:type="spellStart"/>
      <w:r w:rsidRPr="00B55C24">
        <w:rPr>
          <w:sz w:val="24"/>
          <w:szCs w:val="24"/>
          <w:lang w:val="en-GB"/>
        </w:rPr>
        <w:t>idarucizumab</w:t>
      </w:r>
      <w:proofErr w:type="spellEnd"/>
      <w:r w:rsidRPr="00B55C24">
        <w:rPr>
          <w:sz w:val="24"/>
          <w:szCs w:val="24"/>
          <w:lang w:val="en-GB"/>
        </w:rPr>
        <w:t xml:space="preserve"> have not been established in paediatric patients.</w:t>
      </w:r>
    </w:p>
    <w:p w14:paraId="1DA34C48" w14:textId="77777777" w:rsidR="00E607F1" w:rsidRPr="00B55C24" w:rsidRDefault="00E607F1" w:rsidP="004A5906">
      <w:pPr>
        <w:ind w:left="851"/>
        <w:rPr>
          <w:sz w:val="24"/>
          <w:szCs w:val="24"/>
          <w:lang w:val="en-GB"/>
        </w:rPr>
      </w:pPr>
      <w:r w:rsidRPr="00B55C24">
        <w:rPr>
          <w:sz w:val="24"/>
          <w:szCs w:val="24"/>
          <w:lang w:val="en-GB"/>
        </w:rPr>
        <w:t xml:space="preserve">Haemodialysis can remove dabigatran. For adult patients, fresh whole blood or fresh frozen plasma, coagulation factor concentration (activated or non-activated), recombinant factor </w:t>
      </w:r>
      <w:proofErr w:type="spellStart"/>
      <w:r w:rsidRPr="00B55C24">
        <w:rPr>
          <w:sz w:val="24"/>
          <w:szCs w:val="24"/>
          <w:lang w:val="en-GB"/>
        </w:rPr>
        <w:t>VIIa</w:t>
      </w:r>
      <w:proofErr w:type="spellEnd"/>
      <w:r w:rsidRPr="00B55C24">
        <w:rPr>
          <w:sz w:val="24"/>
          <w:szCs w:val="24"/>
          <w:lang w:val="en-GB"/>
        </w:rPr>
        <w:t xml:space="preserve"> or platelet concentrates are other possible options (see also section 4.9).</w:t>
      </w:r>
    </w:p>
    <w:p w14:paraId="1CB23462" w14:textId="77777777" w:rsidR="00E607F1" w:rsidRPr="00B55C24" w:rsidRDefault="00E607F1" w:rsidP="004A5906">
      <w:pPr>
        <w:ind w:left="851"/>
        <w:rPr>
          <w:sz w:val="24"/>
          <w:szCs w:val="24"/>
          <w:lang w:val="en-GB"/>
        </w:rPr>
      </w:pPr>
    </w:p>
    <w:p w14:paraId="7B905F5A" w14:textId="77777777" w:rsidR="00E607F1" w:rsidRPr="00B55C24" w:rsidRDefault="00E607F1" w:rsidP="004A5906">
      <w:pPr>
        <w:ind w:left="851"/>
        <w:rPr>
          <w:sz w:val="24"/>
          <w:szCs w:val="24"/>
          <w:lang w:val="en-GB"/>
        </w:rPr>
      </w:pPr>
      <w:r w:rsidRPr="00B55C24">
        <w:rPr>
          <w:sz w:val="24"/>
          <w:szCs w:val="24"/>
          <w:lang w:val="en-GB"/>
        </w:rPr>
        <w:t xml:space="preserve">In clinical trials, dabigatran </w:t>
      </w:r>
      <w:proofErr w:type="spellStart"/>
      <w:r w:rsidRPr="00B55C24">
        <w:rPr>
          <w:sz w:val="24"/>
          <w:szCs w:val="24"/>
          <w:lang w:val="en-GB"/>
        </w:rPr>
        <w:t>etexilate</w:t>
      </w:r>
      <w:proofErr w:type="spellEnd"/>
      <w:r w:rsidRPr="00B55C24">
        <w:rPr>
          <w:sz w:val="24"/>
          <w:szCs w:val="24"/>
          <w:lang w:val="en-GB"/>
        </w:rPr>
        <w:t xml:space="preserve"> was associated with higher rates of major gastrointestinal (GI) bleeding. An increased risk was seen in the elderly (≥ 75 years) for the 150 mg twice daily dose regimen. Further risk factors (see also table 4) comprise co-medication with platelet aggregation inhibitors such as clopidogrel and acetylsalicylic acid (ASA) or </w:t>
      </w:r>
      <w:proofErr w:type="spellStart"/>
      <w:proofErr w:type="gramStart"/>
      <w:r w:rsidRPr="00B55C24">
        <w:rPr>
          <w:sz w:val="24"/>
          <w:szCs w:val="24"/>
          <w:lang w:val="en-GB"/>
        </w:rPr>
        <w:t>non steroidal</w:t>
      </w:r>
      <w:proofErr w:type="spellEnd"/>
      <w:proofErr w:type="gramEnd"/>
      <w:r w:rsidRPr="00B55C24">
        <w:rPr>
          <w:sz w:val="24"/>
          <w:szCs w:val="24"/>
          <w:lang w:val="en-GB"/>
        </w:rPr>
        <w:t xml:space="preserve"> </w:t>
      </w:r>
      <w:proofErr w:type="spellStart"/>
      <w:r w:rsidRPr="00B55C24">
        <w:rPr>
          <w:sz w:val="24"/>
          <w:szCs w:val="24"/>
          <w:lang w:val="en-GB"/>
        </w:rPr>
        <w:t>antiinflammatory</w:t>
      </w:r>
      <w:proofErr w:type="spellEnd"/>
      <w:r w:rsidRPr="00B55C24">
        <w:rPr>
          <w:sz w:val="24"/>
          <w:szCs w:val="24"/>
          <w:lang w:val="en-GB"/>
        </w:rPr>
        <w:t xml:space="preserve"> drugs (NSAID), as well as the presence of esophagitis, gastritis or gastroesophageal reflux.</w:t>
      </w:r>
    </w:p>
    <w:p w14:paraId="6CA6F209" w14:textId="77777777" w:rsidR="00E607F1" w:rsidRPr="00B55C24" w:rsidRDefault="00E607F1" w:rsidP="004A5906">
      <w:pPr>
        <w:ind w:left="851"/>
        <w:rPr>
          <w:sz w:val="24"/>
          <w:szCs w:val="24"/>
          <w:lang w:val="en-GB"/>
        </w:rPr>
      </w:pPr>
    </w:p>
    <w:p w14:paraId="5BA0244D" w14:textId="77777777" w:rsidR="00E607F1" w:rsidRPr="00B55C24" w:rsidRDefault="00E607F1" w:rsidP="004A5906">
      <w:pPr>
        <w:ind w:left="851"/>
        <w:rPr>
          <w:sz w:val="24"/>
          <w:szCs w:val="24"/>
          <w:u w:val="single"/>
          <w:lang w:val="en-GB"/>
        </w:rPr>
      </w:pPr>
      <w:r w:rsidRPr="00B55C24">
        <w:rPr>
          <w:i/>
          <w:iCs/>
          <w:sz w:val="24"/>
          <w:szCs w:val="24"/>
          <w:u w:val="single"/>
          <w:lang w:val="en-GB"/>
        </w:rPr>
        <w:t>Risk factors</w:t>
      </w:r>
    </w:p>
    <w:p w14:paraId="299D8081" w14:textId="77777777" w:rsidR="00E607F1" w:rsidRPr="00B55C24" w:rsidRDefault="00E607F1" w:rsidP="004A5906">
      <w:pPr>
        <w:ind w:left="851"/>
        <w:rPr>
          <w:sz w:val="24"/>
          <w:szCs w:val="24"/>
          <w:lang w:val="en-GB"/>
        </w:rPr>
      </w:pPr>
    </w:p>
    <w:p w14:paraId="1A57A93C" w14:textId="77777777" w:rsidR="00E607F1" w:rsidRPr="00B55C24" w:rsidRDefault="00E607F1" w:rsidP="004A5906">
      <w:pPr>
        <w:ind w:left="851"/>
        <w:rPr>
          <w:sz w:val="24"/>
          <w:szCs w:val="24"/>
          <w:lang w:val="en-GB"/>
        </w:rPr>
      </w:pPr>
      <w:r w:rsidRPr="00B55C24">
        <w:rPr>
          <w:sz w:val="24"/>
          <w:szCs w:val="24"/>
          <w:lang w:val="en-GB"/>
        </w:rPr>
        <w:t>Table 4 summarises factors which may increase the haemorrhagic risk.</w:t>
      </w:r>
    </w:p>
    <w:p w14:paraId="30042A81" w14:textId="77777777" w:rsidR="00E607F1" w:rsidRPr="00B55C24" w:rsidRDefault="00E607F1" w:rsidP="004A5906">
      <w:pPr>
        <w:ind w:left="851"/>
        <w:rPr>
          <w:sz w:val="24"/>
          <w:szCs w:val="24"/>
          <w:lang w:val="en-GB"/>
        </w:rPr>
      </w:pPr>
    </w:p>
    <w:p w14:paraId="2ADF6A2F"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4: Factors which may increase the haemorrhagic risk.</w:t>
      </w:r>
    </w:p>
    <w:p w14:paraId="57F96650"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700"/>
        <w:gridCol w:w="4928"/>
      </w:tblGrid>
      <w:tr w:rsidR="00E607F1" w:rsidRPr="00B55C24" w14:paraId="16EE8C8D" w14:textId="77777777" w:rsidTr="004A5906">
        <w:trPr>
          <w:trHeight w:val="57"/>
          <w:jc w:val="center"/>
        </w:trPr>
        <w:tc>
          <w:tcPr>
            <w:tcW w:w="2441" w:type="pct"/>
            <w:tcBorders>
              <w:top w:val="single" w:sz="4" w:space="0" w:color="auto"/>
              <w:left w:val="single" w:sz="4" w:space="0" w:color="auto"/>
              <w:bottom w:val="nil"/>
              <w:right w:val="nil"/>
            </w:tcBorders>
          </w:tcPr>
          <w:p w14:paraId="15D6F1B8" w14:textId="77777777" w:rsidR="00E607F1" w:rsidRPr="00B55C24" w:rsidRDefault="00E607F1" w:rsidP="004A5906">
            <w:pPr>
              <w:rPr>
                <w:sz w:val="24"/>
                <w:szCs w:val="24"/>
                <w:lang w:val="en-GB"/>
              </w:rPr>
            </w:pPr>
          </w:p>
        </w:tc>
        <w:tc>
          <w:tcPr>
            <w:tcW w:w="2559" w:type="pct"/>
            <w:tcBorders>
              <w:top w:val="single" w:sz="4" w:space="0" w:color="auto"/>
              <w:left w:val="single" w:sz="4" w:space="0" w:color="auto"/>
              <w:bottom w:val="nil"/>
              <w:right w:val="single" w:sz="4" w:space="0" w:color="auto"/>
            </w:tcBorders>
            <w:vAlign w:val="bottom"/>
            <w:hideMark/>
          </w:tcPr>
          <w:p w14:paraId="7203CD79" w14:textId="77777777" w:rsidR="00E607F1" w:rsidRPr="00B55C24" w:rsidRDefault="00E607F1" w:rsidP="004A5906">
            <w:pPr>
              <w:rPr>
                <w:sz w:val="24"/>
                <w:szCs w:val="24"/>
                <w:lang w:val="en-GB"/>
              </w:rPr>
            </w:pPr>
            <w:r w:rsidRPr="00B55C24">
              <w:rPr>
                <w:sz w:val="24"/>
                <w:szCs w:val="24"/>
                <w:lang w:val="en-GB"/>
              </w:rPr>
              <w:t>Risk factor</w:t>
            </w:r>
          </w:p>
        </w:tc>
      </w:tr>
      <w:tr w:rsidR="00E607F1" w:rsidRPr="00B55C24" w14:paraId="7DB833DC" w14:textId="77777777" w:rsidTr="004A5906">
        <w:trPr>
          <w:trHeight w:val="57"/>
          <w:jc w:val="center"/>
        </w:trPr>
        <w:tc>
          <w:tcPr>
            <w:tcW w:w="2441" w:type="pct"/>
            <w:tcBorders>
              <w:top w:val="single" w:sz="4" w:space="0" w:color="auto"/>
              <w:left w:val="single" w:sz="4" w:space="0" w:color="auto"/>
              <w:bottom w:val="nil"/>
              <w:right w:val="nil"/>
            </w:tcBorders>
            <w:vAlign w:val="bottom"/>
            <w:hideMark/>
          </w:tcPr>
          <w:p w14:paraId="5892BEC9" w14:textId="77777777" w:rsidR="00E607F1" w:rsidRPr="00B55C24" w:rsidRDefault="00E607F1" w:rsidP="004A5906">
            <w:pPr>
              <w:rPr>
                <w:sz w:val="24"/>
                <w:szCs w:val="24"/>
                <w:lang w:val="en-GB"/>
              </w:rPr>
            </w:pPr>
            <w:r w:rsidRPr="00B55C24">
              <w:rPr>
                <w:sz w:val="24"/>
                <w:szCs w:val="24"/>
                <w:lang w:val="en-GB"/>
              </w:rPr>
              <w:t>Pharmacodynamic and kinetic factors</w:t>
            </w:r>
          </w:p>
        </w:tc>
        <w:tc>
          <w:tcPr>
            <w:tcW w:w="2559" w:type="pct"/>
            <w:tcBorders>
              <w:top w:val="single" w:sz="4" w:space="0" w:color="auto"/>
              <w:left w:val="single" w:sz="4" w:space="0" w:color="auto"/>
              <w:bottom w:val="nil"/>
              <w:right w:val="single" w:sz="4" w:space="0" w:color="auto"/>
            </w:tcBorders>
            <w:vAlign w:val="bottom"/>
            <w:hideMark/>
          </w:tcPr>
          <w:p w14:paraId="10ADFC64" w14:textId="77777777" w:rsidR="00E607F1" w:rsidRPr="00B55C24" w:rsidRDefault="00E607F1" w:rsidP="004A5906">
            <w:pPr>
              <w:rPr>
                <w:sz w:val="24"/>
                <w:szCs w:val="24"/>
                <w:lang w:val="en-GB"/>
              </w:rPr>
            </w:pPr>
            <w:r w:rsidRPr="00B55C24">
              <w:rPr>
                <w:sz w:val="24"/>
                <w:szCs w:val="24"/>
                <w:lang w:val="en-GB"/>
              </w:rPr>
              <w:t>Age ≥ 75 years</w:t>
            </w:r>
          </w:p>
        </w:tc>
      </w:tr>
      <w:tr w:rsidR="00E607F1" w:rsidRPr="00D476B2" w14:paraId="17850A69" w14:textId="77777777" w:rsidTr="004A5906">
        <w:trPr>
          <w:trHeight w:val="57"/>
          <w:jc w:val="center"/>
        </w:trPr>
        <w:tc>
          <w:tcPr>
            <w:tcW w:w="2441" w:type="pct"/>
            <w:tcBorders>
              <w:top w:val="single" w:sz="4" w:space="0" w:color="auto"/>
              <w:left w:val="single" w:sz="4" w:space="0" w:color="auto"/>
              <w:bottom w:val="single" w:sz="4" w:space="0" w:color="auto"/>
              <w:right w:val="nil"/>
            </w:tcBorders>
            <w:hideMark/>
          </w:tcPr>
          <w:p w14:paraId="1EAA6D38" w14:textId="77777777" w:rsidR="00E607F1" w:rsidRPr="00B55C24" w:rsidRDefault="00E607F1" w:rsidP="004A5906">
            <w:pPr>
              <w:rPr>
                <w:sz w:val="24"/>
                <w:szCs w:val="24"/>
                <w:lang w:val="en-GB"/>
              </w:rPr>
            </w:pPr>
            <w:r w:rsidRPr="00B55C24">
              <w:rPr>
                <w:sz w:val="24"/>
                <w:szCs w:val="24"/>
                <w:lang w:val="en-GB"/>
              </w:rPr>
              <w:t>Factors increasing dabigatran plasma levels</w:t>
            </w:r>
          </w:p>
        </w:tc>
        <w:tc>
          <w:tcPr>
            <w:tcW w:w="2559" w:type="pct"/>
            <w:tcBorders>
              <w:top w:val="single" w:sz="4" w:space="0" w:color="auto"/>
              <w:left w:val="single" w:sz="4" w:space="0" w:color="auto"/>
              <w:bottom w:val="single" w:sz="4" w:space="0" w:color="auto"/>
              <w:right w:val="single" w:sz="4" w:space="0" w:color="auto"/>
            </w:tcBorders>
            <w:vAlign w:val="bottom"/>
            <w:hideMark/>
          </w:tcPr>
          <w:p w14:paraId="0B2CBF36" w14:textId="77777777" w:rsidR="00E607F1" w:rsidRPr="00B55C24" w:rsidRDefault="00E607F1" w:rsidP="004A5906">
            <w:pPr>
              <w:rPr>
                <w:sz w:val="24"/>
                <w:szCs w:val="24"/>
                <w:lang w:val="en-GB"/>
              </w:rPr>
            </w:pPr>
            <w:r w:rsidRPr="00B55C24">
              <w:rPr>
                <w:sz w:val="24"/>
                <w:szCs w:val="24"/>
                <w:u w:val="single"/>
                <w:lang w:val="en-GB"/>
              </w:rPr>
              <w:t>Major:</w:t>
            </w:r>
          </w:p>
          <w:p w14:paraId="4EB02121" w14:textId="77777777" w:rsidR="00E607F1" w:rsidRPr="00B55C24" w:rsidRDefault="00E607F1" w:rsidP="00B55C24">
            <w:pPr>
              <w:pStyle w:val="Listeafsnit"/>
              <w:numPr>
                <w:ilvl w:val="0"/>
                <w:numId w:val="14"/>
              </w:numPr>
              <w:ind w:left="525"/>
              <w:rPr>
                <w:sz w:val="24"/>
                <w:szCs w:val="24"/>
                <w:lang w:val="en-GB"/>
              </w:rPr>
            </w:pPr>
            <w:r w:rsidRPr="00B55C24">
              <w:rPr>
                <w:sz w:val="24"/>
                <w:szCs w:val="24"/>
                <w:lang w:val="en-GB"/>
              </w:rPr>
              <w:t>Moderate renal impairment in adult patients (30</w:t>
            </w:r>
            <w:r w:rsidRPr="00B55C24">
              <w:rPr>
                <w:sz w:val="24"/>
                <w:szCs w:val="24"/>
                <w:lang w:val="en-GB"/>
              </w:rPr>
              <w:noBreakHyphen/>
              <w:t xml:space="preserve">50 mL/min </w:t>
            </w:r>
            <w:proofErr w:type="spellStart"/>
            <w:r w:rsidRPr="00B55C24">
              <w:rPr>
                <w:sz w:val="24"/>
                <w:szCs w:val="24"/>
                <w:lang w:val="en-GB"/>
              </w:rPr>
              <w:t>CrCL</w:t>
            </w:r>
            <w:proofErr w:type="spellEnd"/>
            <w:r w:rsidRPr="00B55C24">
              <w:rPr>
                <w:sz w:val="24"/>
                <w:szCs w:val="24"/>
                <w:lang w:val="en-GB"/>
              </w:rPr>
              <w:t>)</w:t>
            </w:r>
          </w:p>
          <w:p w14:paraId="55F3D6C3" w14:textId="77777777" w:rsidR="00E607F1" w:rsidRPr="00B55C24" w:rsidRDefault="00E607F1" w:rsidP="00B55C24">
            <w:pPr>
              <w:pStyle w:val="Listeafsnit"/>
              <w:numPr>
                <w:ilvl w:val="0"/>
                <w:numId w:val="14"/>
              </w:numPr>
              <w:ind w:left="525"/>
              <w:rPr>
                <w:sz w:val="24"/>
                <w:szCs w:val="24"/>
                <w:lang w:val="en-GB"/>
              </w:rPr>
            </w:pPr>
            <w:r w:rsidRPr="00B55C24">
              <w:rPr>
                <w:sz w:val="24"/>
                <w:szCs w:val="24"/>
                <w:lang w:val="en-GB"/>
              </w:rPr>
              <w:t>Strong P-</w:t>
            </w:r>
            <w:proofErr w:type="spellStart"/>
            <w:r w:rsidRPr="00B55C24">
              <w:rPr>
                <w:sz w:val="24"/>
                <w:szCs w:val="24"/>
                <w:lang w:val="en-GB"/>
              </w:rPr>
              <w:t>gp</w:t>
            </w:r>
            <w:proofErr w:type="spellEnd"/>
            <w:r w:rsidRPr="00B55C24">
              <w:rPr>
                <w:sz w:val="24"/>
                <w:szCs w:val="24"/>
                <w:lang w:val="en-GB"/>
              </w:rPr>
              <w:t xml:space="preserve"> inhibitors (see section 4.3 and 4.5)</w:t>
            </w:r>
          </w:p>
          <w:p w14:paraId="0682E6A3" w14:textId="77777777" w:rsidR="00E607F1" w:rsidRPr="00B55C24" w:rsidRDefault="00E607F1" w:rsidP="00B55C24">
            <w:pPr>
              <w:pStyle w:val="Listeafsnit"/>
              <w:numPr>
                <w:ilvl w:val="0"/>
                <w:numId w:val="14"/>
              </w:numPr>
              <w:ind w:left="525"/>
              <w:rPr>
                <w:sz w:val="24"/>
                <w:szCs w:val="24"/>
                <w:lang w:val="en-GB"/>
              </w:rPr>
            </w:pPr>
            <w:r w:rsidRPr="00B55C24">
              <w:rPr>
                <w:sz w:val="24"/>
                <w:szCs w:val="24"/>
                <w:lang w:val="en-GB"/>
              </w:rPr>
              <w:t>Mild to moderate P-</w:t>
            </w:r>
            <w:proofErr w:type="spellStart"/>
            <w:r w:rsidRPr="00B55C24">
              <w:rPr>
                <w:sz w:val="24"/>
                <w:szCs w:val="24"/>
                <w:lang w:val="en-GB"/>
              </w:rPr>
              <w:t>gp</w:t>
            </w:r>
            <w:proofErr w:type="spellEnd"/>
            <w:r w:rsidRPr="00B55C24">
              <w:rPr>
                <w:sz w:val="24"/>
                <w:szCs w:val="24"/>
                <w:lang w:val="en-GB"/>
              </w:rPr>
              <w:t xml:space="preserve"> inhibitor </w:t>
            </w:r>
            <w:r w:rsidRPr="00B55C24">
              <w:rPr>
                <w:sz w:val="24"/>
                <w:szCs w:val="24"/>
                <w:lang w:val="en-GB"/>
              </w:rPr>
              <w:br/>
              <w:t>co-medication (e.g. amiodarone, verapamil, quinidine and ticagrelor; see section 4.5)</w:t>
            </w:r>
          </w:p>
          <w:p w14:paraId="77B70748" w14:textId="77777777" w:rsidR="00B55C24" w:rsidRDefault="00B55C24" w:rsidP="004A5906">
            <w:pPr>
              <w:rPr>
                <w:sz w:val="24"/>
                <w:szCs w:val="24"/>
                <w:u w:val="single"/>
                <w:lang w:val="en-GB"/>
              </w:rPr>
            </w:pPr>
          </w:p>
          <w:p w14:paraId="66D6AEFD" w14:textId="18C925AC" w:rsidR="00E607F1" w:rsidRPr="00B55C24" w:rsidRDefault="00E607F1" w:rsidP="004A5906">
            <w:pPr>
              <w:rPr>
                <w:sz w:val="24"/>
                <w:szCs w:val="24"/>
                <w:lang w:val="en-GB"/>
              </w:rPr>
            </w:pPr>
            <w:r w:rsidRPr="00B55C24">
              <w:rPr>
                <w:sz w:val="24"/>
                <w:szCs w:val="24"/>
                <w:u w:val="single"/>
                <w:lang w:val="en-GB"/>
              </w:rPr>
              <w:t>Minor:</w:t>
            </w:r>
          </w:p>
          <w:p w14:paraId="55040D74" w14:textId="77777777" w:rsidR="00E607F1" w:rsidRPr="00B55C24" w:rsidRDefault="00E607F1" w:rsidP="00B55C24">
            <w:pPr>
              <w:pStyle w:val="Listeafsnit"/>
              <w:numPr>
                <w:ilvl w:val="0"/>
                <w:numId w:val="15"/>
              </w:numPr>
              <w:ind w:left="525"/>
              <w:rPr>
                <w:sz w:val="24"/>
                <w:szCs w:val="24"/>
                <w:lang w:val="en-GB"/>
              </w:rPr>
            </w:pPr>
            <w:r w:rsidRPr="00B55C24">
              <w:rPr>
                <w:sz w:val="24"/>
                <w:szCs w:val="24"/>
                <w:lang w:val="en-GB"/>
              </w:rPr>
              <w:t>Low body weight (&lt; 50 kg) in adult patients</w:t>
            </w:r>
          </w:p>
        </w:tc>
      </w:tr>
      <w:tr w:rsidR="00E607F1" w:rsidRPr="00D476B2" w14:paraId="4A7090EF" w14:textId="77777777" w:rsidTr="004A5906">
        <w:trPr>
          <w:trHeight w:val="57"/>
          <w:jc w:val="center"/>
        </w:trPr>
        <w:tc>
          <w:tcPr>
            <w:tcW w:w="2441" w:type="pct"/>
            <w:tcBorders>
              <w:top w:val="single" w:sz="4" w:space="0" w:color="auto"/>
              <w:left w:val="single" w:sz="4" w:space="0" w:color="auto"/>
              <w:bottom w:val="single" w:sz="4" w:space="0" w:color="auto"/>
              <w:right w:val="nil"/>
            </w:tcBorders>
            <w:hideMark/>
          </w:tcPr>
          <w:p w14:paraId="65ED2DDE" w14:textId="77777777" w:rsidR="00E607F1" w:rsidRPr="00B55C24" w:rsidRDefault="00E607F1" w:rsidP="004A5906">
            <w:pPr>
              <w:rPr>
                <w:sz w:val="24"/>
                <w:szCs w:val="24"/>
                <w:lang w:val="en-GB"/>
              </w:rPr>
            </w:pPr>
            <w:r w:rsidRPr="00B55C24">
              <w:rPr>
                <w:sz w:val="24"/>
                <w:szCs w:val="24"/>
                <w:lang w:val="en-GB"/>
              </w:rPr>
              <w:t>Pharmacodynamic interactions (see section 4.5)</w:t>
            </w:r>
          </w:p>
        </w:tc>
        <w:tc>
          <w:tcPr>
            <w:tcW w:w="2559" w:type="pct"/>
            <w:tcBorders>
              <w:top w:val="single" w:sz="4" w:space="0" w:color="auto"/>
              <w:left w:val="single" w:sz="4" w:space="0" w:color="auto"/>
              <w:bottom w:val="single" w:sz="4" w:space="0" w:color="auto"/>
              <w:right w:val="single" w:sz="4" w:space="0" w:color="auto"/>
            </w:tcBorders>
            <w:vAlign w:val="bottom"/>
            <w:hideMark/>
          </w:tcPr>
          <w:p w14:paraId="570581AD" w14:textId="77777777" w:rsidR="00E607F1" w:rsidRPr="00B55C24" w:rsidRDefault="00E607F1" w:rsidP="00B55C24">
            <w:pPr>
              <w:pStyle w:val="Listeafsnit"/>
              <w:numPr>
                <w:ilvl w:val="0"/>
                <w:numId w:val="15"/>
              </w:numPr>
              <w:ind w:left="525"/>
              <w:rPr>
                <w:sz w:val="24"/>
                <w:szCs w:val="24"/>
                <w:lang w:val="en-GB"/>
              </w:rPr>
            </w:pPr>
            <w:r w:rsidRPr="00B55C24">
              <w:rPr>
                <w:sz w:val="24"/>
                <w:szCs w:val="24"/>
                <w:lang w:val="en-GB"/>
              </w:rPr>
              <w:t>ASA and other platelet aggregation inhibitors such as clopidogrel</w:t>
            </w:r>
          </w:p>
          <w:p w14:paraId="094CB67F" w14:textId="77777777" w:rsidR="00E607F1" w:rsidRPr="00B55C24" w:rsidRDefault="00E607F1" w:rsidP="00B55C24">
            <w:pPr>
              <w:pStyle w:val="Listeafsnit"/>
              <w:numPr>
                <w:ilvl w:val="0"/>
                <w:numId w:val="15"/>
              </w:numPr>
              <w:ind w:left="525"/>
              <w:rPr>
                <w:sz w:val="24"/>
                <w:szCs w:val="24"/>
                <w:lang w:val="en-GB"/>
              </w:rPr>
            </w:pPr>
            <w:r w:rsidRPr="00B55C24">
              <w:rPr>
                <w:sz w:val="24"/>
                <w:szCs w:val="24"/>
                <w:lang w:val="en-GB"/>
              </w:rPr>
              <w:t>NSAIDs</w:t>
            </w:r>
          </w:p>
          <w:p w14:paraId="5F01E826" w14:textId="77777777" w:rsidR="00E607F1" w:rsidRPr="00B55C24" w:rsidRDefault="00E607F1" w:rsidP="00B55C24">
            <w:pPr>
              <w:pStyle w:val="Listeafsnit"/>
              <w:numPr>
                <w:ilvl w:val="0"/>
                <w:numId w:val="15"/>
              </w:numPr>
              <w:ind w:left="525"/>
              <w:rPr>
                <w:sz w:val="24"/>
                <w:szCs w:val="24"/>
                <w:lang w:val="en-GB"/>
              </w:rPr>
            </w:pPr>
            <w:r w:rsidRPr="00B55C24">
              <w:rPr>
                <w:sz w:val="24"/>
                <w:szCs w:val="24"/>
                <w:lang w:val="en-GB"/>
              </w:rPr>
              <w:t>SSRIs or SNRIs</w:t>
            </w:r>
          </w:p>
          <w:p w14:paraId="6733D49E" w14:textId="40B570F4" w:rsidR="00E607F1" w:rsidRPr="00B55C24" w:rsidRDefault="00E607F1" w:rsidP="00B55C24">
            <w:pPr>
              <w:pStyle w:val="Listeafsnit"/>
              <w:numPr>
                <w:ilvl w:val="0"/>
                <w:numId w:val="15"/>
              </w:numPr>
              <w:ind w:left="525"/>
              <w:rPr>
                <w:sz w:val="24"/>
                <w:szCs w:val="24"/>
                <w:lang w:val="en-GB"/>
              </w:rPr>
            </w:pPr>
            <w:r w:rsidRPr="00B55C24">
              <w:rPr>
                <w:sz w:val="24"/>
                <w:szCs w:val="24"/>
                <w:lang w:val="en-GB"/>
              </w:rPr>
              <w:t>Other medicinal products</w:t>
            </w:r>
            <w:r w:rsidR="00B55C24">
              <w:rPr>
                <w:sz w:val="24"/>
                <w:szCs w:val="24"/>
                <w:lang w:val="en-GB"/>
              </w:rPr>
              <w:t xml:space="preserve"> </w:t>
            </w:r>
            <w:r w:rsidRPr="00B55C24">
              <w:rPr>
                <w:sz w:val="24"/>
                <w:szCs w:val="24"/>
                <w:lang w:val="en-GB"/>
              </w:rPr>
              <w:t>which may impair haemostasis</w:t>
            </w:r>
          </w:p>
        </w:tc>
      </w:tr>
      <w:tr w:rsidR="00E607F1" w:rsidRPr="00D476B2" w14:paraId="5C4AC290" w14:textId="77777777" w:rsidTr="004A5906">
        <w:trPr>
          <w:trHeight w:val="57"/>
          <w:jc w:val="center"/>
        </w:trPr>
        <w:tc>
          <w:tcPr>
            <w:tcW w:w="2441" w:type="pct"/>
            <w:tcBorders>
              <w:top w:val="single" w:sz="4" w:space="0" w:color="auto"/>
              <w:left w:val="single" w:sz="4" w:space="0" w:color="auto"/>
              <w:bottom w:val="single" w:sz="4" w:space="0" w:color="auto"/>
              <w:right w:val="nil"/>
            </w:tcBorders>
            <w:hideMark/>
          </w:tcPr>
          <w:p w14:paraId="5B74EB00" w14:textId="77777777" w:rsidR="00E607F1" w:rsidRPr="00B55C24" w:rsidRDefault="00E607F1" w:rsidP="004A5906">
            <w:pPr>
              <w:rPr>
                <w:sz w:val="24"/>
                <w:szCs w:val="24"/>
                <w:lang w:val="en-GB"/>
              </w:rPr>
            </w:pPr>
            <w:r w:rsidRPr="00B55C24">
              <w:rPr>
                <w:sz w:val="24"/>
                <w:szCs w:val="24"/>
                <w:lang w:val="en-GB"/>
              </w:rPr>
              <w:t>Diseases/procedures with special haemorrhagic risks</w:t>
            </w:r>
          </w:p>
        </w:tc>
        <w:tc>
          <w:tcPr>
            <w:tcW w:w="2559" w:type="pct"/>
            <w:tcBorders>
              <w:top w:val="single" w:sz="4" w:space="0" w:color="auto"/>
              <w:left w:val="single" w:sz="4" w:space="0" w:color="auto"/>
              <w:bottom w:val="single" w:sz="4" w:space="0" w:color="auto"/>
              <w:right w:val="single" w:sz="4" w:space="0" w:color="auto"/>
            </w:tcBorders>
            <w:hideMark/>
          </w:tcPr>
          <w:p w14:paraId="2F685876" w14:textId="77777777" w:rsidR="00E607F1" w:rsidRPr="00B55C24" w:rsidRDefault="00E607F1" w:rsidP="00B55C24">
            <w:pPr>
              <w:pStyle w:val="Listeafsnit"/>
              <w:numPr>
                <w:ilvl w:val="0"/>
                <w:numId w:val="16"/>
              </w:numPr>
              <w:ind w:left="525"/>
              <w:rPr>
                <w:sz w:val="24"/>
                <w:szCs w:val="24"/>
                <w:lang w:val="en-GB"/>
              </w:rPr>
            </w:pPr>
            <w:r w:rsidRPr="00B55C24">
              <w:rPr>
                <w:sz w:val="24"/>
                <w:szCs w:val="24"/>
                <w:lang w:val="en-GB"/>
              </w:rPr>
              <w:t>Congenital or acquired coagulation disorders</w:t>
            </w:r>
          </w:p>
          <w:p w14:paraId="51166B33" w14:textId="77777777" w:rsidR="00E607F1" w:rsidRPr="00B55C24" w:rsidRDefault="00E607F1" w:rsidP="00B55C24">
            <w:pPr>
              <w:pStyle w:val="Listeafsnit"/>
              <w:numPr>
                <w:ilvl w:val="0"/>
                <w:numId w:val="16"/>
              </w:numPr>
              <w:ind w:left="525"/>
              <w:rPr>
                <w:sz w:val="24"/>
                <w:szCs w:val="24"/>
                <w:lang w:val="en-GB"/>
              </w:rPr>
            </w:pPr>
            <w:r w:rsidRPr="00B55C24">
              <w:rPr>
                <w:sz w:val="24"/>
                <w:szCs w:val="24"/>
                <w:lang w:val="en-GB"/>
              </w:rPr>
              <w:t>Thrombocytopenia or functional platelet defects</w:t>
            </w:r>
          </w:p>
          <w:p w14:paraId="641B768A" w14:textId="77777777" w:rsidR="00E607F1" w:rsidRPr="00B55C24" w:rsidRDefault="00E607F1" w:rsidP="00B55C24">
            <w:pPr>
              <w:pStyle w:val="Listeafsnit"/>
              <w:numPr>
                <w:ilvl w:val="0"/>
                <w:numId w:val="16"/>
              </w:numPr>
              <w:ind w:left="525"/>
              <w:rPr>
                <w:sz w:val="24"/>
                <w:szCs w:val="24"/>
                <w:lang w:val="en-GB"/>
              </w:rPr>
            </w:pPr>
            <w:r w:rsidRPr="00B55C24">
              <w:rPr>
                <w:sz w:val="24"/>
                <w:szCs w:val="24"/>
                <w:lang w:val="en-GB"/>
              </w:rPr>
              <w:t>Recent biopsy, major trauma</w:t>
            </w:r>
          </w:p>
          <w:p w14:paraId="0C9F855F" w14:textId="77777777" w:rsidR="00E607F1" w:rsidRPr="00B55C24" w:rsidRDefault="00E607F1" w:rsidP="00B55C24">
            <w:pPr>
              <w:pStyle w:val="Listeafsnit"/>
              <w:numPr>
                <w:ilvl w:val="0"/>
                <w:numId w:val="16"/>
              </w:numPr>
              <w:ind w:left="525"/>
              <w:rPr>
                <w:sz w:val="24"/>
                <w:szCs w:val="24"/>
                <w:lang w:val="en-GB"/>
              </w:rPr>
            </w:pPr>
            <w:r w:rsidRPr="00B55C24">
              <w:rPr>
                <w:sz w:val="24"/>
                <w:szCs w:val="24"/>
                <w:lang w:val="en-GB"/>
              </w:rPr>
              <w:t>Bacterial endocarditis</w:t>
            </w:r>
          </w:p>
          <w:p w14:paraId="5ECC3CF1" w14:textId="77777777" w:rsidR="00E607F1" w:rsidRPr="00B55C24" w:rsidRDefault="00E607F1" w:rsidP="00B55C24">
            <w:pPr>
              <w:pStyle w:val="Listeafsnit"/>
              <w:numPr>
                <w:ilvl w:val="0"/>
                <w:numId w:val="16"/>
              </w:numPr>
              <w:ind w:left="525"/>
              <w:rPr>
                <w:sz w:val="24"/>
                <w:szCs w:val="24"/>
                <w:lang w:val="en-GB"/>
              </w:rPr>
            </w:pPr>
            <w:r w:rsidRPr="00B55C24">
              <w:rPr>
                <w:sz w:val="24"/>
                <w:szCs w:val="24"/>
                <w:lang w:val="en-GB"/>
              </w:rPr>
              <w:t>Esophagitis, gastritis or gastroesophageal reflux</w:t>
            </w:r>
          </w:p>
        </w:tc>
      </w:tr>
    </w:tbl>
    <w:p w14:paraId="3B17066C" w14:textId="77777777" w:rsidR="00E607F1" w:rsidRPr="00B55C24" w:rsidRDefault="00E607F1" w:rsidP="00E607F1">
      <w:pPr>
        <w:tabs>
          <w:tab w:val="left" w:pos="851"/>
        </w:tabs>
        <w:ind w:left="851"/>
        <w:rPr>
          <w:sz w:val="24"/>
          <w:szCs w:val="24"/>
          <w:lang w:val="en-GB"/>
        </w:rPr>
      </w:pPr>
    </w:p>
    <w:p w14:paraId="7D5E3D97" w14:textId="77777777" w:rsidR="00E607F1" w:rsidRPr="00B55C24" w:rsidRDefault="00E607F1" w:rsidP="004A5906">
      <w:pPr>
        <w:ind w:left="851"/>
        <w:rPr>
          <w:b/>
          <w:bCs/>
          <w:sz w:val="24"/>
          <w:szCs w:val="24"/>
          <w:lang w:val="en-GB"/>
        </w:rPr>
      </w:pPr>
      <w:r w:rsidRPr="00B55C24">
        <w:rPr>
          <w:sz w:val="24"/>
          <w:szCs w:val="24"/>
          <w:lang w:val="en-GB"/>
        </w:rPr>
        <w:t>Limited data is available in adult patients &lt; 50 kg (see section 5.2).</w:t>
      </w:r>
    </w:p>
    <w:p w14:paraId="236DBA53" w14:textId="77777777" w:rsidR="00E607F1" w:rsidRPr="00B55C24" w:rsidRDefault="00E607F1" w:rsidP="004A5906">
      <w:pPr>
        <w:ind w:left="851"/>
        <w:rPr>
          <w:sz w:val="24"/>
          <w:szCs w:val="24"/>
          <w:lang w:val="en-GB"/>
        </w:rPr>
      </w:pPr>
    </w:p>
    <w:p w14:paraId="4391CE5B" w14:textId="77777777" w:rsidR="00E607F1" w:rsidRPr="00B55C24" w:rsidRDefault="00E607F1" w:rsidP="004A5906">
      <w:pPr>
        <w:ind w:left="851"/>
        <w:rPr>
          <w:sz w:val="24"/>
          <w:szCs w:val="24"/>
          <w:lang w:val="en-GB"/>
        </w:rPr>
      </w:pPr>
      <w:r w:rsidRPr="00B55C24">
        <w:rPr>
          <w:sz w:val="24"/>
          <w:szCs w:val="24"/>
          <w:lang w:val="en-GB"/>
        </w:rPr>
        <w:t xml:space="preserve">The concomitant use of dabigatran </w:t>
      </w:r>
      <w:proofErr w:type="spellStart"/>
      <w:r w:rsidRPr="00B55C24">
        <w:rPr>
          <w:sz w:val="24"/>
          <w:szCs w:val="24"/>
          <w:lang w:val="en-GB"/>
        </w:rPr>
        <w:t>etexilate</w:t>
      </w:r>
      <w:proofErr w:type="spellEnd"/>
      <w:r w:rsidRPr="00B55C24">
        <w:rPr>
          <w:sz w:val="24"/>
          <w:szCs w:val="24"/>
          <w:lang w:val="en-GB"/>
        </w:rPr>
        <w:t xml:space="preserve"> with P-</w:t>
      </w:r>
      <w:proofErr w:type="spellStart"/>
      <w:r w:rsidRPr="00B55C24">
        <w:rPr>
          <w:sz w:val="24"/>
          <w:szCs w:val="24"/>
          <w:lang w:val="en-GB"/>
        </w:rPr>
        <w:t>gp</w:t>
      </w:r>
      <w:proofErr w:type="spellEnd"/>
      <w:r w:rsidRPr="00B55C24">
        <w:rPr>
          <w:sz w:val="24"/>
          <w:szCs w:val="24"/>
          <w:lang w:val="en-GB"/>
        </w:rPr>
        <w:t>-inhibitors has not been studied in paediatric patients but may increase the risk of bleeding (see section 4.5).</w:t>
      </w:r>
    </w:p>
    <w:p w14:paraId="4BA6487B" w14:textId="77777777" w:rsidR="00E607F1" w:rsidRPr="00B55C24" w:rsidRDefault="00E607F1" w:rsidP="004A5906">
      <w:pPr>
        <w:ind w:left="851"/>
        <w:rPr>
          <w:sz w:val="24"/>
          <w:szCs w:val="24"/>
          <w:lang w:val="en-GB"/>
        </w:rPr>
      </w:pPr>
    </w:p>
    <w:p w14:paraId="45378534" w14:textId="77777777" w:rsidR="00E607F1" w:rsidRPr="00B55C24" w:rsidRDefault="00E607F1" w:rsidP="004A5906">
      <w:pPr>
        <w:ind w:left="851"/>
        <w:rPr>
          <w:sz w:val="24"/>
          <w:szCs w:val="24"/>
          <w:lang w:val="en-GB"/>
        </w:rPr>
      </w:pPr>
      <w:r w:rsidRPr="00B55C24">
        <w:rPr>
          <w:i/>
          <w:iCs/>
          <w:sz w:val="24"/>
          <w:szCs w:val="24"/>
          <w:u w:val="single"/>
          <w:lang w:val="en-GB"/>
        </w:rPr>
        <w:t>Precautions and management of the haemorrhagic risk</w:t>
      </w:r>
    </w:p>
    <w:p w14:paraId="7DFDF2A7" w14:textId="77777777" w:rsidR="00E607F1" w:rsidRPr="00B55C24" w:rsidRDefault="00E607F1" w:rsidP="004A5906">
      <w:pPr>
        <w:ind w:left="851"/>
        <w:rPr>
          <w:sz w:val="24"/>
          <w:szCs w:val="24"/>
          <w:lang w:val="en-GB"/>
        </w:rPr>
      </w:pPr>
    </w:p>
    <w:p w14:paraId="1252FDE9" w14:textId="77777777" w:rsidR="00E607F1" w:rsidRPr="00B55C24" w:rsidRDefault="00E607F1" w:rsidP="004A5906">
      <w:pPr>
        <w:ind w:left="851"/>
        <w:rPr>
          <w:sz w:val="24"/>
          <w:szCs w:val="24"/>
          <w:lang w:val="en-GB"/>
        </w:rPr>
      </w:pPr>
      <w:r w:rsidRPr="00B55C24">
        <w:rPr>
          <w:sz w:val="24"/>
          <w:szCs w:val="24"/>
          <w:lang w:val="en-GB"/>
        </w:rPr>
        <w:t>For the management of bleeding complications, see also section 4.9.</w:t>
      </w:r>
    </w:p>
    <w:p w14:paraId="14E39642" w14:textId="77777777" w:rsidR="00E607F1" w:rsidRPr="00B55C24" w:rsidRDefault="00E607F1" w:rsidP="004A5906">
      <w:pPr>
        <w:ind w:left="851"/>
        <w:rPr>
          <w:sz w:val="24"/>
          <w:szCs w:val="24"/>
          <w:lang w:val="en-GB"/>
        </w:rPr>
      </w:pPr>
    </w:p>
    <w:p w14:paraId="7A0827CE" w14:textId="77777777" w:rsidR="00E607F1" w:rsidRPr="00B55C24" w:rsidRDefault="00E607F1" w:rsidP="004A5906">
      <w:pPr>
        <w:ind w:left="851"/>
        <w:rPr>
          <w:sz w:val="24"/>
          <w:szCs w:val="24"/>
          <w:lang w:val="en-GB"/>
        </w:rPr>
      </w:pPr>
      <w:r w:rsidRPr="00B55C24">
        <w:rPr>
          <w:i/>
          <w:iCs/>
          <w:sz w:val="24"/>
          <w:szCs w:val="24"/>
          <w:lang w:val="en-GB"/>
        </w:rPr>
        <w:t>Benefit-risk assessment</w:t>
      </w:r>
    </w:p>
    <w:p w14:paraId="25EC1521" w14:textId="77777777" w:rsidR="00E607F1" w:rsidRPr="00B55C24" w:rsidRDefault="00E607F1" w:rsidP="004A5906">
      <w:pPr>
        <w:ind w:left="851"/>
        <w:rPr>
          <w:sz w:val="24"/>
          <w:szCs w:val="24"/>
          <w:lang w:val="en-GB"/>
        </w:rPr>
      </w:pPr>
    </w:p>
    <w:p w14:paraId="6CF3603D" w14:textId="77777777" w:rsidR="00E607F1" w:rsidRPr="00B55C24" w:rsidRDefault="00E607F1" w:rsidP="004A5906">
      <w:pPr>
        <w:ind w:left="851"/>
        <w:rPr>
          <w:sz w:val="24"/>
          <w:szCs w:val="24"/>
          <w:lang w:val="en-GB"/>
        </w:rPr>
      </w:pPr>
      <w:r w:rsidRPr="00B55C24">
        <w:rPr>
          <w:sz w:val="24"/>
          <w:szCs w:val="24"/>
          <w:lang w:val="en-GB"/>
        </w:rPr>
        <w:t xml:space="preserve">The presence of lesions, conditions, procedures and/or pharmacological treatment (such as NSAIDs, antiplatelets, SSRIs and SNRIs, see section 4.5), which significantly increase the risk of major bleeding requires a careful benefit-risk assessment. Dabigatran </w:t>
      </w:r>
      <w:proofErr w:type="spellStart"/>
      <w:r w:rsidRPr="00B55C24">
        <w:rPr>
          <w:sz w:val="24"/>
          <w:szCs w:val="24"/>
          <w:lang w:val="en-GB"/>
        </w:rPr>
        <w:t>etexilate</w:t>
      </w:r>
      <w:proofErr w:type="spellEnd"/>
      <w:r w:rsidRPr="00B55C24">
        <w:rPr>
          <w:sz w:val="24"/>
          <w:szCs w:val="24"/>
          <w:lang w:val="en-GB"/>
        </w:rPr>
        <w:t xml:space="preserve"> should only be given if the benefit outweighs bleeding risks.</w:t>
      </w:r>
    </w:p>
    <w:p w14:paraId="4FBFE86A" w14:textId="77777777" w:rsidR="00E607F1" w:rsidRPr="00B55C24" w:rsidRDefault="00E607F1" w:rsidP="004A5906">
      <w:pPr>
        <w:ind w:left="851"/>
        <w:rPr>
          <w:sz w:val="24"/>
          <w:szCs w:val="24"/>
          <w:lang w:val="en-GB"/>
        </w:rPr>
      </w:pPr>
    </w:p>
    <w:p w14:paraId="104405D9" w14:textId="77777777" w:rsidR="00E607F1" w:rsidRPr="00B55C24" w:rsidRDefault="00E607F1" w:rsidP="004A5906">
      <w:pPr>
        <w:ind w:left="851"/>
        <w:rPr>
          <w:sz w:val="24"/>
          <w:szCs w:val="24"/>
          <w:lang w:val="en-GB"/>
        </w:rPr>
      </w:pPr>
      <w:r w:rsidRPr="00B55C24">
        <w:rPr>
          <w:sz w:val="24"/>
          <w:szCs w:val="24"/>
          <w:lang w:val="en-GB"/>
        </w:rPr>
        <w:t xml:space="preserve">Limited clinical data are available for paediatric patients with risk factors, including patients with active meningitis, encephalitis and intracranial abscess (see section 5.1). In these patients, dabigatran </w:t>
      </w:r>
      <w:proofErr w:type="spellStart"/>
      <w:r w:rsidRPr="00B55C24">
        <w:rPr>
          <w:sz w:val="24"/>
          <w:szCs w:val="24"/>
          <w:lang w:val="en-GB"/>
        </w:rPr>
        <w:t>etexilate</w:t>
      </w:r>
      <w:proofErr w:type="spellEnd"/>
      <w:r w:rsidRPr="00B55C24">
        <w:rPr>
          <w:sz w:val="24"/>
          <w:szCs w:val="24"/>
          <w:lang w:val="en-GB"/>
        </w:rPr>
        <w:t xml:space="preserve"> should only be given if the expected benefit outweighs bleeding risks.</w:t>
      </w:r>
    </w:p>
    <w:p w14:paraId="1CA1196B" w14:textId="77777777" w:rsidR="00E607F1" w:rsidRPr="00B55C24" w:rsidRDefault="00E607F1" w:rsidP="004A5906">
      <w:pPr>
        <w:ind w:left="851"/>
        <w:rPr>
          <w:sz w:val="24"/>
          <w:szCs w:val="24"/>
          <w:lang w:val="en-GB"/>
        </w:rPr>
      </w:pPr>
    </w:p>
    <w:p w14:paraId="6B58F190" w14:textId="77777777" w:rsidR="00E607F1" w:rsidRPr="00B55C24" w:rsidRDefault="00E607F1" w:rsidP="004A5906">
      <w:pPr>
        <w:ind w:left="851"/>
        <w:rPr>
          <w:sz w:val="24"/>
          <w:szCs w:val="24"/>
          <w:lang w:val="en-GB"/>
        </w:rPr>
      </w:pPr>
      <w:r w:rsidRPr="00B55C24">
        <w:rPr>
          <w:i/>
          <w:iCs/>
          <w:sz w:val="24"/>
          <w:szCs w:val="24"/>
          <w:lang w:val="en-GB"/>
        </w:rPr>
        <w:t>Close clinical surveillance</w:t>
      </w:r>
    </w:p>
    <w:p w14:paraId="4E381D65" w14:textId="77777777" w:rsidR="00E607F1" w:rsidRPr="00B55C24" w:rsidRDefault="00E607F1" w:rsidP="004A5906">
      <w:pPr>
        <w:ind w:left="851"/>
        <w:rPr>
          <w:sz w:val="24"/>
          <w:szCs w:val="24"/>
          <w:lang w:val="en-GB"/>
        </w:rPr>
      </w:pPr>
    </w:p>
    <w:p w14:paraId="59CC7DBD" w14:textId="77777777" w:rsidR="00E607F1" w:rsidRPr="00B55C24" w:rsidRDefault="00E607F1" w:rsidP="004A5906">
      <w:pPr>
        <w:ind w:left="851"/>
        <w:rPr>
          <w:sz w:val="24"/>
          <w:szCs w:val="24"/>
          <w:lang w:val="en-GB"/>
        </w:rPr>
      </w:pPr>
      <w:r w:rsidRPr="00B55C24">
        <w:rPr>
          <w:sz w:val="24"/>
          <w:szCs w:val="24"/>
          <w:lang w:val="en-GB"/>
        </w:rPr>
        <w:t xml:space="preserve">Close observation for signs of bleeding or anaemia is recommended throughout the treatment period, especially if risk factors are combined (see table 4 above). </w:t>
      </w:r>
      <w:proofErr w:type="gramStart"/>
      <w:r w:rsidRPr="00B55C24">
        <w:rPr>
          <w:sz w:val="24"/>
          <w:szCs w:val="24"/>
          <w:lang w:val="en-GB"/>
        </w:rPr>
        <w:t>Particular caution</w:t>
      </w:r>
      <w:proofErr w:type="gramEnd"/>
      <w:r w:rsidRPr="00B55C24">
        <w:rPr>
          <w:sz w:val="24"/>
          <w:szCs w:val="24"/>
          <w:lang w:val="en-GB"/>
        </w:rPr>
        <w:t xml:space="preserve"> should be exercised when dabigatran </w:t>
      </w:r>
      <w:proofErr w:type="spellStart"/>
      <w:r w:rsidRPr="00B55C24">
        <w:rPr>
          <w:sz w:val="24"/>
          <w:szCs w:val="24"/>
          <w:lang w:val="en-GB"/>
        </w:rPr>
        <w:t>etexilate</w:t>
      </w:r>
      <w:proofErr w:type="spellEnd"/>
      <w:r w:rsidRPr="00B55C24">
        <w:rPr>
          <w:sz w:val="24"/>
          <w:szCs w:val="24"/>
          <w:lang w:val="en-GB"/>
        </w:rPr>
        <w:t xml:space="preserve"> is co-administered with verapamil, amiodarone, quinidine or clarithromycin (P-</w:t>
      </w:r>
      <w:proofErr w:type="spellStart"/>
      <w:r w:rsidRPr="00B55C24">
        <w:rPr>
          <w:sz w:val="24"/>
          <w:szCs w:val="24"/>
          <w:lang w:val="en-GB"/>
        </w:rPr>
        <w:t>gp</w:t>
      </w:r>
      <w:proofErr w:type="spellEnd"/>
      <w:r w:rsidRPr="00B55C24">
        <w:rPr>
          <w:sz w:val="24"/>
          <w:szCs w:val="24"/>
          <w:lang w:val="en-GB"/>
        </w:rPr>
        <w:t xml:space="preserve"> inhibitors) and particularly in the occurrence of bleeding, notably in patients having a reduced renal function (see section 4.5).</w:t>
      </w:r>
    </w:p>
    <w:p w14:paraId="15009188" w14:textId="77777777" w:rsidR="00E607F1" w:rsidRPr="00B55C24" w:rsidRDefault="00E607F1" w:rsidP="004A5906">
      <w:pPr>
        <w:ind w:left="851"/>
        <w:rPr>
          <w:sz w:val="24"/>
          <w:szCs w:val="24"/>
          <w:lang w:val="en-GB"/>
        </w:rPr>
      </w:pPr>
      <w:r w:rsidRPr="00B55C24">
        <w:rPr>
          <w:sz w:val="24"/>
          <w:szCs w:val="24"/>
          <w:lang w:val="en-GB"/>
        </w:rPr>
        <w:t>Close observation for signs of bleeding is recommended in patients concomitantly treated with NSAIDs (see section 4.5).</w:t>
      </w:r>
    </w:p>
    <w:p w14:paraId="51DBC806" w14:textId="77777777" w:rsidR="00E607F1" w:rsidRPr="00B55C24" w:rsidRDefault="00E607F1" w:rsidP="004A5906">
      <w:pPr>
        <w:ind w:left="851"/>
        <w:rPr>
          <w:sz w:val="24"/>
          <w:szCs w:val="24"/>
          <w:lang w:val="en-GB"/>
        </w:rPr>
      </w:pPr>
    </w:p>
    <w:p w14:paraId="7795822A" w14:textId="77777777" w:rsidR="00E607F1" w:rsidRPr="00B55C24" w:rsidRDefault="00E607F1" w:rsidP="004A5906">
      <w:pPr>
        <w:ind w:left="851"/>
        <w:rPr>
          <w:sz w:val="24"/>
          <w:szCs w:val="24"/>
          <w:lang w:val="en-GB"/>
        </w:rPr>
      </w:pPr>
      <w:r w:rsidRPr="00B55C24">
        <w:rPr>
          <w:i/>
          <w:iCs/>
          <w:sz w:val="24"/>
          <w:szCs w:val="24"/>
          <w:lang w:val="en-GB"/>
        </w:rPr>
        <w:t xml:space="preserve">Discontinuation of dabigatran </w:t>
      </w:r>
      <w:proofErr w:type="spellStart"/>
      <w:r w:rsidRPr="00B55C24">
        <w:rPr>
          <w:i/>
          <w:iCs/>
          <w:sz w:val="24"/>
          <w:szCs w:val="24"/>
          <w:lang w:val="en-GB"/>
        </w:rPr>
        <w:t>etexilate</w:t>
      </w:r>
      <w:proofErr w:type="spellEnd"/>
    </w:p>
    <w:p w14:paraId="3DAF8C5B" w14:textId="77777777" w:rsidR="00E607F1" w:rsidRPr="00B55C24" w:rsidRDefault="00E607F1" w:rsidP="004A5906">
      <w:pPr>
        <w:ind w:left="851"/>
        <w:rPr>
          <w:sz w:val="24"/>
          <w:szCs w:val="24"/>
          <w:lang w:val="en-GB"/>
        </w:rPr>
      </w:pPr>
    </w:p>
    <w:p w14:paraId="12A845B8" w14:textId="77777777" w:rsidR="00E607F1" w:rsidRPr="00B55C24" w:rsidRDefault="00E607F1" w:rsidP="004A5906">
      <w:pPr>
        <w:ind w:left="851"/>
        <w:rPr>
          <w:sz w:val="24"/>
          <w:szCs w:val="24"/>
          <w:lang w:val="en-GB"/>
        </w:rPr>
      </w:pPr>
      <w:r w:rsidRPr="00B55C24">
        <w:rPr>
          <w:sz w:val="24"/>
          <w:szCs w:val="24"/>
          <w:lang w:val="en-GB"/>
        </w:rPr>
        <w:t xml:space="preserve">Patients who develop acute renal failure must discontinue dabigatran </w:t>
      </w:r>
      <w:proofErr w:type="spellStart"/>
      <w:r w:rsidRPr="00B55C24">
        <w:rPr>
          <w:sz w:val="24"/>
          <w:szCs w:val="24"/>
          <w:lang w:val="en-GB"/>
        </w:rPr>
        <w:t>etexilate</w:t>
      </w:r>
      <w:proofErr w:type="spellEnd"/>
      <w:r w:rsidRPr="00B55C24">
        <w:rPr>
          <w:sz w:val="24"/>
          <w:szCs w:val="24"/>
          <w:lang w:val="en-GB"/>
        </w:rPr>
        <w:t xml:space="preserve"> (see also section 4.3).</w:t>
      </w:r>
    </w:p>
    <w:p w14:paraId="5C876255" w14:textId="77777777" w:rsidR="00E607F1" w:rsidRPr="00B55C24" w:rsidRDefault="00E607F1" w:rsidP="004A5906">
      <w:pPr>
        <w:ind w:left="851"/>
        <w:rPr>
          <w:sz w:val="24"/>
          <w:szCs w:val="24"/>
          <w:lang w:val="en-GB"/>
        </w:rPr>
      </w:pPr>
    </w:p>
    <w:p w14:paraId="50D44373" w14:textId="77777777" w:rsidR="00E607F1" w:rsidRPr="00B55C24" w:rsidRDefault="00E607F1" w:rsidP="004A5906">
      <w:pPr>
        <w:ind w:left="851"/>
        <w:rPr>
          <w:sz w:val="24"/>
          <w:szCs w:val="24"/>
          <w:lang w:val="en-GB"/>
        </w:rPr>
      </w:pPr>
      <w:r w:rsidRPr="00B55C24">
        <w:rPr>
          <w:sz w:val="24"/>
          <w:szCs w:val="24"/>
          <w:lang w:val="en-GB"/>
        </w:rPr>
        <w:t xml:space="preserve">When severe bleedings occur, treatment must be discontinued, the source of bleeding </w:t>
      </w:r>
      <w:proofErr w:type="gramStart"/>
      <w:r w:rsidRPr="00B55C24">
        <w:rPr>
          <w:sz w:val="24"/>
          <w:szCs w:val="24"/>
          <w:lang w:val="en-GB"/>
        </w:rPr>
        <w:t>investigated</w:t>
      </w:r>
      <w:proofErr w:type="gramEnd"/>
      <w:r w:rsidRPr="00B55C24">
        <w:rPr>
          <w:sz w:val="24"/>
          <w:szCs w:val="24"/>
          <w:lang w:val="en-GB"/>
        </w:rPr>
        <w:t xml:space="preserve"> and use of the specific reversal agent (</w:t>
      </w:r>
      <w:proofErr w:type="spellStart"/>
      <w:r w:rsidRPr="00B55C24">
        <w:rPr>
          <w:sz w:val="24"/>
          <w:szCs w:val="24"/>
          <w:lang w:val="en-GB"/>
        </w:rPr>
        <w:t>idarucizumab</w:t>
      </w:r>
      <w:proofErr w:type="spellEnd"/>
      <w:r w:rsidRPr="00B55C24">
        <w:rPr>
          <w:sz w:val="24"/>
          <w:szCs w:val="24"/>
          <w:lang w:val="en-GB"/>
        </w:rPr>
        <w:t xml:space="preserve">) may be considered in adult patients. The efficacy and safety of </w:t>
      </w:r>
      <w:proofErr w:type="spellStart"/>
      <w:r w:rsidRPr="00B55C24">
        <w:rPr>
          <w:sz w:val="24"/>
          <w:szCs w:val="24"/>
          <w:lang w:val="en-GB"/>
        </w:rPr>
        <w:t>idarucizumab</w:t>
      </w:r>
      <w:proofErr w:type="spellEnd"/>
      <w:r w:rsidRPr="00B55C24">
        <w:rPr>
          <w:sz w:val="24"/>
          <w:szCs w:val="24"/>
          <w:lang w:val="en-GB"/>
        </w:rPr>
        <w:t xml:space="preserve"> have not been established in paediatric patients. Haemodialysis can remove dabigatran.</w:t>
      </w:r>
    </w:p>
    <w:p w14:paraId="7A2C742E" w14:textId="77777777" w:rsidR="00E607F1" w:rsidRPr="00B55C24" w:rsidRDefault="00E607F1" w:rsidP="004A5906">
      <w:pPr>
        <w:ind w:left="851"/>
        <w:rPr>
          <w:sz w:val="24"/>
          <w:szCs w:val="24"/>
          <w:lang w:val="en-GB"/>
        </w:rPr>
      </w:pPr>
    </w:p>
    <w:p w14:paraId="16720E03" w14:textId="77777777" w:rsidR="00E607F1" w:rsidRPr="00B55C24" w:rsidRDefault="00E607F1" w:rsidP="004A5906">
      <w:pPr>
        <w:ind w:left="851"/>
        <w:rPr>
          <w:sz w:val="24"/>
          <w:szCs w:val="24"/>
          <w:lang w:val="en-GB"/>
        </w:rPr>
      </w:pPr>
      <w:r w:rsidRPr="00B55C24">
        <w:rPr>
          <w:i/>
          <w:iCs/>
          <w:sz w:val="24"/>
          <w:szCs w:val="24"/>
          <w:lang w:val="en-GB"/>
        </w:rPr>
        <w:t>Use of proton-pump inhibitors</w:t>
      </w:r>
    </w:p>
    <w:p w14:paraId="309041F6" w14:textId="77777777" w:rsidR="00E607F1" w:rsidRPr="00B55C24" w:rsidRDefault="00E607F1" w:rsidP="004A5906">
      <w:pPr>
        <w:ind w:left="851"/>
        <w:rPr>
          <w:sz w:val="24"/>
          <w:szCs w:val="24"/>
          <w:lang w:val="en-GB"/>
        </w:rPr>
      </w:pPr>
    </w:p>
    <w:p w14:paraId="293F4F0A" w14:textId="77777777" w:rsidR="00E607F1" w:rsidRPr="00B55C24" w:rsidRDefault="00E607F1" w:rsidP="004A5906">
      <w:pPr>
        <w:ind w:left="851"/>
        <w:rPr>
          <w:sz w:val="24"/>
          <w:szCs w:val="24"/>
          <w:lang w:val="en-GB"/>
        </w:rPr>
      </w:pPr>
      <w:r w:rsidRPr="00B55C24">
        <w:rPr>
          <w:sz w:val="24"/>
          <w:szCs w:val="24"/>
          <w:lang w:val="en-GB"/>
        </w:rPr>
        <w:t xml:space="preserve">The administration of a proton-pump inhibitor (PPI) can be considered to prevent GI bleeding. In case of paediatric patients local </w:t>
      </w:r>
      <w:proofErr w:type="spellStart"/>
      <w:r w:rsidRPr="00B55C24">
        <w:rPr>
          <w:sz w:val="24"/>
          <w:szCs w:val="24"/>
          <w:lang w:val="en-GB"/>
        </w:rPr>
        <w:t>labeling</w:t>
      </w:r>
      <w:proofErr w:type="spellEnd"/>
      <w:r w:rsidRPr="00B55C24">
        <w:rPr>
          <w:sz w:val="24"/>
          <w:szCs w:val="24"/>
          <w:lang w:val="en-GB"/>
        </w:rPr>
        <w:t xml:space="preserve"> recommendations for proton pump inhibitors </w:t>
      </w:r>
      <w:proofErr w:type="gramStart"/>
      <w:r w:rsidRPr="00B55C24">
        <w:rPr>
          <w:sz w:val="24"/>
          <w:szCs w:val="24"/>
          <w:lang w:val="en-GB"/>
        </w:rPr>
        <w:t>have to</w:t>
      </w:r>
      <w:proofErr w:type="gramEnd"/>
      <w:r w:rsidRPr="00B55C24">
        <w:rPr>
          <w:sz w:val="24"/>
          <w:szCs w:val="24"/>
          <w:lang w:val="en-GB"/>
        </w:rPr>
        <w:t xml:space="preserve"> be followed.</w:t>
      </w:r>
    </w:p>
    <w:p w14:paraId="7CC7EFD9" w14:textId="4DED2BBE" w:rsidR="00322951" w:rsidRDefault="00322951">
      <w:pPr>
        <w:rPr>
          <w:sz w:val="24"/>
          <w:szCs w:val="24"/>
          <w:lang w:val="en-GB"/>
        </w:rPr>
      </w:pPr>
      <w:r>
        <w:rPr>
          <w:sz w:val="24"/>
          <w:szCs w:val="24"/>
          <w:lang w:val="en-GB"/>
        </w:rPr>
        <w:br w:type="page"/>
      </w:r>
    </w:p>
    <w:p w14:paraId="1EB3FFE0" w14:textId="77777777" w:rsidR="00E607F1" w:rsidRPr="00B55C24" w:rsidRDefault="00E607F1" w:rsidP="004A5906">
      <w:pPr>
        <w:ind w:left="851"/>
        <w:rPr>
          <w:sz w:val="24"/>
          <w:szCs w:val="24"/>
          <w:lang w:val="en-GB"/>
        </w:rPr>
      </w:pPr>
    </w:p>
    <w:p w14:paraId="1D494109" w14:textId="77777777" w:rsidR="00E607F1" w:rsidRPr="00B55C24" w:rsidRDefault="00E607F1" w:rsidP="004A5906">
      <w:pPr>
        <w:ind w:left="851"/>
        <w:rPr>
          <w:sz w:val="24"/>
          <w:szCs w:val="24"/>
          <w:lang w:val="en-GB"/>
        </w:rPr>
      </w:pPr>
      <w:r w:rsidRPr="00B55C24">
        <w:rPr>
          <w:i/>
          <w:iCs/>
          <w:sz w:val="24"/>
          <w:szCs w:val="24"/>
          <w:lang w:val="en-GB"/>
        </w:rPr>
        <w:t>Laboratory coagulation parameters</w:t>
      </w:r>
    </w:p>
    <w:p w14:paraId="1E50AAA6" w14:textId="77777777" w:rsidR="00E607F1" w:rsidRPr="00B55C24" w:rsidRDefault="00E607F1" w:rsidP="004A5906">
      <w:pPr>
        <w:ind w:left="851"/>
        <w:rPr>
          <w:sz w:val="24"/>
          <w:szCs w:val="24"/>
          <w:lang w:val="en-GB"/>
        </w:rPr>
      </w:pPr>
    </w:p>
    <w:p w14:paraId="17AF5482" w14:textId="77777777" w:rsidR="00E607F1" w:rsidRPr="00B55C24" w:rsidRDefault="00E607F1" w:rsidP="004A5906">
      <w:pPr>
        <w:ind w:left="851"/>
        <w:rPr>
          <w:sz w:val="24"/>
          <w:szCs w:val="24"/>
          <w:lang w:val="en-GB"/>
        </w:rPr>
      </w:pPr>
      <w:r w:rsidRPr="00B55C24">
        <w:rPr>
          <w:sz w:val="24"/>
          <w:szCs w:val="24"/>
          <w:lang w:val="en-GB"/>
        </w:rPr>
        <w:t>Although this medicinal product does not in general require routine anticoagulant monitoring, the measurement of dabigatran related anticoagulation may be helpful to detect excessive high exposure to dabigatran in the presence of additional risk factors.</w:t>
      </w:r>
    </w:p>
    <w:p w14:paraId="3C49CD87" w14:textId="77777777" w:rsidR="00E607F1" w:rsidRPr="00B55C24" w:rsidRDefault="00E607F1" w:rsidP="004A5906">
      <w:pPr>
        <w:ind w:left="851"/>
        <w:rPr>
          <w:sz w:val="24"/>
          <w:szCs w:val="24"/>
          <w:lang w:val="en-GB"/>
        </w:rPr>
      </w:pPr>
      <w:r w:rsidRPr="00B55C24">
        <w:rPr>
          <w:sz w:val="24"/>
          <w:szCs w:val="24"/>
          <w:lang w:val="en-GB"/>
        </w:rPr>
        <w:t>Diluted thrombin time (</w:t>
      </w:r>
      <w:proofErr w:type="spellStart"/>
      <w:r w:rsidRPr="00B55C24">
        <w:rPr>
          <w:sz w:val="24"/>
          <w:szCs w:val="24"/>
          <w:lang w:val="en-GB"/>
        </w:rPr>
        <w:t>dTT</w:t>
      </w:r>
      <w:proofErr w:type="spellEnd"/>
      <w:r w:rsidRPr="00B55C24">
        <w:rPr>
          <w:sz w:val="24"/>
          <w:szCs w:val="24"/>
          <w:lang w:val="en-GB"/>
        </w:rPr>
        <w:t xml:space="preserve">), </w:t>
      </w:r>
      <w:proofErr w:type="spellStart"/>
      <w:r w:rsidRPr="00B55C24">
        <w:rPr>
          <w:sz w:val="24"/>
          <w:szCs w:val="24"/>
          <w:lang w:val="en-GB"/>
        </w:rPr>
        <w:t>ecarin</w:t>
      </w:r>
      <w:proofErr w:type="spellEnd"/>
      <w:r w:rsidRPr="00B55C24">
        <w:rPr>
          <w:sz w:val="24"/>
          <w:szCs w:val="24"/>
          <w:lang w:val="en-GB"/>
        </w:rPr>
        <w:t xml:space="preserve"> clotting time (ECT) and activated partial thromboplastin time (</w:t>
      </w:r>
      <w:proofErr w:type="spellStart"/>
      <w:r w:rsidRPr="00B55C24">
        <w:rPr>
          <w:sz w:val="24"/>
          <w:szCs w:val="24"/>
          <w:lang w:val="en-GB"/>
        </w:rPr>
        <w:t>aPTT</w:t>
      </w:r>
      <w:proofErr w:type="spellEnd"/>
      <w:r w:rsidRPr="00B55C24">
        <w:rPr>
          <w:sz w:val="24"/>
          <w:szCs w:val="24"/>
          <w:lang w:val="en-GB"/>
        </w:rPr>
        <w:t>) may provide useful information, but results should be interpreted with caution due to inter-test variability (see section 5.1).</w:t>
      </w:r>
    </w:p>
    <w:p w14:paraId="765E86C3" w14:textId="77777777" w:rsidR="00E607F1" w:rsidRPr="00B55C24" w:rsidRDefault="00E607F1" w:rsidP="004A5906">
      <w:pPr>
        <w:ind w:left="851"/>
        <w:rPr>
          <w:sz w:val="24"/>
          <w:szCs w:val="24"/>
          <w:lang w:val="en-GB"/>
        </w:rPr>
      </w:pPr>
      <w:r w:rsidRPr="00B55C24">
        <w:rPr>
          <w:sz w:val="24"/>
          <w:szCs w:val="24"/>
          <w:lang w:val="en-GB"/>
        </w:rPr>
        <w:t xml:space="preserve">The international normalised ratio (INR) test is unreliable in patients on dabigatran </w:t>
      </w:r>
      <w:proofErr w:type="spellStart"/>
      <w:proofErr w:type="gramStart"/>
      <w:r w:rsidRPr="00B55C24">
        <w:rPr>
          <w:sz w:val="24"/>
          <w:szCs w:val="24"/>
          <w:lang w:val="en-GB"/>
        </w:rPr>
        <w:t>etexilate</w:t>
      </w:r>
      <w:proofErr w:type="spellEnd"/>
      <w:proofErr w:type="gramEnd"/>
      <w:r w:rsidRPr="00B55C24">
        <w:rPr>
          <w:sz w:val="24"/>
          <w:szCs w:val="24"/>
          <w:lang w:val="en-GB"/>
        </w:rPr>
        <w:t xml:space="preserve"> and false positive INR elevations have been reported. Therefore, INR tests should not be performed.</w:t>
      </w:r>
    </w:p>
    <w:p w14:paraId="2364D510" w14:textId="77777777" w:rsidR="00E607F1" w:rsidRPr="00B55C24" w:rsidRDefault="00E607F1" w:rsidP="004A5906">
      <w:pPr>
        <w:ind w:left="851"/>
        <w:rPr>
          <w:sz w:val="24"/>
          <w:szCs w:val="24"/>
          <w:lang w:val="en-GB"/>
        </w:rPr>
      </w:pPr>
    </w:p>
    <w:p w14:paraId="6E4E81C7" w14:textId="77777777" w:rsidR="00E607F1" w:rsidRPr="00B55C24" w:rsidRDefault="00E607F1" w:rsidP="004A5906">
      <w:pPr>
        <w:ind w:left="851"/>
        <w:rPr>
          <w:sz w:val="24"/>
          <w:szCs w:val="24"/>
          <w:lang w:val="en-GB"/>
        </w:rPr>
      </w:pPr>
      <w:r w:rsidRPr="00B55C24">
        <w:rPr>
          <w:sz w:val="24"/>
          <w:szCs w:val="24"/>
          <w:lang w:val="en-GB"/>
        </w:rPr>
        <w:t>Table 5 shows coagulation test thresholds at trough for adult patients that may be associated with an increased risk of bleeding. Respective thresholds for paediatric patients are not known (see section 5.1).</w:t>
      </w:r>
    </w:p>
    <w:p w14:paraId="54D5AD9F" w14:textId="77777777" w:rsidR="00E607F1" w:rsidRPr="00B55C24" w:rsidRDefault="00E607F1" w:rsidP="00E607F1">
      <w:pPr>
        <w:tabs>
          <w:tab w:val="left" w:pos="842"/>
        </w:tabs>
        <w:ind w:left="851"/>
        <w:rPr>
          <w:sz w:val="24"/>
          <w:szCs w:val="24"/>
          <w:lang w:val="en-GB"/>
        </w:rPr>
      </w:pPr>
    </w:p>
    <w:p w14:paraId="24729032" w14:textId="049E81E4" w:rsidR="00E607F1" w:rsidRPr="00B55C24" w:rsidRDefault="00E607F1" w:rsidP="00E607F1">
      <w:pPr>
        <w:tabs>
          <w:tab w:val="left" w:pos="851"/>
        </w:tabs>
        <w:ind w:left="851"/>
        <w:rPr>
          <w:b/>
          <w:bCs/>
          <w:sz w:val="24"/>
          <w:szCs w:val="24"/>
          <w:lang w:val="en-GB"/>
        </w:rPr>
      </w:pPr>
      <w:r w:rsidRPr="00B55C24">
        <w:rPr>
          <w:b/>
          <w:bCs/>
          <w:sz w:val="24"/>
          <w:szCs w:val="24"/>
          <w:lang w:val="en-GB"/>
        </w:rPr>
        <w:t>Table 5: Coagulation test thresholds at trough for adult patients that may be associated with an increased risk of bleeding.</w:t>
      </w:r>
    </w:p>
    <w:p w14:paraId="5A128310"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5147"/>
        <w:gridCol w:w="4481"/>
      </w:tblGrid>
      <w:tr w:rsidR="00E607F1" w:rsidRPr="00B55C24" w14:paraId="56A7D7A8" w14:textId="77777777" w:rsidTr="004A5906">
        <w:trPr>
          <w:trHeight w:val="57"/>
          <w:jc w:val="center"/>
        </w:trPr>
        <w:tc>
          <w:tcPr>
            <w:tcW w:w="2673" w:type="pct"/>
            <w:tcBorders>
              <w:top w:val="single" w:sz="4" w:space="0" w:color="auto"/>
              <w:left w:val="single" w:sz="4" w:space="0" w:color="auto"/>
              <w:bottom w:val="nil"/>
              <w:right w:val="nil"/>
            </w:tcBorders>
            <w:vAlign w:val="bottom"/>
            <w:hideMark/>
          </w:tcPr>
          <w:p w14:paraId="133ADFCC" w14:textId="77777777" w:rsidR="00E607F1" w:rsidRPr="00B55C24" w:rsidRDefault="00E607F1" w:rsidP="004A5906">
            <w:pPr>
              <w:rPr>
                <w:sz w:val="22"/>
                <w:szCs w:val="22"/>
                <w:lang w:val="en-GB"/>
              </w:rPr>
            </w:pPr>
            <w:r w:rsidRPr="00B55C24">
              <w:rPr>
                <w:sz w:val="22"/>
                <w:szCs w:val="22"/>
                <w:lang w:val="en-GB"/>
              </w:rPr>
              <w:t>Test (trough value)</w:t>
            </w:r>
          </w:p>
        </w:tc>
        <w:tc>
          <w:tcPr>
            <w:tcW w:w="2327" w:type="pct"/>
            <w:tcBorders>
              <w:top w:val="single" w:sz="4" w:space="0" w:color="auto"/>
              <w:left w:val="single" w:sz="4" w:space="0" w:color="auto"/>
              <w:bottom w:val="nil"/>
              <w:right w:val="single" w:sz="4" w:space="0" w:color="auto"/>
            </w:tcBorders>
            <w:vAlign w:val="bottom"/>
            <w:hideMark/>
          </w:tcPr>
          <w:p w14:paraId="54A84690" w14:textId="77777777" w:rsidR="00E607F1" w:rsidRPr="00B55C24" w:rsidRDefault="00E607F1" w:rsidP="004A5906">
            <w:pPr>
              <w:rPr>
                <w:sz w:val="22"/>
                <w:szCs w:val="22"/>
                <w:lang w:val="en-GB"/>
              </w:rPr>
            </w:pPr>
            <w:r w:rsidRPr="00B55C24">
              <w:rPr>
                <w:sz w:val="22"/>
                <w:szCs w:val="22"/>
                <w:lang w:val="en-GB"/>
              </w:rPr>
              <w:t>Indication</w:t>
            </w:r>
          </w:p>
        </w:tc>
      </w:tr>
      <w:tr w:rsidR="00E607F1" w:rsidRPr="00B55C24" w14:paraId="2DB53433" w14:textId="77777777" w:rsidTr="004A5906">
        <w:trPr>
          <w:trHeight w:val="57"/>
          <w:jc w:val="center"/>
        </w:trPr>
        <w:tc>
          <w:tcPr>
            <w:tcW w:w="2673" w:type="pct"/>
            <w:tcBorders>
              <w:top w:val="single" w:sz="4" w:space="0" w:color="auto"/>
              <w:left w:val="single" w:sz="4" w:space="0" w:color="auto"/>
              <w:bottom w:val="nil"/>
              <w:right w:val="nil"/>
            </w:tcBorders>
          </w:tcPr>
          <w:p w14:paraId="00091D9B" w14:textId="77777777" w:rsidR="00E607F1" w:rsidRPr="00B55C24" w:rsidRDefault="00E607F1" w:rsidP="004A5906">
            <w:pPr>
              <w:rPr>
                <w:sz w:val="22"/>
                <w:szCs w:val="22"/>
                <w:lang w:val="en-GB"/>
              </w:rPr>
            </w:pPr>
          </w:p>
        </w:tc>
        <w:tc>
          <w:tcPr>
            <w:tcW w:w="2327" w:type="pct"/>
            <w:tcBorders>
              <w:top w:val="single" w:sz="4" w:space="0" w:color="auto"/>
              <w:left w:val="single" w:sz="4" w:space="0" w:color="auto"/>
              <w:bottom w:val="nil"/>
              <w:right w:val="single" w:sz="4" w:space="0" w:color="auto"/>
            </w:tcBorders>
            <w:hideMark/>
          </w:tcPr>
          <w:p w14:paraId="78C1610D" w14:textId="77777777" w:rsidR="00E607F1" w:rsidRPr="00B55C24" w:rsidRDefault="00E607F1" w:rsidP="004A5906">
            <w:pPr>
              <w:rPr>
                <w:sz w:val="22"/>
                <w:szCs w:val="22"/>
                <w:lang w:val="en-GB"/>
              </w:rPr>
            </w:pPr>
            <w:r w:rsidRPr="00B55C24">
              <w:rPr>
                <w:sz w:val="22"/>
                <w:szCs w:val="22"/>
                <w:lang w:val="en-GB"/>
              </w:rPr>
              <w:t>SPAF and DVT/PE</w:t>
            </w:r>
          </w:p>
        </w:tc>
      </w:tr>
      <w:tr w:rsidR="00E607F1" w:rsidRPr="00B55C24" w14:paraId="63194AAB" w14:textId="77777777" w:rsidTr="004A5906">
        <w:trPr>
          <w:trHeight w:val="57"/>
          <w:jc w:val="center"/>
        </w:trPr>
        <w:tc>
          <w:tcPr>
            <w:tcW w:w="2673" w:type="pct"/>
            <w:tcBorders>
              <w:top w:val="single" w:sz="4" w:space="0" w:color="auto"/>
              <w:left w:val="single" w:sz="4" w:space="0" w:color="auto"/>
              <w:bottom w:val="nil"/>
              <w:right w:val="nil"/>
            </w:tcBorders>
            <w:vAlign w:val="bottom"/>
            <w:hideMark/>
          </w:tcPr>
          <w:p w14:paraId="1BA04F30" w14:textId="77777777" w:rsidR="00E607F1" w:rsidRPr="00B55C24" w:rsidRDefault="00E607F1" w:rsidP="004A5906">
            <w:pPr>
              <w:rPr>
                <w:sz w:val="22"/>
                <w:szCs w:val="22"/>
                <w:lang w:val="en-GB"/>
              </w:rPr>
            </w:pPr>
            <w:proofErr w:type="spellStart"/>
            <w:r w:rsidRPr="00B55C24">
              <w:rPr>
                <w:sz w:val="22"/>
                <w:szCs w:val="22"/>
                <w:lang w:val="en-GB"/>
              </w:rPr>
              <w:t>dTT</w:t>
            </w:r>
            <w:proofErr w:type="spellEnd"/>
            <w:r w:rsidRPr="00B55C24">
              <w:rPr>
                <w:sz w:val="22"/>
                <w:szCs w:val="22"/>
                <w:lang w:val="en-GB"/>
              </w:rPr>
              <w:t xml:space="preserve"> [ng/mL]</w:t>
            </w:r>
          </w:p>
        </w:tc>
        <w:tc>
          <w:tcPr>
            <w:tcW w:w="2327" w:type="pct"/>
            <w:tcBorders>
              <w:top w:val="single" w:sz="4" w:space="0" w:color="auto"/>
              <w:left w:val="single" w:sz="4" w:space="0" w:color="auto"/>
              <w:bottom w:val="nil"/>
              <w:right w:val="single" w:sz="4" w:space="0" w:color="auto"/>
            </w:tcBorders>
            <w:vAlign w:val="bottom"/>
            <w:hideMark/>
          </w:tcPr>
          <w:p w14:paraId="700AA2ED" w14:textId="77777777" w:rsidR="00E607F1" w:rsidRPr="00B55C24" w:rsidRDefault="00E607F1" w:rsidP="004A5906">
            <w:pPr>
              <w:rPr>
                <w:sz w:val="22"/>
                <w:szCs w:val="22"/>
                <w:lang w:val="en-GB"/>
              </w:rPr>
            </w:pPr>
            <w:r w:rsidRPr="00B55C24">
              <w:rPr>
                <w:sz w:val="22"/>
                <w:szCs w:val="22"/>
                <w:lang w:val="en-GB"/>
              </w:rPr>
              <w:t>&gt; 200</w:t>
            </w:r>
          </w:p>
        </w:tc>
      </w:tr>
      <w:tr w:rsidR="00E607F1" w:rsidRPr="00B55C24" w14:paraId="7AFB8FDE" w14:textId="77777777" w:rsidTr="004A5906">
        <w:trPr>
          <w:trHeight w:val="57"/>
          <w:jc w:val="center"/>
        </w:trPr>
        <w:tc>
          <w:tcPr>
            <w:tcW w:w="2673" w:type="pct"/>
            <w:tcBorders>
              <w:top w:val="single" w:sz="4" w:space="0" w:color="auto"/>
              <w:left w:val="single" w:sz="4" w:space="0" w:color="auto"/>
              <w:bottom w:val="nil"/>
              <w:right w:val="nil"/>
            </w:tcBorders>
            <w:vAlign w:val="bottom"/>
            <w:hideMark/>
          </w:tcPr>
          <w:p w14:paraId="5C52639A" w14:textId="77777777" w:rsidR="00E607F1" w:rsidRPr="00B55C24" w:rsidRDefault="00E607F1" w:rsidP="004A5906">
            <w:pPr>
              <w:rPr>
                <w:sz w:val="22"/>
                <w:szCs w:val="22"/>
                <w:lang w:val="en-GB"/>
              </w:rPr>
            </w:pPr>
            <w:r w:rsidRPr="00B55C24">
              <w:rPr>
                <w:sz w:val="22"/>
                <w:szCs w:val="22"/>
                <w:lang w:val="en-GB"/>
              </w:rPr>
              <w:t>ECT [x-fold upper limit of normal]</w:t>
            </w:r>
          </w:p>
        </w:tc>
        <w:tc>
          <w:tcPr>
            <w:tcW w:w="2327" w:type="pct"/>
            <w:tcBorders>
              <w:top w:val="single" w:sz="4" w:space="0" w:color="auto"/>
              <w:left w:val="single" w:sz="4" w:space="0" w:color="auto"/>
              <w:bottom w:val="nil"/>
              <w:right w:val="single" w:sz="4" w:space="0" w:color="auto"/>
            </w:tcBorders>
            <w:vAlign w:val="bottom"/>
            <w:hideMark/>
          </w:tcPr>
          <w:p w14:paraId="5FC3F0D9" w14:textId="77777777" w:rsidR="00E607F1" w:rsidRPr="00B55C24" w:rsidRDefault="00E607F1" w:rsidP="004A5906">
            <w:pPr>
              <w:rPr>
                <w:sz w:val="22"/>
                <w:szCs w:val="22"/>
                <w:lang w:val="en-GB"/>
              </w:rPr>
            </w:pPr>
            <w:r w:rsidRPr="00B55C24">
              <w:rPr>
                <w:sz w:val="22"/>
                <w:szCs w:val="22"/>
                <w:lang w:val="en-GB"/>
              </w:rPr>
              <w:t>&gt; 3</w:t>
            </w:r>
          </w:p>
        </w:tc>
      </w:tr>
      <w:tr w:rsidR="00E607F1" w:rsidRPr="00B55C24" w14:paraId="211C27F3" w14:textId="77777777" w:rsidTr="004A5906">
        <w:trPr>
          <w:trHeight w:val="57"/>
          <w:jc w:val="center"/>
        </w:trPr>
        <w:tc>
          <w:tcPr>
            <w:tcW w:w="2673" w:type="pct"/>
            <w:tcBorders>
              <w:top w:val="single" w:sz="4" w:space="0" w:color="auto"/>
              <w:left w:val="single" w:sz="4" w:space="0" w:color="auto"/>
              <w:bottom w:val="nil"/>
              <w:right w:val="nil"/>
            </w:tcBorders>
            <w:vAlign w:val="bottom"/>
            <w:hideMark/>
          </w:tcPr>
          <w:p w14:paraId="1FCB2C17" w14:textId="77777777" w:rsidR="00E607F1" w:rsidRPr="00B55C24" w:rsidRDefault="00E607F1" w:rsidP="004A5906">
            <w:pPr>
              <w:rPr>
                <w:sz w:val="22"/>
                <w:szCs w:val="22"/>
                <w:lang w:val="en-GB"/>
              </w:rPr>
            </w:pPr>
            <w:proofErr w:type="spellStart"/>
            <w:r w:rsidRPr="00B55C24">
              <w:rPr>
                <w:sz w:val="22"/>
                <w:szCs w:val="22"/>
                <w:lang w:val="en-GB"/>
              </w:rPr>
              <w:t>aPTT</w:t>
            </w:r>
            <w:proofErr w:type="spellEnd"/>
            <w:r w:rsidRPr="00B55C24">
              <w:rPr>
                <w:sz w:val="22"/>
                <w:szCs w:val="22"/>
                <w:lang w:val="en-GB"/>
              </w:rPr>
              <w:t xml:space="preserve"> [x-fold upper limit of normal]</w:t>
            </w:r>
          </w:p>
        </w:tc>
        <w:tc>
          <w:tcPr>
            <w:tcW w:w="2327" w:type="pct"/>
            <w:tcBorders>
              <w:top w:val="single" w:sz="4" w:space="0" w:color="auto"/>
              <w:left w:val="single" w:sz="4" w:space="0" w:color="auto"/>
              <w:bottom w:val="nil"/>
              <w:right w:val="single" w:sz="4" w:space="0" w:color="auto"/>
            </w:tcBorders>
            <w:vAlign w:val="bottom"/>
            <w:hideMark/>
          </w:tcPr>
          <w:p w14:paraId="50672C52" w14:textId="77777777" w:rsidR="00E607F1" w:rsidRPr="00B55C24" w:rsidRDefault="00E607F1" w:rsidP="004A5906">
            <w:pPr>
              <w:rPr>
                <w:sz w:val="22"/>
                <w:szCs w:val="22"/>
                <w:lang w:val="en-GB"/>
              </w:rPr>
            </w:pPr>
            <w:r w:rsidRPr="00B55C24">
              <w:rPr>
                <w:sz w:val="22"/>
                <w:szCs w:val="22"/>
                <w:lang w:val="en-GB"/>
              </w:rPr>
              <w:t>&gt; 2</w:t>
            </w:r>
          </w:p>
        </w:tc>
      </w:tr>
      <w:tr w:rsidR="00E607F1" w:rsidRPr="00B55C24" w14:paraId="00396842" w14:textId="77777777" w:rsidTr="004A5906">
        <w:trPr>
          <w:trHeight w:val="57"/>
          <w:jc w:val="center"/>
        </w:trPr>
        <w:tc>
          <w:tcPr>
            <w:tcW w:w="2673" w:type="pct"/>
            <w:tcBorders>
              <w:top w:val="single" w:sz="4" w:space="0" w:color="auto"/>
              <w:left w:val="single" w:sz="4" w:space="0" w:color="auto"/>
              <w:bottom w:val="single" w:sz="4" w:space="0" w:color="auto"/>
              <w:right w:val="nil"/>
            </w:tcBorders>
            <w:vAlign w:val="bottom"/>
            <w:hideMark/>
          </w:tcPr>
          <w:p w14:paraId="503546CE" w14:textId="77777777" w:rsidR="00E607F1" w:rsidRPr="00B55C24" w:rsidRDefault="00E607F1" w:rsidP="004A5906">
            <w:pPr>
              <w:rPr>
                <w:sz w:val="22"/>
                <w:szCs w:val="22"/>
                <w:lang w:val="en-GB"/>
              </w:rPr>
            </w:pPr>
            <w:r w:rsidRPr="00B55C24">
              <w:rPr>
                <w:sz w:val="22"/>
                <w:szCs w:val="22"/>
                <w:lang w:val="en-GB"/>
              </w:rPr>
              <w:t>INR</w:t>
            </w:r>
          </w:p>
        </w:tc>
        <w:tc>
          <w:tcPr>
            <w:tcW w:w="2327" w:type="pct"/>
            <w:tcBorders>
              <w:top w:val="single" w:sz="4" w:space="0" w:color="auto"/>
              <w:left w:val="single" w:sz="4" w:space="0" w:color="auto"/>
              <w:bottom w:val="single" w:sz="4" w:space="0" w:color="auto"/>
              <w:right w:val="single" w:sz="4" w:space="0" w:color="auto"/>
            </w:tcBorders>
            <w:vAlign w:val="bottom"/>
            <w:hideMark/>
          </w:tcPr>
          <w:p w14:paraId="26EA2926" w14:textId="77777777" w:rsidR="00E607F1" w:rsidRPr="00B55C24" w:rsidRDefault="00E607F1" w:rsidP="004A5906">
            <w:pPr>
              <w:rPr>
                <w:sz w:val="22"/>
                <w:szCs w:val="22"/>
                <w:lang w:val="en-GB"/>
              </w:rPr>
            </w:pPr>
            <w:r w:rsidRPr="00B55C24">
              <w:rPr>
                <w:sz w:val="22"/>
                <w:szCs w:val="22"/>
                <w:lang w:val="en-GB"/>
              </w:rPr>
              <w:t>Should not be performed</w:t>
            </w:r>
          </w:p>
        </w:tc>
      </w:tr>
    </w:tbl>
    <w:p w14:paraId="35614A19" w14:textId="77777777" w:rsidR="00E607F1" w:rsidRPr="00B55C24" w:rsidRDefault="00E607F1" w:rsidP="00E607F1">
      <w:pPr>
        <w:tabs>
          <w:tab w:val="left" w:pos="851"/>
        </w:tabs>
        <w:ind w:left="851"/>
        <w:rPr>
          <w:sz w:val="24"/>
          <w:szCs w:val="24"/>
          <w:lang w:val="en-GB"/>
        </w:rPr>
      </w:pPr>
    </w:p>
    <w:p w14:paraId="70647BAB" w14:textId="77777777" w:rsidR="00E607F1" w:rsidRPr="00B55C24" w:rsidRDefault="00E607F1" w:rsidP="004A5906">
      <w:pPr>
        <w:ind w:left="851"/>
        <w:rPr>
          <w:sz w:val="24"/>
          <w:szCs w:val="24"/>
          <w:u w:val="single"/>
          <w:lang w:val="en-GB"/>
        </w:rPr>
      </w:pPr>
      <w:r w:rsidRPr="00B55C24">
        <w:rPr>
          <w:sz w:val="24"/>
          <w:szCs w:val="24"/>
          <w:u w:val="single"/>
          <w:lang w:val="en-GB"/>
        </w:rPr>
        <w:t>Use of fibrinolytic medicinal products for the treatment of acute ischemic stroke</w:t>
      </w:r>
    </w:p>
    <w:p w14:paraId="59E94E7F" w14:textId="77777777" w:rsidR="00E607F1" w:rsidRPr="00B55C24" w:rsidRDefault="00E607F1" w:rsidP="004A5906">
      <w:pPr>
        <w:ind w:left="851"/>
        <w:rPr>
          <w:sz w:val="24"/>
          <w:szCs w:val="24"/>
          <w:lang w:val="en-GB"/>
        </w:rPr>
      </w:pPr>
    </w:p>
    <w:p w14:paraId="6675563F" w14:textId="77777777" w:rsidR="00E607F1" w:rsidRPr="00B55C24" w:rsidRDefault="00E607F1" w:rsidP="004A5906">
      <w:pPr>
        <w:ind w:left="851"/>
        <w:rPr>
          <w:sz w:val="24"/>
          <w:szCs w:val="24"/>
          <w:lang w:val="en-GB"/>
        </w:rPr>
      </w:pPr>
      <w:r w:rsidRPr="00B55C24">
        <w:rPr>
          <w:sz w:val="24"/>
          <w:szCs w:val="24"/>
          <w:lang w:val="en-GB"/>
        </w:rPr>
        <w:t xml:space="preserve">The use of fibrinolytic medicinal products for the treatment of acute ischemic stroke may be considered if the patient presents with a </w:t>
      </w:r>
      <w:proofErr w:type="spellStart"/>
      <w:r w:rsidRPr="00B55C24">
        <w:rPr>
          <w:sz w:val="24"/>
          <w:szCs w:val="24"/>
          <w:lang w:val="en-GB"/>
        </w:rPr>
        <w:t>dTT</w:t>
      </w:r>
      <w:proofErr w:type="spellEnd"/>
      <w:r w:rsidRPr="00B55C24">
        <w:rPr>
          <w:sz w:val="24"/>
          <w:szCs w:val="24"/>
          <w:lang w:val="en-GB"/>
        </w:rPr>
        <w:t xml:space="preserve">, ECT or </w:t>
      </w:r>
      <w:proofErr w:type="spellStart"/>
      <w:r w:rsidRPr="00B55C24">
        <w:rPr>
          <w:sz w:val="24"/>
          <w:szCs w:val="24"/>
          <w:lang w:val="en-GB"/>
        </w:rPr>
        <w:t>aPTT</w:t>
      </w:r>
      <w:proofErr w:type="spellEnd"/>
      <w:r w:rsidRPr="00B55C24">
        <w:rPr>
          <w:sz w:val="24"/>
          <w:szCs w:val="24"/>
          <w:lang w:val="en-GB"/>
        </w:rPr>
        <w:t xml:space="preserve"> not exceeding the upper limit of normal (ULN) according to the local reference range.</w:t>
      </w:r>
    </w:p>
    <w:p w14:paraId="3E7A8F3F" w14:textId="77777777" w:rsidR="00E607F1" w:rsidRPr="00B55C24" w:rsidRDefault="00E607F1" w:rsidP="004A5906">
      <w:pPr>
        <w:ind w:left="851"/>
        <w:rPr>
          <w:sz w:val="24"/>
          <w:szCs w:val="24"/>
          <w:lang w:val="en-GB"/>
        </w:rPr>
      </w:pPr>
    </w:p>
    <w:p w14:paraId="7ED62DFD" w14:textId="77777777" w:rsidR="00E607F1" w:rsidRPr="00B55C24" w:rsidRDefault="00E607F1" w:rsidP="004A5906">
      <w:pPr>
        <w:ind w:left="851"/>
        <w:rPr>
          <w:sz w:val="24"/>
          <w:szCs w:val="24"/>
          <w:u w:val="single"/>
          <w:lang w:val="en-GB"/>
        </w:rPr>
      </w:pPr>
      <w:r w:rsidRPr="00B55C24">
        <w:rPr>
          <w:sz w:val="24"/>
          <w:szCs w:val="24"/>
          <w:u w:val="single"/>
          <w:lang w:val="en-GB"/>
        </w:rPr>
        <w:t>Surgery and interventions</w:t>
      </w:r>
    </w:p>
    <w:p w14:paraId="79AF3566" w14:textId="77777777" w:rsidR="00E607F1" w:rsidRPr="00B55C24" w:rsidRDefault="00E607F1" w:rsidP="004A5906">
      <w:pPr>
        <w:ind w:left="851"/>
        <w:rPr>
          <w:sz w:val="24"/>
          <w:szCs w:val="24"/>
          <w:lang w:val="en-GB"/>
        </w:rPr>
      </w:pPr>
    </w:p>
    <w:p w14:paraId="51A078DF" w14:textId="77777777" w:rsidR="00E607F1" w:rsidRPr="00B55C24" w:rsidRDefault="00E607F1" w:rsidP="004A5906">
      <w:pPr>
        <w:ind w:left="851"/>
        <w:rPr>
          <w:sz w:val="24"/>
          <w:szCs w:val="24"/>
          <w:lang w:val="en-GB"/>
        </w:rPr>
      </w:pPr>
      <w:r w:rsidRPr="00B55C24">
        <w:rPr>
          <w:sz w:val="24"/>
          <w:szCs w:val="24"/>
          <w:lang w:val="en-GB"/>
        </w:rPr>
        <w:t xml:space="preserve">Patients on dabigatran </w:t>
      </w:r>
      <w:proofErr w:type="spellStart"/>
      <w:r w:rsidRPr="00B55C24">
        <w:rPr>
          <w:sz w:val="24"/>
          <w:szCs w:val="24"/>
          <w:lang w:val="en-GB"/>
        </w:rPr>
        <w:t>etexilate</w:t>
      </w:r>
      <w:proofErr w:type="spellEnd"/>
      <w:r w:rsidRPr="00B55C24">
        <w:rPr>
          <w:sz w:val="24"/>
          <w:szCs w:val="24"/>
          <w:lang w:val="en-GB"/>
        </w:rPr>
        <w:t xml:space="preserve"> who undergo surgery or invasive procedures are at increased risk for bleeding. Therefore, surgical interventions may require the temporary discontinuation of dabigatran </w:t>
      </w:r>
      <w:proofErr w:type="spellStart"/>
      <w:r w:rsidRPr="00B55C24">
        <w:rPr>
          <w:sz w:val="24"/>
          <w:szCs w:val="24"/>
          <w:lang w:val="en-GB"/>
        </w:rPr>
        <w:t>etexilate</w:t>
      </w:r>
      <w:proofErr w:type="spellEnd"/>
      <w:r w:rsidRPr="00B55C24">
        <w:rPr>
          <w:sz w:val="24"/>
          <w:szCs w:val="24"/>
          <w:lang w:val="en-GB"/>
        </w:rPr>
        <w:t>.</w:t>
      </w:r>
    </w:p>
    <w:p w14:paraId="1449F5BB" w14:textId="77777777" w:rsidR="00E607F1" w:rsidRPr="00B55C24" w:rsidRDefault="00E607F1" w:rsidP="004A5906">
      <w:pPr>
        <w:ind w:left="851"/>
        <w:rPr>
          <w:sz w:val="24"/>
          <w:szCs w:val="24"/>
          <w:lang w:val="en-GB"/>
        </w:rPr>
      </w:pPr>
    </w:p>
    <w:p w14:paraId="7464BDEE" w14:textId="77777777" w:rsidR="00E607F1" w:rsidRPr="00B55C24" w:rsidRDefault="00E607F1" w:rsidP="004A5906">
      <w:pPr>
        <w:ind w:left="851"/>
        <w:rPr>
          <w:sz w:val="24"/>
          <w:szCs w:val="24"/>
          <w:lang w:val="en-GB"/>
        </w:rPr>
      </w:pPr>
      <w:r w:rsidRPr="00B55C24">
        <w:rPr>
          <w:sz w:val="24"/>
          <w:szCs w:val="24"/>
          <w:lang w:val="en-GB"/>
        </w:rPr>
        <w:t xml:space="preserve">Patients can stay on dabigatran </w:t>
      </w:r>
      <w:proofErr w:type="spellStart"/>
      <w:r w:rsidRPr="00B55C24">
        <w:rPr>
          <w:sz w:val="24"/>
          <w:szCs w:val="24"/>
          <w:lang w:val="en-GB"/>
        </w:rPr>
        <w:t>etexilate</w:t>
      </w:r>
      <w:proofErr w:type="spellEnd"/>
      <w:r w:rsidRPr="00B55C24">
        <w:rPr>
          <w:sz w:val="24"/>
          <w:szCs w:val="24"/>
          <w:lang w:val="en-GB"/>
        </w:rPr>
        <w:t xml:space="preserve"> while being cardioverted. Dabigatran </w:t>
      </w:r>
      <w:proofErr w:type="spellStart"/>
      <w:r w:rsidRPr="00B55C24">
        <w:rPr>
          <w:sz w:val="24"/>
          <w:szCs w:val="24"/>
          <w:lang w:val="en-GB"/>
        </w:rPr>
        <w:t>etexilate</w:t>
      </w:r>
      <w:proofErr w:type="spellEnd"/>
      <w:r w:rsidRPr="00B55C24">
        <w:rPr>
          <w:sz w:val="24"/>
          <w:szCs w:val="24"/>
          <w:lang w:val="en-GB"/>
        </w:rPr>
        <w:t xml:space="preserve"> treatment (150 mg twice daily) does not need to be interrupted in patients undergoing catheter ablation for atrial fibrillation (see section 4.2).</w:t>
      </w:r>
    </w:p>
    <w:p w14:paraId="57D739BD" w14:textId="77777777" w:rsidR="00E607F1" w:rsidRPr="00B55C24" w:rsidRDefault="00E607F1" w:rsidP="004A5906">
      <w:pPr>
        <w:ind w:left="851"/>
        <w:rPr>
          <w:sz w:val="24"/>
          <w:szCs w:val="24"/>
          <w:lang w:val="en-GB"/>
        </w:rPr>
      </w:pPr>
    </w:p>
    <w:p w14:paraId="76CEDF40" w14:textId="77777777" w:rsidR="00E607F1" w:rsidRPr="00B55C24" w:rsidRDefault="00E607F1" w:rsidP="004A5906">
      <w:pPr>
        <w:ind w:left="851"/>
        <w:rPr>
          <w:sz w:val="24"/>
          <w:szCs w:val="24"/>
          <w:lang w:val="en-GB"/>
        </w:rPr>
      </w:pPr>
      <w:r w:rsidRPr="00B55C24">
        <w:rPr>
          <w:sz w:val="24"/>
          <w:szCs w:val="24"/>
          <w:lang w:val="en-GB"/>
        </w:rPr>
        <w:t>Caution should be exercised when treatment is temporarily discontinued for interventions and anticoagulant monitoring is warranted. Clearance of dabigatran in patients with renal insufficiency may take longer (see section 5.2). This should be considered in advance of any procedures. In such cases a coagulation test (see sections 4.4 and 5.1) may help to determine whether haemostasis is still impaired.</w:t>
      </w:r>
    </w:p>
    <w:p w14:paraId="7957810C" w14:textId="7A6C04C5" w:rsidR="00322951" w:rsidRDefault="00322951">
      <w:pPr>
        <w:rPr>
          <w:sz w:val="24"/>
          <w:szCs w:val="24"/>
          <w:lang w:val="en-GB"/>
        </w:rPr>
      </w:pPr>
      <w:r>
        <w:rPr>
          <w:sz w:val="24"/>
          <w:szCs w:val="24"/>
          <w:lang w:val="en-GB"/>
        </w:rPr>
        <w:br w:type="page"/>
      </w:r>
    </w:p>
    <w:p w14:paraId="1CFFF5F3" w14:textId="77777777" w:rsidR="00E607F1" w:rsidRPr="00B55C24" w:rsidRDefault="00E607F1" w:rsidP="004A5906">
      <w:pPr>
        <w:ind w:left="851"/>
        <w:rPr>
          <w:sz w:val="24"/>
          <w:szCs w:val="24"/>
          <w:lang w:val="en-GB"/>
        </w:rPr>
      </w:pPr>
    </w:p>
    <w:p w14:paraId="2CFEB1A8" w14:textId="77777777" w:rsidR="00E607F1" w:rsidRPr="00B55C24" w:rsidRDefault="00E607F1" w:rsidP="004A5906">
      <w:pPr>
        <w:ind w:left="851"/>
        <w:rPr>
          <w:sz w:val="24"/>
          <w:szCs w:val="24"/>
          <w:u w:val="single"/>
          <w:lang w:val="en-GB"/>
        </w:rPr>
      </w:pPr>
      <w:r w:rsidRPr="00B55C24">
        <w:rPr>
          <w:i/>
          <w:iCs/>
          <w:sz w:val="24"/>
          <w:szCs w:val="24"/>
          <w:u w:val="single"/>
          <w:lang w:val="en-GB"/>
        </w:rPr>
        <w:t>Emergency surgery or urgent procedures</w:t>
      </w:r>
    </w:p>
    <w:p w14:paraId="41F23D18" w14:textId="77777777" w:rsidR="00E607F1" w:rsidRPr="00B55C24" w:rsidRDefault="00E607F1" w:rsidP="004A5906">
      <w:pPr>
        <w:ind w:left="851"/>
        <w:rPr>
          <w:sz w:val="24"/>
          <w:szCs w:val="24"/>
          <w:lang w:val="en-GB"/>
        </w:rPr>
      </w:pPr>
    </w:p>
    <w:p w14:paraId="051E8B01"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should be temporarily discontinued. When rapid reversal of the anticoagulation effect is required the specific reversal agent (</w:t>
      </w:r>
      <w:proofErr w:type="spellStart"/>
      <w:r w:rsidRPr="00B55C24">
        <w:rPr>
          <w:sz w:val="24"/>
          <w:szCs w:val="24"/>
          <w:lang w:val="en-GB"/>
        </w:rPr>
        <w:t>idarucizumab</w:t>
      </w:r>
      <w:proofErr w:type="spellEnd"/>
      <w:r w:rsidRPr="00B55C24">
        <w:rPr>
          <w:sz w:val="24"/>
          <w:szCs w:val="24"/>
          <w:lang w:val="en-GB"/>
        </w:rPr>
        <w:t xml:space="preserve">) to dabigatran is available for adult patients. The efficacy and safety of </w:t>
      </w:r>
      <w:proofErr w:type="spellStart"/>
      <w:r w:rsidRPr="00B55C24">
        <w:rPr>
          <w:sz w:val="24"/>
          <w:szCs w:val="24"/>
          <w:lang w:val="en-GB"/>
        </w:rPr>
        <w:t>idarucizumab</w:t>
      </w:r>
      <w:proofErr w:type="spellEnd"/>
      <w:r w:rsidRPr="00B55C24">
        <w:rPr>
          <w:sz w:val="24"/>
          <w:szCs w:val="24"/>
          <w:lang w:val="en-GB"/>
        </w:rPr>
        <w:t xml:space="preserve"> have not been established in paediatric patients. Haemodialysis can remove dabigatran.</w:t>
      </w:r>
    </w:p>
    <w:p w14:paraId="7FC74B33" w14:textId="77777777" w:rsidR="00E607F1" w:rsidRPr="00B55C24" w:rsidRDefault="00E607F1" w:rsidP="004A5906">
      <w:pPr>
        <w:ind w:left="851"/>
        <w:rPr>
          <w:sz w:val="24"/>
          <w:szCs w:val="24"/>
          <w:lang w:val="en-GB"/>
        </w:rPr>
      </w:pPr>
    </w:p>
    <w:p w14:paraId="1B9CD951" w14:textId="77777777" w:rsidR="00E607F1" w:rsidRPr="00B55C24" w:rsidRDefault="00E607F1" w:rsidP="004A5906">
      <w:pPr>
        <w:ind w:left="851"/>
        <w:rPr>
          <w:sz w:val="24"/>
          <w:szCs w:val="24"/>
          <w:lang w:val="en-GB"/>
        </w:rPr>
      </w:pPr>
      <w:r w:rsidRPr="00B55C24">
        <w:rPr>
          <w:sz w:val="24"/>
          <w:szCs w:val="24"/>
          <w:lang w:val="en-GB"/>
        </w:rPr>
        <w:t xml:space="preserve">Reversing dabigatran therapy exposes patients to the thrombotic risk of their underlying disease. Dabigatran </w:t>
      </w:r>
      <w:proofErr w:type="spellStart"/>
      <w:r w:rsidRPr="00B55C24">
        <w:rPr>
          <w:sz w:val="24"/>
          <w:szCs w:val="24"/>
          <w:lang w:val="en-GB"/>
        </w:rPr>
        <w:t>etexilate</w:t>
      </w:r>
      <w:proofErr w:type="spellEnd"/>
      <w:r w:rsidRPr="00B55C24">
        <w:rPr>
          <w:sz w:val="24"/>
          <w:szCs w:val="24"/>
          <w:lang w:val="en-GB"/>
        </w:rPr>
        <w:t xml:space="preserve"> treatment can be re-initiated 24 hours after administration of </w:t>
      </w:r>
      <w:proofErr w:type="spellStart"/>
      <w:r w:rsidRPr="00B55C24">
        <w:rPr>
          <w:sz w:val="24"/>
          <w:szCs w:val="24"/>
          <w:lang w:val="en-GB"/>
        </w:rPr>
        <w:t>idarucizumab</w:t>
      </w:r>
      <w:proofErr w:type="spellEnd"/>
      <w:r w:rsidRPr="00B55C24">
        <w:rPr>
          <w:sz w:val="24"/>
          <w:szCs w:val="24"/>
          <w:lang w:val="en-GB"/>
        </w:rPr>
        <w:t>, if the patient is clinically stable and adequate haemostasis has been achieved.</w:t>
      </w:r>
    </w:p>
    <w:p w14:paraId="6B49C094" w14:textId="77777777" w:rsidR="00E607F1" w:rsidRPr="00B55C24" w:rsidRDefault="00E607F1" w:rsidP="004A5906">
      <w:pPr>
        <w:ind w:left="851"/>
        <w:rPr>
          <w:sz w:val="24"/>
          <w:szCs w:val="24"/>
          <w:lang w:val="en-GB"/>
        </w:rPr>
      </w:pPr>
    </w:p>
    <w:p w14:paraId="076DEAE6" w14:textId="77777777" w:rsidR="00E607F1" w:rsidRPr="00B55C24" w:rsidRDefault="00E607F1" w:rsidP="004A5906">
      <w:pPr>
        <w:ind w:left="851"/>
        <w:rPr>
          <w:sz w:val="24"/>
          <w:szCs w:val="24"/>
          <w:u w:val="single"/>
          <w:lang w:val="en-GB"/>
        </w:rPr>
      </w:pPr>
      <w:r w:rsidRPr="00B55C24">
        <w:rPr>
          <w:i/>
          <w:iCs/>
          <w:sz w:val="24"/>
          <w:szCs w:val="24"/>
          <w:u w:val="single"/>
          <w:lang w:val="en-GB"/>
        </w:rPr>
        <w:t>Subacute surgery/interventions</w:t>
      </w:r>
    </w:p>
    <w:p w14:paraId="1ED93A38" w14:textId="77777777" w:rsidR="00E607F1" w:rsidRPr="00B55C24" w:rsidRDefault="00E607F1" w:rsidP="004A5906">
      <w:pPr>
        <w:ind w:left="851"/>
        <w:rPr>
          <w:sz w:val="24"/>
          <w:szCs w:val="24"/>
          <w:lang w:val="en-GB"/>
        </w:rPr>
      </w:pPr>
    </w:p>
    <w:p w14:paraId="0E9B46D2"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should be temporarily discontinued. A surgery / intervention should be delayed if possible until at least 12 hours after the last dose. If surgery cannot be delayed the risk of bleeding may be increased. This risk of bleeding should be weighed against the urgency of intervention.</w:t>
      </w:r>
    </w:p>
    <w:p w14:paraId="75F89CE9" w14:textId="77777777" w:rsidR="00E607F1" w:rsidRPr="00B55C24" w:rsidRDefault="00E607F1" w:rsidP="004A5906">
      <w:pPr>
        <w:ind w:left="851"/>
        <w:rPr>
          <w:sz w:val="24"/>
          <w:szCs w:val="24"/>
          <w:lang w:val="en-GB"/>
        </w:rPr>
      </w:pPr>
    </w:p>
    <w:p w14:paraId="5DA88071" w14:textId="77777777" w:rsidR="00E607F1" w:rsidRPr="00B55C24" w:rsidRDefault="00E607F1" w:rsidP="004A5906">
      <w:pPr>
        <w:ind w:left="851"/>
        <w:rPr>
          <w:sz w:val="24"/>
          <w:szCs w:val="24"/>
          <w:u w:val="single"/>
          <w:lang w:val="en-GB"/>
        </w:rPr>
      </w:pPr>
      <w:r w:rsidRPr="00B55C24">
        <w:rPr>
          <w:i/>
          <w:iCs/>
          <w:sz w:val="24"/>
          <w:szCs w:val="24"/>
          <w:u w:val="single"/>
          <w:lang w:val="en-GB"/>
        </w:rPr>
        <w:t>Elective surgery</w:t>
      </w:r>
    </w:p>
    <w:p w14:paraId="24545B2D" w14:textId="77777777" w:rsidR="00E607F1" w:rsidRPr="00B55C24" w:rsidRDefault="00E607F1" w:rsidP="004A5906">
      <w:pPr>
        <w:ind w:left="851"/>
        <w:rPr>
          <w:sz w:val="24"/>
          <w:szCs w:val="24"/>
          <w:lang w:val="en-GB"/>
        </w:rPr>
      </w:pPr>
    </w:p>
    <w:p w14:paraId="533A84F2" w14:textId="77777777" w:rsidR="00E607F1" w:rsidRPr="00B55C24" w:rsidRDefault="00E607F1" w:rsidP="004A5906">
      <w:pPr>
        <w:ind w:left="851"/>
        <w:rPr>
          <w:sz w:val="24"/>
          <w:szCs w:val="24"/>
          <w:lang w:val="en-GB"/>
        </w:rPr>
      </w:pPr>
      <w:r w:rsidRPr="00B55C24">
        <w:rPr>
          <w:sz w:val="24"/>
          <w:szCs w:val="24"/>
          <w:lang w:val="en-GB"/>
        </w:rPr>
        <w:t xml:space="preserve">If possible, dabigatran </w:t>
      </w:r>
      <w:proofErr w:type="spellStart"/>
      <w:r w:rsidRPr="00B55C24">
        <w:rPr>
          <w:sz w:val="24"/>
          <w:szCs w:val="24"/>
          <w:lang w:val="en-GB"/>
        </w:rPr>
        <w:t>etexilate</w:t>
      </w:r>
      <w:proofErr w:type="spellEnd"/>
      <w:r w:rsidRPr="00B55C24">
        <w:rPr>
          <w:sz w:val="24"/>
          <w:szCs w:val="24"/>
          <w:lang w:val="en-GB"/>
        </w:rPr>
        <w:t xml:space="preserve"> should be discontinued at least 24 hours before invasive or surgical procedures. In patients at higher risk of bleeding or in major surgery where complete haemostasis may be required consider stopping dabigatran </w:t>
      </w:r>
      <w:proofErr w:type="spellStart"/>
      <w:r w:rsidRPr="00B55C24">
        <w:rPr>
          <w:sz w:val="24"/>
          <w:szCs w:val="24"/>
          <w:lang w:val="en-GB"/>
        </w:rPr>
        <w:t>etexilate</w:t>
      </w:r>
      <w:proofErr w:type="spellEnd"/>
      <w:r w:rsidRPr="00B55C24">
        <w:rPr>
          <w:sz w:val="24"/>
          <w:szCs w:val="24"/>
          <w:lang w:val="en-GB"/>
        </w:rPr>
        <w:t xml:space="preserve"> 2-4 days before surgery.</w:t>
      </w:r>
    </w:p>
    <w:p w14:paraId="070B0937" w14:textId="77777777" w:rsidR="00E607F1" w:rsidRPr="00B55C24" w:rsidRDefault="00E607F1" w:rsidP="004A5906">
      <w:pPr>
        <w:ind w:left="851"/>
        <w:rPr>
          <w:sz w:val="24"/>
          <w:szCs w:val="24"/>
          <w:lang w:val="en-GB"/>
        </w:rPr>
      </w:pPr>
    </w:p>
    <w:p w14:paraId="4D6D3987" w14:textId="77777777" w:rsidR="00E607F1" w:rsidRPr="00B55C24" w:rsidRDefault="00E607F1" w:rsidP="004A5906">
      <w:pPr>
        <w:ind w:left="851"/>
        <w:rPr>
          <w:sz w:val="24"/>
          <w:szCs w:val="24"/>
          <w:lang w:val="en-GB"/>
        </w:rPr>
      </w:pPr>
      <w:r w:rsidRPr="00B55C24">
        <w:rPr>
          <w:sz w:val="24"/>
          <w:szCs w:val="24"/>
          <w:lang w:val="en-GB"/>
        </w:rPr>
        <w:t>Table 6 summarises discontinuation rules before invasive or surgical procedures for adult patients.</w:t>
      </w:r>
    </w:p>
    <w:p w14:paraId="7244D2DF" w14:textId="77777777" w:rsidR="00E607F1" w:rsidRPr="00B55C24" w:rsidRDefault="00E607F1" w:rsidP="00E607F1">
      <w:pPr>
        <w:tabs>
          <w:tab w:val="left" w:pos="842"/>
        </w:tabs>
        <w:ind w:left="851"/>
        <w:rPr>
          <w:sz w:val="24"/>
          <w:szCs w:val="24"/>
          <w:lang w:val="en-GB"/>
        </w:rPr>
      </w:pPr>
    </w:p>
    <w:p w14:paraId="555AA541"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6: Discontinuation rules before invasive or surgical procedures for adult patients</w:t>
      </w:r>
    </w:p>
    <w:p w14:paraId="11828C5A"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688"/>
        <w:gridCol w:w="1978"/>
        <w:gridCol w:w="3000"/>
        <w:gridCol w:w="2962"/>
      </w:tblGrid>
      <w:tr w:rsidR="00E607F1" w:rsidRPr="00D476B2" w14:paraId="57070F87" w14:textId="77777777" w:rsidTr="004A5906">
        <w:trPr>
          <w:trHeight w:val="57"/>
          <w:jc w:val="center"/>
        </w:trPr>
        <w:tc>
          <w:tcPr>
            <w:tcW w:w="877" w:type="pct"/>
            <w:vMerge w:val="restart"/>
            <w:tcBorders>
              <w:top w:val="single" w:sz="4" w:space="0" w:color="auto"/>
              <w:left w:val="single" w:sz="4" w:space="0" w:color="auto"/>
              <w:bottom w:val="nil"/>
              <w:right w:val="nil"/>
            </w:tcBorders>
            <w:hideMark/>
          </w:tcPr>
          <w:p w14:paraId="584F1516" w14:textId="77777777" w:rsidR="00E607F1" w:rsidRPr="00B55C24" w:rsidRDefault="00E607F1" w:rsidP="004A5906">
            <w:pPr>
              <w:rPr>
                <w:sz w:val="22"/>
                <w:szCs w:val="22"/>
                <w:lang w:val="en-GB"/>
              </w:rPr>
            </w:pPr>
            <w:r w:rsidRPr="00B55C24">
              <w:rPr>
                <w:sz w:val="22"/>
                <w:szCs w:val="22"/>
                <w:lang w:val="en-GB"/>
              </w:rPr>
              <w:t>Renal function (</w:t>
            </w:r>
            <w:proofErr w:type="spellStart"/>
            <w:r w:rsidRPr="00B55C24">
              <w:rPr>
                <w:sz w:val="22"/>
                <w:szCs w:val="22"/>
                <w:lang w:val="en-GB"/>
              </w:rPr>
              <w:t>CrCL</w:t>
            </w:r>
            <w:proofErr w:type="spellEnd"/>
            <w:r w:rsidRPr="00B55C24">
              <w:rPr>
                <w:sz w:val="22"/>
                <w:szCs w:val="22"/>
                <w:lang w:val="en-GB"/>
              </w:rPr>
              <w:t xml:space="preserve"> in mL/min)</w:t>
            </w:r>
          </w:p>
        </w:tc>
        <w:tc>
          <w:tcPr>
            <w:tcW w:w="1027" w:type="pct"/>
            <w:vMerge w:val="restart"/>
            <w:tcBorders>
              <w:top w:val="single" w:sz="4" w:space="0" w:color="auto"/>
              <w:left w:val="single" w:sz="4" w:space="0" w:color="auto"/>
              <w:bottom w:val="nil"/>
              <w:right w:val="nil"/>
            </w:tcBorders>
            <w:hideMark/>
          </w:tcPr>
          <w:p w14:paraId="6CE8D644" w14:textId="77777777" w:rsidR="00E607F1" w:rsidRPr="00B55C24" w:rsidRDefault="00E607F1" w:rsidP="004A5906">
            <w:pPr>
              <w:rPr>
                <w:sz w:val="22"/>
                <w:szCs w:val="22"/>
                <w:lang w:val="en-GB"/>
              </w:rPr>
            </w:pPr>
            <w:r w:rsidRPr="00B55C24">
              <w:rPr>
                <w:sz w:val="22"/>
                <w:szCs w:val="22"/>
                <w:lang w:val="en-GB"/>
              </w:rPr>
              <w:t>Estimated half-life (hours)</w:t>
            </w:r>
          </w:p>
        </w:tc>
        <w:tc>
          <w:tcPr>
            <w:tcW w:w="3096" w:type="pct"/>
            <w:gridSpan w:val="2"/>
            <w:tcBorders>
              <w:top w:val="single" w:sz="4" w:space="0" w:color="auto"/>
              <w:left w:val="single" w:sz="4" w:space="0" w:color="auto"/>
              <w:bottom w:val="nil"/>
              <w:right w:val="single" w:sz="4" w:space="0" w:color="auto"/>
            </w:tcBorders>
            <w:vAlign w:val="bottom"/>
          </w:tcPr>
          <w:p w14:paraId="71F82096" w14:textId="5B336B42" w:rsidR="00E607F1" w:rsidRPr="00B55C24" w:rsidRDefault="00E607F1" w:rsidP="00B55C24">
            <w:pPr>
              <w:rPr>
                <w:sz w:val="22"/>
                <w:szCs w:val="22"/>
                <w:lang w:val="en-GB"/>
              </w:rPr>
            </w:pPr>
            <w:r w:rsidRPr="00B55C24">
              <w:rPr>
                <w:sz w:val="22"/>
                <w:szCs w:val="22"/>
                <w:lang w:val="en-GB"/>
              </w:rPr>
              <w:t xml:space="preserve">Dabigatran </w:t>
            </w:r>
            <w:proofErr w:type="spellStart"/>
            <w:r w:rsidRPr="00B55C24">
              <w:rPr>
                <w:sz w:val="22"/>
                <w:szCs w:val="22"/>
                <w:lang w:val="en-GB"/>
              </w:rPr>
              <w:t>etexilate</w:t>
            </w:r>
            <w:proofErr w:type="spellEnd"/>
            <w:r w:rsidRPr="00B55C24">
              <w:rPr>
                <w:sz w:val="22"/>
                <w:szCs w:val="22"/>
                <w:lang w:val="en-GB"/>
              </w:rPr>
              <w:t xml:space="preserve"> should be stopped before elective surgery</w:t>
            </w:r>
          </w:p>
        </w:tc>
      </w:tr>
      <w:tr w:rsidR="00E607F1" w:rsidRPr="00B55C24" w14:paraId="67432178" w14:textId="77777777" w:rsidTr="004A5906">
        <w:trPr>
          <w:trHeight w:val="57"/>
          <w:jc w:val="center"/>
        </w:trPr>
        <w:tc>
          <w:tcPr>
            <w:tcW w:w="877" w:type="pct"/>
            <w:vMerge/>
            <w:tcBorders>
              <w:top w:val="single" w:sz="4" w:space="0" w:color="auto"/>
              <w:left w:val="single" w:sz="4" w:space="0" w:color="auto"/>
              <w:bottom w:val="nil"/>
              <w:right w:val="nil"/>
            </w:tcBorders>
            <w:vAlign w:val="center"/>
            <w:hideMark/>
          </w:tcPr>
          <w:p w14:paraId="44EBA3C1" w14:textId="77777777" w:rsidR="00E607F1" w:rsidRPr="00B55C24" w:rsidRDefault="00E607F1" w:rsidP="004A5906">
            <w:pPr>
              <w:rPr>
                <w:sz w:val="22"/>
                <w:szCs w:val="22"/>
                <w:lang w:val="en-GB"/>
              </w:rPr>
            </w:pPr>
          </w:p>
        </w:tc>
        <w:tc>
          <w:tcPr>
            <w:tcW w:w="1027" w:type="pct"/>
            <w:vMerge/>
            <w:tcBorders>
              <w:top w:val="single" w:sz="4" w:space="0" w:color="auto"/>
              <w:left w:val="single" w:sz="4" w:space="0" w:color="auto"/>
              <w:bottom w:val="nil"/>
              <w:right w:val="nil"/>
            </w:tcBorders>
            <w:vAlign w:val="center"/>
            <w:hideMark/>
          </w:tcPr>
          <w:p w14:paraId="1EF60AAB" w14:textId="77777777" w:rsidR="00E607F1" w:rsidRPr="00B55C24" w:rsidRDefault="00E607F1" w:rsidP="004A5906">
            <w:pPr>
              <w:rPr>
                <w:sz w:val="22"/>
                <w:szCs w:val="22"/>
                <w:lang w:val="en-GB"/>
              </w:rPr>
            </w:pPr>
          </w:p>
        </w:tc>
        <w:tc>
          <w:tcPr>
            <w:tcW w:w="1558" w:type="pct"/>
            <w:tcBorders>
              <w:top w:val="single" w:sz="4" w:space="0" w:color="auto"/>
              <w:left w:val="single" w:sz="4" w:space="0" w:color="auto"/>
              <w:bottom w:val="nil"/>
              <w:right w:val="nil"/>
            </w:tcBorders>
            <w:vAlign w:val="bottom"/>
            <w:hideMark/>
          </w:tcPr>
          <w:p w14:paraId="6003F6A5" w14:textId="77777777" w:rsidR="00E607F1" w:rsidRPr="00B55C24" w:rsidRDefault="00E607F1" w:rsidP="004A5906">
            <w:pPr>
              <w:rPr>
                <w:sz w:val="22"/>
                <w:szCs w:val="22"/>
                <w:lang w:val="en-GB"/>
              </w:rPr>
            </w:pPr>
            <w:r w:rsidRPr="00B55C24">
              <w:rPr>
                <w:sz w:val="22"/>
                <w:szCs w:val="22"/>
                <w:lang w:val="en-GB"/>
              </w:rPr>
              <w:t>High risk of bleeding or major surgery</w:t>
            </w:r>
          </w:p>
        </w:tc>
        <w:tc>
          <w:tcPr>
            <w:tcW w:w="1537" w:type="pct"/>
            <w:tcBorders>
              <w:top w:val="single" w:sz="4" w:space="0" w:color="auto"/>
              <w:left w:val="single" w:sz="4" w:space="0" w:color="auto"/>
              <w:bottom w:val="nil"/>
              <w:right w:val="single" w:sz="4" w:space="0" w:color="auto"/>
            </w:tcBorders>
            <w:hideMark/>
          </w:tcPr>
          <w:p w14:paraId="1319FE72" w14:textId="77777777" w:rsidR="00E607F1" w:rsidRPr="00B55C24" w:rsidRDefault="00E607F1" w:rsidP="004A5906">
            <w:pPr>
              <w:rPr>
                <w:sz w:val="22"/>
                <w:szCs w:val="22"/>
                <w:lang w:val="en-GB"/>
              </w:rPr>
            </w:pPr>
            <w:r w:rsidRPr="00B55C24">
              <w:rPr>
                <w:sz w:val="22"/>
                <w:szCs w:val="22"/>
                <w:lang w:val="en-GB"/>
              </w:rPr>
              <w:t>Standard risk</w:t>
            </w:r>
          </w:p>
        </w:tc>
      </w:tr>
      <w:tr w:rsidR="00E607F1" w:rsidRPr="00B55C24" w14:paraId="5B68FEE1" w14:textId="77777777" w:rsidTr="004A5906">
        <w:trPr>
          <w:trHeight w:val="57"/>
          <w:jc w:val="center"/>
        </w:trPr>
        <w:tc>
          <w:tcPr>
            <w:tcW w:w="877" w:type="pct"/>
            <w:tcBorders>
              <w:top w:val="single" w:sz="4" w:space="0" w:color="auto"/>
              <w:left w:val="single" w:sz="4" w:space="0" w:color="auto"/>
              <w:bottom w:val="nil"/>
              <w:right w:val="nil"/>
            </w:tcBorders>
            <w:vAlign w:val="bottom"/>
            <w:hideMark/>
          </w:tcPr>
          <w:p w14:paraId="1567F26E" w14:textId="77777777" w:rsidR="00E607F1" w:rsidRPr="00B55C24" w:rsidRDefault="00E607F1" w:rsidP="004A5906">
            <w:pPr>
              <w:rPr>
                <w:sz w:val="22"/>
                <w:szCs w:val="22"/>
                <w:lang w:val="en-GB"/>
              </w:rPr>
            </w:pPr>
            <w:r w:rsidRPr="00B55C24">
              <w:rPr>
                <w:sz w:val="22"/>
                <w:szCs w:val="22"/>
                <w:lang w:val="en-GB"/>
              </w:rPr>
              <w:t>≥ 80</w:t>
            </w:r>
          </w:p>
        </w:tc>
        <w:tc>
          <w:tcPr>
            <w:tcW w:w="1027" w:type="pct"/>
            <w:tcBorders>
              <w:top w:val="single" w:sz="4" w:space="0" w:color="auto"/>
              <w:left w:val="single" w:sz="4" w:space="0" w:color="auto"/>
              <w:bottom w:val="nil"/>
              <w:right w:val="nil"/>
            </w:tcBorders>
            <w:vAlign w:val="bottom"/>
            <w:hideMark/>
          </w:tcPr>
          <w:p w14:paraId="4FCC26C6" w14:textId="77777777" w:rsidR="00E607F1" w:rsidRPr="00B55C24" w:rsidRDefault="00E607F1" w:rsidP="004A5906">
            <w:pPr>
              <w:rPr>
                <w:sz w:val="22"/>
                <w:szCs w:val="22"/>
                <w:lang w:val="en-GB"/>
              </w:rPr>
            </w:pPr>
            <w:r w:rsidRPr="00B55C24">
              <w:rPr>
                <w:sz w:val="22"/>
                <w:szCs w:val="22"/>
                <w:lang w:val="en-GB"/>
              </w:rPr>
              <w:t>~ 13</w:t>
            </w:r>
          </w:p>
        </w:tc>
        <w:tc>
          <w:tcPr>
            <w:tcW w:w="1558" w:type="pct"/>
            <w:tcBorders>
              <w:top w:val="single" w:sz="4" w:space="0" w:color="auto"/>
              <w:left w:val="single" w:sz="4" w:space="0" w:color="auto"/>
              <w:bottom w:val="nil"/>
              <w:right w:val="nil"/>
            </w:tcBorders>
            <w:vAlign w:val="bottom"/>
            <w:hideMark/>
          </w:tcPr>
          <w:p w14:paraId="65F85856" w14:textId="77777777" w:rsidR="00E607F1" w:rsidRPr="00B55C24" w:rsidRDefault="00E607F1" w:rsidP="004A5906">
            <w:pPr>
              <w:rPr>
                <w:sz w:val="22"/>
                <w:szCs w:val="22"/>
                <w:lang w:val="en-GB"/>
              </w:rPr>
            </w:pPr>
            <w:r w:rsidRPr="00B55C24">
              <w:rPr>
                <w:sz w:val="22"/>
                <w:szCs w:val="22"/>
                <w:lang w:val="en-GB"/>
              </w:rPr>
              <w:t>2 days before</w:t>
            </w:r>
          </w:p>
        </w:tc>
        <w:tc>
          <w:tcPr>
            <w:tcW w:w="1537" w:type="pct"/>
            <w:tcBorders>
              <w:top w:val="single" w:sz="4" w:space="0" w:color="auto"/>
              <w:left w:val="single" w:sz="4" w:space="0" w:color="auto"/>
              <w:bottom w:val="nil"/>
              <w:right w:val="single" w:sz="4" w:space="0" w:color="auto"/>
            </w:tcBorders>
            <w:vAlign w:val="bottom"/>
            <w:hideMark/>
          </w:tcPr>
          <w:p w14:paraId="0361D65A" w14:textId="77777777" w:rsidR="00E607F1" w:rsidRPr="00B55C24" w:rsidRDefault="00E607F1" w:rsidP="004A5906">
            <w:pPr>
              <w:rPr>
                <w:sz w:val="22"/>
                <w:szCs w:val="22"/>
                <w:lang w:val="en-GB"/>
              </w:rPr>
            </w:pPr>
            <w:r w:rsidRPr="00B55C24">
              <w:rPr>
                <w:sz w:val="22"/>
                <w:szCs w:val="22"/>
                <w:lang w:val="en-GB"/>
              </w:rPr>
              <w:t>24 hours before</w:t>
            </w:r>
          </w:p>
        </w:tc>
      </w:tr>
      <w:tr w:rsidR="00E607F1" w:rsidRPr="00B55C24" w14:paraId="2B650BE0" w14:textId="77777777" w:rsidTr="004A5906">
        <w:trPr>
          <w:trHeight w:val="57"/>
          <w:jc w:val="center"/>
        </w:trPr>
        <w:tc>
          <w:tcPr>
            <w:tcW w:w="877" w:type="pct"/>
            <w:tcBorders>
              <w:top w:val="single" w:sz="4" w:space="0" w:color="auto"/>
              <w:left w:val="single" w:sz="4" w:space="0" w:color="auto"/>
              <w:bottom w:val="nil"/>
              <w:right w:val="nil"/>
            </w:tcBorders>
            <w:vAlign w:val="bottom"/>
            <w:hideMark/>
          </w:tcPr>
          <w:p w14:paraId="6606E2D1" w14:textId="77777777" w:rsidR="00E607F1" w:rsidRPr="00B55C24" w:rsidRDefault="00E607F1" w:rsidP="004A5906">
            <w:pPr>
              <w:rPr>
                <w:sz w:val="22"/>
                <w:szCs w:val="22"/>
                <w:lang w:val="en-GB"/>
              </w:rPr>
            </w:pPr>
            <w:r w:rsidRPr="00B55C24">
              <w:rPr>
                <w:sz w:val="22"/>
                <w:szCs w:val="22"/>
                <w:lang w:val="en-GB"/>
              </w:rPr>
              <w:t>≥ 50 </w:t>
            </w:r>
            <w:r w:rsidRPr="00B55C24">
              <w:rPr>
                <w:sz w:val="22"/>
                <w:szCs w:val="22"/>
                <w:lang w:val="en-GB"/>
              </w:rPr>
              <w:noBreakHyphen/>
              <w:t> &lt; 80</w:t>
            </w:r>
          </w:p>
        </w:tc>
        <w:tc>
          <w:tcPr>
            <w:tcW w:w="1027" w:type="pct"/>
            <w:tcBorders>
              <w:top w:val="single" w:sz="4" w:space="0" w:color="auto"/>
              <w:left w:val="single" w:sz="4" w:space="0" w:color="auto"/>
              <w:bottom w:val="nil"/>
              <w:right w:val="nil"/>
            </w:tcBorders>
            <w:vAlign w:val="bottom"/>
            <w:hideMark/>
          </w:tcPr>
          <w:p w14:paraId="3138470A" w14:textId="77777777" w:rsidR="00E607F1" w:rsidRPr="00B55C24" w:rsidRDefault="00E607F1" w:rsidP="004A5906">
            <w:pPr>
              <w:rPr>
                <w:sz w:val="22"/>
                <w:szCs w:val="22"/>
                <w:lang w:val="en-GB"/>
              </w:rPr>
            </w:pPr>
            <w:r w:rsidRPr="00B55C24">
              <w:rPr>
                <w:sz w:val="22"/>
                <w:szCs w:val="22"/>
                <w:lang w:val="en-GB"/>
              </w:rPr>
              <w:t>~ 15</w:t>
            </w:r>
          </w:p>
        </w:tc>
        <w:tc>
          <w:tcPr>
            <w:tcW w:w="1558" w:type="pct"/>
            <w:tcBorders>
              <w:top w:val="single" w:sz="4" w:space="0" w:color="auto"/>
              <w:left w:val="single" w:sz="4" w:space="0" w:color="auto"/>
              <w:bottom w:val="nil"/>
              <w:right w:val="nil"/>
            </w:tcBorders>
            <w:vAlign w:val="bottom"/>
            <w:hideMark/>
          </w:tcPr>
          <w:p w14:paraId="570A1FAD" w14:textId="77777777" w:rsidR="00E607F1" w:rsidRPr="00B55C24" w:rsidRDefault="00E607F1" w:rsidP="004A5906">
            <w:pPr>
              <w:rPr>
                <w:sz w:val="22"/>
                <w:szCs w:val="22"/>
                <w:lang w:val="en-GB"/>
              </w:rPr>
            </w:pPr>
            <w:r w:rsidRPr="00B55C24">
              <w:rPr>
                <w:sz w:val="22"/>
                <w:szCs w:val="22"/>
                <w:lang w:val="en-GB"/>
              </w:rPr>
              <w:t>2</w:t>
            </w:r>
            <w:r w:rsidRPr="00B55C24">
              <w:rPr>
                <w:sz w:val="22"/>
                <w:szCs w:val="22"/>
                <w:lang w:val="en-GB"/>
              </w:rPr>
              <w:noBreakHyphen/>
              <w:t>3 days before</w:t>
            </w:r>
          </w:p>
        </w:tc>
        <w:tc>
          <w:tcPr>
            <w:tcW w:w="1537" w:type="pct"/>
            <w:tcBorders>
              <w:top w:val="single" w:sz="4" w:space="0" w:color="auto"/>
              <w:left w:val="single" w:sz="4" w:space="0" w:color="auto"/>
              <w:bottom w:val="nil"/>
              <w:right w:val="single" w:sz="4" w:space="0" w:color="auto"/>
            </w:tcBorders>
            <w:vAlign w:val="bottom"/>
            <w:hideMark/>
          </w:tcPr>
          <w:p w14:paraId="3A6E0FE8" w14:textId="77777777" w:rsidR="00E607F1" w:rsidRPr="00B55C24" w:rsidRDefault="00E607F1" w:rsidP="004A5906">
            <w:pPr>
              <w:rPr>
                <w:sz w:val="22"/>
                <w:szCs w:val="22"/>
                <w:lang w:val="en-GB"/>
              </w:rPr>
            </w:pPr>
            <w:r w:rsidRPr="00B55C24">
              <w:rPr>
                <w:sz w:val="22"/>
                <w:szCs w:val="22"/>
                <w:lang w:val="en-GB"/>
              </w:rPr>
              <w:t>1</w:t>
            </w:r>
            <w:r w:rsidRPr="00B55C24">
              <w:rPr>
                <w:sz w:val="22"/>
                <w:szCs w:val="22"/>
                <w:lang w:val="en-GB"/>
              </w:rPr>
              <w:noBreakHyphen/>
              <w:t>2 days before</w:t>
            </w:r>
          </w:p>
        </w:tc>
      </w:tr>
      <w:tr w:rsidR="00E607F1" w:rsidRPr="00B55C24" w14:paraId="789B4740" w14:textId="77777777" w:rsidTr="004A5906">
        <w:trPr>
          <w:trHeight w:val="57"/>
          <w:jc w:val="center"/>
        </w:trPr>
        <w:tc>
          <w:tcPr>
            <w:tcW w:w="877" w:type="pct"/>
            <w:tcBorders>
              <w:top w:val="single" w:sz="4" w:space="0" w:color="auto"/>
              <w:left w:val="single" w:sz="4" w:space="0" w:color="auto"/>
              <w:bottom w:val="single" w:sz="4" w:space="0" w:color="auto"/>
              <w:right w:val="nil"/>
            </w:tcBorders>
            <w:vAlign w:val="bottom"/>
            <w:hideMark/>
          </w:tcPr>
          <w:p w14:paraId="5E856CFC" w14:textId="77777777" w:rsidR="00E607F1" w:rsidRPr="00B55C24" w:rsidRDefault="00E607F1" w:rsidP="004A5906">
            <w:pPr>
              <w:rPr>
                <w:sz w:val="22"/>
                <w:szCs w:val="22"/>
                <w:lang w:val="en-GB"/>
              </w:rPr>
            </w:pPr>
            <w:r w:rsidRPr="00B55C24">
              <w:rPr>
                <w:sz w:val="22"/>
                <w:szCs w:val="22"/>
                <w:lang w:val="en-GB"/>
              </w:rPr>
              <w:t>≥ 30 </w:t>
            </w:r>
            <w:r w:rsidRPr="00B55C24">
              <w:rPr>
                <w:sz w:val="22"/>
                <w:szCs w:val="22"/>
                <w:lang w:val="en-GB"/>
              </w:rPr>
              <w:noBreakHyphen/>
              <w:t> &lt; 50</w:t>
            </w:r>
          </w:p>
        </w:tc>
        <w:tc>
          <w:tcPr>
            <w:tcW w:w="1027" w:type="pct"/>
            <w:tcBorders>
              <w:top w:val="single" w:sz="4" w:space="0" w:color="auto"/>
              <w:left w:val="single" w:sz="4" w:space="0" w:color="auto"/>
              <w:bottom w:val="single" w:sz="4" w:space="0" w:color="auto"/>
              <w:right w:val="nil"/>
            </w:tcBorders>
            <w:vAlign w:val="bottom"/>
            <w:hideMark/>
          </w:tcPr>
          <w:p w14:paraId="3FB2ECDE" w14:textId="77777777" w:rsidR="00E607F1" w:rsidRPr="00B55C24" w:rsidRDefault="00E607F1" w:rsidP="004A5906">
            <w:pPr>
              <w:rPr>
                <w:sz w:val="22"/>
                <w:szCs w:val="22"/>
                <w:lang w:val="en-GB"/>
              </w:rPr>
            </w:pPr>
            <w:r w:rsidRPr="00B55C24">
              <w:rPr>
                <w:sz w:val="22"/>
                <w:szCs w:val="22"/>
                <w:lang w:val="en-GB"/>
              </w:rPr>
              <w:t>~ 18</w:t>
            </w:r>
          </w:p>
        </w:tc>
        <w:tc>
          <w:tcPr>
            <w:tcW w:w="1558" w:type="pct"/>
            <w:tcBorders>
              <w:top w:val="single" w:sz="4" w:space="0" w:color="auto"/>
              <w:left w:val="single" w:sz="4" w:space="0" w:color="auto"/>
              <w:bottom w:val="single" w:sz="4" w:space="0" w:color="auto"/>
              <w:right w:val="nil"/>
            </w:tcBorders>
            <w:vAlign w:val="bottom"/>
            <w:hideMark/>
          </w:tcPr>
          <w:p w14:paraId="4E35DB03" w14:textId="77777777" w:rsidR="00E607F1" w:rsidRPr="00B55C24" w:rsidRDefault="00E607F1" w:rsidP="004A5906">
            <w:pPr>
              <w:rPr>
                <w:sz w:val="22"/>
                <w:szCs w:val="22"/>
                <w:lang w:val="en-GB"/>
              </w:rPr>
            </w:pPr>
            <w:r w:rsidRPr="00B55C24">
              <w:rPr>
                <w:sz w:val="22"/>
                <w:szCs w:val="22"/>
                <w:lang w:val="en-GB"/>
              </w:rPr>
              <w:t>4 days before</w:t>
            </w:r>
          </w:p>
        </w:tc>
        <w:tc>
          <w:tcPr>
            <w:tcW w:w="1537" w:type="pct"/>
            <w:tcBorders>
              <w:top w:val="single" w:sz="4" w:space="0" w:color="auto"/>
              <w:left w:val="single" w:sz="4" w:space="0" w:color="auto"/>
              <w:bottom w:val="single" w:sz="4" w:space="0" w:color="auto"/>
              <w:right w:val="single" w:sz="4" w:space="0" w:color="auto"/>
            </w:tcBorders>
            <w:vAlign w:val="bottom"/>
            <w:hideMark/>
          </w:tcPr>
          <w:p w14:paraId="031FDE2E" w14:textId="77777777" w:rsidR="00E607F1" w:rsidRPr="00B55C24" w:rsidRDefault="00E607F1" w:rsidP="004A5906">
            <w:pPr>
              <w:rPr>
                <w:sz w:val="22"/>
                <w:szCs w:val="22"/>
                <w:lang w:val="en-GB"/>
              </w:rPr>
            </w:pPr>
            <w:r w:rsidRPr="00B55C24">
              <w:rPr>
                <w:sz w:val="22"/>
                <w:szCs w:val="22"/>
                <w:lang w:val="en-GB"/>
              </w:rPr>
              <w:t>2</w:t>
            </w:r>
            <w:r w:rsidRPr="00B55C24">
              <w:rPr>
                <w:sz w:val="22"/>
                <w:szCs w:val="22"/>
                <w:lang w:val="en-GB"/>
              </w:rPr>
              <w:noBreakHyphen/>
              <w:t>3 days before (&gt; 48 hours)</w:t>
            </w:r>
          </w:p>
        </w:tc>
      </w:tr>
    </w:tbl>
    <w:p w14:paraId="78095976" w14:textId="77777777" w:rsidR="00E607F1" w:rsidRPr="00B55C24" w:rsidRDefault="00E607F1" w:rsidP="00E607F1">
      <w:pPr>
        <w:tabs>
          <w:tab w:val="left" w:pos="851"/>
        </w:tabs>
        <w:ind w:left="851"/>
        <w:rPr>
          <w:sz w:val="24"/>
          <w:szCs w:val="24"/>
          <w:lang w:val="en-GB"/>
        </w:rPr>
      </w:pPr>
    </w:p>
    <w:p w14:paraId="19B9F456" w14:textId="77777777" w:rsidR="00E607F1" w:rsidRPr="00B55C24" w:rsidRDefault="00E607F1" w:rsidP="004A5906">
      <w:pPr>
        <w:ind w:left="851"/>
        <w:rPr>
          <w:sz w:val="24"/>
          <w:szCs w:val="24"/>
          <w:lang w:val="en-GB"/>
        </w:rPr>
      </w:pPr>
      <w:r w:rsidRPr="00B55C24">
        <w:rPr>
          <w:sz w:val="24"/>
          <w:szCs w:val="24"/>
          <w:lang w:val="en-GB"/>
        </w:rPr>
        <w:t>Discontinuation rules before invasive or surgical procedures for paediatric patients are summarised in table 7.</w:t>
      </w:r>
    </w:p>
    <w:p w14:paraId="0DDF5373" w14:textId="77777777" w:rsidR="00E607F1" w:rsidRPr="00B55C24" w:rsidRDefault="00E607F1" w:rsidP="00E607F1">
      <w:pPr>
        <w:tabs>
          <w:tab w:val="left" w:pos="851"/>
        </w:tabs>
        <w:ind w:left="851"/>
        <w:rPr>
          <w:sz w:val="24"/>
          <w:szCs w:val="24"/>
          <w:lang w:val="en-GB"/>
        </w:rPr>
      </w:pPr>
    </w:p>
    <w:p w14:paraId="4B910BD6"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7: Discontinuation rules before invasive or surgical procedures for paediatric patients</w:t>
      </w:r>
    </w:p>
    <w:p w14:paraId="167FFF44"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634"/>
        <w:gridCol w:w="5994"/>
      </w:tblGrid>
      <w:tr w:rsidR="00E607F1" w:rsidRPr="00D476B2" w14:paraId="1906B07A" w14:textId="77777777" w:rsidTr="004A5906">
        <w:trPr>
          <w:trHeight w:val="57"/>
          <w:jc w:val="center"/>
        </w:trPr>
        <w:tc>
          <w:tcPr>
            <w:tcW w:w="1887" w:type="pct"/>
            <w:tcBorders>
              <w:top w:val="single" w:sz="4" w:space="0" w:color="auto"/>
              <w:left w:val="single" w:sz="4" w:space="0" w:color="auto"/>
              <w:bottom w:val="nil"/>
              <w:right w:val="nil"/>
            </w:tcBorders>
            <w:vAlign w:val="bottom"/>
            <w:hideMark/>
          </w:tcPr>
          <w:p w14:paraId="4770841B" w14:textId="77777777" w:rsidR="00E607F1" w:rsidRPr="00AB7D1F" w:rsidRDefault="00E607F1" w:rsidP="004A5906">
            <w:pPr>
              <w:rPr>
                <w:sz w:val="22"/>
                <w:szCs w:val="22"/>
                <w:lang w:val="en-GB"/>
              </w:rPr>
            </w:pPr>
            <w:r w:rsidRPr="00AB7D1F">
              <w:rPr>
                <w:sz w:val="22"/>
                <w:szCs w:val="22"/>
                <w:lang w:val="en-GB"/>
              </w:rPr>
              <w:t xml:space="preserve">Renal function </w:t>
            </w:r>
            <w:r w:rsidRPr="00AB7D1F">
              <w:rPr>
                <w:sz w:val="22"/>
                <w:szCs w:val="22"/>
                <w:lang w:val="en-GB"/>
              </w:rPr>
              <w:br/>
              <w:t>(eGFR in mL/min/1.73 m</w:t>
            </w:r>
            <w:r w:rsidRPr="00AB7D1F">
              <w:rPr>
                <w:sz w:val="22"/>
                <w:szCs w:val="22"/>
                <w:vertAlign w:val="superscript"/>
                <w:lang w:val="en-GB"/>
              </w:rPr>
              <w:t>2</w:t>
            </w:r>
            <w:r w:rsidRPr="00AB7D1F">
              <w:rPr>
                <w:sz w:val="22"/>
                <w:szCs w:val="22"/>
                <w:lang w:val="en-GB"/>
              </w:rPr>
              <w:t>)</w:t>
            </w:r>
          </w:p>
        </w:tc>
        <w:tc>
          <w:tcPr>
            <w:tcW w:w="3113" w:type="pct"/>
            <w:tcBorders>
              <w:top w:val="single" w:sz="4" w:space="0" w:color="auto"/>
              <w:left w:val="single" w:sz="4" w:space="0" w:color="auto"/>
              <w:bottom w:val="nil"/>
              <w:right w:val="single" w:sz="4" w:space="0" w:color="auto"/>
            </w:tcBorders>
            <w:hideMark/>
          </w:tcPr>
          <w:p w14:paraId="4288E6AF" w14:textId="77777777" w:rsidR="00E607F1" w:rsidRPr="00AB7D1F" w:rsidRDefault="00E607F1" w:rsidP="004A5906">
            <w:pPr>
              <w:rPr>
                <w:sz w:val="22"/>
                <w:szCs w:val="22"/>
                <w:lang w:val="en-GB"/>
              </w:rPr>
            </w:pPr>
            <w:r w:rsidRPr="00AB7D1F">
              <w:rPr>
                <w:sz w:val="22"/>
                <w:szCs w:val="22"/>
                <w:lang w:val="en-GB"/>
              </w:rPr>
              <w:t>Stop dabigatran before elective surgery</w:t>
            </w:r>
          </w:p>
        </w:tc>
      </w:tr>
      <w:tr w:rsidR="00E607F1" w:rsidRPr="00AB7D1F" w14:paraId="1AB22B6E" w14:textId="77777777" w:rsidTr="004A5906">
        <w:trPr>
          <w:trHeight w:val="57"/>
          <w:jc w:val="center"/>
        </w:trPr>
        <w:tc>
          <w:tcPr>
            <w:tcW w:w="1887" w:type="pct"/>
            <w:tcBorders>
              <w:top w:val="single" w:sz="4" w:space="0" w:color="auto"/>
              <w:left w:val="single" w:sz="4" w:space="0" w:color="auto"/>
              <w:bottom w:val="nil"/>
              <w:right w:val="nil"/>
            </w:tcBorders>
            <w:vAlign w:val="bottom"/>
            <w:hideMark/>
          </w:tcPr>
          <w:p w14:paraId="30ACF730" w14:textId="77777777" w:rsidR="00E607F1" w:rsidRPr="00AB7D1F" w:rsidRDefault="00E607F1" w:rsidP="004A5906">
            <w:pPr>
              <w:rPr>
                <w:sz w:val="22"/>
                <w:szCs w:val="22"/>
                <w:lang w:val="en-GB"/>
              </w:rPr>
            </w:pPr>
            <w:r w:rsidRPr="00AB7D1F">
              <w:rPr>
                <w:sz w:val="22"/>
                <w:szCs w:val="22"/>
                <w:lang w:val="en-GB"/>
              </w:rPr>
              <w:t>&gt; 80</w:t>
            </w:r>
          </w:p>
        </w:tc>
        <w:tc>
          <w:tcPr>
            <w:tcW w:w="3113" w:type="pct"/>
            <w:tcBorders>
              <w:top w:val="single" w:sz="4" w:space="0" w:color="auto"/>
              <w:left w:val="single" w:sz="4" w:space="0" w:color="auto"/>
              <w:bottom w:val="nil"/>
              <w:right w:val="single" w:sz="4" w:space="0" w:color="auto"/>
            </w:tcBorders>
            <w:vAlign w:val="bottom"/>
            <w:hideMark/>
          </w:tcPr>
          <w:p w14:paraId="7693AF1F" w14:textId="77777777" w:rsidR="00E607F1" w:rsidRPr="00AB7D1F" w:rsidRDefault="00E607F1" w:rsidP="004A5906">
            <w:pPr>
              <w:rPr>
                <w:sz w:val="22"/>
                <w:szCs w:val="22"/>
                <w:lang w:val="en-GB"/>
              </w:rPr>
            </w:pPr>
            <w:r w:rsidRPr="00AB7D1F">
              <w:rPr>
                <w:sz w:val="22"/>
                <w:szCs w:val="22"/>
                <w:lang w:val="en-GB"/>
              </w:rPr>
              <w:t>24 hours before</w:t>
            </w:r>
          </w:p>
        </w:tc>
      </w:tr>
      <w:tr w:rsidR="00E607F1" w:rsidRPr="00AB7D1F" w14:paraId="66423488" w14:textId="77777777" w:rsidTr="004A5906">
        <w:trPr>
          <w:trHeight w:val="57"/>
          <w:jc w:val="center"/>
        </w:trPr>
        <w:tc>
          <w:tcPr>
            <w:tcW w:w="1887" w:type="pct"/>
            <w:tcBorders>
              <w:top w:val="single" w:sz="4" w:space="0" w:color="auto"/>
              <w:left w:val="single" w:sz="4" w:space="0" w:color="auto"/>
              <w:bottom w:val="nil"/>
              <w:right w:val="nil"/>
            </w:tcBorders>
            <w:vAlign w:val="bottom"/>
            <w:hideMark/>
          </w:tcPr>
          <w:p w14:paraId="4038D57B" w14:textId="77777777" w:rsidR="00E607F1" w:rsidRPr="00AB7D1F" w:rsidRDefault="00E607F1" w:rsidP="004A5906">
            <w:pPr>
              <w:rPr>
                <w:sz w:val="22"/>
                <w:szCs w:val="22"/>
                <w:lang w:val="en-GB"/>
              </w:rPr>
            </w:pPr>
            <w:r w:rsidRPr="00AB7D1F">
              <w:rPr>
                <w:sz w:val="22"/>
                <w:szCs w:val="22"/>
                <w:lang w:val="en-GB"/>
              </w:rPr>
              <w:t xml:space="preserve">50 </w:t>
            </w:r>
            <w:r w:rsidRPr="00AB7D1F">
              <w:rPr>
                <w:sz w:val="22"/>
                <w:szCs w:val="22"/>
                <w:lang w:val="en-GB"/>
              </w:rPr>
              <w:noBreakHyphen/>
              <w:t xml:space="preserve"> 80</w:t>
            </w:r>
          </w:p>
        </w:tc>
        <w:tc>
          <w:tcPr>
            <w:tcW w:w="3113" w:type="pct"/>
            <w:tcBorders>
              <w:top w:val="single" w:sz="4" w:space="0" w:color="auto"/>
              <w:left w:val="single" w:sz="4" w:space="0" w:color="auto"/>
              <w:bottom w:val="nil"/>
              <w:right w:val="single" w:sz="4" w:space="0" w:color="auto"/>
            </w:tcBorders>
            <w:vAlign w:val="bottom"/>
            <w:hideMark/>
          </w:tcPr>
          <w:p w14:paraId="5F62A433" w14:textId="77777777" w:rsidR="00E607F1" w:rsidRPr="00AB7D1F" w:rsidRDefault="00E607F1" w:rsidP="004A5906">
            <w:pPr>
              <w:rPr>
                <w:sz w:val="22"/>
                <w:szCs w:val="22"/>
                <w:lang w:val="en-GB"/>
              </w:rPr>
            </w:pPr>
            <w:r w:rsidRPr="00AB7D1F">
              <w:rPr>
                <w:sz w:val="22"/>
                <w:szCs w:val="22"/>
                <w:lang w:val="en-GB"/>
              </w:rPr>
              <w:t>2 days before</w:t>
            </w:r>
          </w:p>
        </w:tc>
      </w:tr>
      <w:tr w:rsidR="00E607F1" w:rsidRPr="00D476B2" w14:paraId="5F39E3E5" w14:textId="77777777" w:rsidTr="004A5906">
        <w:trPr>
          <w:trHeight w:val="57"/>
          <w:jc w:val="center"/>
        </w:trPr>
        <w:tc>
          <w:tcPr>
            <w:tcW w:w="1887" w:type="pct"/>
            <w:tcBorders>
              <w:top w:val="single" w:sz="4" w:space="0" w:color="auto"/>
              <w:left w:val="single" w:sz="4" w:space="0" w:color="auto"/>
              <w:bottom w:val="single" w:sz="4" w:space="0" w:color="auto"/>
              <w:right w:val="nil"/>
            </w:tcBorders>
            <w:vAlign w:val="bottom"/>
            <w:hideMark/>
          </w:tcPr>
          <w:p w14:paraId="14E636DA" w14:textId="77777777" w:rsidR="00E607F1" w:rsidRPr="00AB7D1F" w:rsidRDefault="00E607F1" w:rsidP="004A5906">
            <w:pPr>
              <w:rPr>
                <w:sz w:val="22"/>
                <w:szCs w:val="22"/>
                <w:lang w:val="en-GB"/>
              </w:rPr>
            </w:pPr>
            <w:r w:rsidRPr="00AB7D1F">
              <w:rPr>
                <w:sz w:val="22"/>
                <w:szCs w:val="22"/>
                <w:lang w:val="en-GB"/>
              </w:rPr>
              <w:t>&lt; 50</w:t>
            </w:r>
          </w:p>
        </w:tc>
        <w:tc>
          <w:tcPr>
            <w:tcW w:w="3113" w:type="pct"/>
            <w:tcBorders>
              <w:top w:val="single" w:sz="4" w:space="0" w:color="auto"/>
              <w:left w:val="single" w:sz="4" w:space="0" w:color="auto"/>
              <w:bottom w:val="single" w:sz="4" w:space="0" w:color="auto"/>
              <w:right w:val="single" w:sz="4" w:space="0" w:color="auto"/>
            </w:tcBorders>
            <w:vAlign w:val="bottom"/>
            <w:hideMark/>
          </w:tcPr>
          <w:p w14:paraId="5ED2FCD2" w14:textId="77777777" w:rsidR="00E607F1" w:rsidRPr="00AB7D1F" w:rsidRDefault="00E607F1" w:rsidP="004A5906">
            <w:pPr>
              <w:rPr>
                <w:sz w:val="22"/>
                <w:szCs w:val="22"/>
                <w:lang w:val="en-GB"/>
              </w:rPr>
            </w:pPr>
            <w:r w:rsidRPr="00AB7D1F">
              <w:rPr>
                <w:sz w:val="22"/>
                <w:szCs w:val="22"/>
                <w:lang w:val="en-GB"/>
              </w:rPr>
              <w:t>These patients have not been studied (see section 4.3).</w:t>
            </w:r>
          </w:p>
        </w:tc>
      </w:tr>
    </w:tbl>
    <w:p w14:paraId="4AE8BFB4" w14:textId="77777777" w:rsidR="00E607F1" w:rsidRPr="00B55C24" w:rsidRDefault="00E607F1" w:rsidP="00E607F1">
      <w:pPr>
        <w:tabs>
          <w:tab w:val="left" w:pos="851"/>
        </w:tabs>
        <w:ind w:left="851"/>
        <w:rPr>
          <w:sz w:val="24"/>
          <w:szCs w:val="24"/>
          <w:lang w:val="en-GB"/>
        </w:rPr>
      </w:pPr>
    </w:p>
    <w:p w14:paraId="5E0F2B5D" w14:textId="77777777" w:rsidR="00E607F1" w:rsidRPr="00AB7D1F" w:rsidRDefault="00E607F1" w:rsidP="004A5906">
      <w:pPr>
        <w:ind w:left="851"/>
        <w:rPr>
          <w:i/>
          <w:iCs/>
          <w:sz w:val="24"/>
          <w:szCs w:val="24"/>
          <w:u w:val="single"/>
          <w:lang w:val="en-GB"/>
        </w:rPr>
      </w:pPr>
      <w:r w:rsidRPr="00AB7D1F">
        <w:rPr>
          <w:i/>
          <w:iCs/>
          <w:sz w:val="24"/>
          <w:szCs w:val="24"/>
          <w:u w:val="single"/>
          <w:lang w:val="en-GB"/>
        </w:rPr>
        <w:t>Spinal anaesthesia/epidural anaesthesia/lumbar puncture</w:t>
      </w:r>
    </w:p>
    <w:p w14:paraId="06FF79DD" w14:textId="77777777" w:rsidR="00E607F1" w:rsidRPr="00B55C24" w:rsidRDefault="00E607F1" w:rsidP="004A5906">
      <w:pPr>
        <w:ind w:left="851"/>
        <w:rPr>
          <w:sz w:val="24"/>
          <w:szCs w:val="24"/>
          <w:lang w:val="en-GB"/>
        </w:rPr>
      </w:pPr>
    </w:p>
    <w:p w14:paraId="11F2B60E" w14:textId="77777777" w:rsidR="00E607F1" w:rsidRPr="00B55C24" w:rsidRDefault="00E607F1" w:rsidP="004A5906">
      <w:pPr>
        <w:ind w:left="851"/>
        <w:rPr>
          <w:sz w:val="24"/>
          <w:szCs w:val="24"/>
          <w:lang w:val="en-GB"/>
        </w:rPr>
      </w:pPr>
      <w:r w:rsidRPr="00B55C24">
        <w:rPr>
          <w:sz w:val="24"/>
          <w:szCs w:val="24"/>
          <w:lang w:val="en-GB"/>
        </w:rPr>
        <w:t>Procedures such as spinal anaesthesia may require complete haemostatic function.</w:t>
      </w:r>
    </w:p>
    <w:p w14:paraId="273EF55A" w14:textId="61AEF85D" w:rsidR="00E607F1" w:rsidRPr="00B55C24" w:rsidRDefault="00E607F1" w:rsidP="004A5906">
      <w:pPr>
        <w:ind w:left="851"/>
        <w:rPr>
          <w:sz w:val="24"/>
          <w:szCs w:val="24"/>
          <w:lang w:val="en-GB"/>
        </w:rPr>
      </w:pPr>
      <w:r w:rsidRPr="00B55C24">
        <w:rPr>
          <w:sz w:val="24"/>
          <w:szCs w:val="24"/>
          <w:lang w:val="en-GB"/>
        </w:rPr>
        <w:t xml:space="preserve">The risk of spinal or epidural haematoma may be increased in cases of traumatic or repeated puncture and by the prolonged use of epidural catheters. After removal of a catheter, an interval of at least 2 hours should elapse before the administration of the first dose of dabigatran </w:t>
      </w:r>
      <w:proofErr w:type="spellStart"/>
      <w:r w:rsidRPr="00B55C24">
        <w:rPr>
          <w:sz w:val="24"/>
          <w:szCs w:val="24"/>
          <w:lang w:val="en-GB"/>
        </w:rPr>
        <w:t>etexilate</w:t>
      </w:r>
      <w:proofErr w:type="spellEnd"/>
      <w:r w:rsidRPr="00B55C24">
        <w:rPr>
          <w:sz w:val="24"/>
          <w:szCs w:val="24"/>
          <w:lang w:val="en-GB"/>
        </w:rPr>
        <w:t>. These patients require frequent observation for neurological signs and symptoms of spinal or epidural haematoma.</w:t>
      </w:r>
    </w:p>
    <w:p w14:paraId="3557555D" w14:textId="77777777" w:rsidR="00E607F1" w:rsidRPr="00B55C24" w:rsidRDefault="00E607F1" w:rsidP="004A5906">
      <w:pPr>
        <w:ind w:left="851"/>
        <w:rPr>
          <w:sz w:val="24"/>
          <w:szCs w:val="24"/>
          <w:lang w:val="en-GB"/>
        </w:rPr>
      </w:pPr>
    </w:p>
    <w:p w14:paraId="72729830" w14:textId="77777777" w:rsidR="00E607F1" w:rsidRPr="00AB7D1F" w:rsidRDefault="00E607F1" w:rsidP="004A5906">
      <w:pPr>
        <w:ind w:left="851"/>
        <w:rPr>
          <w:i/>
          <w:iCs/>
          <w:sz w:val="24"/>
          <w:szCs w:val="24"/>
          <w:u w:val="single"/>
          <w:lang w:val="en-GB"/>
        </w:rPr>
      </w:pPr>
      <w:r w:rsidRPr="00AB7D1F">
        <w:rPr>
          <w:i/>
          <w:iCs/>
          <w:sz w:val="24"/>
          <w:szCs w:val="24"/>
          <w:u w:val="single"/>
          <w:lang w:val="en-GB"/>
        </w:rPr>
        <w:t>Postoperative phase</w:t>
      </w:r>
    </w:p>
    <w:p w14:paraId="31456D9D" w14:textId="77777777" w:rsidR="00E607F1" w:rsidRPr="00B55C24" w:rsidRDefault="00E607F1" w:rsidP="004A5906">
      <w:pPr>
        <w:ind w:left="851"/>
        <w:rPr>
          <w:sz w:val="24"/>
          <w:szCs w:val="24"/>
          <w:lang w:val="en-GB"/>
        </w:rPr>
      </w:pPr>
    </w:p>
    <w:p w14:paraId="4F8AE365"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treatment should be resumed / started after the invasive procedure or surgical intervention as soon as possible provided the clinical situation allows and adequate haemostasis has been established.</w:t>
      </w:r>
    </w:p>
    <w:p w14:paraId="1E427ED9" w14:textId="77777777" w:rsidR="00E607F1" w:rsidRPr="00B55C24" w:rsidRDefault="00E607F1" w:rsidP="004A5906">
      <w:pPr>
        <w:ind w:left="851"/>
        <w:rPr>
          <w:sz w:val="24"/>
          <w:szCs w:val="24"/>
          <w:lang w:val="en-GB"/>
        </w:rPr>
      </w:pPr>
    </w:p>
    <w:p w14:paraId="7809068C" w14:textId="77777777" w:rsidR="00E607F1" w:rsidRPr="00B55C24" w:rsidRDefault="00E607F1" w:rsidP="004A5906">
      <w:pPr>
        <w:ind w:left="851"/>
        <w:rPr>
          <w:sz w:val="24"/>
          <w:szCs w:val="24"/>
          <w:lang w:val="en-GB"/>
        </w:rPr>
      </w:pPr>
      <w:r w:rsidRPr="00B55C24">
        <w:rPr>
          <w:sz w:val="24"/>
          <w:szCs w:val="24"/>
          <w:lang w:val="en-GB"/>
        </w:rPr>
        <w:t>Patients at risk for bleeding or patients at risk of overexposure, notably patients with reduced renal function (see also table 4), should be treated with caution (see sections 4.4 and 5.1).</w:t>
      </w:r>
    </w:p>
    <w:p w14:paraId="0D4D2026" w14:textId="77777777" w:rsidR="00E607F1" w:rsidRPr="00B55C24" w:rsidRDefault="00E607F1" w:rsidP="004A5906">
      <w:pPr>
        <w:ind w:left="851"/>
        <w:rPr>
          <w:sz w:val="24"/>
          <w:szCs w:val="24"/>
          <w:lang w:val="en-GB"/>
        </w:rPr>
      </w:pPr>
    </w:p>
    <w:p w14:paraId="62D70BDF" w14:textId="77777777" w:rsidR="00E607F1" w:rsidRPr="00AB7D1F" w:rsidRDefault="00E607F1" w:rsidP="004A5906">
      <w:pPr>
        <w:ind w:left="851"/>
        <w:rPr>
          <w:sz w:val="24"/>
          <w:szCs w:val="24"/>
          <w:u w:val="single"/>
          <w:lang w:val="en-GB"/>
        </w:rPr>
      </w:pPr>
      <w:r w:rsidRPr="00AB7D1F">
        <w:rPr>
          <w:sz w:val="24"/>
          <w:szCs w:val="24"/>
          <w:u w:val="single"/>
          <w:lang w:val="en-GB"/>
        </w:rPr>
        <w:t>Patients at high surgical mortality risk and with intrinsic risk factors for thromboembolic events</w:t>
      </w:r>
    </w:p>
    <w:p w14:paraId="6EEF6172" w14:textId="77777777" w:rsidR="00E607F1" w:rsidRPr="00B55C24" w:rsidRDefault="00E607F1" w:rsidP="004A5906">
      <w:pPr>
        <w:ind w:left="851"/>
        <w:rPr>
          <w:sz w:val="24"/>
          <w:szCs w:val="24"/>
          <w:lang w:val="en-GB"/>
        </w:rPr>
      </w:pPr>
    </w:p>
    <w:p w14:paraId="707A40C8" w14:textId="77777777" w:rsidR="00E607F1" w:rsidRPr="00B55C24" w:rsidRDefault="00E607F1" w:rsidP="004A5906">
      <w:pPr>
        <w:ind w:left="851"/>
        <w:rPr>
          <w:sz w:val="24"/>
          <w:szCs w:val="24"/>
          <w:lang w:val="en-GB"/>
        </w:rPr>
      </w:pPr>
      <w:r w:rsidRPr="00B55C24">
        <w:rPr>
          <w:sz w:val="24"/>
          <w:szCs w:val="24"/>
          <w:lang w:val="en-GB"/>
        </w:rPr>
        <w:t xml:space="preserve">There are limited efficacy and safety data for dabigatran </w:t>
      </w:r>
      <w:proofErr w:type="spellStart"/>
      <w:r w:rsidRPr="00B55C24">
        <w:rPr>
          <w:sz w:val="24"/>
          <w:szCs w:val="24"/>
          <w:lang w:val="en-GB"/>
        </w:rPr>
        <w:t>etexilate</w:t>
      </w:r>
      <w:proofErr w:type="spellEnd"/>
      <w:r w:rsidRPr="00B55C24">
        <w:rPr>
          <w:sz w:val="24"/>
          <w:szCs w:val="24"/>
          <w:lang w:val="en-GB"/>
        </w:rPr>
        <w:t xml:space="preserve"> available in these patients and therefore they should be treated with caution.</w:t>
      </w:r>
    </w:p>
    <w:p w14:paraId="1D1427ED" w14:textId="77777777" w:rsidR="00E607F1" w:rsidRPr="00B55C24" w:rsidRDefault="00E607F1" w:rsidP="004A5906">
      <w:pPr>
        <w:ind w:left="851"/>
        <w:rPr>
          <w:sz w:val="24"/>
          <w:szCs w:val="24"/>
          <w:lang w:val="en-GB"/>
        </w:rPr>
      </w:pPr>
    </w:p>
    <w:p w14:paraId="294C7EE6" w14:textId="77777777" w:rsidR="00E607F1" w:rsidRPr="00AB7D1F" w:rsidRDefault="00E607F1" w:rsidP="004A5906">
      <w:pPr>
        <w:ind w:left="851"/>
        <w:rPr>
          <w:sz w:val="24"/>
          <w:szCs w:val="24"/>
          <w:u w:val="single"/>
          <w:lang w:val="en-GB"/>
        </w:rPr>
      </w:pPr>
      <w:r w:rsidRPr="00AB7D1F">
        <w:rPr>
          <w:sz w:val="24"/>
          <w:szCs w:val="24"/>
          <w:u w:val="single"/>
          <w:lang w:val="en-GB"/>
        </w:rPr>
        <w:t>Hepatic impairment</w:t>
      </w:r>
    </w:p>
    <w:p w14:paraId="76AD0230" w14:textId="77777777" w:rsidR="00E607F1" w:rsidRPr="00B55C24" w:rsidRDefault="00E607F1" w:rsidP="004A5906">
      <w:pPr>
        <w:ind w:left="851"/>
        <w:rPr>
          <w:sz w:val="24"/>
          <w:szCs w:val="24"/>
          <w:lang w:val="en-GB"/>
        </w:rPr>
      </w:pPr>
    </w:p>
    <w:p w14:paraId="6639D3F6" w14:textId="77777777" w:rsidR="00E607F1" w:rsidRPr="00B55C24" w:rsidRDefault="00E607F1" w:rsidP="004A5906">
      <w:pPr>
        <w:ind w:left="851"/>
        <w:rPr>
          <w:sz w:val="24"/>
          <w:szCs w:val="24"/>
          <w:lang w:val="en-GB"/>
        </w:rPr>
      </w:pPr>
      <w:r w:rsidRPr="00B55C24">
        <w:rPr>
          <w:sz w:val="24"/>
          <w:szCs w:val="24"/>
          <w:lang w:val="en-GB"/>
        </w:rPr>
        <w:t xml:space="preserve">Patients with elevated liver enzymes &gt; 2 ULN were excluded in the main trials. No treatment experience is available for this subpopulation of patients, and therefore the use of dabigatran </w:t>
      </w:r>
      <w:proofErr w:type="spellStart"/>
      <w:r w:rsidRPr="00B55C24">
        <w:rPr>
          <w:sz w:val="24"/>
          <w:szCs w:val="24"/>
          <w:lang w:val="en-GB"/>
        </w:rPr>
        <w:t>etexilate</w:t>
      </w:r>
      <w:proofErr w:type="spellEnd"/>
      <w:r w:rsidRPr="00B55C24">
        <w:rPr>
          <w:sz w:val="24"/>
          <w:szCs w:val="24"/>
          <w:lang w:val="en-GB"/>
        </w:rPr>
        <w:t xml:space="preserve"> is not recommended in this population. Hepatic impairment or liver disease expected to have any impact on survival is contraindicated (see section 4.3).</w:t>
      </w:r>
    </w:p>
    <w:p w14:paraId="53856D31" w14:textId="77777777" w:rsidR="00E607F1" w:rsidRPr="00B55C24" w:rsidRDefault="00E607F1" w:rsidP="004A5906">
      <w:pPr>
        <w:ind w:left="851"/>
        <w:rPr>
          <w:sz w:val="24"/>
          <w:szCs w:val="24"/>
          <w:lang w:val="en-GB"/>
        </w:rPr>
      </w:pPr>
    </w:p>
    <w:p w14:paraId="40BACF10" w14:textId="77777777" w:rsidR="00E607F1" w:rsidRPr="00AB7D1F" w:rsidRDefault="00E607F1" w:rsidP="004A5906">
      <w:pPr>
        <w:ind w:left="851"/>
        <w:rPr>
          <w:sz w:val="24"/>
          <w:szCs w:val="24"/>
          <w:u w:val="single"/>
          <w:lang w:val="en-GB"/>
        </w:rPr>
      </w:pPr>
      <w:r w:rsidRPr="00AB7D1F">
        <w:rPr>
          <w:sz w:val="24"/>
          <w:szCs w:val="24"/>
          <w:u w:val="single"/>
          <w:lang w:val="en-GB"/>
        </w:rPr>
        <w:t>Interaction with P-</w:t>
      </w:r>
      <w:proofErr w:type="spellStart"/>
      <w:r w:rsidRPr="00AB7D1F">
        <w:rPr>
          <w:sz w:val="24"/>
          <w:szCs w:val="24"/>
          <w:u w:val="single"/>
          <w:lang w:val="en-GB"/>
        </w:rPr>
        <w:t>gp</w:t>
      </w:r>
      <w:proofErr w:type="spellEnd"/>
      <w:r w:rsidRPr="00AB7D1F">
        <w:rPr>
          <w:sz w:val="24"/>
          <w:szCs w:val="24"/>
          <w:u w:val="single"/>
          <w:lang w:val="en-GB"/>
        </w:rPr>
        <w:t xml:space="preserve"> inducers</w:t>
      </w:r>
    </w:p>
    <w:p w14:paraId="59A65F9E" w14:textId="77777777" w:rsidR="00E607F1" w:rsidRPr="00B55C24" w:rsidRDefault="00E607F1" w:rsidP="004A5906">
      <w:pPr>
        <w:ind w:left="851"/>
        <w:rPr>
          <w:sz w:val="24"/>
          <w:szCs w:val="24"/>
          <w:lang w:val="en-GB"/>
        </w:rPr>
      </w:pPr>
    </w:p>
    <w:p w14:paraId="5EAF2330" w14:textId="77777777" w:rsidR="00E607F1" w:rsidRPr="00B55C24" w:rsidRDefault="00E607F1" w:rsidP="004A5906">
      <w:pPr>
        <w:ind w:left="851"/>
        <w:rPr>
          <w:sz w:val="24"/>
          <w:szCs w:val="24"/>
          <w:lang w:val="en-GB"/>
        </w:rPr>
      </w:pPr>
      <w:r w:rsidRPr="00B55C24">
        <w:rPr>
          <w:sz w:val="24"/>
          <w:szCs w:val="24"/>
          <w:lang w:val="en-GB"/>
        </w:rPr>
        <w:t>Concomitant administration of P-</w:t>
      </w:r>
      <w:proofErr w:type="spellStart"/>
      <w:r w:rsidRPr="00B55C24">
        <w:rPr>
          <w:sz w:val="24"/>
          <w:szCs w:val="24"/>
          <w:lang w:val="en-GB"/>
        </w:rPr>
        <w:t>gp</w:t>
      </w:r>
      <w:proofErr w:type="spellEnd"/>
      <w:r w:rsidRPr="00B55C24">
        <w:rPr>
          <w:sz w:val="24"/>
          <w:szCs w:val="24"/>
          <w:lang w:val="en-GB"/>
        </w:rPr>
        <w:t xml:space="preserve"> inducers is expected to result in decreased dabigatran plasma </w:t>
      </w:r>
      <w:proofErr w:type="gramStart"/>
      <w:r w:rsidRPr="00B55C24">
        <w:rPr>
          <w:sz w:val="24"/>
          <w:szCs w:val="24"/>
          <w:lang w:val="en-GB"/>
        </w:rPr>
        <w:t>concentrations, and</w:t>
      </w:r>
      <w:proofErr w:type="gramEnd"/>
      <w:r w:rsidRPr="00B55C24">
        <w:rPr>
          <w:sz w:val="24"/>
          <w:szCs w:val="24"/>
          <w:lang w:val="en-GB"/>
        </w:rPr>
        <w:t xml:space="preserve"> should be avoided (see sections 4.5 and 5.2).</w:t>
      </w:r>
    </w:p>
    <w:p w14:paraId="7FE5CCC3" w14:textId="77777777" w:rsidR="00E607F1" w:rsidRPr="00B55C24" w:rsidRDefault="00E607F1" w:rsidP="004A5906">
      <w:pPr>
        <w:ind w:left="851"/>
        <w:rPr>
          <w:sz w:val="24"/>
          <w:szCs w:val="24"/>
          <w:lang w:val="en-GB"/>
        </w:rPr>
      </w:pPr>
    </w:p>
    <w:p w14:paraId="2DED5D5C" w14:textId="77777777" w:rsidR="00E607F1" w:rsidRPr="00AB7D1F" w:rsidRDefault="00E607F1" w:rsidP="004A5906">
      <w:pPr>
        <w:ind w:left="851"/>
        <w:rPr>
          <w:sz w:val="24"/>
          <w:szCs w:val="24"/>
          <w:u w:val="single"/>
          <w:lang w:val="en-GB"/>
        </w:rPr>
      </w:pPr>
      <w:r w:rsidRPr="00AB7D1F">
        <w:rPr>
          <w:sz w:val="24"/>
          <w:szCs w:val="24"/>
          <w:u w:val="single"/>
          <w:lang w:val="en-GB"/>
        </w:rPr>
        <w:t>Patients with antiphospholipid syndrome</w:t>
      </w:r>
    </w:p>
    <w:p w14:paraId="06236A77" w14:textId="107AEE71" w:rsidR="00E607F1" w:rsidRPr="00B55C24" w:rsidRDefault="00E607F1" w:rsidP="004A5906">
      <w:pPr>
        <w:ind w:left="851"/>
        <w:rPr>
          <w:sz w:val="24"/>
          <w:szCs w:val="24"/>
          <w:lang w:val="en-GB"/>
        </w:rPr>
      </w:pPr>
      <w:r w:rsidRPr="00B55C24">
        <w:rPr>
          <w:sz w:val="24"/>
          <w:szCs w:val="24"/>
          <w:lang w:val="en-GB"/>
        </w:rPr>
        <w:t xml:space="preserve">Direct acting Oral Anticoagulants (DOACs) including dabigatran </w:t>
      </w:r>
      <w:proofErr w:type="spellStart"/>
      <w:r w:rsidRPr="00B55C24">
        <w:rPr>
          <w:sz w:val="24"/>
          <w:szCs w:val="24"/>
          <w:lang w:val="en-GB"/>
        </w:rPr>
        <w:t>etexilate</w:t>
      </w:r>
      <w:proofErr w:type="spellEnd"/>
      <w:r w:rsidRPr="00B55C24">
        <w:rPr>
          <w:sz w:val="24"/>
          <w:szCs w:val="24"/>
          <w:lang w:val="en-GB"/>
        </w:rPr>
        <w:t xml:space="preserve"> are not recommended for patients with a history of thrombosis who are diagnosed with antiphospholipid syndrome. </w:t>
      </w:r>
      <w:proofErr w:type="gramStart"/>
      <w:r w:rsidRPr="00B55C24">
        <w:rPr>
          <w:sz w:val="24"/>
          <w:szCs w:val="24"/>
          <w:lang w:val="en-GB"/>
        </w:rPr>
        <w:t>In particular for</w:t>
      </w:r>
      <w:proofErr w:type="gramEnd"/>
      <w:r w:rsidRPr="00B55C24">
        <w:rPr>
          <w:sz w:val="24"/>
          <w:szCs w:val="24"/>
          <w:lang w:val="en-GB"/>
        </w:rPr>
        <w:t xml:space="preserve"> patients that are triple positive (for lupus anticoagulant, anticardiolipin antibodies, and anti-beta 2-glycoprotein I antibodies), treatment with DOACs could be associated with increased rates of recurrent thrombotic events compared with vitamin K antagonist therapy.</w:t>
      </w:r>
    </w:p>
    <w:p w14:paraId="17B81B1E" w14:textId="77777777" w:rsidR="00E607F1" w:rsidRPr="00B55C24" w:rsidRDefault="00E607F1" w:rsidP="004A5906">
      <w:pPr>
        <w:ind w:left="851"/>
        <w:rPr>
          <w:sz w:val="24"/>
          <w:szCs w:val="24"/>
          <w:lang w:val="en-GB"/>
        </w:rPr>
      </w:pPr>
    </w:p>
    <w:p w14:paraId="0CF5171B" w14:textId="77777777" w:rsidR="00E607F1" w:rsidRPr="00AB7D1F" w:rsidRDefault="00E607F1" w:rsidP="004A5906">
      <w:pPr>
        <w:ind w:left="851"/>
        <w:rPr>
          <w:sz w:val="24"/>
          <w:szCs w:val="24"/>
          <w:u w:val="single"/>
          <w:lang w:val="en-GB"/>
        </w:rPr>
      </w:pPr>
      <w:r w:rsidRPr="00AB7D1F">
        <w:rPr>
          <w:sz w:val="24"/>
          <w:szCs w:val="24"/>
          <w:u w:val="single"/>
          <w:lang w:val="en-GB"/>
        </w:rPr>
        <w:t>Myocardial Infarction (MI)</w:t>
      </w:r>
    </w:p>
    <w:p w14:paraId="31842C0B" w14:textId="77777777" w:rsidR="00E607F1" w:rsidRPr="00B55C24" w:rsidRDefault="00E607F1" w:rsidP="004A5906">
      <w:pPr>
        <w:ind w:left="851"/>
        <w:rPr>
          <w:sz w:val="24"/>
          <w:szCs w:val="24"/>
          <w:lang w:val="en-GB"/>
        </w:rPr>
      </w:pPr>
    </w:p>
    <w:p w14:paraId="369A758B" w14:textId="77777777" w:rsidR="00E607F1" w:rsidRPr="00B55C24" w:rsidRDefault="00E607F1" w:rsidP="004A5906">
      <w:pPr>
        <w:ind w:left="851"/>
        <w:rPr>
          <w:sz w:val="24"/>
          <w:szCs w:val="24"/>
          <w:lang w:val="en-GB"/>
        </w:rPr>
      </w:pPr>
      <w:r w:rsidRPr="00B55C24">
        <w:rPr>
          <w:sz w:val="24"/>
          <w:szCs w:val="24"/>
          <w:lang w:val="en-GB"/>
        </w:rPr>
        <w:t xml:space="preserve">In the phase III study RE-LY (SPAF, see section 5.1) the overall rate of MI was 0.82, 0.81, and 0.64%/year for dabigatran </w:t>
      </w:r>
      <w:proofErr w:type="spellStart"/>
      <w:r w:rsidRPr="00B55C24">
        <w:rPr>
          <w:sz w:val="24"/>
          <w:szCs w:val="24"/>
          <w:lang w:val="en-GB"/>
        </w:rPr>
        <w:t>etexilate</w:t>
      </w:r>
      <w:proofErr w:type="spellEnd"/>
      <w:r w:rsidRPr="00B55C24">
        <w:rPr>
          <w:sz w:val="24"/>
          <w:szCs w:val="24"/>
          <w:lang w:val="en-GB"/>
        </w:rPr>
        <w:t xml:space="preserve"> 110 mg twice daily, dabigatran </w:t>
      </w:r>
      <w:proofErr w:type="spellStart"/>
      <w:r w:rsidRPr="00B55C24">
        <w:rPr>
          <w:sz w:val="24"/>
          <w:szCs w:val="24"/>
          <w:lang w:val="en-GB"/>
        </w:rPr>
        <w:t>etexilate</w:t>
      </w:r>
      <w:proofErr w:type="spellEnd"/>
      <w:r w:rsidRPr="00B55C24">
        <w:rPr>
          <w:sz w:val="24"/>
          <w:szCs w:val="24"/>
          <w:lang w:val="en-GB"/>
        </w:rPr>
        <w:t xml:space="preserve"> 150 mg twice daily and warfarin, respectively, an increase in relative risk for dabigatran of 29% and 27% compared to warfarin. Irrespective of therapy, the highest absolute risk of MI was seen in the following subgroups, with similar relative risk: patients with previous MI, patients ≥ 65 years with either diabetes or coronary artery disease, patients with left ventricular ejection fraction &lt; 40%, and patients with moderate renal dysfunction. Furthermore, a higher risk of MI was seen in patients concomitantly taking ASA plus clopidogrel or clopidogrel alone.</w:t>
      </w:r>
    </w:p>
    <w:p w14:paraId="5E9C1D47" w14:textId="77777777" w:rsidR="00E607F1" w:rsidRPr="00B55C24" w:rsidRDefault="00E607F1" w:rsidP="004A5906">
      <w:pPr>
        <w:ind w:left="851"/>
        <w:rPr>
          <w:sz w:val="24"/>
          <w:szCs w:val="24"/>
          <w:lang w:val="en-GB"/>
        </w:rPr>
      </w:pPr>
    </w:p>
    <w:p w14:paraId="261C0715" w14:textId="77777777" w:rsidR="00E607F1" w:rsidRPr="00B55C24" w:rsidRDefault="00E607F1" w:rsidP="004A5906">
      <w:pPr>
        <w:ind w:left="851"/>
        <w:rPr>
          <w:sz w:val="24"/>
          <w:szCs w:val="24"/>
          <w:lang w:val="en-GB"/>
        </w:rPr>
      </w:pPr>
      <w:r w:rsidRPr="00B55C24">
        <w:rPr>
          <w:sz w:val="24"/>
          <w:szCs w:val="24"/>
          <w:lang w:val="en-GB"/>
        </w:rPr>
        <w:t xml:space="preserve">In the three active controlled DVT/PE phase III studies, a higher rate of MI was reported in patients who received dabigatran </w:t>
      </w:r>
      <w:proofErr w:type="spellStart"/>
      <w:r w:rsidRPr="00B55C24">
        <w:rPr>
          <w:sz w:val="24"/>
          <w:szCs w:val="24"/>
          <w:lang w:val="en-GB"/>
        </w:rPr>
        <w:t>etexilate</w:t>
      </w:r>
      <w:proofErr w:type="spellEnd"/>
      <w:r w:rsidRPr="00B55C24">
        <w:rPr>
          <w:sz w:val="24"/>
          <w:szCs w:val="24"/>
          <w:lang w:val="en-GB"/>
        </w:rPr>
        <w:t xml:space="preserve"> than in those who received warfarin: 0.4% vs. 0.2% in the short-term RE-COVER and RE-COVER II studies; and 0.8% vs. 0.1% in the long-term RE-MEDY trial. The increase was statistically significant in this study (p = 0.022).</w:t>
      </w:r>
    </w:p>
    <w:p w14:paraId="1C4885C0" w14:textId="77777777" w:rsidR="00E607F1" w:rsidRPr="00B55C24" w:rsidRDefault="00E607F1" w:rsidP="004A5906">
      <w:pPr>
        <w:ind w:left="851"/>
        <w:rPr>
          <w:sz w:val="24"/>
          <w:szCs w:val="24"/>
          <w:lang w:val="en-GB"/>
        </w:rPr>
      </w:pPr>
    </w:p>
    <w:p w14:paraId="253FD76A" w14:textId="77777777" w:rsidR="00E607F1" w:rsidRPr="00B55C24" w:rsidRDefault="00E607F1" w:rsidP="004A5906">
      <w:pPr>
        <w:ind w:left="851"/>
        <w:rPr>
          <w:sz w:val="24"/>
          <w:szCs w:val="24"/>
          <w:lang w:val="en-GB"/>
        </w:rPr>
      </w:pPr>
      <w:r w:rsidRPr="00B55C24">
        <w:rPr>
          <w:sz w:val="24"/>
          <w:szCs w:val="24"/>
          <w:lang w:val="en-GB"/>
        </w:rPr>
        <w:t xml:space="preserve">In the RE-SONATE study, which compared dabigatran </w:t>
      </w:r>
      <w:proofErr w:type="spellStart"/>
      <w:r w:rsidRPr="00B55C24">
        <w:rPr>
          <w:sz w:val="24"/>
          <w:szCs w:val="24"/>
          <w:lang w:val="en-GB"/>
        </w:rPr>
        <w:t>etexilate</w:t>
      </w:r>
      <w:proofErr w:type="spellEnd"/>
      <w:r w:rsidRPr="00B55C24">
        <w:rPr>
          <w:sz w:val="24"/>
          <w:szCs w:val="24"/>
          <w:lang w:val="en-GB"/>
        </w:rPr>
        <w:t xml:space="preserve"> to placebo, the rate of MI was 0.1% for patients who received dabigatran </w:t>
      </w:r>
      <w:proofErr w:type="spellStart"/>
      <w:r w:rsidRPr="00B55C24">
        <w:rPr>
          <w:sz w:val="24"/>
          <w:szCs w:val="24"/>
          <w:lang w:val="en-GB"/>
        </w:rPr>
        <w:t>etexilate</w:t>
      </w:r>
      <w:proofErr w:type="spellEnd"/>
      <w:r w:rsidRPr="00B55C24">
        <w:rPr>
          <w:sz w:val="24"/>
          <w:szCs w:val="24"/>
          <w:lang w:val="en-GB"/>
        </w:rPr>
        <w:t xml:space="preserve"> and 0.2% for patients who received placebo</w:t>
      </w:r>
    </w:p>
    <w:p w14:paraId="1D37CDFC" w14:textId="77777777" w:rsidR="00E607F1" w:rsidRPr="00B55C24" w:rsidRDefault="00E607F1" w:rsidP="004A5906">
      <w:pPr>
        <w:ind w:left="851"/>
        <w:rPr>
          <w:sz w:val="24"/>
          <w:szCs w:val="24"/>
          <w:lang w:val="en-GB"/>
        </w:rPr>
      </w:pPr>
    </w:p>
    <w:p w14:paraId="00E5F32C" w14:textId="77777777" w:rsidR="00E607F1" w:rsidRPr="00AB7D1F" w:rsidRDefault="00E607F1" w:rsidP="004A5906">
      <w:pPr>
        <w:ind w:left="851"/>
        <w:rPr>
          <w:sz w:val="24"/>
          <w:szCs w:val="24"/>
          <w:u w:val="single"/>
          <w:lang w:val="en-GB"/>
        </w:rPr>
      </w:pPr>
      <w:r w:rsidRPr="00AB7D1F">
        <w:rPr>
          <w:sz w:val="24"/>
          <w:szCs w:val="24"/>
          <w:u w:val="single"/>
          <w:lang w:val="en-GB"/>
        </w:rPr>
        <w:t>Active cancer patients (DVT/PE, paediatric VTE)</w:t>
      </w:r>
    </w:p>
    <w:p w14:paraId="10AEA26C" w14:textId="77777777" w:rsidR="00E607F1" w:rsidRPr="00B55C24" w:rsidRDefault="00E607F1" w:rsidP="004A5906">
      <w:pPr>
        <w:ind w:left="851"/>
        <w:rPr>
          <w:sz w:val="24"/>
          <w:szCs w:val="24"/>
          <w:lang w:val="en-GB"/>
        </w:rPr>
      </w:pPr>
    </w:p>
    <w:p w14:paraId="1699CEFF" w14:textId="77777777" w:rsidR="00E607F1" w:rsidRPr="00B55C24" w:rsidRDefault="00E607F1" w:rsidP="004A5906">
      <w:pPr>
        <w:ind w:left="851"/>
        <w:rPr>
          <w:sz w:val="24"/>
          <w:szCs w:val="24"/>
          <w:lang w:val="en-GB"/>
        </w:rPr>
      </w:pPr>
      <w:r w:rsidRPr="00B55C24">
        <w:rPr>
          <w:sz w:val="24"/>
          <w:szCs w:val="24"/>
          <w:lang w:val="en-GB"/>
        </w:rPr>
        <w:t>The efficacy and safety have not been established for DVT/PE patients with active cancer. There is limited data on efficacy and safety for paediatric patients with active cancer.</w:t>
      </w:r>
    </w:p>
    <w:p w14:paraId="25A6CFBD" w14:textId="77777777" w:rsidR="00E607F1" w:rsidRPr="00B55C24" w:rsidRDefault="00E607F1" w:rsidP="004A5906">
      <w:pPr>
        <w:ind w:left="851"/>
        <w:rPr>
          <w:sz w:val="24"/>
          <w:szCs w:val="24"/>
          <w:lang w:val="en-GB"/>
        </w:rPr>
      </w:pPr>
    </w:p>
    <w:p w14:paraId="0B7C3F3F" w14:textId="77777777" w:rsidR="00E607F1" w:rsidRPr="00AB7D1F" w:rsidRDefault="00E607F1" w:rsidP="004A5906">
      <w:pPr>
        <w:ind w:left="851"/>
        <w:rPr>
          <w:sz w:val="24"/>
          <w:szCs w:val="24"/>
          <w:u w:val="single"/>
          <w:lang w:val="en-GB"/>
        </w:rPr>
      </w:pPr>
      <w:r w:rsidRPr="00AB7D1F">
        <w:rPr>
          <w:sz w:val="24"/>
          <w:szCs w:val="24"/>
          <w:u w:val="single"/>
          <w:lang w:val="en-GB"/>
        </w:rPr>
        <w:t>Paediatric population</w:t>
      </w:r>
    </w:p>
    <w:p w14:paraId="38930AD9" w14:textId="77777777" w:rsidR="00E607F1" w:rsidRPr="00B55C24" w:rsidRDefault="00E607F1" w:rsidP="004A5906">
      <w:pPr>
        <w:ind w:left="851"/>
        <w:rPr>
          <w:sz w:val="24"/>
          <w:szCs w:val="24"/>
          <w:lang w:val="en-GB"/>
        </w:rPr>
      </w:pPr>
    </w:p>
    <w:p w14:paraId="7C13F671" w14:textId="77777777" w:rsidR="00E607F1" w:rsidRPr="00B55C24" w:rsidRDefault="00E607F1" w:rsidP="004A5906">
      <w:pPr>
        <w:ind w:left="851"/>
        <w:rPr>
          <w:sz w:val="24"/>
          <w:szCs w:val="24"/>
          <w:lang w:val="en-GB"/>
        </w:rPr>
      </w:pPr>
      <w:r w:rsidRPr="00B55C24">
        <w:rPr>
          <w:sz w:val="24"/>
          <w:szCs w:val="24"/>
          <w:lang w:val="en-GB"/>
        </w:rPr>
        <w:t>For some very specific paediatric patients, e.g. patients with small bowel disease where absorption may be affected, use of an anticoagulant with parenteral route of administration should be considered.</w:t>
      </w:r>
    </w:p>
    <w:p w14:paraId="30A959CF" w14:textId="77777777" w:rsidR="007C5D2A" w:rsidRPr="00B55C24" w:rsidRDefault="007C5D2A" w:rsidP="003E0341">
      <w:pPr>
        <w:tabs>
          <w:tab w:val="left" w:pos="851"/>
        </w:tabs>
        <w:ind w:left="851"/>
        <w:rPr>
          <w:sz w:val="24"/>
          <w:szCs w:val="24"/>
          <w:lang w:val="en-GB"/>
        </w:rPr>
      </w:pPr>
    </w:p>
    <w:p w14:paraId="6BE71670" w14:textId="77777777" w:rsidR="007C5D2A" w:rsidRPr="00B55C24" w:rsidRDefault="007C5D2A" w:rsidP="007C5D2A">
      <w:pPr>
        <w:ind w:left="851" w:hanging="851"/>
        <w:rPr>
          <w:b/>
          <w:sz w:val="24"/>
          <w:szCs w:val="24"/>
          <w:lang w:val="en-GB"/>
        </w:rPr>
      </w:pPr>
      <w:r w:rsidRPr="00B55C24">
        <w:rPr>
          <w:b/>
          <w:sz w:val="24"/>
          <w:szCs w:val="24"/>
          <w:lang w:val="en-GB"/>
        </w:rPr>
        <w:t>4.5</w:t>
      </w:r>
      <w:r w:rsidRPr="00B55C24">
        <w:rPr>
          <w:b/>
          <w:sz w:val="24"/>
          <w:szCs w:val="24"/>
          <w:lang w:val="en-GB"/>
        </w:rPr>
        <w:tab/>
        <w:t>Interaction with other medicinal products and other forms of interaction</w:t>
      </w:r>
    </w:p>
    <w:p w14:paraId="7A7E3FD0" w14:textId="77777777" w:rsidR="00BE5A7A" w:rsidRDefault="00BE5A7A" w:rsidP="004A5906">
      <w:pPr>
        <w:ind w:left="851"/>
        <w:rPr>
          <w:sz w:val="24"/>
          <w:szCs w:val="24"/>
          <w:lang w:val="en-GB"/>
        </w:rPr>
      </w:pPr>
    </w:p>
    <w:p w14:paraId="09D0D2A1" w14:textId="45697A1B" w:rsidR="00E607F1" w:rsidRPr="00BE5A7A" w:rsidRDefault="00E607F1" w:rsidP="004A5906">
      <w:pPr>
        <w:ind w:left="851"/>
        <w:rPr>
          <w:sz w:val="24"/>
          <w:szCs w:val="24"/>
          <w:u w:val="single"/>
          <w:lang w:val="en-GB"/>
        </w:rPr>
      </w:pPr>
      <w:r w:rsidRPr="00BE5A7A">
        <w:rPr>
          <w:sz w:val="24"/>
          <w:szCs w:val="24"/>
          <w:u w:val="single"/>
          <w:lang w:val="en-GB"/>
        </w:rPr>
        <w:t>Transporter interactions</w:t>
      </w:r>
    </w:p>
    <w:p w14:paraId="2B2D0FCE" w14:textId="77777777" w:rsidR="00E607F1" w:rsidRPr="00B55C24" w:rsidRDefault="00E607F1" w:rsidP="004A5906">
      <w:pPr>
        <w:ind w:left="851"/>
        <w:rPr>
          <w:sz w:val="24"/>
          <w:szCs w:val="24"/>
          <w:lang w:val="en-GB"/>
        </w:rPr>
      </w:pPr>
    </w:p>
    <w:p w14:paraId="7AC416D7"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is a substrate for the efflux transporter P-</w:t>
      </w:r>
      <w:proofErr w:type="spellStart"/>
      <w:r w:rsidRPr="00B55C24">
        <w:rPr>
          <w:sz w:val="24"/>
          <w:szCs w:val="24"/>
          <w:lang w:val="en-GB"/>
        </w:rPr>
        <w:t>gp</w:t>
      </w:r>
      <w:proofErr w:type="spellEnd"/>
      <w:r w:rsidRPr="00B55C24">
        <w:rPr>
          <w:sz w:val="24"/>
          <w:szCs w:val="24"/>
          <w:lang w:val="en-GB"/>
        </w:rPr>
        <w:t>. Concomitant administration of P-</w:t>
      </w:r>
      <w:proofErr w:type="spellStart"/>
      <w:r w:rsidRPr="00B55C24">
        <w:rPr>
          <w:sz w:val="24"/>
          <w:szCs w:val="24"/>
          <w:lang w:val="en-GB"/>
        </w:rPr>
        <w:t>gp</w:t>
      </w:r>
      <w:proofErr w:type="spellEnd"/>
      <w:r w:rsidRPr="00B55C24">
        <w:rPr>
          <w:sz w:val="24"/>
          <w:szCs w:val="24"/>
          <w:lang w:val="en-GB"/>
        </w:rPr>
        <w:t xml:space="preserve"> inhibitors (see table 8) is expected to result in increased dabigatran plasma concentrations.</w:t>
      </w:r>
    </w:p>
    <w:p w14:paraId="4FAD4179" w14:textId="77777777" w:rsidR="00E607F1" w:rsidRPr="00B55C24" w:rsidRDefault="00E607F1" w:rsidP="004A5906">
      <w:pPr>
        <w:ind w:left="851"/>
        <w:rPr>
          <w:sz w:val="24"/>
          <w:szCs w:val="24"/>
          <w:lang w:val="en-GB"/>
        </w:rPr>
      </w:pPr>
    </w:p>
    <w:p w14:paraId="44B5931A" w14:textId="77777777" w:rsidR="00E607F1" w:rsidRPr="00B55C24" w:rsidRDefault="00E607F1" w:rsidP="004A5906">
      <w:pPr>
        <w:ind w:left="851"/>
        <w:rPr>
          <w:sz w:val="24"/>
          <w:szCs w:val="24"/>
          <w:lang w:val="en-GB"/>
        </w:rPr>
      </w:pPr>
      <w:r w:rsidRPr="00B55C24">
        <w:rPr>
          <w:sz w:val="24"/>
          <w:szCs w:val="24"/>
          <w:lang w:val="en-GB"/>
        </w:rPr>
        <w:t xml:space="preserve">If </w:t>
      </w:r>
      <w:proofErr w:type="gramStart"/>
      <w:r w:rsidRPr="00B55C24">
        <w:rPr>
          <w:sz w:val="24"/>
          <w:szCs w:val="24"/>
          <w:lang w:val="en-GB"/>
        </w:rPr>
        <w:t>not otherwise specifically described,</w:t>
      </w:r>
      <w:proofErr w:type="gramEnd"/>
      <w:r w:rsidRPr="00B55C24">
        <w:rPr>
          <w:sz w:val="24"/>
          <w:szCs w:val="24"/>
          <w:lang w:val="en-GB"/>
        </w:rPr>
        <w:t xml:space="preserve"> close clinical surveillance (looking for signs of bleeding or anaemia) is required when dabigatran is co-administered with strong P-</w:t>
      </w:r>
      <w:proofErr w:type="spellStart"/>
      <w:r w:rsidRPr="00B55C24">
        <w:rPr>
          <w:sz w:val="24"/>
          <w:szCs w:val="24"/>
          <w:lang w:val="en-GB"/>
        </w:rPr>
        <w:t>gp</w:t>
      </w:r>
      <w:proofErr w:type="spellEnd"/>
      <w:r w:rsidRPr="00B55C24">
        <w:rPr>
          <w:sz w:val="24"/>
          <w:szCs w:val="24"/>
          <w:lang w:val="en-GB"/>
        </w:rPr>
        <w:t xml:space="preserve"> inhibitors. Dose reductions may be required in combination with some P-</w:t>
      </w:r>
      <w:proofErr w:type="spellStart"/>
      <w:r w:rsidRPr="00B55C24">
        <w:rPr>
          <w:sz w:val="24"/>
          <w:szCs w:val="24"/>
          <w:lang w:val="en-GB"/>
        </w:rPr>
        <w:t>gp</w:t>
      </w:r>
      <w:proofErr w:type="spellEnd"/>
      <w:r w:rsidRPr="00B55C24">
        <w:rPr>
          <w:sz w:val="24"/>
          <w:szCs w:val="24"/>
          <w:lang w:val="en-GB"/>
        </w:rPr>
        <w:t xml:space="preserve"> inhibitors (see sections 4.2, 4.3, 4.4 and 5.1).</w:t>
      </w:r>
    </w:p>
    <w:p w14:paraId="04D9259D" w14:textId="228B32D6" w:rsidR="00322951" w:rsidRDefault="00322951">
      <w:pPr>
        <w:rPr>
          <w:sz w:val="24"/>
          <w:szCs w:val="24"/>
          <w:lang w:val="en-GB"/>
        </w:rPr>
      </w:pPr>
      <w:r>
        <w:rPr>
          <w:sz w:val="24"/>
          <w:szCs w:val="24"/>
          <w:lang w:val="en-GB"/>
        </w:rPr>
        <w:br w:type="page"/>
      </w:r>
    </w:p>
    <w:p w14:paraId="512A0120" w14:textId="77777777" w:rsidR="00E607F1" w:rsidRPr="00B55C24" w:rsidRDefault="00E607F1" w:rsidP="004A5906">
      <w:pPr>
        <w:ind w:left="851"/>
        <w:rPr>
          <w:sz w:val="24"/>
          <w:szCs w:val="24"/>
          <w:lang w:val="en-GB"/>
        </w:rPr>
      </w:pPr>
    </w:p>
    <w:p w14:paraId="1984B15C"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8: Transporter interactions</w:t>
      </w:r>
    </w:p>
    <w:p w14:paraId="1294C82D"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781"/>
        <w:gridCol w:w="7847"/>
      </w:tblGrid>
      <w:tr w:rsidR="00E607F1" w:rsidRPr="00322951" w14:paraId="7DFC5CF9" w14:textId="77777777" w:rsidTr="004A5906">
        <w:trPr>
          <w:trHeight w:val="5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0D03133" w14:textId="77777777" w:rsidR="00E607F1" w:rsidRPr="00322951" w:rsidRDefault="00E607F1" w:rsidP="004A5906">
            <w:pPr>
              <w:rPr>
                <w:i/>
                <w:iCs/>
                <w:sz w:val="22"/>
                <w:szCs w:val="22"/>
                <w:u w:val="single"/>
                <w:lang w:val="en-GB"/>
              </w:rPr>
            </w:pPr>
            <w:r w:rsidRPr="00322951">
              <w:rPr>
                <w:i/>
                <w:iCs/>
                <w:sz w:val="22"/>
                <w:szCs w:val="22"/>
                <w:u w:val="single"/>
                <w:lang w:val="en-GB"/>
              </w:rPr>
              <w:t>P-</w:t>
            </w:r>
            <w:proofErr w:type="spellStart"/>
            <w:r w:rsidRPr="00322951">
              <w:rPr>
                <w:i/>
                <w:iCs/>
                <w:sz w:val="22"/>
                <w:szCs w:val="22"/>
                <w:u w:val="single"/>
                <w:lang w:val="en-GB"/>
              </w:rPr>
              <w:t>gp</w:t>
            </w:r>
            <w:proofErr w:type="spellEnd"/>
            <w:r w:rsidRPr="00322951">
              <w:rPr>
                <w:i/>
                <w:iCs/>
                <w:sz w:val="22"/>
                <w:szCs w:val="22"/>
                <w:u w:val="single"/>
                <w:lang w:val="en-GB"/>
              </w:rPr>
              <w:t xml:space="preserve"> inhibitors</w:t>
            </w:r>
          </w:p>
        </w:tc>
      </w:tr>
      <w:tr w:rsidR="00E607F1" w:rsidRPr="00D476B2" w14:paraId="505B13CD" w14:textId="77777777" w:rsidTr="004A5906">
        <w:trPr>
          <w:trHeight w:val="5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587A894" w14:textId="77777777" w:rsidR="00E607F1" w:rsidRPr="00322951" w:rsidRDefault="00E607F1" w:rsidP="004A5906">
            <w:pPr>
              <w:rPr>
                <w:i/>
                <w:iCs/>
                <w:sz w:val="22"/>
                <w:szCs w:val="22"/>
                <w:lang w:val="en-GB"/>
              </w:rPr>
            </w:pPr>
            <w:r w:rsidRPr="00322951">
              <w:rPr>
                <w:i/>
                <w:iCs/>
                <w:sz w:val="22"/>
                <w:szCs w:val="22"/>
                <w:lang w:val="en-GB"/>
              </w:rPr>
              <w:t>Concomitant use contraindicated (see section 4.3)</w:t>
            </w:r>
          </w:p>
        </w:tc>
      </w:tr>
      <w:tr w:rsidR="00E607F1" w:rsidRPr="00D476B2" w14:paraId="1A0285E8" w14:textId="77777777" w:rsidTr="004A5906">
        <w:trPr>
          <w:trHeight w:val="57"/>
          <w:jc w:val="center"/>
        </w:trPr>
        <w:tc>
          <w:tcPr>
            <w:tcW w:w="925" w:type="pct"/>
            <w:tcBorders>
              <w:top w:val="single" w:sz="4" w:space="0" w:color="auto"/>
              <w:left w:val="single" w:sz="4" w:space="0" w:color="auto"/>
              <w:bottom w:val="nil"/>
              <w:right w:val="nil"/>
            </w:tcBorders>
            <w:hideMark/>
          </w:tcPr>
          <w:p w14:paraId="511377BD" w14:textId="77777777" w:rsidR="00E607F1" w:rsidRPr="00322951" w:rsidRDefault="00E607F1" w:rsidP="004A5906">
            <w:pPr>
              <w:rPr>
                <w:sz w:val="22"/>
                <w:szCs w:val="22"/>
                <w:lang w:val="en-GB"/>
              </w:rPr>
            </w:pPr>
            <w:r w:rsidRPr="00322951">
              <w:rPr>
                <w:sz w:val="22"/>
                <w:szCs w:val="22"/>
                <w:lang w:val="en-GB"/>
              </w:rPr>
              <w:t>Ketoconazole</w:t>
            </w:r>
          </w:p>
        </w:tc>
        <w:tc>
          <w:tcPr>
            <w:tcW w:w="4075" w:type="pct"/>
            <w:tcBorders>
              <w:top w:val="single" w:sz="4" w:space="0" w:color="auto"/>
              <w:left w:val="single" w:sz="4" w:space="0" w:color="auto"/>
              <w:bottom w:val="nil"/>
              <w:right w:val="single" w:sz="4" w:space="0" w:color="auto"/>
            </w:tcBorders>
          </w:tcPr>
          <w:p w14:paraId="65982CFB" w14:textId="5862FEE1" w:rsidR="00E607F1" w:rsidRPr="00322951" w:rsidRDefault="00E607F1" w:rsidP="00BE5A7A">
            <w:pPr>
              <w:rPr>
                <w:sz w:val="22"/>
                <w:szCs w:val="22"/>
                <w:lang w:val="en-GB"/>
              </w:rPr>
            </w:pPr>
            <w:r w:rsidRPr="00322951">
              <w:rPr>
                <w:sz w:val="22"/>
                <w:szCs w:val="22"/>
                <w:lang w:val="en-GB"/>
              </w:rPr>
              <w:t>Ketoconazole increased total dabigatran AUC</w:t>
            </w:r>
            <w:r w:rsidRPr="00322951">
              <w:rPr>
                <w:sz w:val="22"/>
                <w:szCs w:val="22"/>
                <w:vertAlign w:val="subscript"/>
                <w:lang w:val="en-GB"/>
              </w:rPr>
              <w:t>0-∞</w:t>
            </w:r>
            <w:r w:rsidRPr="00322951">
              <w:rPr>
                <w:sz w:val="22"/>
                <w:szCs w:val="22"/>
                <w:lang w:val="en-GB"/>
              </w:rPr>
              <w:t xml:space="preserve"> and C</w:t>
            </w:r>
            <w:r w:rsidRPr="00322951">
              <w:rPr>
                <w:sz w:val="22"/>
                <w:szCs w:val="22"/>
                <w:vertAlign w:val="subscript"/>
                <w:lang w:val="en-GB"/>
              </w:rPr>
              <w:t>max</w:t>
            </w:r>
            <w:r w:rsidRPr="00322951">
              <w:rPr>
                <w:sz w:val="22"/>
                <w:szCs w:val="22"/>
                <w:lang w:val="en-GB"/>
              </w:rPr>
              <w:t xml:space="preserve"> values by 2.38-fold and 2.35-fold, respectively, after a single oral dose of 400 mg, and by 2.53-fold and 2.49-fold, respectively, after multiple oral dosing of 400 mg ketoconazole once daily.</w:t>
            </w:r>
          </w:p>
        </w:tc>
      </w:tr>
      <w:tr w:rsidR="00E607F1" w:rsidRPr="00D476B2" w14:paraId="17271DE4" w14:textId="77777777" w:rsidTr="004A5906">
        <w:trPr>
          <w:trHeight w:val="57"/>
          <w:jc w:val="center"/>
        </w:trPr>
        <w:tc>
          <w:tcPr>
            <w:tcW w:w="925" w:type="pct"/>
            <w:tcBorders>
              <w:top w:val="single" w:sz="4" w:space="0" w:color="auto"/>
              <w:left w:val="single" w:sz="4" w:space="0" w:color="auto"/>
              <w:bottom w:val="nil"/>
              <w:right w:val="nil"/>
            </w:tcBorders>
            <w:hideMark/>
          </w:tcPr>
          <w:p w14:paraId="6DD7DE42" w14:textId="77777777" w:rsidR="00E607F1" w:rsidRPr="00322951" w:rsidRDefault="00E607F1" w:rsidP="004A5906">
            <w:pPr>
              <w:rPr>
                <w:sz w:val="22"/>
                <w:szCs w:val="22"/>
                <w:lang w:val="en-GB"/>
              </w:rPr>
            </w:pPr>
            <w:r w:rsidRPr="00322951">
              <w:rPr>
                <w:sz w:val="22"/>
                <w:szCs w:val="22"/>
                <w:lang w:val="en-GB"/>
              </w:rPr>
              <w:t>Dronedarone</w:t>
            </w:r>
          </w:p>
        </w:tc>
        <w:tc>
          <w:tcPr>
            <w:tcW w:w="4075" w:type="pct"/>
            <w:tcBorders>
              <w:top w:val="single" w:sz="4" w:space="0" w:color="auto"/>
              <w:left w:val="single" w:sz="4" w:space="0" w:color="auto"/>
              <w:bottom w:val="nil"/>
              <w:right w:val="single" w:sz="4" w:space="0" w:color="auto"/>
            </w:tcBorders>
            <w:hideMark/>
          </w:tcPr>
          <w:p w14:paraId="0D768709" w14:textId="77777777" w:rsidR="00E607F1" w:rsidRPr="00322951" w:rsidRDefault="00E607F1" w:rsidP="004A5906">
            <w:pPr>
              <w:rPr>
                <w:sz w:val="22"/>
                <w:szCs w:val="22"/>
                <w:lang w:val="en-GB"/>
              </w:rPr>
            </w:pPr>
            <w:r w:rsidRPr="00322951">
              <w:rPr>
                <w:sz w:val="22"/>
                <w:szCs w:val="22"/>
                <w:lang w:val="en-GB"/>
              </w:rPr>
              <w:t xml:space="preserve">When dabigatran </w:t>
            </w:r>
            <w:proofErr w:type="spellStart"/>
            <w:r w:rsidRPr="00322951">
              <w:rPr>
                <w:sz w:val="22"/>
                <w:szCs w:val="22"/>
                <w:lang w:val="en-GB"/>
              </w:rPr>
              <w:t>etexilate</w:t>
            </w:r>
            <w:proofErr w:type="spellEnd"/>
            <w:r w:rsidRPr="00322951">
              <w:rPr>
                <w:sz w:val="22"/>
                <w:szCs w:val="22"/>
                <w:lang w:val="en-GB"/>
              </w:rPr>
              <w:t xml:space="preserve"> and dronedarone were given at the same time total dabigatran AUC</w:t>
            </w:r>
            <w:r w:rsidRPr="00322951">
              <w:rPr>
                <w:sz w:val="22"/>
                <w:szCs w:val="22"/>
                <w:vertAlign w:val="subscript"/>
                <w:lang w:val="en-GB"/>
              </w:rPr>
              <w:t>0-∞</w:t>
            </w:r>
            <w:r w:rsidRPr="00322951">
              <w:rPr>
                <w:sz w:val="22"/>
                <w:szCs w:val="22"/>
                <w:lang w:val="en-GB"/>
              </w:rPr>
              <w:t>and C</w:t>
            </w:r>
            <w:r w:rsidRPr="00322951">
              <w:rPr>
                <w:sz w:val="22"/>
                <w:szCs w:val="22"/>
                <w:vertAlign w:val="subscript"/>
                <w:lang w:val="en-GB"/>
              </w:rPr>
              <w:t>max</w:t>
            </w:r>
            <w:r w:rsidRPr="00322951">
              <w:rPr>
                <w:sz w:val="22"/>
                <w:szCs w:val="22"/>
                <w:lang w:val="en-GB"/>
              </w:rPr>
              <w:t xml:space="preserve"> values increased by about 2.4-fold and 2.3-fold, respectively, after multiple dosing of 400 mg dronedarone bid, and about 2.1-fold and 1.9-fold, respectively, after a single dose of 400 mg.</w:t>
            </w:r>
          </w:p>
        </w:tc>
      </w:tr>
      <w:tr w:rsidR="00E607F1" w:rsidRPr="00D476B2" w14:paraId="20B186E4" w14:textId="77777777" w:rsidTr="004A5906">
        <w:trPr>
          <w:trHeight w:val="57"/>
          <w:jc w:val="center"/>
        </w:trPr>
        <w:tc>
          <w:tcPr>
            <w:tcW w:w="925" w:type="pct"/>
            <w:tcBorders>
              <w:top w:val="single" w:sz="4" w:space="0" w:color="auto"/>
              <w:left w:val="single" w:sz="4" w:space="0" w:color="auto"/>
              <w:bottom w:val="single" w:sz="4" w:space="0" w:color="auto"/>
              <w:right w:val="nil"/>
            </w:tcBorders>
            <w:hideMark/>
          </w:tcPr>
          <w:p w14:paraId="52B28174" w14:textId="77777777" w:rsidR="00E607F1" w:rsidRPr="00322951" w:rsidRDefault="00E607F1" w:rsidP="004A5906">
            <w:pPr>
              <w:rPr>
                <w:sz w:val="22"/>
                <w:szCs w:val="22"/>
                <w:lang w:val="en-GB"/>
              </w:rPr>
            </w:pPr>
            <w:r w:rsidRPr="00322951">
              <w:rPr>
                <w:sz w:val="22"/>
                <w:szCs w:val="22"/>
                <w:lang w:val="en-GB"/>
              </w:rPr>
              <w:t>Itraconazole, cyclosporine</w:t>
            </w:r>
          </w:p>
        </w:tc>
        <w:tc>
          <w:tcPr>
            <w:tcW w:w="4075" w:type="pct"/>
            <w:tcBorders>
              <w:top w:val="single" w:sz="4" w:space="0" w:color="auto"/>
              <w:left w:val="single" w:sz="4" w:space="0" w:color="auto"/>
              <w:bottom w:val="single" w:sz="4" w:space="0" w:color="auto"/>
              <w:right w:val="single" w:sz="4" w:space="0" w:color="auto"/>
            </w:tcBorders>
          </w:tcPr>
          <w:p w14:paraId="251D1FE0" w14:textId="77777777" w:rsidR="00E607F1" w:rsidRPr="00322951" w:rsidRDefault="00E607F1" w:rsidP="004A5906">
            <w:pPr>
              <w:rPr>
                <w:sz w:val="22"/>
                <w:szCs w:val="22"/>
                <w:lang w:val="en-GB"/>
              </w:rPr>
            </w:pPr>
            <w:r w:rsidRPr="00322951">
              <w:rPr>
                <w:sz w:val="22"/>
                <w:szCs w:val="22"/>
                <w:lang w:val="en-GB"/>
              </w:rPr>
              <w:t>Based on in vitro results a similar effect as with ketoconazole may be expected.</w:t>
            </w:r>
          </w:p>
          <w:p w14:paraId="695C9AF5" w14:textId="77777777" w:rsidR="00E607F1" w:rsidRPr="00322951" w:rsidRDefault="00E607F1" w:rsidP="004A5906">
            <w:pPr>
              <w:rPr>
                <w:sz w:val="22"/>
                <w:szCs w:val="22"/>
                <w:lang w:val="en-GB"/>
              </w:rPr>
            </w:pPr>
          </w:p>
        </w:tc>
      </w:tr>
      <w:tr w:rsidR="00E607F1" w:rsidRPr="00D476B2" w14:paraId="51FE74C4" w14:textId="77777777" w:rsidTr="004A5906">
        <w:trPr>
          <w:trHeight w:val="57"/>
          <w:jc w:val="center"/>
        </w:trPr>
        <w:tc>
          <w:tcPr>
            <w:tcW w:w="925" w:type="pct"/>
            <w:tcBorders>
              <w:top w:val="single" w:sz="4" w:space="0" w:color="auto"/>
              <w:left w:val="single" w:sz="4" w:space="0" w:color="auto"/>
              <w:bottom w:val="nil"/>
              <w:right w:val="nil"/>
            </w:tcBorders>
            <w:hideMark/>
          </w:tcPr>
          <w:p w14:paraId="5590A328" w14:textId="77777777" w:rsidR="00E607F1" w:rsidRPr="00322951" w:rsidRDefault="00E607F1" w:rsidP="004A5906">
            <w:pPr>
              <w:rPr>
                <w:sz w:val="22"/>
                <w:szCs w:val="22"/>
                <w:lang w:val="en-GB"/>
              </w:rPr>
            </w:pPr>
            <w:proofErr w:type="spellStart"/>
            <w:r w:rsidRPr="00322951">
              <w:rPr>
                <w:sz w:val="22"/>
                <w:szCs w:val="22"/>
                <w:lang w:val="en-GB"/>
              </w:rPr>
              <w:t>Glecaprevir</w:t>
            </w:r>
            <w:proofErr w:type="spellEnd"/>
            <w:r w:rsidRPr="00322951">
              <w:rPr>
                <w:sz w:val="22"/>
                <w:szCs w:val="22"/>
                <w:lang w:val="en-GB"/>
              </w:rPr>
              <w:t xml:space="preserve">/ </w:t>
            </w:r>
            <w:proofErr w:type="spellStart"/>
            <w:r w:rsidRPr="00322951">
              <w:rPr>
                <w:sz w:val="22"/>
                <w:szCs w:val="22"/>
                <w:lang w:val="en-GB"/>
              </w:rPr>
              <w:t>pibrentasvir</w:t>
            </w:r>
            <w:proofErr w:type="spellEnd"/>
          </w:p>
        </w:tc>
        <w:tc>
          <w:tcPr>
            <w:tcW w:w="4075" w:type="pct"/>
            <w:tcBorders>
              <w:top w:val="single" w:sz="4" w:space="0" w:color="auto"/>
              <w:left w:val="single" w:sz="4" w:space="0" w:color="auto"/>
              <w:bottom w:val="nil"/>
              <w:right w:val="single" w:sz="4" w:space="0" w:color="auto"/>
            </w:tcBorders>
            <w:hideMark/>
          </w:tcPr>
          <w:p w14:paraId="28D01691" w14:textId="77777777" w:rsidR="00E607F1" w:rsidRPr="00322951" w:rsidRDefault="00E607F1" w:rsidP="004A5906">
            <w:pPr>
              <w:rPr>
                <w:sz w:val="22"/>
                <w:szCs w:val="22"/>
                <w:lang w:val="en-GB"/>
              </w:rPr>
            </w:pPr>
            <w:r w:rsidRPr="00322951">
              <w:rPr>
                <w:sz w:val="22"/>
                <w:szCs w:val="22"/>
                <w:lang w:val="en-GB"/>
              </w:rPr>
              <w:t xml:space="preserve">The concomitant use of dabigatran </w:t>
            </w:r>
            <w:proofErr w:type="spellStart"/>
            <w:r w:rsidRPr="00322951">
              <w:rPr>
                <w:sz w:val="22"/>
                <w:szCs w:val="22"/>
                <w:lang w:val="en-GB"/>
              </w:rPr>
              <w:t>etexilate</w:t>
            </w:r>
            <w:proofErr w:type="spellEnd"/>
            <w:r w:rsidRPr="00322951">
              <w:rPr>
                <w:sz w:val="22"/>
                <w:szCs w:val="22"/>
                <w:lang w:val="en-GB"/>
              </w:rPr>
              <w:t xml:space="preserve"> with the fixed-dose combination of the P-</w:t>
            </w:r>
            <w:proofErr w:type="spellStart"/>
            <w:r w:rsidRPr="00322951">
              <w:rPr>
                <w:sz w:val="22"/>
                <w:szCs w:val="22"/>
                <w:lang w:val="en-GB"/>
              </w:rPr>
              <w:t>gp</w:t>
            </w:r>
            <w:proofErr w:type="spellEnd"/>
            <w:r w:rsidRPr="00322951">
              <w:rPr>
                <w:sz w:val="22"/>
                <w:szCs w:val="22"/>
                <w:lang w:val="en-GB"/>
              </w:rPr>
              <w:t xml:space="preserve"> inhibitors </w:t>
            </w:r>
            <w:proofErr w:type="spellStart"/>
            <w:r w:rsidRPr="00322951">
              <w:rPr>
                <w:sz w:val="22"/>
                <w:szCs w:val="22"/>
                <w:lang w:val="en-GB"/>
              </w:rPr>
              <w:t>glecaprevir</w:t>
            </w:r>
            <w:proofErr w:type="spellEnd"/>
            <w:r w:rsidRPr="00322951">
              <w:rPr>
                <w:sz w:val="22"/>
                <w:szCs w:val="22"/>
                <w:lang w:val="en-GB"/>
              </w:rPr>
              <w:t>/</w:t>
            </w:r>
            <w:proofErr w:type="spellStart"/>
            <w:r w:rsidRPr="00322951">
              <w:rPr>
                <w:sz w:val="22"/>
                <w:szCs w:val="22"/>
                <w:lang w:val="en-GB"/>
              </w:rPr>
              <w:t>pibrentasvir</w:t>
            </w:r>
            <w:proofErr w:type="spellEnd"/>
            <w:r w:rsidRPr="00322951">
              <w:rPr>
                <w:sz w:val="22"/>
                <w:szCs w:val="22"/>
                <w:lang w:val="en-GB"/>
              </w:rPr>
              <w:t xml:space="preserve"> has been shown to increase exposure of dabigatran and may increase the risk of bleeding.</w:t>
            </w:r>
          </w:p>
        </w:tc>
      </w:tr>
      <w:tr w:rsidR="00E607F1" w:rsidRPr="00322951" w14:paraId="0A2AD3ED"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29D276F8" w14:textId="77777777" w:rsidR="00E607F1" w:rsidRPr="00322951" w:rsidRDefault="00E607F1" w:rsidP="004A5906">
            <w:pPr>
              <w:rPr>
                <w:i/>
                <w:iCs/>
                <w:sz w:val="22"/>
                <w:szCs w:val="22"/>
                <w:lang w:val="en-GB"/>
              </w:rPr>
            </w:pPr>
            <w:r w:rsidRPr="00322951">
              <w:rPr>
                <w:i/>
                <w:iCs/>
                <w:sz w:val="22"/>
                <w:szCs w:val="22"/>
                <w:lang w:val="en-GB"/>
              </w:rPr>
              <w:t>Concomitant use not recommended</w:t>
            </w:r>
          </w:p>
        </w:tc>
      </w:tr>
      <w:tr w:rsidR="00E607F1" w:rsidRPr="00D476B2" w14:paraId="0CC4C75B" w14:textId="77777777" w:rsidTr="004A5906">
        <w:trPr>
          <w:trHeight w:val="57"/>
          <w:jc w:val="center"/>
        </w:trPr>
        <w:tc>
          <w:tcPr>
            <w:tcW w:w="925" w:type="pct"/>
            <w:tcBorders>
              <w:top w:val="single" w:sz="4" w:space="0" w:color="auto"/>
              <w:left w:val="single" w:sz="4" w:space="0" w:color="auto"/>
              <w:bottom w:val="nil"/>
              <w:right w:val="nil"/>
            </w:tcBorders>
            <w:hideMark/>
          </w:tcPr>
          <w:p w14:paraId="2810D7AF" w14:textId="77777777" w:rsidR="00E607F1" w:rsidRPr="00322951" w:rsidRDefault="00E607F1" w:rsidP="004A5906">
            <w:pPr>
              <w:rPr>
                <w:sz w:val="22"/>
                <w:szCs w:val="22"/>
                <w:lang w:val="en-GB"/>
              </w:rPr>
            </w:pPr>
            <w:r w:rsidRPr="00322951">
              <w:rPr>
                <w:sz w:val="22"/>
                <w:szCs w:val="22"/>
                <w:lang w:val="en-GB"/>
              </w:rPr>
              <w:t>Tacrolimus</w:t>
            </w:r>
          </w:p>
        </w:tc>
        <w:tc>
          <w:tcPr>
            <w:tcW w:w="4075" w:type="pct"/>
            <w:tcBorders>
              <w:top w:val="single" w:sz="4" w:space="0" w:color="auto"/>
              <w:left w:val="single" w:sz="4" w:space="0" w:color="auto"/>
              <w:bottom w:val="nil"/>
              <w:right w:val="single" w:sz="4" w:space="0" w:color="auto"/>
            </w:tcBorders>
            <w:hideMark/>
          </w:tcPr>
          <w:p w14:paraId="292F0AF9" w14:textId="77777777" w:rsidR="00E607F1" w:rsidRPr="00322951" w:rsidRDefault="00E607F1" w:rsidP="004A5906">
            <w:pPr>
              <w:rPr>
                <w:sz w:val="22"/>
                <w:szCs w:val="22"/>
                <w:lang w:val="en-GB"/>
              </w:rPr>
            </w:pPr>
            <w:r w:rsidRPr="00322951">
              <w:rPr>
                <w:sz w:val="22"/>
                <w:szCs w:val="22"/>
                <w:lang w:val="en-GB"/>
              </w:rPr>
              <w:t>Tacrolimus has been found in vitro to have a similar level of inhibitory effect on P-</w:t>
            </w:r>
            <w:proofErr w:type="spellStart"/>
            <w:r w:rsidRPr="00322951">
              <w:rPr>
                <w:sz w:val="22"/>
                <w:szCs w:val="22"/>
                <w:lang w:val="en-GB"/>
              </w:rPr>
              <w:t>gp</w:t>
            </w:r>
            <w:proofErr w:type="spellEnd"/>
            <w:r w:rsidRPr="00322951">
              <w:rPr>
                <w:sz w:val="22"/>
                <w:szCs w:val="22"/>
                <w:lang w:val="en-GB"/>
              </w:rPr>
              <w:t xml:space="preserve"> as that seen with itraconazole and cyclosporine. Dabigatran </w:t>
            </w:r>
            <w:proofErr w:type="spellStart"/>
            <w:r w:rsidRPr="00322951">
              <w:rPr>
                <w:sz w:val="22"/>
                <w:szCs w:val="22"/>
                <w:lang w:val="en-GB"/>
              </w:rPr>
              <w:t>etexilate</w:t>
            </w:r>
            <w:proofErr w:type="spellEnd"/>
            <w:r w:rsidRPr="00322951">
              <w:rPr>
                <w:sz w:val="22"/>
                <w:szCs w:val="22"/>
                <w:lang w:val="en-GB"/>
              </w:rPr>
              <w:t xml:space="preserve"> has not been clinically studied together with tacrolimus. However, limited clinical data with another P-</w:t>
            </w:r>
            <w:proofErr w:type="spellStart"/>
            <w:r w:rsidRPr="00322951">
              <w:rPr>
                <w:sz w:val="22"/>
                <w:szCs w:val="22"/>
                <w:lang w:val="en-GB"/>
              </w:rPr>
              <w:t>gp</w:t>
            </w:r>
            <w:proofErr w:type="spellEnd"/>
            <w:r w:rsidRPr="00322951">
              <w:rPr>
                <w:sz w:val="22"/>
                <w:szCs w:val="22"/>
                <w:lang w:val="en-GB"/>
              </w:rPr>
              <w:t xml:space="preserve"> substrate (</w:t>
            </w:r>
            <w:proofErr w:type="spellStart"/>
            <w:r w:rsidRPr="00322951">
              <w:rPr>
                <w:sz w:val="22"/>
                <w:szCs w:val="22"/>
                <w:lang w:val="en-GB"/>
              </w:rPr>
              <w:t>everolimus</w:t>
            </w:r>
            <w:proofErr w:type="spellEnd"/>
            <w:r w:rsidRPr="00322951">
              <w:rPr>
                <w:sz w:val="22"/>
                <w:szCs w:val="22"/>
                <w:lang w:val="en-GB"/>
              </w:rPr>
              <w:t>) suggest that the inhibition of P-</w:t>
            </w:r>
            <w:proofErr w:type="spellStart"/>
            <w:r w:rsidRPr="00322951">
              <w:rPr>
                <w:sz w:val="22"/>
                <w:szCs w:val="22"/>
                <w:lang w:val="en-GB"/>
              </w:rPr>
              <w:t>gp</w:t>
            </w:r>
            <w:proofErr w:type="spellEnd"/>
            <w:r w:rsidRPr="00322951">
              <w:rPr>
                <w:sz w:val="22"/>
                <w:szCs w:val="22"/>
                <w:lang w:val="en-GB"/>
              </w:rPr>
              <w:t xml:space="preserve"> with tacrolimus is weaker than that observed with strong P-</w:t>
            </w:r>
            <w:proofErr w:type="spellStart"/>
            <w:r w:rsidRPr="00322951">
              <w:rPr>
                <w:sz w:val="22"/>
                <w:szCs w:val="22"/>
                <w:lang w:val="en-GB"/>
              </w:rPr>
              <w:t>gp</w:t>
            </w:r>
            <w:proofErr w:type="spellEnd"/>
            <w:r w:rsidRPr="00322951">
              <w:rPr>
                <w:sz w:val="22"/>
                <w:szCs w:val="22"/>
                <w:lang w:val="en-GB"/>
              </w:rPr>
              <w:t xml:space="preserve"> inhibitors.</w:t>
            </w:r>
          </w:p>
        </w:tc>
      </w:tr>
      <w:tr w:rsidR="00E607F1" w:rsidRPr="00D476B2" w14:paraId="21B9C3C4"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742099D0" w14:textId="77777777" w:rsidR="00E607F1" w:rsidRPr="00322951" w:rsidRDefault="00E607F1" w:rsidP="004A5906">
            <w:pPr>
              <w:rPr>
                <w:i/>
                <w:iCs/>
                <w:sz w:val="22"/>
                <w:szCs w:val="22"/>
                <w:lang w:val="en-GB"/>
              </w:rPr>
            </w:pPr>
            <w:r w:rsidRPr="00322951">
              <w:rPr>
                <w:i/>
                <w:iCs/>
                <w:sz w:val="22"/>
                <w:szCs w:val="22"/>
                <w:lang w:val="en-GB"/>
              </w:rPr>
              <w:t>Cautions to be exercised in case concomitant use (see sections 4.2 and 4.4)</w:t>
            </w:r>
          </w:p>
        </w:tc>
      </w:tr>
      <w:tr w:rsidR="00E607F1" w:rsidRPr="00322951" w14:paraId="7C4379DD" w14:textId="77777777" w:rsidTr="004A5906">
        <w:trPr>
          <w:trHeight w:val="57"/>
          <w:jc w:val="center"/>
        </w:trPr>
        <w:tc>
          <w:tcPr>
            <w:tcW w:w="925" w:type="pct"/>
            <w:tcBorders>
              <w:top w:val="single" w:sz="4" w:space="0" w:color="auto"/>
              <w:left w:val="single" w:sz="4" w:space="0" w:color="auto"/>
              <w:bottom w:val="nil"/>
              <w:right w:val="nil"/>
            </w:tcBorders>
            <w:hideMark/>
          </w:tcPr>
          <w:p w14:paraId="6E97EBC6" w14:textId="77777777" w:rsidR="00E607F1" w:rsidRPr="00322951" w:rsidRDefault="00E607F1" w:rsidP="004A5906">
            <w:pPr>
              <w:rPr>
                <w:sz w:val="22"/>
                <w:szCs w:val="22"/>
                <w:lang w:val="en-GB"/>
              </w:rPr>
            </w:pPr>
            <w:r w:rsidRPr="00322951">
              <w:rPr>
                <w:sz w:val="22"/>
                <w:szCs w:val="22"/>
                <w:lang w:val="en-GB"/>
              </w:rPr>
              <w:t>Verapamil</w:t>
            </w:r>
          </w:p>
        </w:tc>
        <w:tc>
          <w:tcPr>
            <w:tcW w:w="4075" w:type="pct"/>
            <w:tcBorders>
              <w:top w:val="single" w:sz="4" w:space="0" w:color="auto"/>
              <w:left w:val="single" w:sz="4" w:space="0" w:color="auto"/>
              <w:bottom w:val="nil"/>
              <w:right w:val="single" w:sz="4" w:space="0" w:color="auto"/>
            </w:tcBorders>
            <w:hideMark/>
          </w:tcPr>
          <w:p w14:paraId="553D0643" w14:textId="77777777" w:rsidR="00E607F1" w:rsidRPr="00322951" w:rsidRDefault="00E607F1" w:rsidP="004A5906">
            <w:pPr>
              <w:rPr>
                <w:sz w:val="22"/>
                <w:szCs w:val="22"/>
                <w:lang w:val="en-GB"/>
              </w:rPr>
            </w:pPr>
            <w:r w:rsidRPr="00322951">
              <w:rPr>
                <w:sz w:val="22"/>
                <w:szCs w:val="22"/>
                <w:lang w:val="en-GB"/>
              </w:rPr>
              <w:t xml:space="preserve">When dabigatran </w:t>
            </w:r>
            <w:proofErr w:type="spellStart"/>
            <w:r w:rsidRPr="00322951">
              <w:rPr>
                <w:sz w:val="22"/>
                <w:szCs w:val="22"/>
                <w:lang w:val="en-GB"/>
              </w:rPr>
              <w:t>etexilate</w:t>
            </w:r>
            <w:proofErr w:type="spellEnd"/>
            <w:r w:rsidRPr="00322951">
              <w:rPr>
                <w:sz w:val="22"/>
                <w:szCs w:val="22"/>
                <w:lang w:val="en-GB"/>
              </w:rPr>
              <w:t xml:space="preserve"> (150 mg) was co-administered with oral verapamil, the C</w:t>
            </w:r>
            <w:r w:rsidRPr="00322951">
              <w:rPr>
                <w:sz w:val="22"/>
                <w:szCs w:val="22"/>
                <w:vertAlign w:val="subscript"/>
                <w:lang w:val="en-GB"/>
              </w:rPr>
              <w:t>max</w:t>
            </w:r>
            <w:r w:rsidRPr="00322951">
              <w:rPr>
                <w:sz w:val="22"/>
                <w:szCs w:val="22"/>
                <w:lang w:val="en-GB"/>
              </w:rPr>
              <w:t xml:space="preserve"> and AUC of dabigatran were increased but the magnitude of this change differs depending on timing of administration and formulation of verapamil </w:t>
            </w:r>
            <w:r w:rsidRPr="00322951">
              <w:rPr>
                <w:sz w:val="22"/>
                <w:szCs w:val="22"/>
                <w:lang w:val="en-GB"/>
              </w:rPr>
              <w:br/>
              <w:t>(see sections 4.2 and 4.4).</w:t>
            </w:r>
          </w:p>
          <w:p w14:paraId="21261195" w14:textId="77777777" w:rsidR="00E607F1" w:rsidRPr="00322951" w:rsidRDefault="00E607F1" w:rsidP="004A5906">
            <w:pPr>
              <w:rPr>
                <w:sz w:val="22"/>
                <w:szCs w:val="22"/>
                <w:lang w:val="en-GB"/>
              </w:rPr>
            </w:pPr>
            <w:r w:rsidRPr="00322951">
              <w:rPr>
                <w:sz w:val="22"/>
                <w:szCs w:val="22"/>
                <w:lang w:val="en-GB"/>
              </w:rPr>
              <w:t xml:space="preserve">The greatest elevation of dabigatran exposure was observed with the first dose of an immediate release formulation of verapamil administered one hour prior to the dabigatran </w:t>
            </w:r>
            <w:proofErr w:type="spellStart"/>
            <w:r w:rsidRPr="00322951">
              <w:rPr>
                <w:sz w:val="22"/>
                <w:szCs w:val="22"/>
                <w:lang w:val="en-GB"/>
              </w:rPr>
              <w:t>etexilate</w:t>
            </w:r>
            <w:proofErr w:type="spellEnd"/>
            <w:r w:rsidRPr="00322951">
              <w:rPr>
                <w:sz w:val="22"/>
                <w:szCs w:val="22"/>
                <w:lang w:val="en-GB"/>
              </w:rPr>
              <w:t xml:space="preserve"> intake (increase of C</w:t>
            </w:r>
            <w:r w:rsidRPr="00322951">
              <w:rPr>
                <w:sz w:val="22"/>
                <w:szCs w:val="22"/>
                <w:vertAlign w:val="subscript"/>
                <w:lang w:val="en-GB"/>
              </w:rPr>
              <w:t>max</w:t>
            </w:r>
            <w:r w:rsidRPr="00322951">
              <w:rPr>
                <w:sz w:val="22"/>
                <w:szCs w:val="22"/>
                <w:lang w:val="en-GB"/>
              </w:rPr>
              <w:t xml:space="preserve"> by about 2.8-fold and AUC by about 2.5-fold). The effect was progressively decreased with administration of an </w:t>
            </w:r>
            <w:proofErr w:type="gramStart"/>
            <w:r w:rsidRPr="00322951">
              <w:rPr>
                <w:sz w:val="22"/>
                <w:szCs w:val="22"/>
                <w:lang w:val="en-GB"/>
              </w:rPr>
              <w:t>extended release</w:t>
            </w:r>
            <w:proofErr w:type="gramEnd"/>
            <w:r w:rsidRPr="00322951">
              <w:rPr>
                <w:sz w:val="22"/>
                <w:szCs w:val="22"/>
                <w:lang w:val="en-GB"/>
              </w:rPr>
              <w:t xml:space="preserve"> formulation (increase of C</w:t>
            </w:r>
            <w:r w:rsidRPr="00322951">
              <w:rPr>
                <w:sz w:val="22"/>
                <w:szCs w:val="22"/>
                <w:vertAlign w:val="subscript"/>
                <w:lang w:val="en-GB"/>
              </w:rPr>
              <w:t>max</w:t>
            </w:r>
            <w:r w:rsidRPr="00322951">
              <w:rPr>
                <w:sz w:val="22"/>
                <w:szCs w:val="22"/>
                <w:lang w:val="en-GB"/>
              </w:rPr>
              <w:t xml:space="preserve"> by about 1.9-fold and AUC by about 1.7-fold) or administration of multiple doses of verapamil (increase of C</w:t>
            </w:r>
            <w:r w:rsidRPr="00322951">
              <w:rPr>
                <w:sz w:val="22"/>
                <w:szCs w:val="22"/>
                <w:vertAlign w:val="subscript"/>
                <w:lang w:val="en-GB"/>
              </w:rPr>
              <w:t>max</w:t>
            </w:r>
            <w:r w:rsidRPr="00322951">
              <w:rPr>
                <w:sz w:val="22"/>
                <w:szCs w:val="22"/>
                <w:lang w:val="en-GB"/>
              </w:rPr>
              <w:t xml:space="preserve"> by about 1.6-fold and AUC by about 1.5-fold).</w:t>
            </w:r>
          </w:p>
          <w:p w14:paraId="4C7D416B" w14:textId="77777777" w:rsidR="00E607F1" w:rsidRPr="00322951" w:rsidRDefault="00E607F1" w:rsidP="004A5906">
            <w:pPr>
              <w:rPr>
                <w:sz w:val="22"/>
                <w:szCs w:val="22"/>
                <w:lang w:val="en-GB"/>
              </w:rPr>
            </w:pPr>
            <w:r w:rsidRPr="00322951">
              <w:rPr>
                <w:sz w:val="22"/>
                <w:szCs w:val="22"/>
                <w:lang w:val="en-GB"/>
              </w:rPr>
              <w:t xml:space="preserve">There was no meaningful interaction observed when verapamil was given 2 hours after dabigatran </w:t>
            </w:r>
            <w:proofErr w:type="spellStart"/>
            <w:r w:rsidRPr="00322951">
              <w:rPr>
                <w:sz w:val="22"/>
                <w:szCs w:val="22"/>
                <w:lang w:val="en-GB"/>
              </w:rPr>
              <w:t>etexilate</w:t>
            </w:r>
            <w:proofErr w:type="spellEnd"/>
            <w:r w:rsidRPr="00322951">
              <w:rPr>
                <w:sz w:val="22"/>
                <w:szCs w:val="22"/>
                <w:lang w:val="en-GB"/>
              </w:rPr>
              <w:t xml:space="preserve"> (increase of C</w:t>
            </w:r>
            <w:r w:rsidRPr="00322951">
              <w:rPr>
                <w:sz w:val="22"/>
                <w:szCs w:val="22"/>
                <w:vertAlign w:val="subscript"/>
                <w:lang w:val="en-GB"/>
              </w:rPr>
              <w:t>max</w:t>
            </w:r>
            <w:r w:rsidRPr="00322951">
              <w:rPr>
                <w:sz w:val="22"/>
                <w:szCs w:val="22"/>
                <w:lang w:val="en-GB"/>
              </w:rPr>
              <w:t xml:space="preserve"> by about 1.1-fold and AUC by about 1.2-fold). This is explained by completed dabigatran absorption after </w:t>
            </w:r>
            <w:r w:rsidRPr="00322951">
              <w:rPr>
                <w:sz w:val="22"/>
                <w:szCs w:val="22"/>
                <w:lang w:val="en-GB"/>
              </w:rPr>
              <w:br/>
              <w:t>2 hours.</w:t>
            </w:r>
          </w:p>
        </w:tc>
      </w:tr>
      <w:tr w:rsidR="00E607F1" w:rsidRPr="00D476B2" w14:paraId="49067A57" w14:textId="77777777" w:rsidTr="004A5906">
        <w:trPr>
          <w:trHeight w:val="57"/>
          <w:jc w:val="center"/>
        </w:trPr>
        <w:tc>
          <w:tcPr>
            <w:tcW w:w="925" w:type="pct"/>
            <w:tcBorders>
              <w:top w:val="single" w:sz="4" w:space="0" w:color="auto"/>
              <w:left w:val="single" w:sz="4" w:space="0" w:color="auto"/>
              <w:bottom w:val="nil"/>
              <w:right w:val="nil"/>
            </w:tcBorders>
            <w:hideMark/>
          </w:tcPr>
          <w:p w14:paraId="43A704E0" w14:textId="77777777" w:rsidR="00E607F1" w:rsidRPr="00322951" w:rsidRDefault="00E607F1" w:rsidP="004A5906">
            <w:pPr>
              <w:rPr>
                <w:sz w:val="22"/>
                <w:szCs w:val="22"/>
                <w:lang w:val="en-GB"/>
              </w:rPr>
            </w:pPr>
            <w:r w:rsidRPr="00322951">
              <w:rPr>
                <w:sz w:val="22"/>
                <w:szCs w:val="22"/>
                <w:lang w:val="en-GB"/>
              </w:rPr>
              <w:t>Amiodarone</w:t>
            </w:r>
          </w:p>
        </w:tc>
        <w:tc>
          <w:tcPr>
            <w:tcW w:w="4075" w:type="pct"/>
            <w:tcBorders>
              <w:top w:val="single" w:sz="4" w:space="0" w:color="auto"/>
              <w:left w:val="single" w:sz="4" w:space="0" w:color="auto"/>
              <w:bottom w:val="nil"/>
              <w:right w:val="single" w:sz="4" w:space="0" w:color="auto"/>
            </w:tcBorders>
            <w:hideMark/>
          </w:tcPr>
          <w:p w14:paraId="7972ED4C" w14:textId="77777777" w:rsidR="00E607F1" w:rsidRPr="00322951" w:rsidRDefault="00E607F1" w:rsidP="004A5906">
            <w:pPr>
              <w:rPr>
                <w:sz w:val="22"/>
                <w:szCs w:val="22"/>
                <w:lang w:val="en-GB"/>
              </w:rPr>
            </w:pPr>
            <w:r w:rsidRPr="00322951">
              <w:rPr>
                <w:sz w:val="22"/>
                <w:szCs w:val="22"/>
                <w:lang w:val="en-GB"/>
              </w:rPr>
              <w:t xml:space="preserve">When dabigatran </w:t>
            </w:r>
            <w:proofErr w:type="spellStart"/>
            <w:r w:rsidRPr="00322951">
              <w:rPr>
                <w:sz w:val="22"/>
                <w:szCs w:val="22"/>
                <w:lang w:val="en-GB"/>
              </w:rPr>
              <w:t>etexilate</w:t>
            </w:r>
            <w:proofErr w:type="spellEnd"/>
            <w:r w:rsidRPr="00322951">
              <w:rPr>
                <w:sz w:val="22"/>
                <w:szCs w:val="22"/>
                <w:lang w:val="en-GB"/>
              </w:rPr>
              <w:t xml:space="preserve"> was co-administered with a single oral dose of 600 mg amiodarone, the extent and rate of absorption of amiodarone and its active metabolite DEA were essentially unchanged. The dabigatran AUC and C</w:t>
            </w:r>
            <w:r w:rsidRPr="00322951">
              <w:rPr>
                <w:sz w:val="22"/>
                <w:szCs w:val="22"/>
                <w:vertAlign w:val="subscript"/>
                <w:lang w:val="en-GB"/>
              </w:rPr>
              <w:t>max</w:t>
            </w:r>
            <w:r w:rsidRPr="00322951">
              <w:rPr>
                <w:sz w:val="22"/>
                <w:szCs w:val="22"/>
                <w:lang w:val="en-GB"/>
              </w:rPr>
              <w:t xml:space="preserve"> were increased by about 1.6-fold and 1.5-fold, respectively. In view of the long half-life of amiodarone the potential for an interaction may exist for weeks after discontinuation of amiodarone (see sections 4.2 and 4.4).</w:t>
            </w:r>
          </w:p>
        </w:tc>
      </w:tr>
      <w:tr w:rsidR="00E607F1" w:rsidRPr="00D476B2" w14:paraId="63F6A8C0" w14:textId="77777777" w:rsidTr="004A5906">
        <w:trPr>
          <w:trHeight w:val="57"/>
          <w:jc w:val="center"/>
        </w:trPr>
        <w:tc>
          <w:tcPr>
            <w:tcW w:w="925" w:type="pct"/>
            <w:tcBorders>
              <w:top w:val="single" w:sz="4" w:space="0" w:color="auto"/>
              <w:left w:val="single" w:sz="4" w:space="0" w:color="auto"/>
              <w:bottom w:val="single" w:sz="4" w:space="0" w:color="auto"/>
              <w:right w:val="nil"/>
            </w:tcBorders>
            <w:hideMark/>
          </w:tcPr>
          <w:p w14:paraId="18902DA8" w14:textId="77777777" w:rsidR="00E607F1" w:rsidRPr="00322951" w:rsidRDefault="00E607F1" w:rsidP="004A5906">
            <w:pPr>
              <w:rPr>
                <w:sz w:val="22"/>
                <w:szCs w:val="22"/>
                <w:lang w:val="en-GB"/>
              </w:rPr>
            </w:pPr>
            <w:r w:rsidRPr="00322951">
              <w:rPr>
                <w:sz w:val="22"/>
                <w:szCs w:val="22"/>
                <w:lang w:val="en-GB"/>
              </w:rPr>
              <w:t>Quinidine</w:t>
            </w:r>
          </w:p>
        </w:tc>
        <w:tc>
          <w:tcPr>
            <w:tcW w:w="4075" w:type="pct"/>
            <w:tcBorders>
              <w:top w:val="single" w:sz="4" w:space="0" w:color="auto"/>
              <w:left w:val="single" w:sz="4" w:space="0" w:color="auto"/>
              <w:bottom w:val="single" w:sz="4" w:space="0" w:color="auto"/>
              <w:right w:val="single" w:sz="4" w:space="0" w:color="auto"/>
            </w:tcBorders>
            <w:hideMark/>
          </w:tcPr>
          <w:p w14:paraId="6E343589" w14:textId="77777777" w:rsidR="00E607F1" w:rsidRPr="00322951" w:rsidRDefault="00E607F1" w:rsidP="004A5906">
            <w:pPr>
              <w:rPr>
                <w:sz w:val="22"/>
                <w:szCs w:val="22"/>
                <w:lang w:val="en-GB"/>
              </w:rPr>
            </w:pPr>
            <w:r w:rsidRPr="00322951">
              <w:rPr>
                <w:sz w:val="22"/>
                <w:szCs w:val="22"/>
                <w:lang w:val="en-GB"/>
              </w:rPr>
              <w:t xml:space="preserve">Quinidine was given as 200 mg dose every 2nd hour up to a total dose of 1,000 mg. Dabigatran </w:t>
            </w:r>
            <w:proofErr w:type="spellStart"/>
            <w:r w:rsidRPr="00322951">
              <w:rPr>
                <w:sz w:val="22"/>
                <w:szCs w:val="22"/>
                <w:lang w:val="en-GB"/>
              </w:rPr>
              <w:t>etexilate</w:t>
            </w:r>
            <w:proofErr w:type="spellEnd"/>
            <w:r w:rsidRPr="00322951">
              <w:rPr>
                <w:sz w:val="22"/>
                <w:szCs w:val="22"/>
                <w:lang w:val="en-GB"/>
              </w:rPr>
              <w:t xml:space="preserve"> was given twice daily over 3 consecutive days, on the 3</w:t>
            </w:r>
            <w:r w:rsidRPr="00322951">
              <w:rPr>
                <w:sz w:val="22"/>
                <w:szCs w:val="22"/>
                <w:vertAlign w:val="superscript"/>
                <w:lang w:val="en-GB"/>
              </w:rPr>
              <w:t>rd</w:t>
            </w:r>
            <w:r w:rsidRPr="00322951">
              <w:rPr>
                <w:sz w:val="22"/>
                <w:szCs w:val="22"/>
                <w:lang w:val="en-GB"/>
              </w:rPr>
              <w:t xml:space="preserve"> day either with or without quinidine. Dabigatran </w:t>
            </w:r>
            <w:proofErr w:type="spellStart"/>
            <w:r w:rsidRPr="00322951">
              <w:rPr>
                <w:sz w:val="22"/>
                <w:szCs w:val="22"/>
                <w:lang w:val="en-GB"/>
              </w:rPr>
              <w:t>AUC</w:t>
            </w:r>
            <w:proofErr w:type="gramStart"/>
            <w:r w:rsidRPr="00322951">
              <w:rPr>
                <w:sz w:val="22"/>
                <w:szCs w:val="22"/>
                <w:lang w:val="en-GB"/>
              </w:rPr>
              <w:t>τ,</w:t>
            </w:r>
            <w:r w:rsidRPr="00322951">
              <w:rPr>
                <w:sz w:val="22"/>
                <w:szCs w:val="22"/>
                <w:vertAlign w:val="subscript"/>
                <w:lang w:val="en-GB"/>
              </w:rPr>
              <w:t>ss</w:t>
            </w:r>
            <w:proofErr w:type="spellEnd"/>
            <w:proofErr w:type="gramEnd"/>
            <w:r w:rsidRPr="00322951">
              <w:rPr>
                <w:sz w:val="22"/>
                <w:szCs w:val="22"/>
                <w:lang w:val="en-GB"/>
              </w:rPr>
              <w:t xml:space="preserve"> and </w:t>
            </w:r>
            <w:proofErr w:type="spellStart"/>
            <w:r w:rsidRPr="00322951">
              <w:rPr>
                <w:sz w:val="22"/>
                <w:szCs w:val="22"/>
                <w:lang w:val="en-GB"/>
              </w:rPr>
              <w:t>C</w:t>
            </w:r>
            <w:r w:rsidRPr="00322951">
              <w:rPr>
                <w:sz w:val="22"/>
                <w:szCs w:val="22"/>
                <w:vertAlign w:val="subscript"/>
                <w:lang w:val="en-GB"/>
              </w:rPr>
              <w:t>max</w:t>
            </w:r>
            <w:r w:rsidRPr="00322951">
              <w:rPr>
                <w:sz w:val="22"/>
                <w:szCs w:val="22"/>
                <w:lang w:val="en-GB"/>
              </w:rPr>
              <w:t>,</w:t>
            </w:r>
            <w:r w:rsidRPr="00322951">
              <w:rPr>
                <w:sz w:val="22"/>
                <w:szCs w:val="22"/>
                <w:vertAlign w:val="subscript"/>
                <w:lang w:val="en-GB"/>
              </w:rPr>
              <w:t>ss</w:t>
            </w:r>
            <w:proofErr w:type="spellEnd"/>
            <w:r w:rsidRPr="00322951">
              <w:rPr>
                <w:sz w:val="22"/>
                <w:szCs w:val="22"/>
                <w:lang w:val="en-GB"/>
              </w:rPr>
              <w:t xml:space="preserve"> were increased on average by 1.53-fold and 1.56-fold, respectively with concomitant quinidine (see sections 4.2 and 4.4).</w:t>
            </w:r>
          </w:p>
        </w:tc>
      </w:tr>
      <w:tr w:rsidR="00E607F1" w:rsidRPr="00D476B2" w14:paraId="4C54632A" w14:textId="77777777" w:rsidTr="004A5906">
        <w:trPr>
          <w:trHeight w:val="57"/>
          <w:jc w:val="center"/>
        </w:trPr>
        <w:tc>
          <w:tcPr>
            <w:tcW w:w="925" w:type="pct"/>
            <w:tcBorders>
              <w:top w:val="single" w:sz="4" w:space="0" w:color="auto"/>
              <w:left w:val="single" w:sz="4" w:space="0" w:color="auto"/>
              <w:bottom w:val="single" w:sz="4" w:space="0" w:color="auto"/>
              <w:right w:val="single" w:sz="4" w:space="0" w:color="auto"/>
            </w:tcBorders>
            <w:hideMark/>
          </w:tcPr>
          <w:p w14:paraId="08B4C1D1" w14:textId="77777777" w:rsidR="00E607F1" w:rsidRPr="00322951" w:rsidRDefault="00E607F1" w:rsidP="004A5906">
            <w:pPr>
              <w:rPr>
                <w:sz w:val="22"/>
                <w:szCs w:val="22"/>
                <w:lang w:val="en-GB"/>
              </w:rPr>
            </w:pPr>
            <w:r w:rsidRPr="00322951">
              <w:rPr>
                <w:sz w:val="22"/>
                <w:szCs w:val="22"/>
                <w:lang w:val="en-GB"/>
              </w:rPr>
              <w:t>Clarithromycin</w:t>
            </w:r>
          </w:p>
        </w:tc>
        <w:tc>
          <w:tcPr>
            <w:tcW w:w="4075" w:type="pct"/>
            <w:tcBorders>
              <w:top w:val="single" w:sz="4" w:space="0" w:color="auto"/>
              <w:left w:val="single" w:sz="4" w:space="0" w:color="auto"/>
              <w:bottom w:val="single" w:sz="4" w:space="0" w:color="auto"/>
              <w:right w:val="single" w:sz="4" w:space="0" w:color="auto"/>
            </w:tcBorders>
            <w:hideMark/>
          </w:tcPr>
          <w:p w14:paraId="197C3044" w14:textId="77777777" w:rsidR="00E607F1" w:rsidRPr="00322951" w:rsidRDefault="00E607F1" w:rsidP="004A5906">
            <w:pPr>
              <w:rPr>
                <w:sz w:val="22"/>
                <w:szCs w:val="22"/>
                <w:lang w:val="en-GB"/>
              </w:rPr>
            </w:pPr>
            <w:r w:rsidRPr="00322951">
              <w:rPr>
                <w:sz w:val="22"/>
                <w:szCs w:val="22"/>
                <w:lang w:val="en-GB"/>
              </w:rPr>
              <w:t xml:space="preserve">When clarithromycin (500 mg twice daily) was administered together with dabigatran </w:t>
            </w:r>
            <w:proofErr w:type="spellStart"/>
            <w:r w:rsidRPr="00322951">
              <w:rPr>
                <w:sz w:val="22"/>
                <w:szCs w:val="22"/>
                <w:lang w:val="en-GB"/>
              </w:rPr>
              <w:t>etexilate</w:t>
            </w:r>
            <w:proofErr w:type="spellEnd"/>
            <w:r w:rsidRPr="00322951">
              <w:rPr>
                <w:sz w:val="22"/>
                <w:szCs w:val="22"/>
                <w:lang w:val="en-GB"/>
              </w:rPr>
              <w:t xml:space="preserve"> in healthy volunteers, increase of AUC by about 1.19-fold and C</w:t>
            </w:r>
            <w:r w:rsidRPr="00322951">
              <w:rPr>
                <w:sz w:val="22"/>
                <w:szCs w:val="22"/>
                <w:vertAlign w:val="subscript"/>
                <w:lang w:val="en-GB"/>
              </w:rPr>
              <w:t>max</w:t>
            </w:r>
            <w:r w:rsidRPr="00322951">
              <w:rPr>
                <w:sz w:val="22"/>
                <w:szCs w:val="22"/>
                <w:lang w:val="en-GB"/>
              </w:rPr>
              <w:t xml:space="preserve"> by about 1.15-fold was observed.</w:t>
            </w:r>
          </w:p>
        </w:tc>
      </w:tr>
      <w:tr w:rsidR="00E607F1" w:rsidRPr="00D476B2" w14:paraId="6A67F0E0" w14:textId="77777777" w:rsidTr="004A5906">
        <w:trPr>
          <w:trHeight w:val="57"/>
          <w:jc w:val="center"/>
        </w:trPr>
        <w:tc>
          <w:tcPr>
            <w:tcW w:w="925" w:type="pct"/>
            <w:tcBorders>
              <w:top w:val="single" w:sz="4" w:space="0" w:color="auto"/>
              <w:left w:val="single" w:sz="4" w:space="0" w:color="auto"/>
              <w:bottom w:val="nil"/>
              <w:right w:val="nil"/>
            </w:tcBorders>
            <w:hideMark/>
          </w:tcPr>
          <w:p w14:paraId="5C6D2084" w14:textId="77777777" w:rsidR="00E607F1" w:rsidRPr="00322951" w:rsidRDefault="00E607F1" w:rsidP="004A5906">
            <w:pPr>
              <w:rPr>
                <w:sz w:val="22"/>
                <w:szCs w:val="22"/>
                <w:lang w:val="en-GB"/>
              </w:rPr>
            </w:pPr>
            <w:r w:rsidRPr="00322951">
              <w:rPr>
                <w:sz w:val="22"/>
                <w:szCs w:val="22"/>
                <w:lang w:val="en-GB"/>
              </w:rPr>
              <w:t>Ticagrelor</w:t>
            </w:r>
          </w:p>
        </w:tc>
        <w:tc>
          <w:tcPr>
            <w:tcW w:w="4075" w:type="pct"/>
            <w:tcBorders>
              <w:top w:val="single" w:sz="4" w:space="0" w:color="auto"/>
              <w:left w:val="single" w:sz="4" w:space="0" w:color="auto"/>
              <w:bottom w:val="nil"/>
              <w:right w:val="single" w:sz="4" w:space="0" w:color="auto"/>
            </w:tcBorders>
            <w:hideMark/>
          </w:tcPr>
          <w:p w14:paraId="6185551F" w14:textId="77777777" w:rsidR="00E607F1" w:rsidRPr="00322951" w:rsidRDefault="00E607F1" w:rsidP="004A5906">
            <w:pPr>
              <w:rPr>
                <w:sz w:val="22"/>
                <w:szCs w:val="22"/>
                <w:lang w:val="en-GB"/>
              </w:rPr>
            </w:pPr>
            <w:r w:rsidRPr="00322951">
              <w:rPr>
                <w:sz w:val="22"/>
                <w:szCs w:val="22"/>
                <w:lang w:val="en-GB"/>
              </w:rPr>
              <w:t xml:space="preserve">When a single dose of 75 mg dabigatran </w:t>
            </w:r>
            <w:proofErr w:type="spellStart"/>
            <w:r w:rsidRPr="00322951">
              <w:rPr>
                <w:sz w:val="22"/>
                <w:szCs w:val="22"/>
                <w:lang w:val="en-GB"/>
              </w:rPr>
              <w:t>etexilate</w:t>
            </w:r>
            <w:proofErr w:type="spellEnd"/>
            <w:r w:rsidRPr="00322951">
              <w:rPr>
                <w:sz w:val="22"/>
                <w:szCs w:val="22"/>
                <w:lang w:val="en-GB"/>
              </w:rPr>
              <w:t xml:space="preserve"> was </w:t>
            </w:r>
            <w:proofErr w:type="spellStart"/>
            <w:r w:rsidRPr="00322951">
              <w:rPr>
                <w:sz w:val="22"/>
                <w:szCs w:val="22"/>
                <w:lang w:val="en-GB"/>
              </w:rPr>
              <w:t>coadministered</w:t>
            </w:r>
            <w:proofErr w:type="spellEnd"/>
            <w:r w:rsidRPr="00322951">
              <w:rPr>
                <w:sz w:val="22"/>
                <w:szCs w:val="22"/>
                <w:lang w:val="en-GB"/>
              </w:rPr>
              <w:t xml:space="preserve"> simultaneously with a loading dose of 180 mg ticagrelor, the dabigatran AUC and C</w:t>
            </w:r>
            <w:r w:rsidRPr="00322951">
              <w:rPr>
                <w:sz w:val="22"/>
                <w:szCs w:val="22"/>
                <w:vertAlign w:val="subscript"/>
                <w:lang w:val="en-GB"/>
              </w:rPr>
              <w:t>max</w:t>
            </w:r>
            <w:r w:rsidRPr="00322951">
              <w:rPr>
                <w:sz w:val="22"/>
                <w:szCs w:val="22"/>
                <w:lang w:val="en-GB"/>
              </w:rPr>
              <w:t xml:space="preserve"> were increased by 1.73-fold and 1.95-fold, respectively. After multiple doses of ticagrelor 90 mg b.i.d. the increase of dabigatran exposure is 1.56-fold and 1.46- fold for C</w:t>
            </w:r>
            <w:r w:rsidRPr="00322951">
              <w:rPr>
                <w:sz w:val="22"/>
                <w:szCs w:val="22"/>
                <w:vertAlign w:val="subscript"/>
                <w:lang w:val="en-GB"/>
              </w:rPr>
              <w:t>max</w:t>
            </w:r>
            <w:r w:rsidRPr="00322951">
              <w:rPr>
                <w:sz w:val="22"/>
                <w:szCs w:val="22"/>
                <w:lang w:val="en-GB"/>
              </w:rPr>
              <w:t xml:space="preserve"> and AUC, respectively.</w:t>
            </w:r>
          </w:p>
          <w:p w14:paraId="531F790D" w14:textId="77777777" w:rsidR="00E607F1" w:rsidRPr="00322951" w:rsidRDefault="00E607F1" w:rsidP="004A5906">
            <w:pPr>
              <w:rPr>
                <w:sz w:val="22"/>
                <w:szCs w:val="22"/>
                <w:lang w:val="en-GB"/>
              </w:rPr>
            </w:pPr>
            <w:r w:rsidRPr="00322951">
              <w:rPr>
                <w:sz w:val="22"/>
                <w:szCs w:val="22"/>
                <w:lang w:val="en-GB"/>
              </w:rPr>
              <w:t xml:space="preserve">Concomitant administration of a loading dose of 180 mg ticagrelor and 110 mg dabigatran </w:t>
            </w:r>
            <w:proofErr w:type="spellStart"/>
            <w:r w:rsidRPr="00322951">
              <w:rPr>
                <w:sz w:val="22"/>
                <w:szCs w:val="22"/>
                <w:lang w:val="en-GB"/>
              </w:rPr>
              <w:t>etexilate</w:t>
            </w:r>
            <w:proofErr w:type="spellEnd"/>
            <w:r w:rsidRPr="00322951">
              <w:rPr>
                <w:sz w:val="22"/>
                <w:szCs w:val="22"/>
                <w:lang w:val="en-GB"/>
              </w:rPr>
              <w:t xml:space="preserve"> (in steady state) increased the dabigatran </w:t>
            </w:r>
            <w:proofErr w:type="spellStart"/>
            <w:r w:rsidRPr="00322951">
              <w:rPr>
                <w:sz w:val="22"/>
                <w:szCs w:val="22"/>
                <w:lang w:val="en-GB"/>
              </w:rPr>
              <w:t>AUC</w:t>
            </w:r>
            <w:proofErr w:type="gramStart"/>
            <w:r w:rsidRPr="00322951">
              <w:rPr>
                <w:sz w:val="22"/>
                <w:szCs w:val="22"/>
                <w:lang w:val="en-GB"/>
              </w:rPr>
              <w:t>τ,</w:t>
            </w:r>
            <w:r w:rsidRPr="00322951">
              <w:rPr>
                <w:sz w:val="22"/>
                <w:szCs w:val="22"/>
                <w:vertAlign w:val="subscript"/>
                <w:lang w:val="en-GB"/>
              </w:rPr>
              <w:t>ss</w:t>
            </w:r>
            <w:proofErr w:type="spellEnd"/>
            <w:proofErr w:type="gramEnd"/>
            <w:r w:rsidRPr="00322951">
              <w:rPr>
                <w:sz w:val="22"/>
                <w:szCs w:val="22"/>
                <w:lang w:val="en-GB"/>
              </w:rPr>
              <w:t xml:space="preserve"> and </w:t>
            </w:r>
            <w:proofErr w:type="spellStart"/>
            <w:r w:rsidRPr="00322951">
              <w:rPr>
                <w:sz w:val="22"/>
                <w:szCs w:val="22"/>
                <w:lang w:val="en-GB"/>
              </w:rPr>
              <w:t>C</w:t>
            </w:r>
            <w:r w:rsidRPr="00322951">
              <w:rPr>
                <w:sz w:val="22"/>
                <w:szCs w:val="22"/>
                <w:vertAlign w:val="subscript"/>
                <w:lang w:val="en-GB"/>
              </w:rPr>
              <w:t>max</w:t>
            </w:r>
            <w:r w:rsidRPr="00322951">
              <w:rPr>
                <w:sz w:val="22"/>
                <w:szCs w:val="22"/>
                <w:lang w:val="en-GB"/>
              </w:rPr>
              <w:t>,</w:t>
            </w:r>
            <w:r w:rsidRPr="00322951">
              <w:rPr>
                <w:sz w:val="22"/>
                <w:szCs w:val="22"/>
                <w:vertAlign w:val="subscript"/>
                <w:lang w:val="en-GB"/>
              </w:rPr>
              <w:t>ss</w:t>
            </w:r>
            <w:proofErr w:type="spellEnd"/>
            <w:r w:rsidRPr="00322951">
              <w:rPr>
                <w:sz w:val="22"/>
                <w:szCs w:val="22"/>
                <w:lang w:val="en-GB"/>
              </w:rPr>
              <w:t xml:space="preserve"> by 1.49-fold and 1.65-fold, respectively, compared with dabigatran </w:t>
            </w:r>
            <w:proofErr w:type="spellStart"/>
            <w:r w:rsidRPr="00322951">
              <w:rPr>
                <w:sz w:val="22"/>
                <w:szCs w:val="22"/>
                <w:lang w:val="en-GB"/>
              </w:rPr>
              <w:t>etexilate</w:t>
            </w:r>
            <w:proofErr w:type="spellEnd"/>
            <w:r w:rsidRPr="00322951">
              <w:rPr>
                <w:sz w:val="22"/>
                <w:szCs w:val="22"/>
                <w:lang w:val="en-GB"/>
              </w:rPr>
              <w:t xml:space="preserve"> given alone. When a loading dose of 180 mg ticagrelor was given 2 hours after 110 mg dabigatran </w:t>
            </w:r>
            <w:proofErr w:type="spellStart"/>
            <w:r w:rsidRPr="00322951">
              <w:rPr>
                <w:sz w:val="22"/>
                <w:szCs w:val="22"/>
                <w:lang w:val="en-GB"/>
              </w:rPr>
              <w:t>etexilate</w:t>
            </w:r>
            <w:proofErr w:type="spellEnd"/>
            <w:r w:rsidRPr="00322951">
              <w:rPr>
                <w:sz w:val="22"/>
                <w:szCs w:val="22"/>
                <w:lang w:val="en-GB"/>
              </w:rPr>
              <w:t xml:space="preserve"> (in steady state), the increase of dabigatran </w:t>
            </w:r>
            <w:proofErr w:type="spellStart"/>
            <w:r w:rsidRPr="00322951">
              <w:rPr>
                <w:sz w:val="22"/>
                <w:szCs w:val="22"/>
                <w:lang w:val="en-GB"/>
              </w:rPr>
              <w:t>AUC</w:t>
            </w:r>
            <w:proofErr w:type="gramStart"/>
            <w:r w:rsidRPr="00322951">
              <w:rPr>
                <w:sz w:val="22"/>
                <w:szCs w:val="22"/>
                <w:lang w:val="en-GB"/>
              </w:rPr>
              <w:t>τ,</w:t>
            </w:r>
            <w:r w:rsidRPr="00322951">
              <w:rPr>
                <w:sz w:val="22"/>
                <w:szCs w:val="22"/>
                <w:vertAlign w:val="subscript"/>
                <w:lang w:val="en-GB"/>
              </w:rPr>
              <w:t>ss</w:t>
            </w:r>
            <w:proofErr w:type="spellEnd"/>
            <w:proofErr w:type="gramEnd"/>
            <w:r w:rsidRPr="00322951">
              <w:rPr>
                <w:sz w:val="22"/>
                <w:szCs w:val="22"/>
                <w:lang w:val="en-GB"/>
              </w:rPr>
              <w:t xml:space="preserve"> and </w:t>
            </w:r>
            <w:proofErr w:type="spellStart"/>
            <w:r w:rsidRPr="00322951">
              <w:rPr>
                <w:sz w:val="22"/>
                <w:szCs w:val="22"/>
                <w:lang w:val="en-GB"/>
              </w:rPr>
              <w:t>C</w:t>
            </w:r>
            <w:r w:rsidRPr="00322951">
              <w:rPr>
                <w:sz w:val="22"/>
                <w:szCs w:val="22"/>
                <w:vertAlign w:val="subscript"/>
                <w:lang w:val="en-GB"/>
              </w:rPr>
              <w:t>max</w:t>
            </w:r>
            <w:r w:rsidRPr="00322951">
              <w:rPr>
                <w:sz w:val="22"/>
                <w:szCs w:val="22"/>
                <w:lang w:val="en-GB"/>
              </w:rPr>
              <w:t>,</w:t>
            </w:r>
            <w:r w:rsidRPr="00322951">
              <w:rPr>
                <w:sz w:val="22"/>
                <w:szCs w:val="22"/>
                <w:vertAlign w:val="subscript"/>
                <w:lang w:val="en-GB"/>
              </w:rPr>
              <w:t>ss</w:t>
            </w:r>
            <w:proofErr w:type="spellEnd"/>
            <w:r w:rsidRPr="00322951">
              <w:rPr>
                <w:sz w:val="22"/>
                <w:szCs w:val="22"/>
                <w:vertAlign w:val="subscript"/>
                <w:lang w:val="en-GB"/>
              </w:rPr>
              <w:t xml:space="preserve"> </w:t>
            </w:r>
            <w:r w:rsidRPr="00322951">
              <w:rPr>
                <w:sz w:val="22"/>
                <w:szCs w:val="22"/>
                <w:lang w:val="en-GB"/>
              </w:rPr>
              <w:t xml:space="preserve">was reduced to 1.27-fold and 1.23-fold, respectively, compared with dabigatran </w:t>
            </w:r>
            <w:proofErr w:type="spellStart"/>
            <w:r w:rsidRPr="00322951">
              <w:rPr>
                <w:sz w:val="22"/>
                <w:szCs w:val="22"/>
                <w:lang w:val="en-GB"/>
              </w:rPr>
              <w:t>etexilate</w:t>
            </w:r>
            <w:proofErr w:type="spellEnd"/>
            <w:r w:rsidRPr="00322951">
              <w:rPr>
                <w:sz w:val="22"/>
                <w:szCs w:val="22"/>
                <w:lang w:val="en-GB"/>
              </w:rPr>
              <w:t xml:space="preserve"> given alone. This staggered intake is the recommended administration for start of ticagrelor with a loading dose.</w:t>
            </w:r>
          </w:p>
          <w:p w14:paraId="7973CC0C" w14:textId="77777777" w:rsidR="00E607F1" w:rsidRPr="00322951" w:rsidRDefault="00E607F1" w:rsidP="004A5906">
            <w:pPr>
              <w:rPr>
                <w:sz w:val="22"/>
                <w:szCs w:val="22"/>
                <w:lang w:val="en-GB"/>
              </w:rPr>
            </w:pPr>
            <w:r w:rsidRPr="00322951">
              <w:rPr>
                <w:sz w:val="22"/>
                <w:szCs w:val="22"/>
                <w:lang w:val="en-GB"/>
              </w:rPr>
              <w:t xml:space="preserve">Concomitant administration of 90 mg ticagrelor b.i.d. (maintenance dose) with 110 mg dabigatran </w:t>
            </w:r>
            <w:proofErr w:type="spellStart"/>
            <w:r w:rsidRPr="00322951">
              <w:rPr>
                <w:sz w:val="22"/>
                <w:szCs w:val="22"/>
                <w:lang w:val="en-GB"/>
              </w:rPr>
              <w:t>etexilate</w:t>
            </w:r>
            <w:proofErr w:type="spellEnd"/>
            <w:r w:rsidRPr="00322951">
              <w:rPr>
                <w:sz w:val="22"/>
                <w:szCs w:val="22"/>
                <w:lang w:val="en-GB"/>
              </w:rPr>
              <w:t xml:space="preserve"> increased the adjusted dabigatran </w:t>
            </w:r>
            <w:proofErr w:type="spellStart"/>
            <w:r w:rsidRPr="00322951">
              <w:rPr>
                <w:sz w:val="22"/>
                <w:szCs w:val="22"/>
                <w:lang w:val="en-GB"/>
              </w:rPr>
              <w:t>AUC</w:t>
            </w:r>
            <w:proofErr w:type="gramStart"/>
            <w:r w:rsidRPr="00322951">
              <w:rPr>
                <w:sz w:val="22"/>
                <w:szCs w:val="22"/>
                <w:lang w:val="en-GB"/>
              </w:rPr>
              <w:t>τ,</w:t>
            </w:r>
            <w:r w:rsidRPr="00322951">
              <w:rPr>
                <w:sz w:val="22"/>
                <w:szCs w:val="22"/>
                <w:vertAlign w:val="subscript"/>
                <w:lang w:val="en-GB"/>
              </w:rPr>
              <w:t>ss</w:t>
            </w:r>
            <w:proofErr w:type="spellEnd"/>
            <w:proofErr w:type="gramEnd"/>
            <w:r w:rsidRPr="00322951">
              <w:rPr>
                <w:sz w:val="22"/>
                <w:szCs w:val="22"/>
                <w:lang w:val="en-GB"/>
              </w:rPr>
              <w:t xml:space="preserve"> and </w:t>
            </w:r>
            <w:proofErr w:type="spellStart"/>
            <w:r w:rsidRPr="00322951">
              <w:rPr>
                <w:sz w:val="22"/>
                <w:szCs w:val="22"/>
                <w:lang w:val="en-GB"/>
              </w:rPr>
              <w:t>C</w:t>
            </w:r>
            <w:r w:rsidRPr="00322951">
              <w:rPr>
                <w:sz w:val="22"/>
                <w:szCs w:val="22"/>
                <w:vertAlign w:val="subscript"/>
                <w:lang w:val="en-GB"/>
              </w:rPr>
              <w:t>max</w:t>
            </w:r>
            <w:r w:rsidRPr="00322951">
              <w:rPr>
                <w:sz w:val="22"/>
                <w:szCs w:val="22"/>
                <w:lang w:val="en-GB"/>
              </w:rPr>
              <w:t>,</w:t>
            </w:r>
            <w:r w:rsidRPr="00322951">
              <w:rPr>
                <w:sz w:val="22"/>
                <w:szCs w:val="22"/>
                <w:vertAlign w:val="subscript"/>
                <w:lang w:val="en-GB"/>
              </w:rPr>
              <w:t>ss</w:t>
            </w:r>
            <w:proofErr w:type="spellEnd"/>
            <w:r w:rsidRPr="00322951">
              <w:rPr>
                <w:sz w:val="22"/>
                <w:szCs w:val="22"/>
                <w:vertAlign w:val="subscript"/>
                <w:lang w:val="en-GB"/>
              </w:rPr>
              <w:t xml:space="preserve"> </w:t>
            </w:r>
            <w:r w:rsidRPr="00322951">
              <w:rPr>
                <w:sz w:val="22"/>
                <w:szCs w:val="22"/>
                <w:lang w:val="en-GB"/>
              </w:rPr>
              <w:t xml:space="preserve">1.26-fold and 1.29-fold, respectively, compared with dabigatran </w:t>
            </w:r>
            <w:proofErr w:type="spellStart"/>
            <w:r w:rsidRPr="00322951">
              <w:rPr>
                <w:sz w:val="22"/>
                <w:szCs w:val="22"/>
                <w:lang w:val="en-GB"/>
              </w:rPr>
              <w:t>etexilate</w:t>
            </w:r>
            <w:proofErr w:type="spellEnd"/>
            <w:r w:rsidRPr="00322951">
              <w:rPr>
                <w:sz w:val="22"/>
                <w:szCs w:val="22"/>
                <w:lang w:val="en-GB"/>
              </w:rPr>
              <w:t xml:space="preserve"> given alone.</w:t>
            </w:r>
          </w:p>
        </w:tc>
      </w:tr>
      <w:tr w:rsidR="00E607F1" w:rsidRPr="00D476B2" w14:paraId="5138E0B3" w14:textId="77777777" w:rsidTr="004A5906">
        <w:trPr>
          <w:trHeight w:val="57"/>
          <w:jc w:val="center"/>
        </w:trPr>
        <w:tc>
          <w:tcPr>
            <w:tcW w:w="925" w:type="pct"/>
            <w:tcBorders>
              <w:top w:val="single" w:sz="4" w:space="0" w:color="auto"/>
              <w:left w:val="single" w:sz="4" w:space="0" w:color="auto"/>
              <w:bottom w:val="nil"/>
              <w:right w:val="nil"/>
            </w:tcBorders>
            <w:hideMark/>
          </w:tcPr>
          <w:p w14:paraId="3090BFC8" w14:textId="77777777" w:rsidR="00E607F1" w:rsidRPr="00322951" w:rsidRDefault="00E607F1" w:rsidP="004A5906">
            <w:pPr>
              <w:rPr>
                <w:sz w:val="22"/>
                <w:szCs w:val="22"/>
                <w:lang w:val="en-GB"/>
              </w:rPr>
            </w:pPr>
            <w:r w:rsidRPr="00322951">
              <w:rPr>
                <w:sz w:val="22"/>
                <w:szCs w:val="22"/>
                <w:lang w:val="en-GB"/>
              </w:rPr>
              <w:t>Posaconazole</w:t>
            </w:r>
          </w:p>
        </w:tc>
        <w:tc>
          <w:tcPr>
            <w:tcW w:w="4075" w:type="pct"/>
            <w:tcBorders>
              <w:top w:val="single" w:sz="4" w:space="0" w:color="auto"/>
              <w:left w:val="single" w:sz="4" w:space="0" w:color="auto"/>
              <w:bottom w:val="nil"/>
              <w:right w:val="single" w:sz="4" w:space="0" w:color="auto"/>
            </w:tcBorders>
            <w:hideMark/>
          </w:tcPr>
          <w:p w14:paraId="3C1A1F8B" w14:textId="77777777" w:rsidR="00E607F1" w:rsidRPr="00322951" w:rsidRDefault="00E607F1" w:rsidP="004A5906">
            <w:pPr>
              <w:rPr>
                <w:sz w:val="22"/>
                <w:szCs w:val="22"/>
                <w:lang w:val="en-GB"/>
              </w:rPr>
            </w:pPr>
            <w:r w:rsidRPr="00322951">
              <w:rPr>
                <w:sz w:val="22"/>
                <w:szCs w:val="22"/>
                <w:lang w:val="en-GB"/>
              </w:rPr>
              <w:t>Posaconazole also inhibits P-</w:t>
            </w:r>
            <w:proofErr w:type="spellStart"/>
            <w:r w:rsidRPr="00322951">
              <w:rPr>
                <w:sz w:val="22"/>
                <w:szCs w:val="22"/>
                <w:lang w:val="en-GB"/>
              </w:rPr>
              <w:t>gp</w:t>
            </w:r>
            <w:proofErr w:type="spellEnd"/>
            <w:r w:rsidRPr="00322951">
              <w:rPr>
                <w:sz w:val="22"/>
                <w:szCs w:val="22"/>
                <w:lang w:val="en-GB"/>
              </w:rPr>
              <w:t xml:space="preserve"> to some extent but has not been clinically studied. Caution should be exercised when dabigatran </w:t>
            </w:r>
            <w:proofErr w:type="spellStart"/>
            <w:r w:rsidRPr="00322951">
              <w:rPr>
                <w:sz w:val="22"/>
                <w:szCs w:val="22"/>
                <w:lang w:val="en-GB"/>
              </w:rPr>
              <w:t>etexilate</w:t>
            </w:r>
            <w:proofErr w:type="spellEnd"/>
            <w:r w:rsidRPr="00322951">
              <w:rPr>
                <w:sz w:val="22"/>
                <w:szCs w:val="22"/>
                <w:lang w:val="en-GB"/>
              </w:rPr>
              <w:t xml:space="preserve"> is co-administered with posaconazole.</w:t>
            </w:r>
          </w:p>
        </w:tc>
      </w:tr>
      <w:tr w:rsidR="00E607F1" w:rsidRPr="00322951" w14:paraId="41D0B3AC"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0E111EA1" w14:textId="77777777" w:rsidR="00E607F1" w:rsidRPr="00322951" w:rsidRDefault="00E607F1" w:rsidP="004A5906">
            <w:pPr>
              <w:rPr>
                <w:i/>
                <w:iCs/>
                <w:sz w:val="22"/>
                <w:szCs w:val="22"/>
                <w:u w:val="single"/>
                <w:lang w:val="en-GB"/>
              </w:rPr>
            </w:pPr>
            <w:r w:rsidRPr="00322951">
              <w:rPr>
                <w:i/>
                <w:iCs/>
                <w:sz w:val="22"/>
                <w:szCs w:val="22"/>
                <w:u w:val="single"/>
                <w:lang w:val="en-GB"/>
              </w:rPr>
              <w:t>P-</w:t>
            </w:r>
            <w:proofErr w:type="spellStart"/>
            <w:r w:rsidRPr="00322951">
              <w:rPr>
                <w:i/>
                <w:iCs/>
                <w:sz w:val="22"/>
                <w:szCs w:val="22"/>
                <w:u w:val="single"/>
                <w:lang w:val="en-GB"/>
              </w:rPr>
              <w:t>gp</w:t>
            </w:r>
            <w:proofErr w:type="spellEnd"/>
            <w:r w:rsidRPr="00322951">
              <w:rPr>
                <w:i/>
                <w:iCs/>
                <w:sz w:val="22"/>
                <w:szCs w:val="22"/>
                <w:u w:val="single"/>
                <w:lang w:val="en-GB"/>
              </w:rPr>
              <w:t xml:space="preserve"> inducers</w:t>
            </w:r>
          </w:p>
        </w:tc>
      </w:tr>
      <w:tr w:rsidR="00E607F1" w:rsidRPr="00D476B2" w14:paraId="7F302BFD"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7E899543" w14:textId="77777777" w:rsidR="00E607F1" w:rsidRPr="00322951" w:rsidRDefault="00E607F1" w:rsidP="004A5906">
            <w:pPr>
              <w:rPr>
                <w:i/>
                <w:iCs/>
                <w:sz w:val="22"/>
                <w:szCs w:val="22"/>
                <w:lang w:val="en-GB"/>
              </w:rPr>
            </w:pPr>
            <w:r w:rsidRPr="00322951">
              <w:rPr>
                <w:i/>
                <w:iCs/>
                <w:sz w:val="22"/>
                <w:szCs w:val="22"/>
                <w:lang w:val="en-GB"/>
              </w:rPr>
              <w:t>Concomitant use should be avoided.</w:t>
            </w:r>
          </w:p>
        </w:tc>
      </w:tr>
      <w:tr w:rsidR="00E607F1" w:rsidRPr="00D476B2" w14:paraId="30676E5C" w14:textId="77777777" w:rsidTr="004A5906">
        <w:trPr>
          <w:trHeight w:val="57"/>
          <w:jc w:val="center"/>
        </w:trPr>
        <w:tc>
          <w:tcPr>
            <w:tcW w:w="925" w:type="pct"/>
            <w:tcBorders>
              <w:top w:val="single" w:sz="4" w:space="0" w:color="auto"/>
              <w:left w:val="single" w:sz="4" w:space="0" w:color="auto"/>
              <w:bottom w:val="nil"/>
              <w:right w:val="nil"/>
            </w:tcBorders>
            <w:hideMark/>
          </w:tcPr>
          <w:p w14:paraId="76148477" w14:textId="77777777" w:rsidR="00E607F1" w:rsidRPr="00322951" w:rsidRDefault="00E607F1" w:rsidP="004A5906">
            <w:pPr>
              <w:rPr>
                <w:sz w:val="22"/>
                <w:szCs w:val="22"/>
                <w:lang w:val="en-GB"/>
              </w:rPr>
            </w:pPr>
            <w:r w:rsidRPr="00322951">
              <w:rPr>
                <w:sz w:val="22"/>
                <w:szCs w:val="22"/>
                <w:lang w:val="en-GB"/>
              </w:rPr>
              <w:t>e.g. rifampicin, St. John's wort (Hypericum perforatum), carbamazepine, or phenytoin</w:t>
            </w:r>
          </w:p>
        </w:tc>
        <w:tc>
          <w:tcPr>
            <w:tcW w:w="4075" w:type="pct"/>
            <w:tcBorders>
              <w:top w:val="single" w:sz="4" w:space="0" w:color="auto"/>
              <w:left w:val="single" w:sz="4" w:space="0" w:color="auto"/>
              <w:bottom w:val="nil"/>
              <w:right w:val="single" w:sz="4" w:space="0" w:color="auto"/>
            </w:tcBorders>
            <w:hideMark/>
          </w:tcPr>
          <w:p w14:paraId="0C2AB74E" w14:textId="77777777" w:rsidR="00E607F1" w:rsidRPr="00322951" w:rsidRDefault="00E607F1" w:rsidP="004A5906">
            <w:pPr>
              <w:rPr>
                <w:sz w:val="22"/>
                <w:szCs w:val="22"/>
                <w:lang w:val="en-GB"/>
              </w:rPr>
            </w:pPr>
            <w:r w:rsidRPr="00322951">
              <w:rPr>
                <w:sz w:val="22"/>
                <w:szCs w:val="22"/>
                <w:lang w:val="en-GB"/>
              </w:rPr>
              <w:t>Concomitant administration is expected to result in decreased dabigatran concentrations.</w:t>
            </w:r>
          </w:p>
          <w:p w14:paraId="5DC6D85E" w14:textId="77777777" w:rsidR="00E607F1" w:rsidRPr="00322951" w:rsidRDefault="00E607F1" w:rsidP="004A5906">
            <w:pPr>
              <w:rPr>
                <w:sz w:val="22"/>
                <w:szCs w:val="22"/>
                <w:lang w:val="en-GB"/>
              </w:rPr>
            </w:pPr>
            <w:r w:rsidRPr="00322951">
              <w:rPr>
                <w:sz w:val="22"/>
                <w:szCs w:val="22"/>
                <w:lang w:val="en-GB"/>
              </w:rPr>
              <w:t>Pre-dosing of the probe inducer rifampicin at a dose of 600 mg once daily for 7 days decreased total dabigatran peak and total exposure by 65.5% and 67%, respectively. The inducing effect was diminished resulting in dabigatran exposure close to the reference by day 7 after cessation of rifampicin treatment. No further increase in bioavailability was observed after another 7 days.</w:t>
            </w:r>
          </w:p>
        </w:tc>
      </w:tr>
      <w:tr w:rsidR="00E607F1" w:rsidRPr="00D476B2" w14:paraId="52EF2439"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0B017B98" w14:textId="77777777" w:rsidR="00E607F1" w:rsidRPr="00322951" w:rsidRDefault="00E607F1" w:rsidP="004A5906">
            <w:pPr>
              <w:rPr>
                <w:i/>
                <w:iCs/>
                <w:sz w:val="22"/>
                <w:szCs w:val="22"/>
                <w:u w:val="single"/>
                <w:lang w:val="en-GB"/>
              </w:rPr>
            </w:pPr>
            <w:r w:rsidRPr="00322951">
              <w:rPr>
                <w:i/>
                <w:iCs/>
                <w:sz w:val="22"/>
                <w:szCs w:val="22"/>
                <w:u w:val="single"/>
                <w:lang w:val="en-GB"/>
              </w:rPr>
              <w:t>Protease inhibitors such as ritonavir</w:t>
            </w:r>
          </w:p>
        </w:tc>
      </w:tr>
      <w:tr w:rsidR="00E607F1" w:rsidRPr="00322951" w14:paraId="291E819D"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3B4D8CC7" w14:textId="77777777" w:rsidR="00E607F1" w:rsidRPr="00322951" w:rsidRDefault="00E607F1" w:rsidP="004A5906">
            <w:pPr>
              <w:rPr>
                <w:i/>
                <w:iCs/>
                <w:sz w:val="22"/>
                <w:szCs w:val="22"/>
                <w:lang w:val="en-GB"/>
              </w:rPr>
            </w:pPr>
            <w:r w:rsidRPr="00322951">
              <w:rPr>
                <w:i/>
                <w:iCs/>
                <w:sz w:val="22"/>
                <w:szCs w:val="22"/>
                <w:lang w:val="en-GB"/>
              </w:rPr>
              <w:t>Concomitant use not recommended</w:t>
            </w:r>
          </w:p>
        </w:tc>
      </w:tr>
      <w:tr w:rsidR="00E607F1" w:rsidRPr="00D476B2" w14:paraId="2B3732A0" w14:textId="77777777" w:rsidTr="004A5906">
        <w:trPr>
          <w:trHeight w:val="57"/>
          <w:jc w:val="center"/>
        </w:trPr>
        <w:tc>
          <w:tcPr>
            <w:tcW w:w="925" w:type="pct"/>
            <w:tcBorders>
              <w:top w:val="single" w:sz="4" w:space="0" w:color="auto"/>
              <w:left w:val="single" w:sz="4" w:space="0" w:color="auto"/>
              <w:bottom w:val="nil"/>
              <w:right w:val="nil"/>
            </w:tcBorders>
            <w:hideMark/>
          </w:tcPr>
          <w:p w14:paraId="125F3D47" w14:textId="77777777" w:rsidR="00E607F1" w:rsidRPr="00322951" w:rsidRDefault="00E607F1" w:rsidP="004A5906">
            <w:pPr>
              <w:rPr>
                <w:sz w:val="22"/>
                <w:szCs w:val="22"/>
                <w:lang w:val="en-GB"/>
              </w:rPr>
            </w:pPr>
            <w:r w:rsidRPr="00322951">
              <w:rPr>
                <w:sz w:val="22"/>
                <w:szCs w:val="22"/>
                <w:lang w:val="en-GB"/>
              </w:rPr>
              <w:t>e.g. ritonavir and its combinations with other protease inhibitors</w:t>
            </w:r>
          </w:p>
        </w:tc>
        <w:tc>
          <w:tcPr>
            <w:tcW w:w="4075" w:type="pct"/>
            <w:tcBorders>
              <w:top w:val="single" w:sz="4" w:space="0" w:color="auto"/>
              <w:left w:val="single" w:sz="4" w:space="0" w:color="auto"/>
              <w:bottom w:val="nil"/>
              <w:right w:val="single" w:sz="4" w:space="0" w:color="auto"/>
            </w:tcBorders>
            <w:hideMark/>
          </w:tcPr>
          <w:p w14:paraId="6ABE8D14" w14:textId="77777777" w:rsidR="00E607F1" w:rsidRPr="00322951" w:rsidRDefault="00E607F1" w:rsidP="004A5906">
            <w:pPr>
              <w:rPr>
                <w:sz w:val="22"/>
                <w:szCs w:val="22"/>
                <w:lang w:val="en-GB"/>
              </w:rPr>
            </w:pPr>
            <w:r w:rsidRPr="00322951">
              <w:rPr>
                <w:sz w:val="22"/>
                <w:szCs w:val="22"/>
                <w:lang w:val="en-GB"/>
              </w:rPr>
              <w:t>These affect P-</w:t>
            </w:r>
            <w:proofErr w:type="spellStart"/>
            <w:r w:rsidRPr="00322951">
              <w:rPr>
                <w:sz w:val="22"/>
                <w:szCs w:val="22"/>
                <w:lang w:val="en-GB"/>
              </w:rPr>
              <w:t>gp</w:t>
            </w:r>
            <w:proofErr w:type="spellEnd"/>
            <w:r w:rsidRPr="00322951">
              <w:rPr>
                <w:sz w:val="22"/>
                <w:szCs w:val="22"/>
                <w:lang w:val="en-GB"/>
              </w:rPr>
              <w:t xml:space="preserve"> (either as inhibitor or as inducer). They have not been studied and are therefore not recommended for concomitant treatment with dabigatran </w:t>
            </w:r>
            <w:proofErr w:type="spellStart"/>
            <w:r w:rsidRPr="00322951">
              <w:rPr>
                <w:sz w:val="22"/>
                <w:szCs w:val="22"/>
                <w:lang w:val="en-GB"/>
              </w:rPr>
              <w:t>etexilate</w:t>
            </w:r>
            <w:proofErr w:type="spellEnd"/>
            <w:r w:rsidRPr="00322951">
              <w:rPr>
                <w:sz w:val="22"/>
                <w:szCs w:val="22"/>
                <w:lang w:val="en-GB"/>
              </w:rPr>
              <w:t>.</w:t>
            </w:r>
          </w:p>
        </w:tc>
      </w:tr>
      <w:tr w:rsidR="00E607F1" w:rsidRPr="00322951" w14:paraId="68F4379E"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7F9DEF59" w14:textId="77777777" w:rsidR="00E607F1" w:rsidRPr="00322951" w:rsidRDefault="00E607F1" w:rsidP="004A5906">
            <w:pPr>
              <w:rPr>
                <w:i/>
                <w:iCs/>
                <w:sz w:val="22"/>
                <w:szCs w:val="22"/>
                <w:u w:val="single"/>
                <w:lang w:val="en-GB"/>
              </w:rPr>
            </w:pPr>
            <w:r w:rsidRPr="00322951">
              <w:rPr>
                <w:i/>
                <w:iCs/>
                <w:sz w:val="22"/>
                <w:szCs w:val="22"/>
                <w:u w:val="single"/>
                <w:lang w:val="en-GB"/>
              </w:rPr>
              <w:t>P-</w:t>
            </w:r>
            <w:proofErr w:type="spellStart"/>
            <w:r w:rsidRPr="00322951">
              <w:rPr>
                <w:i/>
                <w:iCs/>
                <w:sz w:val="22"/>
                <w:szCs w:val="22"/>
                <w:u w:val="single"/>
                <w:lang w:val="en-GB"/>
              </w:rPr>
              <w:t>gp</w:t>
            </w:r>
            <w:proofErr w:type="spellEnd"/>
            <w:r w:rsidRPr="00322951">
              <w:rPr>
                <w:i/>
                <w:iCs/>
                <w:sz w:val="22"/>
                <w:szCs w:val="22"/>
                <w:u w:val="single"/>
                <w:lang w:val="en-GB"/>
              </w:rPr>
              <w:t xml:space="preserve"> substrate</w:t>
            </w:r>
          </w:p>
        </w:tc>
      </w:tr>
      <w:tr w:rsidR="00E607F1" w:rsidRPr="00D476B2" w14:paraId="25A16370" w14:textId="77777777" w:rsidTr="004A5906">
        <w:trPr>
          <w:trHeight w:val="57"/>
          <w:jc w:val="center"/>
        </w:trPr>
        <w:tc>
          <w:tcPr>
            <w:tcW w:w="925" w:type="pct"/>
            <w:tcBorders>
              <w:top w:val="single" w:sz="4" w:space="0" w:color="auto"/>
              <w:left w:val="single" w:sz="4" w:space="0" w:color="auto"/>
              <w:bottom w:val="single" w:sz="4" w:space="0" w:color="auto"/>
              <w:right w:val="nil"/>
            </w:tcBorders>
            <w:hideMark/>
          </w:tcPr>
          <w:p w14:paraId="7C06A633" w14:textId="77777777" w:rsidR="00E607F1" w:rsidRPr="00322951" w:rsidRDefault="00E607F1" w:rsidP="004A5906">
            <w:pPr>
              <w:rPr>
                <w:sz w:val="22"/>
                <w:szCs w:val="22"/>
                <w:lang w:val="en-GB"/>
              </w:rPr>
            </w:pPr>
            <w:r w:rsidRPr="00322951">
              <w:rPr>
                <w:sz w:val="22"/>
                <w:szCs w:val="22"/>
                <w:lang w:val="en-GB"/>
              </w:rPr>
              <w:t>Digoxin</w:t>
            </w:r>
          </w:p>
        </w:tc>
        <w:tc>
          <w:tcPr>
            <w:tcW w:w="4075" w:type="pct"/>
            <w:tcBorders>
              <w:top w:val="single" w:sz="4" w:space="0" w:color="auto"/>
              <w:left w:val="single" w:sz="4" w:space="0" w:color="auto"/>
              <w:bottom w:val="single" w:sz="4" w:space="0" w:color="auto"/>
              <w:right w:val="single" w:sz="4" w:space="0" w:color="auto"/>
            </w:tcBorders>
            <w:hideMark/>
          </w:tcPr>
          <w:p w14:paraId="2622F1C2" w14:textId="77777777" w:rsidR="00E607F1" w:rsidRPr="00322951" w:rsidRDefault="00E607F1" w:rsidP="004A5906">
            <w:pPr>
              <w:rPr>
                <w:sz w:val="22"/>
                <w:szCs w:val="22"/>
                <w:lang w:val="en-GB"/>
              </w:rPr>
            </w:pPr>
            <w:r w:rsidRPr="00322951">
              <w:rPr>
                <w:sz w:val="22"/>
                <w:szCs w:val="22"/>
                <w:lang w:val="en-GB"/>
              </w:rPr>
              <w:t xml:space="preserve">In a study performed with 24 healthy subjects, when dabigatran </w:t>
            </w:r>
            <w:proofErr w:type="spellStart"/>
            <w:r w:rsidRPr="00322951">
              <w:rPr>
                <w:sz w:val="22"/>
                <w:szCs w:val="22"/>
                <w:lang w:val="en-GB"/>
              </w:rPr>
              <w:t>etexilate</w:t>
            </w:r>
            <w:proofErr w:type="spellEnd"/>
            <w:r w:rsidRPr="00322951">
              <w:rPr>
                <w:sz w:val="22"/>
                <w:szCs w:val="22"/>
                <w:lang w:val="en-GB"/>
              </w:rPr>
              <w:t xml:space="preserve"> was co-administered with digoxin, no changes on digoxin and no clinically relevant changes on dabigatran exposure have been observed.</w:t>
            </w:r>
          </w:p>
        </w:tc>
      </w:tr>
    </w:tbl>
    <w:p w14:paraId="3B708FDD" w14:textId="77777777" w:rsidR="00E607F1" w:rsidRPr="00B55C24" w:rsidRDefault="00E607F1" w:rsidP="00E607F1">
      <w:pPr>
        <w:tabs>
          <w:tab w:val="left" w:pos="851"/>
        </w:tabs>
        <w:ind w:left="851"/>
        <w:rPr>
          <w:sz w:val="24"/>
          <w:szCs w:val="24"/>
          <w:lang w:val="en-GB"/>
        </w:rPr>
      </w:pPr>
    </w:p>
    <w:p w14:paraId="684BD265" w14:textId="77777777" w:rsidR="00E607F1" w:rsidRPr="00BE5A7A" w:rsidRDefault="00E607F1" w:rsidP="004A5906">
      <w:pPr>
        <w:ind w:left="851"/>
        <w:rPr>
          <w:sz w:val="24"/>
          <w:szCs w:val="24"/>
          <w:u w:val="single"/>
          <w:lang w:val="en-GB"/>
        </w:rPr>
      </w:pPr>
      <w:r w:rsidRPr="00BE5A7A">
        <w:rPr>
          <w:sz w:val="24"/>
          <w:szCs w:val="24"/>
          <w:u w:val="single"/>
          <w:lang w:val="en-GB"/>
        </w:rPr>
        <w:t>Anticoagulants and antiplatelet aggregation medicinal products</w:t>
      </w:r>
    </w:p>
    <w:p w14:paraId="3FD366FA" w14:textId="77777777" w:rsidR="00E607F1" w:rsidRPr="00B55C24" w:rsidRDefault="00E607F1" w:rsidP="004A5906">
      <w:pPr>
        <w:ind w:left="851"/>
        <w:rPr>
          <w:sz w:val="24"/>
          <w:szCs w:val="24"/>
          <w:lang w:val="en-GB"/>
        </w:rPr>
      </w:pPr>
    </w:p>
    <w:p w14:paraId="2C224915" w14:textId="77777777" w:rsidR="00E607F1" w:rsidRPr="00B55C24" w:rsidRDefault="00E607F1" w:rsidP="004A5906">
      <w:pPr>
        <w:ind w:left="851"/>
        <w:rPr>
          <w:sz w:val="24"/>
          <w:szCs w:val="24"/>
          <w:lang w:val="en-GB"/>
        </w:rPr>
      </w:pPr>
      <w:r w:rsidRPr="00B55C24">
        <w:rPr>
          <w:sz w:val="24"/>
          <w:szCs w:val="24"/>
          <w:lang w:val="en-GB"/>
        </w:rPr>
        <w:t xml:space="preserve">There is no or only limited experience with the following treatments which may increase the risk of bleeding when used concomitantly with dabigatran </w:t>
      </w:r>
      <w:proofErr w:type="spellStart"/>
      <w:r w:rsidRPr="00B55C24">
        <w:rPr>
          <w:sz w:val="24"/>
          <w:szCs w:val="24"/>
          <w:lang w:val="en-GB"/>
        </w:rPr>
        <w:t>etexilate</w:t>
      </w:r>
      <w:proofErr w:type="spellEnd"/>
      <w:r w:rsidRPr="00B55C24">
        <w:rPr>
          <w:sz w:val="24"/>
          <w:szCs w:val="24"/>
          <w:lang w:val="en-GB"/>
        </w:rPr>
        <w:t xml:space="preserve">: anticoagulants such as unfractionated heparin (UFH), low molecular weight heparins (LMWH), and heparin derivatives (fondaparinux, </w:t>
      </w:r>
      <w:proofErr w:type="spellStart"/>
      <w:r w:rsidRPr="00B55C24">
        <w:rPr>
          <w:sz w:val="24"/>
          <w:szCs w:val="24"/>
          <w:lang w:val="en-GB"/>
        </w:rPr>
        <w:t>desirudin</w:t>
      </w:r>
      <w:proofErr w:type="spellEnd"/>
      <w:r w:rsidRPr="00B55C24">
        <w:rPr>
          <w:sz w:val="24"/>
          <w:szCs w:val="24"/>
          <w:lang w:val="en-GB"/>
        </w:rPr>
        <w:t xml:space="preserve">), thrombolytic medicinal products, and vitamin K antagonists, rivaroxaban or other oral anticoagulants (see section 4.3), and antiplatelet aggregation medicinal products such as </w:t>
      </w:r>
      <w:proofErr w:type="spellStart"/>
      <w:r w:rsidRPr="00B55C24">
        <w:rPr>
          <w:sz w:val="24"/>
          <w:szCs w:val="24"/>
          <w:lang w:val="en-GB"/>
        </w:rPr>
        <w:t>GPIIb</w:t>
      </w:r>
      <w:proofErr w:type="spellEnd"/>
      <w:r w:rsidRPr="00B55C24">
        <w:rPr>
          <w:sz w:val="24"/>
          <w:szCs w:val="24"/>
          <w:lang w:val="en-GB"/>
        </w:rPr>
        <w:t>/IIIa receptor antagonists, ticlopidine, prasugrel, ticagrelor, dextran, and sulfinpyrazone (see section 4.4).</w:t>
      </w:r>
    </w:p>
    <w:p w14:paraId="3A5A7050" w14:textId="77777777" w:rsidR="00E607F1" w:rsidRPr="00B55C24" w:rsidRDefault="00E607F1" w:rsidP="004A5906">
      <w:pPr>
        <w:ind w:left="851"/>
        <w:rPr>
          <w:sz w:val="24"/>
          <w:szCs w:val="24"/>
          <w:lang w:val="en-GB"/>
        </w:rPr>
      </w:pPr>
    </w:p>
    <w:p w14:paraId="3A93840E" w14:textId="77777777" w:rsidR="00E607F1" w:rsidRPr="00B55C24" w:rsidRDefault="00E607F1" w:rsidP="004A5906">
      <w:pPr>
        <w:ind w:left="851"/>
        <w:rPr>
          <w:sz w:val="24"/>
          <w:szCs w:val="24"/>
          <w:lang w:val="en-GB"/>
        </w:rPr>
      </w:pPr>
      <w:r w:rsidRPr="00B55C24">
        <w:rPr>
          <w:sz w:val="24"/>
          <w:szCs w:val="24"/>
          <w:lang w:val="en-GB"/>
        </w:rPr>
        <w:t xml:space="preserve">From the data collected in the phase III study RE-LY (see section 5.1) it was observed that the concomitant use of other oral or parenteral anticoagulants increases major bleeding rates with both dabigatran </w:t>
      </w:r>
      <w:proofErr w:type="spellStart"/>
      <w:r w:rsidRPr="00B55C24">
        <w:rPr>
          <w:sz w:val="24"/>
          <w:szCs w:val="24"/>
          <w:lang w:val="en-GB"/>
        </w:rPr>
        <w:t>etexilate</w:t>
      </w:r>
      <w:proofErr w:type="spellEnd"/>
      <w:r w:rsidRPr="00B55C24">
        <w:rPr>
          <w:sz w:val="24"/>
          <w:szCs w:val="24"/>
          <w:lang w:val="en-GB"/>
        </w:rPr>
        <w:t xml:space="preserve"> and warfarin by approximately 2.5-fold, mainly related to situations when switching from one anticoagulant to another (see section 4.3). Furthermore, concomitant use of antiplatelets, ASA or clopidogrel approximately doubled major bleeding rates with both dabigatran </w:t>
      </w:r>
      <w:proofErr w:type="spellStart"/>
      <w:r w:rsidRPr="00B55C24">
        <w:rPr>
          <w:sz w:val="24"/>
          <w:szCs w:val="24"/>
          <w:lang w:val="en-GB"/>
        </w:rPr>
        <w:t>etexilate</w:t>
      </w:r>
      <w:proofErr w:type="spellEnd"/>
      <w:r w:rsidRPr="00B55C24">
        <w:rPr>
          <w:sz w:val="24"/>
          <w:szCs w:val="24"/>
          <w:lang w:val="en-GB"/>
        </w:rPr>
        <w:t xml:space="preserve"> and warfarin (see section 4.4).</w:t>
      </w:r>
    </w:p>
    <w:p w14:paraId="483DE281" w14:textId="77777777" w:rsidR="00E607F1" w:rsidRPr="00B55C24" w:rsidRDefault="00E607F1" w:rsidP="004A5906">
      <w:pPr>
        <w:ind w:left="851"/>
        <w:rPr>
          <w:sz w:val="24"/>
          <w:szCs w:val="24"/>
          <w:lang w:val="en-GB"/>
        </w:rPr>
      </w:pPr>
    </w:p>
    <w:p w14:paraId="09274B67" w14:textId="77777777" w:rsidR="00E607F1" w:rsidRPr="00B55C24" w:rsidRDefault="00E607F1" w:rsidP="004A5906">
      <w:pPr>
        <w:ind w:left="851"/>
        <w:rPr>
          <w:sz w:val="24"/>
          <w:szCs w:val="24"/>
          <w:lang w:val="en-GB"/>
        </w:rPr>
      </w:pPr>
      <w:r w:rsidRPr="00B55C24">
        <w:rPr>
          <w:sz w:val="24"/>
          <w:szCs w:val="24"/>
          <w:lang w:val="en-GB"/>
        </w:rPr>
        <w:t>UFH can be administered at doses necessary to maintain a patent central venous or arterial catheter or during catheter ablation for atrial fibrillation (see section 4.3).</w:t>
      </w:r>
    </w:p>
    <w:p w14:paraId="43846E68" w14:textId="77777777" w:rsidR="00E607F1" w:rsidRPr="00B55C24" w:rsidRDefault="00E607F1" w:rsidP="004A5906">
      <w:pPr>
        <w:ind w:left="851"/>
        <w:rPr>
          <w:sz w:val="24"/>
          <w:szCs w:val="24"/>
          <w:lang w:val="en-GB"/>
        </w:rPr>
      </w:pPr>
    </w:p>
    <w:p w14:paraId="4A8C6A44"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9: Interactions with anticoagulants and antiplatelet aggregation medicinal products</w:t>
      </w:r>
    </w:p>
    <w:p w14:paraId="07D58E6B"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485"/>
        <w:gridCol w:w="8143"/>
      </w:tblGrid>
      <w:tr w:rsidR="00E607F1" w:rsidRPr="00D476B2" w14:paraId="002A6763" w14:textId="77777777" w:rsidTr="004A5906">
        <w:trPr>
          <w:trHeight w:val="57"/>
          <w:jc w:val="center"/>
        </w:trPr>
        <w:tc>
          <w:tcPr>
            <w:tcW w:w="771" w:type="pct"/>
            <w:tcBorders>
              <w:top w:val="single" w:sz="4" w:space="0" w:color="auto"/>
              <w:left w:val="single" w:sz="4" w:space="0" w:color="auto"/>
              <w:bottom w:val="nil"/>
              <w:right w:val="nil"/>
            </w:tcBorders>
            <w:hideMark/>
          </w:tcPr>
          <w:p w14:paraId="26C55EF0" w14:textId="77777777" w:rsidR="00E607F1" w:rsidRPr="00BE5A7A" w:rsidRDefault="00E607F1" w:rsidP="004A5906">
            <w:pPr>
              <w:rPr>
                <w:sz w:val="22"/>
                <w:szCs w:val="22"/>
                <w:lang w:val="en-GB"/>
              </w:rPr>
            </w:pPr>
            <w:r w:rsidRPr="00BE5A7A">
              <w:rPr>
                <w:sz w:val="22"/>
                <w:szCs w:val="22"/>
                <w:lang w:val="en-GB"/>
              </w:rPr>
              <w:t>NSAIDs</w:t>
            </w:r>
          </w:p>
        </w:tc>
        <w:tc>
          <w:tcPr>
            <w:tcW w:w="4229" w:type="pct"/>
            <w:tcBorders>
              <w:top w:val="single" w:sz="4" w:space="0" w:color="auto"/>
              <w:left w:val="single" w:sz="4" w:space="0" w:color="auto"/>
              <w:bottom w:val="nil"/>
              <w:right w:val="single" w:sz="4" w:space="0" w:color="auto"/>
            </w:tcBorders>
            <w:vAlign w:val="bottom"/>
            <w:hideMark/>
          </w:tcPr>
          <w:p w14:paraId="7CD7DC46" w14:textId="77777777" w:rsidR="00E607F1" w:rsidRPr="00BE5A7A" w:rsidRDefault="00E607F1" w:rsidP="004A5906">
            <w:pPr>
              <w:rPr>
                <w:sz w:val="22"/>
                <w:szCs w:val="22"/>
                <w:lang w:val="en-GB"/>
              </w:rPr>
            </w:pPr>
            <w:r w:rsidRPr="00BE5A7A">
              <w:rPr>
                <w:sz w:val="22"/>
                <w:szCs w:val="22"/>
                <w:lang w:val="en-GB"/>
              </w:rPr>
              <w:t xml:space="preserve">NSAIDs given for short-term analgesia have been shown not to be associated with increased bleeding risk when given in conjunction with dabigatran </w:t>
            </w:r>
            <w:proofErr w:type="spellStart"/>
            <w:r w:rsidRPr="00BE5A7A">
              <w:rPr>
                <w:sz w:val="22"/>
                <w:szCs w:val="22"/>
                <w:lang w:val="en-GB"/>
              </w:rPr>
              <w:t>etexilate</w:t>
            </w:r>
            <w:proofErr w:type="spellEnd"/>
            <w:r w:rsidRPr="00BE5A7A">
              <w:rPr>
                <w:sz w:val="22"/>
                <w:szCs w:val="22"/>
                <w:lang w:val="en-GB"/>
              </w:rPr>
              <w:t xml:space="preserve">. With chronic use in the RE-LY study, NSAIDs increased the risk of bleeding by approximately 50% on both dabigatran </w:t>
            </w:r>
            <w:proofErr w:type="spellStart"/>
            <w:r w:rsidRPr="00BE5A7A">
              <w:rPr>
                <w:sz w:val="22"/>
                <w:szCs w:val="22"/>
                <w:lang w:val="en-GB"/>
              </w:rPr>
              <w:t>etexilate</w:t>
            </w:r>
            <w:proofErr w:type="spellEnd"/>
            <w:r w:rsidRPr="00BE5A7A">
              <w:rPr>
                <w:sz w:val="22"/>
                <w:szCs w:val="22"/>
                <w:lang w:val="en-GB"/>
              </w:rPr>
              <w:t xml:space="preserve"> and warfarin.</w:t>
            </w:r>
          </w:p>
        </w:tc>
      </w:tr>
      <w:tr w:rsidR="00E607F1" w:rsidRPr="00D476B2" w14:paraId="2D62EDF6" w14:textId="77777777" w:rsidTr="004A5906">
        <w:trPr>
          <w:trHeight w:val="57"/>
          <w:jc w:val="center"/>
        </w:trPr>
        <w:tc>
          <w:tcPr>
            <w:tcW w:w="771" w:type="pct"/>
            <w:tcBorders>
              <w:top w:val="single" w:sz="4" w:space="0" w:color="auto"/>
              <w:left w:val="single" w:sz="4" w:space="0" w:color="auto"/>
              <w:bottom w:val="nil"/>
              <w:right w:val="nil"/>
            </w:tcBorders>
            <w:hideMark/>
          </w:tcPr>
          <w:p w14:paraId="75CD017A" w14:textId="77777777" w:rsidR="00E607F1" w:rsidRPr="00BE5A7A" w:rsidRDefault="00E607F1" w:rsidP="004A5906">
            <w:pPr>
              <w:rPr>
                <w:sz w:val="22"/>
                <w:szCs w:val="22"/>
                <w:lang w:val="en-GB"/>
              </w:rPr>
            </w:pPr>
            <w:r w:rsidRPr="00BE5A7A">
              <w:rPr>
                <w:sz w:val="22"/>
                <w:szCs w:val="22"/>
                <w:lang w:val="en-GB"/>
              </w:rPr>
              <w:t>Clopidogrel</w:t>
            </w:r>
          </w:p>
        </w:tc>
        <w:tc>
          <w:tcPr>
            <w:tcW w:w="4229" w:type="pct"/>
            <w:tcBorders>
              <w:top w:val="single" w:sz="4" w:space="0" w:color="auto"/>
              <w:left w:val="single" w:sz="4" w:space="0" w:color="auto"/>
              <w:bottom w:val="nil"/>
              <w:right w:val="single" w:sz="4" w:space="0" w:color="auto"/>
            </w:tcBorders>
            <w:vAlign w:val="bottom"/>
            <w:hideMark/>
          </w:tcPr>
          <w:p w14:paraId="54BE8E38" w14:textId="77777777" w:rsidR="00E607F1" w:rsidRPr="00BE5A7A" w:rsidRDefault="00E607F1" w:rsidP="004A5906">
            <w:pPr>
              <w:rPr>
                <w:sz w:val="22"/>
                <w:szCs w:val="22"/>
                <w:lang w:val="en-GB"/>
              </w:rPr>
            </w:pPr>
            <w:r w:rsidRPr="00BE5A7A">
              <w:rPr>
                <w:sz w:val="22"/>
                <w:szCs w:val="22"/>
                <w:lang w:val="en-GB"/>
              </w:rPr>
              <w:t xml:space="preserve">In young healthy male volunteers, the concomitant administration of dabigatran </w:t>
            </w:r>
            <w:proofErr w:type="spellStart"/>
            <w:r w:rsidRPr="00BE5A7A">
              <w:rPr>
                <w:sz w:val="22"/>
                <w:szCs w:val="22"/>
                <w:lang w:val="en-GB"/>
              </w:rPr>
              <w:t>etexilate</w:t>
            </w:r>
            <w:proofErr w:type="spellEnd"/>
            <w:r w:rsidRPr="00BE5A7A">
              <w:rPr>
                <w:sz w:val="22"/>
                <w:szCs w:val="22"/>
                <w:lang w:val="en-GB"/>
              </w:rPr>
              <w:t xml:space="preserve"> and clopidogrel resulted in no further prolongation of capillary bleeding times compared to clopidogrel monotherapy. In addition, dabigatran </w:t>
            </w:r>
            <w:proofErr w:type="spellStart"/>
            <w:r w:rsidRPr="00BE5A7A">
              <w:rPr>
                <w:sz w:val="22"/>
                <w:szCs w:val="22"/>
                <w:lang w:val="en-GB"/>
              </w:rPr>
              <w:t>AUC</w:t>
            </w:r>
            <w:proofErr w:type="gramStart"/>
            <w:r w:rsidRPr="00BE5A7A">
              <w:rPr>
                <w:sz w:val="22"/>
                <w:szCs w:val="22"/>
                <w:lang w:val="en-GB"/>
              </w:rPr>
              <w:t>τ,</w:t>
            </w:r>
            <w:r w:rsidRPr="00BE5A7A">
              <w:rPr>
                <w:sz w:val="22"/>
                <w:szCs w:val="22"/>
                <w:vertAlign w:val="subscript"/>
                <w:lang w:val="en-GB"/>
              </w:rPr>
              <w:t>ss</w:t>
            </w:r>
            <w:proofErr w:type="spellEnd"/>
            <w:proofErr w:type="gramEnd"/>
            <w:r w:rsidRPr="00BE5A7A">
              <w:rPr>
                <w:sz w:val="22"/>
                <w:szCs w:val="22"/>
                <w:lang w:val="en-GB"/>
              </w:rPr>
              <w:t xml:space="preserve"> and </w:t>
            </w:r>
            <w:proofErr w:type="spellStart"/>
            <w:r w:rsidRPr="00BE5A7A">
              <w:rPr>
                <w:sz w:val="22"/>
                <w:szCs w:val="22"/>
                <w:lang w:val="en-GB"/>
              </w:rPr>
              <w:t>C</w:t>
            </w:r>
            <w:r w:rsidRPr="00BE5A7A">
              <w:rPr>
                <w:sz w:val="22"/>
                <w:szCs w:val="22"/>
                <w:vertAlign w:val="subscript"/>
                <w:lang w:val="en-GB"/>
              </w:rPr>
              <w:t>max</w:t>
            </w:r>
            <w:r w:rsidRPr="00BE5A7A">
              <w:rPr>
                <w:sz w:val="22"/>
                <w:szCs w:val="22"/>
                <w:lang w:val="en-GB"/>
              </w:rPr>
              <w:t>,</w:t>
            </w:r>
            <w:r w:rsidRPr="00BE5A7A">
              <w:rPr>
                <w:sz w:val="22"/>
                <w:szCs w:val="22"/>
                <w:vertAlign w:val="subscript"/>
                <w:lang w:val="en-GB"/>
              </w:rPr>
              <w:t>ss</w:t>
            </w:r>
            <w:proofErr w:type="spellEnd"/>
            <w:r w:rsidRPr="00BE5A7A">
              <w:rPr>
                <w:sz w:val="22"/>
                <w:szCs w:val="22"/>
                <w:lang w:val="en-GB"/>
              </w:rPr>
              <w:t xml:space="preserve"> and the coagulation measures for dabigatran effect or the inhibition of platelet aggregation as measure of clopidogrel effect remained essentially unchanged comparing combined treatment and the respective mono-treatments. With a loading dose of 300 mg or 600 mg clopidogrel, dabigatran </w:t>
            </w:r>
            <w:proofErr w:type="spellStart"/>
            <w:r w:rsidRPr="00BE5A7A">
              <w:rPr>
                <w:sz w:val="22"/>
                <w:szCs w:val="22"/>
                <w:lang w:val="en-GB"/>
              </w:rPr>
              <w:t>AUC</w:t>
            </w:r>
            <w:proofErr w:type="gramStart"/>
            <w:r w:rsidRPr="00BE5A7A">
              <w:rPr>
                <w:sz w:val="22"/>
                <w:szCs w:val="22"/>
                <w:lang w:val="en-GB"/>
              </w:rPr>
              <w:t>τ,</w:t>
            </w:r>
            <w:r w:rsidRPr="00BE5A7A">
              <w:rPr>
                <w:sz w:val="22"/>
                <w:szCs w:val="22"/>
                <w:vertAlign w:val="subscript"/>
                <w:lang w:val="en-GB"/>
              </w:rPr>
              <w:t>ss</w:t>
            </w:r>
            <w:proofErr w:type="spellEnd"/>
            <w:proofErr w:type="gramEnd"/>
            <w:r w:rsidRPr="00BE5A7A">
              <w:rPr>
                <w:sz w:val="22"/>
                <w:szCs w:val="22"/>
                <w:lang w:val="en-GB"/>
              </w:rPr>
              <w:t xml:space="preserve"> and </w:t>
            </w:r>
            <w:proofErr w:type="spellStart"/>
            <w:r w:rsidRPr="00BE5A7A">
              <w:rPr>
                <w:sz w:val="22"/>
                <w:szCs w:val="22"/>
                <w:lang w:val="en-GB"/>
              </w:rPr>
              <w:t>C</w:t>
            </w:r>
            <w:r w:rsidRPr="00BE5A7A">
              <w:rPr>
                <w:sz w:val="22"/>
                <w:szCs w:val="22"/>
                <w:vertAlign w:val="subscript"/>
                <w:lang w:val="en-GB"/>
              </w:rPr>
              <w:t>max</w:t>
            </w:r>
            <w:r w:rsidRPr="00BE5A7A">
              <w:rPr>
                <w:sz w:val="22"/>
                <w:szCs w:val="22"/>
                <w:lang w:val="en-GB"/>
              </w:rPr>
              <w:t>,</w:t>
            </w:r>
            <w:r w:rsidRPr="00BE5A7A">
              <w:rPr>
                <w:sz w:val="22"/>
                <w:szCs w:val="22"/>
                <w:vertAlign w:val="subscript"/>
                <w:lang w:val="en-GB"/>
              </w:rPr>
              <w:t>ss</w:t>
            </w:r>
            <w:proofErr w:type="spellEnd"/>
            <w:r w:rsidRPr="00BE5A7A">
              <w:rPr>
                <w:sz w:val="22"/>
                <w:szCs w:val="22"/>
                <w:lang w:val="en-GB"/>
              </w:rPr>
              <w:t xml:space="preserve"> were increased by about 30</w:t>
            </w:r>
            <w:r w:rsidRPr="00BE5A7A">
              <w:rPr>
                <w:sz w:val="22"/>
                <w:szCs w:val="22"/>
                <w:lang w:val="en-GB"/>
              </w:rPr>
              <w:noBreakHyphen/>
              <w:t>40% (see section 4.4).</w:t>
            </w:r>
          </w:p>
        </w:tc>
      </w:tr>
      <w:tr w:rsidR="00E607F1" w:rsidRPr="00D476B2" w14:paraId="7428DE44" w14:textId="77777777" w:rsidTr="004A5906">
        <w:trPr>
          <w:trHeight w:val="57"/>
          <w:jc w:val="center"/>
        </w:trPr>
        <w:tc>
          <w:tcPr>
            <w:tcW w:w="771" w:type="pct"/>
            <w:tcBorders>
              <w:top w:val="single" w:sz="4" w:space="0" w:color="auto"/>
              <w:left w:val="single" w:sz="4" w:space="0" w:color="auto"/>
              <w:bottom w:val="nil"/>
              <w:right w:val="nil"/>
            </w:tcBorders>
            <w:hideMark/>
          </w:tcPr>
          <w:p w14:paraId="474FB442" w14:textId="77777777" w:rsidR="00E607F1" w:rsidRPr="00BE5A7A" w:rsidRDefault="00E607F1" w:rsidP="004A5906">
            <w:pPr>
              <w:rPr>
                <w:sz w:val="22"/>
                <w:szCs w:val="22"/>
                <w:lang w:val="en-GB"/>
              </w:rPr>
            </w:pPr>
            <w:r w:rsidRPr="00BE5A7A">
              <w:rPr>
                <w:sz w:val="22"/>
                <w:szCs w:val="22"/>
                <w:lang w:val="en-GB"/>
              </w:rPr>
              <w:t>ASA</w:t>
            </w:r>
          </w:p>
        </w:tc>
        <w:tc>
          <w:tcPr>
            <w:tcW w:w="4229" w:type="pct"/>
            <w:tcBorders>
              <w:top w:val="single" w:sz="4" w:space="0" w:color="auto"/>
              <w:left w:val="single" w:sz="4" w:space="0" w:color="auto"/>
              <w:bottom w:val="nil"/>
              <w:right w:val="single" w:sz="4" w:space="0" w:color="auto"/>
            </w:tcBorders>
            <w:vAlign w:val="bottom"/>
            <w:hideMark/>
          </w:tcPr>
          <w:p w14:paraId="57C3232A" w14:textId="77777777" w:rsidR="00E607F1" w:rsidRPr="00BE5A7A" w:rsidRDefault="00E607F1" w:rsidP="004A5906">
            <w:pPr>
              <w:rPr>
                <w:sz w:val="22"/>
                <w:szCs w:val="22"/>
                <w:lang w:val="en-GB"/>
              </w:rPr>
            </w:pPr>
            <w:r w:rsidRPr="00BE5A7A">
              <w:rPr>
                <w:sz w:val="22"/>
                <w:szCs w:val="22"/>
                <w:lang w:val="en-GB"/>
              </w:rPr>
              <w:t xml:space="preserve">Co-administration of ASA and 150 mg dabigatran </w:t>
            </w:r>
            <w:proofErr w:type="spellStart"/>
            <w:r w:rsidRPr="00BE5A7A">
              <w:rPr>
                <w:sz w:val="22"/>
                <w:szCs w:val="22"/>
                <w:lang w:val="en-GB"/>
              </w:rPr>
              <w:t>etexilate</w:t>
            </w:r>
            <w:proofErr w:type="spellEnd"/>
            <w:r w:rsidRPr="00BE5A7A">
              <w:rPr>
                <w:sz w:val="22"/>
                <w:szCs w:val="22"/>
                <w:lang w:val="en-GB"/>
              </w:rPr>
              <w:t xml:space="preserve"> twice daily may increase the risk for any bleeding from 12% to 18% and 24% with 81 mg and 325 mg ASA, respectively (see section 4.4).</w:t>
            </w:r>
          </w:p>
        </w:tc>
      </w:tr>
      <w:tr w:rsidR="00E607F1" w:rsidRPr="00D476B2" w14:paraId="7B3005D6" w14:textId="77777777" w:rsidTr="004A5906">
        <w:trPr>
          <w:trHeight w:val="57"/>
          <w:jc w:val="center"/>
        </w:trPr>
        <w:tc>
          <w:tcPr>
            <w:tcW w:w="771" w:type="pct"/>
            <w:tcBorders>
              <w:top w:val="single" w:sz="4" w:space="0" w:color="auto"/>
              <w:left w:val="single" w:sz="4" w:space="0" w:color="auto"/>
              <w:bottom w:val="single" w:sz="4" w:space="0" w:color="auto"/>
              <w:right w:val="nil"/>
            </w:tcBorders>
            <w:hideMark/>
          </w:tcPr>
          <w:p w14:paraId="5EE3D900" w14:textId="77777777" w:rsidR="00E607F1" w:rsidRPr="00BE5A7A" w:rsidRDefault="00E607F1" w:rsidP="004A5906">
            <w:pPr>
              <w:rPr>
                <w:sz w:val="22"/>
                <w:szCs w:val="22"/>
                <w:lang w:val="en-GB"/>
              </w:rPr>
            </w:pPr>
            <w:r w:rsidRPr="00BE5A7A">
              <w:rPr>
                <w:sz w:val="22"/>
                <w:szCs w:val="22"/>
                <w:lang w:val="en-GB"/>
              </w:rPr>
              <w:t>LMWH</w:t>
            </w:r>
          </w:p>
        </w:tc>
        <w:tc>
          <w:tcPr>
            <w:tcW w:w="4229" w:type="pct"/>
            <w:tcBorders>
              <w:top w:val="single" w:sz="4" w:space="0" w:color="auto"/>
              <w:left w:val="single" w:sz="4" w:space="0" w:color="auto"/>
              <w:bottom w:val="single" w:sz="4" w:space="0" w:color="auto"/>
              <w:right w:val="single" w:sz="4" w:space="0" w:color="auto"/>
            </w:tcBorders>
            <w:vAlign w:val="bottom"/>
            <w:hideMark/>
          </w:tcPr>
          <w:p w14:paraId="6608D068" w14:textId="571A12AE" w:rsidR="00E607F1" w:rsidRPr="00BE5A7A" w:rsidRDefault="00E607F1" w:rsidP="004A5906">
            <w:pPr>
              <w:rPr>
                <w:sz w:val="22"/>
                <w:szCs w:val="22"/>
                <w:lang w:val="en-GB"/>
              </w:rPr>
            </w:pPr>
            <w:r w:rsidRPr="00BE5A7A">
              <w:rPr>
                <w:sz w:val="22"/>
                <w:szCs w:val="22"/>
                <w:lang w:val="en-GB"/>
              </w:rPr>
              <w:t xml:space="preserve">The concomitant use of LMWHs, such as enoxaparin and dabigatran </w:t>
            </w:r>
            <w:proofErr w:type="spellStart"/>
            <w:r w:rsidRPr="00BE5A7A">
              <w:rPr>
                <w:sz w:val="22"/>
                <w:szCs w:val="22"/>
                <w:lang w:val="en-GB"/>
              </w:rPr>
              <w:t>etexilate</w:t>
            </w:r>
            <w:proofErr w:type="spellEnd"/>
            <w:r w:rsidRPr="00BE5A7A">
              <w:rPr>
                <w:sz w:val="22"/>
                <w:szCs w:val="22"/>
                <w:lang w:val="en-GB"/>
              </w:rPr>
              <w:t xml:space="preserve"> has not been specifically investigated. After switching from 3-day treatment of once daily 40 mg enoxaparin </w:t>
            </w:r>
            <w:proofErr w:type="spellStart"/>
            <w:r w:rsidRPr="00BE5A7A">
              <w:rPr>
                <w:sz w:val="22"/>
                <w:szCs w:val="22"/>
                <w:lang w:val="en-GB"/>
              </w:rPr>
              <w:t>s.c.</w:t>
            </w:r>
            <w:proofErr w:type="spellEnd"/>
            <w:r w:rsidRPr="00BE5A7A">
              <w:rPr>
                <w:sz w:val="22"/>
                <w:szCs w:val="22"/>
                <w:lang w:val="en-GB"/>
              </w:rPr>
              <w:t xml:space="preserve">, 24 hours after the last dose of enoxaparin the exposure to dabigatran was slightly lower than that after administration of dabigatran </w:t>
            </w:r>
            <w:proofErr w:type="spellStart"/>
            <w:r w:rsidRPr="00BE5A7A">
              <w:rPr>
                <w:sz w:val="22"/>
                <w:szCs w:val="22"/>
                <w:lang w:val="en-GB"/>
              </w:rPr>
              <w:t>etexilate</w:t>
            </w:r>
            <w:proofErr w:type="spellEnd"/>
            <w:r w:rsidRPr="00BE5A7A">
              <w:rPr>
                <w:sz w:val="22"/>
                <w:szCs w:val="22"/>
                <w:lang w:val="en-GB"/>
              </w:rPr>
              <w:t xml:space="preserve"> (single dose of 220 mg) alone. A higher anti-</w:t>
            </w:r>
            <w:proofErr w:type="spellStart"/>
            <w:r w:rsidRPr="00BE5A7A">
              <w:rPr>
                <w:sz w:val="22"/>
                <w:szCs w:val="22"/>
                <w:lang w:val="en-GB"/>
              </w:rPr>
              <w:t>FXa</w:t>
            </w:r>
            <w:proofErr w:type="spellEnd"/>
            <w:r w:rsidRPr="00BE5A7A">
              <w:rPr>
                <w:sz w:val="22"/>
                <w:szCs w:val="22"/>
                <w:lang w:val="en-GB"/>
              </w:rPr>
              <w:t xml:space="preserve">/FIIa activity was observed after dabigatran </w:t>
            </w:r>
            <w:proofErr w:type="spellStart"/>
            <w:r w:rsidRPr="00BE5A7A">
              <w:rPr>
                <w:sz w:val="22"/>
                <w:szCs w:val="22"/>
                <w:lang w:val="en-GB"/>
              </w:rPr>
              <w:t>etexilate</w:t>
            </w:r>
            <w:proofErr w:type="spellEnd"/>
            <w:r w:rsidRPr="00BE5A7A">
              <w:rPr>
                <w:sz w:val="22"/>
                <w:szCs w:val="22"/>
                <w:lang w:val="en-GB"/>
              </w:rPr>
              <w:t xml:space="preserve"> administration with enoxaparin pre-treatment compared to that after treatment with dabigatran </w:t>
            </w:r>
            <w:proofErr w:type="spellStart"/>
            <w:r w:rsidRPr="00BE5A7A">
              <w:rPr>
                <w:sz w:val="22"/>
                <w:szCs w:val="22"/>
                <w:lang w:val="en-GB"/>
              </w:rPr>
              <w:t>etexilate</w:t>
            </w:r>
            <w:proofErr w:type="spellEnd"/>
            <w:r w:rsidRPr="00BE5A7A">
              <w:rPr>
                <w:sz w:val="22"/>
                <w:szCs w:val="22"/>
                <w:lang w:val="en-GB"/>
              </w:rPr>
              <w:t xml:space="preserve"> alone. This </w:t>
            </w:r>
            <w:proofErr w:type="gramStart"/>
            <w:r w:rsidRPr="00BE5A7A">
              <w:rPr>
                <w:sz w:val="22"/>
                <w:szCs w:val="22"/>
                <w:lang w:val="en-GB"/>
              </w:rPr>
              <w:t>is considered to be</w:t>
            </w:r>
            <w:proofErr w:type="gramEnd"/>
            <w:r w:rsidRPr="00BE5A7A">
              <w:rPr>
                <w:sz w:val="22"/>
                <w:szCs w:val="22"/>
                <w:lang w:val="en-GB"/>
              </w:rPr>
              <w:t xml:space="preserve"> due to the carry-over effect of enoxaparin treatment and regarded as not clinically relevant. Other dabigatran related anti-coagulation tests were not changed significantly by the pre-treatment of enoxaparin.</w:t>
            </w:r>
          </w:p>
        </w:tc>
      </w:tr>
    </w:tbl>
    <w:p w14:paraId="7C5CDDB2" w14:textId="77777777" w:rsidR="00E607F1" w:rsidRPr="00B55C24" w:rsidRDefault="00E607F1" w:rsidP="00E607F1">
      <w:pPr>
        <w:tabs>
          <w:tab w:val="left" w:pos="851"/>
        </w:tabs>
        <w:ind w:left="851"/>
        <w:rPr>
          <w:sz w:val="24"/>
          <w:szCs w:val="24"/>
          <w:lang w:val="en-GB"/>
        </w:rPr>
      </w:pPr>
    </w:p>
    <w:p w14:paraId="11B1F8B8" w14:textId="77777777" w:rsidR="00E607F1" w:rsidRPr="00B55C24" w:rsidRDefault="00E607F1" w:rsidP="00E607F1">
      <w:pPr>
        <w:tabs>
          <w:tab w:val="left" w:pos="851"/>
        </w:tabs>
        <w:ind w:left="851"/>
        <w:rPr>
          <w:b/>
          <w:bCs/>
          <w:sz w:val="24"/>
          <w:szCs w:val="24"/>
          <w:lang w:val="en-GB"/>
        </w:rPr>
      </w:pPr>
      <w:r w:rsidRPr="00B55C24">
        <w:rPr>
          <w:sz w:val="24"/>
          <w:szCs w:val="24"/>
          <w:u w:val="single"/>
          <w:lang w:val="en-GB"/>
        </w:rPr>
        <w:t>Other interactions</w:t>
      </w:r>
    </w:p>
    <w:p w14:paraId="739F527A" w14:textId="77777777" w:rsidR="00E607F1" w:rsidRPr="00B55C24" w:rsidRDefault="00E607F1" w:rsidP="00E607F1">
      <w:pPr>
        <w:tabs>
          <w:tab w:val="left" w:pos="851"/>
        </w:tabs>
        <w:ind w:left="851"/>
        <w:rPr>
          <w:sz w:val="24"/>
          <w:szCs w:val="24"/>
          <w:lang w:val="en-GB"/>
        </w:rPr>
      </w:pPr>
    </w:p>
    <w:p w14:paraId="422C15E5"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10: Other interactions</w:t>
      </w:r>
    </w:p>
    <w:p w14:paraId="3050CA88"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610"/>
        <w:gridCol w:w="8018"/>
      </w:tblGrid>
      <w:tr w:rsidR="00E607F1" w:rsidRPr="00D476B2" w14:paraId="305E6158" w14:textId="77777777" w:rsidTr="004A5906">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2676A32B" w14:textId="77777777" w:rsidR="00E607F1" w:rsidRPr="00322951" w:rsidRDefault="00E607F1" w:rsidP="004A5906">
            <w:pPr>
              <w:rPr>
                <w:i/>
                <w:iCs/>
                <w:sz w:val="22"/>
                <w:szCs w:val="22"/>
                <w:u w:val="single"/>
                <w:lang w:val="en-GB"/>
              </w:rPr>
            </w:pPr>
            <w:r w:rsidRPr="00322951">
              <w:rPr>
                <w:i/>
                <w:iCs/>
                <w:sz w:val="22"/>
                <w:szCs w:val="22"/>
                <w:u w:val="single"/>
                <w:lang w:val="en-GB"/>
              </w:rPr>
              <w:t>Selective serotonin re-uptake inhibitors (SSRIs) or selective serotonin norepinephrine re-uptake inhibitors (SNRIs)</w:t>
            </w:r>
          </w:p>
        </w:tc>
      </w:tr>
      <w:tr w:rsidR="00E607F1" w:rsidRPr="00D476B2" w14:paraId="7B717E47" w14:textId="77777777" w:rsidTr="004A5906">
        <w:trPr>
          <w:trHeight w:val="57"/>
          <w:jc w:val="center"/>
        </w:trPr>
        <w:tc>
          <w:tcPr>
            <w:tcW w:w="836" w:type="pct"/>
            <w:tcBorders>
              <w:top w:val="single" w:sz="4" w:space="0" w:color="auto"/>
              <w:left w:val="single" w:sz="4" w:space="0" w:color="auto"/>
              <w:bottom w:val="single" w:sz="4" w:space="0" w:color="auto"/>
              <w:right w:val="single" w:sz="4" w:space="0" w:color="auto"/>
            </w:tcBorders>
            <w:vAlign w:val="bottom"/>
            <w:hideMark/>
          </w:tcPr>
          <w:p w14:paraId="2FC933B4" w14:textId="77777777" w:rsidR="00E607F1" w:rsidRPr="00322951" w:rsidRDefault="00E607F1" w:rsidP="004A5906">
            <w:pPr>
              <w:rPr>
                <w:sz w:val="22"/>
                <w:szCs w:val="22"/>
                <w:lang w:val="en-GB"/>
              </w:rPr>
            </w:pPr>
            <w:r w:rsidRPr="00322951">
              <w:rPr>
                <w:sz w:val="22"/>
                <w:szCs w:val="22"/>
                <w:lang w:val="en-GB"/>
              </w:rPr>
              <w:t>SSRIs, SNRIs</w:t>
            </w:r>
          </w:p>
        </w:tc>
        <w:tc>
          <w:tcPr>
            <w:tcW w:w="4164" w:type="pct"/>
            <w:tcBorders>
              <w:top w:val="single" w:sz="4" w:space="0" w:color="auto"/>
              <w:left w:val="single" w:sz="4" w:space="0" w:color="auto"/>
              <w:bottom w:val="single" w:sz="4" w:space="0" w:color="auto"/>
              <w:right w:val="single" w:sz="4" w:space="0" w:color="auto"/>
            </w:tcBorders>
            <w:vAlign w:val="bottom"/>
            <w:hideMark/>
          </w:tcPr>
          <w:p w14:paraId="54D145D9" w14:textId="77777777" w:rsidR="00E607F1" w:rsidRPr="00322951" w:rsidRDefault="00E607F1" w:rsidP="004A5906">
            <w:pPr>
              <w:rPr>
                <w:sz w:val="22"/>
                <w:szCs w:val="22"/>
                <w:lang w:val="en-GB"/>
              </w:rPr>
            </w:pPr>
            <w:r w:rsidRPr="00322951">
              <w:rPr>
                <w:sz w:val="22"/>
                <w:szCs w:val="22"/>
                <w:lang w:val="en-GB"/>
              </w:rPr>
              <w:t>SSRIs and SNRIs increased the risk of bleeding in RE-LY in all treatment groups</w:t>
            </w:r>
          </w:p>
        </w:tc>
      </w:tr>
      <w:tr w:rsidR="00E607F1" w:rsidRPr="00322951" w14:paraId="2E4DDFAD" w14:textId="77777777" w:rsidTr="004A5906">
        <w:trPr>
          <w:trHeight w:val="57"/>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C0671F0" w14:textId="77777777" w:rsidR="00E607F1" w:rsidRPr="00322951" w:rsidRDefault="00E607F1" w:rsidP="004A5906">
            <w:pPr>
              <w:rPr>
                <w:i/>
                <w:iCs/>
                <w:sz w:val="22"/>
                <w:szCs w:val="22"/>
                <w:u w:val="single"/>
                <w:lang w:val="en-GB"/>
              </w:rPr>
            </w:pPr>
            <w:r w:rsidRPr="00322951">
              <w:rPr>
                <w:i/>
                <w:iCs/>
                <w:sz w:val="22"/>
                <w:szCs w:val="22"/>
                <w:u w:val="single"/>
                <w:lang w:val="en-GB"/>
              </w:rPr>
              <w:t>Substances influencing gastric pH</w:t>
            </w:r>
          </w:p>
        </w:tc>
      </w:tr>
      <w:tr w:rsidR="00E607F1" w:rsidRPr="00D476B2" w14:paraId="2F7BEE46" w14:textId="77777777" w:rsidTr="004A5906">
        <w:trPr>
          <w:trHeight w:val="57"/>
          <w:jc w:val="center"/>
        </w:trPr>
        <w:tc>
          <w:tcPr>
            <w:tcW w:w="836" w:type="pct"/>
            <w:tcBorders>
              <w:top w:val="single" w:sz="4" w:space="0" w:color="auto"/>
              <w:left w:val="single" w:sz="4" w:space="0" w:color="auto"/>
              <w:bottom w:val="nil"/>
              <w:right w:val="nil"/>
            </w:tcBorders>
            <w:hideMark/>
          </w:tcPr>
          <w:p w14:paraId="7C8AC15E" w14:textId="77777777" w:rsidR="00E607F1" w:rsidRPr="00322951" w:rsidRDefault="00E607F1" w:rsidP="004A5906">
            <w:pPr>
              <w:rPr>
                <w:sz w:val="22"/>
                <w:szCs w:val="22"/>
                <w:lang w:val="en-GB"/>
              </w:rPr>
            </w:pPr>
            <w:r w:rsidRPr="00322951">
              <w:rPr>
                <w:sz w:val="22"/>
                <w:szCs w:val="22"/>
                <w:lang w:val="en-GB"/>
              </w:rPr>
              <w:t>Pantoprazole</w:t>
            </w:r>
          </w:p>
        </w:tc>
        <w:tc>
          <w:tcPr>
            <w:tcW w:w="4164" w:type="pct"/>
            <w:tcBorders>
              <w:top w:val="single" w:sz="4" w:space="0" w:color="auto"/>
              <w:left w:val="single" w:sz="4" w:space="0" w:color="auto"/>
              <w:bottom w:val="nil"/>
              <w:right w:val="single" w:sz="4" w:space="0" w:color="auto"/>
            </w:tcBorders>
            <w:vAlign w:val="bottom"/>
            <w:hideMark/>
          </w:tcPr>
          <w:p w14:paraId="722924F6" w14:textId="77777777" w:rsidR="00E607F1" w:rsidRPr="00322951" w:rsidRDefault="00E607F1" w:rsidP="004A5906">
            <w:pPr>
              <w:rPr>
                <w:sz w:val="22"/>
                <w:szCs w:val="22"/>
                <w:lang w:val="en-GB"/>
              </w:rPr>
            </w:pPr>
            <w:r w:rsidRPr="00322951">
              <w:rPr>
                <w:sz w:val="22"/>
                <w:szCs w:val="22"/>
                <w:lang w:val="en-GB"/>
              </w:rPr>
              <w:t xml:space="preserve">When dabigatran </w:t>
            </w:r>
            <w:proofErr w:type="spellStart"/>
            <w:r w:rsidRPr="00322951">
              <w:rPr>
                <w:sz w:val="22"/>
                <w:szCs w:val="22"/>
                <w:lang w:val="en-GB"/>
              </w:rPr>
              <w:t>etexilate</w:t>
            </w:r>
            <w:proofErr w:type="spellEnd"/>
            <w:r w:rsidRPr="00322951">
              <w:rPr>
                <w:sz w:val="22"/>
                <w:szCs w:val="22"/>
                <w:lang w:val="en-GB"/>
              </w:rPr>
              <w:t xml:space="preserve"> was co-administered with pantoprazole, a decrease in the dabigatran AUC of approximately 30% was observed. Pantoprazole and other proton-pump inhibitors (PPI) were co-administered with dabigatran </w:t>
            </w:r>
            <w:proofErr w:type="spellStart"/>
            <w:r w:rsidRPr="00322951">
              <w:rPr>
                <w:sz w:val="22"/>
                <w:szCs w:val="22"/>
                <w:lang w:val="en-GB"/>
              </w:rPr>
              <w:t>etexilate</w:t>
            </w:r>
            <w:proofErr w:type="spellEnd"/>
            <w:r w:rsidRPr="00322951">
              <w:rPr>
                <w:sz w:val="22"/>
                <w:szCs w:val="22"/>
                <w:lang w:val="en-GB"/>
              </w:rPr>
              <w:t xml:space="preserve"> in clinical trials, and concomitant PPI treatment did not appear to reduce the efficacy of dabigatran </w:t>
            </w:r>
            <w:proofErr w:type="spellStart"/>
            <w:r w:rsidRPr="00322951">
              <w:rPr>
                <w:sz w:val="22"/>
                <w:szCs w:val="22"/>
                <w:lang w:val="en-GB"/>
              </w:rPr>
              <w:t>etexilate</w:t>
            </w:r>
            <w:proofErr w:type="spellEnd"/>
            <w:r w:rsidRPr="00322951">
              <w:rPr>
                <w:sz w:val="22"/>
                <w:szCs w:val="22"/>
                <w:lang w:val="en-GB"/>
              </w:rPr>
              <w:t>.</w:t>
            </w:r>
          </w:p>
        </w:tc>
      </w:tr>
      <w:tr w:rsidR="00E607F1" w:rsidRPr="00D476B2" w14:paraId="68D1A46B" w14:textId="77777777" w:rsidTr="004A5906">
        <w:trPr>
          <w:trHeight w:val="57"/>
          <w:jc w:val="center"/>
        </w:trPr>
        <w:tc>
          <w:tcPr>
            <w:tcW w:w="836" w:type="pct"/>
            <w:tcBorders>
              <w:top w:val="single" w:sz="4" w:space="0" w:color="auto"/>
              <w:left w:val="single" w:sz="4" w:space="0" w:color="auto"/>
              <w:bottom w:val="single" w:sz="4" w:space="0" w:color="auto"/>
              <w:right w:val="nil"/>
            </w:tcBorders>
            <w:hideMark/>
          </w:tcPr>
          <w:p w14:paraId="4070C57A" w14:textId="77777777" w:rsidR="00E607F1" w:rsidRPr="00322951" w:rsidRDefault="00E607F1" w:rsidP="004A5906">
            <w:pPr>
              <w:rPr>
                <w:sz w:val="22"/>
                <w:szCs w:val="22"/>
                <w:lang w:val="en-GB"/>
              </w:rPr>
            </w:pPr>
            <w:r w:rsidRPr="00322951">
              <w:rPr>
                <w:sz w:val="22"/>
                <w:szCs w:val="22"/>
                <w:lang w:val="en-GB"/>
              </w:rPr>
              <w:t>Ranitidine</w:t>
            </w:r>
          </w:p>
        </w:tc>
        <w:tc>
          <w:tcPr>
            <w:tcW w:w="4164" w:type="pct"/>
            <w:tcBorders>
              <w:top w:val="single" w:sz="4" w:space="0" w:color="auto"/>
              <w:left w:val="single" w:sz="4" w:space="0" w:color="auto"/>
              <w:bottom w:val="single" w:sz="4" w:space="0" w:color="auto"/>
              <w:right w:val="single" w:sz="4" w:space="0" w:color="auto"/>
            </w:tcBorders>
            <w:vAlign w:val="bottom"/>
            <w:hideMark/>
          </w:tcPr>
          <w:p w14:paraId="4154AF30" w14:textId="77777777" w:rsidR="00E607F1" w:rsidRPr="00322951" w:rsidRDefault="00E607F1" w:rsidP="004A5906">
            <w:pPr>
              <w:rPr>
                <w:sz w:val="22"/>
                <w:szCs w:val="22"/>
                <w:lang w:val="en-GB"/>
              </w:rPr>
            </w:pPr>
            <w:r w:rsidRPr="00322951">
              <w:rPr>
                <w:sz w:val="22"/>
                <w:szCs w:val="22"/>
                <w:lang w:val="en-GB"/>
              </w:rPr>
              <w:t xml:space="preserve">Ranitidine administration together with dabigatran </w:t>
            </w:r>
            <w:proofErr w:type="spellStart"/>
            <w:r w:rsidRPr="00322951">
              <w:rPr>
                <w:sz w:val="22"/>
                <w:szCs w:val="22"/>
                <w:lang w:val="en-GB"/>
              </w:rPr>
              <w:t>etexilate</w:t>
            </w:r>
            <w:proofErr w:type="spellEnd"/>
            <w:r w:rsidRPr="00322951">
              <w:rPr>
                <w:sz w:val="22"/>
                <w:szCs w:val="22"/>
                <w:lang w:val="en-GB"/>
              </w:rPr>
              <w:t xml:space="preserve"> had no clinically relevant effect on the extent of absorption of dabigatran.</w:t>
            </w:r>
          </w:p>
        </w:tc>
      </w:tr>
    </w:tbl>
    <w:p w14:paraId="4D9D90DC" w14:textId="77777777" w:rsidR="00E607F1" w:rsidRPr="00B55C24" w:rsidRDefault="00E607F1" w:rsidP="00E607F1">
      <w:pPr>
        <w:tabs>
          <w:tab w:val="left" w:pos="851"/>
        </w:tabs>
        <w:ind w:left="851"/>
        <w:rPr>
          <w:sz w:val="24"/>
          <w:szCs w:val="24"/>
          <w:u w:val="single"/>
          <w:lang w:val="en-GB"/>
        </w:rPr>
      </w:pPr>
    </w:p>
    <w:p w14:paraId="30CB28A8" w14:textId="77777777" w:rsidR="00E607F1" w:rsidRPr="00BE5A7A" w:rsidRDefault="00E607F1" w:rsidP="004A5906">
      <w:pPr>
        <w:ind w:left="851"/>
        <w:rPr>
          <w:sz w:val="24"/>
          <w:szCs w:val="24"/>
          <w:u w:val="single"/>
          <w:lang w:val="en-GB"/>
        </w:rPr>
      </w:pPr>
      <w:r w:rsidRPr="00BE5A7A">
        <w:rPr>
          <w:sz w:val="24"/>
          <w:szCs w:val="24"/>
          <w:u w:val="single"/>
          <w:lang w:val="en-GB"/>
        </w:rPr>
        <w:t xml:space="preserve">Interactions linked to dabigatran </w:t>
      </w:r>
      <w:proofErr w:type="spellStart"/>
      <w:r w:rsidRPr="00BE5A7A">
        <w:rPr>
          <w:sz w:val="24"/>
          <w:szCs w:val="24"/>
          <w:u w:val="single"/>
          <w:lang w:val="en-GB"/>
        </w:rPr>
        <w:t>etexilate</w:t>
      </w:r>
      <w:proofErr w:type="spellEnd"/>
      <w:r w:rsidRPr="00BE5A7A">
        <w:rPr>
          <w:sz w:val="24"/>
          <w:szCs w:val="24"/>
          <w:u w:val="single"/>
          <w:lang w:val="en-GB"/>
        </w:rPr>
        <w:t xml:space="preserve"> and dabigatran metabolic profile</w:t>
      </w:r>
    </w:p>
    <w:p w14:paraId="7CE37B9C" w14:textId="77777777" w:rsidR="00E607F1" w:rsidRPr="00B55C24" w:rsidRDefault="00E607F1" w:rsidP="004A5906">
      <w:pPr>
        <w:ind w:left="851"/>
        <w:rPr>
          <w:sz w:val="24"/>
          <w:szCs w:val="24"/>
          <w:lang w:val="en-GB"/>
        </w:rPr>
      </w:pPr>
    </w:p>
    <w:p w14:paraId="3E0A13EC"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and dabigatran are not metabolised by the cytochrome P450 system and have no </w:t>
      </w:r>
      <w:r w:rsidRPr="00B55C24">
        <w:rPr>
          <w:i/>
          <w:iCs/>
          <w:sz w:val="24"/>
          <w:szCs w:val="24"/>
          <w:lang w:val="en-GB"/>
        </w:rPr>
        <w:t>in vitro</w:t>
      </w:r>
      <w:r w:rsidRPr="00B55C24">
        <w:rPr>
          <w:sz w:val="24"/>
          <w:szCs w:val="24"/>
          <w:lang w:val="en-GB"/>
        </w:rPr>
        <w:t xml:space="preserve"> effects on human cytochrome P450 enzymes. Therefore, related medicinal product interactions are not expected with dabigatran.</w:t>
      </w:r>
    </w:p>
    <w:p w14:paraId="23AB0F24" w14:textId="26786EA1" w:rsidR="00322951" w:rsidRDefault="00322951">
      <w:pPr>
        <w:rPr>
          <w:sz w:val="24"/>
          <w:szCs w:val="24"/>
          <w:lang w:val="en-GB"/>
        </w:rPr>
      </w:pPr>
      <w:r>
        <w:rPr>
          <w:sz w:val="24"/>
          <w:szCs w:val="24"/>
          <w:lang w:val="en-GB"/>
        </w:rPr>
        <w:br w:type="page"/>
      </w:r>
    </w:p>
    <w:p w14:paraId="7538DB32" w14:textId="77777777" w:rsidR="00E607F1" w:rsidRPr="00B55C24" w:rsidRDefault="00E607F1" w:rsidP="004A5906">
      <w:pPr>
        <w:ind w:left="851"/>
        <w:rPr>
          <w:sz w:val="24"/>
          <w:szCs w:val="24"/>
          <w:lang w:val="en-GB"/>
        </w:rPr>
      </w:pPr>
    </w:p>
    <w:p w14:paraId="747099B6" w14:textId="77777777" w:rsidR="00E607F1" w:rsidRPr="00BE5A7A" w:rsidRDefault="00E607F1" w:rsidP="004A5906">
      <w:pPr>
        <w:ind w:left="851"/>
        <w:rPr>
          <w:sz w:val="24"/>
          <w:szCs w:val="24"/>
          <w:u w:val="single"/>
          <w:lang w:val="en-GB"/>
        </w:rPr>
      </w:pPr>
      <w:r w:rsidRPr="00BE5A7A">
        <w:rPr>
          <w:sz w:val="24"/>
          <w:szCs w:val="24"/>
          <w:u w:val="single"/>
          <w:lang w:val="en-GB"/>
        </w:rPr>
        <w:t>Paediatric population</w:t>
      </w:r>
    </w:p>
    <w:p w14:paraId="1EC5DFD1" w14:textId="77777777" w:rsidR="00E607F1" w:rsidRPr="00B55C24" w:rsidRDefault="00E607F1" w:rsidP="004A5906">
      <w:pPr>
        <w:ind w:left="851"/>
        <w:rPr>
          <w:sz w:val="24"/>
          <w:szCs w:val="24"/>
          <w:lang w:val="en-GB"/>
        </w:rPr>
      </w:pPr>
    </w:p>
    <w:p w14:paraId="282822C7" w14:textId="77777777" w:rsidR="00E607F1" w:rsidRPr="00B55C24" w:rsidRDefault="00E607F1" w:rsidP="004A5906">
      <w:pPr>
        <w:ind w:left="851"/>
        <w:rPr>
          <w:sz w:val="24"/>
          <w:szCs w:val="24"/>
          <w:lang w:val="en-GB"/>
        </w:rPr>
      </w:pPr>
      <w:r w:rsidRPr="00B55C24">
        <w:rPr>
          <w:sz w:val="24"/>
          <w:szCs w:val="24"/>
          <w:lang w:val="en-GB"/>
        </w:rPr>
        <w:t>Interaction studies have only been performed in adults.</w:t>
      </w:r>
    </w:p>
    <w:p w14:paraId="1E9867FE" w14:textId="77777777" w:rsidR="007C5D2A" w:rsidRPr="00B55C24" w:rsidRDefault="007C5D2A" w:rsidP="003E0341">
      <w:pPr>
        <w:tabs>
          <w:tab w:val="left" w:pos="851"/>
        </w:tabs>
        <w:ind w:left="851"/>
        <w:rPr>
          <w:sz w:val="24"/>
          <w:szCs w:val="24"/>
          <w:lang w:val="en-GB"/>
        </w:rPr>
      </w:pPr>
    </w:p>
    <w:p w14:paraId="57DA2F92"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4.6</w:t>
      </w:r>
      <w:r w:rsidRPr="00B55C24">
        <w:rPr>
          <w:b/>
          <w:sz w:val="24"/>
          <w:szCs w:val="24"/>
          <w:lang w:val="en-GB"/>
        </w:rPr>
        <w:tab/>
      </w:r>
      <w:r w:rsidR="004860D3" w:rsidRPr="00B55C24">
        <w:rPr>
          <w:b/>
          <w:sz w:val="24"/>
          <w:szCs w:val="24"/>
          <w:lang w:val="en-GB"/>
        </w:rPr>
        <w:t>Fertility, p</w:t>
      </w:r>
      <w:r w:rsidRPr="00B55C24">
        <w:rPr>
          <w:b/>
          <w:sz w:val="24"/>
          <w:szCs w:val="24"/>
          <w:lang w:val="en-GB"/>
        </w:rPr>
        <w:t>regnancy and lactation</w:t>
      </w:r>
    </w:p>
    <w:p w14:paraId="772EC557" w14:textId="77777777" w:rsidR="00BE5A7A" w:rsidRDefault="00BE5A7A" w:rsidP="004A5906">
      <w:pPr>
        <w:ind w:left="851"/>
        <w:rPr>
          <w:sz w:val="24"/>
          <w:szCs w:val="24"/>
          <w:lang w:val="en-GB"/>
        </w:rPr>
      </w:pPr>
    </w:p>
    <w:p w14:paraId="40CF4326" w14:textId="1327C149" w:rsidR="00E607F1" w:rsidRPr="00BE5A7A" w:rsidRDefault="00E607F1" w:rsidP="004A5906">
      <w:pPr>
        <w:ind w:left="851"/>
        <w:rPr>
          <w:sz w:val="24"/>
          <w:szCs w:val="24"/>
          <w:u w:val="single"/>
          <w:lang w:val="en-GB"/>
        </w:rPr>
      </w:pPr>
      <w:r w:rsidRPr="00BE5A7A">
        <w:rPr>
          <w:sz w:val="24"/>
          <w:szCs w:val="24"/>
          <w:u w:val="single"/>
          <w:lang w:val="en-GB"/>
        </w:rPr>
        <w:t>Women of childbearing potential</w:t>
      </w:r>
    </w:p>
    <w:p w14:paraId="6A4FCD5D" w14:textId="77777777" w:rsidR="00E607F1" w:rsidRPr="00B55C24" w:rsidRDefault="00E607F1" w:rsidP="004A5906">
      <w:pPr>
        <w:ind w:left="851"/>
        <w:rPr>
          <w:sz w:val="24"/>
          <w:szCs w:val="24"/>
          <w:lang w:val="en-GB"/>
        </w:rPr>
      </w:pPr>
    </w:p>
    <w:p w14:paraId="12864A58" w14:textId="665B03F4" w:rsidR="00E607F1" w:rsidRPr="00B55C24" w:rsidRDefault="00E607F1" w:rsidP="004A5906">
      <w:pPr>
        <w:ind w:left="851"/>
        <w:rPr>
          <w:sz w:val="24"/>
          <w:szCs w:val="24"/>
          <w:lang w:val="en-GB"/>
        </w:rPr>
      </w:pPr>
      <w:r w:rsidRPr="00B55C24">
        <w:rPr>
          <w:sz w:val="24"/>
          <w:szCs w:val="24"/>
          <w:lang w:val="en-GB"/>
        </w:rPr>
        <w:t xml:space="preserve">Women of childbearing potential should avoid pregnancy during treatment with </w:t>
      </w:r>
      <w:proofErr w:type="spellStart"/>
      <w:r w:rsidR="004A5906" w:rsidRPr="00B55C24">
        <w:rPr>
          <w:sz w:val="24"/>
          <w:szCs w:val="24"/>
          <w:lang w:val="en-GB"/>
        </w:rPr>
        <w:t>Dabigatranetexilat</w:t>
      </w:r>
      <w:proofErr w:type="spellEnd"/>
      <w:r w:rsidR="004A5906" w:rsidRPr="00B55C24">
        <w:rPr>
          <w:sz w:val="24"/>
          <w:szCs w:val="24"/>
          <w:lang w:val="en-GB"/>
        </w:rPr>
        <w:t xml:space="preserve"> "Gedeon Richter"</w:t>
      </w:r>
      <w:r w:rsidRPr="00B55C24">
        <w:rPr>
          <w:sz w:val="24"/>
          <w:szCs w:val="24"/>
          <w:lang w:val="en-GB"/>
        </w:rPr>
        <w:t>.</w:t>
      </w:r>
    </w:p>
    <w:p w14:paraId="44DED87A" w14:textId="77777777" w:rsidR="00E607F1" w:rsidRPr="00B55C24" w:rsidRDefault="00E607F1" w:rsidP="004A5906">
      <w:pPr>
        <w:ind w:left="851"/>
        <w:rPr>
          <w:sz w:val="24"/>
          <w:szCs w:val="24"/>
          <w:lang w:val="en-GB"/>
        </w:rPr>
      </w:pPr>
    </w:p>
    <w:p w14:paraId="3423973D" w14:textId="77777777" w:rsidR="00E607F1" w:rsidRPr="00BE5A7A" w:rsidRDefault="00E607F1" w:rsidP="004A5906">
      <w:pPr>
        <w:ind w:left="851"/>
        <w:rPr>
          <w:sz w:val="24"/>
          <w:szCs w:val="24"/>
          <w:u w:val="single"/>
          <w:lang w:val="en-GB"/>
        </w:rPr>
      </w:pPr>
      <w:r w:rsidRPr="00BE5A7A">
        <w:rPr>
          <w:sz w:val="24"/>
          <w:szCs w:val="24"/>
          <w:u w:val="single"/>
          <w:lang w:val="en-GB"/>
        </w:rPr>
        <w:t>Pregnancy</w:t>
      </w:r>
    </w:p>
    <w:p w14:paraId="546DCD9C" w14:textId="77777777" w:rsidR="00E607F1" w:rsidRPr="00B55C24" w:rsidRDefault="00E607F1" w:rsidP="004A5906">
      <w:pPr>
        <w:ind w:left="851"/>
        <w:rPr>
          <w:sz w:val="24"/>
          <w:szCs w:val="24"/>
          <w:lang w:val="en-GB"/>
        </w:rPr>
      </w:pPr>
    </w:p>
    <w:p w14:paraId="1375BA55" w14:textId="212CD2CF" w:rsidR="00E607F1" w:rsidRPr="00B55C24" w:rsidRDefault="00E607F1" w:rsidP="004A5906">
      <w:pPr>
        <w:ind w:left="851"/>
        <w:rPr>
          <w:sz w:val="24"/>
          <w:szCs w:val="24"/>
          <w:lang w:val="en-GB"/>
        </w:rPr>
      </w:pPr>
      <w:r w:rsidRPr="00B55C24">
        <w:rPr>
          <w:sz w:val="24"/>
          <w:szCs w:val="24"/>
          <w:lang w:val="en-GB"/>
        </w:rPr>
        <w:t xml:space="preserve">There is limited amount of data from the use of </w:t>
      </w:r>
      <w:proofErr w:type="spellStart"/>
      <w:r w:rsidR="004A5906" w:rsidRPr="00B55C24">
        <w:rPr>
          <w:sz w:val="24"/>
          <w:szCs w:val="24"/>
          <w:lang w:val="en-GB"/>
        </w:rPr>
        <w:t>Dabigatranetexilat</w:t>
      </w:r>
      <w:proofErr w:type="spellEnd"/>
      <w:r w:rsidR="004A5906" w:rsidRPr="00B55C24">
        <w:rPr>
          <w:sz w:val="24"/>
          <w:szCs w:val="24"/>
          <w:lang w:val="en-GB"/>
        </w:rPr>
        <w:t xml:space="preserve"> "Gedeon Richter"</w:t>
      </w:r>
      <w:r w:rsidRPr="00B55C24">
        <w:rPr>
          <w:sz w:val="24"/>
          <w:szCs w:val="24"/>
          <w:lang w:val="en-GB"/>
        </w:rPr>
        <w:t xml:space="preserve"> in pregnant women.</w:t>
      </w:r>
    </w:p>
    <w:p w14:paraId="267A0E7F" w14:textId="77777777" w:rsidR="00E607F1" w:rsidRPr="00B55C24" w:rsidRDefault="00E607F1" w:rsidP="004A5906">
      <w:pPr>
        <w:ind w:left="851"/>
        <w:rPr>
          <w:sz w:val="24"/>
          <w:szCs w:val="24"/>
          <w:lang w:val="en-GB"/>
        </w:rPr>
      </w:pPr>
      <w:r w:rsidRPr="00B55C24">
        <w:rPr>
          <w:sz w:val="24"/>
          <w:szCs w:val="24"/>
          <w:lang w:val="en-GB"/>
        </w:rPr>
        <w:t>Studies in animals have shown reproductive toxicity (see section 5.3). The potential risk for humans is unknown.</w:t>
      </w:r>
    </w:p>
    <w:p w14:paraId="338AD9C8" w14:textId="77777777" w:rsidR="00E607F1" w:rsidRPr="00B55C24" w:rsidRDefault="00E607F1" w:rsidP="004A5906">
      <w:pPr>
        <w:ind w:left="851"/>
        <w:rPr>
          <w:sz w:val="24"/>
          <w:szCs w:val="24"/>
          <w:lang w:val="en-GB"/>
        </w:rPr>
      </w:pPr>
    </w:p>
    <w:p w14:paraId="70D1979C" w14:textId="4C4AEDB6" w:rsidR="00E607F1" w:rsidRPr="00B55C24" w:rsidRDefault="004A5906" w:rsidP="004A5906">
      <w:pPr>
        <w:ind w:left="851"/>
        <w:rPr>
          <w:sz w:val="24"/>
          <w:szCs w:val="24"/>
          <w:lang w:val="en-GB"/>
        </w:rPr>
      </w:pPr>
      <w:proofErr w:type="spellStart"/>
      <w:r w:rsidRPr="00B55C24">
        <w:rPr>
          <w:sz w:val="24"/>
          <w:szCs w:val="24"/>
          <w:lang w:val="en-GB"/>
        </w:rPr>
        <w:t>Dabigatranetexilat</w:t>
      </w:r>
      <w:proofErr w:type="spellEnd"/>
      <w:r w:rsidRPr="00B55C24">
        <w:rPr>
          <w:sz w:val="24"/>
          <w:szCs w:val="24"/>
          <w:lang w:val="en-GB"/>
        </w:rPr>
        <w:t xml:space="preserve"> "Gedeon Richter"</w:t>
      </w:r>
      <w:r w:rsidR="00E607F1" w:rsidRPr="00B55C24">
        <w:rPr>
          <w:sz w:val="24"/>
          <w:szCs w:val="24"/>
          <w:lang w:val="en-GB"/>
        </w:rPr>
        <w:t xml:space="preserve"> should not be used during pregnancy unless clearly necessary.</w:t>
      </w:r>
    </w:p>
    <w:p w14:paraId="33B2203A" w14:textId="77777777" w:rsidR="00E607F1" w:rsidRPr="00B55C24" w:rsidRDefault="00E607F1" w:rsidP="004A5906">
      <w:pPr>
        <w:ind w:left="851"/>
        <w:rPr>
          <w:sz w:val="24"/>
          <w:szCs w:val="24"/>
          <w:lang w:val="en-GB"/>
        </w:rPr>
      </w:pPr>
    </w:p>
    <w:p w14:paraId="538B21EB" w14:textId="77777777" w:rsidR="00E607F1" w:rsidRPr="00BE5A7A" w:rsidRDefault="00E607F1" w:rsidP="004A5906">
      <w:pPr>
        <w:ind w:left="851"/>
        <w:rPr>
          <w:sz w:val="24"/>
          <w:szCs w:val="24"/>
          <w:u w:val="single"/>
          <w:lang w:val="en-GB"/>
        </w:rPr>
      </w:pPr>
      <w:r w:rsidRPr="00BE5A7A">
        <w:rPr>
          <w:sz w:val="24"/>
          <w:szCs w:val="24"/>
          <w:u w:val="single"/>
          <w:lang w:val="en-GB"/>
        </w:rPr>
        <w:t>Breast-feeding</w:t>
      </w:r>
    </w:p>
    <w:p w14:paraId="1BA10DD7" w14:textId="77777777" w:rsidR="00E607F1" w:rsidRPr="00B55C24" w:rsidRDefault="00E607F1" w:rsidP="004A5906">
      <w:pPr>
        <w:ind w:left="851"/>
        <w:rPr>
          <w:sz w:val="24"/>
          <w:szCs w:val="24"/>
          <w:lang w:val="en-GB"/>
        </w:rPr>
      </w:pPr>
    </w:p>
    <w:p w14:paraId="0C9C9FF0" w14:textId="7AA72417" w:rsidR="00E607F1" w:rsidRPr="00B55C24" w:rsidRDefault="00E607F1" w:rsidP="004A5906">
      <w:pPr>
        <w:ind w:left="851"/>
        <w:rPr>
          <w:sz w:val="24"/>
          <w:szCs w:val="24"/>
          <w:lang w:val="en-GB"/>
        </w:rPr>
      </w:pPr>
      <w:r w:rsidRPr="00B55C24">
        <w:rPr>
          <w:sz w:val="24"/>
          <w:szCs w:val="24"/>
          <w:lang w:val="en-GB"/>
        </w:rPr>
        <w:t xml:space="preserve">There are no clinical data of the effect of dabigatran on infants during breast-feeding. Breast-feeding should be discontinued during treatment with </w:t>
      </w:r>
      <w:proofErr w:type="spellStart"/>
      <w:r w:rsidR="004A5906" w:rsidRPr="00B55C24">
        <w:rPr>
          <w:sz w:val="24"/>
          <w:szCs w:val="24"/>
          <w:lang w:val="en-GB"/>
        </w:rPr>
        <w:t>Dabigatranetexilat</w:t>
      </w:r>
      <w:proofErr w:type="spellEnd"/>
      <w:r w:rsidR="004A5906" w:rsidRPr="00B55C24">
        <w:rPr>
          <w:sz w:val="24"/>
          <w:szCs w:val="24"/>
          <w:lang w:val="en-GB"/>
        </w:rPr>
        <w:t xml:space="preserve"> "Gedeon Richter"</w:t>
      </w:r>
      <w:r w:rsidRPr="00B55C24">
        <w:rPr>
          <w:sz w:val="24"/>
          <w:szCs w:val="24"/>
          <w:lang w:val="en-GB"/>
        </w:rPr>
        <w:t>.</w:t>
      </w:r>
    </w:p>
    <w:p w14:paraId="6FB081D1" w14:textId="77777777" w:rsidR="00E607F1" w:rsidRPr="00B55C24" w:rsidRDefault="00E607F1" w:rsidP="004A5906">
      <w:pPr>
        <w:ind w:left="851"/>
        <w:rPr>
          <w:sz w:val="24"/>
          <w:szCs w:val="24"/>
          <w:lang w:val="en-GB"/>
        </w:rPr>
      </w:pPr>
    </w:p>
    <w:p w14:paraId="617121A4" w14:textId="77777777" w:rsidR="00E607F1" w:rsidRPr="00BE5A7A" w:rsidRDefault="00E607F1" w:rsidP="004A5906">
      <w:pPr>
        <w:ind w:left="851"/>
        <w:rPr>
          <w:sz w:val="24"/>
          <w:szCs w:val="24"/>
          <w:u w:val="single"/>
          <w:lang w:val="en-GB"/>
        </w:rPr>
      </w:pPr>
      <w:r w:rsidRPr="00BE5A7A">
        <w:rPr>
          <w:sz w:val="24"/>
          <w:szCs w:val="24"/>
          <w:u w:val="single"/>
          <w:lang w:val="en-GB"/>
        </w:rPr>
        <w:t>Fertility</w:t>
      </w:r>
    </w:p>
    <w:p w14:paraId="4C246E03" w14:textId="77777777" w:rsidR="00E607F1" w:rsidRPr="00B55C24" w:rsidRDefault="00E607F1" w:rsidP="004A5906">
      <w:pPr>
        <w:ind w:left="851"/>
        <w:rPr>
          <w:sz w:val="24"/>
          <w:szCs w:val="24"/>
          <w:lang w:val="en-GB"/>
        </w:rPr>
      </w:pPr>
    </w:p>
    <w:p w14:paraId="2C9D5656" w14:textId="77777777" w:rsidR="00E607F1" w:rsidRPr="00B55C24" w:rsidRDefault="00E607F1" w:rsidP="004A5906">
      <w:pPr>
        <w:ind w:left="851"/>
        <w:rPr>
          <w:sz w:val="24"/>
          <w:szCs w:val="24"/>
          <w:lang w:val="en-GB"/>
        </w:rPr>
      </w:pPr>
      <w:r w:rsidRPr="00B55C24">
        <w:rPr>
          <w:sz w:val="24"/>
          <w:szCs w:val="24"/>
          <w:lang w:val="en-GB"/>
        </w:rPr>
        <w:t>No human data available.</w:t>
      </w:r>
    </w:p>
    <w:p w14:paraId="2B05F4A4" w14:textId="77777777" w:rsidR="00E607F1" w:rsidRPr="00B55C24" w:rsidRDefault="00E607F1" w:rsidP="004A5906">
      <w:pPr>
        <w:ind w:left="851"/>
        <w:rPr>
          <w:sz w:val="24"/>
          <w:szCs w:val="24"/>
          <w:lang w:val="en-GB"/>
        </w:rPr>
      </w:pPr>
    </w:p>
    <w:p w14:paraId="1E86F16D" w14:textId="77777777" w:rsidR="00E607F1" w:rsidRPr="00B55C24" w:rsidRDefault="00E607F1" w:rsidP="004A5906">
      <w:pPr>
        <w:ind w:left="851"/>
        <w:rPr>
          <w:sz w:val="24"/>
          <w:szCs w:val="24"/>
          <w:lang w:val="en-GB"/>
        </w:rPr>
      </w:pPr>
      <w:r w:rsidRPr="00B55C24">
        <w:rPr>
          <w:sz w:val="24"/>
          <w:szCs w:val="24"/>
          <w:lang w:val="en-GB"/>
        </w:rPr>
        <w:t>In animal studies an effect on female fertility was observed in the form of a decrease in implantations and an increase in pre-implantation loss at 70 mg/kg (representing a 5-fold higher plasma exposure level compared to patients). No other effects on female fertility were observed. There was no influence on male fertility. At doses that were toxic to the mothers (representing a 5- to 10-fold higher plasma exposure level to patients), a decrease in foetal body weight and embryofoetal viability along with an increase in foetal variations were observed in rats and rabbits. In the pre- and post-natal study, an increase in foetal mortality was observed at doses that were toxic to the dams (a dose corresponding to a plasma exposure level 4-fold higher than observed in patients).</w:t>
      </w:r>
    </w:p>
    <w:p w14:paraId="42ED8E6C" w14:textId="77777777" w:rsidR="007C5D2A" w:rsidRPr="00B55C24" w:rsidRDefault="007C5D2A" w:rsidP="003E0341">
      <w:pPr>
        <w:tabs>
          <w:tab w:val="left" w:pos="851"/>
        </w:tabs>
        <w:ind w:left="851"/>
        <w:rPr>
          <w:sz w:val="24"/>
          <w:szCs w:val="24"/>
          <w:lang w:val="en-GB"/>
        </w:rPr>
      </w:pPr>
    </w:p>
    <w:p w14:paraId="2E7D9795"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4.7</w:t>
      </w:r>
      <w:r w:rsidRPr="00B55C24">
        <w:rPr>
          <w:b/>
          <w:sz w:val="24"/>
          <w:szCs w:val="24"/>
          <w:lang w:val="en-GB"/>
        </w:rPr>
        <w:tab/>
        <w:t>Effects on ability to drive and use machines</w:t>
      </w:r>
    </w:p>
    <w:p w14:paraId="0E14607E" w14:textId="77777777" w:rsidR="00BE5A7A" w:rsidRDefault="00BE5A7A" w:rsidP="004A5906">
      <w:pPr>
        <w:ind w:left="851"/>
        <w:rPr>
          <w:sz w:val="24"/>
          <w:szCs w:val="24"/>
          <w:lang w:val="en-GB"/>
        </w:rPr>
      </w:pPr>
      <w:r>
        <w:rPr>
          <w:sz w:val="24"/>
          <w:szCs w:val="24"/>
          <w:lang w:val="en-GB"/>
        </w:rPr>
        <w:t>No traffic warning.</w:t>
      </w:r>
    </w:p>
    <w:p w14:paraId="7A543611" w14:textId="406C1953"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has no or negligible influence on the ability to drive and use machines.</w:t>
      </w:r>
    </w:p>
    <w:p w14:paraId="0F931CBB" w14:textId="213DFCA9" w:rsidR="00322951" w:rsidRDefault="00322951">
      <w:pPr>
        <w:rPr>
          <w:sz w:val="24"/>
          <w:szCs w:val="24"/>
          <w:lang w:val="en-GB"/>
        </w:rPr>
      </w:pPr>
      <w:r>
        <w:rPr>
          <w:sz w:val="24"/>
          <w:szCs w:val="24"/>
          <w:lang w:val="en-GB"/>
        </w:rPr>
        <w:br w:type="page"/>
      </w:r>
    </w:p>
    <w:p w14:paraId="62129DA8" w14:textId="77777777" w:rsidR="007C5D2A" w:rsidRPr="00B55C24" w:rsidRDefault="007C5D2A" w:rsidP="003E0341">
      <w:pPr>
        <w:tabs>
          <w:tab w:val="left" w:pos="851"/>
        </w:tabs>
        <w:ind w:left="851"/>
        <w:rPr>
          <w:sz w:val="24"/>
          <w:szCs w:val="24"/>
          <w:lang w:val="en-GB"/>
        </w:rPr>
      </w:pPr>
    </w:p>
    <w:p w14:paraId="19C1DAB2"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4.8</w:t>
      </w:r>
      <w:r w:rsidRPr="00B55C24">
        <w:rPr>
          <w:b/>
          <w:sz w:val="24"/>
          <w:szCs w:val="24"/>
          <w:lang w:val="en-GB"/>
        </w:rPr>
        <w:tab/>
        <w:t>Undesirable effects</w:t>
      </w:r>
    </w:p>
    <w:p w14:paraId="60F6EE1D" w14:textId="77777777" w:rsidR="00BE5A7A" w:rsidRDefault="00BE5A7A" w:rsidP="004A5906">
      <w:pPr>
        <w:ind w:left="851"/>
        <w:rPr>
          <w:sz w:val="24"/>
          <w:szCs w:val="24"/>
          <w:lang w:val="en-GB"/>
        </w:rPr>
      </w:pPr>
    </w:p>
    <w:p w14:paraId="2C350713" w14:textId="3EC6855C" w:rsidR="00E607F1" w:rsidRPr="00BE5A7A" w:rsidRDefault="00E607F1" w:rsidP="004A5906">
      <w:pPr>
        <w:ind w:left="851"/>
        <w:rPr>
          <w:sz w:val="24"/>
          <w:szCs w:val="24"/>
          <w:u w:val="single"/>
          <w:lang w:val="en-GB"/>
        </w:rPr>
      </w:pPr>
      <w:r w:rsidRPr="00BE5A7A">
        <w:rPr>
          <w:sz w:val="24"/>
          <w:szCs w:val="24"/>
          <w:u w:val="single"/>
          <w:lang w:val="en-GB"/>
        </w:rPr>
        <w:t>Summary of the safety profile</w:t>
      </w:r>
    </w:p>
    <w:p w14:paraId="095D211F" w14:textId="77777777" w:rsidR="00E607F1" w:rsidRPr="00B55C24" w:rsidRDefault="00E607F1" w:rsidP="004A5906">
      <w:pPr>
        <w:ind w:left="851"/>
        <w:rPr>
          <w:sz w:val="24"/>
          <w:szCs w:val="24"/>
          <w:lang w:val="en-GB"/>
        </w:rPr>
      </w:pPr>
    </w:p>
    <w:p w14:paraId="54CC6519"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has been evaluated in clinical trials overall in approximately 64,000 patients; thereof approximately 35,000 patients were treated with dabigatran </w:t>
      </w:r>
      <w:proofErr w:type="spellStart"/>
      <w:r w:rsidRPr="00B55C24">
        <w:rPr>
          <w:sz w:val="24"/>
          <w:szCs w:val="24"/>
          <w:lang w:val="en-GB"/>
        </w:rPr>
        <w:t>etexilate</w:t>
      </w:r>
      <w:proofErr w:type="spellEnd"/>
      <w:r w:rsidRPr="00B55C24">
        <w:rPr>
          <w:sz w:val="24"/>
          <w:szCs w:val="24"/>
          <w:lang w:val="en-GB"/>
        </w:rPr>
        <w:t>.</w:t>
      </w:r>
    </w:p>
    <w:p w14:paraId="404F4AD2" w14:textId="77777777" w:rsidR="00E607F1" w:rsidRPr="00B55C24" w:rsidRDefault="00E607F1" w:rsidP="004A5906">
      <w:pPr>
        <w:ind w:left="851"/>
        <w:rPr>
          <w:sz w:val="24"/>
          <w:szCs w:val="24"/>
          <w:lang w:val="en-GB"/>
        </w:rPr>
      </w:pPr>
      <w:r w:rsidRPr="00B55C24">
        <w:rPr>
          <w:sz w:val="24"/>
          <w:szCs w:val="24"/>
          <w:lang w:val="en-GB"/>
        </w:rPr>
        <w:t>In total, 22% of patients with atrial fibrillation treated for the prevention of stroke and systemic embolism (long-term treatment for up to 3 years), 14% of patients treated for DVT/PE and 15% of patients treated for DVT/PE prevention experienced adverse reactions.</w:t>
      </w:r>
    </w:p>
    <w:p w14:paraId="3CF632DB" w14:textId="77777777" w:rsidR="00E607F1" w:rsidRPr="00B55C24" w:rsidRDefault="00E607F1" w:rsidP="004A5906">
      <w:pPr>
        <w:ind w:left="851"/>
        <w:rPr>
          <w:sz w:val="24"/>
          <w:szCs w:val="24"/>
          <w:lang w:val="en-GB"/>
        </w:rPr>
      </w:pPr>
    </w:p>
    <w:p w14:paraId="4C09C9DC" w14:textId="77777777" w:rsidR="00E607F1" w:rsidRPr="00B55C24" w:rsidRDefault="00E607F1" w:rsidP="004A5906">
      <w:pPr>
        <w:ind w:left="851"/>
        <w:rPr>
          <w:sz w:val="24"/>
          <w:szCs w:val="24"/>
          <w:lang w:val="en-GB"/>
        </w:rPr>
      </w:pPr>
      <w:r w:rsidRPr="00B55C24">
        <w:rPr>
          <w:sz w:val="24"/>
          <w:szCs w:val="24"/>
          <w:lang w:val="en-GB"/>
        </w:rPr>
        <w:t xml:space="preserve">The </w:t>
      </w:r>
      <w:proofErr w:type="gramStart"/>
      <w:r w:rsidRPr="00B55C24">
        <w:rPr>
          <w:sz w:val="24"/>
          <w:szCs w:val="24"/>
          <w:lang w:val="en-GB"/>
        </w:rPr>
        <w:t>most commonly reported</w:t>
      </w:r>
      <w:proofErr w:type="gramEnd"/>
      <w:r w:rsidRPr="00B55C24">
        <w:rPr>
          <w:sz w:val="24"/>
          <w:szCs w:val="24"/>
          <w:lang w:val="en-GB"/>
        </w:rPr>
        <w:t xml:space="preserve"> events are bleedings occurring in approximately 16.6% in patients with atrial fibrillation treated long-term for the prevention of stroke and systemic embolism and in 14.4% of adult patients treated for DVT/PE. Furthermore, bleeding occurred in 19.4% of patients in the DVT/PE prevention trial RE-MEDY (adult patients) and in 10.5% of patients in the DVT/PE prevention trial RE-SONATE (adult patients).</w:t>
      </w:r>
    </w:p>
    <w:p w14:paraId="2E91CFA5" w14:textId="77777777" w:rsidR="00E607F1" w:rsidRPr="00B55C24" w:rsidRDefault="00E607F1" w:rsidP="004A5906">
      <w:pPr>
        <w:ind w:left="851"/>
        <w:rPr>
          <w:sz w:val="24"/>
          <w:szCs w:val="24"/>
          <w:lang w:val="en-GB"/>
        </w:rPr>
      </w:pPr>
    </w:p>
    <w:p w14:paraId="2AD7B4CD" w14:textId="77777777" w:rsidR="00E607F1" w:rsidRPr="00B55C24" w:rsidRDefault="00E607F1" w:rsidP="004A5906">
      <w:pPr>
        <w:ind w:left="851"/>
        <w:rPr>
          <w:sz w:val="24"/>
          <w:szCs w:val="24"/>
          <w:lang w:val="en-GB"/>
        </w:rPr>
      </w:pPr>
      <w:r w:rsidRPr="00B55C24">
        <w:rPr>
          <w:sz w:val="24"/>
          <w:szCs w:val="24"/>
          <w:lang w:val="en-GB"/>
        </w:rPr>
        <w:t>Since the patient populations treated in the three indications are not comparable and bleeding events are distributed over several System Organ Classes (SOC), a summary description of major and any bleeding are broken down by indication and are provided in tables 12</w:t>
      </w:r>
      <w:r w:rsidRPr="00B55C24">
        <w:rPr>
          <w:sz w:val="24"/>
          <w:szCs w:val="24"/>
          <w:lang w:val="en-GB"/>
        </w:rPr>
        <w:noBreakHyphen/>
        <w:t>15 below.</w:t>
      </w:r>
    </w:p>
    <w:p w14:paraId="303FD75E" w14:textId="77777777" w:rsidR="00E607F1" w:rsidRPr="00B55C24" w:rsidRDefault="00E607F1" w:rsidP="004A5906">
      <w:pPr>
        <w:ind w:left="851"/>
        <w:rPr>
          <w:sz w:val="24"/>
          <w:szCs w:val="24"/>
          <w:lang w:val="en-GB"/>
        </w:rPr>
      </w:pPr>
    </w:p>
    <w:p w14:paraId="1C360226" w14:textId="77777777" w:rsidR="00E607F1" w:rsidRPr="00B55C24" w:rsidRDefault="00E607F1" w:rsidP="004A5906">
      <w:pPr>
        <w:ind w:left="851"/>
        <w:rPr>
          <w:sz w:val="24"/>
          <w:szCs w:val="24"/>
          <w:lang w:val="en-GB"/>
        </w:rPr>
      </w:pPr>
      <w:r w:rsidRPr="00B55C24">
        <w:rPr>
          <w:sz w:val="24"/>
          <w:szCs w:val="24"/>
          <w:lang w:val="en-GB"/>
        </w:rPr>
        <w:t>Although low in frequency in clinical trials, major or severe bleeding may occur and, regardless of location, may lead to disabling, life-threatening or even fatal outcomes.</w:t>
      </w:r>
    </w:p>
    <w:p w14:paraId="5EFD2CD7" w14:textId="77777777" w:rsidR="00E607F1" w:rsidRPr="00B55C24" w:rsidRDefault="00E607F1" w:rsidP="004A5906">
      <w:pPr>
        <w:ind w:left="851"/>
        <w:rPr>
          <w:sz w:val="24"/>
          <w:szCs w:val="24"/>
          <w:lang w:val="en-GB"/>
        </w:rPr>
      </w:pPr>
    </w:p>
    <w:p w14:paraId="31AE276C" w14:textId="77777777" w:rsidR="00E607F1" w:rsidRPr="00BE5A7A" w:rsidRDefault="00E607F1" w:rsidP="004A5906">
      <w:pPr>
        <w:ind w:left="851"/>
        <w:rPr>
          <w:sz w:val="24"/>
          <w:szCs w:val="24"/>
          <w:u w:val="single"/>
          <w:lang w:val="en-GB"/>
        </w:rPr>
      </w:pPr>
      <w:r w:rsidRPr="00BE5A7A">
        <w:rPr>
          <w:sz w:val="24"/>
          <w:szCs w:val="24"/>
          <w:u w:val="single"/>
          <w:lang w:val="en-GB"/>
        </w:rPr>
        <w:t>Tabulated list of adverse reactions</w:t>
      </w:r>
    </w:p>
    <w:p w14:paraId="012B229F" w14:textId="77777777" w:rsidR="00E607F1" w:rsidRPr="00B55C24" w:rsidRDefault="00E607F1" w:rsidP="004A5906">
      <w:pPr>
        <w:ind w:left="851"/>
        <w:rPr>
          <w:sz w:val="24"/>
          <w:szCs w:val="24"/>
          <w:lang w:val="en-GB"/>
        </w:rPr>
      </w:pPr>
    </w:p>
    <w:p w14:paraId="6EDBCCB4" w14:textId="047EE173" w:rsidR="00E607F1" w:rsidRPr="00B55C24" w:rsidRDefault="00E607F1" w:rsidP="004A5906">
      <w:pPr>
        <w:ind w:left="851"/>
        <w:rPr>
          <w:sz w:val="24"/>
          <w:szCs w:val="24"/>
          <w:lang w:val="en-GB"/>
        </w:rPr>
      </w:pPr>
      <w:r w:rsidRPr="00B55C24">
        <w:rPr>
          <w:sz w:val="24"/>
          <w:szCs w:val="24"/>
          <w:lang w:val="en-GB"/>
        </w:rPr>
        <w:t xml:space="preserve">Table 11 shows the adverse reactions identified studies and post-marketing data in the </w:t>
      </w:r>
      <w:proofErr w:type="gramStart"/>
      <w:r w:rsidRPr="00B55C24">
        <w:rPr>
          <w:sz w:val="24"/>
          <w:szCs w:val="24"/>
          <w:lang w:val="en-GB"/>
        </w:rPr>
        <w:t>indications</w:t>
      </w:r>
      <w:proofErr w:type="gramEnd"/>
      <w:r w:rsidRPr="00B55C24">
        <w:rPr>
          <w:sz w:val="24"/>
          <w:szCs w:val="24"/>
          <w:lang w:val="en-GB"/>
        </w:rPr>
        <w:t xml:space="preserve"> prevention of thromboembolic stroke and systemic embolism in patients with atrial fibrillation, DVT/PE treatment and DVT/PE prevention. They are ranked under headings of System Organ Class (SOC) and frequency using the following convention. very common (≥ 1/10), common (≥ 1/100 to &lt; 1/10), uncommon (≥ 1/1,000 to &lt; 1/100), rare (≥ 1/10,000 to &lt; 1/1,000), very rare (&lt; 1/10,000), not known (cannot be estimated from the available data).</w:t>
      </w:r>
    </w:p>
    <w:p w14:paraId="01491646" w14:textId="77777777" w:rsidR="00E607F1" w:rsidRPr="00B55C24" w:rsidRDefault="00E607F1" w:rsidP="004A5906">
      <w:pPr>
        <w:ind w:left="851"/>
        <w:rPr>
          <w:sz w:val="24"/>
          <w:szCs w:val="24"/>
          <w:lang w:val="en-GB"/>
        </w:rPr>
      </w:pPr>
    </w:p>
    <w:p w14:paraId="6BE82443"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11: Adverse reactions</w:t>
      </w:r>
    </w:p>
    <w:p w14:paraId="43C41E52"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433"/>
        <w:gridCol w:w="2544"/>
        <w:gridCol w:w="3651"/>
      </w:tblGrid>
      <w:tr w:rsidR="00E607F1" w:rsidRPr="00BE5A7A" w14:paraId="5DE62EDE" w14:textId="77777777" w:rsidTr="004A5906">
        <w:trPr>
          <w:trHeight w:val="57"/>
          <w:jc w:val="center"/>
        </w:trPr>
        <w:tc>
          <w:tcPr>
            <w:tcW w:w="1783" w:type="pct"/>
            <w:tcBorders>
              <w:top w:val="single" w:sz="4" w:space="0" w:color="auto"/>
              <w:left w:val="single" w:sz="4" w:space="0" w:color="auto"/>
              <w:bottom w:val="nil"/>
              <w:right w:val="nil"/>
            </w:tcBorders>
          </w:tcPr>
          <w:p w14:paraId="55CBF818" w14:textId="77777777" w:rsidR="00E607F1" w:rsidRPr="00BE5A7A" w:rsidRDefault="00E607F1" w:rsidP="004A5906">
            <w:pPr>
              <w:rPr>
                <w:sz w:val="22"/>
                <w:szCs w:val="22"/>
                <w:lang w:val="en-GB"/>
              </w:rPr>
            </w:pPr>
          </w:p>
        </w:tc>
        <w:tc>
          <w:tcPr>
            <w:tcW w:w="3217" w:type="pct"/>
            <w:gridSpan w:val="2"/>
            <w:tcBorders>
              <w:top w:val="single" w:sz="4" w:space="0" w:color="auto"/>
              <w:left w:val="single" w:sz="4" w:space="0" w:color="auto"/>
              <w:bottom w:val="nil"/>
              <w:right w:val="single" w:sz="4" w:space="0" w:color="auto"/>
            </w:tcBorders>
            <w:hideMark/>
          </w:tcPr>
          <w:p w14:paraId="0CF9956D" w14:textId="77777777" w:rsidR="00E607F1" w:rsidRPr="00BE5A7A" w:rsidRDefault="00E607F1" w:rsidP="004A5906">
            <w:pPr>
              <w:rPr>
                <w:sz w:val="22"/>
                <w:szCs w:val="22"/>
                <w:lang w:val="en-GB"/>
              </w:rPr>
            </w:pPr>
            <w:r w:rsidRPr="00BE5A7A">
              <w:rPr>
                <w:sz w:val="22"/>
                <w:szCs w:val="22"/>
                <w:lang w:val="en-GB"/>
              </w:rPr>
              <w:t>Frequency</w:t>
            </w:r>
          </w:p>
        </w:tc>
      </w:tr>
      <w:tr w:rsidR="00E607F1" w:rsidRPr="00D476B2" w14:paraId="204024D4" w14:textId="77777777" w:rsidTr="004A5906">
        <w:trPr>
          <w:trHeight w:val="57"/>
          <w:jc w:val="center"/>
        </w:trPr>
        <w:tc>
          <w:tcPr>
            <w:tcW w:w="1783" w:type="pct"/>
            <w:tcBorders>
              <w:top w:val="single" w:sz="4" w:space="0" w:color="auto"/>
              <w:left w:val="single" w:sz="4" w:space="0" w:color="auto"/>
              <w:bottom w:val="nil"/>
              <w:right w:val="nil"/>
            </w:tcBorders>
            <w:hideMark/>
          </w:tcPr>
          <w:p w14:paraId="62A0E44C" w14:textId="77777777" w:rsidR="00E607F1" w:rsidRPr="00BE5A7A" w:rsidRDefault="00E607F1" w:rsidP="004A5906">
            <w:pPr>
              <w:rPr>
                <w:sz w:val="22"/>
                <w:szCs w:val="22"/>
                <w:lang w:val="en-GB"/>
              </w:rPr>
            </w:pPr>
            <w:r w:rsidRPr="00BE5A7A">
              <w:rPr>
                <w:sz w:val="22"/>
                <w:szCs w:val="22"/>
                <w:lang w:val="en-GB"/>
              </w:rPr>
              <w:t>SOC / Preferred term.</w:t>
            </w:r>
          </w:p>
        </w:tc>
        <w:tc>
          <w:tcPr>
            <w:tcW w:w="1321" w:type="pct"/>
            <w:tcBorders>
              <w:top w:val="single" w:sz="4" w:space="0" w:color="auto"/>
              <w:left w:val="single" w:sz="4" w:space="0" w:color="auto"/>
              <w:bottom w:val="nil"/>
              <w:right w:val="nil"/>
            </w:tcBorders>
            <w:hideMark/>
          </w:tcPr>
          <w:p w14:paraId="516315CB" w14:textId="77777777" w:rsidR="00E607F1" w:rsidRPr="00BE5A7A" w:rsidRDefault="00E607F1" w:rsidP="004A5906">
            <w:pPr>
              <w:rPr>
                <w:sz w:val="22"/>
                <w:szCs w:val="22"/>
                <w:lang w:val="en-GB"/>
              </w:rPr>
            </w:pPr>
            <w:r w:rsidRPr="00BE5A7A">
              <w:rPr>
                <w:sz w:val="22"/>
                <w:szCs w:val="22"/>
                <w:lang w:val="en-GB"/>
              </w:rPr>
              <w:t>Stroke and systemic embolism prevention in patients with atrial fibrillation</w:t>
            </w:r>
          </w:p>
        </w:tc>
        <w:tc>
          <w:tcPr>
            <w:tcW w:w="1896" w:type="pct"/>
            <w:tcBorders>
              <w:top w:val="single" w:sz="4" w:space="0" w:color="auto"/>
              <w:left w:val="single" w:sz="4" w:space="0" w:color="auto"/>
              <w:bottom w:val="nil"/>
              <w:right w:val="single" w:sz="4" w:space="0" w:color="auto"/>
            </w:tcBorders>
            <w:hideMark/>
          </w:tcPr>
          <w:p w14:paraId="6147F2F2" w14:textId="77777777" w:rsidR="00E607F1" w:rsidRPr="00BE5A7A" w:rsidRDefault="00E607F1" w:rsidP="004A5906">
            <w:pPr>
              <w:rPr>
                <w:sz w:val="22"/>
                <w:szCs w:val="22"/>
                <w:lang w:val="en-GB"/>
              </w:rPr>
            </w:pPr>
            <w:r w:rsidRPr="00BE5A7A">
              <w:rPr>
                <w:sz w:val="22"/>
                <w:szCs w:val="22"/>
                <w:lang w:val="en-GB"/>
              </w:rPr>
              <w:t>DVT/PE treatment and DVT/PE prevention</w:t>
            </w:r>
          </w:p>
        </w:tc>
      </w:tr>
      <w:tr w:rsidR="00E607F1" w:rsidRPr="00D476B2" w14:paraId="1E8B9DFD"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57D1969B" w14:textId="77777777" w:rsidR="00E607F1" w:rsidRPr="00BE5A7A" w:rsidRDefault="00E607F1" w:rsidP="004A5906">
            <w:pPr>
              <w:rPr>
                <w:sz w:val="22"/>
                <w:szCs w:val="22"/>
                <w:lang w:val="en-GB"/>
              </w:rPr>
            </w:pPr>
            <w:r w:rsidRPr="00BE5A7A">
              <w:rPr>
                <w:sz w:val="22"/>
                <w:szCs w:val="22"/>
                <w:lang w:val="en-GB"/>
              </w:rPr>
              <w:t>Blood and lymphatic system disorders</w:t>
            </w:r>
          </w:p>
        </w:tc>
      </w:tr>
      <w:tr w:rsidR="00E607F1" w:rsidRPr="00BE5A7A" w14:paraId="371BB5E5" w14:textId="77777777" w:rsidTr="004A5906">
        <w:trPr>
          <w:trHeight w:val="57"/>
          <w:jc w:val="center"/>
        </w:trPr>
        <w:tc>
          <w:tcPr>
            <w:tcW w:w="1783" w:type="pct"/>
            <w:tcBorders>
              <w:top w:val="single" w:sz="4" w:space="0" w:color="auto"/>
              <w:left w:val="single" w:sz="4" w:space="0" w:color="auto"/>
              <w:bottom w:val="nil"/>
              <w:right w:val="nil"/>
            </w:tcBorders>
            <w:hideMark/>
          </w:tcPr>
          <w:p w14:paraId="6D38B90A" w14:textId="77777777" w:rsidR="00E607F1" w:rsidRPr="00BE5A7A" w:rsidRDefault="00E607F1" w:rsidP="00BE5A7A">
            <w:pPr>
              <w:ind w:left="264"/>
              <w:rPr>
                <w:sz w:val="22"/>
                <w:szCs w:val="22"/>
                <w:lang w:val="en-GB"/>
              </w:rPr>
            </w:pPr>
            <w:r w:rsidRPr="00BE5A7A">
              <w:rPr>
                <w:sz w:val="22"/>
                <w:szCs w:val="22"/>
                <w:lang w:val="en-GB"/>
              </w:rPr>
              <w:t>Anaemia</w:t>
            </w:r>
          </w:p>
        </w:tc>
        <w:tc>
          <w:tcPr>
            <w:tcW w:w="1321" w:type="pct"/>
            <w:tcBorders>
              <w:top w:val="single" w:sz="4" w:space="0" w:color="auto"/>
              <w:left w:val="single" w:sz="4" w:space="0" w:color="auto"/>
              <w:bottom w:val="nil"/>
              <w:right w:val="nil"/>
            </w:tcBorders>
            <w:hideMark/>
          </w:tcPr>
          <w:p w14:paraId="341FB570"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hideMark/>
          </w:tcPr>
          <w:p w14:paraId="3F804674"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2213D54A"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3D1DDF4B" w14:textId="77777777" w:rsidR="00E607F1" w:rsidRPr="00BE5A7A" w:rsidRDefault="00E607F1" w:rsidP="00BE5A7A">
            <w:pPr>
              <w:ind w:left="264"/>
              <w:rPr>
                <w:sz w:val="22"/>
                <w:szCs w:val="22"/>
                <w:lang w:val="en-GB"/>
              </w:rPr>
            </w:pPr>
            <w:r w:rsidRPr="00BE5A7A">
              <w:rPr>
                <w:sz w:val="22"/>
                <w:szCs w:val="22"/>
                <w:lang w:val="en-GB"/>
              </w:rPr>
              <w:t>Haemoglobin decreased</w:t>
            </w:r>
          </w:p>
        </w:tc>
        <w:tc>
          <w:tcPr>
            <w:tcW w:w="1321" w:type="pct"/>
            <w:tcBorders>
              <w:top w:val="single" w:sz="4" w:space="0" w:color="auto"/>
              <w:left w:val="single" w:sz="4" w:space="0" w:color="auto"/>
              <w:bottom w:val="nil"/>
              <w:right w:val="nil"/>
            </w:tcBorders>
            <w:vAlign w:val="bottom"/>
            <w:hideMark/>
          </w:tcPr>
          <w:p w14:paraId="3E0C1690"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70CA75BD" w14:textId="77777777" w:rsidR="00E607F1" w:rsidRPr="00BE5A7A" w:rsidRDefault="00E607F1" w:rsidP="004A5906">
            <w:pPr>
              <w:rPr>
                <w:sz w:val="22"/>
                <w:szCs w:val="22"/>
                <w:lang w:val="en-GB"/>
              </w:rPr>
            </w:pPr>
            <w:r w:rsidRPr="00BE5A7A">
              <w:rPr>
                <w:sz w:val="22"/>
                <w:szCs w:val="22"/>
                <w:lang w:val="en-GB"/>
              </w:rPr>
              <w:t>Not known</w:t>
            </w:r>
          </w:p>
        </w:tc>
      </w:tr>
      <w:tr w:rsidR="00E607F1" w:rsidRPr="00BE5A7A" w14:paraId="13708D49"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DEA34A6" w14:textId="77777777" w:rsidR="00E607F1" w:rsidRPr="00BE5A7A" w:rsidRDefault="00E607F1" w:rsidP="00BE5A7A">
            <w:pPr>
              <w:ind w:left="264"/>
              <w:rPr>
                <w:sz w:val="22"/>
                <w:szCs w:val="22"/>
                <w:lang w:val="en-GB"/>
              </w:rPr>
            </w:pPr>
            <w:r w:rsidRPr="00BE5A7A">
              <w:rPr>
                <w:sz w:val="22"/>
                <w:szCs w:val="22"/>
                <w:lang w:val="en-GB"/>
              </w:rPr>
              <w:t>Thrombocytopenia</w:t>
            </w:r>
          </w:p>
        </w:tc>
        <w:tc>
          <w:tcPr>
            <w:tcW w:w="1321" w:type="pct"/>
            <w:tcBorders>
              <w:top w:val="single" w:sz="4" w:space="0" w:color="auto"/>
              <w:left w:val="single" w:sz="4" w:space="0" w:color="auto"/>
              <w:bottom w:val="nil"/>
              <w:right w:val="nil"/>
            </w:tcBorders>
            <w:vAlign w:val="bottom"/>
            <w:hideMark/>
          </w:tcPr>
          <w:p w14:paraId="4CF2AA0F"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1472CEB4"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77EB683A" w14:textId="77777777" w:rsidTr="004A5906">
        <w:trPr>
          <w:trHeight w:val="57"/>
          <w:jc w:val="center"/>
        </w:trPr>
        <w:tc>
          <w:tcPr>
            <w:tcW w:w="1783" w:type="pct"/>
            <w:tcBorders>
              <w:top w:val="single" w:sz="4" w:space="0" w:color="auto"/>
              <w:left w:val="single" w:sz="4" w:space="0" w:color="auto"/>
              <w:bottom w:val="nil"/>
              <w:right w:val="nil"/>
            </w:tcBorders>
            <w:hideMark/>
          </w:tcPr>
          <w:p w14:paraId="5FE8DE58" w14:textId="77777777" w:rsidR="00E607F1" w:rsidRPr="00BE5A7A" w:rsidRDefault="00E607F1" w:rsidP="00BE5A7A">
            <w:pPr>
              <w:ind w:left="264"/>
              <w:rPr>
                <w:sz w:val="22"/>
                <w:szCs w:val="22"/>
                <w:lang w:val="en-GB"/>
              </w:rPr>
            </w:pPr>
            <w:r w:rsidRPr="00BE5A7A">
              <w:rPr>
                <w:sz w:val="22"/>
                <w:szCs w:val="22"/>
                <w:lang w:val="en-GB"/>
              </w:rPr>
              <w:t>Haematocrit decreased</w:t>
            </w:r>
          </w:p>
        </w:tc>
        <w:tc>
          <w:tcPr>
            <w:tcW w:w="1321" w:type="pct"/>
            <w:tcBorders>
              <w:top w:val="single" w:sz="4" w:space="0" w:color="auto"/>
              <w:left w:val="single" w:sz="4" w:space="0" w:color="auto"/>
              <w:bottom w:val="nil"/>
              <w:right w:val="nil"/>
            </w:tcBorders>
            <w:hideMark/>
          </w:tcPr>
          <w:p w14:paraId="03A6B1FC"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hideMark/>
          </w:tcPr>
          <w:p w14:paraId="2D06C61F" w14:textId="77777777" w:rsidR="00E607F1" w:rsidRPr="00BE5A7A" w:rsidRDefault="00E607F1" w:rsidP="004A5906">
            <w:pPr>
              <w:rPr>
                <w:sz w:val="22"/>
                <w:szCs w:val="22"/>
                <w:lang w:val="en-GB"/>
              </w:rPr>
            </w:pPr>
            <w:r w:rsidRPr="00BE5A7A">
              <w:rPr>
                <w:sz w:val="22"/>
                <w:szCs w:val="22"/>
                <w:lang w:val="en-GB"/>
              </w:rPr>
              <w:t>Not known</w:t>
            </w:r>
          </w:p>
        </w:tc>
      </w:tr>
      <w:tr w:rsidR="00E607F1" w:rsidRPr="00BE5A7A" w14:paraId="201D91D5"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1D0A7887" w14:textId="77777777" w:rsidR="00E607F1" w:rsidRPr="00BE5A7A" w:rsidRDefault="00E607F1" w:rsidP="00BE5A7A">
            <w:pPr>
              <w:ind w:left="264"/>
              <w:rPr>
                <w:sz w:val="22"/>
                <w:szCs w:val="22"/>
                <w:lang w:val="en-GB"/>
              </w:rPr>
            </w:pPr>
            <w:r w:rsidRPr="00BE5A7A">
              <w:rPr>
                <w:sz w:val="22"/>
                <w:szCs w:val="22"/>
                <w:lang w:val="en-GB"/>
              </w:rPr>
              <w:t>Neutropenia</w:t>
            </w:r>
          </w:p>
        </w:tc>
        <w:tc>
          <w:tcPr>
            <w:tcW w:w="1321" w:type="pct"/>
            <w:tcBorders>
              <w:top w:val="single" w:sz="4" w:space="0" w:color="auto"/>
              <w:left w:val="single" w:sz="4" w:space="0" w:color="auto"/>
              <w:bottom w:val="nil"/>
              <w:right w:val="nil"/>
            </w:tcBorders>
            <w:vAlign w:val="bottom"/>
            <w:hideMark/>
          </w:tcPr>
          <w:p w14:paraId="35BE8578" w14:textId="77777777" w:rsidR="00E607F1" w:rsidRPr="00BE5A7A" w:rsidRDefault="00E607F1" w:rsidP="004A5906">
            <w:pPr>
              <w:rPr>
                <w:sz w:val="22"/>
                <w:szCs w:val="22"/>
                <w:lang w:val="en-GB"/>
              </w:rPr>
            </w:pPr>
            <w:r w:rsidRPr="00BE5A7A">
              <w:rPr>
                <w:sz w:val="22"/>
                <w:szCs w:val="22"/>
                <w:lang w:val="en-GB"/>
              </w:rPr>
              <w:t>Not known</w:t>
            </w:r>
          </w:p>
        </w:tc>
        <w:tc>
          <w:tcPr>
            <w:tcW w:w="1896" w:type="pct"/>
            <w:tcBorders>
              <w:top w:val="single" w:sz="4" w:space="0" w:color="auto"/>
              <w:left w:val="single" w:sz="4" w:space="0" w:color="auto"/>
              <w:bottom w:val="nil"/>
              <w:right w:val="single" w:sz="4" w:space="0" w:color="auto"/>
            </w:tcBorders>
            <w:vAlign w:val="bottom"/>
            <w:hideMark/>
          </w:tcPr>
          <w:p w14:paraId="69132FCC" w14:textId="77777777" w:rsidR="00E607F1" w:rsidRPr="00BE5A7A" w:rsidRDefault="00E607F1" w:rsidP="004A5906">
            <w:pPr>
              <w:rPr>
                <w:sz w:val="22"/>
                <w:szCs w:val="22"/>
                <w:lang w:val="en-GB"/>
              </w:rPr>
            </w:pPr>
            <w:r w:rsidRPr="00BE5A7A">
              <w:rPr>
                <w:sz w:val="22"/>
                <w:szCs w:val="22"/>
                <w:lang w:val="en-GB"/>
              </w:rPr>
              <w:t>Not known</w:t>
            </w:r>
          </w:p>
        </w:tc>
      </w:tr>
      <w:tr w:rsidR="00E607F1" w:rsidRPr="00BE5A7A" w14:paraId="5CB0B912"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2970615C" w14:textId="77777777" w:rsidR="00E607F1" w:rsidRPr="00BE5A7A" w:rsidRDefault="00E607F1" w:rsidP="00BE5A7A">
            <w:pPr>
              <w:ind w:left="264"/>
              <w:rPr>
                <w:sz w:val="22"/>
                <w:szCs w:val="22"/>
                <w:lang w:val="en-GB"/>
              </w:rPr>
            </w:pPr>
            <w:r w:rsidRPr="00BE5A7A">
              <w:rPr>
                <w:sz w:val="22"/>
                <w:szCs w:val="22"/>
                <w:lang w:val="en-GB"/>
              </w:rPr>
              <w:t>Agranulocytosis</w:t>
            </w:r>
          </w:p>
        </w:tc>
        <w:tc>
          <w:tcPr>
            <w:tcW w:w="1321" w:type="pct"/>
            <w:tcBorders>
              <w:top w:val="single" w:sz="4" w:space="0" w:color="auto"/>
              <w:left w:val="single" w:sz="4" w:space="0" w:color="auto"/>
              <w:bottom w:val="nil"/>
              <w:right w:val="nil"/>
            </w:tcBorders>
            <w:vAlign w:val="bottom"/>
            <w:hideMark/>
          </w:tcPr>
          <w:p w14:paraId="5753DD1D" w14:textId="77777777" w:rsidR="00E607F1" w:rsidRPr="00BE5A7A" w:rsidRDefault="00E607F1" w:rsidP="004A5906">
            <w:pPr>
              <w:rPr>
                <w:sz w:val="22"/>
                <w:szCs w:val="22"/>
                <w:lang w:val="en-GB"/>
              </w:rPr>
            </w:pPr>
            <w:r w:rsidRPr="00BE5A7A">
              <w:rPr>
                <w:sz w:val="22"/>
                <w:szCs w:val="22"/>
                <w:lang w:val="en-GB"/>
              </w:rPr>
              <w:t>Not known</w:t>
            </w:r>
          </w:p>
        </w:tc>
        <w:tc>
          <w:tcPr>
            <w:tcW w:w="1896" w:type="pct"/>
            <w:tcBorders>
              <w:top w:val="single" w:sz="4" w:space="0" w:color="auto"/>
              <w:left w:val="single" w:sz="4" w:space="0" w:color="auto"/>
              <w:bottom w:val="nil"/>
              <w:right w:val="single" w:sz="4" w:space="0" w:color="auto"/>
            </w:tcBorders>
            <w:vAlign w:val="bottom"/>
            <w:hideMark/>
          </w:tcPr>
          <w:p w14:paraId="47568171" w14:textId="77777777" w:rsidR="00E607F1" w:rsidRPr="00BE5A7A" w:rsidRDefault="00E607F1" w:rsidP="004A5906">
            <w:pPr>
              <w:rPr>
                <w:sz w:val="22"/>
                <w:szCs w:val="22"/>
                <w:lang w:val="en-GB"/>
              </w:rPr>
            </w:pPr>
            <w:r w:rsidRPr="00BE5A7A">
              <w:rPr>
                <w:sz w:val="22"/>
                <w:szCs w:val="22"/>
                <w:lang w:val="en-GB"/>
              </w:rPr>
              <w:t>Not known</w:t>
            </w:r>
          </w:p>
        </w:tc>
      </w:tr>
      <w:tr w:rsidR="00E607F1" w:rsidRPr="00BE5A7A" w14:paraId="068604E7"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02B8CC66" w14:textId="77777777" w:rsidR="00E607F1" w:rsidRPr="00BE5A7A" w:rsidRDefault="00E607F1" w:rsidP="004A5906">
            <w:pPr>
              <w:rPr>
                <w:sz w:val="22"/>
                <w:szCs w:val="22"/>
                <w:lang w:val="en-GB"/>
              </w:rPr>
            </w:pPr>
            <w:r w:rsidRPr="00BE5A7A">
              <w:rPr>
                <w:sz w:val="22"/>
                <w:szCs w:val="22"/>
                <w:lang w:val="en-GB"/>
              </w:rPr>
              <w:t>Immune system disorder</w:t>
            </w:r>
          </w:p>
        </w:tc>
      </w:tr>
      <w:tr w:rsidR="00E607F1" w:rsidRPr="00BE5A7A" w14:paraId="64B7BE4C"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5E76CCF6" w14:textId="77777777" w:rsidR="00E607F1" w:rsidRPr="00BE5A7A" w:rsidRDefault="00E607F1" w:rsidP="00BE5A7A">
            <w:pPr>
              <w:ind w:left="264"/>
              <w:rPr>
                <w:sz w:val="22"/>
                <w:szCs w:val="22"/>
                <w:lang w:val="en-GB"/>
              </w:rPr>
            </w:pPr>
            <w:r w:rsidRPr="00BE5A7A">
              <w:rPr>
                <w:sz w:val="22"/>
                <w:szCs w:val="22"/>
                <w:lang w:val="en-GB"/>
              </w:rPr>
              <w:t>Drug hypersensitivity</w:t>
            </w:r>
          </w:p>
        </w:tc>
        <w:tc>
          <w:tcPr>
            <w:tcW w:w="1321" w:type="pct"/>
            <w:tcBorders>
              <w:top w:val="single" w:sz="4" w:space="0" w:color="auto"/>
              <w:left w:val="single" w:sz="4" w:space="0" w:color="auto"/>
              <w:bottom w:val="nil"/>
              <w:right w:val="nil"/>
            </w:tcBorders>
            <w:vAlign w:val="bottom"/>
            <w:hideMark/>
          </w:tcPr>
          <w:p w14:paraId="0EA1EF4C"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7565FD6A"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0CA700FA"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780C4DEF" w14:textId="77777777" w:rsidR="00E607F1" w:rsidRPr="00BE5A7A" w:rsidRDefault="00E607F1" w:rsidP="00BE5A7A">
            <w:pPr>
              <w:ind w:left="264"/>
              <w:rPr>
                <w:sz w:val="22"/>
                <w:szCs w:val="22"/>
                <w:lang w:val="en-GB"/>
              </w:rPr>
            </w:pPr>
            <w:r w:rsidRPr="00BE5A7A">
              <w:rPr>
                <w:sz w:val="22"/>
                <w:szCs w:val="22"/>
                <w:lang w:val="en-GB"/>
              </w:rPr>
              <w:t>Rash</w:t>
            </w:r>
          </w:p>
        </w:tc>
        <w:tc>
          <w:tcPr>
            <w:tcW w:w="1321" w:type="pct"/>
            <w:tcBorders>
              <w:top w:val="single" w:sz="4" w:space="0" w:color="auto"/>
              <w:left w:val="single" w:sz="4" w:space="0" w:color="auto"/>
              <w:bottom w:val="nil"/>
              <w:right w:val="nil"/>
            </w:tcBorders>
            <w:vAlign w:val="bottom"/>
            <w:hideMark/>
          </w:tcPr>
          <w:p w14:paraId="0B16D259"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05905203"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3DA149E3"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7DDD4006" w14:textId="77777777" w:rsidR="00E607F1" w:rsidRPr="00BE5A7A" w:rsidRDefault="00E607F1" w:rsidP="00BE5A7A">
            <w:pPr>
              <w:ind w:left="264"/>
              <w:rPr>
                <w:sz w:val="22"/>
                <w:szCs w:val="22"/>
                <w:lang w:val="en-GB"/>
              </w:rPr>
            </w:pPr>
            <w:r w:rsidRPr="00BE5A7A">
              <w:rPr>
                <w:sz w:val="22"/>
                <w:szCs w:val="22"/>
                <w:lang w:val="en-GB"/>
              </w:rPr>
              <w:t>Pruritus</w:t>
            </w:r>
          </w:p>
        </w:tc>
        <w:tc>
          <w:tcPr>
            <w:tcW w:w="1321" w:type="pct"/>
            <w:tcBorders>
              <w:top w:val="single" w:sz="4" w:space="0" w:color="auto"/>
              <w:left w:val="single" w:sz="4" w:space="0" w:color="auto"/>
              <w:bottom w:val="nil"/>
              <w:right w:val="nil"/>
            </w:tcBorders>
            <w:vAlign w:val="bottom"/>
            <w:hideMark/>
          </w:tcPr>
          <w:p w14:paraId="2BEE11C7"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672CD2D6"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46E3FD57"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F9C63C0" w14:textId="77777777" w:rsidR="00E607F1" w:rsidRPr="00BE5A7A" w:rsidRDefault="00E607F1" w:rsidP="00BE5A7A">
            <w:pPr>
              <w:ind w:left="264"/>
              <w:rPr>
                <w:sz w:val="22"/>
                <w:szCs w:val="22"/>
                <w:lang w:val="en-GB"/>
              </w:rPr>
            </w:pPr>
            <w:r w:rsidRPr="00BE5A7A">
              <w:rPr>
                <w:sz w:val="22"/>
                <w:szCs w:val="22"/>
                <w:lang w:val="en-GB"/>
              </w:rPr>
              <w:t>Anaphylactic reaction</w:t>
            </w:r>
          </w:p>
        </w:tc>
        <w:tc>
          <w:tcPr>
            <w:tcW w:w="1321" w:type="pct"/>
            <w:tcBorders>
              <w:top w:val="single" w:sz="4" w:space="0" w:color="auto"/>
              <w:left w:val="single" w:sz="4" w:space="0" w:color="auto"/>
              <w:bottom w:val="nil"/>
              <w:right w:val="nil"/>
            </w:tcBorders>
            <w:vAlign w:val="bottom"/>
            <w:hideMark/>
          </w:tcPr>
          <w:p w14:paraId="5DABB83B"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1FC79676"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2BC77258" w14:textId="77777777" w:rsidTr="004A5906">
        <w:trPr>
          <w:trHeight w:val="57"/>
          <w:jc w:val="center"/>
        </w:trPr>
        <w:tc>
          <w:tcPr>
            <w:tcW w:w="1783" w:type="pct"/>
            <w:tcBorders>
              <w:top w:val="single" w:sz="4" w:space="0" w:color="auto"/>
              <w:left w:val="single" w:sz="4" w:space="0" w:color="auto"/>
              <w:bottom w:val="nil"/>
              <w:right w:val="nil"/>
            </w:tcBorders>
            <w:hideMark/>
          </w:tcPr>
          <w:p w14:paraId="337ACF98" w14:textId="77777777" w:rsidR="00E607F1" w:rsidRPr="00BE5A7A" w:rsidRDefault="00E607F1" w:rsidP="00BE5A7A">
            <w:pPr>
              <w:ind w:left="264"/>
              <w:rPr>
                <w:sz w:val="22"/>
                <w:szCs w:val="22"/>
                <w:lang w:val="en-GB"/>
              </w:rPr>
            </w:pPr>
            <w:r w:rsidRPr="00BE5A7A">
              <w:rPr>
                <w:sz w:val="22"/>
                <w:szCs w:val="22"/>
                <w:lang w:val="en-GB"/>
              </w:rPr>
              <w:t>Angioedema</w:t>
            </w:r>
          </w:p>
        </w:tc>
        <w:tc>
          <w:tcPr>
            <w:tcW w:w="1321" w:type="pct"/>
            <w:tcBorders>
              <w:top w:val="single" w:sz="4" w:space="0" w:color="auto"/>
              <w:left w:val="single" w:sz="4" w:space="0" w:color="auto"/>
              <w:bottom w:val="nil"/>
              <w:right w:val="nil"/>
            </w:tcBorders>
            <w:hideMark/>
          </w:tcPr>
          <w:p w14:paraId="097ABDA8"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hideMark/>
          </w:tcPr>
          <w:p w14:paraId="44CA9BCA"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43AC7F9A"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1D7A6B45" w14:textId="77777777" w:rsidR="00E607F1" w:rsidRPr="00BE5A7A" w:rsidRDefault="00E607F1" w:rsidP="00BE5A7A">
            <w:pPr>
              <w:ind w:left="264"/>
              <w:rPr>
                <w:sz w:val="22"/>
                <w:szCs w:val="22"/>
                <w:lang w:val="en-GB"/>
              </w:rPr>
            </w:pPr>
            <w:r w:rsidRPr="00BE5A7A">
              <w:rPr>
                <w:sz w:val="22"/>
                <w:szCs w:val="22"/>
                <w:lang w:val="en-GB"/>
              </w:rPr>
              <w:t>Urticaria</w:t>
            </w:r>
          </w:p>
        </w:tc>
        <w:tc>
          <w:tcPr>
            <w:tcW w:w="1321" w:type="pct"/>
            <w:tcBorders>
              <w:top w:val="single" w:sz="4" w:space="0" w:color="auto"/>
              <w:left w:val="single" w:sz="4" w:space="0" w:color="auto"/>
              <w:bottom w:val="nil"/>
              <w:right w:val="nil"/>
            </w:tcBorders>
            <w:vAlign w:val="bottom"/>
            <w:hideMark/>
          </w:tcPr>
          <w:p w14:paraId="7C71EC9C"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398F25DE"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36DE6486"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BA81B80" w14:textId="77777777" w:rsidR="00E607F1" w:rsidRPr="00BE5A7A" w:rsidRDefault="00E607F1" w:rsidP="00BE5A7A">
            <w:pPr>
              <w:ind w:left="264"/>
              <w:rPr>
                <w:sz w:val="22"/>
                <w:szCs w:val="22"/>
                <w:lang w:val="en-GB"/>
              </w:rPr>
            </w:pPr>
            <w:r w:rsidRPr="00BE5A7A">
              <w:rPr>
                <w:sz w:val="22"/>
                <w:szCs w:val="22"/>
                <w:lang w:val="en-GB"/>
              </w:rPr>
              <w:t>Bronchospasm</w:t>
            </w:r>
          </w:p>
        </w:tc>
        <w:tc>
          <w:tcPr>
            <w:tcW w:w="1321" w:type="pct"/>
            <w:tcBorders>
              <w:top w:val="single" w:sz="4" w:space="0" w:color="auto"/>
              <w:left w:val="single" w:sz="4" w:space="0" w:color="auto"/>
              <w:bottom w:val="nil"/>
              <w:right w:val="nil"/>
            </w:tcBorders>
            <w:vAlign w:val="bottom"/>
            <w:hideMark/>
          </w:tcPr>
          <w:p w14:paraId="0B33CE34" w14:textId="77777777" w:rsidR="00E607F1" w:rsidRPr="00BE5A7A" w:rsidRDefault="00E607F1" w:rsidP="004A5906">
            <w:pPr>
              <w:rPr>
                <w:sz w:val="22"/>
                <w:szCs w:val="22"/>
                <w:lang w:val="en-GB"/>
              </w:rPr>
            </w:pPr>
            <w:r w:rsidRPr="00BE5A7A">
              <w:rPr>
                <w:sz w:val="22"/>
                <w:szCs w:val="22"/>
                <w:lang w:val="en-GB"/>
              </w:rPr>
              <w:t>Not known</w:t>
            </w:r>
          </w:p>
        </w:tc>
        <w:tc>
          <w:tcPr>
            <w:tcW w:w="1896" w:type="pct"/>
            <w:tcBorders>
              <w:top w:val="single" w:sz="4" w:space="0" w:color="auto"/>
              <w:left w:val="single" w:sz="4" w:space="0" w:color="auto"/>
              <w:bottom w:val="nil"/>
              <w:right w:val="single" w:sz="4" w:space="0" w:color="auto"/>
            </w:tcBorders>
            <w:vAlign w:val="bottom"/>
            <w:hideMark/>
          </w:tcPr>
          <w:p w14:paraId="5D7A460E" w14:textId="77777777" w:rsidR="00E607F1" w:rsidRPr="00BE5A7A" w:rsidRDefault="00E607F1" w:rsidP="004A5906">
            <w:pPr>
              <w:rPr>
                <w:sz w:val="22"/>
                <w:szCs w:val="22"/>
                <w:lang w:val="en-GB"/>
              </w:rPr>
            </w:pPr>
            <w:r w:rsidRPr="00BE5A7A">
              <w:rPr>
                <w:sz w:val="22"/>
                <w:szCs w:val="22"/>
                <w:lang w:val="en-GB"/>
              </w:rPr>
              <w:t>Not known</w:t>
            </w:r>
          </w:p>
        </w:tc>
      </w:tr>
      <w:tr w:rsidR="00E607F1" w:rsidRPr="00BE5A7A" w14:paraId="37047AB5"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0CC32F91" w14:textId="77777777" w:rsidR="00E607F1" w:rsidRPr="00BE5A7A" w:rsidRDefault="00E607F1" w:rsidP="004A5906">
            <w:pPr>
              <w:rPr>
                <w:sz w:val="22"/>
                <w:szCs w:val="22"/>
                <w:lang w:val="en-GB"/>
              </w:rPr>
            </w:pPr>
            <w:r w:rsidRPr="00BE5A7A">
              <w:rPr>
                <w:sz w:val="22"/>
                <w:szCs w:val="22"/>
                <w:lang w:val="en-GB"/>
              </w:rPr>
              <w:t>Nervous system disorders</w:t>
            </w:r>
          </w:p>
        </w:tc>
      </w:tr>
      <w:tr w:rsidR="00E607F1" w:rsidRPr="00BE5A7A" w14:paraId="015016F5"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1E451F6" w14:textId="77777777" w:rsidR="00E607F1" w:rsidRPr="00BE5A7A" w:rsidRDefault="00E607F1" w:rsidP="00BE5A7A">
            <w:pPr>
              <w:ind w:left="264"/>
              <w:rPr>
                <w:sz w:val="22"/>
                <w:szCs w:val="22"/>
                <w:lang w:val="en-GB"/>
              </w:rPr>
            </w:pPr>
            <w:r w:rsidRPr="00BE5A7A">
              <w:rPr>
                <w:sz w:val="22"/>
                <w:szCs w:val="22"/>
                <w:lang w:val="en-GB"/>
              </w:rPr>
              <w:t>Intracranial haemorrhage</w:t>
            </w:r>
          </w:p>
        </w:tc>
        <w:tc>
          <w:tcPr>
            <w:tcW w:w="1321" w:type="pct"/>
            <w:tcBorders>
              <w:top w:val="single" w:sz="4" w:space="0" w:color="auto"/>
              <w:left w:val="single" w:sz="4" w:space="0" w:color="auto"/>
              <w:bottom w:val="nil"/>
              <w:right w:val="nil"/>
            </w:tcBorders>
            <w:vAlign w:val="bottom"/>
            <w:hideMark/>
          </w:tcPr>
          <w:p w14:paraId="6F292CE5"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19AC47ED"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650A9B8D"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hideMark/>
          </w:tcPr>
          <w:p w14:paraId="788D6FE5" w14:textId="77777777" w:rsidR="00E607F1" w:rsidRPr="00BE5A7A" w:rsidRDefault="00E607F1" w:rsidP="004A5906">
            <w:pPr>
              <w:rPr>
                <w:sz w:val="22"/>
                <w:szCs w:val="22"/>
                <w:lang w:val="en-GB"/>
              </w:rPr>
            </w:pPr>
            <w:r w:rsidRPr="00BE5A7A">
              <w:rPr>
                <w:sz w:val="22"/>
                <w:szCs w:val="22"/>
                <w:lang w:val="en-GB"/>
              </w:rPr>
              <w:t>Vascular disorders</w:t>
            </w:r>
          </w:p>
        </w:tc>
      </w:tr>
      <w:tr w:rsidR="00E607F1" w:rsidRPr="00BE5A7A" w14:paraId="0E5A720C"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2FE633C" w14:textId="77777777" w:rsidR="00E607F1" w:rsidRPr="00BE5A7A" w:rsidRDefault="00E607F1" w:rsidP="00BE5A7A">
            <w:pPr>
              <w:ind w:left="264"/>
              <w:rPr>
                <w:sz w:val="22"/>
                <w:szCs w:val="22"/>
                <w:lang w:val="en-GB"/>
              </w:rPr>
            </w:pPr>
            <w:r w:rsidRPr="00BE5A7A">
              <w:rPr>
                <w:sz w:val="22"/>
                <w:szCs w:val="22"/>
                <w:lang w:val="en-GB"/>
              </w:rPr>
              <w:t>Haematoma</w:t>
            </w:r>
          </w:p>
        </w:tc>
        <w:tc>
          <w:tcPr>
            <w:tcW w:w="1321" w:type="pct"/>
            <w:tcBorders>
              <w:top w:val="single" w:sz="4" w:space="0" w:color="auto"/>
              <w:left w:val="single" w:sz="4" w:space="0" w:color="auto"/>
              <w:bottom w:val="nil"/>
              <w:right w:val="nil"/>
            </w:tcBorders>
            <w:vAlign w:val="bottom"/>
            <w:hideMark/>
          </w:tcPr>
          <w:p w14:paraId="5431EE08"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1A857EB4"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0E3A26E2"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3ED5E1BE" w14:textId="77777777" w:rsidR="00E607F1" w:rsidRPr="00BE5A7A" w:rsidRDefault="00E607F1" w:rsidP="00BE5A7A">
            <w:pPr>
              <w:ind w:left="264"/>
              <w:rPr>
                <w:sz w:val="22"/>
                <w:szCs w:val="22"/>
                <w:lang w:val="en-GB"/>
              </w:rPr>
            </w:pPr>
            <w:r w:rsidRPr="00BE5A7A">
              <w:rPr>
                <w:sz w:val="22"/>
                <w:szCs w:val="22"/>
                <w:lang w:val="en-GB"/>
              </w:rPr>
              <w:t>Haemorrhage</w:t>
            </w:r>
          </w:p>
        </w:tc>
        <w:tc>
          <w:tcPr>
            <w:tcW w:w="1321" w:type="pct"/>
            <w:tcBorders>
              <w:top w:val="single" w:sz="4" w:space="0" w:color="auto"/>
              <w:left w:val="single" w:sz="4" w:space="0" w:color="auto"/>
              <w:bottom w:val="nil"/>
              <w:right w:val="nil"/>
            </w:tcBorders>
            <w:vAlign w:val="bottom"/>
            <w:hideMark/>
          </w:tcPr>
          <w:p w14:paraId="2E421662"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386177B5" w14:textId="77777777" w:rsidR="00E607F1" w:rsidRPr="00BE5A7A" w:rsidRDefault="00E607F1" w:rsidP="004A5906">
            <w:pPr>
              <w:rPr>
                <w:sz w:val="22"/>
                <w:szCs w:val="22"/>
                <w:lang w:val="en-GB"/>
              </w:rPr>
            </w:pPr>
            <w:r w:rsidRPr="00BE5A7A">
              <w:rPr>
                <w:sz w:val="22"/>
                <w:szCs w:val="22"/>
                <w:lang w:val="en-GB"/>
              </w:rPr>
              <w:t>Uncommon</w:t>
            </w:r>
          </w:p>
        </w:tc>
      </w:tr>
      <w:tr w:rsidR="00E607F1" w:rsidRPr="00D476B2" w14:paraId="5B6E5E3A"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67F2748E" w14:textId="77777777" w:rsidR="00E607F1" w:rsidRPr="00BE5A7A" w:rsidRDefault="00E607F1" w:rsidP="004A5906">
            <w:pPr>
              <w:rPr>
                <w:sz w:val="22"/>
                <w:szCs w:val="22"/>
                <w:lang w:val="en-GB"/>
              </w:rPr>
            </w:pPr>
            <w:r w:rsidRPr="00BE5A7A">
              <w:rPr>
                <w:sz w:val="22"/>
                <w:szCs w:val="22"/>
                <w:lang w:val="en-GB"/>
              </w:rPr>
              <w:t>Respiratory, thoracic and mediastinal disorders</w:t>
            </w:r>
          </w:p>
        </w:tc>
      </w:tr>
      <w:tr w:rsidR="00E607F1" w:rsidRPr="00BE5A7A" w14:paraId="51604ED3"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3421AD77" w14:textId="77777777" w:rsidR="00E607F1" w:rsidRPr="00BE5A7A" w:rsidRDefault="00E607F1" w:rsidP="00BE5A7A">
            <w:pPr>
              <w:ind w:left="264"/>
              <w:rPr>
                <w:sz w:val="22"/>
                <w:szCs w:val="22"/>
                <w:lang w:val="en-GB"/>
              </w:rPr>
            </w:pPr>
            <w:r w:rsidRPr="00BE5A7A">
              <w:rPr>
                <w:sz w:val="22"/>
                <w:szCs w:val="22"/>
                <w:lang w:val="en-GB"/>
              </w:rPr>
              <w:t>Epistaxis</w:t>
            </w:r>
          </w:p>
        </w:tc>
        <w:tc>
          <w:tcPr>
            <w:tcW w:w="1321" w:type="pct"/>
            <w:tcBorders>
              <w:top w:val="single" w:sz="4" w:space="0" w:color="auto"/>
              <w:left w:val="single" w:sz="4" w:space="0" w:color="auto"/>
              <w:bottom w:val="nil"/>
              <w:right w:val="nil"/>
            </w:tcBorders>
            <w:vAlign w:val="bottom"/>
            <w:hideMark/>
          </w:tcPr>
          <w:p w14:paraId="0B087245"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vAlign w:val="bottom"/>
            <w:hideMark/>
          </w:tcPr>
          <w:p w14:paraId="5E1471D8" w14:textId="77777777" w:rsidR="00E607F1" w:rsidRPr="00BE5A7A" w:rsidRDefault="00E607F1" w:rsidP="004A5906">
            <w:pPr>
              <w:rPr>
                <w:sz w:val="22"/>
                <w:szCs w:val="22"/>
                <w:lang w:val="en-GB"/>
              </w:rPr>
            </w:pPr>
            <w:r w:rsidRPr="00BE5A7A">
              <w:rPr>
                <w:sz w:val="22"/>
                <w:szCs w:val="22"/>
                <w:lang w:val="en-GB"/>
              </w:rPr>
              <w:t>Common</w:t>
            </w:r>
          </w:p>
        </w:tc>
      </w:tr>
      <w:tr w:rsidR="00E607F1" w:rsidRPr="00BE5A7A" w14:paraId="4EFA850E"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76BCC8F2" w14:textId="77777777" w:rsidR="00E607F1" w:rsidRPr="00BE5A7A" w:rsidRDefault="00E607F1" w:rsidP="00BE5A7A">
            <w:pPr>
              <w:ind w:left="264"/>
              <w:rPr>
                <w:sz w:val="22"/>
                <w:szCs w:val="22"/>
                <w:lang w:val="en-GB"/>
              </w:rPr>
            </w:pPr>
            <w:r w:rsidRPr="00BE5A7A">
              <w:rPr>
                <w:sz w:val="22"/>
                <w:szCs w:val="22"/>
                <w:lang w:val="en-GB"/>
              </w:rPr>
              <w:t>Haemoptysis</w:t>
            </w:r>
          </w:p>
        </w:tc>
        <w:tc>
          <w:tcPr>
            <w:tcW w:w="1321" w:type="pct"/>
            <w:tcBorders>
              <w:top w:val="single" w:sz="4" w:space="0" w:color="auto"/>
              <w:left w:val="single" w:sz="4" w:space="0" w:color="auto"/>
              <w:bottom w:val="nil"/>
              <w:right w:val="nil"/>
            </w:tcBorders>
            <w:vAlign w:val="bottom"/>
            <w:hideMark/>
          </w:tcPr>
          <w:p w14:paraId="4375D304"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1A2D17E6"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5BE05093"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hideMark/>
          </w:tcPr>
          <w:p w14:paraId="7BCF5442" w14:textId="77777777" w:rsidR="00E607F1" w:rsidRPr="00BE5A7A" w:rsidRDefault="00E607F1" w:rsidP="004A5906">
            <w:pPr>
              <w:rPr>
                <w:sz w:val="22"/>
                <w:szCs w:val="22"/>
                <w:lang w:val="en-GB"/>
              </w:rPr>
            </w:pPr>
            <w:r w:rsidRPr="00BE5A7A">
              <w:rPr>
                <w:sz w:val="22"/>
                <w:szCs w:val="22"/>
                <w:lang w:val="en-GB"/>
              </w:rPr>
              <w:t>Gastrointestinal disorders</w:t>
            </w:r>
          </w:p>
        </w:tc>
      </w:tr>
      <w:tr w:rsidR="00E607F1" w:rsidRPr="00BE5A7A" w14:paraId="314ADD05" w14:textId="77777777" w:rsidTr="004A5906">
        <w:trPr>
          <w:trHeight w:val="57"/>
          <w:jc w:val="center"/>
        </w:trPr>
        <w:tc>
          <w:tcPr>
            <w:tcW w:w="1783" w:type="pct"/>
            <w:tcBorders>
              <w:top w:val="single" w:sz="4" w:space="0" w:color="auto"/>
              <w:left w:val="single" w:sz="4" w:space="0" w:color="auto"/>
              <w:bottom w:val="single" w:sz="4" w:space="0" w:color="auto"/>
              <w:right w:val="nil"/>
            </w:tcBorders>
            <w:vAlign w:val="bottom"/>
            <w:hideMark/>
          </w:tcPr>
          <w:p w14:paraId="4780071F" w14:textId="77777777" w:rsidR="00E607F1" w:rsidRPr="00BE5A7A" w:rsidRDefault="00E607F1" w:rsidP="00BE5A7A">
            <w:pPr>
              <w:ind w:left="264"/>
              <w:rPr>
                <w:sz w:val="22"/>
                <w:szCs w:val="22"/>
                <w:lang w:val="en-GB"/>
              </w:rPr>
            </w:pPr>
            <w:r w:rsidRPr="00BE5A7A">
              <w:rPr>
                <w:sz w:val="22"/>
                <w:szCs w:val="22"/>
                <w:lang w:val="en-GB"/>
              </w:rPr>
              <w:t>Gastrointestinal haemorrhage</w:t>
            </w:r>
          </w:p>
        </w:tc>
        <w:tc>
          <w:tcPr>
            <w:tcW w:w="1321" w:type="pct"/>
            <w:tcBorders>
              <w:top w:val="single" w:sz="4" w:space="0" w:color="auto"/>
              <w:left w:val="single" w:sz="4" w:space="0" w:color="auto"/>
              <w:bottom w:val="single" w:sz="4" w:space="0" w:color="auto"/>
              <w:right w:val="nil"/>
            </w:tcBorders>
            <w:vAlign w:val="bottom"/>
            <w:hideMark/>
          </w:tcPr>
          <w:p w14:paraId="159E036F"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single" w:sz="4" w:space="0" w:color="auto"/>
              <w:right w:val="single" w:sz="4" w:space="0" w:color="auto"/>
            </w:tcBorders>
            <w:vAlign w:val="bottom"/>
            <w:hideMark/>
          </w:tcPr>
          <w:p w14:paraId="69F684A0" w14:textId="77777777" w:rsidR="00E607F1" w:rsidRPr="00BE5A7A" w:rsidRDefault="00E607F1" w:rsidP="004A5906">
            <w:pPr>
              <w:rPr>
                <w:sz w:val="22"/>
                <w:szCs w:val="22"/>
                <w:lang w:val="en-GB"/>
              </w:rPr>
            </w:pPr>
            <w:r w:rsidRPr="00BE5A7A">
              <w:rPr>
                <w:sz w:val="22"/>
                <w:szCs w:val="22"/>
                <w:lang w:val="en-GB"/>
              </w:rPr>
              <w:t>Common</w:t>
            </w:r>
          </w:p>
        </w:tc>
      </w:tr>
      <w:tr w:rsidR="00E607F1" w:rsidRPr="00BE5A7A" w14:paraId="5DC25709"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200DDC10" w14:textId="77777777" w:rsidR="00E607F1" w:rsidRPr="00BE5A7A" w:rsidRDefault="00E607F1" w:rsidP="00BE5A7A">
            <w:pPr>
              <w:ind w:left="264"/>
              <w:rPr>
                <w:sz w:val="22"/>
                <w:szCs w:val="22"/>
                <w:lang w:val="en-GB"/>
              </w:rPr>
            </w:pPr>
            <w:r w:rsidRPr="00BE5A7A">
              <w:rPr>
                <w:sz w:val="22"/>
                <w:szCs w:val="22"/>
                <w:lang w:val="en-GB"/>
              </w:rPr>
              <w:t>Abdominal pain</w:t>
            </w:r>
          </w:p>
        </w:tc>
        <w:tc>
          <w:tcPr>
            <w:tcW w:w="1321" w:type="pct"/>
            <w:tcBorders>
              <w:top w:val="single" w:sz="4" w:space="0" w:color="auto"/>
              <w:left w:val="single" w:sz="4" w:space="0" w:color="auto"/>
              <w:bottom w:val="nil"/>
              <w:right w:val="nil"/>
            </w:tcBorders>
            <w:vAlign w:val="bottom"/>
            <w:hideMark/>
          </w:tcPr>
          <w:p w14:paraId="4EC02415"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vAlign w:val="bottom"/>
            <w:hideMark/>
          </w:tcPr>
          <w:p w14:paraId="3C352467"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32A22BF5" w14:textId="77777777" w:rsidTr="004A5906">
        <w:trPr>
          <w:trHeight w:val="57"/>
          <w:jc w:val="center"/>
        </w:trPr>
        <w:tc>
          <w:tcPr>
            <w:tcW w:w="1783" w:type="pct"/>
            <w:tcBorders>
              <w:top w:val="single" w:sz="4" w:space="0" w:color="auto"/>
              <w:left w:val="single" w:sz="4" w:space="0" w:color="auto"/>
              <w:bottom w:val="single" w:sz="4" w:space="0" w:color="auto"/>
              <w:right w:val="nil"/>
            </w:tcBorders>
            <w:hideMark/>
          </w:tcPr>
          <w:p w14:paraId="0391E963" w14:textId="77777777" w:rsidR="00E607F1" w:rsidRPr="00BE5A7A" w:rsidRDefault="00E607F1" w:rsidP="00BE5A7A">
            <w:pPr>
              <w:ind w:left="264"/>
              <w:rPr>
                <w:sz w:val="22"/>
                <w:szCs w:val="22"/>
                <w:lang w:val="en-GB"/>
              </w:rPr>
            </w:pPr>
            <w:r w:rsidRPr="00BE5A7A">
              <w:rPr>
                <w:sz w:val="22"/>
                <w:szCs w:val="22"/>
                <w:lang w:val="en-GB"/>
              </w:rPr>
              <w:t>Diarrhoea</w:t>
            </w:r>
          </w:p>
        </w:tc>
        <w:tc>
          <w:tcPr>
            <w:tcW w:w="1321" w:type="pct"/>
            <w:tcBorders>
              <w:top w:val="single" w:sz="4" w:space="0" w:color="auto"/>
              <w:left w:val="single" w:sz="4" w:space="0" w:color="auto"/>
              <w:bottom w:val="single" w:sz="4" w:space="0" w:color="auto"/>
              <w:right w:val="nil"/>
            </w:tcBorders>
            <w:hideMark/>
          </w:tcPr>
          <w:p w14:paraId="0FB32AC6"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single" w:sz="4" w:space="0" w:color="auto"/>
              <w:right w:val="single" w:sz="4" w:space="0" w:color="auto"/>
            </w:tcBorders>
            <w:hideMark/>
          </w:tcPr>
          <w:p w14:paraId="677C9D0F"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67CA99B6" w14:textId="77777777" w:rsidTr="004A5906">
        <w:trPr>
          <w:trHeight w:val="57"/>
          <w:jc w:val="center"/>
        </w:trPr>
        <w:tc>
          <w:tcPr>
            <w:tcW w:w="1783" w:type="pct"/>
            <w:tcBorders>
              <w:top w:val="single" w:sz="4" w:space="0" w:color="auto"/>
              <w:left w:val="single" w:sz="4" w:space="0" w:color="auto"/>
              <w:bottom w:val="single" w:sz="4" w:space="0" w:color="auto"/>
              <w:right w:val="single" w:sz="4" w:space="0" w:color="auto"/>
            </w:tcBorders>
            <w:vAlign w:val="bottom"/>
            <w:hideMark/>
          </w:tcPr>
          <w:p w14:paraId="127D11E0" w14:textId="77777777" w:rsidR="00E607F1" w:rsidRPr="00BE5A7A" w:rsidRDefault="00E607F1" w:rsidP="00BE5A7A">
            <w:pPr>
              <w:ind w:left="264"/>
              <w:rPr>
                <w:sz w:val="22"/>
                <w:szCs w:val="22"/>
                <w:lang w:val="en-GB"/>
              </w:rPr>
            </w:pPr>
            <w:r w:rsidRPr="00BE5A7A">
              <w:rPr>
                <w:sz w:val="22"/>
                <w:szCs w:val="22"/>
                <w:lang w:val="en-GB"/>
              </w:rPr>
              <w:t>Dyspepsia</w:t>
            </w:r>
          </w:p>
        </w:tc>
        <w:tc>
          <w:tcPr>
            <w:tcW w:w="1321" w:type="pct"/>
            <w:tcBorders>
              <w:top w:val="single" w:sz="4" w:space="0" w:color="auto"/>
              <w:left w:val="single" w:sz="4" w:space="0" w:color="auto"/>
              <w:bottom w:val="single" w:sz="4" w:space="0" w:color="auto"/>
              <w:right w:val="single" w:sz="4" w:space="0" w:color="auto"/>
            </w:tcBorders>
            <w:vAlign w:val="bottom"/>
            <w:hideMark/>
          </w:tcPr>
          <w:p w14:paraId="632376DE"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single" w:sz="4" w:space="0" w:color="auto"/>
              <w:right w:val="single" w:sz="4" w:space="0" w:color="auto"/>
            </w:tcBorders>
            <w:vAlign w:val="bottom"/>
            <w:hideMark/>
          </w:tcPr>
          <w:p w14:paraId="62942133" w14:textId="77777777" w:rsidR="00E607F1" w:rsidRPr="00BE5A7A" w:rsidRDefault="00E607F1" w:rsidP="004A5906">
            <w:pPr>
              <w:rPr>
                <w:sz w:val="22"/>
                <w:szCs w:val="22"/>
                <w:lang w:val="en-GB"/>
              </w:rPr>
            </w:pPr>
            <w:r w:rsidRPr="00BE5A7A">
              <w:rPr>
                <w:sz w:val="22"/>
                <w:szCs w:val="22"/>
                <w:lang w:val="en-GB"/>
              </w:rPr>
              <w:t>Common</w:t>
            </w:r>
          </w:p>
        </w:tc>
      </w:tr>
      <w:tr w:rsidR="00E607F1" w:rsidRPr="00BE5A7A" w14:paraId="3B7A90E2"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277C271" w14:textId="77777777" w:rsidR="00E607F1" w:rsidRPr="00BE5A7A" w:rsidRDefault="00E607F1" w:rsidP="00BE5A7A">
            <w:pPr>
              <w:ind w:left="264"/>
              <w:rPr>
                <w:sz w:val="22"/>
                <w:szCs w:val="22"/>
                <w:lang w:val="en-GB"/>
              </w:rPr>
            </w:pPr>
            <w:r w:rsidRPr="00BE5A7A">
              <w:rPr>
                <w:sz w:val="22"/>
                <w:szCs w:val="22"/>
                <w:lang w:val="en-GB"/>
              </w:rPr>
              <w:t>Nausea</w:t>
            </w:r>
          </w:p>
        </w:tc>
        <w:tc>
          <w:tcPr>
            <w:tcW w:w="1321" w:type="pct"/>
            <w:tcBorders>
              <w:top w:val="single" w:sz="4" w:space="0" w:color="auto"/>
              <w:left w:val="single" w:sz="4" w:space="0" w:color="auto"/>
              <w:bottom w:val="nil"/>
              <w:right w:val="nil"/>
            </w:tcBorders>
            <w:vAlign w:val="bottom"/>
            <w:hideMark/>
          </w:tcPr>
          <w:p w14:paraId="276B5566"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vAlign w:val="bottom"/>
            <w:hideMark/>
          </w:tcPr>
          <w:p w14:paraId="5BB7F68E"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5D1F36A9"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8150C22" w14:textId="77777777" w:rsidR="00E607F1" w:rsidRPr="00BE5A7A" w:rsidRDefault="00E607F1" w:rsidP="00BE5A7A">
            <w:pPr>
              <w:ind w:left="264"/>
              <w:rPr>
                <w:sz w:val="22"/>
                <w:szCs w:val="22"/>
                <w:lang w:val="en-GB"/>
              </w:rPr>
            </w:pPr>
            <w:r w:rsidRPr="00BE5A7A">
              <w:rPr>
                <w:sz w:val="22"/>
                <w:szCs w:val="22"/>
                <w:lang w:val="en-GB"/>
              </w:rPr>
              <w:t>Rectal haemorrhage</w:t>
            </w:r>
          </w:p>
        </w:tc>
        <w:tc>
          <w:tcPr>
            <w:tcW w:w="1321" w:type="pct"/>
            <w:tcBorders>
              <w:top w:val="single" w:sz="4" w:space="0" w:color="auto"/>
              <w:left w:val="single" w:sz="4" w:space="0" w:color="auto"/>
              <w:bottom w:val="nil"/>
              <w:right w:val="nil"/>
            </w:tcBorders>
            <w:vAlign w:val="bottom"/>
            <w:hideMark/>
          </w:tcPr>
          <w:p w14:paraId="0A7F72FC"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566ADFF9" w14:textId="77777777" w:rsidR="00E607F1" w:rsidRPr="00BE5A7A" w:rsidRDefault="00E607F1" w:rsidP="004A5906">
            <w:pPr>
              <w:rPr>
                <w:sz w:val="22"/>
                <w:szCs w:val="22"/>
                <w:lang w:val="en-GB"/>
              </w:rPr>
            </w:pPr>
            <w:r w:rsidRPr="00BE5A7A">
              <w:rPr>
                <w:sz w:val="22"/>
                <w:szCs w:val="22"/>
                <w:lang w:val="en-GB"/>
              </w:rPr>
              <w:t>Common</w:t>
            </w:r>
          </w:p>
        </w:tc>
      </w:tr>
      <w:tr w:rsidR="00E607F1" w:rsidRPr="00BE5A7A" w14:paraId="5E0B06DE"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1180DE1E" w14:textId="77777777" w:rsidR="00E607F1" w:rsidRPr="00BE5A7A" w:rsidRDefault="00E607F1" w:rsidP="00BE5A7A">
            <w:pPr>
              <w:ind w:left="264"/>
              <w:rPr>
                <w:sz w:val="22"/>
                <w:szCs w:val="22"/>
                <w:lang w:val="en-GB"/>
              </w:rPr>
            </w:pPr>
            <w:r w:rsidRPr="00BE5A7A">
              <w:rPr>
                <w:sz w:val="22"/>
                <w:szCs w:val="22"/>
                <w:lang w:val="en-GB"/>
              </w:rPr>
              <w:t>Haemorrhoidal haemorrhage</w:t>
            </w:r>
          </w:p>
        </w:tc>
        <w:tc>
          <w:tcPr>
            <w:tcW w:w="1321" w:type="pct"/>
            <w:tcBorders>
              <w:top w:val="single" w:sz="4" w:space="0" w:color="auto"/>
              <w:left w:val="single" w:sz="4" w:space="0" w:color="auto"/>
              <w:bottom w:val="nil"/>
              <w:right w:val="nil"/>
            </w:tcBorders>
            <w:vAlign w:val="bottom"/>
            <w:hideMark/>
          </w:tcPr>
          <w:p w14:paraId="17D5EDE2"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0513A76F"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25A695F4"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8135FAB" w14:textId="77777777" w:rsidR="00E607F1" w:rsidRPr="00BE5A7A" w:rsidRDefault="00E607F1" w:rsidP="00BE5A7A">
            <w:pPr>
              <w:ind w:left="264"/>
              <w:rPr>
                <w:sz w:val="22"/>
                <w:szCs w:val="22"/>
                <w:lang w:val="en-GB"/>
              </w:rPr>
            </w:pPr>
            <w:r w:rsidRPr="00BE5A7A">
              <w:rPr>
                <w:sz w:val="22"/>
                <w:szCs w:val="22"/>
                <w:lang w:val="en-GB"/>
              </w:rPr>
              <w:t>Gastrointestinal ulcer, including oesophageal ulcer</w:t>
            </w:r>
          </w:p>
        </w:tc>
        <w:tc>
          <w:tcPr>
            <w:tcW w:w="1321" w:type="pct"/>
            <w:tcBorders>
              <w:top w:val="single" w:sz="4" w:space="0" w:color="auto"/>
              <w:left w:val="single" w:sz="4" w:space="0" w:color="auto"/>
              <w:bottom w:val="nil"/>
              <w:right w:val="nil"/>
            </w:tcBorders>
            <w:hideMark/>
          </w:tcPr>
          <w:p w14:paraId="4A4A07F9"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hideMark/>
          </w:tcPr>
          <w:p w14:paraId="1520C808"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2B4D09F8"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02D36A37" w14:textId="77777777" w:rsidR="00E607F1" w:rsidRPr="00BE5A7A" w:rsidRDefault="00E607F1" w:rsidP="00BE5A7A">
            <w:pPr>
              <w:ind w:left="264"/>
              <w:rPr>
                <w:sz w:val="22"/>
                <w:szCs w:val="22"/>
                <w:lang w:val="en-GB"/>
              </w:rPr>
            </w:pPr>
            <w:proofErr w:type="spellStart"/>
            <w:r w:rsidRPr="00BE5A7A">
              <w:rPr>
                <w:sz w:val="22"/>
                <w:szCs w:val="22"/>
                <w:lang w:val="en-GB"/>
              </w:rPr>
              <w:t>Gastroesophagitis</w:t>
            </w:r>
            <w:proofErr w:type="spellEnd"/>
          </w:p>
        </w:tc>
        <w:tc>
          <w:tcPr>
            <w:tcW w:w="1321" w:type="pct"/>
            <w:tcBorders>
              <w:top w:val="single" w:sz="4" w:space="0" w:color="auto"/>
              <w:left w:val="single" w:sz="4" w:space="0" w:color="auto"/>
              <w:bottom w:val="nil"/>
              <w:right w:val="nil"/>
            </w:tcBorders>
            <w:vAlign w:val="bottom"/>
            <w:hideMark/>
          </w:tcPr>
          <w:p w14:paraId="039E78C8"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718C37FE"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42C38733"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5843FA4" w14:textId="77777777" w:rsidR="00E607F1" w:rsidRPr="00BE5A7A" w:rsidRDefault="00E607F1" w:rsidP="00BE5A7A">
            <w:pPr>
              <w:ind w:left="264"/>
              <w:rPr>
                <w:sz w:val="22"/>
                <w:szCs w:val="22"/>
                <w:lang w:val="en-GB"/>
              </w:rPr>
            </w:pPr>
            <w:r w:rsidRPr="00BE5A7A">
              <w:rPr>
                <w:sz w:val="22"/>
                <w:szCs w:val="22"/>
                <w:lang w:val="en-GB"/>
              </w:rPr>
              <w:t>Gastroesophageal reflux disease</w:t>
            </w:r>
          </w:p>
        </w:tc>
        <w:tc>
          <w:tcPr>
            <w:tcW w:w="1321" w:type="pct"/>
            <w:tcBorders>
              <w:top w:val="single" w:sz="4" w:space="0" w:color="auto"/>
              <w:left w:val="single" w:sz="4" w:space="0" w:color="auto"/>
              <w:bottom w:val="nil"/>
              <w:right w:val="nil"/>
            </w:tcBorders>
            <w:vAlign w:val="bottom"/>
            <w:hideMark/>
          </w:tcPr>
          <w:p w14:paraId="7D8A5A87"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3FBFF916"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49D4FF11"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622690EF" w14:textId="77777777" w:rsidR="00E607F1" w:rsidRPr="00BE5A7A" w:rsidRDefault="00E607F1" w:rsidP="00BE5A7A">
            <w:pPr>
              <w:ind w:left="264"/>
              <w:rPr>
                <w:sz w:val="22"/>
                <w:szCs w:val="22"/>
                <w:lang w:val="en-GB"/>
              </w:rPr>
            </w:pPr>
            <w:r w:rsidRPr="00BE5A7A">
              <w:rPr>
                <w:sz w:val="22"/>
                <w:szCs w:val="22"/>
                <w:lang w:val="en-GB"/>
              </w:rPr>
              <w:t>Vomiting</w:t>
            </w:r>
          </w:p>
        </w:tc>
        <w:tc>
          <w:tcPr>
            <w:tcW w:w="1321" w:type="pct"/>
            <w:tcBorders>
              <w:top w:val="single" w:sz="4" w:space="0" w:color="auto"/>
              <w:left w:val="single" w:sz="4" w:space="0" w:color="auto"/>
              <w:bottom w:val="nil"/>
              <w:right w:val="nil"/>
            </w:tcBorders>
            <w:vAlign w:val="bottom"/>
            <w:hideMark/>
          </w:tcPr>
          <w:p w14:paraId="7C92FFC1"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2E6A94A3"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32EE5C17"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0B49FE74" w14:textId="77777777" w:rsidR="00E607F1" w:rsidRPr="00BE5A7A" w:rsidRDefault="00E607F1" w:rsidP="00BE5A7A">
            <w:pPr>
              <w:ind w:left="264"/>
              <w:rPr>
                <w:sz w:val="22"/>
                <w:szCs w:val="22"/>
                <w:lang w:val="en-GB"/>
              </w:rPr>
            </w:pPr>
            <w:r w:rsidRPr="00BE5A7A">
              <w:rPr>
                <w:sz w:val="22"/>
                <w:szCs w:val="22"/>
                <w:lang w:val="en-GB"/>
              </w:rPr>
              <w:t>Dysphagia</w:t>
            </w:r>
          </w:p>
        </w:tc>
        <w:tc>
          <w:tcPr>
            <w:tcW w:w="1321" w:type="pct"/>
            <w:tcBorders>
              <w:top w:val="single" w:sz="4" w:space="0" w:color="auto"/>
              <w:left w:val="single" w:sz="4" w:space="0" w:color="auto"/>
              <w:bottom w:val="nil"/>
              <w:right w:val="nil"/>
            </w:tcBorders>
            <w:vAlign w:val="bottom"/>
            <w:hideMark/>
          </w:tcPr>
          <w:p w14:paraId="30B3625C"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vAlign w:val="bottom"/>
            <w:hideMark/>
          </w:tcPr>
          <w:p w14:paraId="6CD1426E"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73ED43C4"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7D4FA802" w14:textId="77777777" w:rsidR="00E607F1" w:rsidRPr="00BE5A7A" w:rsidRDefault="00E607F1" w:rsidP="004A5906">
            <w:pPr>
              <w:rPr>
                <w:sz w:val="22"/>
                <w:szCs w:val="22"/>
                <w:lang w:val="en-GB"/>
              </w:rPr>
            </w:pPr>
            <w:r w:rsidRPr="00BE5A7A">
              <w:rPr>
                <w:sz w:val="22"/>
                <w:szCs w:val="22"/>
                <w:lang w:val="en-GB"/>
              </w:rPr>
              <w:t>Hepatobiliary disorders</w:t>
            </w:r>
          </w:p>
        </w:tc>
      </w:tr>
      <w:tr w:rsidR="00E607F1" w:rsidRPr="00BE5A7A" w14:paraId="2E03A9BF"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704DBDE5" w14:textId="77777777" w:rsidR="00E607F1" w:rsidRPr="00BE5A7A" w:rsidRDefault="00E607F1" w:rsidP="00BE5A7A">
            <w:pPr>
              <w:ind w:left="264"/>
              <w:rPr>
                <w:sz w:val="22"/>
                <w:szCs w:val="22"/>
                <w:lang w:val="en-GB"/>
              </w:rPr>
            </w:pPr>
            <w:r w:rsidRPr="00BE5A7A">
              <w:rPr>
                <w:sz w:val="22"/>
                <w:szCs w:val="22"/>
                <w:lang w:val="en-GB"/>
              </w:rPr>
              <w:t>Hepatic function abnormal / Liver function Test abnormal</w:t>
            </w:r>
          </w:p>
        </w:tc>
        <w:tc>
          <w:tcPr>
            <w:tcW w:w="1321" w:type="pct"/>
            <w:tcBorders>
              <w:top w:val="single" w:sz="4" w:space="0" w:color="auto"/>
              <w:left w:val="single" w:sz="4" w:space="0" w:color="auto"/>
              <w:bottom w:val="nil"/>
              <w:right w:val="nil"/>
            </w:tcBorders>
            <w:hideMark/>
          </w:tcPr>
          <w:p w14:paraId="717AF898"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hideMark/>
          </w:tcPr>
          <w:p w14:paraId="159FC98B"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03D5A2AE"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5D93CC77" w14:textId="77777777" w:rsidR="00E607F1" w:rsidRPr="00BE5A7A" w:rsidRDefault="00E607F1" w:rsidP="00BE5A7A">
            <w:pPr>
              <w:ind w:left="264"/>
              <w:rPr>
                <w:sz w:val="22"/>
                <w:szCs w:val="22"/>
                <w:lang w:val="en-GB"/>
              </w:rPr>
            </w:pPr>
            <w:r w:rsidRPr="00BE5A7A">
              <w:rPr>
                <w:sz w:val="22"/>
                <w:szCs w:val="22"/>
                <w:lang w:val="en-GB"/>
              </w:rPr>
              <w:t>Alanine aminotransferase increased</w:t>
            </w:r>
          </w:p>
        </w:tc>
        <w:tc>
          <w:tcPr>
            <w:tcW w:w="1321" w:type="pct"/>
            <w:tcBorders>
              <w:top w:val="single" w:sz="4" w:space="0" w:color="auto"/>
              <w:left w:val="single" w:sz="4" w:space="0" w:color="auto"/>
              <w:bottom w:val="nil"/>
              <w:right w:val="nil"/>
            </w:tcBorders>
            <w:hideMark/>
          </w:tcPr>
          <w:p w14:paraId="0A17E765"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hideMark/>
          </w:tcPr>
          <w:p w14:paraId="5214D253"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12223764"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35CEAF99" w14:textId="77777777" w:rsidR="00E607F1" w:rsidRPr="00BE5A7A" w:rsidRDefault="00E607F1" w:rsidP="00BE5A7A">
            <w:pPr>
              <w:ind w:left="264"/>
              <w:rPr>
                <w:sz w:val="22"/>
                <w:szCs w:val="22"/>
                <w:lang w:val="en-GB"/>
              </w:rPr>
            </w:pPr>
            <w:r w:rsidRPr="00BE5A7A">
              <w:rPr>
                <w:sz w:val="22"/>
                <w:szCs w:val="22"/>
                <w:lang w:val="en-GB"/>
              </w:rPr>
              <w:t>Aspartate aminotransferase increased</w:t>
            </w:r>
          </w:p>
        </w:tc>
        <w:tc>
          <w:tcPr>
            <w:tcW w:w="1321" w:type="pct"/>
            <w:tcBorders>
              <w:top w:val="single" w:sz="4" w:space="0" w:color="auto"/>
              <w:left w:val="single" w:sz="4" w:space="0" w:color="auto"/>
              <w:bottom w:val="nil"/>
              <w:right w:val="nil"/>
            </w:tcBorders>
            <w:hideMark/>
          </w:tcPr>
          <w:p w14:paraId="553357DF" w14:textId="77777777" w:rsidR="00E607F1" w:rsidRPr="00BE5A7A" w:rsidRDefault="00E607F1" w:rsidP="004A5906">
            <w:pPr>
              <w:rPr>
                <w:sz w:val="22"/>
                <w:szCs w:val="22"/>
                <w:lang w:val="en-GB"/>
              </w:rPr>
            </w:pPr>
            <w:r w:rsidRPr="00BE5A7A">
              <w:rPr>
                <w:sz w:val="22"/>
                <w:szCs w:val="22"/>
                <w:lang w:val="en-GB"/>
              </w:rPr>
              <w:t>Uncommon</w:t>
            </w:r>
          </w:p>
        </w:tc>
        <w:tc>
          <w:tcPr>
            <w:tcW w:w="1896" w:type="pct"/>
            <w:tcBorders>
              <w:top w:val="single" w:sz="4" w:space="0" w:color="auto"/>
              <w:left w:val="single" w:sz="4" w:space="0" w:color="auto"/>
              <w:bottom w:val="nil"/>
              <w:right w:val="single" w:sz="4" w:space="0" w:color="auto"/>
            </w:tcBorders>
            <w:hideMark/>
          </w:tcPr>
          <w:p w14:paraId="2DBEF74E"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68A9178A" w14:textId="77777777" w:rsidTr="004A5906">
        <w:trPr>
          <w:trHeight w:val="57"/>
          <w:jc w:val="center"/>
        </w:trPr>
        <w:tc>
          <w:tcPr>
            <w:tcW w:w="1783" w:type="pct"/>
            <w:tcBorders>
              <w:top w:val="single" w:sz="4" w:space="0" w:color="auto"/>
              <w:left w:val="single" w:sz="4" w:space="0" w:color="auto"/>
              <w:bottom w:val="nil"/>
              <w:right w:val="nil"/>
            </w:tcBorders>
            <w:hideMark/>
          </w:tcPr>
          <w:p w14:paraId="45B3B8D1" w14:textId="77777777" w:rsidR="00E607F1" w:rsidRPr="00BE5A7A" w:rsidRDefault="00E607F1" w:rsidP="00BE5A7A">
            <w:pPr>
              <w:ind w:left="264"/>
              <w:rPr>
                <w:sz w:val="22"/>
                <w:szCs w:val="22"/>
                <w:lang w:val="en-GB"/>
              </w:rPr>
            </w:pPr>
            <w:r w:rsidRPr="00BE5A7A">
              <w:rPr>
                <w:sz w:val="22"/>
                <w:szCs w:val="22"/>
                <w:lang w:val="en-GB"/>
              </w:rPr>
              <w:t>Hepatic enzyme increased</w:t>
            </w:r>
          </w:p>
        </w:tc>
        <w:tc>
          <w:tcPr>
            <w:tcW w:w="1321" w:type="pct"/>
            <w:tcBorders>
              <w:top w:val="single" w:sz="4" w:space="0" w:color="auto"/>
              <w:left w:val="single" w:sz="4" w:space="0" w:color="auto"/>
              <w:bottom w:val="nil"/>
              <w:right w:val="nil"/>
            </w:tcBorders>
            <w:hideMark/>
          </w:tcPr>
          <w:p w14:paraId="1AC5FA54"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hideMark/>
          </w:tcPr>
          <w:p w14:paraId="3821182C"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3CD612ED"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39F8F4E1" w14:textId="77777777" w:rsidR="00E607F1" w:rsidRPr="00BE5A7A" w:rsidRDefault="00E607F1" w:rsidP="00BE5A7A">
            <w:pPr>
              <w:ind w:left="264"/>
              <w:rPr>
                <w:sz w:val="22"/>
                <w:szCs w:val="22"/>
                <w:lang w:val="en-GB"/>
              </w:rPr>
            </w:pPr>
            <w:proofErr w:type="spellStart"/>
            <w:r w:rsidRPr="00BE5A7A">
              <w:rPr>
                <w:sz w:val="22"/>
                <w:szCs w:val="22"/>
                <w:lang w:val="en-GB"/>
              </w:rPr>
              <w:t>Hyperbilirubinaemia</w:t>
            </w:r>
            <w:proofErr w:type="spellEnd"/>
          </w:p>
        </w:tc>
        <w:tc>
          <w:tcPr>
            <w:tcW w:w="1321" w:type="pct"/>
            <w:tcBorders>
              <w:top w:val="single" w:sz="4" w:space="0" w:color="auto"/>
              <w:left w:val="single" w:sz="4" w:space="0" w:color="auto"/>
              <w:bottom w:val="nil"/>
              <w:right w:val="nil"/>
            </w:tcBorders>
            <w:vAlign w:val="bottom"/>
            <w:hideMark/>
          </w:tcPr>
          <w:p w14:paraId="1ED73D39"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4254733F" w14:textId="77777777" w:rsidR="00E607F1" w:rsidRPr="00BE5A7A" w:rsidRDefault="00E607F1" w:rsidP="004A5906">
            <w:pPr>
              <w:rPr>
                <w:sz w:val="22"/>
                <w:szCs w:val="22"/>
                <w:lang w:val="en-GB"/>
              </w:rPr>
            </w:pPr>
            <w:r w:rsidRPr="00BE5A7A">
              <w:rPr>
                <w:sz w:val="22"/>
                <w:szCs w:val="22"/>
                <w:lang w:val="en-GB"/>
              </w:rPr>
              <w:t>Not known</w:t>
            </w:r>
          </w:p>
        </w:tc>
      </w:tr>
      <w:tr w:rsidR="00E607F1" w:rsidRPr="00D476B2" w14:paraId="652B6829"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hideMark/>
          </w:tcPr>
          <w:p w14:paraId="7BA0DC2B" w14:textId="77777777" w:rsidR="00E607F1" w:rsidRPr="00BE5A7A" w:rsidRDefault="00E607F1" w:rsidP="004A5906">
            <w:pPr>
              <w:rPr>
                <w:sz w:val="22"/>
                <w:szCs w:val="22"/>
                <w:lang w:val="en-GB"/>
              </w:rPr>
            </w:pPr>
            <w:r w:rsidRPr="00BE5A7A">
              <w:rPr>
                <w:sz w:val="22"/>
                <w:szCs w:val="22"/>
                <w:lang w:val="en-GB"/>
              </w:rPr>
              <w:t>Skin and subcutaneous tissue disorder</w:t>
            </w:r>
          </w:p>
        </w:tc>
      </w:tr>
      <w:tr w:rsidR="00E607F1" w:rsidRPr="00BE5A7A" w14:paraId="2D5C3616"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D47E78D" w14:textId="77777777" w:rsidR="00E607F1" w:rsidRPr="00BE5A7A" w:rsidRDefault="00E607F1" w:rsidP="00BE5A7A">
            <w:pPr>
              <w:ind w:left="264"/>
              <w:rPr>
                <w:sz w:val="22"/>
                <w:szCs w:val="22"/>
                <w:lang w:val="en-GB"/>
              </w:rPr>
            </w:pPr>
            <w:r w:rsidRPr="00BE5A7A">
              <w:rPr>
                <w:sz w:val="22"/>
                <w:szCs w:val="22"/>
                <w:lang w:val="en-GB"/>
              </w:rPr>
              <w:t>Skin haemorrhage</w:t>
            </w:r>
          </w:p>
        </w:tc>
        <w:tc>
          <w:tcPr>
            <w:tcW w:w="1321" w:type="pct"/>
            <w:tcBorders>
              <w:top w:val="single" w:sz="4" w:space="0" w:color="auto"/>
              <w:left w:val="single" w:sz="4" w:space="0" w:color="auto"/>
              <w:bottom w:val="nil"/>
              <w:right w:val="nil"/>
            </w:tcBorders>
            <w:vAlign w:val="bottom"/>
            <w:hideMark/>
          </w:tcPr>
          <w:p w14:paraId="5A8AF353"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vAlign w:val="bottom"/>
            <w:hideMark/>
          </w:tcPr>
          <w:p w14:paraId="1FA58E99" w14:textId="77777777" w:rsidR="00E607F1" w:rsidRPr="00BE5A7A" w:rsidRDefault="00E607F1" w:rsidP="004A5906">
            <w:pPr>
              <w:rPr>
                <w:sz w:val="22"/>
                <w:szCs w:val="22"/>
                <w:lang w:val="en-GB"/>
              </w:rPr>
            </w:pPr>
            <w:r w:rsidRPr="00BE5A7A">
              <w:rPr>
                <w:sz w:val="22"/>
                <w:szCs w:val="22"/>
                <w:lang w:val="en-GB"/>
              </w:rPr>
              <w:t>Common</w:t>
            </w:r>
          </w:p>
        </w:tc>
      </w:tr>
      <w:tr w:rsidR="00E607F1" w:rsidRPr="00BE5A7A" w14:paraId="3DF95B26"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593ADCD" w14:textId="77777777" w:rsidR="00E607F1" w:rsidRPr="00BE5A7A" w:rsidRDefault="00E607F1" w:rsidP="00BE5A7A">
            <w:pPr>
              <w:ind w:left="264"/>
              <w:rPr>
                <w:sz w:val="22"/>
                <w:szCs w:val="22"/>
                <w:lang w:val="en-GB"/>
              </w:rPr>
            </w:pPr>
            <w:r w:rsidRPr="00BE5A7A">
              <w:rPr>
                <w:sz w:val="22"/>
                <w:szCs w:val="22"/>
                <w:lang w:val="en-GB"/>
              </w:rPr>
              <w:t>Alopecia</w:t>
            </w:r>
          </w:p>
        </w:tc>
        <w:tc>
          <w:tcPr>
            <w:tcW w:w="1321" w:type="pct"/>
            <w:tcBorders>
              <w:top w:val="single" w:sz="4" w:space="0" w:color="auto"/>
              <w:left w:val="single" w:sz="4" w:space="0" w:color="auto"/>
              <w:bottom w:val="nil"/>
              <w:right w:val="nil"/>
            </w:tcBorders>
            <w:vAlign w:val="bottom"/>
            <w:hideMark/>
          </w:tcPr>
          <w:p w14:paraId="4D7F7A12" w14:textId="77777777" w:rsidR="00E607F1" w:rsidRPr="00BE5A7A" w:rsidRDefault="00E607F1" w:rsidP="004A5906">
            <w:pPr>
              <w:rPr>
                <w:sz w:val="22"/>
                <w:szCs w:val="22"/>
                <w:lang w:val="en-GB"/>
              </w:rPr>
            </w:pPr>
            <w:r w:rsidRPr="00BE5A7A">
              <w:rPr>
                <w:sz w:val="22"/>
                <w:szCs w:val="22"/>
                <w:lang w:val="en-GB"/>
              </w:rPr>
              <w:t>Not known</w:t>
            </w:r>
          </w:p>
        </w:tc>
        <w:tc>
          <w:tcPr>
            <w:tcW w:w="1896" w:type="pct"/>
            <w:tcBorders>
              <w:top w:val="single" w:sz="4" w:space="0" w:color="auto"/>
              <w:left w:val="single" w:sz="4" w:space="0" w:color="auto"/>
              <w:bottom w:val="nil"/>
              <w:right w:val="single" w:sz="4" w:space="0" w:color="auto"/>
            </w:tcBorders>
            <w:vAlign w:val="bottom"/>
            <w:hideMark/>
          </w:tcPr>
          <w:p w14:paraId="2E7AF442" w14:textId="77777777" w:rsidR="00E607F1" w:rsidRPr="00BE5A7A" w:rsidRDefault="00E607F1" w:rsidP="004A5906">
            <w:pPr>
              <w:rPr>
                <w:sz w:val="22"/>
                <w:szCs w:val="22"/>
                <w:lang w:val="en-GB"/>
              </w:rPr>
            </w:pPr>
            <w:r w:rsidRPr="00BE5A7A">
              <w:rPr>
                <w:sz w:val="22"/>
                <w:szCs w:val="22"/>
                <w:lang w:val="en-GB"/>
              </w:rPr>
              <w:t>Not known</w:t>
            </w:r>
          </w:p>
        </w:tc>
      </w:tr>
      <w:tr w:rsidR="00E607F1" w:rsidRPr="00D476B2" w14:paraId="554DD6B4"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hideMark/>
          </w:tcPr>
          <w:p w14:paraId="222A8C1C" w14:textId="77777777" w:rsidR="00E607F1" w:rsidRPr="00BE5A7A" w:rsidRDefault="00E607F1" w:rsidP="004A5906">
            <w:pPr>
              <w:rPr>
                <w:sz w:val="22"/>
                <w:szCs w:val="22"/>
                <w:lang w:val="en-GB"/>
              </w:rPr>
            </w:pPr>
            <w:r w:rsidRPr="00BE5A7A">
              <w:rPr>
                <w:sz w:val="22"/>
                <w:szCs w:val="22"/>
                <w:lang w:val="en-GB"/>
              </w:rPr>
              <w:t>Musculoskeletal and connective tissue disorders</w:t>
            </w:r>
          </w:p>
        </w:tc>
      </w:tr>
      <w:tr w:rsidR="00E607F1" w:rsidRPr="00BE5A7A" w14:paraId="6C0597FB"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26328AA3" w14:textId="77777777" w:rsidR="00E607F1" w:rsidRPr="00BE5A7A" w:rsidRDefault="00E607F1" w:rsidP="00BE5A7A">
            <w:pPr>
              <w:ind w:left="264"/>
              <w:rPr>
                <w:sz w:val="22"/>
                <w:szCs w:val="22"/>
                <w:lang w:val="en-GB"/>
              </w:rPr>
            </w:pPr>
            <w:proofErr w:type="spellStart"/>
            <w:r w:rsidRPr="00BE5A7A">
              <w:rPr>
                <w:sz w:val="22"/>
                <w:szCs w:val="22"/>
                <w:lang w:val="en-GB"/>
              </w:rPr>
              <w:t>Haemarthrosis</w:t>
            </w:r>
            <w:proofErr w:type="spellEnd"/>
          </w:p>
        </w:tc>
        <w:tc>
          <w:tcPr>
            <w:tcW w:w="1321" w:type="pct"/>
            <w:tcBorders>
              <w:top w:val="single" w:sz="4" w:space="0" w:color="auto"/>
              <w:left w:val="single" w:sz="4" w:space="0" w:color="auto"/>
              <w:bottom w:val="nil"/>
              <w:right w:val="nil"/>
            </w:tcBorders>
            <w:vAlign w:val="bottom"/>
            <w:hideMark/>
          </w:tcPr>
          <w:p w14:paraId="7BFD617C"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4291BCD2"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190D26C1"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2DA47444" w14:textId="77777777" w:rsidR="00E607F1" w:rsidRPr="00BE5A7A" w:rsidRDefault="00E607F1" w:rsidP="004A5906">
            <w:pPr>
              <w:rPr>
                <w:sz w:val="22"/>
                <w:szCs w:val="22"/>
                <w:lang w:val="en-GB"/>
              </w:rPr>
            </w:pPr>
            <w:r w:rsidRPr="00BE5A7A">
              <w:rPr>
                <w:sz w:val="22"/>
                <w:szCs w:val="22"/>
                <w:lang w:val="en-GB"/>
              </w:rPr>
              <w:t>Renal and urinary disorders</w:t>
            </w:r>
          </w:p>
        </w:tc>
      </w:tr>
      <w:tr w:rsidR="00E607F1" w:rsidRPr="00BE5A7A" w14:paraId="4F59BCCD"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2894699F" w14:textId="77777777" w:rsidR="00E607F1" w:rsidRPr="00BE5A7A" w:rsidRDefault="00E607F1" w:rsidP="00BE5A7A">
            <w:pPr>
              <w:ind w:left="264"/>
              <w:rPr>
                <w:sz w:val="22"/>
                <w:szCs w:val="22"/>
                <w:lang w:val="en-GB"/>
              </w:rPr>
            </w:pPr>
            <w:proofErr w:type="spellStart"/>
            <w:r w:rsidRPr="00BE5A7A">
              <w:rPr>
                <w:sz w:val="22"/>
                <w:szCs w:val="22"/>
                <w:lang w:val="en-GB"/>
              </w:rPr>
              <w:t>Genitourological</w:t>
            </w:r>
            <w:proofErr w:type="spellEnd"/>
            <w:r w:rsidRPr="00BE5A7A">
              <w:rPr>
                <w:sz w:val="22"/>
                <w:szCs w:val="22"/>
                <w:lang w:val="en-GB"/>
              </w:rPr>
              <w:t xml:space="preserve"> haemorrhage, including haematuria</w:t>
            </w:r>
          </w:p>
        </w:tc>
        <w:tc>
          <w:tcPr>
            <w:tcW w:w="1321" w:type="pct"/>
            <w:tcBorders>
              <w:top w:val="single" w:sz="4" w:space="0" w:color="auto"/>
              <w:left w:val="single" w:sz="4" w:space="0" w:color="auto"/>
              <w:bottom w:val="nil"/>
              <w:right w:val="nil"/>
            </w:tcBorders>
            <w:hideMark/>
          </w:tcPr>
          <w:p w14:paraId="60A4B261" w14:textId="77777777" w:rsidR="00E607F1" w:rsidRPr="00BE5A7A" w:rsidRDefault="00E607F1" w:rsidP="004A5906">
            <w:pPr>
              <w:rPr>
                <w:sz w:val="22"/>
                <w:szCs w:val="22"/>
                <w:lang w:val="en-GB"/>
              </w:rPr>
            </w:pPr>
            <w:r w:rsidRPr="00BE5A7A">
              <w:rPr>
                <w:sz w:val="22"/>
                <w:szCs w:val="22"/>
                <w:lang w:val="en-GB"/>
              </w:rPr>
              <w:t>Common</w:t>
            </w:r>
          </w:p>
        </w:tc>
        <w:tc>
          <w:tcPr>
            <w:tcW w:w="1896" w:type="pct"/>
            <w:tcBorders>
              <w:top w:val="single" w:sz="4" w:space="0" w:color="auto"/>
              <w:left w:val="single" w:sz="4" w:space="0" w:color="auto"/>
              <w:bottom w:val="nil"/>
              <w:right w:val="single" w:sz="4" w:space="0" w:color="auto"/>
            </w:tcBorders>
            <w:hideMark/>
          </w:tcPr>
          <w:p w14:paraId="295C273B" w14:textId="77777777" w:rsidR="00E607F1" w:rsidRPr="00BE5A7A" w:rsidRDefault="00E607F1" w:rsidP="004A5906">
            <w:pPr>
              <w:rPr>
                <w:sz w:val="22"/>
                <w:szCs w:val="22"/>
                <w:lang w:val="en-GB"/>
              </w:rPr>
            </w:pPr>
            <w:r w:rsidRPr="00BE5A7A">
              <w:rPr>
                <w:sz w:val="22"/>
                <w:szCs w:val="22"/>
                <w:lang w:val="en-GB"/>
              </w:rPr>
              <w:t>Common</w:t>
            </w:r>
          </w:p>
        </w:tc>
      </w:tr>
      <w:tr w:rsidR="00E607F1" w:rsidRPr="00D476B2" w14:paraId="45B673C2"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hideMark/>
          </w:tcPr>
          <w:p w14:paraId="40ACF16B" w14:textId="77777777" w:rsidR="00E607F1" w:rsidRPr="00BE5A7A" w:rsidRDefault="00E607F1" w:rsidP="004A5906">
            <w:pPr>
              <w:rPr>
                <w:sz w:val="22"/>
                <w:szCs w:val="22"/>
                <w:lang w:val="en-GB"/>
              </w:rPr>
            </w:pPr>
            <w:r w:rsidRPr="00BE5A7A">
              <w:rPr>
                <w:sz w:val="22"/>
                <w:szCs w:val="22"/>
                <w:lang w:val="en-GB"/>
              </w:rPr>
              <w:t>General disorders and administration site conditions</w:t>
            </w:r>
          </w:p>
        </w:tc>
      </w:tr>
      <w:tr w:rsidR="00E607F1" w:rsidRPr="00BE5A7A" w14:paraId="38E52A5C"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0383A3CF" w14:textId="77777777" w:rsidR="00E607F1" w:rsidRPr="00BE5A7A" w:rsidRDefault="00E607F1" w:rsidP="00BE5A7A">
            <w:pPr>
              <w:ind w:left="264"/>
              <w:rPr>
                <w:sz w:val="22"/>
                <w:szCs w:val="22"/>
                <w:lang w:val="en-GB"/>
              </w:rPr>
            </w:pPr>
            <w:r w:rsidRPr="00BE5A7A">
              <w:rPr>
                <w:sz w:val="22"/>
                <w:szCs w:val="22"/>
                <w:lang w:val="en-GB"/>
              </w:rPr>
              <w:t>Injection site haemorrhage</w:t>
            </w:r>
          </w:p>
        </w:tc>
        <w:tc>
          <w:tcPr>
            <w:tcW w:w="1321" w:type="pct"/>
            <w:tcBorders>
              <w:top w:val="single" w:sz="4" w:space="0" w:color="auto"/>
              <w:left w:val="single" w:sz="4" w:space="0" w:color="auto"/>
              <w:bottom w:val="nil"/>
              <w:right w:val="nil"/>
            </w:tcBorders>
            <w:vAlign w:val="bottom"/>
            <w:hideMark/>
          </w:tcPr>
          <w:p w14:paraId="6C2FF6DE"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071E851C" w14:textId="77777777" w:rsidR="00E607F1" w:rsidRPr="00BE5A7A" w:rsidRDefault="00E607F1" w:rsidP="004A5906">
            <w:pPr>
              <w:rPr>
                <w:sz w:val="22"/>
                <w:szCs w:val="22"/>
                <w:lang w:val="en-GB"/>
              </w:rPr>
            </w:pPr>
            <w:r w:rsidRPr="00BE5A7A">
              <w:rPr>
                <w:sz w:val="22"/>
                <w:szCs w:val="22"/>
                <w:lang w:val="en-GB"/>
              </w:rPr>
              <w:t>Rare</w:t>
            </w:r>
          </w:p>
        </w:tc>
      </w:tr>
      <w:tr w:rsidR="00E607F1" w:rsidRPr="00BE5A7A" w14:paraId="4528BDB5"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4A96E530" w14:textId="77777777" w:rsidR="00E607F1" w:rsidRPr="00BE5A7A" w:rsidRDefault="00E607F1" w:rsidP="00BE5A7A">
            <w:pPr>
              <w:ind w:left="264"/>
              <w:rPr>
                <w:sz w:val="22"/>
                <w:szCs w:val="22"/>
                <w:lang w:val="en-GB"/>
              </w:rPr>
            </w:pPr>
            <w:r w:rsidRPr="00BE5A7A">
              <w:rPr>
                <w:sz w:val="22"/>
                <w:szCs w:val="22"/>
                <w:lang w:val="en-GB"/>
              </w:rPr>
              <w:t>Catheter site haemorrhage</w:t>
            </w:r>
          </w:p>
        </w:tc>
        <w:tc>
          <w:tcPr>
            <w:tcW w:w="1321" w:type="pct"/>
            <w:tcBorders>
              <w:top w:val="single" w:sz="4" w:space="0" w:color="auto"/>
              <w:left w:val="single" w:sz="4" w:space="0" w:color="auto"/>
              <w:bottom w:val="nil"/>
              <w:right w:val="nil"/>
            </w:tcBorders>
            <w:vAlign w:val="bottom"/>
            <w:hideMark/>
          </w:tcPr>
          <w:p w14:paraId="19E32D25"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3B479B97" w14:textId="77777777" w:rsidR="00E607F1" w:rsidRPr="00BE5A7A" w:rsidRDefault="00E607F1" w:rsidP="004A5906">
            <w:pPr>
              <w:rPr>
                <w:sz w:val="22"/>
                <w:szCs w:val="22"/>
                <w:lang w:val="en-GB"/>
              </w:rPr>
            </w:pPr>
            <w:r w:rsidRPr="00BE5A7A">
              <w:rPr>
                <w:sz w:val="22"/>
                <w:szCs w:val="22"/>
                <w:lang w:val="en-GB"/>
              </w:rPr>
              <w:t>Rare</w:t>
            </w:r>
          </w:p>
        </w:tc>
      </w:tr>
      <w:tr w:rsidR="00E607F1" w:rsidRPr="00D476B2" w14:paraId="498F2520" w14:textId="77777777" w:rsidTr="004A5906">
        <w:trPr>
          <w:trHeight w:val="57"/>
          <w:jc w:val="center"/>
        </w:trPr>
        <w:tc>
          <w:tcPr>
            <w:tcW w:w="5000" w:type="pct"/>
            <w:gridSpan w:val="3"/>
            <w:tcBorders>
              <w:top w:val="single" w:sz="4" w:space="0" w:color="auto"/>
              <w:left w:val="single" w:sz="4" w:space="0" w:color="auto"/>
              <w:bottom w:val="nil"/>
              <w:right w:val="single" w:sz="4" w:space="0" w:color="auto"/>
            </w:tcBorders>
            <w:vAlign w:val="bottom"/>
            <w:hideMark/>
          </w:tcPr>
          <w:p w14:paraId="47029807" w14:textId="77777777" w:rsidR="00E607F1" w:rsidRPr="00BE5A7A" w:rsidRDefault="00E607F1" w:rsidP="004A5906">
            <w:pPr>
              <w:rPr>
                <w:sz w:val="22"/>
                <w:szCs w:val="22"/>
                <w:lang w:val="en-GB"/>
              </w:rPr>
            </w:pPr>
            <w:r w:rsidRPr="00BE5A7A">
              <w:rPr>
                <w:sz w:val="22"/>
                <w:szCs w:val="22"/>
                <w:lang w:val="en-GB"/>
              </w:rPr>
              <w:t>Injury, poisoning and procedural complications</w:t>
            </w:r>
          </w:p>
        </w:tc>
      </w:tr>
      <w:tr w:rsidR="00E607F1" w:rsidRPr="00BE5A7A" w14:paraId="453141EA" w14:textId="77777777" w:rsidTr="004A5906">
        <w:trPr>
          <w:trHeight w:val="57"/>
          <w:jc w:val="center"/>
        </w:trPr>
        <w:tc>
          <w:tcPr>
            <w:tcW w:w="1783" w:type="pct"/>
            <w:tcBorders>
              <w:top w:val="single" w:sz="4" w:space="0" w:color="auto"/>
              <w:left w:val="single" w:sz="4" w:space="0" w:color="auto"/>
              <w:bottom w:val="nil"/>
              <w:right w:val="nil"/>
            </w:tcBorders>
            <w:vAlign w:val="bottom"/>
            <w:hideMark/>
          </w:tcPr>
          <w:p w14:paraId="13901BA3" w14:textId="77777777" w:rsidR="00E607F1" w:rsidRPr="00BE5A7A" w:rsidRDefault="00E607F1" w:rsidP="00BE5A7A">
            <w:pPr>
              <w:ind w:left="264"/>
              <w:rPr>
                <w:sz w:val="22"/>
                <w:szCs w:val="22"/>
                <w:lang w:val="en-GB"/>
              </w:rPr>
            </w:pPr>
            <w:r w:rsidRPr="00BE5A7A">
              <w:rPr>
                <w:sz w:val="22"/>
                <w:szCs w:val="22"/>
                <w:lang w:val="en-GB"/>
              </w:rPr>
              <w:t>Traumatic haemorrhage</w:t>
            </w:r>
          </w:p>
        </w:tc>
        <w:tc>
          <w:tcPr>
            <w:tcW w:w="1321" w:type="pct"/>
            <w:tcBorders>
              <w:top w:val="single" w:sz="4" w:space="0" w:color="auto"/>
              <w:left w:val="single" w:sz="4" w:space="0" w:color="auto"/>
              <w:bottom w:val="nil"/>
              <w:right w:val="nil"/>
            </w:tcBorders>
            <w:vAlign w:val="bottom"/>
            <w:hideMark/>
          </w:tcPr>
          <w:p w14:paraId="1A80FBFB"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nil"/>
              <w:right w:val="single" w:sz="4" w:space="0" w:color="auto"/>
            </w:tcBorders>
            <w:vAlign w:val="bottom"/>
            <w:hideMark/>
          </w:tcPr>
          <w:p w14:paraId="614F95C3" w14:textId="77777777" w:rsidR="00E607F1" w:rsidRPr="00BE5A7A" w:rsidRDefault="00E607F1" w:rsidP="004A5906">
            <w:pPr>
              <w:rPr>
                <w:sz w:val="22"/>
                <w:szCs w:val="22"/>
                <w:lang w:val="en-GB"/>
              </w:rPr>
            </w:pPr>
            <w:r w:rsidRPr="00BE5A7A">
              <w:rPr>
                <w:sz w:val="22"/>
                <w:szCs w:val="22"/>
                <w:lang w:val="en-GB"/>
              </w:rPr>
              <w:t>Uncommon</w:t>
            </w:r>
          </w:p>
        </w:tc>
      </w:tr>
      <w:tr w:rsidR="00E607F1" w:rsidRPr="00BE5A7A" w14:paraId="716A59DC" w14:textId="77777777" w:rsidTr="004A5906">
        <w:trPr>
          <w:trHeight w:val="57"/>
          <w:jc w:val="center"/>
        </w:trPr>
        <w:tc>
          <w:tcPr>
            <w:tcW w:w="1783" w:type="pct"/>
            <w:tcBorders>
              <w:top w:val="single" w:sz="4" w:space="0" w:color="auto"/>
              <w:left w:val="single" w:sz="4" w:space="0" w:color="auto"/>
              <w:bottom w:val="single" w:sz="4" w:space="0" w:color="auto"/>
              <w:right w:val="nil"/>
            </w:tcBorders>
            <w:vAlign w:val="bottom"/>
            <w:hideMark/>
          </w:tcPr>
          <w:p w14:paraId="0DBA9350" w14:textId="77777777" w:rsidR="00E607F1" w:rsidRPr="00BE5A7A" w:rsidRDefault="00E607F1" w:rsidP="00BE5A7A">
            <w:pPr>
              <w:ind w:left="264"/>
              <w:rPr>
                <w:sz w:val="22"/>
                <w:szCs w:val="22"/>
                <w:lang w:val="en-GB"/>
              </w:rPr>
            </w:pPr>
            <w:r w:rsidRPr="00BE5A7A">
              <w:rPr>
                <w:sz w:val="22"/>
                <w:szCs w:val="22"/>
                <w:lang w:val="en-GB"/>
              </w:rPr>
              <w:t>Incision site haemorrhage</w:t>
            </w:r>
          </w:p>
        </w:tc>
        <w:tc>
          <w:tcPr>
            <w:tcW w:w="1321" w:type="pct"/>
            <w:tcBorders>
              <w:top w:val="single" w:sz="4" w:space="0" w:color="auto"/>
              <w:left w:val="single" w:sz="4" w:space="0" w:color="auto"/>
              <w:bottom w:val="single" w:sz="4" w:space="0" w:color="auto"/>
              <w:right w:val="nil"/>
            </w:tcBorders>
            <w:vAlign w:val="bottom"/>
            <w:hideMark/>
          </w:tcPr>
          <w:p w14:paraId="49B22DB7" w14:textId="77777777" w:rsidR="00E607F1" w:rsidRPr="00BE5A7A" w:rsidRDefault="00E607F1" w:rsidP="004A5906">
            <w:pPr>
              <w:rPr>
                <w:sz w:val="22"/>
                <w:szCs w:val="22"/>
                <w:lang w:val="en-GB"/>
              </w:rPr>
            </w:pPr>
            <w:r w:rsidRPr="00BE5A7A">
              <w:rPr>
                <w:sz w:val="22"/>
                <w:szCs w:val="22"/>
                <w:lang w:val="en-GB"/>
              </w:rPr>
              <w:t>Rare</w:t>
            </w:r>
          </w:p>
        </w:tc>
        <w:tc>
          <w:tcPr>
            <w:tcW w:w="1896" w:type="pct"/>
            <w:tcBorders>
              <w:top w:val="single" w:sz="4" w:space="0" w:color="auto"/>
              <w:left w:val="single" w:sz="4" w:space="0" w:color="auto"/>
              <w:bottom w:val="single" w:sz="4" w:space="0" w:color="auto"/>
              <w:right w:val="single" w:sz="4" w:space="0" w:color="auto"/>
            </w:tcBorders>
            <w:vAlign w:val="bottom"/>
            <w:hideMark/>
          </w:tcPr>
          <w:p w14:paraId="5390B486" w14:textId="77777777" w:rsidR="00E607F1" w:rsidRPr="00BE5A7A" w:rsidRDefault="00E607F1" w:rsidP="004A5906">
            <w:pPr>
              <w:rPr>
                <w:sz w:val="22"/>
                <w:szCs w:val="22"/>
                <w:lang w:val="en-GB"/>
              </w:rPr>
            </w:pPr>
            <w:r w:rsidRPr="00BE5A7A">
              <w:rPr>
                <w:sz w:val="22"/>
                <w:szCs w:val="22"/>
                <w:lang w:val="en-GB"/>
              </w:rPr>
              <w:t>Rare</w:t>
            </w:r>
          </w:p>
        </w:tc>
      </w:tr>
    </w:tbl>
    <w:p w14:paraId="18063D51" w14:textId="2A6E2D9A" w:rsidR="00322951" w:rsidRDefault="00322951" w:rsidP="00E607F1">
      <w:pPr>
        <w:tabs>
          <w:tab w:val="left" w:pos="851"/>
        </w:tabs>
        <w:ind w:left="851"/>
        <w:rPr>
          <w:sz w:val="24"/>
          <w:szCs w:val="24"/>
          <w:lang w:val="en-GB"/>
        </w:rPr>
      </w:pPr>
    </w:p>
    <w:p w14:paraId="5FD8236B" w14:textId="77777777" w:rsidR="00322951" w:rsidRDefault="00322951">
      <w:pPr>
        <w:rPr>
          <w:sz w:val="24"/>
          <w:szCs w:val="24"/>
          <w:lang w:val="en-GB"/>
        </w:rPr>
      </w:pPr>
      <w:r>
        <w:rPr>
          <w:sz w:val="24"/>
          <w:szCs w:val="24"/>
          <w:lang w:val="en-GB"/>
        </w:rPr>
        <w:br w:type="page"/>
      </w:r>
    </w:p>
    <w:p w14:paraId="720AFBE3" w14:textId="77777777" w:rsidR="00E607F1" w:rsidRPr="00B55C24" w:rsidRDefault="00E607F1" w:rsidP="00E607F1">
      <w:pPr>
        <w:tabs>
          <w:tab w:val="left" w:pos="851"/>
        </w:tabs>
        <w:ind w:left="851"/>
        <w:rPr>
          <w:sz w:val="24"/>
          <w:szCs w:val="24"/>
          <w:lang w:val="en-GB"/>
        </w:rPr>
      </w:pPr>
    </w:p>
    <w:p w14:paraId="426B1196" w14:textId="77777777" w:rsidR="00E607F1" w:rsidRPr="00E63838" w:rsidRDefault="00E607F1" w:rsidP="004A5906">
      <w:pPr>
        <w:ind w:left="851"/>
        <w:rPr>
          <w:sz w:val="24"/>
          <w:szCs w:val="24"/>
          <w:u w:val="single"/>
          <w:lang w:val="en-GB"/>
        </w:rPr>
      </w:pPr>
      <w:r w:rsidRPr="00E63838">
        <w:rPr>
          <w:sz w:val="24"/>
          <w:szCs w:val="24"/>
          <w:u w:val="single"/>
          <w:lang w:val="en-GB"/>
        </w:rPr>
        <w:t>Description of selected adverse reactions</w:t>
      </w:r>
    </w:p>
    <w:p w14:paraId="208E7412" w14:textId="77777777" w:rsidR="00E607F1" w:rsidRPr="00B55C24" w:rsidRDefault="00E607F1" w:rsidP="004A5906">
      <w:pPr>
        <w:ind w:left="851"/>
        <w:rPr>
          <w:sz w:val="24"/>
          <w:szCs w:val="24"/>
          <w:lang w:val="en-GB"/>
        </w:rPr>
      </w:pPr>
    </w:p>
    <w:p w14:paraId="1407A272" w14:textId="77777777" w:rsidR="00E607F1" w:rsidRPr="00E63838" w:rsidRDefault="00E607F1" w:rsidP="004A5906">
      <w:pPr>
        <w:ind w:left="851"/>
        <w:rPr>
          <w:sz w:val="24"/>
          <w:szCs w:val="24"/>
          <w:u w:val="single"/>
          <w:lang w:val="en-GB"/>
        </w:rPr>
      </w:pPr>
      <w:r w:rsidRPr="00E63838">
        <w:rPr>
          <w:i/>
          <w:iCs/>
          <w:sz w:val="24"/>
          <w:szCs w:val="24"/>
          <w:u w:val="single"/>
          <w:lang w:val="en-GB"/>
        </w:rPr>
        <w:t>Bleeding reactions</w:t>
      </w:r>
    </w:p>
    <w:p w14:paraId="03EFA2F8" w14:textId="77777777" w:rsidR="00E607F1" w:rsidRPr="00B55C24" w:rsidRDefault="00E607F1" w:rsidP="004A5906">
      <w:pPr>
        <w:ind w:left="851"/>
        <w:rPr>
          <w:sz w:val="24"/>
          <w:szCs w:val="24"/>
          <w:lang w:val="en-GB"/>
        </w:rPr>
      </w:pPr>
    </w:p>
    <w:p w14:paraId="1B4BB660" w14:textId="77777777" w:rsidR="00E607F1" w:rsidRPr="00B55C24" w:rsidRDefault="00E607F1" w:rsidP="004A5906">
      <w:pPr>
        <w:ind w:left="851"/>
        <w:rPr>
          <w:sz w:val="24"/>
          <w:szCs w:val="24"/>
          <w:lang w:val="en-GB"/>
        </w:rPr>
      </w:pPr>
      <w:r w:rsidRPr="00B55C24">
        <w:rPr>
          <w:sz w:val="24"/>
          <w:szCs w:val="24"/>
          <w:lang w:val="en-GB"/>
        </w:rPr>
        <w:t xml:space="preserve">Due to the pharmacological mode of action, the use of dabigatran </w:t>
      </w:r>
      <w:proofErr w:type="spellStart"/>
      <w:r w:rsidRPr="00B55C24">
        <w:rPr>
          <w:sz w:val="24"/>
          <w:szCs w:val="24"/>
          <w:lang w:val="en-GB"/>
        </w:rPr>
        <w:t>etexilate</w:t>
      </w:r>
      <w:proofErr w:type="spellEnd"/>
      <w:r w:rsidRPr="00B55C24">
        <w:rPr>
          <w:sz w:val="24"/>
          <w:szCs w:val="24"/>
          <w:lang w:val="en-GB"/>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dabigatran </w:t>
      </w:r>
      <w:proofErr w:type="spellStart"/>
      <w:r w:rsidRPr="00B55C24">
        <w:rPr>
          <w:sz w:val="24"/>
          <w:szCs w:val="24"/>
          <w:lang w:val="en-GB"/>
        </w:rPr>
        <w:t>etexilate</w:t>
      </w:r>
      <w:proofErr w:type="spellEnd"/>
      <w:r w:rsidRPr="00B55C24">
        <w:rPr>
          <w:sz w:val="24"/>
          <w:szCs w:val="24"/>
          <w:lang w:val="en-GB"/>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proofErr w:type="spellStart"/>
      <w:r w:rsidRPr="00B55C24">
        <w:rPr>
          <w:sz w:val="24"/>
          <w:szCs w:val="24"/>
          <w:lang w:val="en-GB"/>
        </w:rPr>
        <w:t>gp</w:t>
      </w:r>
      <w:proofErr w:type="spellEnd"/>
      <w:r w:rsidRPr="00B55C24">
        <w:rPr>
          <w:sz w:val="24"/>
          <w:szCs w:val="24"/>
          <w:lang w:val="en-GB"/>
        </w:rPr>
        <w:t xml:space="preserve"> inhibitors (see section 4.4 Haemorrhagic risk). Haemorrhagic complications may present as weakness, paleness, dizziness, headache or unexplained swelling, dyspnoea, and unexplained shock.</w:t>
      </w:r>
    </w:p>
    <w:p w14:paraId="42A02FC8" w14:textId="77777777" w:rsidR="00E607F1" w:rsidRPr="00B55C24" w:rsidRDefault="00E607F1" w:rsidP="004A5906">
      <w:pPr>
        <w:ind w:left="851"/>
        <w:rPr>
          <w:sz w:val="24"/>
          <w:szCs w:val="24"/>
          <w:lang w:val="en-GB"/>
        </w:rPr>
      </w:pPr>
    </w:p>
    <w:p w14:paraId="1655DA42" w14:textId="77777777" w:rsidR="00E607F1" w:rsidRPr="00B55C24" w:rsidRDefault="00E607F1" w:rsidP="004A5906">
      <w:pPr>
        <w:ind w:left="851"/>
        <w:rPr>
          <w:sz w:val="24"/>
          <w:szCs w:val="24"/>
          <w:lang w:val="en-GB"/>
        </w:rPr>
      </w:pPr>
      <w:r w:rsidRPr="00B55C24">
        <w:rPr>
          <w:sz w:val="24"/>
          <w:szCs w:val="24"/>
          <w:lang w:val="en-GB"/>
        </w:rPr>
        <w:t xml:space="preserve">Known bleeding complications such as compartment syndrome and acute renal failure due to hypoperfusion and anticoagulant-related nephropathy in patients with predisposing risk factors have been reported for dabigatran </w:t>
      </w:r>
      <w:proofErr w:type="spellStart"/>
      <w:r w:rsidRPr="00B55C24">
        <w:rPr>
          <w:sz w:val="24"/>
          <w:szCs w:val="24"/>
          <w:lang w:val="en-GB"/>
        </w:rPr>
        <w:t>etexilate</w:t>
      </w:r>
      <w:proofErr w:type="spellEnd"/>
      <w:r w:rsidRPr="00B55C24">
        <w:rPr>
          <w:sz w:val="24"/>
          <w:szCs w:val="24"/>
          <w:lang w:val="en-GB"/>
        </w:rPr>
        <w:t xml:space="preserve">. Therefore, the possibility of haemorrhage is to be considered in evaluating the condition in any anticoagulated patient. For adult patients, a specific reversal agent for dabigatran, </w:t>
      </w:r>
      <w:proofErr w:type="spellStart"/>
      <w:r w:rsidRPr="00B55C24">
        <w:rPr>
          <w:sz w:val="24"/>
          <w:szCs w:val="24"/>
          <w:lang w:val="en-GB"/>
        </w:rPr>
        <w:t>idarucizumab</w:t>
      </w:r>
      <w:proofErr w:type="spellEnd"/>
      <w:r w:rsidRPr="00B55C24">
        <w:rPr>
          <w:sz w:val="24"/>
          <w:szCs w:val="24"/>
          <w:lang w:val="en-GB"/>
        </w:rPr>
        <w:t>, is available in case of uncontrollable bleeding (see section 4.9).</w:t>
      </w:r>
    </w:p>
    <w:p w14:paraId="76A2DE34" w14:textId="77777777" w:rsidR="00E607F1" w:rsidRPr="00B55C24" w:rsidRDefault="00E607F1" w:rsidP="004A5906">
      <w:pPr>
        <w:ind w:left="851"/>
        <w:rPr>
          <w:sz w:val="24"/>
          <w:szCs w:val="24"/>
          <w:lang w:val="en-GB"/>
        </w:rPr>
      </w:pPr>
    </w:p>
    <w:p w14:paraId="613374FD" w14:textId="77777777" w:rsidR="00E607F1" w:rsidRPr="00B55C24" w:rsidRDefault="00E607F1" w:rsidP="004A5906">
      <w:pPr>
        <w:ind w:left="851"/>
        <w:rPr>
          <w:sz w:val="24"/>
          <w:szCs w:val="24"/>
          <w:lang w:val="en-GB"/>
        </w:rPr>
      </w:pPr>
      <w:r w:rsidRPr="00B55C24">
        <w:rPr>
          <w:i/>
          <w:iCs/>
          <w:sz w:val="24"/>
          <w:szCs w:val="24"/>
          <w:lang w:val="en-GB"/>
        </w:rPr>
        <w:t>Prevention of stroke and systemic embolism in adult patients with nonvalvular atrial fibrillation with one or more risk factors (SPAF)</w:t>
      </w:r>
    </w:p>
    <w:p w14:paraId="0E1BF0BE" w14:textId="77777777" w:rsidR="00E607F1" w:rsidRPr="00B55C24" w:rsidRDefault="00E607F1" w:rsidP="004A5906">
      <w:pPr>
        <w:ind w:left="851"/>
        <w:rPr>
          <w:sz w:val="24"/>
          <w:szCs w:val="24"/>
          <w:lang w:val="en-GB"/>
        </w:rPr>
      </w:pPr>
    </w:p>
    <w:p w14:paraId="60EF72E7" w14:textId="77777777" w:rsidR="00E607F1" w:rsidRPr="00B55C24" w:rsidRDefault="00E607F1" w:rsidP="004A5906">
      <w:pPr>
        <w:ind w:left="851"/>
        <w:rPr>
          <w:sz w:val="24"/>
          <w:szCs w:val="24"/>
          <w:lang w:val="en-GB"/>
        </w:rPr>
      </w:pPr>
      <w:r w:rsidRPr="00B55C24">
        <w:rPr>
          <w:sz w:val="24"/>
          <w:szCs w:val="24"/>
          <w:lang w:val="en-GB"/>
        </w:rPr>
        <w:t>The table 12 shows bleeding events broken down to major and any bleeding in the pivotal study testing the prevention of thromboembolic stroke and systemic embolism in patients with atrial fibrillation.</w:t>
      </w:r>
    </w:p>
    <w:p w14:paraId="5D17E581" w14:textId="77777777" w:rsidR="00E607F1" w:rsidRPr="00B55C24" w:rsidRDefault="00E607F1" w:rsidP="004A5906">
      <w:pPr>
        <w:ind w:left="851"/>
        <w:rPr>
          <w:sz w:val="24"/>
          <w:szCs w:val="24"/>
          <w:lang w:val="en-GB"/>
        </w:rPr>
      </w:pPr>
    </w:p>
    <w:p w14:paraId="78CC5AAE"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12: Bleeding events in a study testing the prevention of thromboembolic stroke and systemic embolism in patients with atrial fibrillation</w:t>
      </w:r>
    </w:p>
    <w:p w14:paraId="52BFB6BA"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90"/>
        <w:gridCol w:w="2218"/>
        <w:gridCol w:w="2213"/>
        <w:gridCol w:w="2207"/>
      </w:tblGrid>
      <w:tr w:rsidR="00E607F1" w:rsidRPr="00E63838" w14:paraId="7E412DD7" w14:textId="77777777" w:rsidTr="004A5906">
        <w:trPr>
          <w:trHeight w:val="57"/>
          <w:jc w:val="center"/>
        </w:trPr>
        <w:tc>
          <w:tcPr>
            <w:tcW w:w="1553" w:type="pct"/>
            <w:tcBorders>
              <w:top w:val="single" w:sz="4" w:space="0" w:color="auto"/>
              <w:left w:val="single" w:sz="4" w:space="0" w:color="auto"/>
              <w:bottom w:val="nil"/>
              <w:right w:val="nil"/>
            </w:tcBorders>
          </w:tcPr>
          <w:p w14:paraId="1FD1DE9B" w14:textId="77777777" w:rsidR="00E607F1" w:rsidRPr="00E63838" w:rsidRDefault="00E607F1" w:rsidP="004A5906">
            <w:pPr>
              <w:rPr>
                <w:sz w:val="22"/>
                <w:szCs w:val="22"/>
                <w:lang w:val="en-GB"/>
              </w:rPr>
            </w:pPr>
          </w:p>
        </w:tc>
        <w:tc>
          <w:tcPr>
            <w:tcW w:w="1152" w:type="pct"/>
            <w:tcBorders>
              <w:top w:val="single" w:sz="4" w:space="0" w:color="auto"/>
              <w:left w:val="single" w:sz="4" w:space="0" w:color="auto"/>
              <w:bottom w:val="nil"/>
              <w:right w:val="nil"/>
            </w:tcBorders>
            <w:hideMark/>
          </w:tcPr>
          <w:p w14:paraId="51559C66" w14:textId="77777777" w:rsidR="00E607F1" w:rsidRPr="00E63838" w:rsidRDefault="00E607F1" w:rsidP="004A5906">
            <w:pPr>
              <w:rPr>
                <w:sz w:val="22"/>
                <w:szCs w:val="22"/>
                <w:lang w:val="en-GB"/>
              </w:rPr>
            </w:pPr>
            <w:r w:rsidRPr="00E63838">
              <w:rPr>
                <w:sz w:val="22"/>
                <w:szCs w:val="22"/>
                <w:lang w:val="en-GB"/>
              </w:rPr>
              <w:t xml:space="preserve">Dabigatran </w:t>
            </w:r>
            <w:proofErr w:type="spellStart"/>
            <w:r w:rsidRPr="00E63838">
              <w:rPr>
                <w:sz w:val="22"/>
                <w:szCs w:val="22"/>
                <w:lang w:val="en-GB"/>
              </w:rPr>
              <w:t>etexilate</w:t>
            </w:r>
            <w:proofErr w:type="spellEnd"/>
            <w:r w:rsidRPr="00E63838">
              <w:rPr>
                <w:sz w:val="22"/>
                <w:szCs w:val="22"/>
                <w:lang w:val="en-GB"/>
              </w:rPr>
              <w:t xml:space="preserve"> 110 mg twice daily</w:t>
            </w:r>
          </w:p>
        </w:tc>
        <w:tc>
          <w:tcPr>
            <w:tcW w:w="1149" w:type="pct"/>
            <w:tcBorders>
              <w:top w:val="single" w:sz="4" w:space="0" w:color="auto"/>
              <w:left w:val="single" w:sz="4" w:space="0" w:color="auto"/>
              <w:bottom w:val="nil"/>
              <w:right w:val="nil"/>
            </w:tcBorders>
            <w:hideMark/>
          </w:tcPr>
          <w:p w14:paraId="5C5DE8D1" w14:textId="77777777" w:rsidR="00E607F1" w:rsidRPr="00E63838" w:rsidRDefault="00E607F1" w:rsidP="004A5906">
            <w:pPr>
              <w:rPr>
                <w:sz w:val="22"/>
                <w:szCs w:val="22"/>
                <w:lang w:val="en-GB"/>
              </w:rPr>
            </w:pPr>
            <w:r w:rsidRPr="00E63838">
              <w:rPr>
                <w:sz w:val="22"/>
                <w:szCs w:val="22"/>
                <w:lang w:val="en-GB"/>
              </w:rPr>
              <w:t xml:space="preserve">Dabigatran </w:t>
            </w:r>
            <w:proofErr w:type="spellStart"/>
            <w:r w:rsidRPr="00E63838">
              <w:rPr>
                <w:sz w:val="22"/>
                <w:szCs w:val="22"/>
                <w:lang w:val="en-GB"/>
              </w:rPr>
              <w:t>etexilate</w:t>
            </w:r>
            <w:proofErr w:type="spellEnd"/>
            <w:r w:rsidRPr="00E63838">
              <w:rPr>
                <w:sz w:val="22"/>
                <w:szCs w:val="22"/>
                <w:lang w:val="en-GB"/>
              </w:rPr>
              <w:t xml:space="preserve"> 150 mg twice daily</w:t>
            </w:r>
          </w:p>
        </w:tc>
        <w:tc>
          <w:tcPr>
            <w:tcW w:w="1146" w:type="pct"/>
            <w:tcBorders>
              <w:top w:val="single" w:sz="4" w:space="0" w:color="auto"/>
              <w:left w:val="single" w:sz="4" w:space="0" w:color="auto"/>
              <w:bottom w:val="nil"/>
              <w:right w:val="single" w:sz="4" w:space="0" w:color="auto"/>
            </w:tcBorders>
            <w:hideMark/>
          </w:tcPr>
          <w:p w14:paraId="19B98C1F" w14:textId="77777777" w:rsidR="00E607F1" w:rsidRPr="00E63838" w:rsidRDefault="00E607F1" w:rsidP="004A5906">
            <w:pPr>
              <w:rPr>
                <w:sz w:val="22"/>
                <w:szCs w:val="22"/>
                <w:lang w:val="en-GB"/>
              </w:rPr>
            </w:pPr>
            <w:r w:rsidRPr="00E63838">
              <w:rPr>
                <w:sz w:val="22"/>
                <w:szCs w:val="22"/>
                <w:lang w:val="en-GB"/>
              </w:rPr>
              <w:t>Warfarin</w:t>
            </w:r>
          </w:p>
        </w:tc>
      </w:tr>
      <w:tr w:rsidR="00E607F1" w:rsidRPr="00E63838" w14:paraId="79C328FD"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2588943B" w14:textId="77777777" w:rsidR="00E607F1" w:rsidRPr="00E63838" w:rsidRDefault="00E607F1" w:rsidP="004A5906">
            <w:pPr>
              <w:rPr>
                <w:sz w:val="22"/>
                <w:szCs w:val="22"/>
                <w:lang w:val="en-GB"/>
              </w:rPr>
            </w:pPr>
            <w:r w:rsidRPr="00E63838">
              <w:rPr>
                <w:sz w:val="22"/>
                <w:szCs w:val="22"/>
                <w:lang w:val="en-GB"/>
              </w:rPr>
              <w:t>Subjects randomised</w:t>
            </w:r>
          </w:p>
        </w:tc>
        <w:tc>
          <w:tcPr>
            <w:tcW w:w="1152" w:type="pct"/>
            <w:tcBorders>
              <w:top w:val="single" w:sz="4" w:space="0" w:color="auto"/>
              <w:left w:val="single" w:sz="4" w:space="0" w:color="auto"/>
              <w:bottom w:val="nil"/>
              <w:right w:val="nil"/>
            </w:tcBorders>
            <w:vAlign w:val="bottom"/>
            <w:hideMark/>
          </w:tcPr>
          <w:p w14:paraId="03AB707B" w14:textId="77777777" w:rsidR="00E607F1" w:rsidRPr="00E63838" w:rsidRDefault="00E607F1" w:rsidP="004A5906">
            <w:pPr>
              <w:rPr>
                <w:sz w:val="22"/>
                <w:szCs w:val="22"/>
                <w:lang w:val="en-GB"/>
              </w:rPr>
            </w:pPr>
            <w:r w:rsidRPr="00E63838">
              <w:rPr>
                <w:sz w:val="22"/>
                <w:szCs w:val="22"/>
                <w:lang w:val="en-GB"/>
              </w:rPr>
              <w:t>6,015</w:t>
            </w:r>
          </w:p>
        </w:tc>
        <w:tc>
          <w:tcPr>
            <w:tcW w:w="1149" w:type="pct"/>
            <w:tcBorders>
              <w:top w:val="single" w:sz="4" w:space="0" w:color="auto"/>
              <w:left w:val="single" w:sz="4" w:space="0" w:color="auto"/>
              <w:bottom w:val="nil"/>
              <w:right w:val="nil"/>
            </w:tcBorders>
            <w:vAlign w:val="bottom"/>
            <w:hideMark/>
          </w:tcPr>
          <w:p w14:paraId="6306D860" w14:textId="77777777" w:rsidR="00E607F1" w:rsidRPr="00E63838" w:rsidRDefault="00E607F1" w:rsidP="004A5906">
            <w:pPr>
              <w:rPr>
                <w:sz w:val="22"/>
                <w:szCs w:val="22"/>
                <w:lang w:val="en-GB"/>
              </w:rPr>
            </w:pPr>
            <w:r w:rsidRPr="00E63838">
              <w:rPr>
                <w:sz w:val="22"/>
                <w:szCs w:val="22"/>
                <w:lang w:val="en-GB"/>
              </w:rPr>
              <w:t>6,076</w:t>
            </w:r>
          </w:p>
        </w:tc>
        <w:tc>
          <w:tcPr>
            <w:tcW w:w="1146" w:type="pct"/>
            <w:tcBorders>
              <w:top w:val="single" w:sz="4" w:space="0" w:color="auto"/>
              <w:left w:val="single" w:sz="4" w:space="0" w:color="auto"/>
              <w:bottom w:val="nil"/>
              <w:right w:val="single" w:sz="4" w:space="0" w:color="auto"/>
            </w:tcBorders>
            <w:vAlign w:val="bottom"/>
            <w:hideMark/>
          </w:tcPr>
          <w:p w14:paraId="18A7D5D6" w14:textId="77777777" w:rsidR="00E607F1" w:rsidRPr="00E63838" w:rsidRDefault="00E607F1" w:rsidP="004A5906">
            <w:pPr>
              <w:rPr>
                <w:sz w:val="22"/>
                <w:szCs w:val="22"/>
                <w:lang w:val="en-GB"/>
              </w:rPr>
            </w:pPr>
            <w:r w:rsidRPr="00E63838">
              <w:rPr>
                <w:sz w:val="22"/>
                <w:szCs w:val="22"/>
                <w:lang w:val="en-GB"/>
              </w:rPr>
              <w:t>6,022</w:t>
            </w:r>
          </w:p>
        </w:tc>
      </w:tr>
      <w:tr w:rsidR="00E607F1" w:rsidRPr="00E63838" w14:paraId="133B7298"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4F085F3B" w14:textId="77777777" w:rsidR="00E607F1" w:rsidRPr="00E63838" w:rsidRDefault="00E607F1" w:rsidP="004A5906">
            <w:pPr>
              <w:rPr>
                <w:sz w:val="22"/>
                <w:szCs w:val="22"/>
                <w:lang w:val="en-GB"/>
              </w:rPr>
            </w:pPr>
            <w:r w:rsidRPr="00E63838">
              <w:rPr>
                <w:sz w:val="22"/>
                <w:szCs w:val="22"/>
                <w:lang w:val="en-GB"/>
              </w:rPr>
              <w:t>Major bleeding</w:t>
            </w:r>
          </w:p>
        </w:tc>
        <w:tc>
          <w:tcPr>
            <w:tcW w:w="1152" w:type="pct"/>
            <w:tcBorders>
              <w:top w:val="single" w:sz="4" w:space="0" w:color="auto"/>
              <w:left w:val="single" w:sz="4" w:space="0" w:color="auto"/>
              <w:bottom w:val="nil"/>
              <w:right w:val="nil"/>
            </w:tcBorders>
            <w:vAlign w:val="bottom"/>
            <w:hideMark/>
          </w:tcPr>
          <w:p w14:paraId="0F3A34E0" w14:textId="77777777" w:rsidR="00E607F1" w:rsidRPr="00E63838" w:rsidRDefault="00E607F1" w:rsidP="004A5906">
            <w:pPr>
              <w:rPr>
                <w:sz w:val="22"/>
                <w:szCs w:val="22"/>
                <w:lang w:val="en-GB"/>
              </w:rPr>
            </w:pPr>
            <w:r w:rsidRPr="00E63838">
              <w:rPr>
                <w:sz w:val="22"/>
                <w:szCs w:val="22"/>
                <w:lang w:val="en-GB"/>
              </w:rPr>
              <w:t>347 (2.92 %)</w:t>
            </w:r>
          </w:p>
        </w:tc>
        <w:tc>
          <w:tcPr>
            <w:tcW w:w="1149" w:type="pct"/>
            <w:tcBorders>
              <w:top w:val="single" w:sz="4" w:space="0" w:color="auto"/>
              <w:left w:val="single" w:sz="4" w:space="0" w:color="auto"/>
              <w:bottom w:val="nil"/>
              <w:right w:val="nil"/>
            </w:tcBorders>
            <w:vAlign w:val="bottom"/>
            <w:hideMark/>
          </w:tcPr>
          <w:p w14:paraId="470B3211" w14:textId="77777777" w:rsidR="00E607F1" w:rsidRPr="00E63838" w:rsidRDefault="00E607F1" w:rsidP="004A5906">
            <w:pPr>
              <w:rPr>
                <w:sz w:val="22"/>
                <w:szCs w:val="22"/>
                <w:lang w:val="en-GB"/>
              </w:rPr>
            </w:pPr>
            <w:r w:rsidRPr="00E63838">
              <w:rPr>
                <w:sz w:val="22"/>
                <w:szCs w:val="22"/>
                <w:lang w:val="en-GB"/>
              </w:rPr>
              <w:t>409 (3.40 %)</w:t>
            </w:r>
          </w:p>
        </w:tc>
        <w:tc>
          <w:tcPr>
            <w:tcW w:w="1146" w:type="pct"/>
            <w:tcBorders>
              <w:top w:val="single" w:sz="4" w:space="0" w:color="auto"/>
              <w:left w:val="single" w:sz="4" w:space="0" w:color="auto"/>
              <w:bottom w:val="nil"/>
              <w:right w:val="single" w:sz="4" w:space="0" w:color="auto"/>
            </w:tcBorders>
            <w:vAlign w:val="bottom"/>
            <w:hideMark/>
          </w:tcPr>
          <w:p w14:paraId="138C94F7" w14:textId="77777777" w:rsidR="00E607F1" w:rsidRPr="00E63838" w:rsidRDefault="00E607F1" w:rsidP="004A5906">
            <w:pPr>
              <w:rPr>
                <w:sz w:val="22"/>
                <w:szCs w:val="22"/>
                <w:lang w:val="en-GB"/>
              </w:rPr>
            </w:pPr>
            <w:r w:rsidRPr="00E63838">
              <w:rPr>
                <w:sz w:val="22"/>
                <w:szCs w:val="22"/>
                <w:lang w:val="en-GB"/>
              </w:rPr>
              <w:t>426 (3.61 %)</w:t>
            </w:r>
          </w:p>
        </w:tc>
      </w:tr>
      <w:tr w:rsidR="00E607F1" w:rsidRPr="00E63838" w14:paraId="06FDE2D6"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6AA7E0CC" w14:textId="77777777" w:rsidR="00E607F1" w:rsidRPr="00E63838" w:rsidRDefault="00E607F1" w:rsidP="00E63838">
            <w:pPr>
              <w:ind w:left="264"/>
              <w:rPr>
                <w:sz w:val="22"/>
                <w:szCs w:val="22"/>
                <w:lang w:val="en-GB"/>
              </w:rPr>
            </w:pPr>
            <w:r w:rsidRPr="00E63838">
              <w:rPr>
                <w:sz w:val="22"/>
                <w:szCs w:val="22"/>
                <w:lang w:val="en-GB"/>
              </w:rPr>
              <w:t>Intracranial bleeding</w:t>
            </w:r>
          </w:p>
        </w:tc>
        <w:tc>
          <w:tcPr>
            <w:tcW w:w="1152" w:type="pct"/>
            <w:tcBorders>
              <w:top w:val="single" w:sz="4" w:space="0" w:color="auto"/>
              <w:left w:val="single" w:sz="4" w:space="0" w:color="auto"/>
              <w:bottom w:val="nil"/>
              <w:right w:val="nil"/>
            </w:tcBorders>
            <w:vAlign w:val="bottom"/>
            <w:hideMark/>
          </w:tcPr>
          <w:p w14:paraId="4567D910" w14:textId="77777777" w:rsidR="00E607F1" w:rsidRPr="00E63838" w:rsidRDefault="00E607F1" w:rsidP="004A5906">
            <w:pPr>
              <w:rPr>
                <w:sz w:val="22"/>
                <w:szCs w:val="22"/>
                <w:lang w:val="en-GB"/>
              </w:rPr>
            </w:pPr>
            <w:r w:rsidRPr="00E63838">
              <w:rPr>
                <w:sz w:val="22"/>
                <w:szCs w:val="22"/>
                <w:lang w:val="en-GB"/>
              </w:rPr>
              <w:t>27 (0.23 %)</w:t>
            </w:r>
          </w:p>
        </w:tc>
        <w:tc>
          <w:tcPr>
            <w:tcW w:w="1149" w:type="pct"/>
            <w:tcBorders>
              <w:top w:val="single" w:sz="4" w:space="0" w:color="auto"/>
              <w:left w:val="single" w:sz="4" w:space="0" w:color="auto"/>
              <w:bottom w:val="nil"/>
              <w:right w:val="nil"/>
            </w:tcBorders>
            <w:vAlign w:val="bottom"/>
            <w:hideMark/>
          </w:tcPr>
          <w:p w14:paraId="3BFF0451" w14:textId="77777777" w:rsidR="00E607F1" w:rsidRPr="00E63838" w:rsidRDefault="00E607F1" w:rsidP="004A5906">
            <w:pPr>
              <w:rPr>
                <w:sz w:val="22"/>
                <w:szCs w:val="22"/>
                <w:lang w:val="en-GB"/>
              </w:rPr>
            </w:pPr>
            <w:r w:rsidRPr="00E63838">
              <w:rPr>
                <w:sz w:val="22"/>
                <w:szCs w:val="22"/>
                <w:lang w:val="en-GB"/>
              </w:rPr>
              <w:t>39 (0.32 %)</w:t>
            </w:r>
          </w:p>
        </w:tc>
        <w:tc>
          <w:tcPr>
            <w:tcW w:w="1146" w:type="pct"/>
            <w:tcBorders>
              <w:top w:val="single" w:sz="4" w:space="0" w:color="auto"/>
              <w:left w:val="single" w:sz="4" w:space="0" w:color="auto"/>
              <w:bottom w:val="nil"/>
              <w:right w:val="single" w:sz="4" w:space="0" w:color="auto"/>
            </w:tcBorders>
            <w:vAlign w:val="bottom"/>
            <w:hideMark/>
          </w:tcPr>
          <w:p w14:paraId="41557888" w14:textId="77777777" w:rsidR="00E607F1" w:rsidRPr="00E63838" w:rsidRDefault="00E607F1" w:rsidP="004A5906">
            <w:pPr>
              <w:rPr>
                <w:sz w:val="22"/>
                <w:szCs w:val="22"/>
                <w:lang w:val="en-GB"/>
              </w:rPr>
            </w:pPr>
            <w:r w:rsidRPr="00E63838">
              <w:rPr>
                <w:sz w:val="22"/>
                <w:szCs w:val="22"/>
                <w:lang w:val="en-GB"/>
              </w:rPr>
              <w:t>91 (0.77%)</w:t>
            </w:r>
          </w:p>
        </w:tc>
      </w:tr>
      <w:tr w:rsidR="00E607F1" w:rsidRPr="00E63838" w14:paraId="246326DF"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54F3CEA8" w14:textId="77777777" w:rsidR="00E607F1" w:rsidRPr="00E63838" w:rsidRDefault="00E607F1" w:rsidP="00E63838">
            <w:pPr>
              <w:ind w:left="264"/>
              <w:rPr>
                <w:sz w:val="22"/>
                <w:szCs w:val="22"/>
                <w:lang w:val="en-GB"/>
              </w:rPr>
            </w:pPr>
            <w:r w:rsidRPr="00E63838">
              <w:rPr>
                <w:sz w:val="22"/>
                <w:szCs w:val="22"/>
                <w:lang w:val="en-GB"/>
              </w:rPr>
              <w:t>GI bleeding</w:t>
            </w:r>
          </w:p>
        </w:tc>
        <w:tc>
          <w:tcPr>
            <w:tcW w:w="1152" w:type="pct"/>
            <w:tcBorders>
              <w:top w:val="single" w:sz="4" w:space="0" w:color="auto"/>
              <w:left w:val="single" w:sz="4" w:space="0" w:color="auto"/>
              <w:bottom w:val="nil"/>
              <w:right w:val="nil"/>
            </w:tcBorders>
            <w:vAlign w:val="bottom"/>
            <w:hideMark/>
          </w:tcPr>
          <w:p w14:paraId="284BF599" w14:textId="77777777" w:rsidR="00E607F1" w:rsidRPr="00E63838" w:rsidRDefault="00E607F1" w:rsidP="004A5906">
            <w:pPr>
              <w:rPr>
                <w:sz w:val="22"/>
                <w:szCs w:val="22"/>
                <w:lang w:val="en-GB"/>
              </w:rPr>
            </w:pPr>
            <w:r w:rsidRPr="00E63838">
              <w:rPr>
                <w:sz w:val="22"/>
                <w:szCs w:val="22"/>
                <w:lang w:val="en-GB"/>
              </w:rPr>
              <w:t>134 (1.13 %)</w:t>
            </w:r>
          </w:p>
        </w:tc>
        <w:tc>
          <w:tcPr>
            <w:tcW w:w="1149" w:type="pct"/>
            <w:tcBorders>
              <w:top w:val="single" w:sz="4" w:space="0" w:color="auto"/>
              <w:left w:val="single" w:sz="4" w:space="0" w:color="auto"/>
              <w:bottom w:val="nil"/>
              <w:right w:val="nil"/>
            </w:tcBorders>
            <w:vAlign w:val="bottom"/>
            <w:hideMark/>
          </w:tcPr>
          <w:p w14:paraId="0519BE03" w14:textId="77777777" w:rsidR="00E607F1" w:rsidRPr="00E63838" w:rsidRDefault="00E607F1" w:rsidP="004A5906">
            <w:pPr>
              <w:rPr>
                <w:sz w:val="22"/>
                <w:szCs w:val="22"/>
                <w:lang w:val="en-GB"/>
              </w:rPr>
            </w:pPr>
            <w:r w:rsidRPr="00E63838">
              <w:rPr>
                <w:sz w:val="22"/>
                <w:szCs w:val="22"/>
                <w:lang w:val="en-GB"/>
              </w:rPr>
              <w:t>192 (1.60%)</w:t>
            </w:r>
          </w:p>
        </w:tc>
        <w:tc>
          <w:tcPr>
            <w:tcW w:w="1146" w:type="pct"/>
            <w:tcBorders>
              <w:top w:val="single" w:sz="4" w:space="0" w:color="auto"/>
              <w:left w:val="single" w:sz="4" w:space="0" w:color="auto"/>
              <w:bottom w:val="nil"/>
              <w:right w:val="single" w:sz="4" w:space="0" w:color="auto"/>
            </w:tcBorders>
            <w:vAlign w:val="bottom"/>
            <w:hideMark/>
          </w:tcPr>
          <w:p w14:paraId="479B1AE2" w14:textId="77777777" w:rsidR="00E607F1" w:rsidRPr="00E63838" w:rsidRDefault="00E607F1" w:rsidP="004A5906">
            <w:pPr>
              <w:rPr>
                <w:sz w:val="22"/>
                <w:szCs w:val="22"/>
                <w:lang w:val="en-GB"/>
              </w:rPr>
            </w:pPr>
            <w:r w:rsidRPr="00E63838">
              <w:rPr>
                <w:sz w:val="22"/>
                <w:szCs w:val="22"/>
                <w:lang w:val="en-GB"/>
              </w:rPr>
              <w:t>128 (1.09%)</w:t>
            </w:r>
          </w:p>
        </w:tc>
      </w:tr>
      <w:tr w:rsidR="00E607F1" w:rsidRPr="00E63838" w14:paraId="7A66EDD2"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0AD6F987" w14:textId="77777777" w:rsidR="00E607F1" w:rsidRPr="00E63838" w:rsidRDefault="00E607F1" w:rsidP="00E63838">
            <w:pPr>
              <w:ind w:left="264"/>
              <w:rPr>
                <w:sz w:val="22"/>
                <w:szCs w:val="22"/>
                <w:lang w:val="en-GB"/>
              </w:rPr>
            </w:pPr>
            <w:r w:rsidRPr="00E63838">
              <w:rPr>
                <w:sz w:val="22"/>
                <w:szCs w:val="22"/>
                <w:lang w:val="en-GB"/>
              </w:rPr>
              <w:t>Fatal bleeding</w:t>
            </w:r>
          </w:p>
        </w:tc>
        <w:tc>
          <w:tcPr>
            <w:tcW w:w="1152" w:type="pct"/>
            <w:tcBorders>
              <w:top w:val="single" w:sz="4" w:space="0" w:color="auto"/>
              <w:left w:val="single" w:sz="4" w:space="0" w:color="auto"/>
              <w:bottom w:val="nil"/>
              <w:right w:val="nil"/>
            </w:tcBorders>
            <w:vAlign w:val="bottom"/>
            <w:hideMark/>
          </w:tcPr>
          <w:p w14:paraId="742F7294" w14:textId="77777777" w:rsidR="00E607F1" w:rsidRPr="00E63838" w:rsidRDefault="00E607F1" w:rsidP="004A5906">
            <w:pPr>
              <w:rPr>
                <w:sz w:val="22"/>
                <w:szCs w:val="22"/>
                <w:lang w:val="en-GB"/>
              </w:rPr>
            </w:pPr>
            <w:r w:rsidRPr="00E63838">
              <w:rPr>
                <w:sz w:val="22"/>
                <w:szCs w:val="22"/>
                <w:lang w:val="en-GB"/>
              </w:rPr>
              <w:t>26 (0.22 %)</w:t>
            </w:r>
          </w:p>
        </w:tc>
        <w:tc>
          <w:tcPr>
            <w:tcW w:w="1149" w:type="pct"/>
            <w:tcBorders>
              <w:top w:val="single" w:sz="4" w:space="0" w:color="auto"/>
              <w:left w:val="single" w:sz="4" w:space="0" w:color="auto"/>
              <w:bottom w:val="nil"/>
              <w:right w:val="nil"/>
            </w:tcBorders>
            <w:vAlign w:val="bottom"/>
            <w:hideMark/>
          </w:tcPr>
          <w:p w14:paraId="5B4B7CFE" w14:textId="77777777" w:rsidR="00E607F1" w:rsidRPr="00E63838" w:rsidRDefault="00E607F1" w:rsidP="004A5906">
            <w:pPr>
              <w:rPr>
                <w:sz w:val="22"/>
                <w:szCs w:val="22"/>
                <w:lang w:val="en-GB"/>
              </w:rPr>
            </w:pPr>
            <w:r w:rsidRPr="00E63838">
              <w:rPr>
                <w:sz w:val="22"/>
                <w:szCs w:val="22"/>
                <w:lang w:val="en-GB"/>
              </w:rPr>
              <w:t>30 (0.25 %)</w:t>
            </w:r>
          </w:p>
        </w:tc>
        <w:tc>
          <w:tcPr>
            <w:tcW w:w="1146" w:type="pct"/>
            <w:tcBorders>
              <w:top w:val="single" w:sz="4" w:space="0" w:color="auto"/>
              <w:left w:val="single" w:sz="4" w:space="0" w:color="auto"/>
              <w:bottom w:val="nil"/>
              <w:right w:val="single" w:sz="4" w:space="0" w:color="auto"/>
            </w:tcBorders>
            <w:vAlign w:val="bottom"/>
            <w:hideMark/>
          </w:tcPr>
          <w:p w14:paraId="7A070565" w14:textId="77777777" w:rsidR="00E607F1" w:rsidRPr="00E63838" w:rsidRDefault="00E607F1" w:rsidP="004A5906">
            <w:pPr>
              <w:rPr>
                <w:sz w:val="22"/>
                <w:szCs w:val="22"/>
                <w:lang w:val="en-GB"/>
              </w:rPr>
            </w:pPr>
            <w:r w:rsidRPr="00E63838">
              <w:rPr>
                <w:sz w:val="22"/>
                <w:szCs w:val="22"/>
                <w:lang w:val="en-GB"/>
              </w:rPr>
              <w:t>42 (0.36 %)</w:t>
            </w:r>
          </w:p>
        </w:tc>
      </w:tr>
      <w:tr w:rsidR="00E607F1" w:rsidRPr="00E63838" w14:paraId="5CA67F44" w14:textId="77777777" w:rsidTr="004A5906">
        <w:trPr>
          <w:trHeight w:val="57"/>
          <w:jc w:val="center"/>
        </w:trPr>
        <w:tc>
          <w:tcPr>
            <w:tcW w:w="1553" w:type="pct"/>
            <w:tcBorders>
              <w:top w:val="single" w:sz="4" w:space="0" w:color="auto"/>
              <w:left w:val="single" w:sz="4" w:space="0" w:color="auto"/>
              <w:bottom w:val="nil"/>
              <w:right w:val="nil"/>
            </w:tcBorders>
            <w:vAlign w:val="bottom"/>
            <w:hideMark/>
          </w:tcPr>
          <w:p w14:paraId="59BE947D" w14:textId="77777777" w:rsidR="00E607F1" w:rsidRPr="00E63838" w:rsidRDefault="00E607F1" w:rsidP="004A5906">
            <w:pPr>
              <w:rPr>
                <w:sz w:val="22"/>
                <w:szCs w:val="22"/>
                <w:lang w:val="en-GB"/>
              </w:rPr>
            </w:pPr>
            <w:r w:rsidRPr="00E63838">
              <w:rPr>
                <w:sz w:val="22"/>
                <w:szCs w:val="22"/>
                <w:lang w:val="en-GB"/>
              </w:rPr>
              <w:t>Minor bleeding</w:t>
            </w:r>
          </w:p>
        </w:tc>
        <w:tc>
          <w:tcPr>
            <w:tcW w:w="1152" w:type="pct"/>
            <w:tcBorders>
              <w:top w:val="single" w:sz="4" w:space="0" w:color="auto"/>
              <w:left w:val="single" w:sz="4" w:space="0" w:color="auto"/>
              <w:bottom w:val="nil"/>
              <w:right w:val="nil"/>
            </w:tcBorders>
            <w:vAlign w:val="bottom"/>
            <w:hideMark/>
          </w:tcPr>
          <w:p w14:paraId="7F535B58" w14:textId="77777777" w:rsidR="00E607F1" w:rsidRPr="00E63838" w:rsidRDefault="00E607F1" w:rsidP="004A5906">
            <w:pPr>
              <w:rPr>
                <w:sz w:val="22"/>
                <w:szCs w:val="22"/>
                <w:lang w:val="en-GB"/>
              </w:rPr>
            </w:pPr>
            <w:r w:rsidRPr="00E63838">
              <w:rPr>
                <w:sz w:val="22"/>
                <w:szCs w:val="22"/>
                <w:lang w:val="en-GB"/>
              </w:rPr>
              <w:t>1,566 (13.16 %)</w:t>
            </w:r>
          </w:p>
        </w:tc>
        <w:tc>
          <w:tcPr>
            <w:tcW w:w="1149" w:type="pct"/>
            <w:tcBorders>
              <w:top w:val="single" w:sz="4" w:space="0" w:color="auto"/>
              <w:left w:val="single" w:sz="4" w:space="0" w:color="auto"/>
              <w:bottom w:val="nil"/>
              <w:right w:val="nil"/>
            </w:tcBorders>
            <w:vAlign w:val="bottom"/>
            <w:hideMark/>
          </w:tcPr>
          <w:p w14:paraId="3BE43A4D" w14:textId="77777777" w:rsidR="00E607F1" w:rsidRPr="00E63838" w:rsidRDefault="00E607F1" w:rsidP="004A5906">
            <w:pPr>
              <w:rPr>
                <w:sz w:val="22"/>
                <w:szCs w:val="22"/>
                <w:lang w:val="en-GB"/>
              </w:rPr>
            </w:pPr>
            <w:r w:rsidRPr="00E63838">
              <w:rPr>
                <w:sz w:val="22"/>
                <w:szCs w:val="22"/>
                <w:lang w:val="en-GB"/>
              </w:rPr>
              <w:t>1,787 (14.85 %)</w:t>
            </w:r>
          </w:p>
        </w:tc>
        <w:tc>
          <w:tcPr>
            <w:tcW w:w="1146" w:type="pct"/>
            <w:tcBorders>
              <w:top w:val="single" w:sz="4" w:space="0" w:color="auto"/>
              <w:left w:val="single" w:sz="4" w:space="0" w:color="auto"/>
              <w:bottom w:val="nil"/>
              <w:right w:val="single" w:sz="4" w:space="0" w:color="auto"/>
            </w:tcBorders>
            <w:vAlign w:val="bottom"/>
            <w:hideMark/>
          </w:tcPr>
          <w:p w14:paraId="3D9D7536" w14:textId="77777777" w:rsidR="00E607F1" w:rsidRPr="00E63838" w:rsidRDefault="00E607F1" w:rsidP="004A5906">
            <w:pPr>
              <w:rPr>
                <w:sz w:val="22"/>
                <w:szCs w:val="22"/>
                <w:lang w:val="en-GB"/>
              </w:rPr>
            </w:pPr>
            <w:r w:rsidRPr="00E63838">
              <w:rPr>
                <w:sz w:val="22"/>
                <w:szCs w:val="22"/>
                <w:lang w:val="en-GB"/>
              </w:rPr>
              <w:t>1,931 (16.37%)</w:t>
            </w:r>
          </w:p>
        </w:tc>
      </w:tr>
      <w:tr w:rsidR="00E607F1" w:rsidRPr="00E63838" w14:paraId="3C568853" w14:textId="77777777" w:rsidTr="004A5906">
        <w:trPr>
          <w:trHeight w:val="57"/>
          <w:jc w:val="center"/>
        </w:trPr>
        <w:tc>
          <w:tcPr>
            <w:tcW w:w="1553" w:type="pct"/>
            <w:tcBorders>
              <w:top w:val="single" w:sz="4" w:space="0" w:color="auto"/>
              <w:left w:val="single" w:sz="4" w:space="0" w:color="auto"/>
              <w:bottom w:val="single" w:sz="4" w:space="0" w:color="auto"/>
              <w:right w:val="nil"/>
            </w:tcBorders>
            <w:vAlign w:val="bottom"/>
            <w:hideMark/>
          </w:tcPr>
          <w:p w14:paraId="7A6D4E0F" w14:textId="77777777" w:rsidR="00E607F1" w:rsidRPr="00E63838" w:rsidRDefault="00E607F1" w:rsidP="004A5906">
            <w:pPr>
              <w:rPr>
                <w:sz w:val="22"/>
                <w:szCs w:val="22"/>
                <w:lang w:val="en-GB"/>
              </w:rPr>
            </w:pPr>
            <w:r w:rsidRPr="00E63838">
              <w:rPr>
                <w:sz w:val="22"/>
                <w:szCs w:val="22"/>
                <w:lang w:val="en-GB"/>
              </w:rPr>
              <w:t>Any bleeding</w:t>
            </w:r>
          </w:p>
        </w:tc>
        <w:tc>
          <w:tcPr>
            <w:tcW w:w="1152" w:type="pct"/>
            <w:tcBorders>
              <w:top w:val="single" w:sz="4" w:space="0" w:color="auto"/>
              <w:left w:val="single" w:sz="4" w:space="0" w:color="auto"/>
              <w:bottom w:val="single" w:sz="4" w:space="0" w:color="auto"/>
              <w:right w:val="nil"/>
            </w:tcBorders>
            <w:vAlign w:val="bottom"/>
            <w:hideMark/>
          </w:tcPr>
          <w:p w14:paraId="4E58870A" w14:textId="77777777" w:rsidR="00E607F1" w:rsidRPr="00E63838" w:rsidRDefault="00E607F1" w:rsidP="004A5906">
            <w:pPr>
              <w:rPr>
                <w:sz w:val="22"/>
                <w:szCs w:val="22"/>
                <w:lang w:val="en-GB"/>
              </w:rPr>
            </w:pPr>
            <w:r w:rsidRPr="00E63838">
              <w:rPr>
                <w:sz w:val="22"/>
                <w:szCs w:val="22"/>
                <w:lang w:val="en-GB"/>
              </w:rPr>
              <w:t>1,759 (14.78 %)</w:t>
            </w:r>
          </w:p>
        </w:tc>
        <w:tc>
          <w:tcPr>
            <w:tcW w:w="1149" w:type="pct"/>
            <w:tcBorders>
              <w:top w:val="single" w:sz="4" w:space="0" w:color="auto"/>
              <w:left w:val="single" w:sz="4" w:space="0" w:color="auto"/>
              <w:bottom w:val="single" w:sz="4" w:space="0" w:color="auto"/>
              <w:right w:val="nil"/>
            </w:tcBorders>
            <w:vAlign w:val="bottom"/>
            <w:hideMark/>
          </w:tcPr>
          <w:p w14:paraId="3541728F" w14:textId="77777777" w:rsidR="00E607F1" w:rsidRPr="00E63838" w:rsidRDefault="00E607F1" w:rsidP="004A5906">
            <w:pPr>
              <w:rPr>
                <w:sz w:val="22"/>
                <w:szCs w:val="22"/>
                <w:lang w:val="en-GB"/>
              </w:rPr>
            </w:pPr>
            <w:r w:rsidRPr="00E63838">
              <w:rPr>
                <w:sz w:val="22"/>
                <w:szCs w:val="22"/>
                <w:lang w:val="en-GB"/>
              </w:rPr>
              <w:t>1,997 (16.60 %)</w:t>
            </w:r>
          </w:p>
        </w:tc>
        <w:tc>
          <w:tcPr>
            <w:tcW w:w="1146" w:type="pct"/>
            <w:tcBorders>
              <w:top w:val="single" w:sz="4" w:space="0" w:color="auto"/>
              <w:left w:val="single" w:sz="4" w:space="0" w:color="auto"/>
              <w:bottom w:val="single" w:sz="4" w:space="0" w:color="auto"/>
              <w:right w:val="single" w:sz="4" w:space="0" w:color="auto"/>
            </w:tcBorders>
            <w:vAlign w:val="bottom"/>
            <w:hideMark/>
          </w:tcPr>
          <w:p w14:paraId="2AD4AF51" w14:textId="77777777" w:rsidR="00E607F1" w:rsidRPr="00E63838" w:rsidRDefault="00E607F1" w:rsidP="004A5906">
            <w:pPr>
              <w:rPr>
                <w:sz w:val="22"/>
                <w:szCs w:val="22"/>
                <w:lang w:val="en-GB"/>
              </w:rPr>
            </w:pPr>
            <w:r w:rsidRPr="00E63838">
              <w:rPr>
                <w:sz w:val="22"/>
                <w:szCs w:val="22"/>
                <w:lang w:val="en-GB"/>
              </w:rPr>
              <w:t>2,169 (18.39%)</w:t>
            </w:r>
          </w:p>
        </w:tc>
      </w:tr>
    </w:tbl>
    <w:p w14:paraId="5EB8A015" w14:textId="77777777" w:rsidR="00E607F1" w:rsidRPr="00B55C24" w:rsidRDefault="00E607F1" w:rsidP="00E607F1">
      <w:pPr>
        <w:tabs>
          <w:tab w:val="left" w:pos="851"/>
        </w:tabs>
        <w:ind w:left="851"/>
        <w:rPr>
          <w:sz w:val="24"/>
          <w:szCs w:val="24"/>
          <w:lang w:val="en-GB"/>
        </w:rPr>
      </w:pPr>
    </w:p>
    <w:p w14:paraId="6BE22DDA" w14:textId="77777777" w:rsidR="00E607F1" w:rsidRPr="00B55C24" w:rsidRDefault="00E607F1" w:rsidP="004A5906">
      <w:pPr>
        <w:ind w:left="851"/>
        <w:rPr>
          <w:sz w:val="24"/>
          <w:szCs w:val="24"/>
          <w:lang w:val="en-GB"/>
        </w:rPr>
      </w:pPr>
      <w:r w:rsidRPr="00B55C24">
        <w:rPr>
          <w:sz w:val="24"/>
          <w:szCs w:val="24"/>
          <w:lang w:val="en-GB"/>
        </w:rPr>
        <w:t xml:space="preserve">Subjects randomised to dabigatran </w:t>
      </w:r>
      <w:proofErr w:type="spellStart"/>
      <w:r w:rsidRPr="00B55C24">
        <w:rPr>
          <w:sz w:val="24"/>
          <w:szCs w:val="24"/>
          <w:lang w:val="en-GB"/>
        </w:rPr>
        <w:t>etexilate</w:t>
      </w:r>
      <w:proofErr w:type="spellEnd"/>
      <w:r w:rsidRPr="00B55C24">
        <w:rPr>
          <w:sz w:val="24"/>
          <w:szCs w:val="24"/>
          <w:lang w:val="en-GB"/>
        </w:rPr>
        <w:t xml:space="preserve"> 110 mg twice daily or 150 mg twice daily had </w:t>
      </w:r>
    </w:p>
    <w:p w14:paraId="5F05F76F" w14:textId="20467CB3" w:rsidR="00E607F1" w:rsidRPr="00B55C24" w:rsidRDefault="00E607F1" w:rsidP="004A5906">
      <w:pPr>
        <w:ind w:left="851"/>
        <w:rPr>
          <w:sz w:val="24"/>
          <w:szCs w:val="24"/>
          <w:lang w:val="en-GB"/>
        </w:rPr>
      </w:pPr>
      <w:r w:rsidRPr="00B55C24">
        <w:rPr>
          <w:sz w:val="24"/>
          <w:szCs w:val="24"/>
          <w:lang w:val="en-GB"/>
        </w:rPr>
        <w:t xml:space="preserve">\a significantly lower risk for life-threatening bleeds and intracranial bleeding compared to warfarin [p &lt; 0.05]. Both dose strengths of dabigatran </w:t>
      </w:r>
      <w:proofErr w:type="spellStart"/>
      <w:r w:rsidRPr="00B55C24">
        <w:rPr>
          <w:sz w:val="24"/>
          <w:szCs w:val="24"/>
          <w:lang w:val="en-GB"/>
        </w:rPr>
        <w:t>etexilate</w:t>
      </w:r>
      <w:proofErr w:type="spellEnd"/>
      <w:r w:rsidRPr="00B55C24">
        <w:rPr>
          <w:sz w:val="24"/>
          <w:szCs w:val="24"/>
          <w:lang w:val="en-GB"/>
        </w:rPr>
        <w:t xml:space="preserve"> had also a statistically significant lower total bleed rate. Subjects randomised to 110 mg dabigatran </w:t>
      </w:r>
      <w:proofErr w:type="spellStart"/>
      <w:r w:rsidRPr="00B55C24">
        <w:rPr>
          <w:sz w:val="24"/>
          <w:szCs w:val="24"/>
          <w:lang w:val="en-GB"/>
        </w:rPr>
        <w:t>etexilate</w:t>
      </w:r>
      <w:proofErr w:type="spellEnd"/>
      <w:r w:rsidRPr="00B55C24">
        <w:rPr>
          <w:sz w:val="24"/>
          <w:szCs w:val="24"/>
          <w:lang w:val="en-GB"/>
        </w:rPr>
        <w:t xml:space="preserve"> twice daily had a significantly lower risk for major bleeds compared with warfarin (hazard ratio 0.81 [p = 0.0027]). Subjects randomised to 150 mg dabigatran </w:t>
      </w:r>
      <w:proofErr w:type="spellStart"/>
      <w:r w:rsidRPr="00B55C24">
        <w:rPr>
          <w:sz w:val="24"/>
          <w:szCs w:val="24"/>
          <w:lang w:val="en-GB"/>
        </w:rPr>
        <w:t>etexilate</w:t>
      </w:r>
      <w:proofErr w:type="spellEnd"/>
      <w:r w:rsidRPr="00B55C24">
        <w:rPr>
          <w:sz w:val="24"/>
          <w:szCs w:val="24"/>
          <w:lang w:val="en-GB"/>
        </w:rPr>
        <w:t xml:space="preserve"> twice daily had a significantly higher risk for major GI bleeds compared with warfarin (hazard ratio 1.48 [p</w:t>
      </w:r>
      <w:r w:rsidR="00E63838">
        <w:rPr>
          <w:sz w:val="24"/>
          <w:szCs w:val="24"/>
          <w:lang w:val="en-GB"/>
        </w:rPr>
        <w:t> </w:t>
      </w:r>
      <w:r w:rsidRPr="00B55C24">
        <w:rPr>
          <w:sz w:val="24"/>
          <w:szCs w:val="24"/>
          <w:lang w:val="en-GB"/>
        </w:rPr>
        <w:t>= 0.0005]. This effect was seen primarily in patients ≥ 75 years.</w:t>
      </w:r>
    </w:p>
    <w:p w14:paraId="02F24541" w14:textId="77777777" w:rsidR="00E607F1" w:rsidRPr="00B55C24" w:rsidRDefault="00E607F1" w:rsidP="004A5906">
      <w:pPr>
        <w:ind w:left="851"/>
        <w:rPr>
          <w:sz w:val="24"/>
          <w:szCs w:val="24"/>
          <w:lang w:val="en-GB"/>
        </w:rPr>
      </w:pPr>
      <w:r w:rsidRPr="00B55C24">
        <w:rPr>
          <w:sz w:val="24"/>
          <w:szCs w:val="24"/>
          <w:lang w:val="en-GB"/>
        </w:rPr>
        <w:t xml:space="preserve">The clinical benefit of dabigatran </w:t>
      </w:r>
      <w:proofErr w:type="gramStart"/>
      <w:r w:rsidRPr="00B55C24">
        <w:rPr>
          <w:sz w:val="24"/>
          <w:szCs w:val="24"/>
          <w:lang w:val="en-GB"/>
        </w:rPr>
        <w:t>with regard to</w:t>
      </w:r>
      <w:proofErr w:type="gramEnd"/>
      <w:r w:rsidRPr="00B55C24">
        <w:rPr>
          <w:sz w:val="24"/>
          <w:szCs w:val="24"/>
          <w:lang w:val="en-GB"/>
        </w:rPr>
        <w:t xml:space="preserve"> stroke and systemic embolism prevention and decreased risk of ICH compared to warfarin is preserved across individual subgroups, e.g. renal impairment, age, concomitant medicinal product use such as anti-platelets or P-</w:t>
      </w:r>
      <w:proofErr w:type="spellStart"/>
      <w:r w:rsidRPr="00B55C24">
        <w:rPr>
          <w:sz w:val="24"/>
          <w:szCs w:val="24"/>
          <w:lang w:val="en-GB"/>
        </w:rPr>
        <w:t>gp</w:t>
      </w:r>
      <w:proofErr w:type="spellEnd"/>
      <w:r w:rsidRPr="00B55C24">
        <w:rPr>
          <w:sz w:val="24"/>
          <w:szCs w:val="24"/>
          <w:lang w:val="en-GB"/>
        </w:rPr>
        <w:t xml:space="preserve"> inhibitors. While certain patient subgroups are at an increased risk of major bleeding when treated with an anticoagulant, the excess bleeding risk for dabigatran is due to GI bleeding, typically seen within the first 3</w:t>
      </w:r>
      <w:r w:rsidRPr="00B55C24">
        <w:rPr>
          <w:sz w:val="24"/>
          <w:szCs w:val="24"/>
          <w:lang w:val="en-GB"/>
        </w:rPr>
        <w:noBreakHyphen/>
        <w:t xml:space="preserve">6 months following initiation of dabigatran </w:t>
      </w:r>
      <w:proofErr w:type="spellStart"/>
      <w:r w:rsidRPr="00B55C24">
        <w:rPr>
          <w:sz w:val="24"/>
          <w:szCs w:val="24"/>
          <w:lang w:val="en-GB"/>
        </w:rPr>
        <w:t>etexilate</w:t>
      </w:r>
      <w:proofErr w:type="spellEnd"/>
      <w:r w:rsidRPr="00B55C24">
        <w:rPr>
          <w:sz w:val="24"/>
          <w:szCs w:val="24"/>
          <w:lang w:val="en-GB"/>
        </w:rPr>
        <w:t xml:space="preserve"> therapy.</w:t>
      </w:r>
    </w:p>
    <w:p w14:paraId="23577F9E" w14:textId="77777777" w:rsidR="00E607F1" w:rsidRPr="00B55C24" w:rsidRDefault="00E607F1" w:rsidP="004A5906">
      <w:pPr>
        <w:ind w:left="851"/>
        <w:rPr>
          <w:sz w:val="24"/>
          <w:szCs w:val="24"/>
          <w:lang w:val="en-GB"/>
        </w:rPr>
      </w:pPr>
    </w:p>
    <w:p w14:paraId="6EC7A24B" w14:textId="77777777" w:rsidR="00E607F1" w:rsidRPr="00B55C24" w:rsidRDefault="00E607F1" w:rsidP="004A5906">
      <w:pPr>
        <w:ind w:left="851"/>
        <w:rPr>
          <w:sz w:val="24"/>
          <w:szCs w:val="24"/>
          <w:lang w:val="en-GB"/>
        </w:rPr>
      </w:pPr>
      <w:r w:rsidRPr="00B55C24">
        <w:rPr>
          <w:i/>
          <w:iCs/>
          <w:sz w:val="24"/>
          <w:szCs w:val="24"/>
          <w:lang w:val="en-GB"/>
        </w:rPr>
        <w:t>Treatment of DVT and PE and prevention of recurrent DVT and PE in adults (DVT/PE treatment)</w:t>
      </w:r>
    </w:p>
    <w:p w14:paraId="7BAA1C8A" w14:textId="77777777" w:rsidR="00E607F1" w:rsidRPr="00B55C24" w:rsidRDefault="00E607F1" w:rsidP="004A5906">
      <w:pPr>
        <w:ind w:left="851"/>
        <w:rPr>
          <w:sz w:val="24"/>
          <w:szCs w:val="24"/>
          <w:lang w:val="en-GB"/>
        </w:rPr>
      </w:pPr>
    </w:p>
    <w:p w14:paraId="4815DFBB" w14:textId="4B2A8FBB" w:rsidR="00E607F1" w:rsidRPr="00B55C24" w:rsidRDefault="00E607F1" w:rsidP="004A5906">
      <w:pPr>
        <w:ind w:left="851"/>
        <w:rPr>
          <w:sz w:val="24"/>
          <w:szCs w:val="24"/>
          <w:lang w:val="en-GB"/>
        </w:rPr>
      </w:pPr>
      <w:r w:rsidRPr="00B55C24">
        <w:rPr>
          <w:sz w:val="24"/>
          <w:szCs w:val="24"/>
          <w:lang w:val="en-GB"/>
        </w:rPr>
        <w:t>Table 13 shows bleeding events in the pooled pivotal studies RE-COVER and RE-COVER II testing the treatment of DVT and PE. In the pooled studies the primary safety endpoints of major bleeding, major or clinically relevant bleeding and any bleeding were significantly lower than warfarin at a nominal alpha level of 5%.</w:t>
      </w:r>
    </w:p>
    <w:p w14:paraId="0A34DDAE" w14:textId="77777777" w:rsidR="00E607F1" w:rsidRPr="00B55C24" w:rsidRDefault="00E607F1" w:rsidP="004A5906">
      <w:pPr>
        <w:ind w:left="851"/>
        <w:rPr>
          <w:sz w:val="24"/>
          <w:szCs w:val="24"/>
          <w:lang w:val="en-GB"/>
        </w:rPr>
      </w:pPr>
    </w:p>
    <w:p w14:paraId="29292066"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13: Bleeding events in the studies RE-COVER and RE-COVER II testing the treatment of DVT and PE</w:t>
      </w:r>
    </w:p>
    <w:p w14:paraId="29CCA7C5"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40"/>
        <w:gridCol w:w="2340"/>
        <w:gridCol w:w="1668"/>
        <w:gridCol w:w="2680"/>
      </w:tblGrid>
      <w:tr w:rsidR="00E607F1" w:rsidRPr="00D476B2" w14:paraId="2B17F2E1" w14:textId="77777777" w:rsidTr="004A5906">
        <w:trPr>
          <w:trHeight w:val="57"/>
          <w:jc w:val="center"/>
        </w:trPr>
        <w:tc>
          <w:tcPr>
            <w:tcW w:w="1527" w:type="pct"/>
            <w:tcBorders>
              <w:top w:val="single" w:sz="4" w:space="0" w:color="auto"/>
              <w:left w:val="single" w:sz="4" w:space="0" w:color="auto"/>
              <w:bottom w:val="nil"/>
              <w:right w:val="nil"/>
            </w:tcBorders>
          </w:tcPr>
          <w:p w14:paraId="2B4D0BAE" w14:textId="77777777" w:rsidR="00E607F1" w:rsidRPr="00E63838" w:rsidRDefault="00E607F1" w:rsidP="004A5906">
            <w:pPr>
              <w:rPr>
                <w:sz w:val="22"/>
                <w:szCs w:val="22"/>
                <w:lang w:val="en-GB"/>
              </w:rPr>
            </w:pPr>
          </w:p>
        </w:tc>
        <w:tc>
          <w:tcPr>
            <w:tcW w:w="1215" w:type="pct"/>
            <w:tcBorders>
              <w:top w:val="single" w:sz="4" w:space="0" w:color="auto"/>
              <w:left w:val="single" w:sz="4" w:space="0" w:color="auto"/>
              <w:bottom w:val="nil"/>
              <w:right w:val="nil"/>
            </w:tcBorders>
            <w:hideMark/>
          </w:tcPr>
          <w:p w14:paraId="45C5E741" w14:textId="77777777" w:rsidR="00E607F1" w:rsidRPr="00E63838" w:rsidRDefault="00E607F1" w:rsidP="004A5906">
            <w:pPr>
              <w:rPr>
                <w:sz w:val="22"/>
                <w:szCs w:val="22"/>
                <w:lang w:val="en-GB"/>
              </w:rPr>
            </w:pPr>
            <w:r w:rsidRPr="00E63838">
              <w:rPr>
                <w:sz w:val="22"/>
                <w:szCs w:val="22"/>
                <w:lang w:val="en-GB"/>
              </w:rPr>
              <w:t xml:space="preserve">Dabigatran </w:t>
            </w:r>
            <w:proofErr w:type="spellStart"/>
            <w:r w:rsidRPr="00E63838">
              <w:rPr>
                <w:sz w:val="22"/>
                <w:szCs w:val="22"/>
                <w:lang w:val="en-GB"/>
              </w:rPr>
              <w:t>etexilate</w:t>
            </w:r>
            <w:proofErr w:type="spellEnd"/>
            <w:r w:rsidRPr="00E63838">
              <w:rPr>
                <w:sz w:val="22"/>
                <w:szCs w:val="22"/>
                <w:lang w:val="en-GB"/>
              </w:rPr>
              <w:t xml:space="preserve"> 150 mg twice daily</w:t>
            </w:r>
          </w:p>
        </w:tc>
        <w:tc>
          <w:tcPr>
            <w:tcW w:w="866" w:type="pct"/>
            <w:tcBorders>
              <w:top w:val="single" w:sz="4" w:space="0" w:color="auto"/>
              <w:left w:val="single" w:sz="4" w:space="0" w:color="auto"/>
              <w:bottom w:val="nil"/>
              <w:right w:val="nil"/>
            </w:tcBorders>
            <w:hideMark/>
          </w:tcPr>
          <w:p w14:paraId="544588AC" w14:textId="77777777" w:rsidR="00E607F1" w:rsidRPr="00E63838" w:rsidRDefault="00E607F1" w:rsidP="004A5906">
            <w:pPr>
              <w:rPr>
                <w:sz w:val="22"/>
                <w:szCs w:val="22"/>
                <w:lang w:val="en-GB"/>
              </w:rPr>
            </w:pPr>
            <w:r w:rsidRPr="00E63838">
              <w:rPr>
                <w:sz w:val="22"/>
                <w:szCs w:val="22"/>
                <w:lang w:val="en-GB"/>
              </w:rPr>
              <w:t>Warfarin</w:t>
            </w:r>
          </w:p>
        </w:tc>
        <w:tc>
          <w:tcPr>
            <w:tcW w:w="1392" w:type="pct"/>
            <w:tcBorders>
              <w:top w:val="single" w:sz="4" w:space="0" w:color="auto"/>
              <w:left w:val="single" w:sz="4" w:space="0" w:color="auto"/>
              <w:bottom w:val="nil"/>
              <w:right w:val="single" w:sz="4" w:space="0" w:color="auto"/>
            </w:tcBorders>
            <w:hideMark/>
          </w:tcPr>
          <w:p w14:paraId="0A990315" w14:textId="77777777" w:rsidR="00E607F1" w:rsidRPr="00E63838" w:rsidRDefault="00E607F1" w:rsidP="004A5906">
            <w:pPr>
              <w:rPr>
                <w:sz w:val="22"/>
                <w:szCs w:val="22"/>
                <w:lang w:val="en-GB"/>
              </w:rPr>
            </w:pPr>
            <w:r w:rsidRPr="00E63838">
              <w:rPr>
                <w:sz w:val="22"/>
                <w:szCs w:val="22"/>
                <w:lang w:val="en-GB"/>
              </w:rPr>
              <w:t>Hazard ratio vs. warfarin (95% Confidence Interval)</w:t>
            </w:r>
          </w:p>
        </w:tc>
      </w:tr>
      <w:tr w:rsidR="00E607F1" w:rsidRPr="00E63838" w14:paraId="5AFD9D69" w14:textId="77777777" w:rsidTr="004A5906">
        <w:trPr>
          <w:trHeight w:val="57"/>
          <w:jc w:val="center"/>
        </w:trPr>
        <w:tc>
          <w:tcPr>
            <w:tcW w:w="1527" w:type="pct"/>
            <w:tcBorders>
              <w:top w:val="single" w:sz="4" w:space="0" w:color="auto"/>
              <w:left w:val="single" w:sz="4" w:space="0" w:color="auto"/>
              <w:bottom w:val="nil"/>
              <w:right w:val="nil"/>
            </w:tcBorders>
            <w:hideMark/>
          </w:tcPr>
          <w:p w14:paraId="50CD68B2" w14:textId="77777777" w:rsidR="00E607F1" w:rsidRPr="00E63838" w:rsidRDefault="00E607F1" w:rsidP="004A5906">
            <w:pPr>
              <w:rPr>
                <w:sz w:val="22"/>
                <w:szCs w:val="22"/>
                <w:lang w:val="en-GB"/>
              </w:rPr>
            </w:pPr>
            <w:r w:rsidRPr="00E63838">
              <w:rPr>
                <w:sz w:val="22"/>
                <w:szCs w:val="22"/>
                <w:lang w:val="en-GB"/>
              </w:rPr>
              <w:t>Patients included in safety analysis</w:t>
            </w:r>
          </w:p>
        </w:tc>
        <w:tc>
          <w:tcPr>
            <w:tcW w:w="1215" w:type="pct"/>
            <w:tcBorders>
              <w:top w:val="single" w:sz="4" w:space="0" w:color="auto"/>
              <w:left w:val="single" w:sz="4" w:space="0" w:color="auto"/>
              <w:bottom w:val="nil"/>
              <w:right w:val="nil"/>
            </w:tcBorders>
            <w:hideMark/>
          </w:tcPr>
          <w:p w14:paraId="73364F06" w14:textId="77777777" w:rsidR="00E607F1" w:rsidRPr="00E63838" w:rsidRDefault="00E607F1" w:rsidP="004A5906">
            <w:pPr>
              <w:rPr>
                <w:sz w:val="22"/>
                <w:szCs w:val="22"/>
                <w:lang w:val="en-GB"/>
              </w:rPr>
            </w:pPr>
            <w:r w:rsidRPr="00E63838">
              <w:rPr>
                <w:sz w:val="22"/>
                <w:szCs w:val="22"/>
                <w:lang w:val="en-GB"/>
              </w:rPr>
              <w:t>2,456</w:t>
            </w:r>
          </w:p>
        </w:tc>
        <w:tc>
          <w:tcPr>
            <w:tcW w:w="866" w:type="pct"/>
            <w:tcBorders>
              <w:top w:val="single" w:sz="4" w:space="0" w:color="auto"/>
              <w:left w:val="single" w:sz="4" w:space="0" w:color="auto"/>
              <w:bottom w:val="nil"/>
              <w:right w:val="nil"/>
            </w:tcBorders>
            <w:hideMark/>
          </w:tcPr>
          <w:p w14:paraId="05829BA2" w14:textId="77777777" w:rsidR="00E607F1" w:rsidRPr="00E63838" w:rsidRDefault="00E607F1" w:rsidP="004A5906">
            <w:pPr>
              <w:rPr>
                <w:sz w:val="22"/>
                <w:szCs w:val="22"/>
                <w:lang w:val="en-GB"/>
              </w:rPr>
            </w:pPr>
            <w:r w:rsidRPr="00E63838">
              <w:rPr>
                <w:sz w:val="22"/>
                <w:szCs w:val="22"/>
                <w:lang w:val="en-GB"/>
              </w:rPr>
              <w:t>2,462</w:t>
            </w:r>
          </w:p>
        </w:tc>
        <w:tc>
          <w:tcPr>
            <w:tcW w:w="1392" w:type="pct"/>
            <w:tcBorders>
              <w:top w:val="single" w:sz="4" w:space="0" w:color="auto"/>
              <w:left w:val="single" w:sz="4" w:space="0" w:color="auto"/>
              <w:bottom w:val="nil"/>
              <w:right w:val="single" w:sz="4" w:space="0" w:color="auto"/>
            </w:tcBorders>
          </w:tcPr>
          <w:p w14:paraId="7E995277" w14:textId="77777777" w:rsidR="00E607F1" w:rsidRPr="00E63838" w:rsidRDefault="00E607F1" w:rsidP="004A5906">
            <w:pPr>
              <w:rPr>
                <w:sz w:val="22"/>
                <w:szCs w:val="22"/>
                <w:lang w:val="en-GB"/>
              </w:rPr>
            </w:pPr>
          </w:p>
        </w:tc>
      </w:tr>
      <w:tr w:rsidR="00E607F1" w:rsidRPr="00E63838" w14:paraId="44E71B49" w14:textId="77777777" w:rsidTr="004A5906">
        <w:trPr>
          <w:trHeight w:val="57"/>
          <w:jc w:val="center"/>
        </w:trPr>
        <w:tc>
          <w:tcPr>
            <w:tcW w:w="1527" w:type="pct"/>
            <w:tcBorders>
              <w:top w:val="single" w:sz="4" w:space="0" w:color="auto"/>
              <w:left w:val="single" w:sz="4" w:space="0" w:color="auto"/>
              <w:bottom w:val="nil"/>
              <w:right w:val="nil"/>
            </w:tcBorders>
            <w:hideMark/>
          </w:tcPr>
          <w:p w14:paraId="4E8C9A7D" w14:textId="77777777" w:rsidR="00E607F1" w:rsidRPr="00E63838" w:rsidRDefault="00E607F1" w:rsidP="004A5906">
            <w:pPr>
              <w:rPr>
                <w:sz w:val="22"/>
                <w:szCs w:val="22"/>
                <w:lang w:val="en-GB"/>
              </w:rPr>
            </w:pPr>
            <w:r w:rsidRPr="00E63838">
              <w:rPr>
                <w:sz w:val="22"/>
                <w:szCs w:val="22"/>
                <w:lang w:val="en-GB"/>
              </w:rPr>
              <w:t>Major bleeding events</w:t>
            </w:r>
          </w:p>
        </w:tc>
        <w:tc>
          <w:tcPr>
            <w:tcW w:w="1215" w:type="pct"/>
            <w:tcBorders>
              <w:top w:val="single" w:sz="4" w:space="0" w:color="auto"/>
              <w:left w:val="single" w:sz="4" w:space="0" w:color="auto"/>
              <w:bottom w:val="nil"/>
              <w:right w:val="nil"/>
            </w:tcBorders>
            <w:hideMark/>
          </w:tcPr>
          <w:p w14:paraId="030F82FB" w14:textId="77777777" w:rsidR="00E607F1" w:rsidRPr="00E63838" w:rsidRDefault="00E607F1" w:rsidP="004A5906">
            <w:pPr>
              <w:rPr>
                <w:sz w:val="22"/>
                <w:szCs w:val="22"/>
                <w:lang w:val="en-GB"/>
              </w:rPr>
            </w:pPr>
            <w:r w:rsidRPr="00E63838">
              <w:rPr>
                <w:sz w:val="22"/>
                <w:szCs w:val="22"/>
                <w:lang w:val="en-GB"/>
              </w:rPr>
              <w:t>24 (1.0%)</w:t>
            </w:r>
          </w:p>
        </w:tc>
        <w:tc>
          <w:tcPr>
            <w:tcW w:w="866" w:type="pct"/>
            <w:tcBorders>
              <w:top w:val="single" w:sz="4" w:space="0" w:color="auto"/>
              <w:left w:val="single" w:sz="4" w:space="0" w:color="auto"/>
              <w:bottom w:val="nil"/>
              <w:right w:val="nil"/>
            </w:tcBorders>
            <w:hideMark/>
          </w:tcPr>
          <w:p w14:paraId="05209B4C" w14:textId="77777777" w:rsidR="00E607F1" w:rsidRPr="00E63838" w:rsidRDefault="00E607F1" w:rsidP="004A5906">
            <w:pPr>
              <w:rPr>
                <w:sz w:val="22"/>
                <w:szCs w:val="22"/>
                <w:lang w:val="en-GB"/>
              </w:rPr>
            </w:pPr>
            <w:r w:rsidRPr="00E63838">
              <w:rPr>
                <w:sz w:val="22"/>
                <w:szCs w:val="22"/>
                <w:lang w:val="en-GB"/>
              </w:rPr>
              <w:t>40 (1.6%)</w:t>
            </w:r>
          </w:p>
        </w:tc>
        <w:tc>
          <w:tcPr>
            <w:tcW w:w="1392" w:type="pct"/>
            <w:tcBorders>
              <w:top w:val="single" w:sz="4" w:space="0" w:color="auto"/>
              <w:left w:val="single" w:sz="4" w:space="0" w:color="auto"/>
              <w:bottom w:val="nil"/>
              <w:right w:val="single" w:sz="4" w:space="0" w:color="auto"/>
            </w:tcBorders>
            <w:hideMark/>
          </w:tcPr>
          <w:p w14:paraId="4EF26A5C" w14:textId="77777777" w:rsidR="00E607F1" w:rsidRPr="00E63838" w:rsidRDefault="00E607F1" w:rsidP="004A5906">
            <w:pPr>
              <w:rPr>
                <w:sz w:val="22"/>
                <w:szCs w:val="22"/>
                <w:lang w:val="en-GB"/>
              </w:rPr>
            </w:pPr>
            <w:r w:rsidRPr="00E63838">
              <w:rPr>
                <w:sz w:val="22"/>
                <w:szCs w:val="22"/>
                <w:lang w:val="en-GB"/>
              </w:rPr>
              <w:t>0.60 (0.36, 0.99)</w:t>
            </w:r>
          </w:p>
        </w:tc>
      </w:tr>
      <w:tr w:rsidR="00E607F1" w:rsidRPr="00E63838" w14:paraId="5496CC7F" w14:textId="77777777" w:rsidTr="004A5906">
        <w:trPr>
          <w:trHeight w:val="57"/>
          <w:jc w:val="center"/>
        </w:trPr>
        <w:tc>
          <w:tcPr>
            <w:tcW w:w="1527" w:type="pct"/>
            <w:tcBorders>
              <w:top w:val="single" w:sz="4" w:space="0" w:color="auto"/>
              <w:left w:val="single" w:sz="4" w:space="0" w:color="auto"/>
              <w:bottom w:val="nil"/>
              <w:right w:val="nil"/>
            </w:tcBorders>
            <w:hideMark/>
          </w:tcPr>
          <w:p w14:paraId="710EA233" w14:textId="77777777" w:rsidR="00E607F1" w:rsidRPr="00E63838" w:rsidRDefault="00E607F1" w:rsidP="00E63838">
            <w:pPr>
              <w:ind w:left="264"/>
              <w:rPr>
                <w:sz w:val="22"/>
                <w:szCs w:val="22"/>
                <w:lang w:val="en-GB"/>
              </w:rPr>
            </w:pPr>
            <w:r w:rsidRPr="00E63838">
              <w:rPr>
                <w:sz w:val="22"/>
                <w:szCs w:val="22"/>
                <w:lang w:val="en-GB"/>
              </w:rPr>
              <w:t>Intracranial Bleeding</w:t>
            </w:r>
          </w:p>
        </w:tc>
        <w:tc>
          <w:tcPr>
            <w:tcW w:w="1215" w:type="pct"/>
            <w:tcBorders>
              <w:top w:val="single" w:sz="4" w:space="0" w:color="auto"/>
              <w:left w:val="single" w:sz="4" w:space="0" w:color="auto"/>
              <w:bottom w:val="nil"/>
              <w:right w:val="nil"/>
            </w:tcBorders>
            <w:hideMark/>
          </w:tcPr>
          <w:p w14:paraId="597160D5" w14:textId="77777777" w:rsidR="00E607F1" w:rsidRPr="00E63838" w:rsidRDefault="00E607F1" w:rsidP="004A5906">
            <w:pPr>
              <w:rPr>
                <w:sz w:val="22"/>
                <w:szCs w:val="22"/>
                <w:lang w:val="en-GB"/>
              </w:rPr>
            </w:pPr>
            <w:r w:rsidRPr="00E63838">
              <w:rPr>
                <w:sz w:val="22"/>
                <w:szCs w:val="22"/>
                <w:lang w:val="en-GB"/>
              </w:rPr>
              <w:t>2 (0.1%)</w:t>
            </w:r>
          </w:p>
        </w:tc>
        <w:tc>
          <w:tcPr>
            <w:tcW w:w="866" w:type="pct"/>
            <w:tcBorders>
              <w:top w:val="single" w:sz="4" w:space="0" w:color="auto"/>
              <w:left w:val="single" w:sz="4" w:space="0" w:color="auto"/>
              <w:bottom w:val="nil"/>
              <w:right w:val="nil"/>
            </w:tcBorders>
            <w:hideMark/>
          </w:tcPr>
          <w:p w14:paraId="6D9CB134" w14:textId="77777777" w:rsidR="00E607F1" w:rsidRPr="00E63838" w:rsidRDefault="00E607F1" w:rsidP="004A5906">
            <w:pPr>
              <w:rPr>
                <w:sz w:val="22"/>
                <w:szCs w:val="22"/>
                <w:lang w:val="en-GB"/>
              </w:rPr>
            </w:pPr>
            <w:r w:rsidRPr="00E63838">
              <w:rPr>
                <w:sz w:val="22"/>
                <w:szCs w:val="22"/>
                <w:lang w:val="en-GB"/>
              </w:rPr>
              <w:t>4 (0.2%)</w:t>
            </w:r>
          </w:p>
        </w:tc>
        <w:tc>
          <w:tcPr>
            <w:tcW w:w="1392" w:type="pct"/>
            <w:tcBorders>
              <w:top w:val="single" w:sz="4" w:space="0" w:color="auto"/>
              <w:left w:val="single" w:sz="4" w:space="0" w:color="auto"/>
              <w:bottom w:val="nil"/>
              <w:right w:val="single" w:sz="4" w:space="0" w:color="auto"/>
            </w:tcBorders>
            <w:hideMark/>
          </w:tcPr>
          <w:p w14:paraId="2F471253" w14:textId="77777777" w:rsidR="00E607F1" w:rsidRPr="00E63838" w:rsidRDefault="00E607F1" w:rsidP="004A5906">
            <w:pPr>
              <w:rPr>
                <w:sz w:val="22"/>
                <w:szCs w:val="22"/>
                <w:lang w:val="en-GB"/>
              </w:rPr>
            </w:pPr>
            <w:r w:rsidRPr="00E63838">
              <w:rPr>
                <w:sz w:val="22"/>
                <w:szCs w:val="22"/>
                <w:lang w:val="en-GB"/>
              </w:rPr>
              <w:t>0.50 (0.09, 2.74)</w:t>
            </w:r>
          </w:p>
        </w:tc>
      </w:tr>
      <w:tr w:rsidR="00E607F1" w:rsidRPr="00E63838" w14:paraId="3D5E9C82" w14:textId="77777777" w:rsidTr="004A5906">
        <w:trPr>
          <w:trHeight w:val="57"/>
          <w:jc w:val="center"/>
        </w:trPr>
        <w:tc>
          <w:tcPr>
            <w:tcW w:w="1527" w:type="pct"/>
            <w:tcBorders>
              <w:top w:val="single" w:sz="4" w:space="0" w:color="auto"/>
              <w:left w:val="single" w:sz="4" w:space="0" w:color="auto"/>
              <w:bottom w:val="nil"/>
              <w:right w:val="nil"/>
            </w:tcBorders>
            <w:hideMark/>
          </w:tcPr>
          <w:p w14:paraId="383015E1" w14:textId="77777777" w:rsidR="00E607F1" w:rsidRPr="00E63838" w:rsidRDefault="00E607F1" w:rsidP="00E63838">
            <w:pPr>
              <w:ind w:left="264"/>
              <w:rPr>
                <w:sz w:val="22"/>
                <w:szCs w:val="22"/>
                <w:lang w:val="en-GB"/>
              </w:rPr>
            </w:pPr>
            <w:r w:rsidRPr="00E63838">
              <w:rPr>
                <w:sz w:val="22"/>
                <w:szCs w:val="22"/>
                <w:lang w:val="en-GB"/>
              </w:rPr>
              <w:t>Major GI bleeding</w:t>
            </w:r>
          </w:p>
        </w:tc>
        <w:tc>
          <w:tcPr>
            <w:tcW w:w="1215" w:type="pct"/>
            <w:tcBorders>
              <w:top w:val="single" w:sz="4" w:space="0" w:color="auto"/>
              <w:left w:val="single" w:sz="4" w:space="0" w:color="auto"/>
              <w:bottom w:val="nil"/>
              <w:right w:val="nil"/>
            </w:tcBorders>
            <w:hideMark/>
          </w:tcPr>
          <w:p w14:paraId="27C4283D" w14:textId="77777777" w:rsidR="00E607F1" w:rsidRPr="00E63838" w:rsidRDefault="00E607F1" w:rsidP="004A5906">
            <w:pPr>
              <w:rPr>
                <w:sz w:val="22"/>
                <w:szCs w:val="22"/>
                <w:lang w:val="en-GB"/>
              </w:rPr>
            </w:pPr>
            <w:r w:rsidRPr="00E63838">
              <w:rPr>
                <w:sz w:val="22"/>
                <w:szCs w:val="22"/>
                <w:lang w:val="en-GB"/>
              </w:rPr>
              <w:t>10 (0.4%)</w:t>
            </w:r>
          </w:p>
        </w:tc>
        <w:tc>
          <w:tcPr>
            <w:tcW w:w="866" w:type="pct"/>
            <w:tcBorders>
              <w:top w:val="single" w:sz="4" w:space="0" w:color="auto"/>
              <w:left w:val="single" w:sz="4" w:space="0" w:color="auto"/>
              <w:bottom w:val="nil"/>
              <w:right w:val="nil"/>
            </w:tcBorders>
            <w:hideMark/>
          </w:tcPr>
          <w:p w14:paraId="2B487B49" w14:textId="77777777" w:rsidR="00E607F1" w:rsidRPr="00E63838" w:rsidRDefault="00E607F1" w:rsidP="004A5906">
            <w:pPr>
              <w:rPr>
                <w:sz w:val="22"/>
                <w:szCs w:val="22"/>
                <w:lang w:val="en-GB"/>
              </w:rPr>
            </w:pPr>
            <w:r w:rsidRPr="00E63838">
              <w:rPr>
                <w:sz w:val="22"/>
                <w:szCs w:val="22"/>
                <w:lang w:val="en-GB"/>
              </w:rPr>
              <w:t>12 (0.5%)</w:t>
            </w:r>
          </w:p>
        </w:tc>
        <w:tc>
          <w:tcPr>
            <w:tcW w:w="1392" w:type="pct"/>
            <w:tcBorders>
              <w:top w:val="single" w:sz="4" w:space="0" w:color="auto"/>
              <w:left w:val="single" w:sz="4" w:space="0" w:color="auto"/>
              <w:bottom w:val="nil"/>
              <w:right w:val="single" w:sz="4" w:space="0" w:color="auto"/>
            </w:tcBorders>
            <w:hideMark/>
          </w:tcPr>
          <w:p w14:paraId="16AE722B" w14:textId="77777777" w:rsidR="00E607F1" w:rsidRPr="00E63838" w:rsidRDefault="00E607F1" w:rsidP="004A5906">
            <w:pPr>
              <w:rPr>
                <w:sz w:val="22"/>
                <w:szCs w:val="22"/>
                <w:lang w:val="en-GB"/>
              </w:rPr>
            </w:pPr>
            <w:r w:rsidRPr="00E63838">
              <w:rPr>
                <w:sz w:val="22"/>
                <w:szCs w:val="22"/>
                <w:lang w:val="en-GB"/>
              </w:rPr>
              <w:t>0.83 (0.36, 1.93)</w:t>
            </w:r>
          </w:p>
        </w:tc>
      </w:tr>
      <w:tr w:rsidR="00E607F1" w:rsidRPr="00E63838" w14:paraId="5A7B9367" w14:textId="77777777" w:rsidTr="004A5906">
        <w:trPr>
          <w:trHeight w:val="57"/>
          <w:jc w:val="center"/>
        </w:trPr>
        <w:tc>
          <w:tcPr>
            <w:tcW w:w="1527" w:type="pct"/>
            <w:tcBorders>
              <w:top w:val="single" w:sz="4" w:space="0" w:color="auto"/>
              <w:left w:val="single" w:sz="4" w:space="0" w:color="auto"/>
              <w:bottom w:val="single" w:sz="4" w:space="0" w:color="auto"/>
              <w:right w:val="nil"/>
            </w:tcBorders>
            <w:hideMark/>
          </w:tcPr>
          <w:p w14:paraId="71A70C9A" w14:textId="77777777" w:rsidR="00E607F1" w:rsidRPr="00E63838" w:rsidRDefault="00E607F1" w:rsidP="00E63838">
            <w:pPr>
              <w:ind w:left="264"/>
              <w:rPr>
                <w:sz w:val="22"/>
                <w:szCs w:val="22"/>
                <w:lang w:val="en-GB"/>
              </w:rPr>
            </w:pPr>
            <w:r w:rsidRPr="00E63838">
              <w:rPr>
                <w:sz w:val="22"/>
                <w:szCs w:val="22"/>
                <w:lang w:val="en-GB"/>
              </w:rPr>
              <w:t>Life-threatening bleed</w:t>
            </w:r>
          </w:p>
        </w:tc>
        <w:tc>
          <w:tcPr>
            <w:tcW w:w="1215" w:type="pct"/>
            <w:tcBorders>
              <w:top w:val="single" w:sz="4" w:space="0" w:color="auto"/>
              <w:left w:val="single" w:sz="4" w:space="0" w:color="auto"/>
              <w:bottom w:val="single" w:sz="4" w:space="0" w:color="auto"/>
              <w:right w:val="nil"/>
            </w:tcBorders>
            <w:hideMark/>
          </w:tcPr>
          <w:p w14:paraId="309B66EF" w14:textId="77777777" w:rsidR="00E607F1" w:rsidRPr="00E63838" w:rsidRDefault="00E607F1" w:rsidP="004A5906">
            <w:pPr>
              <w:rPr>
                <w:sz w:val="22"/>
                <w:szCs w:val="22"/>
                <w:lang w:val="en-GB"/>
              </w:rPr>
            </w:pPr>
            <w:r w:rsidRPr="00E63838">
              <w:rPr>
                <w:sz w:val="22"/>
                <w:szCs w:val="22"/>
                <w:lang w:val="en-GB"/>
              </w:rPr>
              <w:t>4 (0.2%)</w:t>
            </w:r>
          </w:p>
        </w:tc>
        <w:tc>
          <w:tcPr>
            <w:tcW w:w="866" w:type="pct"/>
            <w:tcBorders>
              <w:top w:val="single" w:sz="4" w:space="0" w:color="auto"/>
              <w:left w:val="single" w:sz="4" w:space="0" w:color="auto"/>
              <w:bottom w:val="single" w:sz="4" w:space="0" w:color="auto"/>
              <w:right w:val="nil"/>
            </w:tcBorders>
            <w:hideMark/>
          </w:tcPr>
          <w:p w14:paraId="54C8A362" w14:textId="77777777" w:rsidR="00E607F1" w:rsidRPr="00E63838" w:rsidRDefault="00E607F1" w:rsidP="004A5906">
            <w:pPr>
              <w:rPr>
                <w:sz w:val="22"/>
                <w:szCs w:val="22"/>
                <w:lang w:val="en-GB"/>
              </w:rPr>
            </w:pPr>
            <w:r w:rsidRPr="00E63838">
              <w:rPr>
                <w:sz w:val="22"/>
                <w:szCs w:val="22"/>
                <w:lang w:val="en-GB"/>
              </w:rPr>
              <w:t>6 (0.2%)</w:t>
            </w:r>
          </w:p>
        </w:tc>
        <w:tc>
          <w:tcPr>
            <w:tcW w:w="1392" w:type="pct"/>
            <w:tcBorders>
              <w:top w:val="single" w:sz="4" w:space="0" w:color="auto"/>
              <w:left w:val="single" w:sz="4" w:space="0" w:color="auto"/>
              <w:bottom w:val="single" w:sz="4" w:space="0" w:color="auto"/>
              <w:right w:val="single" w:sz="4" w:space="0" w:color="auto"/>
            </w:tcBorders>
            <w:hideMark/>
          </w:tcPr>
          <w:p w14:paraId="3030C829" w14:textId="77777777" w:rsidR="00E607F1" w:rsidRPr="00E63838" w:rsidRDefault="00E607F1" w:rsidP="004A5906">
            <w:pPr>
              <w:rPr>
                <w:sz w:val="22"/>
                <w:szCs w:val="22"/>
                <w:lang w:val="en-GB"/>
              </w:rPr>
            </w:pPr>
            <w:r w:rsidRPr="00E63838">
              <w:rPr>
                <w:sz w:val="22"/>
                <w:szCs w:val="22"/>
                <w:lang w:val="en-GB"/>
              </w:rPr>
              <w:t>0.66 (0.19, 2.36)</w:t>
            </w:r>
          </w:p>
        </w:tc>
      </w:tr>
      <w:tr w:rsidR="00E607F1" w:rsidRPr="00E63838" w14:paraId="08FFF332" w14:textId="77777777" w:rsidTr="004A5906">
        <w:trPr>
          <w:trHeight w:val="57"/>
          <w:jc w:val="center"/>
        </w:trPr>
        <w:tc>
          <w:tcPr>
            <w:tcW w:w="1527" w:type="pct"/>
            <w:tcBorders>
              <w:top w:val="single" w:sz="4" w:space="0" w:color="auto"/>
              <w:left w:val="single" w:sz="4" w:space="0" w:color="auto"/>
              <w:bottom w:val="single" w:sz="4" w:space="0" w:color="auto"/>
              <w:right w:val="single" w:sz="4" w:space="0" w:color="auto"/>
            </w:tcBorders>
            <w:hideMark/>
          </w:tcPr>
          <w:p w14:paraId="51D2AD56" w14:textId="77777777" w:rsidR="00E607F1" w:rsidRPr="00E63838" w:rsidRDefault="00E607F1" w:rsidP="004A5906">
            <w:pPr>
              <w:rPr>
                <w:sz w:val="22"/>
                <w:szCs w:val="22"/>
                <w:lang w:val="en-GB"/>
              </w:rPr>
            </w:pPr>
            <w:r w:rsidRPr="00E63838">
              <w:rPr>
                <w:sz w:val="22"/>
                <w:szCs w:val="22"/>
                <w:lang w:val="en-GB"/>
              </w:rPr>
              <w:t>Major bleeding events/clinically relevant bleeds</w:t>
            </w:r>
          </w:p>
        </w:tc>
        <w:tc>
          <w:tcPr>
            <w:tcW w:w="1215" w:type="pct"/>
            <w:tcBorders>
              <w:top w:val="single" w:sz="4" w:space="0" w:color="auto"/>
              <w:left w:val="single" w:sz="4" w:space="0" w:color="auto"/>
              <w:bottom w:val="single" w:sz="4" w:space="0" w:color="auto"/>
              <w:right w:val="single" w:sz="4" w:space="0" w:color="auto"/>
            </w:tcBorders>
            <w:hideMark/>
          </w:tcPr>
          <w:p w14:paraId="1A508AB2" w14:textId="77777777" w:rsidR="00E607F1" w:rsidRPr="00E63838" w:rsidRDefault="00E607F1" w:rsidP="004A5906">
            <w:pPr>
              <w:rPr>
                <w:sz w:val="22"/>
                <w:szCs w:val="22"/>
                <w:lang w:val="en-GB"/>
              </w:rPr>
            </w:pPr>
            <w:r w:rsidRPr="00E63838">
              <w:rPr>
                <w:sz w:val="22"/>
                <w:szCs w:val="22"/>
                <w:lang w:val="en-GB"/>
              </w:rPr>
              <w:t>109 (4.4%)</w:t>
            </w:r>
          </w:p>
        </w:tc>
        <w:tc>
          <w:tcPr>
            <w:tcW w:w="866" w:type="pct"/>
            <w:tcBorders>
              <w:top w:val="single" w:sz="4" w:space="0" w:color="auto"/>
              <w:left w:val="single" w:sz="4" w:space="0" w:color="auto"/>
              <w:bottom w:val="single" w:sz="4" w:space="0" w:color="auto"/>
              <w:right w:val="single" w:sz="4" w:space="0" w:color="auto"/>
            </w:tcBorders>
            <w:hideMark/>
          </w:tcPr>
          <w:p w14:paraId="1EE588F6" w14:textId="77777777" w:rsidR="00E607F1" w:rsidRPr="00E63838" w:rsidRDefault="00E607F1" w:rsidP="004A5906">
            <w:pPr>
              <w:rPr>
                <w:sz w:val="22"/>
                <w:szCs w:val="22"/>
                <w:lang w:val="en-GB"/>
              </w:rPr>
            </w:pPr>
            <w:r w:rsidRPr="00E63838">
              <w:rPr>
                <w:sz w:val="22"/>
                <w:szCs w:val="22"/>
                <w:lang w:val="en-GB"/>
              </w:rPr>
              <w:t>189 (7.7%)</w:t>
            </w:r>
          </w:p>
        </w:tc>
        <w:tc>
          <w:tcPr>
            <w:tcW w:w="1392" w:type="pct"/>
            <w:tcBorders>
              <w:top w:val="single" w:sz="4" w:space="0" w:color="auto"/>
              <w:left w:val="single" w:sz="4" w:space="0" w:color="auto"/>
              <w:bottom w:val="single" w:sz="4" w:space="0" w:color="auto"/>
              <w:right w:val="single" w:sz="4" w:space="0" w:color="auto"/>
            </w:tcBorders>
            <w:hideMark/>
          </w:tcPr>
          <w:p w14:paraId="66C404FB" w14:textId="77777777" w:rsidR="00E607F1" w:rsidRPr="00E63838" w:rsidRDefault="00E607F1" w:rsidP="004A5906">
            <w:pPr>
              <w:rPr>
                <w:sz w:val="22"/>
                <w:szCs w:val="22"/>
                <w:lang w:val="en-GB"/>
              </w:rPr>
            </w:pPr>
            <w:r w:rsidRPr="00E63838">
              <w:rPr>
                <w:sz w:val="22"/>
                <w:szCs w:val="22"/>
                <w:lang w:val="en-GB"/>
              </w:rPr>
              <w:t>0.56 (0.45, 0.71)</w:t>
            </w:r>
          </w:p>
        </w:tc>
      </w:tr>
      <w:tr w:rsidR="00E607F1" w:rsidRPr="00E63838" w14:paraId="3A7F6E5D" w14:textId="77777777" w:rsidTr="004A5906">
        <w:trPr>
          <w:trHeight w:val="57"/>
          <w:jc w:val="center"/>
        </w:trPr>
        <w:tc>
          <w:tcPr>
            <w:tcW w:w="1527" w:type="pct"/>
            <w:tcBorders>
              <w:top w:val="single" w:sz="4" w:space="0" w:color="auto"/>
              <w:left w:val="single" w:sz="4" w:space="0" w:color="auto"/>
              <w:bottom w:val="nil"/>
              <w:right w:val="nil"/>
            </w:tcBorders>
            <w:hideMark/>
          </w:tcPr>
          <w:p w14:paraId="5E2168C1" w14:textId="77777777" w:rsidR="00E607F1" w:rsidRPr="00E63838" w:rsidRDefault="00E607F1" w:rsidP="004A5906">
            <w:pPr>
              <w:rPr>
                <w:sz w:val="22"/>
                <w:szCs w:val="22"/>
                <w:lang w:val="en-GB"/>
              </w:rPr>
            </w:pPr>
            <w:r w:rsidRPr="00E63838">
              <w:rPr>
                <w:sz w:val="22"/>
                <w:szCs w:val="22"/>
                <w:lang w:val="en-GB"/>
              </w:rPr>
              <w:t>Any bleeding</w:t>
            </w:r>
          </w:p>
        </w:tc>
        <w:tc>
          <w:tcPr>
            <w:tcW w:w="1215" w:type="pct"/>
            <w:tcBorders>
              <w:top w:val="single" w:sz="4" w:space="0" w:color="auto"/>
              <w:left w:val="single" w:sz="4" w:space="0" w:color="auto"/>
              <w:bottom w:val="nil"/>
              <w:right w:val="nil"/>
            </w:tcBorders>
            <w:hideMark/>
          </w:tcPr>
          <w:p w14:paraId="42BC98AB" w14:textId="77777777" w:rsidR="00E607F1" w:rsidRPr="00E63838" w:rsidRDefault="00E607F1" w:rsidP="004A5906">
            <w:pPr>
              <w:rPr>
                <w:sz w:val="22"/>
                <w:szCs w:val="22"/>
                <w:lang w:val="en-GB"/>
              </w:rPr>
            </w:pPr>
            <w:r w:rsidRPr="00E63838">
              <w:rPr>
                <w:sz w:val="22"/>
                <w:szCs w:val="22"/>
                <w:lang w:val="en-GB"/>
              </w:rPr>
              <w:t>354 (14.4%)</w:t>
            </w:r>
          </w:p>
        </w:tc>
        <w:tc>
          <w:tcPr>
            <w:tcW w:w="866" w:type="pct"/>
            <w:tcBorders>
              <w:top w:val="single" w:sz="4" w:space="0" w:color="auto"/>
              <w:left w:val="single" w:sz="4" w:space="0" w:color="auto"/>
              <w:bottom w:val="nil"/>
              <w:right w:val="nil"/>
            </w:tcBorders>
            <w:hideMark/>
          </w:tcPr>
          <w:p w14:paraId="5839A8D1" w14:textId="77777777" w:rsidR="00E607F1" w:rsidRPr="00E63838" w:rsidRDefault="00E607F1" w:rsidP="004A5906">
            <w:pPr>
              <w:rPr>
                <w:sz w:val="22"/>
                <w:szCs w:val="22"/>
                <w:lang w:val="en-GB"/>
              </w:rPr>
            </w:pPr>
            <w:r w:rsidRPr="00E63838">
              <w:rPr>
                <w:sz w:val="22"/>
                <w:szCs w:val="22"/>
                <w:lang w:val="en-GB"/>
              </w:rPr>
              <w:t>503 (20.4%)</w:t>
            </w:r>
          </w:p>
        </w:tc>
        <w:tc>
          <w:tcPr>
            <w:tcW w:w="1392" w:type="pct"/>
            <w:tcBorders>
              <w:top w:val="single" w:sz="4" w:space="0" w:color="auto"/>
              <w:left w:val="single" w:sz="4" w:space="0" w:color="auto"/>
              <w:bottom w:val="nil"/>
              <w:right w:val="single" w:sz="4" w:space="0" w:color="auto"/>
            </w:tcBorders>
            <w:hideMark/>
          </w:tcPr>
          <w:p w14:paraId="370E4BD1" w14:textId="77777777" w:rsidR="00E607F1" w:rsidRPr="00E63838" w:rsidRDefault="00E607F1" w:rsidP="004A5906">
            <w:pPr>
              <w:rPr>
                <w:sz w:val="22"/>
                <w:szCs w:val="22"/>
                <w:lang w:val="en-GB"/>
              </w:rPr>
            </w:pPr>
            <w:r w:rsidRPr="00E63838">
              <w:rPr>
                <w:sz w:val="22"/>
                <w:szCs w:val="22"/>
                <w:lang w:val="en-GB"/>
              </w:rPr>
              <w:t>0.67 (0.59, 0.77)</w:t>
            </w:r>
          </w:p>
        </w:tc>
      </w:tr>
      <w:tr w:rsidR="00E607F1" w:rsidRPr="00E63838" w14:paraId="001E47F9" w14:textId="77777777" w:rsidTr="004A5906">
        <w:trPr>
          <w:trHeight w:val="57"/>
          <w:jc w:val="center"/>
        </w:trPr>
        <w:tc>
          <w:tcPr>
            <w:tcW w:w="1527" w:type="pct"/>
            <w:tcBorders>
              <w:top w:val="single" w:sz="4" w:space="0" w:color="auto"/>
              <w:left w:val="single" w:sz="4" w:space="0" w:color="auto"/>
              <w:bottom w:val="single" w:sz="4" w:space="0" w:color="auto"/>
              <w:right w:val="nil"/>
            </w:tcBorders>
            <w:hideMark/>
          </w:tcPr>
          <w:p w14:paraId="45B9ACAB" w14:textId="77777777" w:rsidR="00E607F1" w:rsidRPr="00E63838" w:rsidRDefault="00E607F1" w:rsidP="00E63838">
            <w:pPr>
              <w:ind w:left="264"/>
              <w:rPr>
                <w:sz w:val="22"/>
                <w:szCs w:val="22"/>
                <w:lang w:val="en-GB"/>
              </w:rPr>
            </w:pPr>
            <w:r w:rsidRPr="00E63838">
              <w:rPr>
                <w:sz w:val="22"/>
                <w:szCs w:val="22"/>
                <w:lang w:val="en-GB"/>
              </w:rPr>
              <w:t>Any GI bleeding</w:t>
            </w:r>
          </w:p>
        </w:tc>
        <w:tc>
          <w:tcPr>
            <w:tcW w:w="1215" w:type="pct"/>
            <w:tcBorders>
              <w:top w:val="single" w:sz="4" w:space="0" w:color="auto"/>
              <w:left w:val="single" w:sz="4" w:space="0" w:color="auto"/>
              <w:bottom w:val="single" w:sz="4" w:space="0" w:color="auto"/>
              <w:right w:val="nil"/>
            </w:tcBorders>
            <w:hideMark/>
          </w:tcPr>
          <w:p w14:paraId="7F21EF83" w14:textId="77777777" w:rsidR="00E607F1" w:rsidRPr="00E63838" w:rsidRDefault="00E607F1" w:rsidP="004A5906">
            <w:pPr>
              <w:rPr>
                <w:sz w:val="22"/>
                <w:szCs w:val="22"/>
                <w:lang w:val="en-GB"/>
              </w:rPr>
            </w:pPr>
            <w:r w:rsidRPr="00E63838">
              <w:rPr>
                <w:sz w:val="22"/>
                <w:szCs w:val="22"/>
                <w:lang w:val="en-GB"/>
              </w:rPr>
              <w:t>70 (2.9%)</w:t>
            </w:r>
          </w:p>
        </w:tc>
        <w:tc>
          <w:tcPr>
            <w:tcW w:w="866" w:type="pct"/>
            <w:tcBorders>
              <w:top w:val="single" w:sz="4" w:space="0" w:color="auto"/>
              <w:left w:val="single" w:sz="4" w:space="0" w:color="auto"/>
              <w:bottom w:val="single" w:sz="4" w:space="0" w:color="auto"/>
              <w:right w:val="nil"/>
            </w:tcBorders>
            <w:hideMark/>
          </w:tcPr>
          <w:p w14:paraId="53EE7B29" w14:textId="77777777" w:rsidR="00E607F1" w:rsidRPr="00E63838" w:rsidRDefault="00E607F1" w:rsidP="004A5906">
            <w:pPr>
              <w:rPr>
                <w:sz w:val="22"/>
                <w:szCs w:val="22"/>
                <w:lang w:val="en-GB"/>
              </w:rPr>
            </w:pPr>
            <w:r w:rsidRPr="00E63838">
              <w:rPr>
                <w:sz w:val="22"/>
                <w:szCs w:val="22"/>
                <w:lang w:val="en-GB"/>
              </w:rPr>
              <w:t>55 (2.2%)</w:t>
            </w:r>
          </w:p>
        </w:tc>
        <w:tc>
          <w:tcPr>
            <w:tcW w:w="1392" w:type="pct"/>
            <w:tcBorders>
              <w:top w:val="single" w:sz="4" w:space="0" w:color="auto"/>
              <w:left w:val="single" w:sz="4" w:space="0" w:color="auto"/>
              <w:bottom w:val="single" w:sz="4" w:space="0" w:color="auto"/>
              <w:right w:val="single" w:sz="4" w:space="0" w:color="auto"/>
            </w:tcBorders>
            <w:hideMark/>
          </w:tcPr>
          <w:p w14:paraId="7EF7B66C" w14:textId="77777777" w:rsidR="00E607F1" w:rsidRPr="00E63838" w:rsidRDefault="00E607F1" w:rsidP="004A5906">
            <w:pPr>
              <w:rPr>
                <w:sz w:val="22"/>
                <w:szCs w:val="22"/>
                <w:lang w:val="en-GB"/>
              </w:rPr>
            </w:pPr>
            <w:r w:rsidRPr="00E63838">
              <w:rPr>
                <w:sz w:val="22"/>
                <w:szCs w:val="22"/>
                <w:lang w:val="en-GB"/>
              </w:rPr>
              <w:t>1.27 (0.90, 1.82)</w:t>
            </w:r>
          </w:p>
        </w:tc>
      </w:tr>
    </w:tbl>
    <w:p w14:paraId="24BBBCF4" w14:textId="77777777" w:rsidR="00E607F1" w:rsidRPr="00B55C24" w:rsidRDefault="00E607F1" w:rsidP="00E607F1">
      <w:pPr>
        <w:tabs>
          <w:tab w:val="left" w:pos="851"/>
        </w:tabs>
        <w:ind w:left="851"/>
        <w:rPr>
          <w:sz w:val="24"/>
          <w:szCs w:val="24"/>
          <w:lang w:val="en-GB"/>
        </w:rPr>
      </w:pPr>
    </w:p>
    <w:p w14:paraId="514C9789" w14:textId="77777777" w:rsidR="00E607F1" w:rsidRPr="00B55C24" w:rsidRDefault="00E607F1" w:rsidP="004A5906">
      <w:pPr>
        <w:ind w:left="851"/>
        <w:rPr>
          <w:sz w:val="24"/>
          <w:szCs w:val="24"/>
          <w:lang w:val="en-GB"/>
        </w:rPr>
      </w:pPr>
      <w:r w:rsidRPr="00B55C24">
        <w:rPr>
          <w:sz w:val="24"/>
          <w:szCs w:val="24"/>
          <w:lang w:val="en-GB"/>
        </w:rPr>
        <w:t xml:space="preserve">Bleeding events for both treatments are counted from the first intake of dabigatran </w:t>
      </w:r>
      <w:proofErr w:type="spellStart"/>
      <w:r w:rsidRPr="00B55C24">
        <w:rPr>
          <w:sz w:val="24"/>
          <w:szCs w:val="24"/>
          <w:lang w:val="en-GB"/>
        </w:rPr>
        <w:t>etexilate</w:t>
      </w:r>
      <w:proofErr w:type="spellEnd"/>
      <w:r w:rsidRPr="00B55C24">
        <w:rPr>
          <w:sz w:val="24"/>
          <w:szCs w:val="24"/>
          <w:lang w:val="en-GB"/>
        </w:rPr>
        <w:t xml:space="preserve"> or warfarin after the parenteral therapy has been discontinued (oral only treatment period). This includes all bleeding events, which occurred during dabigatran </w:t>
      </w:r>
      <w:proofErr w:type="spellStart"/>
      <w:r w:rsidRPr="00B55C24">
        <w:rPr>
          <w:sz w:val="24"/>
          <w:szCs w:val="24"/>
          <w:lang w:val="en-GB"/>
        </w:rPr>
        <w:t>etexilate</w:t>
      </w:r>
      <w:proofErr w:type="spellEnd"/>
      <w:r w:rsidRPr="00B55C24">
        <w:rPr>
          <w:sz w:val="24"/>
          <w:szCs w:val="24"/>
          <w:lang w:val="en-GB"/>
        </w:rPr>
        <w:t xml:space="preserve"> therapy. All bleeding events which occurred during warfarin therapy are included except for those during the overlap period between warfarin and parenteral therapy.</w:t>
      </w:r>
    </w:p>
    <w:p w14:paraId="025E4228" w14:textId="77777777" w:rsidR="00E607F1" w:rsidRPr="00B55C24" w:rsidRDefault="00E607F1" w:rsidP="004A5906">
      <w:pPr>
        <w:ind w:left="851"/>
        <w:rPr>
          <w:sz w:val="24"/>
          <w:szCs w:val="24"/>
          <w:lang w:val="en-GB"/>
        </w:rPr>
      </w:pPr>
    </w:p>
    <w:p w14:paraId="751CB4C5" w14:textId="77777777" w:rsidR="00E607F1" w:rsidRPr="00B55C24" w:rsidRDefault="00E607F1" w:rsidP="004A5906">
      <w:pPr>
        <w:ind w:left="851"/>
        <w:rPr>
          <w:sz w:val="24"/>
          <w:szCs w:val="24"/>
          <w:lang w:val="en-GB"/>
        </w:rPr>
      </w:pPr>
      <w:r w:rsidRPr="00B55C24">
        <w:rPr>
          <w:sz w:val="24"/>
          <w:szCs w:val="24"/>
          <w:lang w:val="en-GB"/>
        </w:rPr>
        <w:t xml:space="preserve">Table 14 shows bleeding events in pivotal study RE-MEDY testing prevention of DVT and PE. Some bleeding events (MBEs/CRBEs; any bleeding) were significantly lower at a nominal alpha level of 5% in patients receiving dabigatran </w:t>
      </w:r>
      <w:proofErr w:type="spellStart"/>
      <w:r w:rsidRPr="00B55C24">
        <w:rPr>
          <w:sz w:val="24"/>
          <w:szCs w:val="24"/>
          <w:lang w:val="en-GB"/>
        </w:rPr>
        <w:t>etexilate</w:t>
      </w:r>
      <w:proofErr w:type="spellEnd"/>
      <w:r w:rsidRPr="00B55C24">
        <w:rPr>
          <w:sz w:val="24"/>
          <w:szCs w:val="24"/>
          <w:lang w:val="en-GB"/>
        </w:rPr>
        <w:t xml:space="preserve"> as compared with those receiving warfarin.</w:t>
      </w:r>
    </w:p>
    <w:p w14:paraId="694FEB44" w14:textId="01D39BBD" w:rsidR="00322951" w:rsidRDefault="00322951">
      <w:pPr>
        <w:rPr>
          <w:sz w:val="24"/>
          <w:szCs w:val="24"/>
          <w:lang w:val="en-GB"/>
        </w:rPr>
      </w:pPr>
      <w:r>
        <w:rPr>
          <w:sz w:val="24"/>
          <w:szCs w:val="24"/>
          <w:lang w:val="en-GB"/>
        </w:rPr>
        <w:br w:type="page"/>
      </w:r>
    </w:p>
    <w:p w14:paraId="2E0A494C" w14:textId="77777777" w:rsidR="00E607F1" w:rsidRPr="00B55C24" w:rsidRDefault="00E607F1" w:rsidP="00E607F1">
      <w:pPr>
        <w:tabs>
          <w:tab w:val="left" w:pos="851"/>
        </w:tabs>
        <w:ind w:left="851"/>
        <w:rPr>
          <w:sz w:val="24"/>
          <w:szCs w:val="24"/>
          <w:lang w:val="en-GB"/>
        </w:rPr>
      </w:pPr>
    </w:p>
    <w:p w14:paraId="3A0190A8"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14: Bleeding events in study RE-MEDY testing prevention of DVT and PE</w:t>
      </w:r>
    </w:p>
    <w:p w14:paraId="691747A8"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75"/>
        <w:gridCol w:w="2180"/>
        <w:gridCol w:w="1621"/>
        <w:gridCol w:w="2852"/>
      </w:tblGrid>
      <w:tr w:rsidR="00E607F1" w:rsidRPr="00D476B2" w14:paraId="0D3E1773" w14:textId="77777777" w:rsidTr="004A5906">
        <w:trPr>
          <w:trHeight w:val="57"/>
          <w:jc w:val="center"/>
        </w:trPr>
        <w:tc>
          <w:tcPr>
            <w:tcW w:w="1545" w:type="pct"/>
            <w:tcBorders>
              <w:top w:val="single" w:sz="4" w:space="0" w:color="auto"/>
              <w:left w:val="single" w:sz="4" w:space="0" w:color="auto"/>
              <w:bottom w:val="nil"/>
              <w:right w:val="nil"/>
            </w:tcBorders>
          </w:tcPr>
          <w:p w14:paraId="3D24F4F0" w14:textId="77777777" w:rsidR="00E607F1" w:rsidRPr="00E63838" w:rsidRDefault="00E607F1" w:rsidP="004A5906">
            <w:pPr>
              <w:rPr>
                <w:sz w:val="22"/>
                <w:szCs w:val="22"/>
                <w:lang w:val="en-GB"/>
              </w:rPr>
            </w:pPr>
          </w:p>
        </w:tc>
        <w:tc>
          <w:tcPr>
            <w:tcW w:w="1132" w:type="pct"/>
            <w:tcBorders>
              <w:top w:val="single" w:sz="4" w:space="0" w:color="auto"/>
              <w:left w:val="single" w:sz="4" w:space="0" w:color="auto"/>
              <w:bottom w:val="nil"/>
              <w:right w:val="nil"/>
            </w:tcBorders>
            <w:hideMark/>
          </w:tcPr>
          <w:p w14:paraId="4DD56D29" w14:textId="77777777" w:rsidR="00E607F1" w:rsidRPr="00E63838" w:rsidRDefault="00E607F1" w:rsidP="004A5906">
            <w:pPr>
              <w:rPr>
                <w:sz w:val="22"/>
                <w:szCs w:val="22"/>
                <w:lang w:val="en-GB"/>
              </w:rPr>
            </w:pPr>
            <w:r w:rsidRPr="00E63838">
              <w:rPr>
                <w:sz w:val="22"/>
                <w:szCs w:val="22"/>
                <w:lang w:val="en-GB"/>
              </w:rPr>
              <w:t xml:space="preserve">Dabigatran </w:t>
            </w:r>
            <w:proofErr w:type="spellStart"/>
            <w:r w:rsidRPr="00E63838">
              <w:rPr>
                <w:sz w:val="22"/>
                <w:szCs w:val="22"/>
                <w:lang w:val="en-GB"/>
              </w:rPr>
              <w:t>etexilate</w:t>
            </w:r>
            <w:proofErr w:type="spellEnd"/>
            <w:r w:rsidRPr="00E63838">
              <w:rPr>
                <w:sz w:val="22"/>
                <w:szCs w:val="22"/>
                <w:lang w:val="en-GB"/>
              </w:rPr>
              <w:t xml:space="preserve"> 150 mg twice daily</w:t>
            </w:r>
          </w:p>
        </w:tc>
        <w:tc>
          <w:tcPr>
            <w:tcW w:w="842" w:type="pct"/>
            <w:tcBorders>
              <w:top w:val="single" w:sz="4" w:space="0" w:color="auto"/>
              <w:left w:val="single" w:sz="4" w:space="0" w:color="auto"/>
              <w:bottom w:val="nil"/>
              <w:right w:val="nil"/>
            </w:tcBorders>
            <w:hideMark/>
          </w:tcPr>
          <w:p w14:paraId="0FC98CCC" w14:textId="77777777" w:rsidR="00E607F1" w:rsidRPr="00E63838" w:rsidRDefault="00E607F1" w:rsidP="004A5906">
            <w:pPr>
              <w:rPr>
                <w:sz w:val="22"/>
                <w:szCs w:val="22"/>
                <w:lang w:val="en-GB"/>
              </w:rPr>
            </w:pPr>
            <w:r w:rsidRPr="00E63838">
              <w:rPr>
                <w:sz w:val="22"/>
                <w:szCs w:val="22"/>
                <w:lang w:val="en-GB"/>
              </w:rPr>
              <w:t>Warfarin</w:t>
            </w:r>
          </w:p>
        </w:tc>
        <w:tc>
          <w:tcPr>
            <w:tcW w:w="1482" w:type="pct"/>
            <w:tcBorders>
              <w:top w:val="single" w:sz="4" w:space="0" w:color="auto"/>
              <w:left w:val="single" w:sz="4" w:space="0" w:color="auto"/>
              <w:bottom w:val="nil"/>
              <w:right w:val="single" w:sz="4" w:space="0" w:color="auto"/>
            </w:tcBorders>
            <w:hideMark/>
          </w:tcPr>
          <w:p w14:paraId="422B2BDA" w14:textId="77777777" w:rsidR="00E607F1" w:rsidRPr="00E63838" w:rsidRDefault="00E607F1" w:rsidP="004A5906">
            <w:pPr>
              <w:rPr>
                <w:sz w:val="22"/>
                <w:szCs w:val="22"/>
                <w:lang w:val="en-GB"/>
              </w:rPr>
            </w:pPr>
            <w:r w:rsidRPr="00E63838">
              <w:rPr>
                <w:sz w:val="22"/>
                <w:szCs w:val="22"/>
                <w:lang w:val="en-GB"/>
              </w:rPr>
              <w:t>Hazard ratio vs warfarin (95% Confidence Interval)</w:t>
            </w:r>
          </w:p>
        </w:tc>
      </w:tr>
      <w:tr w:rsidR="00E607F1" w:rsidRPr="00E63838" w14:paraId="065C050F" w14:textId="77777777" w:rsidTr="004A5906">
        <w:trPr>
          <w:trHeight w:val="57"/>
          <w:jc w:val="center"/>
        </w:trPr>
        <w:tc>
          <w:tcPr>
            <w:tcW w:w="1545" w:type="pct"/>
            <w:tcBorders>
              <w:top w:val="single" w:sz="4" w:space="0" w:color="auto"/>
              <w:left w:val="single" w:sz="4" w:space="0" w:color="auto"/>
              <w:bottom w:val="nil"/>
              <w:right w:val="nil"/>
            </w:tcBorders>
            <w:hideMark/>
          </w:tcPr>
          <w:p w14:paraId="221654AC" w14:textId="77777777" w:rsidR="00E607F1" w:rsidRPr="00E63838" w:rsidRDefault="00E607F1" w:rsidP="004A5906">
            <w:pPr>
              <w:rPr>
                <w:sz w:val="22"/>
                <w:szCs w:val="22"/>
                <w:lang w:val="en-GB"/>
              </w:rPr>
            </w:pPr>
            <w:r w:rsidRPr="00E63838">
              <w:rPr>
                <w:sz w:val="22"/>
                <w:szCs w:val="22"/>
                <w:lang w:val="en-GB"/>
              </w:rPr>
              <w:t>Treated patients</w:t>
            </w:r>
          </w:p>
        </w:tc>
        <w:tc>
          <w:tcPr>
            <w:tcW w:w="1132" w:type="pct"/>
            <w:tcBorders>
              <w:top w:val="single" w:sz="4" w:space="0" w:color="auto"/>
              <w:left w:val="single" w:sz="4" w:space="0" w:color="auto"/>
              <w:bottom w:val="nil"/>
              <w:right w:val="nil"/>
            </w:tcBorders>
            <w:hideMark/>
          </w:tcPr>
          <w:p w14:paraId="4DBAFF4F" w14:textId="77777777" w:rsidR="00E607F1" w:rsidRPr="00E63838" w:rsidRDefault="00E607F1" w:rsidP="004A5906">
            <w:pPr>
              <w:rPr>
                <w:sz w:val="22"/>
                <w:szCs w:val="22"/>
                <w:lang w:val="en-GB"/>
              </w:rPr>
            </w:pPr>
            <w:r w:rsidRPr="00E63838">
              <w:rPr>
                <w:sz w:val="22"/>
                <w:szCs w:val="22"/>
                <w:lang w:val="en-GB"/>
              </w:rPr>
              <w:t>1,430</w:t>
            </w:r>
          </w:p>
        </w:tc>
        <w:tc>
          <w:tcPr>
            <w:tcW w:w="842" w:type="pct"/>
            <w:tcBorders>
              <w:top w:val="single" w:sz="4" w:space="0" w:color="auto"/>
              <w:left w:val="single" w:sz="4" w:space="0" w:color="auto"/>
              <w:bottom w:val="nil"/>
              <w:right w:val="nil"/>
            </w:tcBorders>
            <w:hideMark/>
          </w:tcPr>
          <w:p w14:paraId="19E155B7" w14:textId="77777777" w:rsidR="00E607F1" w:rsidRPr="00E63838" w:rsidRDefault="00E607F1" w:rsidP="004A5906">
            <w:pPr>
              <w:rPr>
                <w:sz w:val="22"/>
                <w:szCs w:val="22"/>
                <w:lang w:val="en-GB"/>
              </w:rPr>
            </w:pPr>
            <w:r w:rsidRPr="00E63838">
              <w:rPr>
                <w:sz w:val="22"/>
                <w:szCs w:val="22"/>
                <w:lang w:val="en-GB"/>
              </w:rPr>
              <w:t>1,426</w:t>
            </w:r>
          </w:p>
        </w:tc>
        <w:tc>
          <w:tcPr>
            <w:tcW w:w="1482" w:type="pct"/>
            <w:tcBorders>
              <w:top w:val="single" w:sz="4" w:space="0" w:color="auto"/>
              <w:left w:val="single" w:sz="4" w:space="0" w:color="auto"/>
              <w:bottom w:val="nil"/>
              <w:right w:val="single" w:sz="4" w:space="0" w:color="auto"/>
            </w:tcBorders>
          </w:tcPr>
          <w:p w14:paraId="74A2030D" w14:textId="77777777" w:rsidR="00E607F1" w:rsidRPr="00E63838" w:rsidRDefault="00E607F1" w:rsidP="004A5906">
            <w:pPr>
              <w:rPr>
                <w:sz w:val="22"/>
                <w:szCs w:val="22"/>
                <w:lang w:val="en-GB"/>
              </w:rPr>
            </w:pPr>
          </w:p>
        </w:tc>
      </w:tr>
      <w:tr w:rsidR="00E607F1" w:rsidRPr="00E63838" w14:paraId="6F3BE33B" w14:textId="77777777" w:rsidTr="004A5906">
        <w:trPr>
          <w:trHeight w:val="57"/>
          <w:jc w:val="center"/>
        </w:trPr>
        <w:tc>
          <w:tcPr>
            <w:tcW w:w="1545" w:type="pct"/>
            <w:tcBorders>
              <w:top w:val="single" w:sz="4" w:space="0" w:color="auto"/>
              <w:left w:val="single" w:sz="4" w:space="0" w:color="auto"/>
              <w:bottom w:val="nil"/>
              <w:right w:val="nil"/>
            </w:tcBorders>
            <w:hideMark/>
          </w:tcPr>
          <w:p w14:paraId="133AC354" w14:textId="77777777" w:rsidR="00E607F1" w:rsidRPr="00E63838" w:rsidRDefault="00E607F1" w:rsidP="004A5906">
            <w:pPr>
              <w:rPr>
                <w:sz w:val="22"/>
                <w:szCs w:val="22"/>
                <w:lang w:val="en-GB"/>
              </w:rPr>
            </w:pPr>
            <w:proofErr w:type="spellStart"/>
            <w:r w:rsidRPr="00E63838">
              <w:rPr>
                <w:sz w:val="22"/>
                <w:szCs w:val="22"/>
                <w:lang w:val="en-GB"/>
              </w:rPr>
              <w:t>Majory</w:t>
            </w:r>
            <w:proofErr w:type="spellEnd"/>
            <w:r w:rsidRPr="00E63838">
              <w:rPr>
                <w:sz w:val="22"/>
                <w:szCs w:val="22"/>
                <w:lang w:val="en-GB"/>
              </w:rPr>
              <w:t xml:space="preserve"> bleeding events</w:t>
            </w:r>
          </w:p>
        </w:tc>
        <w:tc>
          <w:tcPr>
            <w:tcW w:w="1132" w:type="pct"/>
            <w:tcBorders>
              <w:top w:val="single" w:sz="4" w:space="0" w:color="auto"/>
              <w:left w:val="single" w:sz="4" w:space="0" w:color="auto"/>
              <w:bottom w:val="nil"/>
              <w:right w:val="nil"/>
            </w:tcBorders>
            <w:hideMark/>
          </w:tcPr>
          <w:p w14:paraId="50642DCE" w14:textId="77777777" w:rsidR="00E607F1" w:rsidRPr="00E63838" w:rsidRDefault="00E607F1" w:rsidP="004A5906">
            <w:pPr>
              <w:rPr>
                <w:sz w:val="22"/>
                <w:szCs w:val="22"/>
                <w:lang w:val="en-GB"/>
              </w:rPr>
            </w:pPr>
            <w:r w:rsidRPr="00E63838">
              <w:rPr>
                <w:sz w:val="22"/>
                <w:szCs w:val="22"/>
                <w:lang w:val="en-GB"/>
              </w:rPr>
              <w:t>13 (0.9%)</w:t>
            </w:r>
          </w:p>
        </w:tc>
        <w:tc>
          <w:tcPr>
            <w:tcW w:w="842" w:type="pct"/>
            <w:tcBorders>
              <w:top w:val="single" w:sz="4" w:space="0" w:color="auto"/>
              <w:left w:val="single" w:sz="4" w:space="0" w:color="auto"/>
              <w:bottom w:val="nil"/>
              <w:right w:val="nil"/>
            </w:tcBorders>
            <w:hideMark/>
          </w:tcPr>
          <w:p w14:paraId="2E3E0BD5" w14:textId="77777777" w:rsidR="00E607F1" w:rsidRPr="00E63838" w:rsidRDefault="00E607F1" w:rsidP="004A5906">
            <w:pPr>
              <w:rPr>
                <w:sz w:val="22"/>
                <w:szCs w:val="22"/>
                <w:lang w:val="en-GB"/>
              </w:rPr>
            </w:pPr>
            <w:r w:rsidRPr="00E63838">
              <w:rPr>
                <w:sz w:val="22"/>
                <w:szCs w:val="22"/>
                <w:lang w:val="en-GB"/>
              </w:rPr>
              <w:t>25 (1.8%)</w:t>
            </w:r>
          </w:p>
        </w:tc>
        <w:tc>
          <w:tcPr>
            <w:tcW w:w="1482" w:type="pct"/>
            <w:tcBorders>
              <w:top w:val="single" w:sz="4" w:space="0" w:color="auto"/>
              <w:left w:val="single" w:sz="4" w:space="0" w:color="auto"/>
              <w:bottom w:val="nil"/>
              <w:right w:val="single" w:sz="4" w:space="0" w:color="auto"/>
            </w:tcBorders>
            <w:hideMark/>
          </w:tcPr>
          <w:p w14:paraId="1D58B59C" w14:textId="77777777" w:rsidR="00E607F1" w:rsidRPr="00E63838" w:rsidRDefault="00E607F1" w:rsidP="004A5906">
            <w:pPr>
              <w:rPr>
                <w:sz w:val="22"/>
                <w:szCs w:val="22"/>
                <w:lang w:val="en-GB"/>
              </w:rPr>
            </w:pPr>
            <w:r w:rsidRPr="00E63838">
              <w:rPr>
                <w:sz w:val="22"/>
                <w:szCs w:val="22"/>
                <w:lang w:val="en-GB"/>
              </w:rPr>
              <w:t>0.54 (0.25, 1.16)</w:t>
            </w:r>
          </w:p>
        </w:tc>
      </w:tr>
      <w:tr w:rsidR="00E607F1" w:rsidRPr="00E63838" w14:paraId="7FCDF3FF" w14:textId="77777777" w:rsidTr="004A5906">
        <w:trPr>
          <w:trHeight w:val="57"/>
          <w:jc w:val="center"/>
        </w:trPr>
        <w:tc>
          <w:tcPr>
            <w:tcW w:w="1545" w:type="pct"/>
            <w:tcBorders>
              <w:top w:val="single" w:sz="4" w:space="0" w:color="auto"/>
              <w:left w:val="single" w:sz="4" w:space="0" w:color="auto"/>
              <w:bottom w:val="nil"/>
              <w:right w:val="nil"/>
            </w:tcBorders>
            <w:hideMark/>
          </w:tcPr>
          <w:p w14:paraId="67894C29" w14:textId="77777777" w:rsidR="00E607F1" w:rsidRPr="00E63838" w:rsidRDefault="00E607F1" w:rsidP="00E63838">
            <w:pPr>
              <w:ind w:left="264"/>
              <w:rPr>
                <w:sz w:val="22"/>
                <w:szCs w:val="22"/>
                <w:lang w:val="en-GB"/>
              </w:rPr>
            </w:pPr>
            <w:r w:rsidRPr="00E63838">
              <w:rPr>
                <w:sz w:val="22"/>
                <w:szCs w:val="22"/>
                <w:lang w:val="en-GB"/>
              </w:rPr>
              <w:t>Intracranial bleeding</w:t>
            </w:r>
          </w:p>
        </w:tc>
        <w:tc>
          <w:tcPr>
            <w:tcW w:w="1132" w:type="pct"/>
            <w:tcBorders>
              <w:top w:val="single" w:sz="4" w:space="0" w:color="auto"/>
              <w:left w:val="single" w:sz="4" w:space="0" w:color="auto"/>
              <w:bottom w:val="nil"/>
              <w:right w:val="nil"/>
            </w:tcBorders>
            <w:hideMark/>
          </w:tcPr>
          <w:p w14:paraId="193BB94F" w14:textId="77777777" w:rsidR="00E607F1" w:rsidRPr="00E63838" w:rsidRDefault="00E607F1" w:rsidP="004A5906">
            <w:pPr>
              <w:rPr>
                <w:sz w:val="22"/>
                <w:szCs w:val="22"/>
                <w:lang w:val="en-GB"/>
              </w:rPr>
            </w:pPr>
            <w:r w:rsidRPr="00E63838">
              <w:rPr>
                <w:sz w:val="22"/>
                <w:szCs w:val="22"/>
                <w:lang w:val="en-GB"/>
              </w:rPr>
              <w:t>2 (0.1 %)</w:t>
            </w:r>
          </w:p>
        </w:tc>
        <w:tc>
          <w:tcPr>
            <w:tcW w:w="842" w:type="pct"/>
            <w:tcBorders>
              <w:top w:val="single" w:sz="4" w:space="0" w:color="auto"/>
              <w:left w:val="single" w:sz="4" w:space="0" w:color="auto"/>
              <w:bottom w:val="nil"/>
              <w:right w:val="nil"/>
            </w:tcBorders>
            <w:hideMark/>
          </w:tcPr>
          <w:p w14:paraId="2340BB35" w14:textId="77777777" w:rsidR="00E607F1" w:rsidRPr="00E63838" w:rsidRDefault="00E607F1" w:rsidP="004A5906">
            <w:pPr>
              <w:rPr>
                <w:sz w:val="22"/>
                <w:szCs w:val="22"/>
                <w:lang w:val="en-GB"/>
              </w:rPr>
            </w:pPr>
            <w:r w:rsidRPr="00E63838">
              <w:rPr>
                <w:sz w:val="22"/>
                <w:szCs w:val="22"/>
                <w:lang w:val="en-GB"/>
              </w:rPr>
              <w:t>4 (0.3%)</w:t>
            </w:r>
          </w:p>
        </w:tc>
        <w:tc>
          <w:tcPr>
            <w:tcW w:w="1482" w:type="pct"/>
            <w:tcBorders>
              <w:top w:val="single" w:sz="4" w:space="0" w:color="auto"/>
              <w:left w:val="single" w:sz="4" w:space="0" w:color="auto"/>
              <w:bottom w:val="nil"/>
              <w:right w:val="single" w:sz="4" w:space="0" w:color="auto"/>
            </w:tcBorders>
            <w:hideMark/>
          </w:tcPr>
          <w:p w14:paraId="055A99E1"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7DCC4272" w14:textId="77777777" w:rsidTr="004A5906">
        <w:trPr>
          <w:trHeight w:val="57"/>
          <w:jc w:val="center"/>
        </w:trPr>
        <w:tc>
          <w:tcPr>
            <w:tcW w:w="1545" w:type="pct"/>
            <w:tcBorders>
              <w:top w:val="single" w:sz="4" w:space="0" w:color="auto"/>
              <w:left w:val="single" w:sz="4" w:space="0" w:color="auto"/>
              <w:bottom w:val="nil"/>
              <w:right w:val="nil"/>
            </w:tcBorders>
            <w:hideMark/>
          </w:tcPr>
          <w:p w14:paraId="1B1684BC" w14:textId="77777777" w:rsidR="00E607F1" w:rsidRPr="00E63838" w:rsidRDefault="00E607F1" w:rsidP="00E63838">
            <w:pPr>
              <w:ind w:left="264"/>
              <w:rPr>
                <w:sz w:val="22"/>
                <w:szCs w:val="22"/>
                <w:lang w:val="en-GB"/>
              </w:rPr>
            </w:pPr>
            <w:r w:rsidRPr="00E63838">
              <w:rPr>
                <w:sz w:val="22"/>
                <w:szCs w:val="22"/>
                <w:lang w:val="en-GB"/>
              </w:rPr>
              <w:t>Major GI bleeding</w:t>
            </w:r>
          </w:p>
        </w:tc>
        <w:tc>
          <w:tcPr>
            <w:tcW w:w="1132" w:type="pct"/>
            <w:tcBorders>
              <w:top w:val="single" w:sz="4" w:space="0" w:color="auto"/>
              <w:left w:val="single" w:sz="4" w:space="0" w:color="auto"/>
              <w:bottom w:val="nil"/>
              <w:right w:val="nil"/>
            </w:tcBorders>
            <w:hideMark/>
          </w:tcPr>
          <w:p w14:paraId="49EEE6F4" w14:textId="77777777" w:rsidR="00E607F1" w:rsidRPr="00E63838" w:rsidRDefault="00E607F1" w:rsidP="004A5906">
            <w:pPr>
              <w:rPr>
                <w:sz w:val="22"/>
                <w:szCs w:val="22"/>
                <w:lang w:val="en-GB"/>
              </w:rPr>
            </w:pPr>
            <w:r w:rsidRPr="00E63838">
              <w:rPr>
                <w:sz w:val="22"/>
                <w:szCs w:val="22"/>
                <w:lang w:val="en-GB"/>
              </w:rPr>
              <w:t>4 (0.3%)</w:t>
            </w:r>
          </w:p>
        </w:tc>
        <w:tc>
          <w:tcPr>
            <w:tcW w:w="842" w:type="pct"/>
            <w:tcBorders>
              <w:top w:val="single" w:sz="4" w:space="0" w:color="auto"/>
              <w:left w:val="single" w:sz="4" w:space="0" w:color="auto"/>
              <w:bottom w:val="nil"/>
              <w:right w:val="nil"/>
            </w:tcBorders>
            <w:hideMark/>
          </w:tcPr>
          <w:p w14:paraId="6D1F037E" w14:textId="77777777" w:rsidR="00E607F1" w:rsidRPr="00E63838" w:rsidRDefault="00E607F1" w:rsidP="004A5906">
            <w:pPr>
              <w:rPr>
                <w:sz w:val="22"/>
                <w:szCs w:val="22"/>
                <w:lang w:val="en-GB"/>
              </w:rPr>
            </w:pPr>
            <w:r w:rsidRPr="00E63838">
              <w:rPr>
                <w:sz w:val="22"/>
                <w:szCs w:val="22"/>
                <w:lang w:val="en-GB"/>
              </w:rPr>
              <w:t>8 (0.5%)</w:t>
            </w:r>
          </w:p>
        </w:tc>
        <w:tc>
          <w:tcPr>
            <w:tcW w:w="1482" w:type="pct"/>
            <w:tcBorders>
              <w:top w:val="single" w:sz="4" w:space="0" w:color="auto"/>
              <w:left w:val="single" w:sz="4" w:space="0" w:color="auto"/>
              <w:bottom w:val="nil"/>
              <w:right w:val="single" w:sz="4" w:space="0" w:color="auto"/>
            </w:tcBorders>
            <w:hideMark/>
          </w:tcPr>
          <w:p w14:paraId="59D5E558"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2F0F131A" w14:textId="77777777" w:rsidTr="004A5906">
        <w:trPr>
          <w:trHeight w:val="57"/>
          <w:jc w:val="center"/>
        </w:trPr>
        <w:tc>
          <w:tcPr>
            <w:tcW w:w="1545" w:type="pct"/>
            <w:tcBorders>
              <w:top w:val="single" w:sz="4" w:space="0" w:color="auto"/>
              <w:left w:val="single" w:sz="4" w:space="0" w:color="auto"/>
              <w:bottom w:val="nil"/>
              <w:right w:val="nil"/>
            </w:tcBorders>
            <w:hideMark/>
          </w:tcPr>
          <w:p w14:paraId="201E1BAF" w14:textId="77777777" w:rsidR="00E607F1" w:rsidRPr="00E63838" w:rsidRDefault="00E607F1" w:rsidP="004A5906">
            <w:pPr>
              <w:rPr>
                <w:sz w:val="22"/>
                <w:szCs w:val="22"/>
                <w:lang w:val="en-GB"/>
              </w:rPr>
            </w:pPr>
            <w:r w:rsidRPr="00E63838">
              <w:rPr>
                <w:sz w:val="22"/>
                <w:szCs w:val="22"/>
                <w:lang w:val="en-GB"/>
              </w:rPr>
              <w:t>Life-threatening bleed</w:t>
            </w:r>
          </w:p>
        </w:tc>
        <w:tc>
          <w:tcPr>
            <w:tcW w:w="1132" w:type="pct"/>
            <w:tcBorders>
              <w:top w:val="single" w:sz="4" w:space="0" w:color="auto"/>
              <w:left w:val="single" w:sz="4" w:space="0" w:color="auto"/>
              <w:bottom w:val="nil"/>
              <w:right w:val="nil"/>
            </w:tcBorders>
            <w:hideMark/>
          </w:tcPr>
          <w:p w14:paraId="3E18BD40" w14:textId="77777777" w:rsidR="00E607F1" w:rsidRPr="00E63838" w:rsidRDefault="00E607F1" w:rsidP="004A5906">
            <w:pPr>
              <w:rPr>
                <w:sz w:val="22"/>
                <w:szCs w:val="22"/>
                <w:lang w:val="en-GB"/>
              </w:rPr>
            </w:pPr>
            <w:r w:rsidRPr="00E63838">
              <w:rPr>
                <w:sz w:val="22"/>
                <w:szCs w:val="22"/>
                <w:lang w:val="en-GB"/>
              </w:rPr>
              <w:t>1 (0.1 %)</w:t>
            </w:r>
          </w:p>
        </w:tc>
        <w:tc>
          <w:tcPr>
            <w:tcW w:w="842" w:type="pct"/>
            <w:tcBorders>
              <w:top w:val="single" w:sz="4" w:space="0" w:color="auto"/>
              <w:left w:val="single" w:sz="4" w:space="0" w:color="auto"/>
              <w:bottom w:val="nil"/>
              <w:right w:val="nil"/>
            </w:tcBorders>
            <w:hideMark/>
          </w:tcPr>
          <w:p w14:paraId="56210E53" w14:textId="77777777" w:rsidR="00E607F1" w:rsidRPr="00E63838" w:rsidRDefault="00E607F1" w:rsidP="004A5906">
            <w:pPr>
              <w:rPr>
                <w:sz w:val="22"/>
                <w:szCs w:val="22"/>
                <w:lang w:val="en-GB"/>
              </w:rPr>
            </w:pPr>
            <w:r w:rsidRPr="00E63838">
              <w:rPr>
                <w:sz w:val="22"/>
                <w:szCs w:val="22"/>
                <w:lang w:val="en-GB"/>
              </w:rPr>
              <w:t>3 (0.2%)</w:t>
            </w:r>
          </w:p>
        </w:tc>
        <w:tc>
          <w:tcPr>
            <w:tcW w:w="1482" w:type="pct"/>
            <w:tcBorders>
              <w:top w:val="single" w:sz="4" w:space="0" w:color="auto"/>
              <w:left w:val="single" w:sz="4" w:space="0" w:color="auto"/>
              <w:bottom w:val="nil"/>
              <w:right w:val="single" w:sz="4" w:space="0" w:color="auto"/>
            </w:tcBorders>
            <w:hideMark/>
          </w:tcPr>
          <w:p w14:paraId="4D2F6A55"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30243126" w14:textId="77777777" w:rsidTr="004A5906">
        <w:trPr>
          <w:trHeight w:val="57"/>
          <w:jc w:val="center"/>
        </w:trPr>
        <w:tc>
          <w:tcPr>
            <w:tcW w:w="1545" w:type="pct"/>
            <w:tcBorders>
              <w:top w:val="single" w:sz="4" w:space="0" w:color="auto"/>
              <w:left w:val="single" w:sz="4" w:space="0" w:color="auto"/>
              <w:bottom w:val="nil"/>
              <w:right w:val="nil"/>
            </w:tcBorders>
            <w:hideMark/>
          </w:tcPr>
          <w:p w14:paraId="705C8636" w14:textId="77777777" w:rsidR="00E607F1" w:rsidRPr="00E63838" w:rsidRDefault="00E607F1" w:rsidP="004A5906">
            <w:pPr>
              <w:rPr>
                <w:sz w:val="22"/>
                <w:szCs w:val="22"/>
                <w:lang w:val="en-GB"/>
              </w:rPr>
            </w:pPr>
            <w:r w:rsidRPr="00E63838">
              <w:rPr>
                <w:sz w:val="22"/>
                <w:szCs w:val="22"/>
                <w:lang w:val="en-GB"/>
              </w:rPr>
              <w:t>Major bleeding event /clinically relevant bleeds</w:t>
            </w:r>
          </w:p>
        </w:tc>
        <w:tc>
          <w:tcPr>
            <w:tcW w:w="1132" w:type="pct"/>
            <w:tcBorders>
              <w:top w:val="single" w:sz="4" w:space="0" w:color="auto"/>
              <w:left w:val="single" w:sz="4" w:space="0" w:color="auto"/>
              <w:bottom w:val="nil"/>
              <w:right w:val="nil"/>
            </w:tcBorders>
            <w:hideMark/>
          </w:tcPr>
          <w:p w14:paraId="2895C78B" w14:textId="77777777" w:rsidR="00E607F1" w:rsidRPr="00E63838" w:rsidRDefault="00E607F1" w:rsidP="004A5906">
            <w:pPr>
              <w:rPr>
                <w:sz w:val="22"/>
                <w:szCs w:val="22"/>
                <w:lang w:val="en-GB"/>
              </w:rPr>
            </w:pPr>
            <w:r w:rsidRPr="00E63838">
              <w:rPr>
                <w:sz w:val="22"/>
                <w:szCs w:val="22"/>
                <w:lang w:val="en-GB"/>
              </w:rPr>
              <w:t>80 (5.6%)</w:t>
            </w:r>
          </w:p>
        </w:tc>
        <w:tc>
          <w:tcPr>
            <w:tcW w:w="842" w:type="pct"/>
            <w:tcBorders>
              <w:top w:val="single" w:sz="4" w:space="0" w:color="auto"/>
              <w:left w:val="single" w:sz="4" w:space="0" w:color="auto"/>
              <w:bottom w:val="nil"/>
              <w:right w:val="nil"/>
            </w:tcBorders>
            <w:hideMark/>
          </w:tcPr>
          <w:p w14:paraId="1514F824" w14:textId="77777777" w:rsidR="00E607F1" w:rsidRPr="00E63838" w:rsidRDefault="00E607F1" w:rsidP="004A5906">
            <w:pPr>
              <w:rPr>
                <w:sz w:val="22"/>
                <w:szCs w:val="22"/>
                <w:lang w:val="en-GB"/>
              </w:rPr>
            </w:pPr>
            <w:r w:rsidRPr="00E63838">
              <w:rPr>
                <w:sz w:val="22"/>
                <w:szCs w:val="22"/>
                <w:lang w:val="en-GB"/>
              </w:rPr>
              <w:t>145 (10.2%)</w:t>
            </w:r>
          </w:p>
        </w:tc>
        <w:tc>
          <w:tcPr>
            <w:tcW w:w="1482" w:type="pct"/>
            <w:tcBorders>
              <w:top w:val="single" w:sz="4" w:space="0" w:color="auto"/>
              <w:left w:val="single" w:sz="4" w:space="0" w:color="auto"/>
              <w:bottom w:val="nil"/>
              <w:right w:val="single" w:sz="4" w:space="0" w:color="auto"/>
            </w:tcBorders>
            <w:hideMark/>
          </w:tcPr>
          <w:p w14:paraId="60802BFB" w14:textId="77777777" w:rsidR="00E607F1" w:rsidRPr="00E63838" w:rsidRDefault="00E607F1" w:rsidP="004A5906">
            <w:pPr>
              <w:rPr>
                <w:sz w:val="22"/>
                <w:szCs w:val="22"/>
                <w:lang w:val="en-GB"/>
              </w:rPr>
            </w:pPr>
            <w:r w:rsidRPr="00E63838">
              <w:rPr>
                <w:sz w:val="22"/>
                <w:szCs w:val="22"/>
                <w:lang w:val="en-GB"/>
              </w:rPr>
              <w:t>0.55 (0.41, 0.72)</w:t>
            </w:r>
          </w:p>
        </w:tc>
      </w:tr>
      <w:tr w:rsidR="00E607F1" w:rsidRPr="00E63838" w14:paraId="3BE5C695" w14:textId="77777777" w:rsidTr="004A5906">
        <w:trPr>
          <w:trHeight w:val="57"/>
          <w:jc w:val="center"/>
        </w:trPr>
        <w:tc>
          <w:tcPr>
            <w:tcW w:w="1545" w:type="pct"/>
            <w:tcBorders>
              <w:top w:val="single" w:sz="4" w:space="0" w:color="auto"/>
              <w:left w:val="single" w:sz="4" w:space="0" w:color="auto"/>
              <w:bottom w:val="nil"/>
              <w:right w:val="nil"/>
            </w:tcBorders>
            <w:hideMark/>
          </w:tcPr>
          <w:p w14:paraId="777E4708" w14:textId="77777777" w:rsidR="00E607F1" w:rsidRPr="00E63838" w:rsidRDefault="00E607F1" w:rsidP="004A5906">
            <w:pPr>
              <w:rPr>
                <w:sz w:val="22"/>
                <w:szCs w:val="22"/>
                <w:lang w:val="en-GB"/>
              </w:rPr>
            </w:pPr>
            <w:r w:rsidRPr="00E63838">
              <w:rPr>
                <w:sz w:val="22"/>
                <w:szCs w:val="22"/>
                <w:lang w:val="en-GB"/>
              </w:rPr>
              <w:t>Any bleeding</w:t>
            </w:r>
          </w:p>
        </w:tc>
        <w:tc>
          <w:tcPr>
            <w:tcW w:w="1132" w:type="pct"/>
            <w:tcBorders>
              <w:top w:val="single" w:sz="4" w:space="0" w:color="auto"/>
              <w:left w:val="single" w:sz="4" w:space="0" w:color="auto"/>
              <w:bottom w:val="nil"/>
              <w:right w:val="nil"/>
            </w:tcBorders>
            <w:hideMark/>
          </w:tcPr>
          <w:p w14:paraId="42780201" w14:textId="77777777" w:rsidR="00E607F1" w:rsidRPr="00E63838" w:rsidRDefault="00E607F1" w:rsidP="004A5906">
            <w:pPr>
              <w:rPr>
                <w:sz w:val="22"/>
                <w:szCs w:val="22"/>
                <w:lang w:val="en-GB"/>
              </w:rPr>
            </w:pPr>
            <w:r w:rsidRPr="00E63838">
              <w:rPr>
                <w:sz w:val="22"/>
                <w:szCs w:val="22"/>
                <w:lang w:val="en-GB"/>
              </w:rPr>
              <w:t>278 (19.4%)</w:t>
            </w:r>
          </w:p>
        </w:tc>
        <w:tc>
          <w:tcPr>
            <w:tcW w:w="842" w:type="pct"/>
            <w:tcBorders>
              <w:top w:val="single" w:sz="4" w:space="0" w:color="auto"/>
              <w:left w:val="single" w:sz="4" w:space="0" w:color="auto"/>
              <w:bottom w:val="nil"/>
              <w:right w:val="nil"/>
            </w:tcBorders>
            <w:hideMark/>
          </w:tcPr>
          <w:p w14:paraId="10F1C332" w14:textId="77777777" w:rsidR="00E607F1" w:rsidRPr="00E63838" w:rsidRDefault="00E607F1" w:rsidP="004A5906">
            <w:pPr>
              <w:rPr>
                <w:sz w:val="22"/>
                <w:szCs w:val="22"/>
                <w:lang w:val="en-GB"/>
              </w:rPr>
            </w:pPr>
            <w:r w:rsidRPr="00E63838">
              <w:rPr>
                <w:sz w:val="22"/>
                <w:szCs w:val="22"/>
                <w:lang w:val="en-GB"/>
              </w:rPr>
              <w:t>373 (26.2%)</w:t>
            </w:r>
          </w:p>
        </w:tc>
        <w:tc>
          <w:tcPr>
            <w:tcW w:w="1482" w:type="pct"/>
            <w:tcBorders>
              <w:top w:val="single" w:sz="4" w:space="0" w:color="auto"/>
              <w:left w:val="single" w:sz="4" w:space="0" w:color="auto"/>
              <w:bottom w:val="nil"/>
              <w:right w:val="single" w:sz="4" w:space="0" w:color="auto"/>
            </w:tcBorders>
            <w:hideMark/>
          </w:tcPr>
          <w:p w14:paraId="25DA1F0C" w14:textId="77777777" w:rsidR="00E607F1" w:rsidRPr="00E63838" w:rsidRDefault="00E607F1" w:rsidP="004A5906">
            <w:pPr>
              <w:rPr>
                <w:sz w:val="22"/>
                <w:szCs w:val="22"/>
                <w:lang w:val="en-GB"/>
              </w:rPr>
            </w:pPr>
            <w:r w:rsidRPr="00E63838">
              <w:rPr>
                <w:sz w:val="22"/>
                <w:szCs w:val="22"/>
                <w:lang w:val="en-GB"/>
              </w:rPr>
              <w:t>0.71 (0.61, 0.83)</w:t>
            </w:r>
          </w:p>
        </w:tc>
      </w:tr>
      <w:tr w:rsidR="00E607F1" w:rsidRPr="00E63838" w14:paraId="61D9F855" w14:textId="77777777" w:rsidTr="004A5906">
        <w:trPr>
          <w:trHeight w:val="57"/>
          <w:jc w:val="center"/>
        </w:trPr>
        <w:tc>
          <w:tcPr>
            <w:tcW w:w="1545" w:type="pct"/>
            <w:tcBorders>
              <w:top w:val="single" w:sz="4" w:space="0" w:color="auto"/>
              <w:left w:val="single" w:sz="4" w:space="0" w:color="auto"/>
              <w:bottom w:val="single" w:sz="4" w:space="0" w:color="auto"/>
              <w:right w:val="nil"/>
            </w:tcBorders>
            <w:hideMark/>
          </w:tcPr>
          <w:p w14:paraId="790016F2" w14:textId="77777777" w:rsidR="00E607F1" w:rsidRPr="00E63838" w:rsidRDefault="00E607F1" w:rsidP="00E63838">
            <w:pPr>
              <w:ind w:left="264"/>
              <w:rPr>
                <w:sz w:val="22"/>
                <w:szCs w:val="22"/>
                <w:lang w:val="en-GB"/>
              </w:rPr>
            </w:pPr>
            <w:r w:rsidRPr="00E63838">
              <w:rPr>
                <w:sz w:val="22"/>
                <w:szCs w:val="22"/>
                <w:lang w:val="en-GB"/>
              </w:rPr>
              <w:t>Any GI bleeds</w:t>
            </w:r>
          </w:p>
        </w:tc>
        <w:tc>
          <w:tcPr>
            <w:tcW w:w="1132" w:type="pct"/>
            <w:tcBorders>
              <w:top w:val="single" w:sz="4" w:space="0" w:color="auto"/>
              <w:left w:val="single" w:sz="4" w:space="0" w:color="auto"/>
              <w:bottom w:val="single" w:sz="4" w:space="0" w:color="auto"/>
              <w:right w:val="nil"/>
            </w:tcBorders>
            <w:hideMark/>
          </w:tcPr>
          <w:p w14:paraId="137D336F" w14:textId="77777777" w:rsidR="00E607F1" w:rsidRPr="00E63838" w:rsidRDefault="00E607F1" w:rsidP="004A5906">
            <w:pPr>
              <w:rPr>
                <w:sz w:val="22"/>
                <w:szCs w:val="22"/>
                <w:lang w:val="en-GB"/>
              </w:rPr>
            </w:pPr>
            <w:r w:rsidRPr="00E63838">
              <w:rPr>
                <w:sz w:val="22"/>
                <w:szCs w:val="22"/>
                <w:lang w:val="en-GB"/>
              </w:rPr>
              <w:t>45 (3.1%)</w:t>
            </w:r>
          </w:p>
        </w:tc>
        <w:tc>
          <w:tcPr>
            <w:tcW w:w="842" w:type="pct"/>
            <w:tcBorders>
              <w:top w:val="single" w:sz="4" w:space="0" w:color="auto"/>
              <w:left w:val="single" w:sz="4" w:space="0" w:color="auto"/>
              <w:bottom w:val="single" w:sz="4" w:space="0" w:color="auto"/>
              <w:right w:val="nil"/>
            </w:tcBorders>
            <w:hideMark/>
          </w:tcPr>
          <w:p w14:paraId="452AE3FE" w14:textId="77777777" w:rsidR="00E607F1" w:rsidRPr="00E63838" w:rsidRDefault="00E607F1" w:rsidP="004A5906">
            <w:pPr>
              <w:rPr>
                <w:sz w:val="22"/>
                <w:szCs w:val="22"/>
                <w:lang w:val="en-GB"/>
              </w:rPr>
            </w:pPr>
            <w:r w:rsidRPr="00E63838">
              <w:rPr>
                <w:sz w:val="22"/>
                <w:szCs w:val="22"/>
                <w:lang w:val="en-GB"/>
              </w:rPr>
              <w:t>32 (2.2%)</w:t>
            </w:r>
          </w:p>
        </w:tc>
        <w:tc>
          <w:tcPr>
            <w:tcW w:w="1482" w:type="pct"/>
            <w:tcBorders>
              <w:top w:val="single" w:sz="4" w:space="0" w:color="auto"/>
              <w:left w:val="single" w:sz="4" w:space="0" w:color="auto"/>
              <w:bottom w:val="single" w:sz="4" w:space="0" w:color="auto"/>
              <w:right w:val="single" w:sz="4" w:space="0" w:color="auto"/>
            </w:tcBorders>
            <w:hideMark/>
          </w:tcPr>
          <w:p w14:paraId="197969BB" w14:textId="77777777" w:rsidR="00E607F1" w:rsidRPr="00E63838" w:rsidRDefault="00E607F1" w:rsidP="004A5906">
            <w:pPr>
              <w:rPr>
                <w:sz w:val="22"/>
                <w:szCs w:val="22"/>
                <w:lang w:val="en-GB"/>
              </w:rPr>
            </w:pPr>
            <w:r w:rsidRPr="00E63838">
              <w:rPr>
                <w:sz w:val="22"/>
                <w:szCs w:val="22"/>
                <w:lang w:val="en-GB"/>
              </w:rPr>
              <w:t>1.39 (0.87, 2.20)</w:t>
            </w:r>
          </w:p>
        </w:tc>
      </w:tr>
    </w:tbl>
    <w:p w14:paraId="0218C713" w14:textId="77777777" w:rsidR="00E607F1" w:rsidRPr="00E63838" w:rsidRDefault="00E607F1" w:rsidP="00E63838">
      <w:pPr>
        <w:rPr>
          <w:sz w:val="24"/>
          <w:szCs w:val="24"/>
          <w:lang w:val="en-GB"/>
        </w:rPr>
      </w:pPr>
      <w:r w:rsidRPr="00B55C24">
        <w:rPr>
          <w:sz w:val="24"/>
          <w:szCs w:val="24"/>
          <w:lang w:val="en-GB"/>
        </w:rPr>
        <w:t>*HR not estimable as there is no event in either one cohort/treatment</w:t>
      </w:r>
    </w:p>
    <w:p w14:paraId="0B99D07D" w14:textId="77777777" w:rsidR="00E607F1" w:rsidRPr="00B55C24" w:rsidRDefault="00E607F1" w:rsidP="004A5906">
      <w:pPr>
        <w:ind w:left="851"/>
        <w:rPr>
          <w:sz w:val="24"/>
          <w:szCs w:val="24"/>
          <w:lang w:val="en-GB"/>
        </w:rPr>
      </w:pPr>
    </w:p>
    <w:p w14:paraId="26E001D0" w14:textId="02D51469" w:rsidR="00E607F1" w:rsidRPr="00B55C24" w:rsidRDefault="00E607F1" w:rsidP="004A5906">
      <w:pPr>
        <w:ind w:left="851"/>
        <w:rPr>
          <w:sz w:val="24"/>
          <w:szCs w:val="24"/>
          <w:lang w:val="en-GB"/>
        </w:rPr>
      </w:pPr>
      <w:r w:rsidRPr="00B55C24">
        <w:rPr>
          <w:sz w:val="24"/>
          <w:szCs w:val="24"/>
          <w:lang w:val="en-GB"/>
        </w:rPr>
        <w:t xml:space="preserve">Table 15 shows bleeding events in pivotal study RE-SONATE testing prevention of DVT and PE. The rate of the combination of MBEs/CRBEs and the rate of any bleeding was significantly lower at a nominal alpha level of 5% in patients receiving placebo as compared with those receiving dabigatran </w:t>
      </w:r>
      <w:proofErr w:type="spellStart"/>
      <w:r w:rsidRPr="00B55C24">
        <w:rPr>
          <w:sz w:val="24"/>
          <w:szCs w:val="24"/>
          <w:lang w:val="en-GB"/>
        </w:rPr>
        <w:t>etexilate</w:t>
      </w:r>
      <w:proofErr w:type="spellEnd"/>
      <w:r w:rsidRPr="00B55C24">
        <w:rPr>
          <w:sz w:val="24"/>
          <w:szCs w:val="24"/>
          <w:lang w:val="en-GB"/>
        </w:rPr>
        <w:t>.</w:t>
      </w:r>
    </w:p>
    <w:p w14:paraId="7AB24E15" w14:textId="77777777" w:rsidR="00E607F1" w:rsidRPr="00B55C24" w:rsidRDefault="00E607F1" w:rsidP="004A5906">
      <w:pPr>
        <w:ind w:left="851"/>
        <w:rPr>
          <w:sz w:val="24"/>
          <w:szCs w:val="24"/>
          <w:lang w:val="en-GB"/>
        </w:rPr>
      </w:pPr>
    </w:p>
    <w:p w14:paraId="256A822A"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15: Bleeding events in study RE-SONATE testing prevention of DVT and PE</w:t>
      </w:r>
    </w:p>
    <w:p w14:paraId="0210512A"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869"/>
        <w:gridCol w:w="2386"/>
        <w:gridCol w:w="1471"/>
        <w:gridCol w:w="2902"/>
      </w:tblGrid>
      <w:tr w:rsidR="00E607F1" w:rsidRPr="00D476B2" w14:paraId="6C7CBAFB" w14:textId="77777777" w:rsidTr="004A5906">
        <w:trPr>
          <w:trHeight w:val="57"/>
          <w:jc w:val="center"/>
        </w:trPr>
        <w:tc>
          <w:tcPr>
            <w:tcW w:w="1490" w:type="pct"/>
            <w:tcBorders>
              <w:top w:val="single" w:sz="4" w:space="0" w:color="auto"/>
              <w:left w:val="single" w:sz="4" w:space="0" w:color="auto"/>
              <w:bottom w:val="nil"/>
              <w:right w:val="nil"/>
            </w:tcBorders>
          </w:tcPr>
          <w:p w14:paraId="47066BCF" w14:textId="77777777" w:rsidR="00E607F1" w:rsidRPr="00E63838" w:rsidRDefault="00E607F1" w:rsidP="004A5906">
            <w:pPr>
              <w:rPr>
                <w:sz w:val="22"/>
                <w:szCs w:val="22"/>
                <w:lang w:val="en-GB"/>
              </w:rPr>
            </w:pPr>
          </w:p>
        </w:tc>
        <w:tc>
          <w:tcPr>
            <w:tcW w:w="1239" w:type="pct"/>
            <w:tcBorders>
              <w:top w:val="single" w:sz="4" w:space="0" w:color="auto"/>
              <w:left w:val="single" w:sz="4" w:space="0" w:color="auto"/>
              <w:bottom w:val="nil"/>
              <w:right w:val="nil"/>
            </w:tcBorders>
            <w:hideMark/>
          </w:tcPr>
          <w:p w14:paraId="5C62BCD7" w14:textId="77777777" w:rsidR="00E607F1" w:rsidRPr="00E63838" w:rsidRDefault="00E607F1" w:rsidP="004A5906">
            <w:pPr>
              <w:rPr>
                <w:sz w:val="22"/>
                <w:szCs w:val="22"/>
                <w:lang w:val="en-GB"/>
              </w:rPr>
            </w:pPr>
            <w:r w:rsidRPr="00E63838">
              <w:rPr>
                <w:sz w:val="22"/>
                <w:szCs w:val="22"/>
                <w:lang w:val="en-GB"/>
              </w:rPr>
              <w:t xml:space="preserve">Dabigatran </w:t>
            </w:r>
            <w:proofErr w:type="spellStart"/>
            <w:r w:rsidRPr="00E63838">
              <w:rPr>
                <w:sz w:val="22"/>
                <w:szCs w:val="22"/>
                <w:lang w:val="en-GB"/>
              </w:rPr>
              <w:t>etexilate</w:t>
            </w:r>
            <w:proofErr w:type="spellEnd"/>
            <w:r w:rsidRPr="00E63838">
              <w:rPr>
                <w:sz w:val="22"/>
                <w:szCs w:val="22"/>
                <w:lang w:val="en-GB"/>
              </w:rPr>
              <w:t xml:space="preserve"> 150 mg twice daily</w:t>
            </w:r>
          </w:p>
        </w:tc>
        <w:tc>
          <w:tcPr>
            <w:tcW w:w="764" w:type="pct"/>
            <w:tcBorders>
              <w:top w:val="single" w:sz="4" w:space="0" w:color="auto"/>
              <w:left w:val="single" w:sz="4" w:space="0" w:color="auto"/>
              <w:bottom w:val="nil"/>
              <w:right w:val="nil"/>
            </w:tcBorders>
            <w:hideMark/>
          </w:tcPr>
          <w:p w14:paraId="52F37060" w14:textId="77777777" w:rsidR="00E607F1" w:rsidRPr="00E63838" w:rsidRDefault="00E607F1" w:rsidP="004A5906">
            <w:pPr>
              <w:rPr>
                <w:sz w:val="22"/>
                <w:szCs w:val="22"/>
                <w:lang w:val="en-GB"/>
              </w:rPr>
            </w:pPr>
            <w:r w:rsidRPr="00E63838">
              <w:rPr>
                <w:sz w:val="22"/>
                <w:szCs w:val="22"/>
                <w:lang w:val="en-GB"/>
              </w:rPr>
              <w:t>Placebo</w:t>
            </w:r>
          </w:p>
        </w:tc>
        <w:tc>
          <w:tcPr>
            <w:tcW w:w="1507" w:type="pct"/>
            <w:tcBorders>
              <w:top w:val="single" w:sz="4" w:space="0" w:color="auto"/>
              <w:left w:val="single" w:sz="4" w:space="0" w:color="auto"/>
              <w:bottom w:val="nil"/>
              <w:right w:val="single" w:sz="4" w:space="0" w:color="auto"/>
            </w:tcBorders>
            <w:hideMark/>
          </w:tcPr>
          <w:p w14:paraId="602AFEC5" w14:textId="77777777" w:rsidR="00E607F1" w:rsidRPr="00E63838" w:rsidRDefault="00E607F1" w:rsidP="004A5906">
            <w:pPr>
              <w:rPr>
                <w:sz w:val="22"/>
                <w:szCs w:val="22"/>
                <w:lang w:val="en-GB"/>
              </w:rPr>
            </w:pPr>
            <w:r w:rsidRPr="00E63838">
              <w:rPr>
                <w:sz w:val="22"/>
                <w:szCs w:val="22"/>
                <w:lang w:val="en-GB"/>
              </w:rPr>
              <w:t>Hazard ratio vs placebo (95% Confidence Interval)</w:t>
            </w:r>
          </w:p>
        </w:tc>
      </w:tr>
      <w:tr w:rsidR="00E607F1" w:rsidRPr="00E63838" w14:paraId="248D5BC0" w14:textId="77777777" w:rsidTr="004A5906">
        <w:trPr>
          <w:trHeight w:val="57"/>
          <w:jc w:val="center"/>
        </w:trPr>
        <w:tc>
          <w:tcPr>
            <w:tcW w:w="1490" w:type="pct"/>
            <w:tcBorders>
              <w:top w:val="single" w:sz="4" w:space="0" w:color="auto"/>
              <w:left w:val="single" w:sz="4" w:space="0" w:color="auto"/>
              <w:bottom w:val="nil"/>
              <w:right w:val="nil"/>
            </w:tcBorders>
            <w:hideMark/>
          </w:tcPr>
          <w:p w14:paraId="081E3336" w14:textId="77777777" w:rsidR="00E607F1" w:rsidRPr="00E63838" w:rsidRDefault="00E607F1" w:rsidP="004A5906">
            <w:pPr>
              <w:rPr>
                <w:sz w:val="22"/>
                <w:szCs w:val="22"/>
                <w:lang w:val="en-GB"/>
              </w:rPr>
            </w:pPr>
            <w:r w:rsidRPr="00E63838">
              <w:rPr>
                <w:sz w:val="22"/>
                <w:szCs w:val="22"/>
                <w:lang w:val="en-GB"/>
              </w:rPr>
              <w:t>Treated patients</w:t>
            </w:r>
          </w:p>
        </w:tc>
        <w:tc>
          <w:tcPr>
            <w:tcW w:w="1239" w:type="pct"/>
            <w:tcBorders>
              <w:top w:val="single" w:sz="4" w:space="0" w:color="auto"/>
              <w:left w:val="single" w:sz="4" w:space="0" w:color="auto"/>
              <w:bottom w:val="nil"/>
              <w:right w:val="nil"/>
            </w:tcBorders>
            <w:hideMark/>
          </w:tcPr>
          <w:p w14:paraId="099F5432" w14:textId="77777777" w:rsidR="00E607F1" w:rsidRPr="00E63838" w:rsidRDefault="00E607F1" w:rsidP="004A5906">
            <w:pPr>
              <w:rPr>
                <w:sz w:val="22"/>
                <w:szCs w:val="22"/>
                <w:lang w:val="en-GB"/>
              </w:rPr>
            </w:pPr>
            <w:r w:rsidRPr="00E63838">
              <w:rPr>
                <w:sz w:val="22"/>
                <w:szCs w:val="22"/>
                <w:lang w:val="en-GB"/>
              </w:rPr>
              <w:t>684</w:t>
            </w:r>
          </w:p>
        </w:tc>
        <w:tc>
          <w:tcPr>
            <w:tcW w:w="764" w:type="pct"/>
            <w:tcBorders>
              <w:top w:val="single" w:sz="4" w:space="0" w:color="auto"/>
              <w:left w:val="single" w:sz="4" w:space="0" w:color="auto"/>
              <w:bottom w:val="nil"/>
              <w:right w:val="nil"/>
            </w:tcBorders>
            <w:hideMark/>
          </w:tcPr>
          <w:p w14:paraId="406DB0C5" w14:textId="77777777" w:rsidR="00E607F1" w:rsidRPr="00E63838" w:rsidRDefault="00E607F1" w:rsidP="004A5906">
            <w:pPr>
              <w:rPr>
                <w:sz w:val="22"/>
                <w:szCs w:val="22"/>
                <w:lang w:val="en-GB"/>
              </w:rPr>
            </w:pPr>
            <w:r w:rsidRPr="00E63838">
              <w:rPr>
                <w:sz w:val="22"/>
                <w:szCs w:val="22"/>
                <w:lang w:val="en-GB"/>
              </w:rPr>
              <w:t>659</w:t>
            </w:r>
          </w:p>
        </w:tc>
        <w:tc>
          <w:tcPr>
            <w:tcW w:w="1507" w:type="pct"/>
            <w:tcBorders>
              <w:top w:val="single" w:sz="4" w:space="0" w:color="auto"/>
              <w:left w:val="single" w:sz="4" w:space="0" w:color="auto"/>
              <w:bottom w:val="nil"/>
              <w:right w:val="single" w:sz="4" w:space="0" w:color="auto"/>
            </w:tcBorders>
          </w:tcPr>
          <w:p w14:paraId="4B234EA8" w14:textId="77777777" w:rsidR="00E607F1" w:rsidRPr="00E63838" w:rsidRDefault="00E607F1" w:rsidP="004A5906">
            <w:pPr>
              <w:rPr>
                <w:sz w:val="22"/>
                <w:szCs w:val="22"/>
                <w:lang w:val="en-GB"/>
              </w:rPr>
            </w:pPr>
          </w:p>
        </w:tc>
      </w:tr>
      <w:tr w:rsidR="00E607F1" w:rsidRPr="00E63838" w14:paraId="0502C7DC" w14:textId="77777777" w:rsidTr="004A5906">
        <w:trPr>
          <w:trHeight w:val="57"/>
          <w:jc w:val="center"/>
        </w:trPr>
        <w:tc>
          <w:tcPr>
            <w:tcW w:w="1490" w:type="pct"/>
            <w:tcBorders>
              <w:top w:val="single" w:sz="4" w:space="0" w:color="auto"/>
              <w:left w:val="single" w:sz="4" w:space="0" w:color="auto"/>
              <w:bottom w:val="nil"/>
              <w:right w:val="nil"/>
            </w:tcBorders>
            <w:hideMark/>
          </w:tcPr>
          <w:p w14:paraId="5E058A9F" w14:textId="77777777" w:rsidR="00E607F1" w:rsidRPr="00E63838" w:rsidRDefault="00E607F1" w:rsidP="004A5906">
            <w:pPr>
              <w:rPr>
                <w:sz w:val="22"/>
                <w:szCs w:val="22"/>
                <w:lang w:val="en-GB"/>
              </w:rPr>
            </w:pPr>
            <w:r w:rsidRPr="00E63838">
              <w:rPr>
                <w:sz w:val="22"/>
                <w:szCs w:val="22"/>
                <w:lang w:val="en-GB"/>
              </w:rPr>
              <w:t>Major bleeding events</w:t>
            </w:r>
          </w:p>
        </w:tc>
        <w:tc>
          <w:tcPr>
            <w:tcW w:w="1239" w:type="pct"/>
            <w:tcBorders>
              <w:top w:val="single" w:sz="4" w:space="0" w:color="auto"/>
              <w:left w:val="single" w:sz="4" w:space="0" w:color="auto"/>
              <w:bottom w:val="nil"/>
              <w:right w:val="nil"/>
            </w:tcBorders>
            <w:hideMark/>
          </w:tcPr>
          <w:p w14:paraId="15A3E69B" w14:textId="77777777" w:rsidR="00E607F1" w:rsidRPr="00E63838" w:rsidRDefault="00E607F1" w:rsidP="004A5906">
            <w:pPr>
              <w:rPr>
                <w:sz w:val="22"/>
                <w:szCs w:val="22"/>
                <w:lang w:val="en-GB"/>
              </w:rPr>
            </w:pPr>
            <w:r w:rsidRPr="00E63838">
              <w:rPr>
                <w:sz w:val="22"/>
                <w:szCs w:val="22"/>
                <w:lang w:val="en-GB"/>
              </w:rPr>
              <w:t>2 (0.3%)</w:t>
            </w:r>
          </w:p>
        </w:tc>
        <w:tc>
          <w:tcPr>
            <w:tcW w:w="764" w:type="pct"/>
            <w:tcBorders>
              <w:top w:val="single" w:sz="4" w:space="0" w:color="auto"/>
              <w:left w:val="single" w:sz="4" w:space="0" w:color="auto"/>
              <w:bottom w:val="nil"/>
              <w:right w:val="nil"/>
            </w:tcBorders>
            <w:hideMark/>
          </w:tcPr>
          <w:p w14:paraId="4BD290EA" w14:textId="77777777" w:rsidR="00E607F1" w:rsidRPr="00E63838" w:rsidRDefault="00E607F1" w:rsidP="004A5906">
            <w:pPr>
              <w:rPr>
                <w:sz w:val="22"/>
                <w:szCs w:val="22"/>
                <w:lang w:val="en-GB"/>
              </w:rPr>
            </w:pPr>
            <w:r w:rsidRPr="00E63838">
              <w:rPr>
                <w:sz w:val="22"/>
                <w:szCs w:val="22"/>
                <w:lang w:val="en-GB"/>
              </w:rPr>
              <w:t>0</w:t>
            </w:r>
          </w:p>
        </w:tc>
        <w:tc>
          <w:tcPr>
            <w:tcW w:w="1507" w:type="pct"/>
            <w:tcBorders>
              <w:top w:val="single" w:sz="4" w:space="0" w:color="auto"/>
              <w:left w:val="single" w:sz="4" w:space="0" w:color="auto"/>
              <w:bottom w:val="nil"/>
              <w:right w:val="single" w:sz="4" w:space="0" w:color="auto"/>
            </w:tcBorders>
            <w:hideMark/>
          </w:tcPr>
          <w:p w14:paraId="680E3B38"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4B2BD835" w14:textId="77777777" w:rsidTr="004A5906">
        <w:trPr>
          <w:trHeight w:val="57"/>
          <w:jc w:val="center"/>
        </w:trPr>
        <w:tc>
          <w:tcPr>
            <w:tcW w:w="1490" w:type="pct"/>
            <w:tcBorders>
              <w:top w:val="single" w:sz="4" w:space="0" w:color="auto"/>
              <w:left w:val="single" w:sz="4" w:space="0" w:color="auto"/>
              <w:bottom w:val="nil"/>
              <w:right w:val="nil"/>
            </w:tcBorders>
            <w:hideMark/>
          </w:tcPr>
          <w:p w14:paraId="56BA07B4" w14:textId="77777777" w:rsidR="00E607F1" w:rsidRPr="00E63838" w:rsidRDefault="00E607F1" w:rsidP="00E63838">
            <w:pPr>
              <w:ind w:left="264"/>
              <w:rPr>
                <w:sz w:val="22"/>
                <w:szCs w:val="22"/>
                <w:lang w:val="en-GB"/>
              </w:rPr>
            </w:pPr>
            <w:r w:rsidRPr="00E63838">
              <w:rPr>
                <w:sz w:val="22"/>
                <w:szCs w:val="22"/>
                <w:lang w:val="en-GB"/>
              </w:rPr>
              <w:t>Intracranial bleeding</w:t>
            </w:r>
          </w:p>
        </w:tc>
        <w:tc>
          <w:tcPr>
            <w:tcW w:w="1239" w:type="pct"/>
            <w:tcBorders>
              <w:top w:val="single" w:sz="4" w:space="0" w:color="auto"/>
              <w:left w:val="single" w:sz="4" w:space="0" w:color="auto"/>
              <w:bottom w:val="nil"/>
              <w:right w:val="nil"/>
            </w:tcBorders>
            <w:hideMark/>
          </w:tcPr>
          <w:p w14:paraId="39C67ADA" w14:textId="77777777" w:rsidR="00E607F1" w:rsidRPr="00E63838" w:rsidRDefault="00E607F1" w:rsidP="004A5906">
            <w:pPr>
              <w:rPr>
                <w:sz w:val="22"/>
                <w:szCs w:val="22"/>
                <w:lang w:val="en-GB"/>
              </w:rPr>
            </w:pPr>
            <w:r w:rsidRPr="00E63838">
              <w:rPr>
                <w:sz w:val="22"/>
                <w:szCs w:val="22"/>
                <w:lang w:val="en-GB"/>
              </w:rPr>
              <w:t>0</w:t>
            </w:r>
          </w:p>
        </w:tc>
        <w:tc>
          <w:tcPr>
            <w:tcW w:w="764" w:type="pct"/>
            <w:tcBorders>
              <w:top w:val="single" w:sz="4" w:space="0" w:color="auto"/>
              <w:left w:val="single" w:sz="4" w:space="0" w:color="auto"/>
              <w:bottom w:val="nil"/>
              <w:right w:val="nil"/>
            </w:tcBorders>
            <w:hideMark/>
          </w:tcPr>
          <w:p w14:paraId="0E63DDB5" w14:textId="77777777" w:rsidR="00E607F1" w:rsidRPr="00E63838" w:rsidRDefault="00E607F1" w:rsidP="004A5906">
            <w:pPr>
              <w:rPr>
                <w:sz w:val="22"/>
                <w:szCs w:val="22"/>
                <w:lang w:val="en-GB"/>
              </w:rPr>
            </w:pPr>
            <w:r w:rsidRPr="00E63838">
              <w:rPr>
                <w:sz w:val="22"/>
                <w:szCs w:val="22"/>
                <w:lang w:val="en-GB"/>
              </w:rPr>
              <w:t>0</w:t>
            </w:r>
          </w:p>
        </w:tc>
        <w:tc>
          <w:tcPr>
            <w:tcW w:w="1507" w:type="pct"/>
            <w:tcBorders>
              <w:top w:val="single" w:sz="4" w:space="0" w:color="auto"/>
              <w:left w:val="single" w:sz="4" w:space="0" w:color="auto"/>
              <w:bottom w:val="nil"/>
              <w:right w:val="single" w:sz="4" w:space="0" w:color="auto"/>
            </w:tcBorders>
            <w:hideMark/>
          </w:tcPr>
          <w:p w14:paraId="283D1A6F"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656FB64C" w14:textId="77777777" w:rsidTr="004A5906">
        <w:trPr>
          <w:trHeight w:val="57"/>
          <w:jc w:val="center"/>
        </w:trPr>
        <w:tc>
          <w:tcPr>
            <w:tcW w:w="1490" w:type="pct"/>
            <w:tcBorders>
              <w:top w:val="single" w:sz="4" w:space="0" w:color="auto"/>
              <w:left w:val="single" w:sz="4" w:space="0" w:color="auto"/>
              <w:bottom w:val="nil"/>
              <w:right w:val="nil"/>
            </w:tcBorders>
            <w:hideMark/>
          </w:tcPr>
          <w:p w14:paraId="6C1258D2" w14:textId="77777777" w:rsidR="00E607F1" w:rsidRPr="00E63838" w:rsidRDefault="00E607F1" w:rsidP="00E63838">
            <w:pPr>
              <w:ind w:left="264"/>
              <w:rPr>
                <w:sz w:val="22"/>
                <w:szCs w:val="22"/>
                <w:lang w:val="en-GB"/>
              </w:rPr>
            </w:pPr>
            <w:r w:rsidRPr="00E63838">
              <w:rPr>
                <w:sz w:val="22"/>
                <w:szCs w:val="22"/>
                <w:lang w:val="en-GB"/>
              </w:rPr>
              <w:t>Major GI bleeding</w:t>
            </w:r>
          </w:p>
        </w:tc>
        <w:tc>
          <w:tcPr>
            <w:tcW w:w="1239" w:type="pct"/>
            <w:tcBorders>
              <w:top w:val="single" w:sz="4" w:space="0" w:color="auto"/>
              <w:left w:val="single" w:sz="4" w:space="0" w:color="auto"/>
              <w:bottom w:val="nil"/>
              <w:right w:val="nil"/>
            </w:tcBorders>
            <w:hideMark/>
          </w:tcPr>
          <w:p w14:paraId="16E65BE4" w14:textId="77777777" w:rsidR="00E607F1" w:rsidRPr="00E63838" w:rsidRDefault="00E607F1" w:rsidP="004A5906">
            <w:pPr>
              <w:rPr>
                <w:sz w:val="22"/>
                <w:szCs w:val="22"/>
                <w:lang w:val="en-GB"/>
              </w:rPr>
            </w:pPr>
            <w:r w:rsidRPr="00E63838">
              <w:rPr>
                <w:sz w:val="22"/>
                <w:szCs w:val="22"/>
                <w:lang w:val="en-GB"/>
              </w:rPr>
              <w:t>2 (0.3%)</w:t>
            </w:r>
          </w:p>
        </w:tc>
        <w:tc>
          <w:tcPr>
            <w:tcW w:w="764" w:type="pct"/>
            <w:tcBorders>
              <w:top w:val="single" w:sz="4" w:space="0" w:color="auto"/>
              <w:left w:val="single" w:sz="4" w:space="0" w:color="auto"/>
              <w:bottom w:val="nil"/>
              <w:right w:val="nil"/>
            </w:tcBorders>
            <w:hideMark/>
          </w:tcPr>
          <w:p w14:paraId="1E5FE703" w14:textId="77777777" w:rsidR="00E607F1" w:rsidRPr="00E63838" w:rsidRDefault="00E607F1" w:rsidP="004A5906">
            <w:pPr>
              <w:rPr>
                <w:sz w:val="22"/>
                <w:szCs w:val="22"/>
                <w:lang w:val="en-GB"/>
              </w:rPr>
            </w:pPr>
            <w:r w:rsidRPr="00E63838">
              <w:rPr>
                <w:sz w:val="22"/>
                <w:szCs w:val="22"/>
                <w:lang w:val="en-GB"/>
              </w:rPr>
              <w:t>0</w:t>
            </w:r>
          </w:p>
        </w:tc>
        <w:tc>
          <w:tcPr>
            <w:tcW w:w="1507" w:type="pct"/>
            <w:tcBorders>
              <w:top w:val="single" w:sz="4" w:space="0" w:color="auto"/>
              <w:left w:val="single" w:sz="4" w:space="0" w:color="auto"/>
              <w:bottom w:val="nil"/>
              <w:right w:val="single" w:sz="4" w:space="0" w:color="auto"/>
            </w:tcBorders>
            <w:hideMark/>
          </w:tcPr>
          <w:p w14:paraId="602E25DF"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75EAB901" w14:textId="77777777" w:rsidTr="004A5906">
        <w:trPr>
          <w:trHeight w:val="57"/>
          <w:jc w:val="center"/>
        </w:trPr>
        <w:tc>
          <w:tcPr>
            <w:tcW w:w="1490" w:type="pct"/>
            <w:tcBorders>
              <w:top w:val="single" w:sz="4" w:space="0" w:color="auto"/>
              <w:left w:val="single" w:sz="4" w:space="0" w:color="auto"/>
              <w:bottom w:val="nil"/>
              <w:right w:val="nil"/>
            </w:tcBorders>
            <w:hideMark/>
          </w:tcPr>
          <w:p w14:paraId="09B17D18" w14:textId="77777777" w:rsidR="00E607F1" w:rsidRPr="00E63838" w:rsidRDefault="00E607F1" w:rsidP="004A5906">
            <w:pPr>
              <w:rPr>
                <w:sz w:val="22"/>
                <w:szCs w:val="22"/>
                <w:lang w:val="en-GB"/>
              </w:rPr>
            </w:pPr>
            <w:r w:rsidRPr="00E63838">
              <w:rPr>
                <w:sz w:val="22"/>
                <w:szCs w:val="22"/>
                <w:lang w:val="en-GB"/>
              </w:rPr>
              <w:t>Life-threatening bleeds</w:t>
            </w:r>
          </w:p>
        </w:tc>
        <w:tc>
          <w:tcPr>
            <w:tcW w:w="1239" w:type="pct"/>
            <w:tcBorders>
              <w:top w:val="single" w:sz="4" w:space="0" w:color="auto"/>
              <w:left w:val="single" w:sz="4" w:space="0" w:color="auto"/>
              <w:bottom w:val="nil"/>
              <w:right w:val="nil"/>
            </w:tcBorders>
            <w:hideMark/>
          </w:tcPr>
          <w:p w14:paraId="7918C261" w14:textId="77777777" w:rsidR="00E607F1" w:rsidRPr="00E63838" w:rsidRDefault="00E607F1" w:rsidP="004A5906">
            <w:pPr>
              <w:rPr>
                <w:sz w:val="22"/>
                <w:szCs w:val="22"/>
                <w:lang w:val="en-GB"/>
              </w:rPr>
            </w:pPr>
            <w:r w:rsidRPr="00E63838">
              <w:rPr>
                <w:sz w:val="22"/>
                <w:szCs w:val="22"/>
                <w:lang w:val="en-GB"/>
              </w:rPr>
              <w:t>0</w:t>
            </w:r>
          </w:p>
        </w:tc>
        <w:tc>
          <w:tcPr>
            <w:tcW w:w="764" w:type="pct"/>
            <w:tcBorders>
              <w:top w:val="single" w:sz="4" w:space="0" w:color="auto"/>
              <w:left w:val="single" w:sz="4" w:space="0" w:color="auto"/>
              <w:bottom w:val="nil"/>
              <w:right w:val="nil"/>
            </w:tcBorders>
            <w:hideMark/>
          </w:tcPr>
          <w:p w14:paraId="45E5FA13" w14:textId="77777777" w:rsidR="00E607F1" w:rsidRPr="00E63838" w:rsidRDefault="00E607F1" w:rsidP="004A5906">
            <w:pPr>
              <w:rPr>
                <w:sz w:val="22"/>
                <w:szCs w:val="22"/>
                <w:lang w:val="en-GB"/>
              </w:rPr>
            </w:pPr>
            <w:r w:rsidRPr="00E63838">
              <w:rPr>
                <w:sz w:val="22"/>
                <w:szCs w:val="22"/>
                <w:lang w:val="en-GB"/>
              </w:rPr>
              <w:t>0</w:t>
            </w:r>
          </w:p>
        </w:tc>
        <w:tc>
          <w:tcPr>
            <w:tcW w:w="1507" w:type="pct"/>
            <w:tcBorders>
              <w:top w:val="single" w:sz="4" w:space="0" w:color="auto"/>
              <w:left w:val="single" w:sz="4" w:space="0" w:color="auto"/>
              <w:bottom w:val="nil"/>
              <w:right w:val="single" w:sz="4" w:space="0" w:color="auto"/>
            </w:tcBorders>
            <w:hideMark/>
          </w:tcPr>
          <w:p w14:paraId="22B7880A" w14:textId="77777777" w:rsidR="00E607F1" w:rsidRPr="00E63838" w:rsidRDefault="00E607F1" w:rsidP="004A5906">
            <w:pPr>
              <w:rPr>
                <w:sz w:val="22"/>
                <w:szCs w:val="22"/>
                <w:lang w:val="en-GB"/>
              </w:rPr>
            </w:pPr>
            <w:r w:rsidRPr="00E63838">
              <w:rPr>
                <w:sz w:val="22"/>
                <w:szCs w:val="22"/>
                <w:lang w:val="en-GB"/>
              </w:rPr>
              <w:t>Not calculable*</w:t>
            </w:r>
          </w:p>
        </w:tc>
      </w:tr>
      <w:tr w:rsidR="00E607F1" w:rsidRPr="00E63838" w14:paraId="352CB5CD" w14:textId="77777777" w:rsidTr="004A5906">
        <w:trPr>
          <w:trHeight w:val="57"/>
          <w:jc w:val="center"/>
        </w:trPr>
        <w:tc>
          <w:tcPr>
            <w:tcW w:w="1490" w:type="pct"/>
            <w:tcBorders>
              <w:top w:val="single" w:sz="4" w:space="0" w:color="auto"/>
              <w:left w:val="single" w:sz="4" w:space="0" w:color="auto"/>
              <w:bottom w:val="nil"/>
              <w:right w:val="nil"/>
            </w:tcBorders>
            <w:hideMark/>
          </w:tcPr>
          <w:p w14:paraId="48C83F3E" w14:textId="77777777" w:rsidR="00E607F1" w:rsidRPr="00E63838" w:rsidRDefault="00E607F1" w:rsidP="004A5906">
            <w:pPr>
              <w:rPr>
                <w:sz w:val="22"/>
                <w:szCs w:val="22"/>
                <w:lang w:val="en-GB"/>
              </w:rPr>
            </w:pPr>
            <w:r w:rsidRPr="00E63838">
              <w:rPr>
                <w:sz w:val="22"/>
                <w:szCs w:val="22"/>
                <w:lang w:val="en-GB"/>
              </w:rPr>
              <w:t>Major bleeding event/clinically relevant bleeds</w:t>
            </w:r>
          </w:p>
        </w:tc>
        <w:tc>
          <w:tcPr>
            <w:tcW w:w="1239" w:type="pct"/>
            <w:tcBorders>
              <w:top w:val="single" w:sz="4" w:space="0" w:color="auto"/>
              <w:left w:val="single" w:sz="4" w:space="0" w:color="auto"/>
              <w:bottom w:val="nil"/>
              <w:right w:val="nil"/>
            </w:tcBorders>
            <w:hideMark/>
          </w:tcPr>
          <w:p w14:paraId="452F0C4F" w14:textId="77777777" w:rsidR="00E607F1" w:rsidRPr="00E63838" w:rsidRDefault="00E607F1" w:rsidP="004A5906">
            <w:pPr>
              <w:rPr>
                <w:sz w:val="22"/>
                <w:szCs w:val="22"/>
                <w:lang w:val="en-GB"/>
              </w:rPr>
            </w:pPr>
            <w:r w:rsidRPr="00E63838">
              <w:rPr>
                <w:sz w:val="22"/>
                <w:szCs w:val="22"/>
                <w:lang w:val="en-GB"/>
              </w:rPr>
              <w:t>36 (5.3%)</w:t>
            </w:r>
          </w:p>
        </w:tc>
        <w:tc>
          <w:tcPr>
            <w:tcW w:w="764" w:type="pct"/>
            <w:tcBorders>
              <w:top w:val="single" w:sz="4" w:space="0" w:color="auto"/>
              <w:left w:val="single" w:sz="4" w:space="0" w:color="auto"/>
              <w:bottom w:val="nil"/>
              <w:right w:val="nil"/>
            </w:tcBorders>
            <w:hideMark/>
          </w:tcPr>
          <w:p w14:paraId="38F803EC" w14:textId="77777777" w:rsidR="00E607F1" w:rsidRPr="00E63838" w:rsidRDefault="00E607F1" w:rsidP="004A5906">
            <w:pPr>
              <w:rPr>
                <w:sz w:val="22"/>
                <w:szCs w:val="22"/>
                <w:lang w:val="en-GB"/>
              </w:rPr>
            </w:pPr>
            <w:r w:rsidRPr="00E63838">
              <w:rPr>
                <w:sz w:val="22"/>
                <w:szCs w:val="22"/>
                <w:lang w:val="en-GB"/>
              </w:rPr>
              <w:t>13 (2.0%)</w:t>
            </w:r>
          </w:p>
        </w:tc>
        <w:tc>
          <w:tcPr>
            <w:tcW w:w="1507" w:type="pct"/>
            <w:tcBorders>
              <w:top w:val="single" w:sz="4" w:space="0" w:color="auto"/>
              <w:left w:val="single" w:sz="4" w:space="0" w:color="auto"/>
              <w:bottom w:val="nil"/>
              <w:right w:val="single" w:sz="4" w:space="0" w:color="auto"/>
            </w:tcBorders>
            <w:hideMark/>
          </w:tcPr>
          <w:p w14:paraId="1DBB4AAE" w14:textId="77777777" w:rsidR="00E607F1" w:rsidRPr="00E63838" w:rsidRDefault="00E607F1" w:rsidP="004A5906">
            <w:pPr>
              <w:rPr>
                <w:sz w:val="22"/>
                <w:szCs w:val="22"/>
                <w:lang w:val="en-GB"/>
              </w:rPr>
            </w:pPr>
            <w:r w:rsidRPr="00E63838">
              <w:rPr>
                <w:sz w:val="22"/>
                <w:szCs w:val="22"/>
                <w:lang w:val="en-GB"/>
              </w:rPr>
              <w:t>2.69 (1.43, 5.07)</w:t>
            </w:r>
          </w:p>
        </w:tc>
      </w:tr>
      <w:tr w:rsidR="00E607F1" w:rsidRPr="00E63838" w14:paraId="391D1C92" w14:textId="77777777" w:rsidTr="004A5906">
        <w:trPr>
          <w:trHeight w:val="57"/>
          <w:jc w:val="center"/>
        </w:trPr>
        <w:tc>
          <w:tcPr>
            <w:tcW w:w="1490" w:type="pct"/>
            <w:tcBorders>
              <w:top w:val="single" w:sz="4" w:space="0" w:color="auto"/>
              <w:left w:val="single" w:sz="4" w:space="0" w:color="auto"/>
              <w:bottom w:val="nil"/>
              <w:right w:val="nil"/>
            </w:tcBorders>
            <w:hideMark/>
          </w:tcPr>
          <w:p w14:paraId="0F4742FB" w14:textId="77777777" w:rsidR="00E607F1" w:rsidRPr="00E63838" w:rsidRDefault="00E607F1" w:rsidP="004A5906">
            <w:pPr>
              <w:rPr>
                <w:sz w:val="22"/>
                <w:szCs w:val="22"/>
                <w:lang w:val="en-GB"/>
              </w:rPr>
            </w:pPr>
            <w:r w:rsidRPr="00E63838">
              <w:rPr>
                <w:sz w:val="22"/>
                <w:szCs w:val="22"/>
                <w:lang w:val="en-GB"/>
              </w:rPr>
              <w:t>Any bleeding</w:t>
            </w:r>
          </w:p>
        </w:tc>
        <w:tc>
          <w:tcPr>
            <w:tcW w:w="1239" w:type="pct"/>
            <w:tcBorders>
              <w:top w:val="single" w:sz="4" w:space="0" w:color="auto"/>
              <w:left w:val="single" w:sz="4" w:space="0" w:color="auto"/>
              <w:bottom w:val="nil"/>
              <w:right w:val="nil"/>
            </w:tcBorders>
            <w:hideMark/>
          </w:tcPr>
          <w:p w14:paraId="3BE151EE" w14:textId="77777777" w:rsidR="00E607F1" w:rsidRPr="00E63838" w:rsidRDefault="00E607F1" w:rsidP="004A5906">
            <w:pPr>
              <w:rPr>
                <w:sz w:val="22"/>
                <w:szCs w:val="22"/>
                <w:lang w:val="en-GB"/>
              </w:rPr>
            </w:pPr>
            <w:r w:rsidRPr="00E63838">
              <w:rPr>
                <w:sz w:val="22"/>
                <w:szCs w:val="22"/>
                <w:lang w:val="en-GB"/>
              </w:rPr>
              <w:t>72 (10.5%)</w:t>
            </w:r>
          </w:p>
        </w:tc>
        <w:tc>
          <w:tcPr>
            <w:tcW w:w="764" w:type="pct"/>
            <w:tcBorders>
              <w:top w:val="single" w:sz="4" w:space="0" w:color="auto"/>
              <w:left w:val="single" w:sz="4" w:space="0" w:color="auto"/>
              <w:bottom w:val="nil"/>
              <w:right w:val="nil"/>
            </w:tcBorders>
            <w:hideMark/>
          </w:tcPr>
          <w:p w14:paraId="4E10DA85" w14:textId="77777777" w:rsidR="00E607F1" w:rsidRPr="00E63838" w:rsidRDefault="00E607F1" w:rsidP="004A5906">
            <w:pPr>
              <w:rPr>
                <w:sz w:val="22"/>
                <w:szCs w:val="22"/>
                <w:lang w:val="en-GB"/>
              </w:rPr>
            </w:pPr>
            <w:r w:rsidRPr="00E63838">
              <w:rPr>
                <w:sz w:val="22"/>
                <w:szCs w:val="22"/>
                <w:lang w:val="en-GB"/>
              </w:rPr>
              <w:t>40 (6.1%)</w:t>
            </w:r>
          </w:p>
        </w:tc>
        <w:tc>
          <w:tcPr>
            <w:tcW w:w="1507" w:type="pct"/>
            <w:tcBorders>
              <w:top w:val="single" w:sz="4" w:space="0" w:color="auto"/>
              <w:left w:val="single" w:sz="4" w:space="0" w:color="auto"/>
              <w:bottom w:val="nil"/>
              <w:right w:val="single" w:sz="4" w:space="0" w:color="auto"/>
            </w:tcBorders>
            <w:hideMark/>
          </w:tcPr>
          <w:p w14:paraId="779C0FF5" w14:textId="77777777" w:rsidR="00E607F1" w:rsidRPr="00E63838" w:rsidRDefault="00E607F1" w:rsidP="004A5906">
            <w:pPr>
              <w:rPr>
                <w:sz w:val="22"/>
                <w:szCs w:val="22"/>
                <w:lang w:val="en-GB"/>
              </w:rPr>
            </w:pPr>
            <w:r w:rsidRPr="00E63838">
              <w:rPr>
                <w:sz w:val="22"/>
                <w:szCs w:val="22"/>
                <w:lang w:val="en-GB"/>
              </w:rPr>
              <w:t>1.77 (1.20, 2.61)</w:t>
            </w:r>
          </w:p>
        </w:tc>
      </w:tr>
      <w:tr w:rsidR="00E607F1" w:rsidRPr="00E63838" w14:paraId="5B4E3A77" w14:textId="77777777" w:rsidTr="004A5906">
        <w:trPr>
          <w:trHeight w:val="57"/>
          <w:jc w:val="center"/>
        </w:trPr>
        <w:tc>
          <w:tcPr>
            <w:tcW w:w="1490" w:type="pct"/>
            <w:tcBorders>
              <w:top w:val="single" w:sz="4" w:space="0" w:color="auto"/>
              <w:left w:val="single" w:sz="4" w:space="0" w:color="auto"/>
              <w:bottom w:val="single" w:sz="4" w:space="0" w:color="auto"/>
              <w:right w:val="nil"/>
            </w:tcBorders>
            <w:hideMark/>
          </w:tcPr>
          <w:p w14:paraId="2CDDDC8A" w14:textId="77777777" w:rsidR="00E607F1" w:rsidRPr="00E63838" w:rsidRDefault="00E607F1" w:rsidP="00E63838">
            <w:pPr>
              <w:ind w:left="264"/>
              <w:rPr>
                <w:sz w:val="22"/>
                <w:szCs w:val="22"/>
                <w:lang w:val="en-GB"/>
              </w:rPr>
            </w:pPr>
            <w:r w:rsidRPr="00E63838">
              <w:rPr>
                <w:sz w:val="22"/>
                <w:szCs w:val="22"/>
                <w:lang w:val="en-GB"/>
              </w:rPr>
              <w:t>Any GI bleeds</w:t>
            </w:r>
          </w:p>
        </w:tc>
        <w:tc>
          <w:tcPr>
            <w:tcW w:w="1239" w:type="pct"/>
            <w:tcBorders>
              <w:top w:val="single" w:sz="4" w:space="0" w:color="auto"/>
              <w:left w:val="single" w:sz="4" w:space="0" w:color="auto"/>
              <w:bottom w:val="single" w:sz="4" w:space="0" w:color="auto"/>
              <w:right w:val="nil"/>
            </w:tcBorders>
            <w:hideMark/>
          </w:tcPr>
          <w:p w14:paraId="56626942" w14:textId="77777777" w:rsidR="00E607F1" w:rsidRPr="00E63838" w:rsidRDefault="00E607F1" w:rsidP="004A5906">
            <w:pPr>
              <w:rPr>
                <w:sz w:val="22"/>
                <w:szCs w:val="22"/>
                <w:lang w:val="en-GB"/>
              </w:rPr>
            </w:pPr>
            <w:r w:rsidRPr="00E63838">
              <w:rPr>
                <w:sz w:val="22"/>
                <w:szCs w:val="22"/>
                <w:lang w:val="en-GB"/>
              </w:rPr>
              <w:t>5 (0.7%)</w:t>
            </w:r>
          </w:p>
        </w:tc>
        <w:tc>
          <w:tcPr>
            <w:tcW w:w="764" w:type="pct"/>
            <w:tcBorders>
              <w:top w:val="single" w:sz="4" w:space="0" w:color="auto"/>
              <w:left w:val="single" w:sz="4" w:space="0" w:color="auto"/>
              <w:bottom w:val="single" w:sz="4" w:space="0" w:color="auto"/>
              <w:right w:val="nil"/>
            </w:tcBorders>
            <w:hideMark/>
          </w:tcPr>
          <w:p w14:paraId="186CDBA0" w14:textId="77777777" w:rsidR="00E607F1" w:rsidRPr="00E63838" w:rsidRDefault="00E607F1" w:rsidP="004A5906">
            <w:pPr>
              <w:rPr>
                <w:sz w:val="22"/>
                <w:szCs w:val="22"/>
                <w:lang w:val="en-GB"/>
              </w:rPr>
            </w:pPr>
            <w:r w:rsidRPr="00E63838">
              <w:rPr>
                <w:sz w:val="22"/>
                <w:szCs w:val="22"/>
                <w:lang w:val="en-GB"/>
              </w:rPr>
              <w:t>2 (0.3%)</w:t>
            </w:r>
          </w:p>
        </w:tc>
        <w:tc>
          <w:tcPr>
            <w:tcW w:w="1507" w:type="pct"/>
            <w:tcBorders>
              <w:top w:val="single" w:sz="4" w:space="0" w:color="auto"/>
              <w:left w:val="single" w:sz="4" w:space="0" w:color="auto"/>
              <w:bottom w:val="single" w:sz="4" w:space="0" w:color="auto"/>
              <w:right w:val="single" w:sz="4" w:space="0" w:color="auto"/>
            </w:tcBorders>
            <w:hideMark/>
          </w:tcPr>
          <w:p w14:paraId="23324A04" w14:textId="77777777" w:rsidR="00E607F1" w:rsidRPr="00E63838" w:rsidRDefault="00E607F1" w:rsidP="004A5906">
            <w:pPr>
              <w:rPr>
                <w:sz w:val="22"/>
                <w:szCs w:val="22"/>
                <w:lang w:val="en-GB"/>
              </w:rPr>
            </w:pPr>
            <w:r w:rsidRPr="00E63838">
              <w:rPr>
                <w:sz w:val="22"/>
                <w:szCs w:val="22"/>
                <w:lang w:val="en-GB"/>
              </w:rPr>
              <w:t>2.38 (0.46, 12.27)</w:t>
            </w:r>
          </w:p>
        </w:tc>
      </w:tr>
    </w:tbl>
    <w:p w14:paraId="6325DE37" w14:textId="77777777" w:rsidR="00E607F1" w:rsidRPr="00B55C24" w:rsidRDefault="00E607F1" w:rsidP="00E63838">
      <w:pPr>
        <w:rPr>
          <w:sz w:val="24"/>
          <w:szCs w:val="24"/>
          <w:lang w:val="en-GB"/>
        </w:rPr>
      </w:pPr>
      <w:r w:rsidRPr="00B55C24">
        <w:rPr>
          <w:sz w:val="24"/>
          <w:szCs w:val="24"/>
          <w:lang w:val="en-GB"/>
        </w:rPr>
        <w:t>*HR not estimable as there is no event in either one treatment</w:t>
      </w:r>
    </w:p>
    <w:p w14:paraId="3ECACEE7" w14:textId="77777777" w:rsidR="00E607F1" w:rsidRPr="00B55C24" w:rsidRDefault="00E607F1" w:rsidP="00E607F1">
      <w:pPr>
        <w:tabs>
          <w:tab w:val="left" w:pos="851"/>
        </w:tabs>
        <w:ind w:left="851"/>
        <w:rPr>
          <w:sz w:val="24"/>
          <w:szCs w:val="24"/>
          <w:lang w:val="en-GB"/>
        </w:rPr>
      </w:pPr>
    </w:p>
    <w:p w14:paraId="0570557A" w14:textId="77777777" w:rsidR="00E607F1" w:rsidRPr="00E63838" w:rsidRDefault="00E607F1" w:rsidP="004A5906">
      <w:pPr>
        <w:ind w:left="851"/>
        <w:rPr>
          <w:i/>
          <w:iCs/>
          <w:sz w:val="24"/>
          <w:szCs w:val="24"/>
          <w:u w:val="single"/>
          <w:lang w:val="en-GB"/>
        </w:rPr>
      </w:pPr>
      <w:r w:rsidRPr="00E63838">
        <w:rPr>
          <w:i/>
          <w:iCs/>
          <w:sz w:val="24"/>
          <w:szCs w:val="24"/>
          <w:u w:val="single"/>
          <w:lang w:val="en-GB"/>
        </w:rPr>
        <w:t>Agranulocytosis and neutropenia</w:t>
      </w:r>
    </w:p>
    <w:p w14:paraId="418BEFD4" w14:textId="77777777" w:rsidR="00E607F1" w:rsidRPr="00B55C24" w:rsidRDefault="00E607F1" w:rsidP="004A5906">
      <w:pPr>
        <w:ind w:left="851"/>
        <w:rPr>
          <w:sz w:val="24"/>
          <w:szCs w:val="24"/>
          <w:lang w:val="en-GB"/>
        </w:rPr>
      </w:pPr>
    </w:p>
    <w:p w14:paraId="307C6EEF" w14:textId="77777777" w:rsidR="00E607F1" w:rsidRPr="00B55C24" w:rsidRDefault="00E607F1" w:rsidP="004A5906">
      <w:pPr>
        <w:ind w:left="851"/>
        <w:rPr>
          <w:sz w:val="24"/>
          <w:szCs w:val="24"/>
          <w:lang w:val="en-GB"/>
        </w:rPr>
      </w:pPr>
      <w:r w:rsidRPr="00B55C24">
        <w:rPr>
          <w:sz w:val="24"/>
          <w:szCs w:val="24"/>
          <w:lang w:val="en-GB"/>
        </w:rPr>
        <w:t xml:space="preserve">Agranulocytosis and neutropenia have been reported very rarely during post approval use of dabigatran </w:t>
      </w:r>
      <w:proofErr w:type="spellStart"/>
      <w:r w:rsidRPr="00B55C24">
        <w:rPr>
          <w:sz w:val="24"/>
          <w:szCs w:val="24"/>
          <w:lang w:val="en-GB"/>
        </w:rPr>
        <w:t>etexilate</w:t>
      </w:r>
      <w:proofErr w:type="spellEnd"/>
      <w:r w:rsidRPr="00B55C24">
        <w:rPr>
          <w:sz w:val="24"/>
          <w:szCs w:val="24"/>
          <w:lang w:val="en-GB"/>
        </w:rPr>
        <w:t xml:space="preserve">. Because adverse reactions are reported in the </w:t>
      </w:r>
      <w:proofErr w:type="spellStart"/>
      <w:r w:rsidRPr="00B55C24">
        <w:rPr>
          <w:sz w:val="24"/>
          <w:szCs w:val="24"/>
          <w:lang w:val="en-GB"/>
        </w:rPr>
        <w:t>postmarketing</w:t>
      </w:r>
      <w:proofErr w:type="spellEnd"/>
      <w:r w:rsidRPr="00B55C24">
        <w:rPr>
          <w:sz w:val="24"/>
          <w:szCs w:val="24"/>
          <w:lang w:val="en-GB"/>
        </w:rPr>
        <w:t xml:space="preserve"> surveillance setting from a population of uncertain size, it is not possible to reliably determine their frequency. The reporting rate was estimated as 7 events per 1 million patient years for agranulocytosis and as 5 events per 1 million patient years for neutropenia.</w:t>
      </w:r>
    </w:p>
    <w:p w14:paraId="30B89547" w14:textId="77777777" w:rsidR="00E607F1" w:rsidRPr="00B55C24" w:rsidRDefault="00E607F1" w:rsidP="004A5906">
      <w:pPr>
        <w:ind w:left="851"/>
        <w:rPr>
          <w:sz w:val="24"/>
          <w:szCs w:val="24"/>
          <w:lang w:val="en-GB"/>
        </w:rPr>
      </w:pPr>
    </w:p>
    <w:p w14:paraId="34437F17" w14:textId="77777777" w:rsidR="00E607F1" w:rsidRPr="00E63838" w:rsidRDefault="00E607F1" w:rsidP="004A5906">
      <w:pPr>
        <w:ind w:left="851"/>
        <w:rPr>
          <w:sz w:val="24"/>
          <w:szCs w:val="24"/>
          <w:u w:val="single"/>
          <w:lang w:val="en-GB"/>
        </w:rPr>
      </w:pPr>
      <w:r w:rsidRPr="00E63838">
        <w:rPr>
          <w:sz w:val="24"/>
          <w:szCs w:val="24"/>
          <w:u w:val="single"/>
          <w:lang w:val="en-GB"/>
        </w:rPr>
        <w:t>Paediatric population</w:t>
      </w:r>
    </w:p>
    <w:p w14:paraId="1C6F54F9" w14:textId="77777777" w:rsidR="00E607F1" w:rsidRPr="00B55C24" w:rsidRDefault="00E607F1" w:rsidP="004A5906">
      <w:pPr>
        <w:ind w:left="851"/>
        <w:rPr>
          <w:sz w:val="24"/>
          <w:szCs w:val="24"/>
          <w:lang w:val="en-GB"/>
        </w:rPr>
      </w:pPr>
    </w:p>
    <w:p w14:paraId="761B9019" w14:textId="0475B614" w:rsidR="00E607F1" w:rsidRPr="00B55C24" w:rsidRDefault="00E607F1" w:rsidP="004A5906">
      <w:pPr>
        <w:ind w:left="851"/>
        <w:rPr>
          <w:sz w:val="24"/>
          <w:szCs w:val="24"/>
          <w:lang w:val="en-GB"/>
        </w:rPr>
      </w:pPr>
      <w:r w:rsidRPr="00B55C24">
        <w:rPr>
          <w:sz w:val="24"/>
          <w:szCs w:val="24"/>
          <w:lang w:val="en-GB"/>
        </w:rPr>
        <w:t xml:space="preserve">The safety of dabigatran </w:t>
      </w:r>
      <w:proofErr w:type="spellStart"/>
      <w:r w:rsidRPr="00B55C24">
        <w:rPr>
          <w:sz w:val="24"/>
          <w:szCs w:val="24"/>
          <w:lang w:val="en-GB"/>
        </w:rPr>
        <w:t>etexilate</w:t>
      </w:r>
      <w:proofErr w:type="spellEnd"/>
      <w:r w:rsidRPr="00B55C24">
        <w:rPr>
          <w:sz w:val="24"/>
          <w:szCs w:val="24"/>
          <w:lang w:val="en-GB"/>
        </w:rPr>
        <w:t xml:space="preserve"> in the treatment of VTE and prevention of recurrent VTE in paediatric patients was studied in two phase III trials (DIVERSITY and 1160.108). In total, 328 paediatric patients had been treated with dabigatran </w:t>
      </w:r>
      <w:proofErr w:type="spellStart"/>
      <w:r w:rsidRPr="00B55C24">
        <w:rPr>
          <w:sz w:val="24"/>
          <w:szCs w:val="24"/>
          <w:lang w:val="en-GB"/>
        </w:rPr>
        <w:t>etexilate</w:t>
      </w:r>
      <w:proofErr w:type="spellEnd"/>
      <w:r w:rsidRPr="00B55C24">
        <w:rPr>
          <w:sz w:val="24"/>
          <w:szCs w:val="24"/>
          <w:lang w:val="en-GB"/>
        </w:rPr>
        <w:t xml:space="preserve">. The patients received age and weight adjusted doses of an age-appropriate formulation of dabigatran </w:t>
      </w:r>
      <w:proofErr w:type="spellStart"/>
      <w:r w:rsidRPr="00B55C24">
        <w:rPr>
          <w:sz w:val="24"/>
          <w:szCs w:val="24"/>
          <w:lang w:val="en-GB"/>
        </w:rPr>
        <w:t>etexilate</w:t>
      </w:r>
      <w:proofErr w:type="spellEnd"/>
      <w:r w:rsidRPr="00B55C24">
        <w:rPr>
          <w:sz w:val="24"/>
          <w:szCs w:val="24"/>
          <w:lang w:val="en-GB"/>
        </w:rPr>
        <w:t>.</w:t>
      </w:r>
    </w:p>
    <w:p w14:paraId="1A73FF67" w14:textId="77777777" w:rsidR="00E607F1" w:rsidRPr="00B55C24" w:rsidRDefault="00E607F1" w:rsidP="004A5906">
      <w:pPr>
        <w:ind w:left="851"/>
        <w:rPr>
          <w:sz w:val="24"/>
          <w:szCs w:val="24"/>
          <w:lang w:val="en-GB"/>
        </w:rPr>
      </w:pPr>
    </w:p>
    <w:p w14:paraId="6F19D0AE" w14:textId="77777777" w:rsidR="00E607F1" w:rsidRPr="00B55C24" w:rsidRDefault="00E607F1" w:rsidP="004A5906">
      <w:pPr>
        <w:ind w:left="851"/>
        <w:rPr>
          <w:sz w:val="24"/>
          <w:szCs w:val="24"/>
          <w:lang w:val="en-GB"/>
        </w:rPr>
      </w:pPr>
      <w:r w:rsidRPr="00B55C24">
        <w:rPr>
          <w:sz w:val="24"/>
          <w:szCs w:val="24"/>
          <w:lang w:val="en-GB"/>
        </w:rPr>
        <w:t>Overall, the safety profile in children is expected to be the same as in adults.</w:t>
      </w:r>
    </w:p>
    <w:p w14:paraId="4C67A13D" w14:textId="77777777" w:rsidR="00E607F1" w:rsidRPr="00B55C24" w:rsidRDefault="00E607F1" w:rsidP="004A5906">
      <w:pPr>
        <w:ind w:left="851"/>
        <w:rPr>
          <w:sz w:val="24"/>
          <w:szCs w:val="24"/>
          <w:lang w:val="en-GB"/>
        </w:rPr>
      </w:pPr>
    </w:p>
    <w:p w14:paraId="3EA18F15" w14:textId="77777777" w:rsidR="00E607F1" w:rsidRPr="00B55C24" w:rsidRDefault="00E607F1" w:rsidP="004A5906">
      <w:pPr>
        <w:ind w:left="851"/>
        <w:rPr>
          <w:sz w:val="24"/>
          <w:szCs w:val="24"/>
          <w:lang w:val="en-GB"/>
        </w:rPr>
      </w:pPr>
      <w:r w:rsidRPr="00B55C24">
        <w:rPr>
          <w:sz w:val="24"/>
          <w:szCs w:val="24"/>
          <w:lang w:val="en-GB"/>
        </w:rPr>
        <w:t xml:space="preserve">In total, 26% of paediatric patients treated with dabigatran </w:t>
      </w:r>
      <w:proofErr w:type="spellStart"/>
      <w:r w:rsidRPr="00B55C24">
        <w:rPr>
          <w:sz w:val="24"/>
          <w:szCs w:val="24"/>
          <w:lang w:val="en-GB"/>
        </w:rPr>
        <w:t>etexilate</w:t>
      </w:r>
      <w:proofErr w:type="spellEnd"/>
      <w:r w:rsidRPr="00B55C24">
        <w:rPr>
          <w:sz w:val="24"/>
          <w:szCs w:val="24"/>
          <w:lang w:val="en-GB"/>
        </w:rPr>
        <w:t xml:space="preserve"> for VTE and for prevention of recurrent VTE experienced adverse reactions.</w:t>
      </w:r>
    </w:p>
    <w:p w14:paraId="56FADE03" w14:textId="77777777" w:rsidR="00E607F1" w:rsidRPr="00B55C24" w:rsidRDefault="00E607F1" w:rsidP="004A5906">
      <w:pPr>
        <w:ind w:left="851"/>
        <w:rPr>
          <w:sz w:val="24"/>
          <w:szCs w:val="24"/>
          <w:lang w:val="en-GB"/>
        </w:rPr>
      </w:pPr>
    </w:p>
    <w:p w14:paraId="7123FA92" w14:textId="77777777" w:rsidR="00E607F1" w:rsidRPr="00E63838" w:rsidRDefault="00E607F1" w:rsidP="004A5906">
      <w:pPr>
        <w:ind w:left="851"/>
        <w:rPr>
          <w:i/>
          <w:iCs/>
          <w:sz w:val="24"/>
          <w:szCs w:val="24"/>
          <w:u w:val="single"/>
          <w:lang w:val="en-GB"/>
        </w:rPr>
      </w:pPr>
      <w:r w:rsidRPr="00E63838">
        <w:rPr>
          <w:i/>
          <w:iCs/>
          <w:sz w:val="24"/>
          <w:szCs w:val="24"/>
          <w:u w:val="single"/>
          <w:lang w:val="en-GB"/>
        </w:rPr>
        <w:t>Tabulated list of adverse reactions</w:t>
      </w:r>
    </w:p>
    <w:p w14:paraId="0C5098F2" w14:textId="77777777" w:rsidR="00E607F1" w:rsidRPr="00B55C24" w:rsidRDefault="00E607F1" w:rsidP="004A5906">
      <w:pPr>
        <w:ind w:left="851"/>
        <w:rPr>
          <w:sz w:val="24"/>
          <w:szCs w:val="24"/>
          <w:lang w:val="en-GB"/>
        </w:rPr>
      </w:pPr>
    </w:p>
    <w:p w14:paraId="0B083098" w14:textId="74A8AAFD" w:rsidR="00E607F1" w:rsidRPr="00B55C24" w:rsidRDefault="00E607F1" w:rsidP="004A5906">
      <w:pPr>
        <w:ind w:left="851"/>
        <w:rPr>
          <w:sz w:val="24"/>
          <w:szCs w:val="24"/>
          <w:lang w:val="en-GB"/>
        </w:rPr>
      </w:pPr>
      <w:r w:rsidRPr="00B55C24">
        <w:rPr>
          <w:sz w:val="24"/>
          <w:szCs w:val="24"/>
          <w:lang w:val="en-GB"/>
        </w:rPr>
        <w:t>Table 16 shows the adverse reactions identified from the studies in the treatment of VTE and prevention of recurrent VTE in paediatric patients. They are ranked under headings of System Organ Class (SOC) and frequency using the following convention: very common ≥</w:t>
      </w:r>
      <w:r w:rsidR="00E63838">
        <w:rPr>
          <w:sz w:val="24"/>
          <w:szCs w:val="24"/>
          <w:lang w:val="en-GB"/>
        </w:rPr>
        <w:t> </w:t>
      </w:r>
      <w:r w:rsidRPr="00B55C24">
        <w:rPr>
          <w:sz w:val="24"/>
          <w:szCs w:val="24"/>
          <w:lang w:val="en-GB"/>
        </w:rPr>
        <w:t>1/10), common (≥ 1/100 to &lt; 1/10), uncommon (≥ 1/1,000 to &lt; 1/100), rare (≥ 1/10,000 to &lt; 1/1,000), very rare (&lt; 1/10,000), not known (cannot be estimated from the available data).</w:t>
      </w:r>
    </w:p>
    <w:p w14:paraId="543CDEEE" w14:textId="77777777" w:rsidR="00E607F1" w:rsidRPr="00B55C24" w:rsidRDefault="00E607F1" w:rsidP="004A5906">
      <w:pPr>
        <w:ind w:left="851"/>
        <w:rPr>
          <w:sz w:val="24"/>
          <w:szCs w:val="24"/>
          <w:lang w:val="en-GB"/>
        </w:rPr>
      </w:pPr>
    </w:p>
    <w:p w14:paraId="3E4134A4"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16: Adverse reactions</w:t>
      </w:r>
    </w:p>
    <w:p w14:paraId="668D4BCC"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148"/>
        <w:gridCol w:w="5480"/>
      </w:tblGrid>
      <w:tr w:rsidR="00E607F1" w:rsidRPr="00E63838" w14:paraId="6660EB7B" w14:textId="77777777" w:rsidTr="00E63838">
        <w:trPr>
          <w:trHeight w:val="20"/>
          <w:jc w:val="center"/>
        </w:trPr>
        <w:tc>
          <w:tcPr>
            <w:tcW w:w="2154" w:type="pct"/>
            <w:tcBorders>
              <w:top w:val="single" w:sz="4" w:space="0" w:color="auto"/>
              <w:left w:val="single" w:sz="4" w:space="0" w:color="auto"/>
              <w:bottom w:val="nil"/>
              <w:right w:val="nil"/>
            </w:tcBorders>
          </w:tcPr>
          <w:p w14:paraId="55A1B13E" w14:textId="77777777" w:rsidR="00E607F1" w:rsidRPr="00E63838" w:rsidRDefault="00E607F1" w:rsidP="004A5906">
            <w:pPr>
              <w:rPr>
                <w:sz w:val="22"/>
                <w:szCs w:val="22"/>
                <w:lang w:val="en-GB"/>
              </w:rPr>
            </w:pPr>
          </w:p>
        </w:tc>
        <w:tc>
          <w:tcPr>
            <w:tcW w:w="2846" w:type="pct"/>
            <w:tcBorders>
              <w:top w:val="single" w:sz="4" w:space="0" w:color="auto"/>
              <w:left w:val="single" w:sz="4" w:space="0" w:color="auto"/>
              <w:bottom w:val="nil"/>
              <w:right w:val="single" w:sz="4" w:space="0" w:color="auto"/>
            </w:tcBorders>
            <w:hideMark/>
          </w:tcPr>
          <w:p w14:paraId="37197316" w14:textId="77777777" w:rsidR="00E607F1" w:rsidRPr="00E63838" w:rsidRDefault="00E607F1" w:rsidP="004A5906">
            <w:pPr>
              <w:rPr>
                <w:sz w:val="22"/>
                <w:szCs w:val="22"/>
                <w:lang w:val="en-GB"/>
              </w:rPr>
            </w:pPr>
            <w:r w:rsidRPr="00E63838">
              <w:rPr>
                <w:sz w:val="22"/>
                <w:szCs w:val="22"/>
                <w:lang w:val="en-GB"/>
              </w:rPr>
              <w:t>Frequency</w:t>
            </w:r>
          </w:p>
        </w:tc>
      </w:tr>
      <w:tr w:rsidR="00E607F1" w:rsidRPr="00D476B2" w14:paraId="0349A01D" w14:textId="77777777" w:rsidTr="00E63838">
        <w:trPr>
          <w:trHeight w:val="20"/>
          <w:jc w:val="center"/>
        </w:trPr>
        <w:tc>
          <w:tcPr>
            <w:tcW w:w="2154" w:type="pct"/>
            <w:tcBorders>
              <w:top w:val="single" w:sz="4" w:space="0" w:color="auto"/>
              <w:left w:val="single" w:sz="4" w:space="0" w:color="auto"/>
              <w:bottom w:val="nil"/>
              <w:right w:val="nil"/>
            </w:tcBorders>
            <w:hideMark/>
          </w:tcPr>
          <w:p w14:paraId="2F36BB61" w14:textId="77777777" w:rsidR="00E607F1" w:rsidRPr="00E63838" w:rsidRDefault="00E607F1" w:rsidP="004A5906">
            <w:pPr>
              <w:rPr>
                <w:sz w:val="22"/>
                <w:szCs w:val="22"/>
                <w:lang w:val="en-GB"/>
              </w:rPr>
            </w:pPr>
            <w:r w:rsidRPr="00E63838">
              <w:rPr>
                <w:sz w:val="22"/>
                <w:szCs w:val="22"/>
                <w:lang w:val="en-GB"/>
              </w:rPr>
              <w:t>SOC / Preferred term.</w:t>
            </w:r>
          </w:p>
        </w:tc>
        <w:tc>
          <w:tcPr>
            <w:tcW w:w="2846" w:type="pct"/>
            <w:tcBorders>
              <w:top w:val="single" w:sz="4" w:space="0" w:color="auto"/>
              <w:left w:val="single" w:sz="4" w:space="0" w:color="auto"/>
              <w:bottom w:val="nil"/>
              <w:right w:val="single" w:sz="4" w:space="0" w:color="auto"/>
            </w:tcBorders>
            <w:vAlign w:val="bottom"/>
            <w:hideMark/>
          </w:tcPr>
          <w:p w14:paraId="61BF4F14" w14:textId="77777777" w:rsidR="00E607F1" w:rsidRPr="00E63838" w:rsidRDefault="00E607F1" w:rsidP="004A5906">
            <w:pPr>
              <w:rPr>
                <w:sz w:val="22"/>
                <w:szCs w:val="22"/>
                <w:lang w:val="en-GB"/>
              </w:rPr>
            </w:pPr>
            <w:r w:rsidRPr="00E63838">
              <w:rPr>
                <w:sz w:val="22"/>
                <w:szCs w:val="22"/>
                <w:lang w:val="en-GB"/>
              </w:rPr>
              <w:t>treatment of VTE and prevention of recurrent VTE in paediatric patients</w:t>
            </w:r>
          </w:p>
        </w:tc>
      </w:tr>
      <w:tr w:rsidR="00E607F1" w:rsidRPr="00D476B2" w14:paraId="4998EDE2" w14:textId="77777777" w:rsidTr="00E6383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3A9036F3" w14:textId="77777777" w:rsidR="00E607F1" w:rsidRPr="00E63838" w:rsidRDefault="00E607F1" w:rsidP="004A5906">
            <w:pPr>
              <w:rPr>
                <w:sz w:val="22"/>
                <w:szCs w:val="22"/>
                <w:lang w:val="en-GB"/>
              </w:rPr>
            </w:pPr>
            <w:r w:rsidRPr="00E63838">
              <w:rPr>
                <w:sz w:val="22"/>
                <w:szCs w:val="22"/>
                <w:lang w:val="en-GB"/>
              </w:rPr>
              <w:t>Blood and lymphatic system disorders</w:t>
            </w:r>
          </w:p>
        </w:tc>
      </w:tr>
      <w:tr w:rsidR="00E607F1" w:rsidRPr="00E63838" w14:paraId="41C94274"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AEACD46" w14:textId="77777777" w:rsidR="00E607F1" w:rsidRPr="00E63838" w:rsidRDefault="00E607F1" w:rsidP="00AB476E">
            <w:pPr>
              <w:ind w:left="264"/>
              <w:rPr>
                <w:sz w:val="22"/>
                <w:szCs w:val="22"/>
                <w:lang w:val="en-GB"/>
              </w:rPr>
            </w:pPr>
            <w:r w:rsidRPr="00E63838">
              <w:rPr>
                <w:sz w:val="22"/>
                <w:szCs w:val="22"/>
                <w:lang w:val="en-GB"/>
              </w:rPr>
              <w:t>Anaemia</w:t>
            </w:r>
          </w:p>
        </w:tc>
        <w:tc>
          <w:tcPr>
            <w:tcW w:w="2846" w:type="pct"/>
            <w:tcBorders>
              <w:top w:val="single" w:sz="4" w:space="0" w:color="auto"/>
              <w:left w:val="single" w:sz="4" w:space="0" w:color="auto"/>
              <w:bottom w:val="nil"/>
              <w:right w:val="single" w:sz="4" w:space="0" w:color="auto"/>
            </w:tcBorders>
            <w:vAlign w:val="bottom"/>
            <w:hideMark/>
          </w:tcPr>
          <w:p w14:paraId="6CD1A58F"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436B91B4"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1073E5F" w14:textId="77777777" w:rsidR="00E607F1" w:rsidRPr="00E63838" w:rsidRDefault="00E607F1" w:rsidP="00AB476E">
            <w:pPr>
              <w:ind w:left="264"/>
              <w:rPr>
                <w:sz w:val="22"/>
                <w:szCs w:val="22"/>
                <w:lang w:val="en-GB"/>
              </w:rPr>
            </w:pPr>
            <w:r w:rsidRPr="00E63838">
              <w:rPr>
                <w:sz w:val="22"/>
                <w:szCs w:val="22"/>
                <w:lang w:val="en-GB"/>
              </w:rPr>
              <w:t>Haemoglobin decreased</w:t>
            </w:r>
          </w:p>
        </w:tc>
        <w:tc>
          <w:tcPr>
            <w:tcW w:w="2846" w:type="pct"/>
            <w:tcBorders>
              <w:top w:val="single" w:sz="4" w:space="0" w:color="auto"/>
              <w:left w:val="single" w:sz="4" w:space="0" w:color="auto"/>
              <w:bottom w:val="nil"/>
              <w:right w:val="single" w:sz="4" w:space="0" w:color="auto"/>
            </w:tcBorders>
            <w:vAlign w:val="bottom"/>
            <w:hideMark/>
          </w:tcPr>
          <w:p w14:paraId="6DF0A15E"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034AF1CB"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10C1784A" w14:textId="77777777" w:rsidR="00E607F1" w:rsidRPr="00E63838" w:rsidRDefault="00E607F1" w:rsidP="00AB476E">
            <w:pPr>
              <w:ind w:left="264"/>
              <w:rPr>
                <w:sz w:val="22"/>
                <w:szCs w:val="22"/>
                <w:lang w:val="en-GB"/>
              </w:rPr>
            </w:pPr>
            <w:r w:rsidRPr="00E63838">
              <w:rPr>
                <w:sz w:val="22"/>
                <w:szCs w:val="22"/>
                <w:lang w:val="en-GB"/>
              </w:rPr>
              <w:t>Thrombocytopenia</w:t>
            </w:r>
          </w:p>
        </w:tc>
        <w:tc>
          <w:tcPr>
            <w:tcW w:w="2846" w:type="pct"/>
            <w:tcBorders>
              <w:top w:val="single" w:sz="4" w:space="0" w:color="auto"/>
              <w:left w:val="single" w:sz="4" w:space="0" w:color="auto"/>
              <w:bottom w:val="nil"/>
              <w:right w:val="single" w:sz="4" w:space="0" w:color="auto"/>
            </w:tcBorders>
            <w:vAlign w:val="bottom"/>
            <w:hideMark/>
          </w:tcPr>
          <w:p w14:paraId="693076D0"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236D628C"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D2A9F42" w14:textId="77777777" w:rsidR="00E607F1" w:rsidRPr="00E63838" w:rsidRDefault="00E607F1" w:rsidP="00AB476E">
            <w:pPr>
              <w:ind w:left="264"/>
              <w:rPr>
                <w:sz w:val="22"/>
                <w:szCs w:val="22"/>
                <w:lang w:val="en-GB"/>
              </w:rPr>
            </w:pPr>
            <w:r w:rsidRPr="00E63838">
              <w:rPr>
                <w:sz w:val="22"/>
                <w:szCs w:val="22"/>
                <w:lang w:val="en-GB"/>
              </w:rPr>
              <w:t>Haematocrit decreased</w:t>
            </w:r>
          </w:p>
        </w:tc>
        <w:tc>
          <w:tcPr>
            <w:tcW w:w="2846" w:type="pct"/>
            <w:tcBorders>
              <w:top w:val="single" w:sz="4" w:space="0" w:color="auto"/>
              <w:left w:val="single" w:sz="4" w:space="0" w:color="auto"/>
              <w:bottom w:val="nil"/>
              <w:right w:val="single" w:sz="4" w:space="0" w:color="auto"/>
            </w:tcBorders>
            <w:vAlign w:val="bottom"/>
            <w:hideMark/>
          </w:tcPr>
          <w:p w14:paraId="172C8EC2"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537E3935"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366A65EF" w14:textId="77777777" w:rsidR="00E607F1" w:rsidRPr="00E63838" w:rsidRDefault="00E607F1" w:rsidP="00AB476E">
            <w:pPr>
              <w:ind w:left="264"/>
              <w:rPr>
                <w:sz w:val="22"/>
                <w:szCs w:val="22"/>
                <w:lang w:val="en-GB"/>
              </w:rPr>
            </w:pPr>
            <w:r w:rsidRPr="00E63838">
              <w:rPr>
                <w:sz w:val="22"/>
                <w:szCs w:val="22"/>
                <w:lang w:val="en-GB"/>
              </w:rPr>
              <w:t>Neutropenia</w:t>
            </w:r>
          </w:p>
        </w:tc>
        <w:tc>
          <w:tcPr>
            <w:tcW w:w="2846" w:type="pct"/>
            <w:tcBorders>
              <w:top w:val="single" w:sz="4" w:space="0" w:color="auto"/>
              <w:left w:val="single" w:sz="4" w:space="0" w:color="auto"/>
              <w:bottom w:val="nil"/>
              <w:right w:val="single" w:sz="4" w:space="0" w:color="auto"/>
            </w:tcBorders>
            <w:vAlign w:val="bottom"/>
            <w:hideMark/>
          </w:tcPr>
          <w:p w14:paraId="2AD549D5"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011D50AC"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2C659560" w14:textId="77777777" w:rsidR="00E607F1" w:rsidRPr="00E63838" w:rsidRDefault="00E607F1" w:rsidP="00AB476E">
            <w:pPr>
              <w:ind w:left="264"/>
              <w:rPr>
                <w:sz w:val="22"/>
                <w:szCs w:val="22"/>
                <w:lang w:val="en-GB"/>
              </w:rPr>
            </w:pPr>
            <w:r w:rsidRPr="00E63838">
              <w:rPr>
                <w:sz w:val="22"/>
                <w:szCs w:val="22"/>
                <w:lang w:val="en-GB"/>
              </w:rPr>
              <w:t>Agranulocytosis</w:t>
            </w:r>
          </w:p>
        </w:tc>
        <w:tc>
          <w:tcPr>
            <w:tcW w:w="2846" w:type="pct"/>
            <w:tcBorders>
              <w:top w:val="single" w:sz="4" w:space="0" w:color="auto"/>
              <w:left w:val="single" w:sz="4" w:space="0" w:color="auto"/>
              <w:bottom w:val="nil"/>
              <w:right w:val="single" w:sz="4" w:space="0" w:color="auto"/>
            </w:tcBorders>
            <w:vAlign w:val="bottom"/>
            <w:hideMark/>
          </w:tcPr>
          <w:p w14:paraId="502045A9"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5F2A7716"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5CAC75A7" w14:textId="77777777" w:rsidR="00E607F1" w:rsidRPr="00E63838" w:rsidRDefault="00E607F1" w:rsidP="004A5906">
            <w:pPr>
              <w:rPr>
                <w:sz w:val="22"/>
                <w:szCs w:val="22"/>
                <w:lang w:val="en-GB"/>
              </w:rPr>
            </w:pPr>
            <w:r w:rsidRPr="00E63838">
              <w:rPr>
                <w:sz w:val="22"/>
                <w:szCs w:val="22"/>
                <w:lang w:val="en-GB"/>
              </w:rPr>
              <w:t>Immune system disorder</w:t>
            </w:r>
          </w:p>
        </w:tc>
      </w:tr>
      <w:tr w:rsidR="00E607F1" w:rsidRPr="00E63838" w14:paraId="624436F5"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7B27701D" w14:textId="77777777" w:rsidR="00E607F1" w:rsidRPr="00E63838" w:rsidRDefault="00E607F1" w:rsidP="00AB476E">
            <w:pPr>
              <w:ind w:left="264"/>
              <w:rPr>
                <w:sz w:val="22"/>
                <w:szCs w:val="22"/>
                <w:lang w:val="en-GB"/>
              </w:rPr>
            </w:pPr>
            <w:r w:rsidRPr="00E63838">
              <w:rPr>
                <w:sz w:val="22"/>
                <w:szCs w:val="22"/>
                <w:lang w:val="en-GB"/>
              </w:rPr>
              <w:t>Drug hypersensitivity</w:t>
            </w:r>
          </w:p>
        </w:tc>
        <w:tc>
          <w:tcPr>
            <w:tcW w:w="2846" w:type="pct"/>
            <w:tcBorders>
              <w:top w:val="single" w:sz="4" w:space="0" w:color="auto"/>
              <w:left w:val="single" w:sz="4" w:space="0" w:color="auto"/>
              <w:bottom w:val="nil"/>
              <w:right w:val="single" w:sz="4" w:space="0" w:color="auto"/>
            </w:tcBorders>
            <w:vAlign w:val="bottom"/>
            <w:hideMark/>
          </w:tcPr>
          <w:p w14:paraId="330502AB"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69C8F797" w14:textId="77777777" w:rsidTr="00E63838">
        <w:trPr>
          <w:trHeight w:val="20"/>
          <w:jc w:val="center"/>
        </w:trPr>
        <w:tc>
          <w:tcPr>
            <w:tcW w:w="2154" w:type="pct"/>
            <w:tcBorders>
              <w:top w:val="single" w:sz="4" w:space="0" w:color="auto"/>
              <w:left w:val="single" w:sz="4" w:space="0" w:color="auto"/>
              <w:bottom w:val="nil"/>
              <w:right w:val="nil"/>
            </w:tcBorders>
            <w:hideMark/>
          </w:tcPr>
          <w:p w14:paraId="6DFD30DD" w14:textId="77777777" w:rsidR="00E607F1" w:rsidRPr="00E63838" w:rsidRDefault="00E607F1" w:rsidP="00AB476E">
            <w:pPr>
              <w:ind w:left="264"/>
              <w:rPr>
                <w:sz w:val="22"/>
                <w:szCs w:val="22"/>
                <w:lang w:val="en-GB"/>
              </w:rPr>
            </w:pPr>
            <w:r w:rsidRPr="00E63838">
              <w:rPr>
                <w:sz w:val="22"/>
                <w:szCs w:val="22"/>
                <w:lang w:val="en-GB"/>
              </w:rPr>
              <w:t>Rash</w:t>
            </w:r>
          </w:p>
        </w:tc>
        <w:tc>
          <w:tcPr>
            <w:tcW w:w="2846" w:type="pct"/>
            <w:tcBorders>
              <w:top w:val="single" w:sz="4" w:space="0" w:color="auto"/>
              <w:left w:val="single" w:sz="4" w:space="0" w:color="auto"/>
              <w:bottom w:val="nil"/>
              <w:right w:val="single" w:sz="4" w:space="0" w:color="auto"/>
            </w:tcBorders>
            <w:hideMark/>
          </w:tcPr>
          <w:p w14:paraId="254882A7"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740C51A6"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5DCF3B2A" w14:textId="77777777" w:rsidR="00E607F1" w:rsidRPr="00E63838" w:rsidRDefault="00E607F1" w:rsidP="00AB476E">
            <w:pPr>
              <w:ind w:left="264"/>
              <w:rPr>
                <w:sz w:val="22"/>
                <w:szCs w:val="22"/>
                <w:lang w:val="en-GB"/>
              </w:rPr>
            </w:pPr>
            <w:r w:rsidRPr="00E63838">
              <w:rPr>
                <w:sz w:val="22"/>
                <w:szCs w:val="22"/>
                <w:lang w:val="en-GB"/>
              </w:rPr>
              <w:t>Pruritus</w:t>
            </w:r>
          </w:p>
        </w:tc>
        <w:tc>
          <w:tcPr>
            <w:tcW w:w="2846" w:type="pct"/>
            <w:tcBorders>
              <w:top w:val="single" w:sz="4" w:space="0" w:color="auto"/>
              <w:left w:val="single" w:sz="4" w:space="0" w:color="auto"/>
              <w:bottom w:val="nil"/>
              <w:right w:val="single" w:sz="4" w:space="0" w:color="auto"/>
            </w:tcBorders>
            <w:vAlign w:val="bottom"/>
            <w:hideMark/>
          </w:tcPr>
          <w:p w14:paraId="721D95E4"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14542A9E"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17A53708" w14:textId="77777777" w:rsidR="00E607F1" w:rsidRPr="00E63838" w:rsidRDefault="00E607F1" w:rsidP="00AB476E">
            <w:pPr>
              <w:ind w:left="264"/>
              <w:rPr>
                <w:sz w:val="22"/>
                <w:szCs w:val="22"/>
                <w:lang w:val="en-GB"/>
              </w:rPr>
            </w:pPr>
            <w:r w:rsidRPr="00E63838">
              <w:rPr>
                <w:sz w:val="22"/>
                <w:szCs w:val="22"/>
                <w:lang w:val="en-GB"/>
              </w:rPr>
              <w:t>Anaphylactic reaction</w:t>
            </w:r>
          </w:p>
        </w:tc>
        <w:tc>
          <w:tcPr>
            <w:tcW w:w="2846" w:type="pct"/>
            <w:tcBorders>
              <w:top w:val="single" w:sz="4" w:space="0" w:color="auto"/>
              <w:left w:val="single" w:sz="4" w:space="0" w:color="auto"/>
              <w:bottom w:val="nil"/>
              <w:right w:val="single" w:sz="4" w:space="0" w:color="auto"/>
            </w:tcBorders>
            <w:vAlign w:val="bottom"/>
            <w:hideMark/>
          </w:tcPr>
          <w:p w14:paraId="383CECC6"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05769DCC"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7BF3BC32" w14:textId="77777777" w:rsidR="00E607F1" w:rsidRPr="00E63838" w:rsidRDefault="00E607F1" w:rsidP="00AB476E">
            <w:pPr>
              <w:ind w:left="264"/>
              <w:rPr>
                <w:sz w:val="22"/>
                <w:szCs w:val="22"/>
                <w:lang w:val="en-GB"/>
              </w:rPr>
            </w:pPr>
            <w:r w:rsidRPr="00E63838">
              <w:rPr>
                <w:sz w:val="22"/>
                <w:szCs w:val="22"/>
                <w:lang w:val="en-GB"/>
              </w:rPr>
              <w:t>Angioedema</w:t>
            </w:r>
          </w:p>
        </w:tc>
        <w:tc>
          <w:tcPr>
            <w:tcW w:w="2846" w:type="pct"/>
            <w:tcBorders>
              <w:top w:val="single" w:sz="4" w:space="0" w:color="auto"/>
              <w:left w:val="single" w:sz="4" w:space="0" w:color="auto"/>
              <w:bottom w:val="nil"/>
              <w:right w:val="single" w:sz="4" w:space="0" w:color="auto"/>
            </w:tcBorders>
            <w:vAlign w:val="bottom"/>
            <w:hideMark/>
          </w:tcPr>
          <w:p w14:paraId="5087D156"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34CA94C2"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32904E83" w14:textId="77777777" w:rsidR="00E607F1" w:rsidRPr="00E63838" w:rsidRDefault="00E607F1" w:rsidP="00AB476E">
            <w:pPr>
              <w:ind w:left="264"/>
              <w:rPr>
                <w:sz w:val="22"/>
                <w:szCs w:val="22"/>
                <w:lang w:val="en-GB"/>
              </w:rPr>
            </w:pPr>
            <w:r w:rsidRPr="00E63838">
              <w:rPr>
                <w:sz w:val="22"/>
                <w:szCs w:val="22"/>
                <w:lang w:val="en-GB"/>
              </w:rPr>
              <w:t>Urticaria</w:t>
            </w:r>
          </w:p>
        </w:tc>
        <w:tc>
          <w:tcPr>
            <w:tcW w:w="2846" w:type="pct"/>
            <w:tcBorders>
              <w:top w:val="single" w:sz="4" w:space="0" w:color="auto"/>
              <w:left w:val="single" w:sz="4" w:space="0" w:color="auto"/>
              <w:bottom w:val="nil"/>
              <w:right w:val="single" w:sz="4" w:space="0" w:color="auto"/>
            </w:tcBorders>
            <w:vAlign w:val="bottom"/>
            <w:hideMark/>
          </w:tcPr>
          <w:p w14:paraId="6520C24B"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5E389AF7"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5AB9A453" w14:textId="77777777" w:rsidR="00E607F1" w:rsidRPr="00E63838" w:rsidRDefault="00E607F1" w:rsidP="00AB476E">
            <w:pPr>
              <w:ind w:left="264"/>
              <w:rPr>
                <w:sz w:val="22"/>
                <w:szCs w:val="22"/>
                <w:lang w:val="en-GB"/>
              </w:rPr>
            </w:pPr>
            <w:r w:rsidRPr="00E63838">
              <w:rPr>
                <w:sz w:val="22"/>
                <w:szCs w:val="22"/>
                <w:lang w:val="en-GB"/>
              </w:rPr>
              <w:t>Bronchospasm</w:t>
            </w:r>
          </w:p>
        </w:tc>
        <w:tc>
          <w:tcPr>
            <w:tcW w:w="2846" w:type="pct"/>
            <w:tcBorders>
              <w:top w:val="single" w:sz="4" w:space="0" w:color="auto"/>
              <w:left w:val="single" w:sz="4" w:space="0" w:color="auto"/>
              <w:bottom w:val="nil"/>
              <w:right w:val="single" w:sz="4" w:space="0" w:color="auto"/>
            </w:tcBorders>
            <w:vAlign w:val="bottom"/>
            <w:hideMark/>
          </w:tcPr>
          <w:p w14:paraId="1EE1F9CB"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0DF73CCA"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3C9DD4BD" w14:textId="77777777" w:rsidR="00E607F1" w:rsidRPr="00E63838" w:rsidRDefault="00E607F1" w:rsidP="004A5906">
            <w:pPr>
              <w:rPr>
                <w:sz w:val="22"/>
                <w:szCs w:val="22"/>
                <w:lang w:val="en-GB"/>
              </w:rPr>
            </w:pPr>
            <w:r w:rsidRPr="00E63838">
              <w:rPr>
                <w:sz w:val="22"/>
                <w:szCs w:val="22"/>
                <w:lang w:val="en-GB"/>
              </w:rPr>
              <w:t>Nervous system disorders</w:t>
            </w:r>
          </w:p>
        </w:tc>
      </w:tr>
      <w:tr w:rsidR="00E607F1" w:rsidRPr="00E63838" w14:paraId="50488F5A"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0E3DAF6" w14:textId="77777777" w:rsidR="00E607F1" w:rsidRPr="00E63838" w:rsidRDefault="00E607F1" w:rsidP="00AB476E">
            <w:pPr>
              <w:ind w:left="264"/>
              <w:rPr>
                <w:sz w:val="22"/>
                <w:szCs w:val="22"/>
                <w:lang w:val="en-GB"/>
              </w:rPr>
            </w:pPr>
            <w:r w:rsidRPr="00E63838">
              <w:rPr>
                <w:sz w:val="22"/>
                <w:szCs w:val="22"/>
                <w:lang w:val="en-GB"/>
              </w:rPr>
              <w:t>Intracranial haemorrhage</w:t>
            </w:r>
          </w:p>
        </w:tc>
        <w:tc>
          <w:tcPr>
            <w:tcW w:w="2846" w:type="pct"/>
            <w:tcBorders>
              <w:top w:val="single" w:sz="4" w:space="0" w:color="auto"/>
              <w:left w:val="single" w:sz="4" w:space="0" w:color="auto"/>
              <w:bottom w:val="nil"/>
              <w:right w:val="single" w:sz="4" w:space="0" w:color="auto"/>
            </w:tcBorders>
            <w:vAlign w:val="bottom"/>
            <w:hideMark/>
          </w:tcPr>
          <w:p w14:paraId="2053F772"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2B54B82A"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0AB05FB7" w14:textId="77777777" w:rsidR="00E607F1" w:rsidRPr="00E63838" w:rsidRDefault="00E607F1" w:rsidP="004A5906">
            <w:pPr>
              <w:rPr>
                <w:sz w:val="22"/>
                <w:szCs w:val="22"/>
                <w:lang w:val="en-GB"/>
              </w:rPr>
            </w:pPr>
            <w:r w:rsidRPr="00E63838">
              <w:rPr>
                <w:sz w:val="22"/>
                <w:szCs w:val="22"/>
                <w:lang w:val="en-GB"/>
              </w:rPr>
              <w:t>Vascular disorders</w:t>
            </w:r>
          </w:p>
        </w:tc>
      </w:tr>
      <w:tr w:rsidR="00E607F1" w:rsidRPr="00E63838" w14:paraId="3F6F7BC5"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C29DE13" w14:textId="77777777" w:rsidR="00E607F1" w:rsidRPr="00E63838" w:rsidRDefault="00E607F1" w:rsidP="00AB476E">
            <w:pPr>
              <w:ind w:left="264"/>
              <w:rPr>
                <w:sz w:val="22"/>
                <w:szCs w:val="22"/>
                <w:lang w:val="en-GB"/>
              </w:rPr>
            </w:pPr>
            <w:r w:rsidRPr="00E63838">
              <w:rPr>
                <w:sz w:val="22"/>
                <w:szCs w:val="22"/>
                <w:lang w:val="en-GB"/>
              </w:rPr>
              <w:t>Haematoma</w:t>
            </w:r>
          </w:p>
        </w:tc>
        <w:tc>
          <w:tcPr>
            <w:tcW w:w="2846" w:type="pct"/>
            <w:tcBorders>
              <w:top w:val="single" w:sz="4" w:space="0" w:color="auto"/>
              <w:left w:val="single" w:sz="4" w:space="0" w:color="auto"/>
              <w:bottom w:val="nil"/>
              <w:right w:val="single" w:sz="4" w:space="0" w:color="auto"/>
            </w:tcBorders>
            <w:vAlign w:val="bottom"/>
            <w:hideMark/>
          </w:tcPr>
          <w:p w14:paraId="1D396F4C"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20B76DE3"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32EC0125" w14:textId="77777777" w:rsidR="00E607F1" w:rsidRPr="00E63838" w:rsidRDefault="00E607F1" w:rsidP="00AB476E">
            <w:pPr>
              <w:ind w:left="264"/>
              <w:rPr>
                <w:sz w:val="22"/>
                <w:szCs w:val="22"/>
                <w:lang w:val="en-GB"/>
              </w:rPr>
            </w:pPr>
            <w:r w:rsidRPr="00E63838">
              <w:rPr>
                <w:sz w:val="22"/>
                <w:szCs w:val="22"/>
                <w:lang w:val="en-GB"/>
              </w:rPr>
              <w:t>Haemorrhage</w:t>
            </w:r>
          </w:p>
        </w:tc>
        <w:tc>
          <w:tcPr>
            <w:tcW w:w="2846" w:type="pct"/>
            <w:tcBorders>
              <w:top w:val="single" w:sz="4" w:space="0" w:color="auto"/>
              <w:left w:val="single" w:sz="4" w:space="0" w:color="auto"/>
              <w:bottom w:val="nil"/>
              <w:right w:val="single" w:sz="4" w:space="0" w:color="auto"/>
            </w:tcBorders>
            <w:vAlign w:val="bottom"/>
            <w:hideMark/>
          </w:tcPr>
          <w:p w14:paraId="22F4B459" w14:textId="77777777" w:rsidR="00E607F1" w:rsidRPr="00E63838" w:rsidRDefault="00E607F1" w:rsidP="004A5906">
            <w:pPr>
              <w:rPr>
                <w:sz w:val="22"/>
                <w:szCs w:val="22"/>
                <w:lang w:val="en-GB"/>
              </w:rPr>
            </w:pPr>
            <w:r w:rsidRPr="00E63838">
              <w:rPr>
                <w:sz w:val="22"/>
                <w:szCs w:val="22"/>
                <w:lang w:val="en-GB"/>
              </w:rPr>
              <w:t>Not known</w:t>
            </w:r>
          </w:p>
        </w:tc>
      </w:tr>
      <w:tr w:rsidR="00E607F1" w:rsidRPr="00D476B2" w14:paraId="58A3014A" w14:textId="77777777" w:rsidTr="00E6383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37FF4FBE" w14:textId="77777777" w:rsidR="00E607F1" w:rsidRPr="00E63838" w:rsidRDefault="00E607F1" w:rsidP="004A5906">
            <w:pPr>
              <w:rPr>
                <w:sz w:val="22"/>
                <w:szCs w:val="22"/>
                <w:lang w:val="en-GB"/>
              </w:rPr>
            </w:pPr>
            <w:r w:rsidRPr="00E63838">
              <w:rPr>
                <w:sz w:val="22"/>
                <w:szCs w:val="22"/>
                <w:lang w:val="en-GB"/>
              </w:rPr>
              <w:t>Respiratory, thoracic and mediastinal disorders</w:t>
            </w:r>
          </w:p>
        </w:tc>
      </w:tr>
      <w:tr w:rsidR="00E607F1" w:rsidRPr="00E63838" w14:paraId="55E8E48C" w14:textId="77777777" w:rsidTr="00E63838">
        <w:trPr>
          <w:trHeight w:val="20"/>
          <w:jc w:val="center"/>
        </w:trPr>
        <w:tc>
          <w:tcPr>
            <w:tcW w:w="2154" w:type="pct"/>
            <w:tcBorders>
              <w:top w:val="single" w:sz="4" w:space="0" w:color="auto"/>
              <w:left w:val="single" w:sz="4" w:space="0" w:color="auto"/>
              <w:bottom w:val="single" w:sz="4" w:space="0" w:color="auto"/>
              <w:right w:val="single" w:sz="4" w:space="0" w:color="auto"/>
            </w:tcBorders>
            <w:vAlign w:val="bottom"/>
            <w:hideMark/>
          </w:tcPr>
          <w:p w14:paraId="007568DA" w14:textId="77777777" w:rsidR="00E607F1" w:rsidRPr="00E63838" w:rsidRDefault="00E607F1" w:rsidP="00AB476E">
            <w:pPr>
              <w:ind w:left="264"/>
              <w:rPr>
                <w:sz w:val="22"/>
                <w:szCs w:val="22"/>
                <w:lang w:val="en-GB"/>
              </w:rPr>
            </w:pPr>
            <w:r w:rsidRPr="00E63838">
              <w:rPr>
                <w:sz w:val="22"/>
                <w:szCs w:val="22"/>
                <w:lang w:val="en-GB"/>
              </w:rPr>
              <w:t>Epistaxis</w:t>
            </w:r>
          </w:p>
        </w:tc>
        <w:tc>
          <w:tcPr>
            <w:tcW w:w="2846" w:type="pct"/>
            <w:tcBorders>
              <w:top w:val="single" w:sz="4" w:space="0" w:color="auto"/>
              <w:left w:val="single" w:sz="4" w:space="0" w:color="auto"/>
              <w:bottom w:val="single" w:sz="4" w:space="0" w:color="auto"/>
              <w:right w:val="single" w:sz="4" w:space="0" w:color="auto"/>
            </w:tcBorders>
            <w:vAlign w:val="bottom"/>
            <w:hideMark/>
          </w:tcPr>
          <w:p w14:paraId="33441510"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3B986FB0"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294BD1D" w14:textId="77777777" w:rsidR="00E607F1" w:rsidRPr="00E63838" w:rsidRDefault="00E607F1" w:rsidP="00AB476E">
            <w:pPr>
              <w:ind w:left="264"/>
              <w:rPr>
                <w:sz w:val="22"/>
                <w:szCs w:val="22"/>
                <w:lang w:val="en-GB"/>
              </w:rPr>
            </w:pPr>
            <w:r w:rsidRPr="00E63838">
              <w:rPr>
                <w:sz w:val="22"/>
                <w:szCs w:val="22"/>
                <w:lang w:val="en-GB"/>
              </w:rPr>
              <w:t>Haemoptysis</w:t>
            </w:r>
          </w:p>
        </w:tc>
        <w:tc>
          <w:tcPr>
            <w:tcW w:w="2846" w:type="pct"/>
            <w:tcBorders>
              <w:top w:val="single" w:sz="4" w:space="0" w:color="auto"/>
              <w:left w:val="single" w:sz="4" w:space="0" w:color="auto"/>
              <w:bottom w:val="nil"/>
              <w:right w:val="single" w:sz="4" w:space="0" w:color="auto"/>
            </w:tcBorders>
            <w:vAlign w:val="bottom"/>
            <w:hideMark/>
          </w:tcPr>
          <w:p w14:paraId="7F27F96B"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700405A7"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hideMark/>
          </w:tcPr>
          <w:p w14:paraId="6201897A" w14:textId="77777777" w:rsidR="00E607F1" w:rsidRPr="00E63838" w:rsidRDefault="00E607F1" w:rsidP="004A5906">
            <w:pPr>
              <w:rPr>
                <w:sz w:val="22"/>
                <w:szCs w:val="22"/>
                <w:lang w:val="en-GB"/>
              </w:rPr>
            </w:pPr>
            <w:r w:rsidRPr="00E63838">
              <w:rPr>
                <w:sz w:val="22"/>
                <w:szCs w:val="22"/>
                <w:lang w:val="en-GB"/>
              </w:rPr>
              <w:t>Gastrointestinal disorders</w:t>
            </w:r>
          </w:p>
        </w:tc>
      </w:tr>
      <w:tr w:rsidR="00E607F1" w:rsidRPr="00E63838" w14:paraId="43FA29CC"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559CCEE" w14:textId="77777777" w:rsidR="00E607F1" w:rsidRPr="00E63838" w:rsidRDefault="00E607F1" w:rsidP="00AB476E">
            <w:pPr>
              <w:ind w:left="264"/>
              <w:rPr>
                <w:sz w:val="22"/>
                <w:szCs w:val="22"/>
                <w:lang w:val="en-GB"/>
              </w:rPr>
            </w:pPr>
            <w:r w:rsidRPr="00E63838">
              <w:rPr>
                <w:sz w:val="22"/>
                <w:szCs w:val="22"/>
                <w:lang w:val="en-GB"/>
              </w:rPr>
              <w:t>Gastrointestinal haemorrhage</w:t>
            </w:r>
          </w:p>
        </w:tc>
        <w:tc>
          <w:tcPr>
            <w:tcW w:w="2846" w:type="pct"/>
            <w:tcBorders>
              <w:top w:val="single" w:sz="4" w:space="0" w:color="auto"/>
              <w:left w:val="single" w:sz="4" w:space="0" w:color="auto"/>
              <w:bottom w:val="nil"/>
              <w:right w:val="single" w:sz="4" w:space="0" w:color="auto"/>
            </w:tcBorders>
            <w:vAlign w:val="bottom"/>
            <w:hideMark/>
          </w:tcPr>
          <w:p w14:paraId="4117AAA4"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40F141A2"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F22573D" w14:textId="77777777" w:rsidR="00E607F1" w:rsidRPr="00E63838" w:rsidRDefault="00E607F1" w:rsidP="00AB476E">
            <w:pPr>
              <w:ind w:left="264"/>
              <w:rPr>
                <w:sz w:val="22"/>
                <w:szCs w:val="22"/>
                <w:lang w:val="en-GB"/>
              </w:rPr>
            </w:pPr>
            <w:r w:rsidRPr="00E63838">
              <w:rPr>
                <w:sz w:val="22"/>
                <w:szCs w:val="22"/>
                <w:lang w:val="en-GB"/>
              </w:rPr>
              <w:t>Abdominal pain</w:t>
            </w:r>
          </w:p>
        </w:tc>
        <w:tc>
          <w:tcPr>
            <w:tcW w:w="2846" w:type="pct"/>
            <w:tcBorders>
              <w:top w:val="single" w:sz="4" w:space="0" w:color="auto"/>
              <w:left w:val="single" w:sz="4" w:space="0" w:color="auto"/>
              <w:bottom w:val="nil"/>
              <w:right w:val="single" w:sz="4" w:space="0" w:color="auto"/>
            </w:tcBorders>
            <w:vAlign w:val="bottom"/>
            <w:hideMark/>
          </w:tcPr>
          <w:p w14:paraId="1379C117"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73E3EE84"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26FB920" w14:textId="77777777" w:rsidR="00E607F1" w:rsidRPr="00E63838" w:rsidRDefault="00E607F1" w:rsidP="00AB476E">
            <w:pPr>
              <w:ind w:left="264"/>
              <w:rPr>
                <w:sz w:val="22"/>
                <w:szCs w:val="22"/>
                <w:lang w:val="en-GB"/>
              </w:rPr>
            </w:pPr>
            <w:r w:rsidRPr="00E63838">
              <w:rPr>
                <w:sz w:val="22"/>
                <w:szCs w:val="22"/>
                <w:lang w:val="en-GB"/>
              </w:rPr>
              <w:t>Diarrhoea</w:t>
            </w:r>
          </w:p>
        </w:tc>
        <w:tc>
          <w:tcPr>
            <w:tcW w:w="2846" w:type="pct"/>
            <w:tcBorders>
              <w:top w:val="single" w:sz="4" w:space="0" w:color="auto"/>
              <w:left w:val="single" w:sz="4" w:space="0" w:color="auto"/>
              <w:bottom w:val="nil"/>
              <w:right w:val="single" w:sz="4" w:space="0" w:color="auto"/>
            </w:tcBorders>
            <w:vAlign w:val="bottom"/>
            <w:hideMark/>
          </w:tcPr>
          <w:p w14:paraId="131DA8DD"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0B8358C1"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A4232B2" w14:textId="77777777" w:rsidR="00E607F1" w:rsidRPr="00E63838" w:rsidRDefault="00E607F1" w:rsidP="00AB476E">
            <w:pPr>
              <w:ind w:left="264"/>
              <w:rPr>
                <w:sz w:val="22"/>
                <w:szCs w:val="22"/>
                <w:lang w:val="en-GB"/>
              </w:rPr>
            </w:pPr>
            <w:r w:rsidRPr="00E63838">
              <w:rPr>
                <w:sz w:val="22"/>
                <w:szCs w:val="22"/>
                <w:lang w:val="en-GB"/>
              </w:rPr>
              <w:t>Dyspepsia</w:t>
            </w:r>
          </w:p>
        </w:tc>
        <w:tc>
          <w:tcPr>
            <w:tcW w:w="2846" w:type="pct"/>
            <w:tcBorders>
              <w:top w:val="single" w:sz="4" w:space="0" w:color="auto"/>
              <w:left w:val="single" w:sz="4" w:space="0" w:color="auto"/>
              <w:bottom w:val="nil"/>
              <w:right w:val="single" w:sz="4" w:space="0" w:color="auto"/>
            </w:tcBorders>
            <w:vAlign w:val="bottom"/>
            <w:hideMark/>
          </w:tcPr>
          <w:p w14:paraId="289F8A24"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31A89217"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48F09724" w14:textId="77777777" w:rsidR="00E607F1" w:rsidRPr="00E63838" w:rsidRDefault="00E607F1" w:rsidP="00AB476E">
            <w:pPr>
              <w:ind w:left="264"/>
              <w:rPr>
                <w:sz w:val="22"/>
                <w:szCs w:val="22"/>
                <w:lang w:val="en-GB"/>
              </w:rPr>
            </w:pPr>
            <w:r w:rsidRPr="00E63838">
              <w:rPr>
                <w:sz w:val="22"/>
                <w:szCs w:val="22"/>
                <w:lang w:val="en-GB"/>
              </w:rPr>
              <w:t>Nausea</w:t>
            </w:r>
          </w:p>
        </w:tc>
        <w:tc>
          <w:tcPr>
            <w:tcW w:w="2846" w:type="pct"/>
            <w:tcBorders>
              <w:top w:val="single" w:sz="4" w:space="0" w:color="auto"/>
              <w:left w:val="single" w:sz="4" w:space="0" w:color="auto"/>
              <w:bottom w:val="nil"/>
              <w:right w:val="single" w:sz="4" w:space="0" w:color="auto"/>
            </w:tcBorders>
            <w:vAlign w:val="bottom"/>
            <w:hideMark/>
          </w:tcPr>
          <w:p w14:paraId="50E30E4D"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40A79E5C"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2AF94856" w14:textId="77777777" w:rsidR="00E607F1" w:rsidRPr="00E63838" w:rsidRDefault="00E607F1" w:rsidP="00AB476E">
            <w:pPr>
              <w:ind w:left="264"/>
              <w:rPr>
                <w:sz w:val="22"/>
                <w:szCs w:val="22"/>
                <w:lang w:val="en-GB"/>
              </w:rPr>
            </w:pPr>
            <w:r w:rsidRPr="00E63838">
              <w:rPr>
                <w:sz w:val="22"/>
                <w:szCs w:val="22"/>
                <w:lang w:val="en-GB"/>
              </w:rPr>
              <w:t>Rectal haemorrhage</w:t>
            </w:r>
          </w:p>
        </w:tc>
        <w:tc>
          <w:tcPr>
            <w:tcW w:w="2846" w:type="pct"/>
            <w:tcBorders>
              <w:top w:val="single" w:sz="4" w:space="0" w:color="auto"/>
              <w:left w:val="single" w:sz="4" w:space="0" w:color="auto"/>
              <w:bottom w:val="nil"/>
              <w:right w:val="single" w:sz="4" w:space="0" w:color="auto"/>
            </w:tcBorders>
            <w:vAlign w:val="bottom"/>
            <w:hideMark/>
          </w:tcPr>
          <w:p w14:paraId="3858C5C3"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37931FC1"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79730510" w14:textId="77777777" w:rsidR="00E607F1" w:rsidRPr="00E63838" w:rsidRDefault="00E607F1" w:rsidP="00AB476E">
            <w:pPr>
              <w:ind w:left="264"/>
              <w:rPr>
                <w:sz w:val="22"/>
                <w:szCs w:val="22"/>
                <w:lang w:val="en-GB"/>
              </w:rPr>
            </w:pPr>
            <w:r w:rsidRPr="00E63838">
              <w:rPr>
                <w:sz w:val="22"/>
                <w:szCs w:val="22"/>
                <w:lang w:val="en-GB"/>
              </w:rPr>
              <w:t>Haemorrhoidal haemorrhage</w:t>
            </w:r>
          </w:p>
        </w:tc>
        <w:tc>
          <w:tcPr>
            <w:tcW w:w="2846" w:type="pct"/>
            <w:tcBorders>
              <w:top w:val="single" w:sz="4" w:space="0" w:color="auto"/>
              <w:left w:val="single" w:sz="4" w:space="0" w:color="auto"/>
              <w:bottom w:val="nil"/>
              <w:right w:val="single" w:sz="4" w:space="0" w:color="auto"/>
            </w:tcBorders>
            <w:vAlign w:val="bottom"/>
            <w:hideMark/>
          </w:tcPr>
          <w:p w14:paraId="4C962841"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466CB9AD"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2235F64C" w14:textId="77777777" w:rsidR="00E607F1" w:rsidRPr="00E63838" w:rsidRDefault="00E607F1" w:rsidP="00AB476E">
            <w:pPr>
              <w:ind w:left="264"/>
              <w:rPr>
                <w:sz w:val="22"/>
                <w:szCs w:val="22"/>
                <w:lang w:val="en-GB"/>
              </w:rPr>
            </w:pPr>
            <w:r w:rsidRPr="00E63838">
              <w:rPr>
                <w:sz w:val="22"/>
                <w:szCs w:val="22"/>
                <w:lang w:val="en-GB"/>
              </w:rPr>
              <w:t>Gastrointestinal ulcer, including oesophageal ulcer</w:t>
            </w:r>
          </w:p>
        </w:tc>
        <w:tc>
          <w:tcPr>
            <w:tcW w:w="2846" w:type="pct"/>
            <w:tcBorders>
              <w:top w:val="single" w:sz="4" w:space="0" w:color="auto"/>
              <w:left w:val="single" w:sz="4" w:space="0" w:color="auto"/>
              <w:bottom w:val="nil"/>
              <w:right w:val="single" w:sz="4" w:space="0" w:color="auto"/>
            </w:tcBorders>
            <w:hideMark/>
          </w:tcPr>
          <w:p w14:paraId="0B368A85"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56565B31"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541C05E0" w14:textId="77777777" w:rsidR="00E607F1" w:rsidRPr="00E63838" w:rsidRDefault="00E607F1" w:rsidP="00AB476E">
            <w:pPr>
              <w:ind w:left="264"/>
              <w:rPr>
                <w:sz w:val="22"/>
                <w:szCs w:val="22"/>
                <w:lang w:val="en-GB"/>
              </w:rPr>
            </w:pPr>
            <w:proofErr w:type="spellStart"/>
            <w:r w:rsidRPr="00E63838">
              <w:rPr>
                <w:sz w:val="22"/>
                <w:szCs w:val="22"/>
                <w:lang w:val="en-GB"/>
              </w:rPr>
              <w:t>Gastroesophagitis</w:t>
            </w:r>
            <w:proofErr w:type="spellEnd"/>
          </w:p>
        </w:tc>
        <w:tc>
          <w:tcPr>
            <w:tcW w:w="2846" w:type="pct"/>
            <w:tcBorders>
              <w:top w:val="single" w:sz="4" w:space="0" w:color="auto"/>
              <w:left w:val="single" w:sz="4" w:space="0" w:color="auto"/>
              <w:bottom w:val="nil"/>
              <w:right w:val="single" w:sz="4" w:space="0" w:color="auto"/>
            </w:tcBorders>
            <w:vAlign w:val="bottom"/>
            <w:hideMark/>
          </w:tcPr>
          <w:p w14:paraId="521A4F05"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000CC239"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49F5419D" w14:textId="77777777" w:rsidR="00E607F1" w:rsidRPr="00E63838" w:rsidRDefault="00E607F1" w:rsidP="00AB476E">
            <w:pPr>
              <w:ind w:left="264"/>
              <w:rPr>
                <w:sz w:val="22"/>
                <w:szCs w:val="22"/>
                <w:lang w:val="en-GB"/>
              </w:rPr>
            </w:pPr>
            <w:r w:rsidRPr="00E63838">
              <w:rPr>
                <w:sz w:val="22"/>
                <w:szCs w:val="22"/>
                <w:lang w:val="en-GB"/>
              </w:rPr>
              <w:t>Gastroesophageal reflux disease</w:t>
            </w:r>
          </w:p>
        </w:tc>
        <w:tc>
          <w:tcPr>
            <w:tcW w:w="2846" w:type="pct"/>
            <w:tcBorders>
              <w:top w:val="single" w:sz="4" w:space="0" w:color="auto"/>
              <w:left w:val="single" w:sz="4" w:space="0" w:color="auto"/>
              <w:bottom w:val="nil"/>
              <w:right w:val="single" w:sz="4" w:space="0" w:color="auto"/>
            </w:tcBorders>
            <w:vAlign w:val="bottom"/>
            <w:hideMark/>
          </w:tcPr>
          <w:p w14:paraId="60E30391"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318AB046"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483B171" w14:textId="77777777" w:rsidR="00E607F1" w:rsidRPr="00E63838" w:rsidRDefault="00E607F1" w:rsidP="00AB476E">
            <w:pPr>
              <w:ind w:left="264"/>
              <w:rPr>
                <w:sz w:val="22"/>
                <w:szCs w:val="22"/>
                <w:lang w:val="en-GB"/>
              </w:rPr>
            </w:pPr>
            <w:r w:rsidRPr="00E63838">
              <w:rPr>
                <w:sz w:val="22"/>
                <w:szCs w:val="22"/>
                <w:lang w:val="en-GB"/>
              </w:rPr>
              <w:t>Vomiting</w:t>
            </w:r>
          </w:p>
        </w:tc>
        <w:tc>
          <w:tcPr>
            <w:tcW w:w="2846" w:type="pct"/>
            <w:tcBorders>
              <w:top w:val="single" w:sz="4" w:space="0" w:color="auto"/>
              <w:left w:val="single" w:sz="4" w:space="0" w:color="auto"/>
              <w:bottom w:val="nil"/>
              <w:right w:val="single" w:sz="4" w:space="0" w:color="auto"/>
            </w:tcBorders>
            <w:vAlign w:val="bottom"/>
            <w:hideMark/>
          </w:tcPr>
          <w:p w14:paraId="4B3B0063"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4F10F56B"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30993AAF" w14:textId="77777777" w:rsidR="00E607F1" w:rsidRPr="00E63838" w:rsidRDefault="00E607F1" w:rsidP="00AB476E">
            <w:pPr>
              <w:ind w:left="264"/>
              <w:rPr>
                <w:sz w:val="22"/>
                <w:szCs w:val="22"/>
                <w:lang w:val="en-GB"/>
              </w:rPr>
            </w:pPr>
            <w:r w:rsidRPr="00E63838">
              <w:rPr>
                <w:sz w:val="22"/>
                <w:szCs w:val="22"/>
                <w:lang w:val="en-GB"/>
              </w:rPr>
              <w:t>Dysphagia</w:t>
            </w:r>
          </w:p>
        </w:tc>
        <w:tc>
          <w:tcPr>
            <w:tcW w:w="2846" w:type="pct"/>
            <w:tcBorders>
              <w:top w:val="single" w:sz="4" w:space="0" w:color="auto"/>
              <w:left w:val="single" w:sz="4" w:space="0" w:color="auto"/>
              <w:bottom w:val="nil"/>
              <w:right w:val="single" w:sz="4" w:space="0" w:color="auto"/>
            </w:tcBorders>
            <w:vAlign w:val="bottom"/>
            <w:hideMark/>
          </w:tcPr>
          <w:p w14:paraId="016D0978"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22B6F681"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58A3E5E2" w14:textId="77777777" w:rsidR="00E607F1" w:rsidRPr="00E63838" w:rsidRDefault="00E607F1" w:rsidP="004A5906">
            <w:pPr>
              <w:rPr>
                <w:sz w:val="22"/>
                <w:szCs w:val="22"/>
                <w:lang w:val="en-GB"/>
              </w:rPr>
            </w:pPr>
            <w:r w:rsidRPr="00E63838">
              <w:rPr>
                <w:sz w:val="22"/>
                <w:szCs w:val="22"/>
                <w:lang w:val="en-GB"/>
              </w:rPr>
              <w:t>Hepatobiliary disorders</w:t>
            </w:r>
          </w:p>
        </w:tc>
      </w:tr>
      <w:tr w:rsidR="00E607F1" w:rsidRPr="00E63838" w14:paraId="0953C503" w14:textId="77777777" w:rsidTr="00E63838">
        <w:trPr>
          <w:trHeight w:val="20"/>
          <w:jc w:val="center"/>
        </w:trPr>
        <w:tc>
          <w:tcPr>
            <w:tcW w:w="2154" w:type="pct"/>
            <w:tcBorders>
              <w:top w:val="single" w:sz="4" w:space="0" w:color="auto"/>
              <w:left w:val="single" w:sz="4" w:space="0" w:color="auto"/>
              <w:bottom w:val="nil"/>
              <w:right w:val="nil"/>
            </w:tcBorders>
            <w:hideMark/>
          </w:tcPr>
          <w:p w14:paraId="601B7FD0" w14:textId="77777777" w:rsidR="00E607F1" w:rsidRPr="00E63838" w:rsidRDefault="00E607F1" w:rsidP="00AB476E">
            <w:pPr>
              <w:ind w:left="264"/>
              <w:rPr>
                <w:sz w:val="22"/>
                <w:szCs w:val="22"/>
                <w:lang w:val="en-GB"/>
              </w:rPr>
            </w:pPr>
            <w:r w:rsidRPr="00E63838">
              <w:rPr>
                <w:sz w:val="22"/>
                <w:szCs w:val="22"/>
                <w:lang w:val="en-GB"/>
              </w:rPr>
              <w:t>Hepatic function abnormal/ Liver function Test abnormal</w:t>
            </w:r>
          </w:p>
        </w:tc>
        <w:tc>
          <w:tcPr>
            <w:tcW w:w="2846" w:type="pct"/>
            <w:tcBorders>
              <w:top w:val="single" w:sz="4" w:space="0" w:color="auto"/>
              <w:left w:val="single" w:sz="4" w:space="0" w:color="auto"/>
              <w:bottom w:val="nil"/>
              <w:right w:val="single" w:sz="4" w:space="0" w:color="auto"/>
            </w:tcBorders>
            <w:hideMark/>
          </w:tcPr>
          <w:p w14:paraId="1A033D4F"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43D473D0"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6DB9B83D" w14:textId="77777777" w:rsidR="00E607F1" w:rsidRPr="00E63838" w:rsidRDefault="00E607F1" w:rsidP="00AB476E">
            <w:pPr>
              <w:ind w:left="264"/>
              <w:rPr>
                <w:sz w:val="22"/>
                <w:szCs w:val="22"/>
                <w:lang w:val="en-GB"/>
              </w:rPr>
            </w:pPr>
            <w:r w:rsidRPr="00E63838">
              <w:rPr>
                <w:sz w:val="22"/>
                <w:szCs w:val="22"/>
                <w:lang w:val="en-GB"/>
              </w:rPr>
              <w:t>Alanine aminotransferase increased</w:t>
            </w:r>
          </w:p>
        </w:tc>
        <w:tc>
          <w:tcPr>
            <w:tcW w:w="2846" w:type="pct"/>
            <w:tcBorders>
              <w:top w:val="single" w:sz="4" w:space="0" w:color="auto"/>
              <w:left w:val="single" w:sz="4" w:space="0" w:color="auto"/>
              <w:bottom w:val="nil"/>
              <w:right w:val="single" w:sz="4" w:space="0" w:color="auto"/>
            </w:tcBorders>
            <w:vAlign w:val="bottom"/>
            <w:hideMark/>
          </w:tcPr>
          <w:p w14:paraId="08DDE630"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798C0C9A"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486BCB21" w14:textId="77777777" w:rsidR="00E607F1" w:rsidRPr="00E63838" w:rsidRDefault="00E607F1" w:rsidP="00AB476E">
            <w:pPr>
              <w:ind w:left="264"/>
              <w:rPr>
                <w:sz w:val="22"/>
                <w:szCs w:val="22"/>
                <w:lang w:val="en-GB"/>
              </w:rPr>
            </w:pPr>
            <w:r w:rsidRPr="00E63838">
              <w:rPr>
                <w:sz w:val="22"/>
                <w:szCs w:val="22"/>
                <w:lang w:val="en-GB"/>
              </w:rPr>
              <w:t>Aspartate aminotransferase increased</w:t>
            </w:r>
          </w:p>
        </w:tc>
        <w:tc>
          <w:tcPr>
            <w:tcW w:w="2846" w:type="pct"/>
            <w:tcBorders>
              <w:top w:val="single" w:sz="4" w:space="0" w:color="auto"/>
              <w:left w:val="single" w:sz="4" w:space="0" w:color="auto"/>
              <w:bottom w:val="nil"/>
              <w:right w:val="single" w:sz="4" w:space="0" w:color="auto"/>
            </w:tcBorders>
            <w:vAlign w:val="bottom"/>
            <w:hideMark/>
          </w:tcPr>
          <w:p w14:paraId="6A5C7F49"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597E42D2"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CCC5E2B" w14:textId="77777777" w:rsidR="00E607F1" w:rsidRPr="00E63838" w:rsidRDefault="00E607F1" w:rsidP="00AB476E">
            <w:pPr>
              <w:ind w:left="264"/>
              <w:rPr>
                <w:sz w:val="22"/>
                <w:szCs w:val="22"/>
                <w:lang w:val="en-GB"/>
              </w:rPr>
            </w:pPr>
            <w:r w:rsidRPr="00E63838">
              <w:rPr>
                <w:sz w:val="22"/>
                <w:szCs w:val="22"/>
                <w:lang w:val="en-GB"/>
              </w:rPr>
              <w:t>Hepatic enzyme increased</w:t>
            </w:r>
          </w:p>
        </w:tc>
        <w:tc>
          <w:tcPr>
            <w:tcW w:w="2846" w:type="pct"/>
            <w:tcBorders>
              <w:top w:val="single" w:sz="4" w:space="0" w:color="auto"/>
              <w:left w:val="single" w:sz="4" w:space="0" w:color="auto"/>
              <w:bottom w:val="nil"/>
              <w:right w:val="single" w:sz="4" w:space="0" w:color="auto"/>
            </w:tcBorders>
            <w:vAlign w:val="bottom"/>
            <w:hideMark/>
          </w:tcPr>
          <w:p w14:paraId="17455298" w14:textId="77777777" w:rsidR="00E607F1" w:rsidRPr="00E63838" w:rsidRDefault="00E607F1" w:rsidP="004A5906">
            <w:pPr>
              <w:rPr>
                <w:sz w:val="22"/>
                <w:szCs w:val="22"/>
                <w:lang w:val="en-GB"/>
              </w:rPr>
            </w:pPr>
            <w:r w:rsidRPr="00E63838">
              <w:rPr>
                <w:sz w:val="22"/>
                <w:szCs w:val="22"/>
                <w:lang w:val="en-GB"/>
              </w:rPr>
              <w:t>Common</w:t>
            </w:r>
          </w:p>
        </w:tc>
      </w:tr>
      <w:tr w:rsidR="00E607F1" w:rsidRPr="00E63838" w14:paraId="5F91CE02"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5BD65591" w14:textId="77777777" w:rsidR="00E607F1" w:rsidRPr="00E63838" w:rsidRDefault="00E607F1" w:rsidP="00AB476E">
            <w:pPr>
              <w:ind w:left="264"/>
              <w:rPr>
                <w:sz w:val="22"/>
                <w:szCs w:val="22"/>
                <w:lang w:val="en-GB"/>
              </w:rPr>
            </w:pPr>
            <w:proofErr w:type="spellStart"/>
            <w:r w:rsidRPr="00E63838">
              <w:rPr>
                <w:sz w:val="22"/>
                <w:szCs w:val="22"/>
                <w:lang w:val="en-GB"/>
              </w:rPr>
              <w:t>Hyperbilirubinaemia</w:t>
            </w:r>
            <w:proofErr w:type="spellEnd"/>
          </w:p>
        </w:tc>
        <w:tc>
          <w:tcPr>
            <w:tcW w:w="2846" w:type="pct"/>
            <w:tcBorders>
              <w:top w:val="single" w:sz="4" w:space="0" w:color="auto"/>
              <w:left w:val="single" w:sz="4" w:space="0" w:color="auto"/>
              <w:bottom w:val="nil"/>
              <w:right w:val="single" w:sz="4" w:space="0" w:color="auto"/>
            </w:tcBorders>
            <w:vAlign w:val="bottom"/>
            <w:hideMark/>
          </w:tcPr>
          <w:p w14:paraId="489D8F5D" w14:textId="77777777" w:rsidR="00E607F1" w:rsidRPr="00E63838" w:rsidRDefault="00E607F1" w:rsidP="004A5906">
            <w:pPr>
              <w:rPr>
                <w:sz w:val="22"/>
                <w:szCs w:val="22"/>
                <w:lang w:val="en-GB"/>
              </w:rPr>
            </w:pPr>
            <w:r w:rsidRPr="00E63838">
              <w:rPr>
                <w:sz w:val="22"/>
                <w:szCs w:val="22"/>
                <w:lang w:val="en-GB"/>
              </w:rPr>
              <w:t>Uncommon</w:t>
            </w:r>
          </w:p>
        </w:tc>
      </w:tr>
      <w:tr w:rsidR="00E607F1" w:rsidRPr="00D476B2" w14:paraId="42B3BD22"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7798F9CA" w14:textId="77777777" w:rsidR="00E607F1" w:rsidRPr="00E63838" w:rsidRDefault="00E607F1" w:rsidP="004A5906">
            <w:pPr>
              <w:rPr>
                <w:sz w:val="22"/>
                <w:szCs w:val="22"/>
                <w:lang w:val="en-GB"/>
              </w:rPr>
            </w:pPr>
            <w:r w:rsidRPr="00E63838">
              <w:rPr>
                <w:sz w:val="22"/>
                <w:szCs w:val="22"/>
                <w:lang w:val="en-GB"/>
              </w:rPr>
              <w:t>Skin and subcutaneous tissue disorder</w:t>
            </w:r>
          </w:p>
        </w:tc>
      </w:tr>
      <w:tr w:rsidR="00E607F1" w:rsidRPr="00E63838" w14:paraId="3D802151"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46B99D9" w14:textId="77777777" w:rsidR="00E607F1" w:rsidRPr="00E63838" w:rsidRDefault="00E607F1" w:rsidP="00AB476E">
            <w:pPr>
              <w:ind w:left="264"/>
              <w:rPr>
                <w:sz w:val="22"/>
                <w:szCs w:val="22"/>
                <w:lang w:val="en-GB"/>
              </w:rPr>
            </w:pPr>
            <w:r w:rsidRPr="00E63838">
              <w:rPr>
                <w:sz w:val="22"/>
                <w:szCs w:val="22"/>
                <w:lang w:val="en-GB"/>
              </w:rPr>
              <w:t>Skin haemorrhage</w:t>
            </w:r>
          </w:p>
        </w:tc>
        <w:tc>
          <w:tcPr>
            <w:tcW w:w="2846" w:type="pct"/>
            <w:tcBorders>
              <w:top w:val="single" w:sz="4" w:space="0" w:color="auto"/>
              <w:left w:val="single" w:sz="4" w:space="0" w:color="auto"/>
              <w:bottom w:val="nil"/>
              <w:right w:val="single" w:sz="4" w:space="0" w:color="auto"/>
            </w:tcBorders>
            <w:vAlign w:val="bottom"/>
            <w:hideMark/>
          </w:tcPr>
          <w:p w14:paraId="2EF9BACD"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500FE920"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778AE7E8" w14:textId="77777777" w:rsidR="00E607F1" w:rsidRPr="00E63838" w:rsidRDefault="00E607F1" w:rsidP="00AB476E">
            <w:pPr>
              <w:ind w:left="264"/>
              <w:rPr>
                <w:sz w:val="22"/>
                <w:szCs w:val="22"/>
                <w:lang w:val="en-GB"/>
              </w:rPr>
            </w:pPr>
            <w:r w:rsidRPr="00E63838">
              <w:rPr>
                <w:sz w:val="22"/>
                <w:szCs w:val="22"/>
                <w:lang w:val="en-GB"/>
              </w:rPr>
              <w:t>Alopecia</w:t>
            </w:r>
          </w:p>
        </w:tc>
        <w:tc>
          <w:tcPr>
            <w:tcW w:w="2846" w:type="pct"/>
            <w:tcBorders>
              <w:top w:val="single" w:sz="4" w:space="0" w:color="auto"/>
              <w:left w:val="single" w:sz="4" w:space="0" w:color="auto"/>
              <w:bottom w:val="nil"/>
              <w:right w:val="single" w:sz="4" w:space="0" w:color="auto"/>
            </w:tcBorders>
            <w:vAlign w:val="bottom"/>
            <w:hideMark/>
          </w:tcPr>
          <w:p w14:paraId="26EF9410" w14:textId="77777777" w:rsidR="00E607F1" w:rsidRPr="00E63838" w:rsidRDefault="00E607F1" w:rsidP="004A5906">
            <w:pPr>
              <w:rPr>
                <w:sz w:val="22"/>
                <w:szCs w:val="22"/>
                <w:lang w:val="en-GB"/>
              </w:rPr>
            </w:pPr>
            <w:r w:rsidRPr="00E63838">
              <w:rPr>
                <w:sz w:val="22"/>
                <w:szCs w:val="22"/>
                <w:lang w:val="en-GB"/>
              </w:rPr>
              <w:t>Common</w:t>
            </w:r>
          </w:p>
        </w:tc>
      </w:tr>
      <w:tr w:rsidR="00E607F1" w:rsidRPr="00D476B2" w14:paraId="045448B4"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0D6F5D20" w14:textId="77777777" w:rsidR="00E607F1" w:rsidRPr="00E63838" w:rsidRDefault="00E607F1" w:rsidP="004A5906">
            <w:pPr>
              <w:rPr>
                <w:sz w:val="22"/>
                <w:szCs w:val="22"/>
                <w:lang w:val="en-GB"/>
              </w:rPr>
            </w:pPr>
            <w:r w:rsidRPr="00E63838">
              <w:rPr>
                <w:sz w:val="22"/>
                <w:szCs w:val="22"/>
                <w:lang w:val="en-GB"/>
              </w:rPr>
              <w:t>Musculoskeletal and connective tissue disorders</w:t>
            </w:r>
          </w:p>
        </w:tc>
      </w:tr>
      <w:tr w:rsidR="00E607F1" w:rsidRPr="00E63838" w14:paraId="03F775BC" w14:textId="77777777" w:rsidTr="00E63838">
        <w:trPr>
          <w:trHeight w:val="20"/>
          <w:jc w:val="center"/>
        </w:trPr>
        <w:tc>
          <w:tcPr>
            <w:tcW w:w="2154" w:type="pct"/>
            <w:tcBorders>
              <w:top w:val="single" w:sz="4" w:space="0" w:color="auto"/>
              <w:left w:val="single" w:sz="4" w:space="0" w:color="auto"/>
              <w:bottom w:val="nil"/>
              <w:right w:val="nil"/>
            </w:tcBorders>
            <w:hideMark/>
          </w:tcPr>
          <w:p w14:paraId="3075DE15" w14:textId="77777777" w:rsidR="00E607F1" w:rsidRPr="00E63838" w:rsidRDefault="00E607F1" w:rsidP="00AB476E">
            <w:pPr>
              <w:ind w:left="264"/>
              <w:rPr>
                <w:sz w:val="22"/>
                <w:szCs w:val="22"/>
                <w:lang w:val="en-GB"/>
              </w:rPr>
            </w:pPr>
            <w:proofErr w:type="spellStart"/>
            <w:r w:rsidRPr="00E63838">
              <w:rPr>
                <w:sz w:val="22"/>
                <w:szCs w:val="22"/>
                <w:lang w:val="en-GB"/>
              </w:rPr>
              <w:t>Haemarthrosis</w:t>
            </w:r>
            <w:proofErr w:type="spellEnd"/>
          </w:p>
        </w:tc>
        <w:tc>
          <w:tcPr>
            <w:tcW w:w="2846" w:type="pct"/>
            <w:tcBorders>
              <w:top w:val="single" w:sz="4" w:space="0" w:color="auto"/>
              <w:left w:val="single" w:sz="4" w:space="0" w:color="auto"/>
              <w:bottom w:val="nil"/>
              <w:right w:val="single" w:sz="4" w:space="0" w:color="auto"/>
            </w:tcBorders>
            <w:hideMark/>
          </w:tcPr>
          <w:p w14:paraId="34D5AA6A"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2333E454"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vAlign w:val="bottom"/>
            <w:hideMark/>
          </w:tcPr>
          <w:p w14:paraId="476C5CE0" w14:textId="77777777" w:rsidR="00E607F1" w:rsidRPr="00E63838" w:rsidRDefault="00E607F1" w:rsidP="004A5906">
            <w:pPr>
              <w:rPr>
                <w:sz w:val="22"/>
                <w:szCs w:val="22"/>
                <w:lang w:val="en-GB"/>
              </w:rPr>
            </w:pPr>
            <w:r w:rsidRPr="00E63838">
              <w:rPr>
                <w:sz w:val="22"/>
                <w:szCs w:val="22"/>
                <w:lang w:val="en-GB"/>
              </w:rPr>
              <w:t>Renal and urinary disorders</w:t>
            </w:r>
          </w:p>
        </w:tc>
      </w:tr>
      <w:tr w:rsidR="00E607F1" w:rsidRPr="00E63838" w14:paraId="3DD33B29"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18CB3406" w14:textId="77777777" w:rsidR="00E607F1" w:rsidRPr="00E63838" w:rsidRDefault="00E607F1" w:rsidP="00AB476E">
            <w:pPr>
              <w:ind w:left="264"/>
              <w:rPr>
                <w:sz w:val="22"/>
                <w:szCs w:val="22"/>
                <w:lang w:val="en-GB"/>
              </w:rPr>
            </w:pPr>
            <w:proofErr w:type="spellStart"/>
            <w:r w:rsidRPr="00E63838">
              <w:rPr>
                <w:sz w:val="22"/>
                <w:szCs w:val="22"/>
                <w:lang w:val="en-GB"/>
              </w:rPr>
              <w:t>Genitourological</w:t>
            </w:r>
            <w:proofErr w:type="spellEnd"/>
            <w:r w:rsidRPr="00E63838">
              <w:rPr>
                <w:sz w:val="22"/>
                <w:szCs w:val="22"/>
                <w:lang w:val="en-GB"/>
              </w:rPr>
              <w:t xml:space="preserve"> haemorrhage, including haematuria</w:t>
            </w:r>
          </w:p>
        </w:tc>
        <w:tc>
          <w:tcPr>
            <w:tcW w:w="2846" w:type="pct"/>
            <w:tcBorders>
              <w:top w:val="single" w:sz="4" w:space="0" w:color="auto"/>
              <w:left w:val="single" w:sz="4" w:space="0" w:color="auto"/>
              <w:bottom w:val="nil"/>
              <w:right w:val="single" w:sz="4" w:space="0" w:color="auto"/>
            </w:tcBorders>
            <w:hideMark/>
          </w:tcPr>
          <w:p w14:paraId="469784EC" w14:textId="77777777" w:rsidR="00E607F1" w:rsidRPr="00E63838" w:rsidRDefault="00E607F1" w:rsidP="004A5906">
            <w:pPr>
              <w:rPr>
                <w:sz w:val="22"/>
                <w:szCs w:val="22"/>
                <w:lang w:val="en-GB"/>
              </w:rPr>
            </w:pPr>
            <w:r w:rsidRPr="00E63838">
              <w:rPr>
                <w:sz w:val="22"/>
                <w:szCs w:val="22"/>
                <w:lang w:val="en-GB"/>
              </w:rPr>
              <w:t>Uncommon</w:t>
            </w:r>
          </w:p>
        </w:tc>
      </w:tr>
      <w:tr w:rsidR="00E607F1" w:rsidRPr="00D476B2" w14:paraId="42B0538D" w14:textId="77777777" w:rsidTr="00E63838">
        <w:trPr>
          <w:trHeight w:val="20"/>
          <w:jc w:val="center"/>
        </w:trPr>
        <w:tc>
          <w:tcPr>
            <w:tcW w:w="5000" w:type="pct"/>
            <w:gridSpan w:val="2"/>
            <w:tcBorders>
              <w:top w:val="single" w:sz="4" w:space="0" w:color="auto"/>
              <w:left w:val="single" w:sz="4" w:space="0" w:color="auto"/>
              <w:bottom w:val="nil"/>
              <w:right w:val="single" w:sz="4" w:space="0" w:color="auto"/>
            </w:tcBorders>
            <w:hideMark/>
          </w:tcPr>
          <w:p w14:paraId="6B915D2C" w14:textId="77777777" w:rsidR="00E607F1" w:rsidRPr="00E63838" w:rsidRDefault="00E607F1" w:rsidP="004A5906">
            <w:pPr>
              <w:rPr>
                <w:sz w:val="22"/>
                <w:szCs w:val="22"/>
                <w:lang w:val="en-GB"/>
              </w:rPr>
            </w:pPr>
            <w:r w:rsidRPr="00E63838">
              <w:rPr>
                <w:sz w:val="22"/>
                <w:szCs w:val="22"/>
                <w:lang w:val="en-GB"/>
              </w:rPr>
              <w:t>General disorders and administration site conditions</w:t>
            </w:r>
          </w:p>
        </w:tc>
      </w:tr>
      <w:tr w:rsidR="00E607F1" w:rsidRPr="00E63838" w14:paraId="60220686"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018217BA" w14:textId="77777777" w:rsidR="00E607F1" w:rsidRPr="00E63838" w:rsidRDefault="00E607F1" w:rsidP="00AB476E">
            <w:pPr>
              <w:ind w:left="264"/>
              <w:rPr>
                <w:sz w:val="22"/>
                <w:szCs w:val="22"/>
                <w:lang w:val="en-GB"/>
              </w:rPr>
            </w:pPr>
            <w:r w:rsidRPr="00E63838">
              <w:rPr>
                <w:sz w:val="22"/>
                <w:szCs w:val="22"/>
                <w:lang w:val="en-GB"/>
              </w:rPr>
              <w:t>Injection site haemorrhage</w:t>
            </w:r>
          </w:p>
        </w:tc>
        <w:tc>
          <w:tcPr>
            <w:tcW w:w="2846" w:type="pct"/>
            <w:tcBorders>
              <w:top w:val="single" w:sz="4" w:space="0" w:color="auto"/>
              <w:left w:val="single" w:sz="4" w:space="0" w:color="auto"/>
              <w:bottom w:val="nil"/>
              <w:right w:val="single" w:sz="4" w:space="0" w:color="auto"/>
            </w:tcBorders>
            <w:vAlign w:val="bottom"/>
            <w:hideMark/>
          </w:tcPr>
          <w:p w14:paraId="76D4E354" w14:textId="77777777" w:rsidR="00E607F1" w:rsidRPr="00E63838" w:rsidRDefault="00E607F1" w:rsidP="004A5906">
            <w:pPr>
              <w:rPr>
                <w:sz w:val="22"/>
                <w:szCs w:val="22"/>
                <w:lang w:val="en-GB"/>
              </w:rPr>
            </w:pPr>
            <w:r w:rsidRPr="00E63838">
              <w:rPr>
                <w:sz w:val="22"/>
                <w:szCs w:val="22"/>
                <w:lang w:val="en-GB"/>
              </w:rPr>
              <w:t>Not known</w:t>
            </w:r>
          </w:p>
        </w:tc>
      </w:tr>
      <w:tr w:rsidR="00E607F1" w:rsidRPr="00E63838" w14:paraId="483B49C8"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1461358C" w14:textId="77777777" w:rsidR="00E607F1" w:rsidRPr="00E63838" w:rsidRDefault="00E607F1" w:rsidP="00AB476E">
            <w:pPr>
              <w:ind w:left="264"/>
              <w:rPr>
                <w:sz w:val="22"/>
                <w:szCs w:val="22"/>
                <w:lang w:val="en-GB"/>
              </w:rPr>
            </w:pPr>
            <w:r w:rsidRPr="00E63838">
              <w:rPr>
                <w:sz w:val="22"/>
                <w:szCs w:val="22"/>
                <w:lang w:val="en-GB"/>
              </w:rPr>
              <w:t>Catheter site haemorrhage</w:t>
            </w:r>
          </w:p>
        </w:tc>
        <w:tc>
          <w:tcPr>
            <w:tcW w:w="2846" w:type="pct"/>
            <w:tcBorders>
              <w:top w:val="single" w:sz="4" w:space="0" w:color="auto"/>
              <w:left w:val="single" w:sz="4" w:space="0" w:color="auto"/>
              <w:bottom w:val="nil"/>
              <w:right w:val="single" w:sz="4" w:space="0" w:color="auto"/>
            </w:tcBorders>
            <w:vAlign w:val="bottom"/>
            <w:hideMark/>
          </w:tcPr>
          <w:p w14:paraId="705000CA" w14:textId="77777777" w:rsidR="00E607F1" w:rsidRPr="00E63838" w:rsidRDefault="00E607F1" w:rsidP="004A5906">
            <w:pPr>
              <w:rPr>
                <w:sz w:val="22"/>
                <w:szCs w:val="22"/>
                <w:lang w:val="en-GB"/>
              </w:rPr>
            </w:pPr>
            <w:r w:rsidRPr="00E63838">
              <w:rPr>
                <w:sz w:val="22"/>
                <w:szCs w:val="22"/>
                <w:lang w:val="en-GB"/>
              </w:rPr>
              <w:t>Not known</w:t>
            </w:r>
          </w:p>
        </w:tc>
      </w:tr>
      <w:tr w:rsidR="00E607F1" w:rsidRPr="00D476B2" w14:paraId="4711F765" w14:textId="77777777" w:rsidTr="00E6383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258A5600" w14:textId="77777777" w:rsidR="00E607F1" w:rsidRPr="00E63838" w:rsidRDefault="00E607F1" w:rsidP="004A5906">
            <w:pPr>
              <w:rPr>
                <w:sz w:val="22"/>
                <w:szCs w:val="22"/>
                <w:lang w:val="en-GB"/>
              </w:rPr>
            </w:pPr>
            <w:r w:rsidRPr="00E63838">
              <w:rPr>
                <w:sz w:val="22"/>
                <w:szCs w:val="22"/>
                <w:lang w:val="en-GB"/>
              </w:rPr>
              <w:t>Injury, poisoning and procedural complications</w:t>
            </w:r>
          </w:p>
        </w:tc>
      </w:tr>
      <w:tr w:rsidR="00E607F1" w:rsidRPr="00E63838" w14:paraId="02490301" w14:textId="77777777" w:rsidTr="00E63838">
        <w:trPr>
          <w:trHeight w:val="20"/>
          <w:jc w:val="center"/>
        </w:trPr>
        <w:tc>
          <w:tcPr>
            <w:tcW w:w="2154" w:type="pct"/>
            <w:tcBorders>
              <w:top w:val="single" w:sz="4" w:space="0" w:color="auto"/>
              <w:left w:val="single" w:sz="4" w:space="0" w:color="auto"/>
              <w:bottom w:val="nil"/>
              <w:right w:val="nil"/>
            </w:tcBorders>
            <w:vAlign w:val="bottom"/>
            <w:hideMark/>
          </w:tcPr>
          <w:p w14:paraId="174CBCC7" w14:textId="77777777" w:rsidR="00E607F1" w:rsidRPr="00E63838" w:rsidRDefault="00E607F1" w:rsidP="00AB476E">
            <w:pPr>
              <w:ind w:left="264"/>
              <w:rPr>
                <w:sz w:val="22"/>
                <w:szCs w:val="22"/>
                <w:lang w:val="en-GB"/>
              </w:rPr>
            </w:pPr>
            <w:r w:rsidRPr="00E63838">
              <w:rPr>
                <w:sz w:val="22"/>
                <w:szCs w:val="22"/>
                <w:lang w:val="en-GB"/>
              </w:rPr>
              <w:t>Traumatic haemorrhage</w:t>
            </w:r>
          </w:p>
        </w:tc>
        <w:tc>
          <w:tcPr>
            <w:tcW w:w="2846" w:type="pct"/>
            <w:tcBorders>
              <w:top w:val="single" w:sz="4" w:space="0" w:color="auto"/>
              <w:left w:val="single" w:sz="4" w:space="0" w:color="auto"/>
              <w:bottom w:val="nil"/>
              <w:right w:val="single" w:sz="4" w:space="0" w:color="auto"/>
            </w:tcBorders>
            <w:vAlign w:val="bottom"/>
            <w:hideMark/>
          </w:tcPr>
          <w:p w14:paraId="75F2E506" w14:textId="77777777" w:rsidR="00E607F1" w:rsidRPr="00E63838" w:rsidRDefault="00E607F1" w:rsidP="004A5906">
            <w:pPr>
              <w:rPr>
                <w:sz w:val="22"/>
                <w:szCs w:val="22"/>
                <w:lang w:val="en-GB"/>
              </w:rPr>
            </w:pPr>
            <w:r w:rsidRPr="00E63838">
              <w:rPr>
                <w:sz w:val="22"/>
                <w:szCs w:val="22"/>
                <w:lang w:val="en-GB"/>
              </w:rPr>
              <w:t>Uncommon</w:t>
            </w:r>
          </w:p>
        </w:tc>
      </w:tr>
      <w:tr w:rsidR="00E607F1" w:rsidRPr="00E63838" w14:paraId="46D68A41" w14:textId="77777777" w:rsidTr="00E63838">
        <w:trPr>
          <w:trHeight w:val="20"/>
          <w:jc w:val="center"/>
        </w:trPr>
        <w:tc>
          <w:tcPr>
            <w:tcW w:w="2154" w:type="pct"/>
            <w:tcBorders>
              <w:top w:val="single" w:sz="4" w:space="0" w:color="auto"/>
              <w:left w:val="single" w:sz="4" w:space="0" w:color="auto"/>
              <w:bottom w:val="single" w:sz="4" w:space="0" w:color="auto"/>
              <w:right w:val="nil"/>
            </w:tcBorders>
            <w:vAlign w:val="bottom"/>
            <w:hideMark/>
          </w:tcPr>
          <w:p w14:paraId="4604FF86" w14:textId="77777777" w:rsidR="00E607F1" w:rsidRPr="00E63838" w:rsidRDefault="00E607F1" w:rsidP="00AB476E">
            <w:pPr>
              <w:ind w:left="264"/>
              <w:rPr>
                <w:sz w:val="22"/>
                <w:szCs w:val="22"/>
                <w:lang w:val="en-GB"/>
              </w:rPr>
            </w:pPr>
            <w:r w:rsidRPr="00E63838">
              <w:rPr>
                <w:sz w:val="22"/>
                <w:szCs w:val="22"/>
                <w:lang w:val="en-GB"/>
              </w:rPr>
              <w:t>Incision site haemorrhage</w:t>
            </w:r>
          </w:p>
        </w:tc>
        <w:tc>
          <w:tcPr>
            <w:tcW w:w="2846" w:type="pct"/>
            <w:tcBorders>
              <w:top w:val="single" w:sz="4" w:space="0" w:color="auto"/>
              <w:left w:val="single" w:sz="4" w:space="0" w:color="auto"/>
              <w:bottom w:val="single" w:sz="4" w:space="0" w:color="auto"/>
              <w:right w:val="single" w:sz="4" w:space="0" w:color="auto"/>
            </w:tcBorders>
            <w:vAlign w:val="bottom"/>
            <w:hideMark/>
          </w:tcPr>
          <w:p w14:paraId="48CBA06E" w14:textId="77777777" w:rsidR="00E607F1" w:rsidRPr="00E63838" w:rsidRDefault="00E607F1" w:rsidP="004A5906">
            <w:pPr>
              <w:rPr>
                <w:sz w:val="22"/>
                <w:szCs w:val="22"/>
                <w:lang w:val="en-GB"/>
              </w:rPr>
            </w:pPr>
            <w:r w:rsidRPr="00E63838">
              <w:rPr>
                <w:sz w:val="22"/>
                <w:szCs w:val="22"/>
                <w:lang w:val="en-GB"/>
              </w:rPr>
              <w:t>Not known</w:t>
            </w:r>
          </w:p>
        </w:tc>
      </w:tr>
    </w:tbl>
    <w:p w14:paraId="2F82C7D7" w14:textId="77777777" w:rsidR="00E607F1" w:rsidRPr="00B55C24" w:rsidRDefault="00E607F1" w:rsidP="00E607F1">
      <w:pPr>
        <w:tabs>
          <w:tab w:val="left" w:pos="851"/>
        </w:tabs>
        <w:ind w:left="851"/>
        <w:rPr>
          <w:sz w:val="24"/>
          <w:szCs w:val="24"/>
          <w:lang w:val="en-GB"/>
        </w:rPr>
      </w:pPr>
    </w:p>
    <w:p w14:paraId="47394FFB" w14:textId="77777777" w:rsidR="00E607F1" w:rsidRPr="00AB476E" w:rsidRDefault="00E607F1" w:rsidP="004A5906">
      <w:pPr>
        <w:ind w:left="851"/>
        <w:rPr>
          <w:i/>
          <w:iCs/>
          <w:sz w:val="24"/>
          <w:szCs w:val="24"/>
          <w:u w:val="single"/>
          <w:lang w:val="en-GB"/>
        </w:rPr>
      </w:pPr>
      <w:r w:rsidRPr="00AB476E">
        <w:rPr>
          <w:i/>
          <w:iCs/>
          <w:sz w:val="24"/>
          <w:szCs w:val="24"/>
          <w:u w:val="single"/>
          <w:lang w:val="en-GB"/>
        </w:rPr>
        <w:t>Bleeding reactions</w:t>
      </w:r>
    </w:p>
    <w:p w14:paraId="7CBE37F5" w14:textId="77777777" w:rsidR="00E607F1" w:rsidRPr="00B55C24" w:rsidRDefault="00E607F1" w:rsidP="004A5906">
      <w:pPr>
        <w:ind w:left="851"/>
        <w:rPr>
          <w:sz w:val="24"/>
          <w:szCs w:val="24"/>
          <w:lang w:val="en-GB"/>
        </w:rPr>
      </w:pPr>
    </w:p>
    <w:p w14:paraId="2875A1CC" w14:textId="29681890" w:rsidR="00E607F1" w:rsidRPr="00B55C24" w:rsidRDefault="00E607F1" w:rsidP="004A5906">
      <w:pPr>
        <w:ind w:left="851"/>
        <w:rPr>
          <w:sz w:val="24"/>
          <w:szCs w:val="24"/>
          <w:lang w:val="en-GB"/>
        </w:rPr>
      </w:pPr>
      <w:r w:rsidRPr="00B55C24">
        <w:rPr>
          <w:sz w:val="24"/>
          <w:szCs w:val="24"/>
          <w:lang w:val="en-GB"/>
        </w:rPr>
        <w:t>In the two phase III trials in the indication treatment of VTE and prevention of recurrent VTE in paediatric patients, a total of 7 patients (2.1%) had a major bleeding event, 5 patients (1.5%) a clinically relevant non-major bleeding event and 75 patients (22.9%) a minor bleeding event. The frequency of bleeding events was overall higher in the oldest age group (12 to &lt; 18 years: 28.6%) than in the younger age groups (birth to &lt; 2 years: 23.3%; 2 to &lt; 12 years: 16.2%). Major or severe bleeding, regardless of location, may lead to disabling, life-threatening or even fatal outcomes.</w:t>
      </w:r>
    </w:p>
    <w:p w14:paraId="43CCE940" w14:textId="77777777" w:rsidR="00E607F1" w:rsidRPr="00B55C24" w:rsidRDefault="00E607F1" w:rsidP="004A5906">
      <w:pPr>
        <w:ind w:left="851"/>
        <w:rPr>
          <w:sz w:val="24"/>
          <w:szCs w:val="24"/>
          <w:lang w:val="en-GB"/>
        </w:rPr>
      </w:pPr>
    </w:p>
    <w:p w14:paraId="17EF70DA" w14:textId="77777777" w:rsidR="00756FAF" w:rsidRPr="00AB476E" w:rsidRDefault="00756FAF" w:rsidP="004A5906">
      <w:pPr>
        <w:ind w:left="851"/>
        <w:rPr>
          <w:sz w:val="24"/>
          <w:szCs w:val="24"/>
          <w:u w:val="single"/>
          <w:lang w:val="en-GB"/>
        </w:rPr>
      </w:pPr>
      <w:r w:rsidRPr="00AB476E">
        <w:rPr>
          <w:sz w:val="24"/>
          <w:szCs w:val="24"/>
          <w:u w:val="single"/>
          <w:lang w:val="en-GB"/>
        </w:rPr>
        <w:t>Reporting of suspected adverse reactions</w:t>
      </w:r>
    </w:p>
    <w:p w14:paraId="57C91B55" w14:textId="77777777" w:rsidR="00756FAF" w:rsidRPr="00B55C24" w:rsidRDefault="00756FAF" w:rsidP="004A5906">
      <w:pPr>
        <w:ind w:left="851"/>
        <w:rPr>
          <w:sz w:val="24"/>
          <w:szCs w:val="24"/>
          <w:lang w:val="en-GB"/>
        </w:rPr>
      </w:pPr>
      <w:r w:rsidRPr="00B55C24">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592A784D" w14:textId="77777777" w:rsidR="00756FAF" w:rsidRPr="00B55C24" w:rsidRDefault="00756FAF" w:rsidP="004A5906">
      <w:pPr>
        <w:ind w:left="851"/>
        <w:rPr>
          <w:sz w:val="24"/>
          <w:szCs w:val="24"/>
          <w:lang w:val="en-GB"/>
        </w:rPr>
      </w:pPr>
    </w:p>
    <w:p w14:paraId="4D55F571" w14:textId="77777777" w:rsidR="00756FAF" w:rsidRPr="00B55C24" w:rsidRDefault="00756FAF" w:rsidP="004A5906">
      <w:pPr>
        <w:ind w:left="851"/>
        <w:rPr>
          <w:sz w:val="24"/>
          <w:szCs w:val="24"/>
        </w:rPr>
      </w:pPr>
      <w:r w:rsidRPr="00B55C24">
        <w:rPr>
          <w:sz w:val="24"/>
          <w:szCs w:val="24"/>
        </w:rPr>
        <w:t>Lægemiddelstyrelsen</w:t>
      </w:r>
    </w:p>
    <w:p w14:paraId="75B5D739" w14:textId="77777777" w:rsidR="00756FAF" w:rsidRPr="00B55C24" w:rsidRDefault="00756FAF" w:rsidP="004A5906">
      <w:pPr>
        <w:ind w:left="851"/>
        <w:rPr>
          <w:sz w:val="24"/>
          <w:szCs w:val="24"/>
        </w:rPr>
      </w:pPr>
      <w:r w:rsidRPr="00B55C24">
        <w:rPr>
          <w:sz w:val="24"/>
          <w:szCs w:val="24"/>
        </w:rPr>
        <w:t>Axel Heides Gade 1</w:t>
      </w:r>
    </w:p>
    <w:p w14:paraId="5C0EAA7B" w14:textId="77777777" w:rsidR="00756FAF" w:rsidRPr="00B55C24" w:rsidRDefault="00756FAF" w:rsidP="004A5906">
      <w:pPr>
        <w:ind w:left="851"/>
        <w:rPr>
          <w:sz w:val="24"/>
          <w:szCs w:val="24"/>
        </w:rPr>
      </w:pPr>
      <w:r w:rsidRPr="00B55C24">
        <w:rPr>
          <w:sz w:val="24"/>
          <w:szCs w:val="24"/>
        </w:rPr>
        <w:t>DK-2300 København S</w:t>
      </w:r>
    </w:p>
    <w:p w14:paraId="39AF056E" w14:textId="77777777" w:rsidR="00756FAF" w:rsidRPr="00B55C24" w:rsidRDefault="00756FAF" w:rsidP="004A5906">
      <w:pPr>
        <w:ind w:left="851"/>
        <w:rPr>
          <w:sz w:val="24"/>
          <w:szCs w:val="24"/>
          <w:lang w:val="en-US"/>
        </w:rPr>
      </w:pPr>
      <w:r w:rsidRPr="00B55C24">
        <w:rPr>
          <w:sz w:val="24"/>
          <w:szCs w:val="24"/>
          <w:lang w:val="en-US"/>
        </w:rPr>
        <w:t>Website: www.meldenbivirkning.dk</w:t>
      </w:r>
    </w:p>
    <w:p w14:paraId="52720AF3" w14:textId="77777777" w:rsidR="007C5D2A" w:rsidRPr="00B55C24" w:rsidRDefault="007C5D2A" w:rsidP="007A4CC6">
      <w:pPr>
        <w:tabs>
          <w:tab w:val="left" w:pos="851"/>
        </w:tabs>
        <w:ind w:left="851"/>
        <w:rPr>
          <w:sz w:val="24"/>
          <w:szCs w:val="24"/>
          <w:lang w:val="en-GB"/>
        </w:rPr>
      </w:pPr>
    </w:p>
    <w:p w14:paraId="7C1AF1A7"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4.9</w:t>
      </w:r>
      <w:r w:rsidRPr="00B55C24">
        <w:rPr>
          <w:b/>
          <w:sz w:val="24"/>
          <w:szCs w:val="24"/>
          <w:lang w:val="en-GB"/>
        </w:rPr>
        <w:tab/>
        <w:t>Overdose</w:t>
      </w:r>
    </w:p>
    <w:p w14:paraId="0F83E49D" w14:textId="77777777" w:rsidR="00E607F1" w:rsidRPr="00B55C24" w:rsidRDefault="00E607F1" w:rsidP="004A5906">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doses beyond those recommended, expose the patient to increased risk of bleeding.</w:t>
      </w:r>
    </w:p>
    <w:p w14:paraId="51E61EEB" w14:textId="77777777" w:rsidR="00E607F1" w:rsidRPr="00B55C24" w:rsidRDefault="00E607F1" w:rsidP="004A5906">
      <w:pPr>
        <w:ind w:left="851"/>
        <w:rPr>
          <w:sz w:val="24"/>
          <w:szCs w:val="24"/>
          <w:lang w:val="en-GB"/>
        </w:rPr>
      </w:pPr>
    </w:p>
    <w:p w14:paraId="043D0CF1" w14:textId="77777777" w:rsidR="00E607F1" w:rsidRPr="00B55C24" w:rsidRDefault="00E607F1" w:rsidP="004A5906">
      <w:pPr>
        <w:ind w:left="851"/>
        <w:rPr>
          <w:sz w:val="24"/>
          <w:szCs w:val="24"/>
          <w:lang w:val="en-GB"/>
        </w:rPr>
      </w:pPr>
      <w:r w:rsidRPr="00B55C24">
        <w:rPr>
          <w:sz w:val="24"/>
          <w:szCs w:val="24"/>
          <w:lang w:val="en-GB"/>
        </w:rPr>
        <w:t xml:space="preserve">In case of an overdose suspicion, coagulation tests can help to determine a bleeding risk (see sections 4.4 and 5.1). A calibrated quantitative </w:t>
      </w:r>
      <w:proofErr w:type="spellStart"/>
      <w:r w:rsidRPr="00B55C24">
        <w:rPr>
          <w:sz w:val="24"/>
          <w:szCs w:val="24"/>
          <w:lang w:val="en-GB"/>
        </w:rPr>
        <w:t>dTT</w:t>
      </w:r>
      <w:proofErr w:type="spellEnd"/>
      <w:r w:rsidRPr="00B55C24">
        <w:rPr>
          <w:sz w:val="24"/>
          <w:szCs w:val="24"/>
          <w:lang w:val="en-GB"/>
        </w:rPr>
        <w:t xml:space="preserve"> test or repetitive </w:t>
      </w:r>
      <w:proofErr w:type="spellStart"/>
      <w:r w:rsidRPr="00B55C24">
        <w:rPr>
          <w:sz w:val="24"/>
          <w:szCs w:val="24"/>
          <w:lang w:val="en-GB"/>
        </w:rPr>
        <w:t>dTT</w:t>
      </w:r>
      <w:proofErr w:type="spellEnd"/>
      <w:r w:rsidRPr="00B55C24">
        <w:rPr>
          <w:sz w:val="24"/>
          <w:szCs w:val="24"/>
          <w:lang w:val="en-GB"/>
        </w:rPr>
        <w:t xml:space="preserve"> measurements allow prediction of the time by when certain dabigatran levels will be reached (see section 5.1), also in case additional measures e.g. dialysis have been initiated.</w:t>
      </w:r>
    </w:p>
    <w:p w14:paraId="35263EC9" w14:textId="77777777" w:rsidR="00E607F1" w:rsidRPr="00B55C24" w:rsidRDefault="00E607F1" w:rsidP="004A5906">
      <w:pPr>
        <w:ind w:left="851"/>
        <w:rPr>
          <w:sz w:val="24"/>
          <w:szCs w:val="24"/>
          <w:lang w:val="en-GB"/>
        </w:rPr>
      </w:pPr>
    </w:p>
    <w:p w14:paraId="17437891" w14:textId="77777777" w:rsidR="00E607F1" w:rsidRPr="00B55C24" w:rsidRDefault="00E607F1" w:rsidP="004A5906">
      <w:pPr>
        <w:ind w:left="851"/>
        <w:rPr>
          <w:sz w:val="24"/>
          <w:szCs w:val="24"/>
          <w:lang w:val="en-GB"/>
        </w:rPr>
      </w:pPr>
      <w:r w:rsidRPr="00B55C24">
        <w:rPr>
          <w:sz w:val="24"/>
          <w:szCs w:val="24"/>
          <w:lang w:val="en-GB"/>
        </w:rPr>
        <w:t xml:space="preserve">Excessive anticoagulation may require interruption of dabigatran </w:t>
      </w:r>
      <w:proofErr w:type="spellStart"/>
      <w:r w:rsidRPr="00B55C24">
        <w:rPr>
          <w:sz w:val="24"/>
          <w:szCs w:val="24"/>
          <w:lang w:val="en-GB"/>
        </w:rPr>
        <w:t>etexilate</w:t>
      </w:r>
      <w:proofErr w:type="spellEnd"/>
      <w:r w:rsidRPr="00B55C24">
        <w:rPr>
          <w:sz w:val="24"/>
          <w:szCs w:val="24"/>
          <w:lang w:val="en-GB"/>
        </w:rPr>
        <w:t xml:space="preserve"> treatment. Since dabigatran is excreted predominantly by the renal route adequate diuresis must be maintained. As protein binding is low, dabigatran can be dialysed; there is limited clinical experience to demonstrate the utility of this approach in clinical studies (see section 5.2).</w:t>
      </w:r>
    </w:p>
    <w:p w14:paraId="12751A76" w14:textId="77777777" w:rsidR="00E607F1" w:rsidRPr="00B55C24" w:rsidRDefault="00E607F1" w:rsidP="004A5906">
      <w:pPr>
        <w:ind w:left="851"/>
        <w:rPr>
          <w:sz w:val="24"/>
          <w:szCs w:val="24"/>
          <w:lang w:val="en-GB"/>
        </w:rPr>
      </w:pPr>
    </w:p>
    <w:p w14:paraId="3184D4CB" w14:textId="77777777" w:rsidR="00E607F1" w:rsidRPr="00B55C24" w:rsidRDefault="00E607F1" w:rsidP="004A5906">
      <w:pPr>
        <w:ind w:left="851"/>
        <w:rPr>
          <w:sz w:val="24"/>
          <w:szCs w:val="24"/>
          <w:lang w:val="en-GB"/>
        </w:rPr>
      </w:pPr>
      <w:r w:rsidRPr="00B55C24">
        <w:rPr>
          <w:sz w:val="24"/>
          <w:szCs w:val="24"/>
          <w:u w:val="single"/>
          <w:lang w:val="en-GB"/>
        </w:rPr>
        <w:t>Management of bleeding complications</w:t>
      </w:r>
    </w:p>
    <w:p w14:paraId="4FE444DD" w14:textId="77777777" w:rsidR="00E607F1" w:rsidRPr="00B55C24" w:rsidRDefault="00E607F1" w:rsidP="004A5906">
      <w:pPr>
        <w:ind w:left="851"/>
        <w:rPr>
          <w:sz w:val="24"/>
          <w:szCs w:val="24"/>
          <w:lang w:val="en-GB"/>
        </w:rPr>
      </w:pPr>
    </w:p>
    <w:p w14:paraId="0332B951" w14:textId="77777777" w:rsidR="00E607F1" w:rsidRPr="00B55C24" w:rsidRDefault="00E607F1" w:rsidP="004A5906">
      <w:pPr>
        <w:ind w:left="851"/>
        <w:rPr>
          <w:sz w:val="24"/>
          <w:szCs w:val="24"/>
          <w:lang w:val="en-GB"/>
        </w:rPr>
      </w:pPr>
      <w:r w:rsidRPr="00B55C24">
        <w:rPr>
          <w:sz w:val="24"/>
          <w:szCs w:val="24"/>
          <w:lang w:val="en-GB"/>
        </w:rPr>
        <w:t xml:space="preserve">In the event of haemorrhagic complications, dabigatran </w:t>
      </w:r>
      <w:proofErr w:type="spellStart"/>
      <w:r w:rsidRPr="00B55C24">
        <w:rPr>
          <w:sz w:val="24"/>
          <w:szCs w:val="24"/>
          <w:lang w:val="en-GB"/>
        </w:rPr>
        <w:t>etexilate</w:t>
      </w:r>
      <w:proofErr w:type="spellEnd"/>
      <w:r w:rsidRPr="00B55C24">
        <w:rPr>
          <w:sz w:val="24"/>
          <w:szCs w:val="24"/>
          <w:lang w:val="en-GB"/>
        </w:rPr>
        <w:t xml:space="preserve"> treatment must be discontinued and the source of bleeding investigated. Depending on the clinical situation appropriate supportive treatment, such as surgical haemostasis and blood volume replacement, should be undertaken at the prescriber’s discretion.</w:t>
      </w:r>
    </w:p>
    <w:p w14:paraId="4BFC0289" w14:textId="77777777" w:rsidR="00E607F1" w:rsidRPr="00B55C24" w:rsidRDefault="00E607F1" w:rsidP="004A5906">
      <w:pPr>
        <w:ind w:left="851"/>
        <w:rPr>
          <w:sz w:val="24"/>
          <w:szCs w:val="24"/>
          <w:lang w:val="en-GB"/>
        </w:rPr>
      </w:pPr>
    </w:p>
    <w:p w14:paraId="1DFA1EC3" w14:textId="77777777" w:rsidR="00E607F1" w:rsidRPr="00B55C24" w:rsidRDefault="00E607F1" w:rsidP="004A5906">
      <w:pPr>
        <w:ind w:left="851"/>
        <w:rPr>
          <w:sz w:val="24"/>
          <w:szCs w:val="24"/>
          <w:lang w:val="en-GB"/>
        </w:rPr>
      </w:pPr>
      <w:r w:rsidRPr="00B55C24">
        <w:rPr>
          <w:sz w:val="24"/>
          <w:szCs w:val="24"/>
          <w:lang w:val="en-GB"/>
        </w:rPr>
        <w:t>For adult patients in situations when rapid reversal of the anticoagulant effect of dabigatran is required the specific reversal agent (</w:t>
      </w:r>
      <w:proofErr w:type="spellStart"/>
      <w:r w:rsidRPr="00B55C24">
        <w:rPr>
          <w:sz w:val="24"/>
          <w:szCs w:val="24"/>
          <w:lang w:val="en-GB"/>
        </w:rPr>
        <w:t>idarucizumab</w:t>
      </w:r>
      <w:proofErr w:type="spellEnd"/>
      <w:r w:rsidRPr="00B55C24">
        <w:rPr>
          <w:sz w:val="24"/>
          <w:szCs w:val="24"/>
          <w:lang w:val="en-GB"/>
        </w:rPr>
        <w:t xml:space="preserve">) antagonizing the pharmacodynamic effect of dabigatran is available. The efficacy and safety of </w:t>
      </w:r>
      <w:proofErr w:type="spellStart"/>
      <w:r w:rsidRPr="00B55C24">
        <w:rPr>
          <w:sz w:val="24"/>
          <w:szCs w:val="24"/>
          <w:lang w:val="en-GB"/>
        </w:rPr>
        <w:t>idarucizumab</w:t>
      </w:r>
      <w:proofErr w:type="spellEnd"/>
      <w:r w:rsidRPr="00B55C24">
        <w:rPr>
          <w:sz w:val="24"/>
          <w:szCs w:val="24"/>
          <w:lang w:val="en-GB"/>
        </w:rPr>
        <w:t xml:space="preserve"> have not been established in paediatric patients </w:t>
      </w:r>
      <w:r w:rsidRPr="00B55C24">
        <w:rPr>
          <w:sz w:val="24"/>
          <w:szCs w:val="24"/>
          <w:lang w:val="en-GB"/>
        </w:rPr>
        <w:br/>
        <w:t>(see section 4.4).</w:t>
      </w:r>
    </w:p>
    <w:p w14:paraId="1F7AD2EB" w14:textId="77777777" w:rsidR="00E607F1" w:rsidRPr="00B55C24" w:rsidRDefault="00E607F1" w:rsidP="004A5906">
      <w:pPr>
        <w:ind w:left="851"/>
        <w:rPr>
          <w:sz w:val="24"/>
          <w:szCs w:val="24"/>
          <w:lang w:val="en-GB"/>
        </w:rPr>
      </w:pPr>
    </w:p>
    <w:p w14:paraId="45FA3E10" w14:textId="77777777" w:rsidR="00E607F1" w:rsidRPr="00B55C24" w:rsidRDefault="00E607F1" w:rsidP="004A5906">
      <w:pPr>
        <w:ind w:left="851"/>
        <w:rPr>
          <w:sz w:val="24"/>
          <w:szCs w:val="24"/>
          <w:lang w:val="en-GB"/>
        </w:rPr>
      </w:pPr>
      <w:r w:rsidRPr="00B55C24">
        <w:rPr>
          <w:sz w:val="24"/>
          <w:szCs w:val="24"/>
          <w:lang w:val="en-GB"/>
        </w:rPr>
        <w:t xml:space="preserve">Coagulation factor concentrates (activated or non-activated) or recombinant Factor </w:t>
      </w:r>
      <w:proofErr w:type="spellStart"/>
      <w:r w:rsidRPr="00B55C24">
        <w:rPr>
          <w:sz w:val="24"/>
          <w:szCs w:val="24"/>
          <w:lang w:val="en-GB"/>
        </w:rPr>
        <w:t>VIIa</w:t>
      </w:r>
      <w:proofErr w:type="spellEnd"/>
      <w:r w:rsidRPr="00B55C24">
        <w:rPr>
          <w:sz w:val="24"/>
          <w:szCs w:val="24"/>
          <w:lang w:val="en-GB"/>
        </w:rPr>
        <w:t xml:space="preserve"> may be </w:t>
      </w:r>
      <w:proofErr w:type="gramStart"/>
      <w:r w:rsidRPr="00B55C24">
        <w:rPr>
          <w:sz w:val="24"/>
          <w:szCs w:val="24"/>
          <w:lang w:val="en-GB"/>
        </w:rPr>
        <w:t>taken into account</w:t>
      </w:r>
      <w:proofErr w:type="gramEnd"/>
      <w:r w:rsidRPr="00B55C24">
        <w:rPr>
          <w:sz w:val="24"/>
          <w:szCs w:val="24"/>
          <w:lang w:val="en-GB"/>
        </w:rPr>
        <w:t xml:space="preserve">. There is some experimental evidence to support the role of these medicinal products in reversing the anticoagulant effect of dabigatran, but data on their usefulness in clinical settings </w:t>
      </w:r>
      <w:proofErr w:type="gramStart"/>
      <w:r w:rsidRPr="00B55C24">
        <w:rPr>
          <w:sz w:val="24"/>
          <w:szCs w:val="24"/>
          <w:lang w:val="en-GB"/>
        </w:rPr>
        <w:t>and also</w:t>
      </w:r>
      <w:proofErr w:type="gramEnd"/>
      <w:r w:rsidRPr="00B55C24">
        <w:rPr>
          <w:sz w:val="24"/>
          <w:szCs w:val="24"/>
          <w:lang w:val="en-GB"/>
        </w:rPr>
        <w:t xml:space="preserve"> on the possible risk of rebound thromboembolism is very limited. Coagulation tests may become unreliable following administration of suggested coagulation factor concentrates. Caution should be exercised when interpreting these tests. Consideration should also be given to administration of platelet concentrates in cases where thrombocytopenia is present or </w:t>
      </w:r>
      <w:proofErr w:type="gramStart"/>
      <w:r w:rsidRPr="00B55C24">
        <w:rPr>
          <w:sz w:val="24"/>
          <w:szCs w:val="24"/>
          <w:lang w:val="en-GB"/>
        </w:rPr>
        <w:t>long acting</w:t>
      </w:r>
      <w:proofErr w:type="gramEnd"/>
      <w:r w:rsidRPr="00B55C24">
        <w:rPr>
          <w:sz w:val="24"/>
          <w:szCs w:val="24"/>
          <w:lang w:val="en-GB"/>
        </w:rPr>
        <w:t xml:space="preserve"> antiplatelet medicinal products have been used. All symptomatic treatment should be given according to the physician's judgement.</w:t>
      </w:r>
    </w:p>
    <w:p w14:paraId="2C2BCA99" w14:textId="77777777" w:rsidR="00E607F1" w:rsidRPr="00B55C24" w:rsidRDefault="00E607F1" w:rsidP="004A5906">
      <w:pPr>
        <w:ind w:left="851"/>
        <w:rPr>
          <w:sz w:val="24"/>
          <w:szCs w:val="24"/>
          <w:lang w:val="en-GB"/>
        </w:rPr>
      </w:pPr>
    </w:p>
    <w:p w14:paraId="270820CE" w14:textId="77777777" w:rsidR="00E607F1" w:rsidRPr="00B55C24" w:rsidRDefault="00E607F1" w:rsidP="004A5906">
      <w:pPr>
        <w:ind w:left="851"/>
        <w:rPr>
          <w:sz w:val="24"/>
          <w:szCs w:val="24"/>
          <w:lang w:val="en-GB"/>
        </w:rPr>
      </w:pPr>
      <w:r w:rsidRPr="00B55C24">
        <w:rPr>
          <w:sz w:val="24"/>
          <w:szCs w:val="24"/>
          <w:lang w:val="en-GB"/>
        </w:rPr>
        <w:t>Depending on local availability, a consultation of a coagulation expert should be considered in case of major bleedings.</w:t>
      </w:r>
    </w:p>
    <w:p w14:paraId="3F951397" w14:textId="77777777" w:rsidR="007C5D2A" w:rsidRPr="00B55C24" w:rsidRDefault="007C5D2A" w:rsidP="003E0341">
      <w:pPr>
        <w:tabs>
          <w:tab w:val="left" w:pos="851"/>
        </w:tabs>
        <w:ind w:left="851"/>
        <w:rPr>
          <w:sz w:val="24"/>
          <w:szCs w:val="24"/>
          <w:lang w:val="en-GB"/>
        </w:rPr>
      </w:pPr>
    </w:p>
    <w:p w14:paraId="551D6969" w14:textId="77777777" w:rsidR="008F2F8C" w:rsidRPr="00B55C24" w:rsidRDefault="0042292D" w:rsidP="0042292D">
      <w:pPr>
        <w:tabs>
          <w:tab w:val="left" w:pos="851"/>
        </w:tabs>
        <w:rPr>
          <w:b/>
          <w:sz w:val="24"/>
          <w:szCs w:val="24"/>
          <w:lang w:val="en-GB"/>
        </w:rPr>
      </w:pPr>
      <w:r w:rsidRPr="00B55C24">
        <w:rPr>
          <w:b/>
          <w:sz w:val="24"/>
          <w:szCs w:val="24"/>
          <w:lang w:val="en-GB"/>
        </w:rPr>
        <w:t>4.10</w:t>
      </w:r>
      <w:r w:rsidRPr="00B55C24">
        <w:rPr>
          <w:b/>
          <w:sz w:val="24"/>
          <w:szCs w:val="24"/>
          <w:lang w:val="en-GB"/>
        </w:rPr>
        <w:tab/>
        <w:t>Legal status</w:t>
      </w:r>
    </w:p>
    <w:p w14:paraId="6461CE03" w14:textId="3F8D9968" w:rsidR="00AD2E36" w:rsidRPr="00B55C24" w:rsidRDefault="004A5906" w:rsidP="00AD2E36">
      <w:pPr>
        <w:tabs>
          <w:tab w:val="left" w:pos="851"/>
        </w:tabs>
        <w:ind w:left="851"/>
        <w:rPr>
          <w:sz w:val="24"/>
          <w:szCs w:val="24"/>
          <w:lang w:val="en-GB"/>
        </w:rPr>
      </w:pPr>
      <w:r w:rsidRPr="00B55C24">
        <w:rPr>
          <w:sz w:val="24"/>
          <w:szCs w:val="24"/>
          <w:lang w:val="en-GB"/>
        </w:rPr>
        <w:t>B</w:t>
      </w:r>
    </w:p>
    <w:p w14:paraId="1729465F" w14:textId="77777777" w:rsidR="007C5D2A" w:rsidRPr="00B55C24" w:rsidRDefault="007C5D2A" w:rsidP="003E0341">
      <w:pPr>
        <w:tabs>
          <w:tab w:val="left" w:pos="851"/>
        </w:tabs>
        <w:ind w:left="851"/>
        <w:rPr>
          <w:sz w:val="24"/>
          <w:szCs w:val="24"/>
          <w:lang w:val="en-GB"/>
        </w:rPr>
      </w:pPr>
    </w:p>
    <w:p w14:paraId="257D78F7" w14:textId="77777777" w:rsidR="00AD2E36" w:rsidRPr="00B55C24" w:rsidRDefault="00AD2E36" w:rsidP="003E0341">
      <w:pPr>
        <w:tabs>
          <w:tab w:val="left" w:pos="851"/>
        </w:tabs>
        <w:ind w:left="851"/>
        <w:rPr>
          <w:sz w:val="24"/>
          <w:szCs w:val="24"/>
          <w:lang w:val="en-GB"/>
        </w:rPr>
      </w:pPr>
    </w:p>
    <w:p w14:paraId="59965606" w14:textId="77777777" w:rsidR="007C5D2A" w:rsidRPr="00B55C24" w:rsidRDefault="007C5D2A" w:rsidP="007C5D2A">
      <w:pPr>
        <w:tabs>
          <w:tab w:val="left" w:pos="851"/>
        </w:tabs>
        <w:rPr>
          <w:b/>
          <w:sz w:val="24"/>
          <w:szCs w:val="24"/>
          <w:lang w:val="en-GB"/>
        </w:rPr>
      </w:pPr>
      <w:r w:rsidRPr="00B55C24">
        <w:rPr>
          <w:b/>
          <w:sz w:val="24"/>
          <w:szCs w:val="24"/>
          <w:lang w:val="en-GB"/>
        </w:rPr>
        <w:t>5.</w:t>
      </w:r>
      <w:r w:rsidRPr="00B55C24">
        <w:rPr>
          <w:b/>
          <w:sz w:val="24"/>
          <w:szCs w:val="24"/>
          <w:lang w:val="en-GB"/>
        </w:rPr>
        <w:tab/>
        <w:t>PHARMACOLOGICAL PROPERTIES</w:t>
      </w:r>
    </w:p>
    <w:p w14:paraId="776F0A27" w14:textId="77777777" w:rsidR="007C5D2A" w:rsidRPr="00B55C24" w:rsidRDefault="007C5D2A" w:rsidP="003E0341">
      <w:pPr>
        <w:tabs>
          <w:tab w:val="left" w:pos="851"/>
        </w:tabs>
        <w:ind w:left="851"/>
        <w:rPr>
          <w:sz w:val="24"/>
          <w:szCs w:val="24"/>
          <w:lang w:val="en-GB"/>
        </w:rPr>
      </w:pPr>
    </w:p>
    <w:p w14:paraId="79E58289" w14:textId="77777777" w:rsidR="007C5D2A" w:rsidRPr="00B55C24" w:rsidRDefault="007C5D2A" w:rsidP="007C5D2A">
      <w:pPr>
        <w:tabs>
          <w:tab w:val="left" w:pos="851"/>
        </w:tabs>
        <w:ind w:left="851" w:hanging="851"/>
        <w:rPr>
          <w:b/>
          <w:sz w:val="24"/>
          <w:szCs w:val="24"/>
          <w:lang w:val="en-GB"/>
        </w:rPr>
      </w:pPr>
      <w:r w:rsidRPr="00B55C24">
        <w:rPr>
          <w:b/>
          <w:sz w:val="24"/>
          <w:szCs w:val="24"/>
          <w:lang w:val="en-GB"/>
        </w:rPr>
        <w:t>5.1</w:t>
      </w:r>
      <w:r w:rsidRPr="00B55C24">
        <w:rPr>
          <w:b/>
          <w:sz w:val="24"/>
          <w:szCs w:val="24"/>
          <w:lang w:val="en-GB"/>
        </w:rPr>
        <w:tab/>
        <w:t>Pharmacodynamic properties</w:t>
      </w:r>
      <w:r w:rsidRPr="00B55C24">
        <w:rPr>
          <w:b/>
          <w:sz w:val="24"/>
          <w:szCs w:val="24"/>
          <w:lang w:val="en-GB"/>
        </w:rPr>
        <w:tab/>
      </w:r>
    </w:p>
    <w:p w14:paraId="72FEFECD" w14:textId="77777777" w:rsidR="00E607F1" w:rsidRPr="00B55C24" w:rsidRDefault="00E607F1" w:rsidP="00E928DC">
      <w:pPr>
        <w:ind w:left="851"/>
        <w:rPr>
          <w:sz w:val="24"/>
          <w:szCs w:val="24"/>
          <w:lang w:val="en-GB"/>
        </w:rPr>
      </w:pPr>
      <w:r w:rsidRPr="00B55C24">
        <w:rPr>
          <w:sz w:val="24"/>
          <w:szCs w:val="24"/>
          <w:lang w:val="en-GB"/>
        </w:rPr>
        <w:t>Pharmacotherapeutic group: antithrombotic agents, direct thrombin inhibitors, ATC code: B01AE07.</w:t>
      </w:r>
    </w:p>
    <w:p w14:paraId="3B82063E" w14:textId="77777777" w:rsidR="00E607F1" w:rsidRPr="00B55C24" w:rsidRDefault="00E607F1" w:rsidP="00E928DC">
      <w:pPr>
        <w:ind w:left="851"/>
        <w:rPr>
          <w:sz w:val="24"/>
          <w:szCs w:val="24"/>
          <w:lang w:val="en-GB"/>
        </w:rPr>
      </w:pPr>
    </w:p>
    <w:p w14:paraId="06365776" w14:textId="77777777" w:rsidR="00E607F1" w:rsidRPr="00B55C24" w:rsidRDefault="00E607F1" w:rsidP="00E928DC">
      <w:pPr>
        <w:ind w:left="851"/>
        <w:rPr>
          <w:sz w:val="24"/>
          <w:szCs w:val="24"/>
          <w:lang w:val="en-GB"/>
        </w:rPr>
      </w:pPr>
      <w:r w:rsidRPr="00B55C24">
        <w:rPr>
          <w:sz w:val="24"/>
          <w:szCs w:val="24"/>
          <w:u w:val="single"/>
          <w:lang w:val="en-GB"/>
        </w:rPr>
        <w:t>Mechanism of action</w:t>
      </w:r>
    </w:p>
    <w:p w14:paraId="6DC602A9" w14:textId="77777777" w:rsidR="00E607F1" w:rsidRPr="00B55C24" w:rsidRDefault="00E607F1" w:rsidP="00E928DC">
      <w:pPr>
        <w:ind w:left="851"/>
        <w:rPr>
          <w:sz w:val="24"/>
          <w:szCs w:val="24"/>
          <w:lang w:val="en-GB"/>
        </w:rPr>
      </w:pPr>
    </w:p>
    <w:p w14:paraId="60610175" w14:textId="77777777" w:rsidR="00E607F1" w:rsidRPr="00B55C24" w:rsidRDefault="00E607F1" w:rsidP="00E928DC">
      <w:pPr>
        <w:ind w:left="851"/>
        <w:rPr>
          <w:sz w:val="24"/>
          <w:szCs w:val="24"/>
          <w:lang w:val="en-GB"/>
        </w:rPr>
      </w:pPr>
      <w:r w:rsidRPr="00B55C24">
        <w:rPr>
          <w:sz w:val="24"/>
          <w:szCs w:val="24"/>
          <w:lang w:val="en-GB"/>
        </w:rPr>
        <w:t xml:space="preserve">Dabigatran </w:t>
      </w:r>
      <w:proofErr w:type="spellStart"/>
      <w:r w:rsidRPr="00B55C24">
        <w:rPr>
          <w:sz w:val="24"/>
          <w:szCs w:val="24"/>
          <w:lang w:val="en-GB"/>
        </w:rPr>
        <w:t>etexilate</w:t>
      </w:r>
      <w:proofErr w:type="spellEnd"/>
      <w:r w:rsidRPr="00B55C24">
        <w:rPr>
          <w:sz w:val="24"/>
          <w:szCs w:val="24"/>
          <w:lang w:val="en-GB"/>
        </w:rPr>
        <w:t xml:space="preserve"> is a small molecule prodrug which does not exhibit any pharmacological activity. After oral administration, dabigatran </w:t>
      </w:r>
      <w:proofErr w:type="spellStart"/>
      <w:r w:rsidRPr="00B55C24">
        <w:rPr>
          <w:sz w:val="24"/>
          <w:szCs w:val="24"/>
          <w:lang w:val="en-GB"/>
        </w:rPr>
        <w:t>etexilate</w:t>
      </w:r>
      <w:proofErr w:type="spellEnd"/>
      <w:r w:rsidRPr="00B55C24">
        <w:rPr>
          <w:sz w:val="24"/>
          <w:szCs w:val="24"/>
          <w:lang w:val="en-GB"/>
        </w:rPr>
        <w:t xml:space="preserve"> is rapidly absorbed and converted to dabigatran by esterase-catalysed hydrolysis in plasma and in the liver. Dabigatran is a potent, competitive, reversible direct thrombin inhibitor and is the main active principle in plasma.</w:t>
      </w:r>
    </w:p>
    <w:p w14:paraId="0481CD49" w14:textId="77777777" w:rsidR="00E607F1" w:rsidRPr="00B55C24" w:rsidRDefault="00E607F1" w:rsidP="00E928DC">
      <w:pPr>
        <w:ind w:left="851"/>
        <w:rPr>
          <w:sz w:val="24"/>
          <w:szCs w:val="24"/>
          <w:lang w:val="en-GB"/>
        </w:rPr>
      </w:pPr>
      <w:r w:rsidRPr="00B55C24">
        <w:rPr>
          <w:sz w:val="24"/>
          <w:szCs w:val="24"/>
          <w:lang w:val="en-GB"/>
        </w:rPr>
        <w:t>Since thrombin (serine protease) enables the conversion of fibrinogen into fibrin during the coagulation cascade, its inhibition prevents the development of thrombus. Dabigatran inhibits free thrombin, fibrin-bound thrombin and thrombin-induced platelet aggregation.</w:t>
      </w:r>
    </w:p>
    <w:p w14:paraId="02AD0C97" w14:textId="77777777" w:rsidR="00E607F1" w:rsidRPr="00B55C24" w:rsidRDefault="00E607F1" w:rsidP="00E928DC">
      <w:pPr>
        <w:ind w:left="851"/>
        <w:rPr>
          <w:sz w:val="24"/>
          <w:szCs w:val="24"/>
          <w:lang w:val="en-GB"/>
        </w:rPr>
      </w:pPr>
    </w:p>
    <w:p w14:paraId="43C8B0A2" w14:textId="77777777" w:rsidR="00E607F1" w:rsidRPr="00B55C24" w:rsidRDefault="00E607F1" w:rsidP="00E928DC">
      <w:pPr>
        <w:ind w:left="851"/>
        <w:rPr>
          <w:sz w:val="24"/>
          <w:szCs w:val="24"/>
          <w:lang w:val="en-GB"/>
        </w:rPr>
      </w:pPr>
      <w:r w:rsidRPr="00B55C24">
        <w:rPr>
          <w:sz w:val="24"/>
          <w:szCs w:val="24"/>
          <w:u w:val="single"/>
          <w:lang w:val="en-GB"/>
        </w:rPr>
        <w:t>Pharmacodynamic effects</w:t>
      </w:r>
    </w:p>
    <w:p w14:paraId="052CFE0A" w14:textId="77777777" w:rsidR="00E607F1" w:rsidRPr="00B55C24" w:rsidRDefault="00E607F1" w:rsidP="00E928DC">
      <w:pPr>
        <w:ind w:left="851"/>
        <w:rPr>
          <w:i/>
          <w:iCs/>
          <w:sz w:val="24"/>
          <w:szCs w:val="24"/>
          <w:lang w:val="en-GB"/>
        </w:rPr>
      </w:pPr>
    </w:p>
    <w:p w14:paraId="2A1A7F2E" w14:textId="77777777" w:rsidR="00E607F1" w:rsidRPr="00B55C24" w:rsidRDefault="00E607F1" w:rsidP="00E928DC">
      <w:pPr>
        <w:ind w:left="851"/>
        <w:rPr>
          <w:sz w:val="24"/>
          <w:szCs w:val="24"/>
          <w:lang w:val="en-GB"/>
        </w:rPr>
      </w:pPr>
      <w:r w:rsidRPr="00B55C24">
        <w:rPr>
          <w:i/>
          <w:iCs/>
          <w:sz w:val="24"/>
          <w:szCs w:val="24"/>
          <w:lang w:val="en-GB"/>
        </w:rPr>
        <w:t>In vivo</w:t>
      </w:r>
      <w:r w:rsidRPr="00B55C24">
        <w:rPr>
          <w:sz w:val="24"/>
          <w:szCs w:val="24"/>
          <w:lang w:val="en-GB"/>
        </w:rPr>
        <w:t xml:space="preserve"> and </w:t>
      </w:r>
      <w:r w:rsidRPr="00B55C24">
        <w:rPr>
          <w:i/>
          <w:iCs/>
          <w:sz w:val="24"/>
          <w:szCs w:val="24"/>
          <w:lang w:val="en-GB"/>
        </w:rPr>
        <w:t>ex vivo</w:t>
      </w:r>
      <w:r w:rsidRPr="00B55C24">
        <w:rPr>
          <w:sz w:val="24"/>
          <w:szCs w:val="24"/>
          <w:lang w:val="en-GB"/>
        </w:rPr>
        <w:t xml:space="preserve"> animal studies have demonstrated antithrombotic efficacy and anticoagulant activity of dabigatran after intravenous administration and of dabigatran </w:t>
      </w:r>
      <w:proofErr w:type="spellStart"/>
      <w:r w:rsidRPr="00B55C24">
        <w:rPr>
          <w:sz w:val="24"/>
          <w:szCs w:val="24"/>
          <w:lang w:val="en-GB"/>
        </w:rPr>
        <w:t>etexilate</w:t>
      </w:r>
      <w:proofErr w:type="spellEnd"/>
      <w:r w:rsidRPr="00B55C24">
        <w:rPr>
          <w:sz w:val="24"/>
          <w:szCs w:val="24"/>
          <w:lang w:val="en-GB"/>
        </w:rPr>
        <w:t xml:space="preserve"> after oral administration in various animal models of thrombosis.</w:t>
      </w:r>
    </w:p>
    <w:p w14:paraId="558DCE5E" w14:textId="77777777" w:rsidR="00E607F1" w:rsidRPr="00B55C24" w:rsidRDefault="00E607F1" w:rsidP="00E928DC">
      <w:pPr>
        <w:ind w:left="851"/>
        <w:rPr>
          <w:sz w:val="24"/>
          <w:szCs w:val="24"/>
          <w:lang w:val="en-GB"/>
        </w:rPr>
      </w:pPr>
    </w:p>
    <w:p w14:paraId="3C32D101" w14:textId="77777777" w:rsidR="00E607F1" w:rsidRPr="00B55C24" w:rsidRDefault="00E607F1" w:rsidP="00E928DC">
      <w:pPr>
        <w:ind w:left="851"/>
        <w:rPr>
          <w:sz w:val="24"/>
          <w:szCs w:val="24"/>
          <w:lang w:val="en-GB"/>
        </w:rPr>
      </w:pPr>
      <w:r w:rsidRPr="00B55C24">
        <w:rPr>
          <w:sz w:val="24"/>
          <w:szCs w:val="24"/>
          <w:lang w:val="en-GB"/>
        </w:rPr>
        <w:t xml:space="preserve">There is a clear correlation between plasma dabigatran concentration and degree of anticoagulant effect based on phase II studies. Dabigatran prolongs the thrombin time (TT), ECT, and </w:t>
      </w:r>
      <w:proofErr w:type="spellStart"/>
      <w:r w:rsidRPr="00B55C24">
        <w:rPr>
          <w:sz w:val="24"/>
          <w:szCs w:val="24"/>
          <w:lang w:val="en-GB"/>
        </w:rPr>
        <w:t>aPTT</w:t>
      </w:r>
      <w:proofErr w:type="spellEnd"/>
      <w:r w:rsidRPr="00B55C24">
        <w:rPr>
          <w:sz w:val="24"/>
          <w:szCs w:val="24"/>
          <w:lang w:val="en-GB"/>
        </w:rPr>
        <w:t>.</w:t>
      </w:r>
    </w:p>
    <w:p w14:paraId="0488D993" w14:textId="77777777" w:rsidR="00E607F1" w:rsidRPr="00B55C24" w:rsidRDefault="00E607F1" w:rsidP="00E928DC">
      <w:pPr>
        <w:ind w:left="851"/>
        <w:rPr>
          <w:sz w:val="24"/>
          <w:szCs w:val="24"/>
          <w:lang w:val="en-GB"/>
        </w:rPr>
      </w:pPr>
    </w:p>
    <w:p w14:paraId="110F9773" w14:textId="77777777" w:rsidR="00E607F1" w:rsidRPr="00B55C24" w:rsidRDefault="00E607F1" w:rsidP="00E928DC">
      <w:pPr>
        <w:ind w:left="851"/>
        <w:rPr>
          <w:sz w:val="24"/>
          <w:szCs w:val="24"/>
          <w:lang w:val="en-GB"/>
        </w:rPr>
      </w:pPr>
      <w:r w:rsidRPr="00B55C24">
        <w:rPr>
          <w:sz w:val="24"/>
          <w:szCs w:val="24"/>
          <w:lang w:val="en-GB"/>
        </w:rPr>
        <w:t>The calibrated quantitative diluted TT (</w:t>
      </w:r>
      <w:proofErr w:type="spellStart"/>
      <w:r w:rsidRPr="00B55C24">
        <w:rPr>
          <w:sz w:val="24"/>
          <w:szCs w:val="24"/>
          <w:lang w:val="en-GB"/>
        </w:rPr>
        <w:t>dTT</w:t>
      </w:r>
      <w:proofErr w:type="spellEnd"/>
      <w:r w:rsidRPr="00B55C24">
        <w:rPr>
          <w:sz w:val="24"/>
          <w:szCs w:val="24"/>
          <w:lang w:val="en-GB"/>
        </w:rPr>
        <w:t xml:space="preserve">) test provides an estimation of dabigatran plasma concentration that can be compared to the expected dabigatran plasma concentrations. When the calibrated </w:t>
      </w:r>
      <w:proofErr w:type="spellStart"/>
      <w:r w:rsidRPr="00B55C24">
        <w:rPr>
          <w:sz w:val="24"/>
          <w:szCs w:val="24"/>
          <w:lang w:val="en-GB"/>
        </w:rPr>
        <w:t>dTT</w:t>
      </w:r>
      <w:proofErr w:type="spellEnd"/>
      <w:r w:rsidRPr="00B55C24">
        <w:rPr>
          <w:sz w:val="24"/>
          <w:szCs w:val="24"/>
          <w:lang w:val="en-GB"/>
        </w:rPr>
        <w:t xml:space="preserve"> assay delivers a dabigatran plasma concentration result at or below the limit of quantification, an additional coagulation assay such as TT, ECT or </w:t>
      </w:r>
      <w:proofErr w:type="spellStart"/>
      <w:r w:rsidRPr="00B55C24">
        <w:rPr>
          <w:sz w:val="24"/>
          <w:szCs w:val="24"/>
          <w:lang w:val="en-GB"/>
        </w:rPr>
        <w:t>aPTT</w:t>
      </w:r>
      <w:proofErr w:type="spellEnd"/>
      <w:r w:rsidRPr="00B55C24">
        <w:rPr>
          <w:sz w:val="24"/>
          <w:szCs w:val="24"/>
          <w:lang w:val="en-GB"/>
        </w:rPr>
        <w:t xml:space="preserve"> should be considered.</w:t>
      </w:r>
    </w:p>
    <w:p w14:paraId="1E31CF5A" w14:textId="77777777" w:rsidR="00E607F1" w:rsidRPr="00B55C24" w:rsidRDefault="00E607F1" w:rsidP="00E928DC">
      <w:pPr>
        <w:ind w:left="851"/>
        <w:rPr>
          <w:sz w:val="24"/>
          <w:szCs w:val="24"/>
          <w:lang w:val="en-GB"/>
        </w:rPr>
      </w:pPr>
    </w:p>
    <w:p w14:paraId="77EC687D" w14:textId="77777777" w:rsidR="00E607F1" w:rsidRPr="00B55C24" w:rsidRDefault="00E607F1" w:rsidP="00E928DC">
      <w:pPr>
        <w:ind w:left="851"/>
        <w:rPr>
          <w:sz w:val="24"/>
          <w:szCs w:val="24"/>
          <w:lang w:val="en-GB"/>
        </w:rPr>
      </w:pPr>
      <w:r w:rsidRPr="00B55C24">
        <w:rPr>
          <w:sz w:val="24"/>
          <w:szCs w:val="24"/>
          <w:lang w:val="en-GB"/>
        </w:rPr>
        <w:t>The ECT can provide a direct measure of the activity of direct thrombin inhibitors.</w:t>
      </w:r>
    </w:p>
    <w:p w14:paraId="43717779" w14:textId="77777777" w:rsidR="00E607F1" w:rsidRPr="00B55C24" w:rsidRDefault="00E607F1" w:rsidP="00E928DC">
      <w:pPr>
        <w:ind w:left="851"/>
        <w:rPr>
          <w:sz w:val="24"/>
          <w:szCs w:val="24"/>
          <w:lang w:val="en-GB"/>
        </w:rPr>
      </w:pPr>
    </w:p>
    <w:p w14:paraId="730144BB" w14:textId="77777777" w:rsidR="00E607F1" w:rsidRPr="00B55C24" w:rsidRDefault="00E607F1" w:rsidP="00E928DC">
      <w:pPr>
        <w:ind w:left="851"/>
        <w:rPr>
          <w:sz w:val="24"/>
          <w:szCs w:val="24"/>
          <w:lang w:val="en-GB"/>
        </w:rPr>
      </w:pPr>
      <w:r w:rsidRPr="00B55C24">
        <w:rPr>
          <w:sz w:val="24"/>
          <w:szCs w:val="24"/>
          <w:lang w:val="en-GB"/>
        </w:rPr>
        <w:t xml:space="preserve">The </w:t>
      </w:r>
      <w:proofErr w:type="spellStart"/>
      <w:r w:rsidRPr="00B55C24">
        <w:rPr>
          <w:sz w:val="24"/>
          <w:szCs w:val="24"/>
          <w:lang w:val="en-GB"/>
        </w:rPr>
        <w:t>aPTT</w:t>
      </w:r>
      <w:proofErr w:type="spellEnd"/>
      <w:r w:rsidRPr="00B55C24">
        <w:rPr>
          <w:sz w:val="24"/>
          <w:szCs w:val="24"/>
          <w:lang w:val="en-GB"/>
        </w:rPr>
        <w:t xml:space="preserve"> test is widely available and provides an approximate indication of the anticoagulation intensity achieved with dabigatran. However, the </w:t>
      </w:r>
      <w:proofErr w:type="spellStart"/>
      <w:r w:rsidRPr="00B55C24">
        <w:rPr>
          <w:sz w:val="24"/>
          <w:szCs w:val="24"/>
          <w:lang w:val="en-GB"/>
        </w:rPr>
        <w:t>aPTT</w:t>
      </w:r>
      <w:proofErr w:type="spellEnd"/>
      <w:r w:rsidRPr="00B55C24">
        <w:rPr>
          <w:sz w:val="24"/>
          <w:szCs w:val="24"/>
          <w:lang w:val="en-GB"/>
        </w:rPr>
        <w:t xml:space="preserve"> test has limited sensitivity and is not suitable for precise quantification of anticoagulant effect, especially at high plasma concentrations of dabigatran. Although high </w:t>
      </w:r>
      <w:proofErr w:type="spellStart"/>
      <w:r w:rsidRPr="00B55C24">
        <w:rPr>
          <w:sz w:val="24"/>
          <w:szCs w:val="24"/>
          <w:lang w:val="en-GB"/>
        </w:rPr>
        <w:t>aPTT</w:t>
      </w:r>
      <w:proofErr w:type="spellEnd"/>
      <w:r w:rsidRPr="00B55C24">
        <w:rPr>
          <w:sz w:val="24"/>
          <w:szCs w:val="24"/>
          <w:lang w:val="en-GB"/>
        </w:rPr>
        <w:t xml:space="preserve"> values should be interpreted with caution, a high </w:t>
      </w:r>
      <w:proofErr w:type="spellStart"/>
      <w:r w:rsidRPr="00B55C24">
        <w:rPr>
          <w:sz w:val="24"/>
          <w:szCs w:val="24"/>
          <w:lang w:val="en-GB"/>
        </w:rPr>
        <w:t>aPTT</w:t>
      </w:r>
      <w:proofErr w:type="spellEnd"/>
      <w:r w:rsidRPr="00B55C24">
        <w:rPr>
          <w:sz w:val="24"/>
          <w:szCs w:val="24"/>
          <w:lang w:val="en-GB"/>
        </w:rPr>
        <w:t xml:space="preserve"> value indicates that the patient is anticoagulated.</w:t>
      </w:r>
    </w:p>
    <w:p w14:paraId="12B6A9BB" w14:textId="77777777" w:rsidR="00E607F1" w:rsidRPr="00B55C24" w:rsidRDefault="00E607F1" w:rsidP="00E928DC">
      <w:pPr>
        <w:ind w:left="851"/>
        <w:rPr>
          <w:sz w:val="24"/>
          <w:szCs w:val="24"/>
          <w:lang w:val="en-GB"/>
        </w:rPr>
      </w:pPr>
    </w:p>
    <w:p w14:paraId="049A1EB7" w14:textId="77777777" w:rsidR="00E607F1" w:rsidRPr="00B55C24" w:rsidRDefault="00E607F1" w:rsidP="00E928DC">
      <w:pPr>
        <w:ind w:left="851"/>
        <w:rPr>
          <w:sz w:val="24"/>
          <w:szCs w:val="24"/>
          <w:lang w:val="en-GB"/>
        </w:rPr>
      </w:pPr>
      <w:r w:rsidRPr="00B55C24">
        <w:rPr>
          <w:sz w:val="24"/>
          <w:szCs w:val="24"/>
          <w:lang w:val="en-GB"/>
        </w:rPr>
        <w:t>In general, it can be assumed that these measures of anti-coagulant activity may reflect dabigatran levels and can provide guidance for the assessment of bleeding risk, i.e. exceeding the 90</w:t>
      </w:r>
      <w:r w:rsidRPr="00B55C24">
        <w:rPr>
          <w:sz w:val="24"/>
          <w:szCs w:val="24"/>
          <w:vertAlign w:val="superscript"/>
          <w:lang w:val="en-GB"/>
        </w:rPr>
        <w:t>th</w:t>
      </w:r>
      <w:r w:rsidRPr="00B55C24">
        <w:rPr>
          <w:sz w:val="24"/>
          <w:szCs w:val="24"/>
          <w:lang w:val="en-GB"/>
        </w:rPr>
        <w:t xml:space="preserve"> percentile of dabigatran trough levels or a coagulation assay such as </w:t>
      </w:r>
      <w:proofErr w:type="spellStart"/>
      <w:r w:rsidRPr="00B55C24">
        <w:rPr>
          <w:sz w:val="24"/>
          <w:szCs w:val="24"/>
          <w:lang w:val="en-GB"/>
        </w:rPr>
        <w:t>aPTT</w:t>
      </w:r>
      <w:proofErr w:type="spellEnd"/>
      <w:r w:rsidRPr="00B55C24">
        <w:rPr>
          <w:sz w:val="24"/>
          <w:szCs w:val="24"/>
          <w:lang w:val="en-GB"/>
        </w:rPr>
        <w:t xml:space="preserve"> measured at trough (for </w:t>
      </w:r>
      <w:proofErr w:type="spellStart"/>
      <w:r w:rsidRPr="00B55C24">
        <w:rPr>
          <w:sz w:val="24"/>
          <w:szCs w:val="24"/>
          <w:lang w:val="en-GB"/>
        </w:rPr>
        <w:t>aPTT</w:t>
      </w:r>
      <w:proofErr w:type="spellEnd"/>
      <w:r w:rsidRPr="00B55C24">
        <w:rPr>
          <w:sz w:val="24"/>
          <w:szCs w:val="24"/>
          <w:lang w:val="en-GB"/>
        </w:rPr>
        <w:t xml:space="preserve"> thresholds see section 4.4, table 5) is considered to be associated with an increased risk of bleeding.</w:t>
      </w:r>
    </w:p>
    <w:p w14:paraId="2798F34D" w14:textId="77777777" w:rsidR="00E607F1" w:rsidRPr="00B55C24" w:rsidRDefault="00E607F1" w:rsidP="00E928DC">
      <w:pPr>
        <w:ind w:left="851"/>
        <w:rPr>
          <w:sz w:val="24"/>
          <w:szCs w:val="24"/>
          <w:lang w:val="en-GB"/>
        </w:rPr>
      </w:pPr>
    </w:p>
    <w:p w14:paraId="31BA99E1" w14:textId="77777777" w:rsidR="00E607F1" w:rsidRPr="00B55C24" w:rsidRDefault="00E607F1" w:rsidP="00E928DC">
      <w:pPr>
        <w:ind w:left="851"/>
        <w:rPr>
          <w:sz w:val="24"/>
          <w:szCs w:val="24"/>
          <w:lang w:val="en-GB"/>
        </w:rPr>
      </w:pPr>
      <w:r w:rsidRPr="00B55C24">
        <w:rPr>
          <w:i/>
          <w:iCs/>
          <w:sz w:val="24"/>
          <w:szCs w:val="24"/>
          <w:u w:val="single"/>
          <w:lang w:val="en-GB"/>
        </w:rPr>
        <w:t>Prevention of stroke and systemic embolism in adult patients with NVAF with one or more risk factors (SPAF)</w:t>
      </w:r>
    </w:p>
    <w:p w14:paraId="5EAE1C76" w14:textId="77777777" w:rsidR="00E607F1" w:rsidRPr="00B55C24" w:rsidRDefault="00E607F1" w:rsidP="00E928DC">
      <w:pPr>
        <w:ind w:left="851"/>
        <w:rPr>
          <w:sz w:val="24"/>
          <w:szCs w:val="24"/>
          <w:lang w:val="en-GB"/>
        </w:rPr>
      </w:pPr>
    </w:p>
    <w:p w14:paraId="5886BEE5" w14:textId="77777777" w:rsidR="00E607F1" w:rsidRPr="00B55C24" w:rsidRDefault="00E607F1" w:rsidP="00E928DC">
      <w:pPr>
        <w:ind w:left="851"/>
        <w:rPr>
          <w:sz w:val="24"/>
          <w:szCs w:val="24"/>
          <w:lang w:val="en-GB"/>
        </w:rPr>
      </w:pPr>
      <w:r w:rsidRPr="00B55C24">
        <w:rPr>
          <w:sz w:val="24"/>
          <w:szCs w:val="24"/>
          <w:lang w:val="en-GB"/>
        </w:rPr>
        <w:t xml:space="preserve">Steady state geometric mean dabigatran peak plasma concentration, measured around 2 hours after 150 mg dabigatran </w:t>
      </w:r>
      <w:proofErr w:type="spellStart"/>
      <w:r w:rsidRPr="00B55C24">
        <w:rPr>
          <w:sz w:val="24"/>
          <w:szCs w:val="24"/>
          <w:lang w:val="en-GB"/>
        </w:rPr>
        <w:t>etexilate</w:t>
      </w:r>
      <w:proofErr w:type="spellEnd"/>
      <w:r w:rsidRPr="00B55C24">
        <w:rPr>
          <w:sz w:val="24"/>
          <w:szCs w:val="24"/>
          <w:lang w:val="en-GB"/>
        </w:rPr>
        <w:t xml:space="preserve"> administration twice daily, was 175 ng/mL, with a range of 117 </w:t>
      </w:r>
      <w:r w:rsidRPr="00B55C24">
        <w:rPr>
          <w:sz w:val="24"/>
          <w:szCs w:val="24"/>
          <w:lang w:val="en-GB"/>
        </w:rPr>
        <w:noBreakHyphen/>
        <w:t> 275 ng/mL (25</w:t>
      </w:r>
      <w:r w:rsidRPr="00B55C24">
        <w:rPr>
          <w:sz w:val="24"/>
          <w:szCs w:val="24"/>
          <w:vertAlign w:val="superscript"/>
          <w:lang w:val="en-GB"/>
        </w:rPr>
        <w:t>th</w:t>
      </w:r>
      <w:r w:rsidRPr="00B55C24">
        <w:rPr>
          <w:sz w:val="24"/>
          <w:szCs w:val="24"/>
          <w:lang w:val="en-GB"/>
        </w:rPr>
        <w:noBreakHyphen/>
        <w:t>75</w:t>
      </w:r>
      <w:r w:rsidRPr="00B55C24">
        <w:rPr>
          <w:sz w:val="24"/>
          <w:szCs w:val="24"/>
          <w:vertAlign w:val="superscript"/>
          <w:lang w:val="en-GB"/>
        </w:rPr>
        <w:t>th</w:t>
      </w:r>
      <w:r w:rsidRPr="00B55C24">
        <w:rPr>
          <w:sz w:val="24"/>
          <w:szCs w:val="24"/>
          <w:lang w:val="en-GB"/>
        </w:rPr>
        <w:t xml:space="preserve"> percentile range). The dabigatran geometric mean trough concentration, measured at trough in the morning, at the end of the dosing interval (i.e. 12 hours after the 150 mg dabigatran evening dose), was on average 91.0 ng/mL, with a range of 61.0</w:t>
      </w:r>
      <w:r w:rsidRPr="00B55C24">
        <w:rPr>
          <w:sz w:val="24"/>
          <w:szCs w:val="24"/>
          <w:lang w:val="en-GB"/>
        </w:rPr>
        <w:noBreakHyphen/>
        <w:t>143 ng/mL (25</w:t>
      </w:r>
      <w:r w:rsidRPr="00B55C24">
        <w:rPr>
          <w:sz w:val="24"/>
          <w:szCs w:val="24"/>
          <w:vertAlign w:val="superscript"/>
          <w:lang w:val="en-GB"/>
        </w:rPr>
        <w:t>th</w:t>
      </w:r>
      <w:r w:rsidRPr="00B55C24">
        <w:rPr>
          <w:sz w:val="24"/>
          <w:szCs w:val="24"/>
          <w:lang w:val="en-GB"/>
        </w:rPr>
        <w:noBreakHyphen/>
        <w:t>75</w:t>
      </w:r>
      <w:r w:rsidRPr="00B55C24">
        <w:rPr>
          <w:sz w:val="24"/>
          <w:szCs w:val="24"/>
          <w:vertAlign w:val="superscript"/>
          <w:lang w:val="en-GB"/>
        </w:rPr>
        <w:t>th</w:t>
      </w:r>
      <w:r w:rsidRPr="00B55C24">
        <w:rPr>
          <w:sz w:val="24"/>
          <w:szCs w:val="24"/>
          <w:lang w:val="en-GB"/>
        </w:rPr>
        <w:t xml:space="preserve"> percentile range).</w:t>
      </w:r>
    </w:p>
    <w:p w14:paraId="445643D6" w14:textId="77777777" w:rsidR="00E607F1" w:rsidRPr="00B55C24" w:rsidRDefault="00E607F1" w:rsidP="00E928DC">
      <w:pPr>
        <w:ind w:left="851"/>
        <w:rPr>
          <w:sz w:val="24"/>
          <w:szCs w:val="24"/>
          <w:lang w:val="en-GB"/>
        </w:rPr>
      </w:pPr>
    </w:p>
    <w:p w14:paraId="3C75511E" w14:textId="77777777" w:rsidR="00E607F1" w:rsidRPr="00B55C24" w:rsidRDefault="00E607F1" w:rsidP="00E928DC">
      <w:pPr>
        <w:ind w:left="851"/>
        <w:rPr>
          <w:sz w:val="24"/>
          <w:szCs w:val="24"/>
          <w:lang w:val="en-GB"/>
        </w:rPr>
      </w:pPr>
      <w:r w:rsidRPr="00B55C24">
        <w:rPr>
          <w:sz w:val="24"/>
          <w:szCs w:val="24"/>
          <w:lang w:val="en-GB"/>
        </w:rPr>
        <w:t xml:space="preserve">For patients with NVAF treated for prevention of stroke and systemic embolism with 150 mg dabigatran </w:t>
      </w:r>
      <w:proofErr w:type="spellStart"/>
      <w:r w:rsidRPr="00B55C24">
        <w:rPr>
          <w:sz w:val="24"/>
          <w:szCs w:val="24"/>
          <w:lang w:val="en-GB"/>
        </w:rPr>
        <w:t>etexilate</w:t>
      </w:r>
      <w:proofErr w:type="spellEnd"/>
      <w:r w:rsidRPr="00B55C24">
        <w:rPr>
          <w:sz w:val="24"/>
          <w:szCs w:val="24"/>
          <w:lang w:val="en-GB"/>
        </w:rPr>
        <w:t xml:space="preserve"> twice daily,</w:t>
      </w:r>
    </w:p>
    <w:p w14:paraId="7BB5C6B5" w14:textId="77777777" w:rsidR="00E607F1" w:rsidRPr="00AB476E" w:rsidRDefault="00E607F1" w:rsidP="00AB476E">
      <w:pPr>
        <w:pStyle w:val="Listeafsnit"/>
        <w:numPr>
          <w:ilvl w:val="0"/>
          <w:numId w:val="17"/>
        </w:numPr>
        <w:ind w:left="1276" w:hanging="425"/>
        <w:rPr>
          <w:sz w:val="24"/>
          <w:szCs w:val="24"/>
          <w:lang w:val="en-GB"/>
        </w:rPr>
      </w:pPr>
      <w:r w:rsidRPr="00AB476E">
        <w:rPr>
          <w:sz w:val="24"/>
          <w:szCs w:val="24"/>
          <w:lang w:val="en-GB"/>
        </w:rPr>
        <w:t>the 90</w:t>
      </w:r>
      <w:r w:rsidRPr="00AB476E">
        <w:rPr>
          <w:sz w:val="24"/>
          <w:szCs w:val="24"/>
          <w:vertAlign w:val="superscript"/>
          <w:lang w:val="en-GB"/>
        </w:rPr>
        <w:t>th</w:t>
      </w:r>
      <w:r w:rsidRPr="00AB476E">
        <w:rPr>
          <w:sz w:val="24"/>
          <w:szCs w:val="24"/>
          <w:lang w:val="en-GB"/>
        </w:rPr>
        <w:t xml:space="preserve"> percentile of dabigatran plasma concentrations measured at trough (10</w:t>
      </w:r>
      <w:r w:rsidRPr="00AB476E">
        <w:rPr>
          <w:sz w:val="24"/>
          <w:szCs w:val="24"/>
          <w:lang w:val="en-GB"/>
        </w:rPr>
        <w:noBreakHyphen/>
        <w:t>16 hours after the previous dose) was about 200 ng/mL,</w:t>
      </w:r>
    </w:p>
    <w:p w14:paraId="079513A8" w14:textId="77777777" w:rsidR="00E607F1" w:rsidRPr="00AB476E" w:rsidRDefault="00E607F1" w:rsidP="00AB476E">
      <w:pPr>
        <w:pStyle w:val="Listeafsnit"/>
        <w:numPr>
          <w:ilvl w:val="0"/>
          <w:numId w:val="17"/>
        </w:numPr>
        <w:ind w:left="1276" w:hanging="425"/>
        <w:rPr>
          <w:sz w:val="24"/>
          <w:szCs w:val="24"/>
          <w:lang w:val="en-GB"/>
        </w:rPr>
      </w:pPr>
      <w:r w:rsidRPr="00AB476E">
        <w:rPr>
          <w:sz w:val="24"/>
          <w:szCs w:val="24"/>
          <w:lang w:val="en-GB"/>
        </w:rPr>
        <w:t>an ECT at trough (10</w:t>
      </w:r>
      <w:r w:rsidRPr="00AB476E">
        <w:rPr>
          <w:sz w:val="24"/>
          <w:szCs w:val="24"/>
          <w:lang w:val="en-GB"/>
        </w:rPr>
        <w:noBreakHyphen/>
        <w:t>16 hours after the previous dose), elevated approximately 3-fold upper limit of normal refers to the observed 90</w:t>
      </w:r>
      <w:r w:rsidRPr="00AB476E">
        <w:rPr>
          <w:sz w:val="24"/>
          <w:szCs w:val="24"/>
          <w:vertAlign w:val="superscript"/>
          <w:lang w:val="en-GB"/>
        </w:rPr>
        <w:t>th</w:t>
      </w:r>
      <w:r w:rsidRPr="00AB476E">
        <w:rPr>
          <w:sz w:val="24"/>
          <w:szCs w:val="24"/>
          <w:lang w:val="en-GB"/>
        </w:rPr>
        <w:t xml:space="preserve"> percentile of ECT prolongation of 103 seconds,</w:t>
      </w:r>
    </w:p>
    <w:p w14:paraId="7D1FB7EB" w14:textId="77777777" w:rsidR="00E607F1" w:rsidRPr="00AB476E" w:rsidRDefault="00E607F1" w:rsidP="00AB476E">
      <w:pPr>
        <w:pStyle w:val="Listeafsnit"/>
        <w:numPr>
          <w:ilvl w:val="0"/>
          <w:numId w:val="17"/>
        </w:numPr>
        <w:ind w:left="1276" w:hanging="425"/>
        <w:rPr>
          <w:sz w:val="24"/>
          <w:szCs w:val="24"/>
          <w:lang w:val="en-GB"/>
        </w:rPr>
      </w:pPr>
      <w:r w:rsidRPr="00AB476E">
        <w:rPr>
          <w:sz w:val="24"/>
          <w:szCs w:val="24"/>
          <w:lang w:val="en-GB"/>
        </w:rPr>
        <w:t xml:space="preserve">an </w:t>
      </w:r>
      <w:proofErr w:type="spellStart"/>
      <w:r w:rsidRPr="00AB476E">
        <w:rPr>
          <w:sz w:val="24"/>
          <w:szCs w:val="24"/>
          <w:lang w:val="en-GB"/>
        </w:rPr>
        <w:t>aPTT</w:t>
      </w:r>
      <w:proofErr w:type="spellEnd"/>
      <w:r w:rsidRPr="00AB476E">
        <w:rPr>
          <w:sz w:val="24"/>
          <w:szCs w:val="24"/>
          <w:lang w:val="en-GB"/>
        </w:rPr>
        <w:t xml:space="preserve"> ratio greater than 2-fold upper limit of normal (</w:t>
      </w:r>
      <w:proofErr w:type="spellStart"/>
      <w:r w:rsidRPr="00AB476E">
        <w:rPr>
          <w:sz w:val="24"/>
          <w:szCs w:val="24"/>
          <w:lang w:val="en-GB"/>
        </w:rPr>
        <w:t>aPTT</w:t>
      </w:r>
      <w:proofErr w:type="spellEnd"/>
      <w:r w:rsidRPr="00AB476E">
        <w:rPr>
          <w:sz w:val="24"/>
          <w:szCs w:val="24"/>
          <w:lang w:val="en-GB"/>
        </w:rPr>
        <w:t xml:space="preserve"> prolongation of about 80 seconds), at trough (10</w:t>
      </w:r>
      <w:r w:rsidRPr="00AB476E">
        <w:rPr>
          <w:sz w:val="24"/>
          <w:szCs w:val="24"/>
          <w:lang w:val="en-GB"/>
        </w:rPr>
        <w:noBreakHyphen/>
        <w:t>16 hours after the previous dose) reflects the 90</w:t>
      </w:r>
      <w:r w:rsidRPr="00AB476E">
        <w:rPr>
          <w:sz w:val="24"/>
          <w:szCs w:val="24"/>
          <w:vertAlign w:val="superscript"/>
          <w:lang w:val="en-GB"/>
        </w:rPr>
        <w:t>th</w:t>
      </w:r>
      <w:r w:rsidRPr="00AB476E">
        <w:rPr>
          <w:sz w:val="24"/>
          <w:szCs w:val="24"/>
          <w:lang w:val="en-GB"/>
        </w:rPr>
        <w:t xml:space="preserve"> percentile of observations.</w:t>
      </w:r>
    </w:p>
    <w:p w14:paraId="44DFB2CC" w14:textId="77777777" w:rsidR="00E607F1" w:rsidRPr="00B55C24" w:rsidRDefault="00E607F1" w:rsidP="00E928DC">
      <w:pPr>
        <w:ind w:left="851"/>
        <w:rPr>
          <w:sz w:val="24"/>
          <w:szCs w:val="24"/>
          <w:lang w:val="en-GB"/>
        </w:rPr>
      </w:pPr>
    </w:p>
    <w:p w14:paraId="54DB22D6" w14:textId="77777777" w:rsidR="00E607F1" w:rsidRPr="00B55C24" w:rsidRDefault="00E607F1" w:rsidP="00E928DC">
      <w:pPr>
        <w:ind w:left="851"/>
        <w:rPr>
          <w:sz w:val="24"/>
          <w:szCs w:val="24"/>
          <w:lang w:val="en-GB"/>
        </w:rPr>
      </w:pPr>
      <w:r w:rsidRPr="00B55C24">
        <w:rPr>
          <w:i/>
          <w:iCs/>
          <w:sz w:val="24"/>
          <w:szCs w:val="24"/>
          <w:u w:val="single"/>
          <w:lang w:val="en-GB"/>
        </w:rPr>
        <w:t>Treatment of DVT and PE and prevention of recurrent DVT and PE in adults (DVT/PE)</w:t>
      </w:r>
    </w:p>
    <w:p w14:paraId="75D446B4" w14:textId="77777777" w:rsidR="00E607F1" w:rsidRPr="00B55C24" w:rsidRDefault="00E607F1" w:rsidP="00E928DC">
      <w:pPr>
        <w:ind w:left="851"/>
        <w:rPr>
          <w:sz w:val="24"/>
          <w:szCs w:val="24"/>
          <w:lang w:val="en-GB"/>
        </w:rPr>
      </w:pPr>
    </w:p>
    <w:p w14:paraId="6BA954DC" w14:textId="77777777" w:rsidR="00E607F1" w:rsidRPr="00B55C24" w:rsidRDefault="00E607F1" w:rsidP="00E928DC">
      <w:pPr>
        <w:ind w:left="851"/>
        <w:rPr>
          <w:sz w:val="24"/>
          <w:szCs w:val="24"/>
          <w:lang w:val="en-GB"/>
        </w:rPr>
      </w:pPr>
      <w:r w:rsidRPr="00B55C24">
        <w:rPr>
          <w:sz w:val="24"/>
          <w:szCs w:val="24"/>
          <w:lang w:val="en-GB"/>
        </w:rPr>
        <w:t xml:space="preserve">In patients treated for DVT and PE with 150 mg dabigatran </w:t>
      </w:r>
      <w:proofErr w:type="spellStart"/>
      <w:r w:rsidRPr="00B55C24">
        <w:rPr>
          <w:sz w:val="24"/>
          <w:szCs w:val="24"/>
          <w:lang w:val="en-GB"/>
        </w:rPr>
        <w:t>etexilate</w:t>
      </w:r>
      <w:proofErr w:type="spellEnd"/>
      <w:r w:rsidRPr="00B55C24">
        <w:rPr>
          <w:sz w:val="24"/>
          <w:szCs w:val="24"/>
          <w:lang w:val="en-GB"/>
        </w:rPr>
        <w:t xml:space="preserve"> twice daily, the dabigatran geometric mean trough concentration, measured within 10</w:t>
      </w:r>
      <w:r w:rsidRPr="00B55C24">
        <w:rPr>
          <w:sz w:val="24"/>
          <w:szCs w:val="24"/>
          <w:lang w:val="en-GB"/>
        </w:rPr>
        <w:noBreakHyphen/>
        <w:t>16 hours after dose, at the end of the dosing interval (i.e. 12 hours after the 150 mg dabigatran evening dose), was 59.7 ng/mL, with a range of 38.6 </w:t>
      </w:r>
      <w:r w:rsidRPr="00B55C24">
        <w:rPr>
          <w:sz w:val="24"/>
          <w:szCs w:val="24"/>
          <w:lang w:val="en-GB"/>
        </w:rPr>
        <w:noBreakHyphen/>
        <w:t> 94.5 ng/mL (25</w:t>
      </w:r>
      <w:r w:rsidRPr="00B55C24">
        <w:rPr>
          <w:sz w:val="24"/>
          <w:szCs w:val="24"/>
          <w:vertAlign w:val="superscript"/>
          <w:lang w:val="en-GB"/>
        </w:rPr>
        <w:t>th</w:t>
      </w:r>
      <w:r w:rsidRPr="00B55C24">
        <w:rPr>
          <w:sz w:val="24"/>
          <w:szCs w:val="24"/>
          <w:lang w:val="en-GB"/>
        </w:rPr>
        <w:noBreakHyphen/>
        <w:t>75</w:t>
      </w:r>
      <w:r w:rsidRPr="00B55C24">
        <w:rPr>
          <w:sz w:val="24"/>
          <w:szCs w:val="24"/>
          <w:vertAlign w:val="superscript"/>
          <w:lang w:val="en-GB"/>
        </w:rPr>
        <w:t>th</w:t>
      </w:r>
      <w:r w:rsidRPr="00B55C24">
        <w:rPr>
          <w:sz w:val="24"/>
          <w:szCs w:val="24"/>
          <w:lang w:val="en-GB"/>
        </w:rPr>
        <w:t xml:space="preserve"> percentile range). For treatment of DVT and PE, with dabigatran </w:t>
      </w:r>
      <w:proofErr w:type="spellStart"/>
      <w:r w:rsidRPr="00B55C24">
        <w:rPr>
          <w:sz w:val="24"/>
          <w:szCs w:val="24"/>
          <w:lang w:val="en-GB"/>
        </w:rPr>
        <w:t>etexilate</w:t>
      </w:r>
      <w:proofErr w:type="spellEnd"/>
      <w:r w:rsidRPr="00B55C24">
        <w:rPr>
          <w:sz w:val="24"/>
          <w:szCs w:val="24"/>
          <w:lang w:val="en-GB"/>
        </w:rPr>
        <w:t xml:space="preserve"> 150 mg twice daily,</w:t>
      </w:r>
    </w:p>
    <w:p w14:paraId="5A29644C" w14:textId="77777777" w:rsidR="00E607F1" w:rsidRPr="00AB476E" w:rsidRDefault="00E607F1" w:rsidP="00AB476E">
      <w:pPr>
        <w:pStyle w:val="Listeafsnit"/>
        <w:numPr>
          <w:ilvl w:val="0"/>
          <w:numId w:val="18"/>
        </w:numPr>
        <w:ind w:left="1276" w:hanging="425"/>
        <w:rPr>
          <w:sz w:val="24"/>
          <w:szCs w:val="24"/>
          <w:lang w:val="en-GB"/>
        </w:rPr>
      </w:pPr>
      <w:r w:rsidRPr="00AB476E">
        <w:rPr>
          <w:sz w:val="24"/>
          <w:szCs w:val="24"/>
          <w:lang w:val="en-GB"/>
        </w:rPr>
        <w:t>the 90th percentile of dabigatran plasma concentrations measured at trough (10</w:t>
      </w:r>
      <w:r w:rsidRPr="00AB476E">
        <w:rPr>
          <w:sz w:val="24"/>
          <w:szCs w:val="24"/>
          <w:lang w:val="en-GB"/>
        </w:rPr>
        <w:noBreakHyphen/>
        <w:t>16 hours after the previous dose) was about 146 ng/mL,</w:t>
      </w:r>
    </w:p>
    <w:p w14:paraId="00F99280" w14:textId="77777777" w:rsidR="00E607F1" w:rsidRPr="00AB476E" w:rsidRDefault="00E607F1" w:rsidP="00AB476E">
      <w:pPr>
        <w:pStyle w:val="Listeafsnit"/>
        <w:numPr>
          <w:ilvl w:val="0"/>
          <w:numId w:val="18"/>
        </w:numPr>
        <w:ind w:left="1276" w:hanging="425"/>
        <w:rPr>
          <w:sz w:val="24"/>
          <w:szCs w:val="24"/>
          <w:lang w:val="en-GB"/>
        </w:rPr>
      </w:pPr>
      <w:r w:rsidRPr="00AB476E">
        <w:rPr>
          <w:sz w:val="24"/>
          <w:szCs w:val="24"/>
          <w:lang w:val="en-GB"/>
        </w:rPr>
        <w:t>an ECT at trough (10</w:t>
      </w:r>
      <w:r w:rsidRPr="00AB476E">
        <w:rPr>
          <w:sz w:val="24"/>
          <w:szCs w:val="24"/>
          <w:lang w:val="en-GB"/>
        </w:rPr>
        <w:noBreakHyphen/>
        <w:t>16 hours after the previous dose), elevated approximately 2.3-fold compared to baseline refers to the observed 90th percentile of ECT prolongation of 74 seconds,</w:t>
      </w:r>
    </w:p>
    <w:p w14:paraId="0175F8A5" w14:textId="77777777" w:rsidR="00E607F1" w:rsidRPr="00AB476E" w:rsidRDefault="00E607F1" w:rsidP="00AB476E">
      <w:pPr>
        <w:pStyle w:val="Listeafsnit"/>
        <w:numPr>
          <w:ilvl w:val="0"/>
          <w:numId w:val="18"/>
        </w:numPr>
        <w:ind w:left="1276" w:hanging="425"/>
        <w:rPr>
          <w:sz w:val="24"/>
          <w:szCs w:val="24"/>
          <w:lang w:val="en-GB"/>
        </w:rPr>
      </w:pPr>
      <w:r w:rsidRPr="00AB476E">
        <w:rPr>
          <w:sz w:val="24"/>
          <w:szCs w:val="24"/>
          <w:lang w:val="en-GB"/>
        </w:rPr>
        <w:t xml:space="preserve">the 90th percentile of </w:t>
      </w:r>
      <w:proofErr w:type="spellStart"/>
      <w:r w:rsidRPr="00AB476E">
        <w:rPr>
          <w:sz w:val="24"/>
          <w:szCs w:val="24"/>
          <w:lang w:val="en-GB"/>
        </w:rPr>
        <w:t>aPTT</w:t>
      </w:r>
      <w:proofErr w:type="spellEnd"/>
      <w:r w:rsidRPr="00AB476E">
        <w:rPr>
          <w:sz w:val="24"/>
          <w:szCs w:val="24"/>
          <w:lang w:val="en-GB"/>
        </w:rPr>
        <w:t xml:space="preserve"> at trough (10</w:t>
      </w:r>
      <w:r w:rsidRPr="00AB476E">
        <w:rPr>
          <w:sz w:val="24"/>
          <w:szCs w:val="24"/>
          <w:lang w:val="en-GB"/>
        </w:rPr>
        <w:noBreakHyphen/>
        <w:t>16 hours after the previous dose) was 62 seconds, which would be 1.8-fold compared to baseline.</w:t>
      </w:r>
    </w:p>
    <w:p w14:paraId="25D071A4" w14:textId="77777777" w:rsidR="00E607F1" w:rsidRPr="00B55C24" w:rsidRDefault="00E607F1" w:rsidP="00E928DC">
      <w:pPr>
        <w:ind w:left="851"/>
        <w:rPr>
          <w:sz w:val="24"/>
          <w:szCs w:val="24"/>
          <w:lang w:val="en-GB"/>
        </w:rPr>
      </w:pPr>
    </w:p>
    <w:p w14:paraId="48A4592F" w14:textId="77777777" w:rsidR="00E607F1" w:rsidRPr="00B55C24" w:rsidRDefault="00E607F1" w:rsidP="00E928DC">
      <w:pPr>
        <w:ind w:left="851"/>
        <w:rPr>
          <w:sz w:val="24"/>
          <w:szCs w:val="24"/>
          <w:lang w:val="en-GB"/>
        </w:rPr>
      </w:pPr>
      <w:r w:rsidRPr="00B55C24">
        <w:rPr>
          <w:sz w:val="24"/>
          <w:szCs w:val="24"/>
          <w:lang w:val="en-GB"/>
        </w:rPr>
        <w:t xml:space="preserve">In patients treated for prevention of recurrent of DVT and PE with 150 mg dabigatran </w:t>
      </w:r>
      <w:proofErr w:type="spellStart"/>
      <w:r w:rsidRPr="00B55C24">
        <w:rPr>
          <w:sz w:val="24"/>
          <w:szCs w:val="24"/>
          <w:lang w:val="en-GB"/>
        </w:rPr>
        <w:t>etexilate</w:t>
      </w:r>
      <w:proofErr w:type="spellEnd"/>
      <w:r w:rsidRPr="00B55C24">
        <w:rPr>
          <w:sz w:val="24"/>
          <w:szCs w:val="24"/>
          <w:lang w:val="en-GB"/>
        </w:rPr>
        <w:t xml:space="preserve"> twice daily no pharmacokinetic data are available.</w:t>
      </w:r>
    </w:p>
    <w:p w14:paraId="63FE3EE5" w14:textId="77777777" w:rsidR="00E607F1" w:rsidRPr="00B55C24" w:rsidRDefault="00E607F1" w:rsidP="00E928DC">
      <w:pPr>
        <w:ind w:left="851"/>
        <w:rPr>
          <w:sz w:val="24"/>
          <w:szCs w:val="24"/>
          <w:lang w:val="en-GB"/>
        </w:rPr>
      </w:pPr>
    </w:p>
    <w:p w14:paraId="2BBFBF0B" w14:textId="77777777" w:rsidR="00E607F1" w:rsidRPr="00B55C24" w:rsidRDefault="00E607F1" w:rsidP="00E928DC">
      <w:pPr>
        <w:ind w:left="851"/>
        <w:rPr>
          <w:sz w:val="24"/>
          <w:szCs w:val="24"/>
          <w:lang w:val="en-GB"/>
        </w:rPr>
      </w:pPr>
      <w:r w:rsidRPr="00B55C24">
        <w:rPr>
          <w:sz w:val="24"/>
          <w:szCs w:val="24"/>
          <w:u w:val="single"/>
          <w:lang w:val="en-GB"/>
        </w:rPr>
        <w:t>Clinical efficacy and safety</w:t>
      </w:r>
    </w:p>
    <w:p w14:paraId="7610D964" w14:textId="77777777" w:rsidR="00E607F1" w:rsidRPr="00B55C24" w:rsidRDefault="00E607F1" w:rsidP="00E928DC">
      <w:pPr>
        <w:ind w:left="851"/>
        <w:rPr>
          <w:sz w:val="24"/>
          <w:szCs w:val="24"/>
          <w:lang w:val="en-GB"/>
        </w:rPr>
      </w:pPr>
    </w:p>
    <w:p w14:paraId="7F70CDB5" w14:textId="77777777" w:rsidR="00E607F1" w:rsidRPr="00B55C24" w:rsidRDefault="00E607F1" w:rsidP="00E928DC">
      <w:pPr>
        <w:ind w:left="851"/>
        <w:rPr>
          <w:sz w:val="24"/>
          <w:szCs w:val="24"/>
          <w:lang w:val="en-GB"/>
        </w:rPr>
      </w:pPr>
      <w:r w:rsidRPr="00B55C24">
        <w:rPr>
          <w:i/>
          <w:iCs/>
          <w:sz w:val="24"/>
          <w:szCs w:val="24"/>
          <w:lang w:val="en-GB"/>
        </w:rPr>
        <w:t>Ethnic origin</w:t>
      </w:r>
    </w:p>
    <w:p w14:paraId="259086AD" w14:textId="77777777" w:rsidR="00E607F1" w:rsidRPr="00B55C24" w:rsidRDefault="00E607F1" w:rsidP="00E928DC">
      <w:pPr>
        <w:ind w:left="851"/>
        <w:rPr>
          <w:sz w:val="24"/>
          <w:szCs w:val="24"/>
          <w:lang w:val="en-GB"/>
        </w:rPr>
      </w:pPr>
    </w:p>
    <w:p w14:paraId="348B604F" w14:textId="77777777" w:rsidR="00E607F1" w:rsidRPr="00B55C24" w:rsidRDefault="00E607F1" w:rsidP="00E928DC">
      <w:pPr>
        <w:ind w:left="851"/>
        <w:rPr>
          <w:sz w:val="24"/>
          <w:szCs w:val="24"/>
          <w:lang w:val="en-GB"/>
        </w:rPr>
      </w:pPr>
      <w:r w:rsidRPr="00B55C24">
        <w:rPr>
          <w:sz w:val="24"/>
          <w:szCs w:val="24"/>
          <w:lang w:val="en-GB"/>
        </w:rPr>
        <w:t xml:space="preserve">No clinically relevant ethnic differences among Caucasians, </w:t>
      </w:r>
      <w:proofErr w:type="gramStart"/>
      <w:r w:rsidRPr="00B55C24">
        <w:rPr>
          <w:sz w:val="24"/>
          <w:szCs w:val="24"/>
          <w:lang w:val="en-GB"/>
        </w:rPr>
        <w:t>African-American</w:t>
      </w:r>
      <w:proofErr w:type="gramEnd"/>
      <w:r w:rsidRPr="00B55C24">
        <w:rPr>
          <w:sz w:val="24"/>
          <w:szCs w:val="24"/>
          <w:lang w:val="en-GB"/>
        </w:rPr>
        <w:t>, Hispanic, Japanese or Chinese patients were observed.</w:t>
      </w:r>
    </w:p>
    <w:p w14:paraId="61FA78C9" w14:textId="77777777" w:rsidR="00E607F1" w:rsidRPr="00B55C24" w:rsidRDefault="00E607F1" w:rsidP="00E928DC">
      <w:pPr>
        <w:ind w:left="851"/>
        <w:rPr>
          <w:sz w:val="24"/>
          <w:szCs w:val="24"/>
          <w:lang w:val="en-GB"/>
        </w:rPr>
      </w:pPr>
    </w:p>
    <w:p w14:paraId="60F898CD" w14:textId="77777777" w:rsidR="00E607F1" w:rsidRPr="00B55C24" w:rsidRDefault="00E607F1" w:rsidP="00E928DC">
      <w:pPr>
        <w:ind w:left="851"/>
        <w:rPr>
          <w:sz w:val="24"/>
          <w:szCs w:val="24"/>
          <w:lang w:val="en-GB"/>
        </w:rPr>
      </w:pPr>
      <w:r w:rsidRPr="00B55C24">
        <w:rPr>
          <w:i/>
          <w:iCs/>
          <w:sz w:val="24"/>
          <w:szCs w:val="24"/>
          <w:u w:val="single"/>
          <w:lang w:val="en-GB"/>
        </w:rPr>
        <w:t>Prevention of stroke and systemic embolism in adult patients with NVAF with one or more risk factors</w:t>
      </w:r>
    </w:p>
    <w:p w14:paraId="3C0ACBE3" w14:textId="77777777" w:rsidR="00E607F1" w:rsidRPr="00B55C24" w:rsidRDefault="00E607F1" w:rsidP="00E928DC">
      <w:pPr>
        <w:ind w:left="851"/>
        <w:rPr>
          <w:sz w:val="24"/>
          <w:szCs w:val="24"/>
          <w:lang w:val="en-GB"/>
        </w:rPr>
      </w:pPr>
    </w:p>
    <w:p w14:paraId="053C8E06" w14:textId="77777777" w:rsidR="00E607F1" w:rsidRPr="00B55C24" w:rsidRDefault="00E607F1" w:rsidP="00E928DC">
      <w:pPr>
        <w:ind w:left="851"/>
        <w:rPr>
          <w:sz w:val="24"/>
          <w:szCs w:val="24"/>
          <w:lang w:val="en-GB"/>
        </w:rPr>
      </w:pPr>
      <w:r w:rsidRPr="00B55C24">
        <w:rPr>
          <w:sz w:val="24"/>
          <w:szCs w:val="24"/>
          <w:lang w:val="en-GB"/>
        </w:rPr>
        <w:t xml:space="preserve">The clinical evidence for the efficacy of dabigatran </w:t>
      </w:r>
      <w:proofErr w:type="spellStart"/>
      <w:r w:rsidRPr="00B55C24">
        <w:rPr>
          <w:sz w:val="24"/>
          <w:szCs w:val="24"/>
          <w:lang w:val="en-GB"/>
        </w:rPr>
        <w:t>etexilate</w:t>
      </w:r>
      <w:proofErr w:type="spellEnd"/>
      <w:r w:rsidRPr="00B55C24">
        <w:rPr>
          <w:sz w:val="24"/>
          <w:szCs w:val="24"/>
          <w:lang w:val="en-GB"/>
        </w:rPr>
        <w:t xml:space="preserve"> is derived from the RE-LY study (Randomised Evaluation of Long -term anticoagulant therapy) a multi-centre, multi-national, randomised parallel group study of two blinded doses of dabigatran </w:t>
      </w:r>
      <w:proofErr w:type="spellStart"/>
      <w:r w:rsidRPr="00B55C24">
        <w:rPr>
          <w:sz w:val="24"/>
          <w:szCs w:val="24"/>
          <w:lang w:val="en-GB"/>
        </w:rPr>
        <w:t>etexilate</w:t>
      </w:r>
      <w:proofErr w:type="spellEnd"/>
      <w:r w:rsidRPr="00B55C24">
        <w:rPr>
          <w:sz w:val="24"/>
          <w:szCs w:val="24"/>
          <w:lang w:val="en-GB"/>
        </w:rPr>
        <w:t xml:space="preserve"> (110 mg and 150 mg twice daily) compared to open-label warfarin in patients with atrial fibrillation at moderate to high risk of stroke and systemic embolism. The primary objective in this study was to determine if dabigatran </w:t>
      </w:r>
      <w:proofErr w:type="spellStart"/>
      <w:r w:rsidRPr="00B55C24">
        <w:rPr>
          <w:sz w:val="24"/>
          <w:szCs w:val="24"/>
          <w:lang w:val="en-GB"/>
        </w:rPr>
        <w:t>etexilate</w:t>
      </w:r>
      <w:proofErr w:type="spellEnd"/>
      <w:r w:rsidRPr="00B55C24">
        <w:rPr>
          <w:sz w:val="24"/>
          <w:szCs w:val="24"/>
          <w:lang w:val="en-GB"/>
        </w:rPr>
        <w:t xml:space="preserve"> was non-inferior to warfarin in reducing the occurrence of the composite endpoint stroke and systemic embolism. Statistical superiority was also analysed.</w:t>
      </w:r>
    </w:p>
    <w:p w14:paraId="7F212563" w14:textId="77777777" w:rsidR="00E607F1" w:rsidRPr="00B55C24" w:rsidRDefault="00E607F1" w:rsidP="00E928DC">
      <w:pPr>
        <w:ind w:left="851"/>
        <w:rPr>
          <w:sz w:val="24"/>
          <w:szCs w:val="24"/>
          <w:lang w:val="en-GB"/>
        </w:rPr>
      </w:pPr>
    </w:p>
    <w:p w14:paraId="35A4436C" w14:textId="77777777" w:rsidR="00E607F1" w:rsidRPr="00B55C24" w:rsidRDefault="00E607F1" w:rsidP="00E928DC">
      <w:pPr>
        <w:ind w:left="851"/>
        <w:rPr>
          <w:sz w:val="24"/>
          <w:szCs w:val="24"/>
          <w:lang w:val="en-GB"/>
        </w:rPr>
      </w:pPr>
      <w:r w:rsidRPr="00B55C24">
        <w:rPr>
          <w:sz w:val="24"/>
          <w:szCs w:val="24"/>
          <w:lang w:val="en-GB"/>
        </w:rPr>
        <w:t>In the RE-LY study, a total of 18,113 patients were randomised, with a mean age of 71.5 years and a mean CHADS2 score of 2.1. The patient population was 64% male, 70% Caucasian and 16% Asian. For patients randomised to warfarin, the mean percentage of time in therapeutic range (TTR) (INR 2-3) was 64.4% (median TTR 67%).</w:t>
      </w:r>
    </w:p>
    <w:p w14:paraId="79BB54D5" w14:textId="77777777" w:rsidR="00E607F1" w:rsidRPr="00B55C24" w:rsidRDefault="00E607F1" w:rsidP="00E928DC">
      <w:pPr>
        <w:ind w:left="851"/>
        <w:rPr>
          <w:sz w:val="24"/>
          <w:szCs w:val="24"/>
          <w:lang w:val="en-GB"/>
        </w:rPr>
      </w:pPr>
    </w:p>
    <w:p w14:paraId="22B25DFA" w14:textId="1916358C" w:rsidR="00E607F1" w:rsidRPr="00B55C24" w:rsidRDefault="00E607F1" w:rsidP="00E928DC">
      <w:pPr>
        <w:ind w:left="851"/>
        <w:rPr>
          <w:sz w:val="24"/>
          <w:szCs w:val="24"/>
          <w:lang w:val="en-GB"/>
        </w:rPr>
      </w:pPr>
      <w:r w:rsidRPr="00B55C24">
        <w:rPr>
          <w:sz w:val="24"/>
          <w:szCs w:val="24"/>
          <w:lang w:val="en-GB"/>
        </w:rPr>
        <w:t xml:space="preserve">The RE-LY study demonstrated that dabigatran </w:t>
      </w:r>
      <w:proofErr w:type="spellStart"/>
      <w:r w:rsidRPr="00B55C24">
        <w:rPr>
          <w:sz w:val="24"/>
          <w:szCs w:val="24"/>
          <w:lang w:val="en-GB"/>
        </w:rPr>
        <w:t>etexilate</w:t>
      </w:r>
      <w:proofErr w:type="spellEnd"/>
      <w:r w:rsidRPr="00B55C24">
        <w:rPr>
          <w:sz w:val="24"/>
          <w:szCs w:val="24"/>
          <w:lang w:val="en-GB"/>
        </w:rPr>
        <w:t xml:space="preserve">, at a dose of 110 mg twice daily, is non-inferior to warfarin in the prevention of stroke and systemic embolism in subjects with atrial fibrillation, with a reduced risk of ICH, total bleeding and major bleeding. The dose of 150 mg twice daily, reduces significantly the risk of ischemic and haemorrhagic stroke, vascular death, ICH and total bleeding compared to warfarin. Major bleeding rates with this dose were comparable to warfarin. Myocardial infarction rates were slightly increased with dabigatran </w:t>
      </w:r>
      <w:proofErr w:type="spellStart"/>
      <w:r w:rsidRPr="00B55C24">
        <w:rPr>
          <w:sz w:val="24"/>
          <w:szCs w:val="24"/>
          <w:lang w:val="en-GB"/>
        </w:rPr>
        <w:t>etexilate</w:t>
      </w:r>
      <w:proofErr w:type="spellEnd"/>
      <w:r w:rsidRPr="00B55C24">
        <w:rPr>
          <w:sz w:val="24"/>
          <w:szCs w:val="24"/>
          <w:lang w:val="en-GB"/>
        </w:rPr>
        <w:t xml:space="preserve"> 110 mg twice daily and 150 mg twice daily compared to warfarin (hazard ratio 1.29; p=0.0929 and hazard ratio 1.27;</w:t>
      </w:r>
      <w:r w:rsidR="00322951">
        <w:rPr>
          <w:sz w:val="24"/>
          <w:szCs w:val="24"/>
          <w:lang w:val="en-GB"/>
        </w:rPr>
        <w:t xml:space="preserve"> </w:t>
      </w:r>
      <w:r w:rsidRPr="00B55C24">
        <w:rPr>
          <w:sz w:val="24"/>
          <w:szCs w:val="24"/>
          <w:lang w:val="en-GB"/>
        </w:rPr>
        <w:t xml:space="preserve">p = 0.1240, respectively). With improving monitoring of </w:t>
      </w:r>
      <w:proofErr w:type="gramStart"/>
      <w:r w:rsidRPr="00B55C24">
        <w:rPr>
          <w:sz w:val="24"/>
          <w:szCs w:val="24"/>
          <w:lang w:val="en-GB"/>
        </w:rPr>
        <w:t>INR</w:t>
      </w:r>
      <w:proofErr w:type="gramEnd"/>
      <w:r w:rsidRPr="00B55C24">
        <w:rPr>
          <w:sz w:val="24"/>
          <w:szCs w:val="24"/>
          <w:lang w:val="en-GB"/>
        </w:rPr>
        <w:t xml:space="preserve"> the observed benefits of dabigatran </w:t>
      </w:r>
      <w:proofErr w:type="spellStart"/>
      <w:r w:rsidRPr="00B55C24">
        <w:rPr>
          <w:sz w:val="24"/>
          <w:szCs w:val="24"/>
          <w:lang w:val="en-GB"/>
        </w:rPr>
        <w:t>etexilate</w:t>
      </w:r>
      <w:proofErr w:type="spellEnd"/>
      <w:r w:rsidRPr="00B55C24">
        <w:rPr>
          <w:sz w:val="24"/>
          <w:szCs w:val="24"/>
          <w:lang w:val="en-GB"/>
        </w:rPr>
        <w:t xml:space="preserve"> compared to warfarin diminish.</w:t>
      </w:r>
    </w:p>
    <w:p w14:paraId="2FCBF732" w14:textId="77777777" w:rsidR="00E607F1" w:rsidRPr="00B55C24" w:rsidRDefault="00E607F1" w:rsidP="00E928DC">
      <w:pPr>
        <w:ind w:left="851"/>
        <w:rPr>
          <w:sz w:val="24"/>
          <w:szCs w:val="24"/>
          <w:lang w:val="en-GB"/>
        </w:rPr>
      </w:pPr>
    </w:p>
    <w:p w14:paraId="3ED6F58F" w14:textId="77777777" w:rsidR="00E607F1" w:rsidRPr="00B55C24" w:rsidRDefault="00E607F1" w:rsidP="00E928DC">
      <w:pPr>
        <w:ind w:left="851"/>
        <w:rPr>
          <w:sz w:val="24"/>
          <w:szCs w:val="24"/>
          <w:lang w:val="en-GB"/>
        </w:rPr>
      </w:pPr>
      <w:r w:rsidRPr="00B55C24">
        <w:rPr>
          <w:sz w:val="24"/>
          <w:szCs w:val="24"/>
          <w:lang w:val="en-GB"/>
        </w:rPr>
        <w:t>Tables 17</w:t>
      </w:r>
      <w:r w:rsidRPr="00B55C24">
        <w:rPr>
          <w:sz w:val="24"/>
          <w:szCs w:val="24"/>
          <w:lang w:val="en-GB"/>
        </w:rPr>
        <w:noBreakHyphen/>
        <w:t>19 display details of key results in the overall population:</w:t>
      </w:r>
    </w:p>
    <w:p w14:paraId="579731DC" w14:textId="77777777" w:rsidR="00E607F1" w:rsidRPr="00B55C24" w:rsidRDefault="00E607F1" w:rsidP="00E928DC">
      <w:pPr>
        <w:ind w:left="851"/>
        <w:rPr>
          <w:sz w:val="24"/>
          <w:szCs w:val="24"/>
          <w:lang w:val="en-GB"/>
        </w:rPr>
      </w:pPr>
    </w:p>
    <w:p w14:paraId="5E60A6A0"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17: Analysis of first occurrence of stroke or systemic embolism (primary endpoint) during the study period in RE-LY.</w:t>
      </w:r>
    </w:p>
    <w:p w14:paraId="3CE542EF"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380"/>
        <w:gridCol w:w="2548"/>
        <w:gridCol w:w="2482"/>
        <w:gridCol w:w="2218"/>
      </w:tblGrid>
      <w:tr w:rsidR="00E607F1" w:rsidRPr="00AB476E" w14:paraId="3F12E083" w14:textId="77777777" w:rsidTr="00E928DC">
        <w:trPr>
          <w:trHeight w:val="57"/>
          <w:jc w:val="center"/>
        </w:trPr>
        <w:tc>
          <w:tcPr>
            <w:tcW w:w="1236" w:type="pct"/>
            <w:tcBorders>
              <w:top w:val="single" w:sz="4" w:space="0" w:color="auto"/>
              <w:left w:val="single" w:sz="4" w:space="0" w:color="auto"/>
              <w:bottom w:val="nil"/>
              <w:right w:val="nil"/>
            </w:tcBorders>
          </w:tcPr>
          <w:p w14:paraId="42459980" w14:textId="77777777" w:rsidR="00E607F1" w:rsidRPr="00AB476E" w:rsidRDefault="00E607F1" w:rsidP="00E928DC">
            <w:pPr>
              <w:rPr>
                <w:sz w:val="22"/>
                <w:szCs w:val="22"/>
                <w:lang w:val="en-GB"/>
              </w:rPr>
            </w:pPr>
          </w:p>
        </w:tc>
        <w:tc>
          <w:tcPr>
            <w:tcW w:w="1323" w:type="pct"/>
            <w:tcBorders>
              <w:top w:val="single" w:sz="4" w:space="0" w:color="auto"/>
              <w:left w:val="single" w:sz="4" w:space="0" w:color="auto"/>
              <w:bottom w:val="nil"/>
              <w:right w:val="nil"/>
            </w:tcBorders>
            <w:vAlign w:val="bottom"/>
            <w:hideMark/>
          </w:tcPr>
          <w:p w14:paraId="031E92B4" w14:textId="77777777" w:rsidR="00E607F1" w:rsidRPr="00AB476E" w:rsidRDefault="00E607F1" w:rsidP="00E928DC">
            <w:pPr>
              <w:rPr>
                <w:sz w:val="22"/>
                <w:szCs w:val="22"/>
                <w:lang w:val="en-GB"/>
              </w:rPr>
            </w:pPr>
            <w:r w:rsidRPr="00AB476E">
              <w:rPr>
                <w:sz w:val="22"/>
                <w:szCs w:val="22"/>
                <w:lang w:val="en-GB"/>
              </w:rPr>
              <w:t xml:space="preserve">Dabigatran </w:t>
            </w:r>
            <w:proofErr w:type="spellStart"/>
            <w:r w:rsidRPr="00AB476E">
              <w:rPr>
                <w:sz w:val="22"/>
                <w:szCs w:val="22"/>
                <w:lang w:val="en-GB"/>
              </w:rPr>
              <w:t>etexilate</w:t>
            </w:r>
            <w:proofErr w:type="spellEnd"/>
            <w:r w:rsidRPr="00AB476E">
              <w:rPr>
                <w:sz w:val="22"/>
                <w:szCs w:val="22"/>
                <w:lang w:val="en-GB"/>
              </w:rPr>
              <w:t xml:space="preserve"> 110 mg twice daily</w:t>
            </w:r>
          </w:p>
        </w:tc>
        <w:tc>
          <w:tcPr>
            <w:tcW w:w="1289" w:type="pct"/>
            <w:tcBorders>
              <w:top w:val="single" w:sz="4" w:space="0" w:color="auto"/>
              <w:left w:val="single" w:sz="4" w:space="0" w:color="auto"/>
              <w:bottom w:val="nil"/>
              <w:right w:val="nil"/>
            </w:tcBorders>
            <w:vAlign w:val="bottom"/>
            <w:hideMark/>
          </w:tcPr>
          <w:p w14:paraId="46EEB6A4" w14:textId="77777777" w:rsidR="00E607F1" w:rsidRPr="00AB476E" w:rsidRDefault="00E607F1" w:rsidP="00E928DC">
            <w:pPr>
              <w:rPr>
                <w:sz w:val="22"/>
                <w:szCs w:val="22"/>
                <w:lang w:val="en-GB"/>
              </w:rPr>
            </w:pPr>
            <w:r w:rsidRPr="00AB476E">
              <w:rPr>
                <w:sz w:val="22"/>
                <w:szCs w:val="22"/>
                <w:lang w:val="en-GB"/>
              </w:rPr>
              <w:t xml:space="preserve">Dabigatran </w:t>
            </w:r>
            <w:proofErr w:type="spellStart"/>
            <w:r w:rsidRPr="00AB476E">
              <w:rPr>
                <w:sz w:val="22"/>
                <w:szCs w:val="22"/>
                <w:lang w:val="en-GB"/>
              </w:rPr>
              <w:t>etexilate</w:t>
            </w:r>
            <w:proofErr w:type="spellEnd"/>
            <w:r w:rsidRPr="00AB476E">
              <w:rPr>
                <w:sz w:val="22"/>
                <w:szCs w:val="22"/>
                <w:lang w:val="en-GB"/>
              </w:rPr>
              <w:t xml:space="preserve"> 150 mg twice daily</w:t>
            </w:r>
          </w:p>
        </w:tc>
        <w:tc>
          <w:tcPr>
            <w:tcW w:w="1152" w:type="pct"/>
            <w:tcBorders>
              <w:top w:val="single" w:sz="4" w:space="0" w:color="auto"/>
              <w:left w:val="single" w:sz="4" w:space="0" w:color="auto"/>
              <w:bottom w:val="nil"/>
              <w:right w:val="single" w:sz="4" w:space="0" w:color="auto"/>
            </w:tcBorders>
            <w:hideMark/>
          </w:tcPr>
          <w:p w14:paraId="4EE194B6" w14:textId="77777777" w:rsidR="00E607F1" w:rsidRPr="00AB476E" w:rsidRDefault="00E607F1" w:rsidP="00E928DC">
            <w:pPr>
              <w:rPr>
                <w:sz w:val="22"/>
                <w:szCs w:val="22"/>
                <w:lang w:val="en-GB"/>
              </w:rPr>
            </w:pPr>
            <w:r w:rsidRPr="00AB476E">
              <w:rPr>
                <w:sz w:val="22"/>
                <w:szCs w:val="22"/>
                <w:lang w:val="en-GB"/>
              </w:rPr>
              <w:t>Warfarin</w:t>
            </w:r>
          </w:p>
        </w:tc>
      </w:tr>
      <w:tr w:rsidR="00E607F1" w:rsidRPr="00AB476E" w14:paraId="4466E520" w14:textId="77777777" w:rsidTr="00E928DC">
        <w:trPr>
          <w:trHeight w:val="57"/>
          <w:jc w:val="center"/>
        </w:trPr>
        <w:tc>
          <w:tcPr>
            <w:tcW w:w="1236" w:type="pct"/>
            <w:tcBorders>
              <w:top w:val="single" w:sz="4" w:space="0" w:color="auto"/>
              <w:left w:val="single" w:sz="4" w:space="0" w:color="auto"/>
              <w:bottom w:val="nil"/>
              <w:right w:val="nil"/>
            </w:tcBorders>
            <w:vAlign w:val="bottom"/>
            <w:hideMark/>
          </w:tcPr>
          <w:p w14:paraId="523BC5A0" w14:textId="77777777" w:rsidR="00E607F1" w:rsidRPr="00AB476E" w:rsidRDefault="00E607F1" w:rsidP="00E928DC">
            <w:pPr>
              <w:rPr>
                <w:sz w:val="22"/>
                <w:szCs w:val="22"/>
                <w:lang w:val="en-GB"/>
              </w:rPr>
            </w:pPr>
            <w:r w:rsidRPr="00AB476E">
              <w:rPr>
                <w:sz w:val="22"/>
                <w:szCs w:val="22"/>
                <w:lang w:val="en-GB"/>
              </w:rPr>
              <w:t>Subjects randomised</w:t>
            </w:r>
          </w:p>
        </w:tc>
        <w:tc>
          <w:tcPr>
            <w:tcW w:w="1323" w:type="pct"/>
            <w:tcBorders>
              <w:top w:val="single" w:sz="4" w:space="0" w:color="auto"/>
              <w:left w:val="single" w:sz="4" w:space="0" w:color="auto"/>
              <w:bottom w:val="nil"/>
              <w:right w:val="nil"/>
            </w:tcBorders>
            <w:vAlign w:val="bottom"/>
            <w:hideMark/>
          </w:tcPr>
          <w:p w14:paraId="5A196244" w14:textId="77777777" w:rsidR="00E607F1" w:rsidRPr="00AB476E" w:rsidRDefault="00E607F1" w:rsidP="00E928DC">
            <w:pPr>
              <w:rPr>
                <w:sz w:val="22"/>
                <w:szCs w:val="22"/>
                <w:lang w:val="en-GB"/>
              </w:rPr>
            </w:pPr>
            <w:r w:rsidRPr="00AB476E">
              <w:rPr>
                <w:sz w:val="22"/>
                <w:szCs w:val="22"/>
                <w:lang w:val="en-GB"/>
              </w:rPr>
              <w:t>6,015</w:t>
            </w:r>
          </w:p>
        </w:tc>
        <w:tc>
          <w:tcPr>
            <w:tcW w:w="1289" w:type="pct"/>
            <w:tcBorders>
              <w:top w:val="single" w:sz="4" w:space="0" w:color="auto"/>
              <w:left w:val="single" w:sz="4" w:space="0" w:color="auto"/>
              <w:bottom w:val="nil"/>
              <w:right w:val="nil"/>
            </w:tcBorders>
            <w:vAlign w:val="bottom"/>
            <w:hideMark/>
          </w:tcPr>
          <w:p w14:paraId="1ADBAE10" w14:textId="77777777" w:rsidR="00E607F1" w:rsidRPr="00AB476E" w:rsidRDefault="00E607F1" w:rsidP="00E928DC">
            <w:pPr>
              <w:rPr>
                <w:sz w:val="22"/>
                <w:szCs w:val="22"/>
                <w:lang w:val="en-GB"/>
              </w:rPr>
            </w:pPr>
            <w:r w:rsidRPr="00AB476E">
              <w:rPr>
                <w:sz w:val="22"/>
                <w:szCs w:val="22"/>
                <w:lang w:val="en-GB"/>
              </w:rPr>
              <w:t>6,076</w:t>
            </w:r>
          </w:p>
        </w:tc>
        <w:tc>
          <w:tcPr>
            <w:tcW w:w="1152" w:type="pct"/>
            <w:tcBorders>
              <w:top w:val="single" w:sz="4" w:space="0" w:color="auto"/>
              <w:left w:val="single" w:sz="4" w:space="0" w:color="auto"/>
              <w:bottom w:val="nil"/>
              <w:right w:val="single" w:sz="4" w:space="0" w:color="auto"/>
            </w:tcBorders>
            <w:vAlign w:val="bottom"/>
            <w:hideMark/>
          </w:tcPr>
          <w:p w14:paraId="78B149BE" w14:textId="77777777" w:rsidR="00E607F1" w:rsidRPr="00AB476E" w:rsidRDefault="00E607F1" w:rsidP="00E928DC">
            <w:pPr>
              <w:rPr>
                <w:sz w:val="22"/>
                <w:szCs w:val="22"/>
                <w:lang w:val="en-GB"/>
              </w:rPr>
            </w:pPr>
            <w:r w:rsidRPr="00AB476E">
              <w:rPr>
                <w:sz w:val="22"/>
                <w:szCs w:val="22"/>
                <w:lang w:val="en-GB"/>
              </w:rPr>
              <w:t>6,022</w:t>
            </w:r>
          </w:p>
        </w:tc>
      </w:tr>
      <w:tr w:rsidR="00E607F1" w:rsidRPr="00D476B2" w14:paraId="1B025B0B" w14:textId="77777777" w:rsidTr="00E928DC">
        <w:trPr>
          <w:trHeight w:val="57"/>
          <w:jc w:val="center"/>
        </w:trPr>
        <w:tc>
          <w:tcPr>
            <w:tcW w:w="1236" w:type="pct"/>
            <w:tcBorders>
              <w:top w:val="single" w:sz="4" w:space="0" w:color="auto"/>
              <w:left w:val="single" w:sz="4" w:space="0" w:color="auto"/>
              <w:bottom w:val="nil"/>
              <w:right w:val="nil"/>
            </w:tcBorders>
            <w:hideMark/>
          </w:tcPr>
          <w:p w14:paraId="3A70D411" w14:textId="77777777" w:rsidR="00E607F1" w:rsidRPr="00AB476E" w:rsidRDefault="00E607F1" w:rsidP="00E928DC">
            <w:pPr>
              <w:rPr>
                <w:sz w:val="22"/>
                <w:szCs w:val="22"/>
                <w:lang w:val="en-GB"/>
              </w:rPr>
            </w:pPr>
            <w:r w:rsidRPr="00AB476E">
              <w:rPr>
                <w:sz w:val="22"/>
                <w:szCs w:val="22"/>
                <w:lang w:val="en-GB"/>
              </w:rPr>
              <w:t>Stroke and/or systemic embolism</w:t>
            </w:r>
          </w:p>
        </w:tc>
        <w:tc>
          <w:tcPr>
            <w:tcW w:w="1323" w:type="pct"/>
            <w:tcBorders>
              <w:top w:val="single" w:sz="4" w:space="0" w:color="auto"/>
              <w:left w:val="single" w:sz="4" w:space="0" w:color="auto"/>
              <w:bottom w:val="nil"/>
              <w:right w:val="nil"/>
            </w:tcBorders>
          </w:tcPr>
          <w:p w14:paraId="1584690B" w14:textId="77777777" w:rsidR="00E607F1" w:rsidRPr="00AB476E" w:rsidRDefault="00E607F1" w:rsidP="00E928DC">
            <w:pPr>
              <w:rPr>
                <w:sz w:val="22"/>
                <w:szCs w:val="22"/>
                <w:lang w:val="en-GB"/>
              </w:rPr>
            </w:pPr>
          </w:p>
        </w:tc>
        <w:tc>
          <w:tcPr>
            <w:tcW w:w="1289" w:type="pct"/>
            <w:tcBorders>
              <w:top w:val="single" w:sz="4" w:space="0" w:color="auto"/>
              <w:left w:val="single" w:sz="4" w:space="0" w:color="auto"/>
              <w:bottom w:val="nil"/>
              <w:right w:val="nil"/>
            </w:tcBorders>
          </w:tcPr>
          <w:p w14:paraId="13BE8ECF" w14:textId="77777777" w:rsidR="00E607F1" w:rsidRPr="00AB476E" w:rsidRDefault="00E607F1" w:rsidP="00E928DC">
            <w:pPr>
              <w:rPr>
                <w:sz w:val="22"/>
                <w:szCs w:val="22"/>
                <w:lang w:val="en-GB"/>
              </w:rPr>
            </w:pPr>
          </w:p>
        </w:tc>
        <w:tc>
          <w:tcPr>
            <w:tcW w:w="1152" w:type="pct"/>
            <w:tcBorders>
              <w:top w:val="single" w:sz="4" w:space="0" w:color="auto"/>
              <w:left w:val="single" w:sz="4" w:space="0" w:color="auto"/>
              <w:bottom w:val="nil"/>
              <w:right w:val="single" w:sz="4" w:space="0" w:color="auto"/>
            </w:tcBorders>
          </w:tcPr>
          <w:p w14:paraId="10795D70" w14:textId="77777777" w:rsidR="00E607F1" w:rsidRPr="00AB476E" w:rsidRDefault="00E607F1" w:rsidP="00E928DC">
            <w:pPr>
              <w:rPr>
                <w:sz w:val="22"/>
                <w:szCs w:val="22"/>
                <w:lang w:val="en-GB"/>
              </w:rPr>
            </w:pPr>
          </w:p>
        </w:tc>
      </w:tr>
      <w:tr w:rsidR="00E607F1" w:rsidRPr="00AB476E" w14:paraId="4A712591" w14:textId="77777777" w:rsidTr="00E928DC">
        <w:trPr>
          <w:trHeight w:val="57"/>
          <w:jc w:val="center"/>
        </w:trPr>
        <w:tc>
          <w:tcPr>
            <w:tcW w:w="1236" w:type="pct"/>
            <w:tcBorders>
              <w:top w:val="single" w:sz="4" w:space="0" w:color="auto"/>
              <w:left w:val="single" w:sz="4" w:space="0" w:color="auto"/>
              <w:bottom w:val="nil"/>
              <w:right w:val="nil"/>
            </w:tcBorders>
            <w:vAlign w:val="bottom"/>
            <w:hideMark/>
          </w:tcPr>
          <w:p w14:paraId="446B882B" w14:textId="77777777" w:rsidR="00E607F1" w:rsidRPr="00AB476E" w:rsidRDefault="00E607F1" w:rsidP="00AB476E">
            <w:pPr>
              <w:ind w:left="264"/>
              <w:rPr>
                <w:sz w:val="22"/>
                <w:szCs w:val="22"/>
                <w:lang w:val="en-GB"/>
              </w:rPr>
            </w:pPr>
            <w:r w:rsidRPr="00AB476E">
              <w:rPr>
                <w:sz w:val="22"/>
                <w:szCs w:val="22"/>
                <w:lang w:val="en-GB"/>
              </w:rPr>
              <w:t>Incidences (%)</w:t>
            </w:r>
          </w:p>
        </w:tc>
        <w:tc>
          <w:tcPr>
            <w:tcW w:w="1323" w:type="pct"/>
            <w:tcBorders>
              <w:top w:val="single" w:sz="4" w:space="0" w:color="auto"/>
              <w:left w:val="single" w:sz="4" w:space="0" w:color="auto"/>
              <w:bottom w:val="nil"/>
              <w:right w:val="nil"/>
            </w:tcBorders>
            <w:vAlign w:val="bottom"/>
            <w:hideMark/>
          </w:tcPr>
          <w:p w14:paraId="6C53A4EC" w14:textId="77777777" w:rsidR="00E607F1" w:rsidRPr="00AB476E" w:rsidRDefault="00E607F1" w:rsidP="00E928DC">
            <w:pPr>
              <w:rPr>
                <w:sz w:val="22"/>
                <w:szCs w:val="22"/>
                <w:lang w:val="en-GB"/>
              </w:rPr>
            </w:pPr>
            <w:r w:rsidRPr="00AB476E">
              <w:rPr>
                <w:sz w:val="22"/>
                <w:szCs w:val="22"/>
                <w:lang w:val="en-GB"/>
              </w:rPr>
              <w:t>183 (1.54)</w:t>
            </w:r>
          </w:p>
        </w:tc>
        <w:tc>
          <w:tcPr>
            <w:tcW w:w="1289" w:type="pct"/>
            <w:tcBorders>
              <w:top w:val="single" w:sz="4" w:space="0" w:color="auto"/>
              <w:left w:val="single" w:sz="4" w:space="0" w:color="auto"/>
              <w:bottom w:val="nil"/>
              <w:right w:val="nil"/>
            </w:tcBorders>
            <w:vAlign w:val="bottom"/>
            <w:hideMark/>
          </w:tcPr>
          <w:p w14:paraId="5FEAE0A0" w14:textId="77777777" w:rsidR="00E607F1" w:rsidRPr="00AB476E" w:rsidRDefault="00E607F1" w:rsidP="00E928DC">
            <w:pPr>
              <w:rPr>
                <w:sz w:val="22"/>
                <w:szCs w:val="22"/>
                <w:lang w:val="en-GB"/>
              </w:rPr>
            </w:pPr>
            <w:r w:rsidRPr="00AB476E">
              <w:rPr>
                <w:sz w:val="22"/>
                <w:szCs w:val="22"/>
                <w:lang w:val="en-GB"/>
              </w:rPr>
              <w:t>135 (1.12)</w:t>
            </w:r>
          </w:p>
        </w:tc>
        <w:tc>
          <w:tcPr>
            <w:tcW w:w="1152" w:type="pct"/>
            <w:tcBorders>
              <w:top w:val="single" w:sz="4" w:space="0" w:color="auto"/>
              <w:left w:val="single" w:sz="4" w:space="0" w:color="auto"/>
              <w:bottom w:val="nil"/>
              <w:right w:val="single" w:sz="4" w:space="0" w:color="auto"/>
            </w:tcBorders>
            <w:vAlign w:val="bottom"/>
            <w:hideMark/>
          </w:tcPr>
          <w:p w14:paraId="50B853BC" w14:textId="77777777" w:rsidR="00E607F1" w:rsidRPr="00AB476E" w:rsidRDefault="00E607F1" w:rsidP="00E928DC">
            <w:pPr>
              <w:rPr>
                <w:sz w:val="22"/>
                <w:szCs w:val="22"/>
                <w:lang w:val="en-GB"/>
              </w:rPr>
            </w:pPr>
            <w:r w:rsidRPr="00AB476E">
              <w:rPr>
                <w:sz w:val="22"/>
                <w:szCs w:val="22"/>
                <w:lang w:val="en-GB"/>
              </w:rPr>
              <w:t>203 (1.72)</w:t>
            </w:r>
          </w:p>
        </w:tc>
      </w:tr>
      <w:tr w:rsidR="00E607F1" w:rsidRPr="00AB476E" w14:paraId="65BA0CDB" w14:textId="77777777" w:rsidTr="00E928DC">
        <w:trPr>
          <w:trHeight w:val="57"/>
          <w:jc w:val="center"/>
        </w:trPr>
        <w:tc>
          <w:tcPr>
            <w:tcW w:w="1236" w:type="pct"/>
            <w:tcBorders>
              <w:top w:val="single" w:sz="4" w:space="0" w:color="auto"/>
              <w:left w:val="single" w:sz="4" w:space="0" w:color="auto"/>
              <w:bottom w:val="nil"/>
              <w:right w:val="nil"/>
            </w:tcBorders>
            <w:vAlign w:val="bottom"/>
            <w:hideMark/>
          </w:tcPr>
          <w:p w14:paraId="71BB1672" w14:textId="77777777" w:rsidR="00E607F1" w:rsidRPr="00AB476E" w:rsidRDefault="00E607F1" w:rsidP="00AB476E">
            <w:pPr>
              <w:ind w:left="264"/>
              <w:rPr>
                <w:sz w:val="22"/>
                <w:szCs w:val="22"/>
                <w:lang w:val="en-GB"/>
              </w:rPr>
            </w:pPr>
            <w:r w:rsidRPr="00AB476E">
              <w:rPr>
                <w:sz w:val="22"/>
                <w:szCs w:val="22"/>
                <w:lang w:val="en-GB"/>
              </w:rPr>
              <w:t>Hazard ratio over warfarin (95 % CI)</w:t>
            </w:r>
          </w:p>
        </w:tc>
        <w:tc>
          <w:tcPr>
            <w:tcW w:w="1323" w:type="pct"/>
            <w:tcBorders>
              <w:top w:val="single" w:sz="4" w:space="0" w:color="auto"/>
              <w:left w:val="single" w:sz="4" w:space="0" w:color="auto"/>
              <w:bottom w:val="nil"/>
              <w:right w:val="nil"/>
            </w:tcBorders>
            <w:hideMark/>
          </w:tcPr>
          <w:p w14:paraId="31590D66" w14:textId="77777777" w:rsidR="00E607F1" w:rsidRPr="00AB476E" w:rsidRDefault="00E607F1" w:rsidP="00E928DC">
            <w:pPr>
              <w:rPr>
                <w:sz w:val="22"/>
                <w:szCs w:val="22"/>
                <w:lang w:val="en-GB"/>
              </w:rPr>
            </w:pPr>
            <w:r w:rsidRPr="00AB476E">
              <w:rPr>
                <w:sz w:val="22"/>
                <w:szCs w:val="22"/>
                <w:lang w:val="en-GB"/>
              </w:rPr>
              <w:t>0.89 (0.73, 1.09)</w:t>
            </w:r>
          </w:p>
        </w:tc>
        <w:tc>
          <w:tcPr>
            <w:tcW w:w="1289" w:type="pct"/>
            <w:tcBorders>
              <w:top w:val="single" w:sz="4" w:space="0" w:color="auto"/>
              <w:left w:val="single" w:sz="4" w:space="0" w:color="auto"/>
              <w:bottom w:val="nil"/>
              <w:right w:val="nil"/>
            </w:tcBorders>
            <w:hideMark/>
          </w:tcPr>
          <w:p w14:paraId="4063D0CE" w14:textId="77777777" w:rsidR="00E607F1" w:rsidRPr="00AB476E" w:rsidRDefault="00E607F1" w:rsidP="00E928DC">
            <w:pPr>
              <w:rPr>
                <w:sz w:val="22"/>
                <w:szCs w:val="22"/>
                <w:lang w:val="en-GB"/>
              </w:rPr>
            </w:pPr>
            <w:r w:rsidRPr="00AB476E">
              <w:rPr>
                <w:sz w:val="22"/>
                <w:szCs w:val="22"/>
                <w:lang w:val="en-GB"/>
              </w:rPr>
              <w:t>0.65 (0.52, 0.81)</w:t>
            </w:r>
          </w:p>
        </w:tc>
        <w:tc>
          <w:tcPr>
            <w:tcW w:w="1152" w:type="pct"/>
            <w:tcBorders>
              <w:top w:val="single" w:sz="4" w:space="0" w:color="auto"/>
              <w:left w:val="single" w:sz="4" w:space="0" w:color="auto"/>
              <w:bottom w:val="nil"/>
              <w:right w:val="single" w:sz="4" w:space="0" w:color="auto"/>
            </w:tcBorders>
          </w:tcPr>
          <w:p w14:paraId="504E4501" w14:textId="77777777" w:rsidR="00E607F1" w:rsidRPr="00AB476E" w:rsidRDefault="00E607F1" w:rsidP="00E928DC">
            <w:pPr>
              <w:rPr>
                <w:sz w:val="22"/>
                <w:szCs w:val="22"/>
                <w:lang w:val="en-GB"/>
              </w:rPr>
            </w:pPr>
          </w:p>
        </w:tc>
      </w:tr>
      <w:tr w:rsidR="00E607F1" w:rsidRPr="00AB476E" w14:paraId="2D72A951" w14:textId="77777777" w:rsidTr="00E928DC">
        <w:trPr>
          <w:trHeight w:val="57"/>
          <w:jc w:val="center"/>
        </w:trPr>
        <w:tc>
          <w:tcPr>
            <w:tcW w:w="1236" w:type="pct"/>
            <w:tcBorders>
              <w:top w:val="single" w:sz="4" w:space="0" w:color="auto"/>
              <w:left w:val="single" w:sz="4" w:space="0" w:color="auto"/>
              <w:bottom w:val="single" w:sz="4" w:space="0" w:color="auto"/>
              <w:right w:val="nil"/>
            </w:tcBorders>
            <w:vAlign w:val="bottom"/>
            <w:hideMark/>
          </w:tcPr>
          <w:p w14:paraId="2D8C1111" w14:textId="77777777" w:rsidR="00E607F1" w:rsidRPr="00AB476E" w:rsidRDefault="00E607F1" w:rsidP="00AB476E">
            <w:pPr>
              <w:ind w:left="264"/>
              <w:rPr>
                <w:sz w:val="22"/>
                <w:szCs w:val="22"/>
                <w:lang w:val="en-GB"/>
              </w:rPr>
            </w:pPr>
            <w:r w:rsidRPr="00AB476E">
              <w:rPr>
                <w:sz w:val="22"/>
                <w:szCs w:val="22"/>
                <w:lang w:val="en-GB"/>
              </w:rPr>
              <w:t>p value superiority</w:t>
            </w:r>
          </w:p>
        </w:tc>
        <w:tc>
          <w:tcPr>
            <w:tcW w:w="1323" w:type="pct"/>
            <w:tcBorders>
              <w:top w:val="single" w:sz="4" w:space="0" w:color="auto"/>
              <w:left w:val="single" w:sz="4" w:space="0" w:color="auto"/>
              <w:bottom w:val="single" w:sz="4" w:space="0" w:color="auto"/>
              <w:right w:val="nil"/>
            </w:tcBorders>
            <w:vAlign w:val="bottom"/>
            <w:hideMark/>
          </w:tcPr>
          <w:p w14:paraId="7177750A" w14:textId="77777777" w:rsidR="00E607F1" w:rsidRPr="00AB476E" w:rsidRDefault="00E607F1" w:rsidP="00E928DC">
            <w:pPr>
              <w:rPr>
                <w:sz w:val="22"/>
                <w:szCs w:val="22"/>
                <w:lang w:val="en-GB"/>
              </w:rPr>
            </w:pPr>
            <w:r w:rsidRPr="00AB476E">
              <w:rPr>
                <w:sz w:val="22"/>
                <w:szCs w:val="22"/>
                <w:lang w:val="en-GB"/>
              </w:rPr>
              <w:t>p = 0.2721</w:t>
            </w:r>
          </w:p>
        </w:tc>
        <w:tc>
          <w:tcPr>
            <w:tcW w:w="1289" w:type="pct"/>
            <w:tcBorders>
              <w:top w:val="single" w:sz="4" w:space="0" w:color="auto"/>
              <w:left w:val="single" w:sz="4" w:space="0" w:color="auto"/>
              <w:bottom w:val="single" w:sz="4" w:space="0" w:color="auto"/>
              <w:right w:val="nil"/>
            </w:tcBorders>
            <w:vAlign w:val="bottom"/>
            <w:hideMark/>
          </w:tcPr>
          <w:p w14:paraId="0ED205DC" w14:textId="77777777" w:rsidR="00E607F1" w:rsidRPr="00AB476E" w:rsidRDefault="00E607F1" w:rsidP="00E928DC">
            <w:pPr>
              <w:rPr>
                <w:sz w:val="22"/>
                <w:szCs w:val="22"/>
                <w:lang w:val="en-GB"/>
              </w:rPr>
            </w:pPr>
            <w:r w:rsidRPr="00AB476E">
              <w:rPr>
                <w:sz w:val="22"/>
                <w:szCs w:val="22"/>
                <w:lang w:val="en-GB"/>
              </w:rPr>
              <w:t>p = 0.0001</w:t>
            </w:r>
          </w:p>
        </w:tc>
        <w:tc>
          <w:tcPr>
            <w:tcW w:w="1152" w:type="pct"/>
            <w:tcBorders>
              <w:top w:val="single" w:sz="4" w:space="0" w:color="auto"/>
              <w:left w:val="single" w:sz="4" w:space="0" w:color="auto"/>
              <w:bottom w:val="single" w:sz="4" w:space="0" w:color="auto"/>
              <w:right w:val="single" w:sz="4" w:space="0" w:color="auto"/>
            </w:tcBorders>
          </w:tcPr>
          <w:p w14:paraId="2A377AE7" w14:textId="77777777" w:rsidR="00E607F1" w:rsidRPr="00AB476E" w:rsidRDefault="00E607F1" w:rsidP="00E928DC">
            <w:pPr>
              <w:rPr>
                <w:sz w:val="22"/>
                <w:szCs w:val="22"/>
                <w:lang w:val="en-GB"/>
              </w:rPr>
            </w:pPr>
          </w:p>
        </w:tc>
      </w:tr>
    </w:tbl>
    <w:p w14:paraId="22D64126" w14:textId="77777777" w:rsidR="00E607F1" w:rsidRPr="00B55C24" w:rsidRDefault="00E607F1" w:rsidP="00AB476E">
      <w:pPr>
        <w:rPr>
          <w:sz w:val="24"/>
          <w:szCs w:val="24"/>
          <w:lang w:val="en-GB"/>
        </w:rPr>
      </w:pPr>
      <w:r w:rsidRPr="00B55C24">
        <w:rPr>
          <w:sz w:val="24"/>
          <w:szCs w:val="24"/>
          <w:lang w:val="en-GB"/>
        </w:rPr>
        <w:t>% refers to yearly event rate</w:t>
      </w:r>
    </w:p>
    <w:p w14:paraId="108E158A" w14:textId="77777777" w:rsidR="00E607F1" w:rsidRPr="00B55C24" w:rsidRDefault="00E607F1" w:rsidP="00E607F1">
      <w:pPr>
        <w:tabs>
          <w:tab w:val="left" w:pos="851"/>
        </w:tabs>
        <w:ind w:left="851"/>
        <w:rPr>
          <w:sz w:val="24"/>
          <w:szCs w:val="24"/>
          <w:lang w:val="en-GB"/>
        </w:rPr>
      </w:pPr>
    </w:p>
    <w:p w14:paraId="35DD1498"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18: Analysis of first occurrence of ischemic or haemorrhagic strokes during the study period in RE-LY.</w:t>
      </w:r>
    </w:p>
    <w:p w14:paraId="7D6BCD4D"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554"/>
        <w:gridCol w:w="2451"/>
        <w:gridCol w:w="2451"/>
        <w:gridCol w:w="2172"/>
      </w:tblGrid>
      <w:tr w:rsidR="00E607F1" w:rsidRPr="00AB476E" w14:paraId="12537ED5" w14:textId="77777777" w:rsidTr="00E928DC">
        <w:trPr>
          <w:trHeight w:val="57"/>
          <w:jc w:val="center"/>
        </w:trPr>
        <w:tc>
          <w:tcPr>
            <w:tcW w:w="1326" w:type="pct"/>
            <w:tcBorders>
              <w:top w:val="single" w:sz="4" w:space="0" w:color="auto"/>
              <w:left w:val="single" w:sz="4" w:space="0" w:color="auto"/>
              <w:bottom w:val="nil"/>
              <w:right w:val="nil"/>
            </w:tcBorders>
          </w:tcPr>
          <w:p w14:paraId="2BB00B1E" w14:textId="77777777" w:rsidR="00E607F1" w:rsidRPr="00AB476E" w:rsidRDefault="00E607F1" w:rsidP="00E928DC">
            <w:pPr>
              <w:rPr>
                <w:sz w:val="22"/>
                <w:szCs w:val="22"/>
                <w:lang w:val="en-GB"/>
              </w:rPr>
            </w:pPr>
          </w:p>
        </w:tc>
        <w:tc>
          <w:tcPr>
            <w:tcW w:w="1273" w:type="pct"/>
            <w:tcBorders>
              <w:top w:val="single" w:sz="4" w:space="0" w:color="auto"/>
              <w:left w:val="single" w:sz="4" w:space="0" w:color="auto"/>
              <w:bottom w:val="nil"/>
              <w:right w:val="nil"/>
            </w:tcBorders>
            <w:vAlign w:val="bottom"/>
            <w:hideMark/>
          </w:tcPr>
          <w:p w14:paraId="1BA75963" w14:textId="77777777" w:rsidR="00E607F1" w:rsidRPr="00AB476E" w:rsidRDefault="00E607F1" w:rsidP="00E928DC">
            <w:pPr>
              <w:rPr>
                <w:sz w:val="22"/>
                <w:szCs w:val="22"/>
                <w:lang w:val="en-GB"/>
              </w:rPr>
            </w:pPr>
            <w:r w:rsidRPr="00AB476E">
              <w:rPr>
                <w:sz w:val="22"/>
                <w:szCs w:val="22"/>
                <w:lang w:val="en-GB"/>
              </w:rPr>
              <w:t xml:space="preserve">Dabigatran </w:t>
            </w:r>
            <w:proofErr w:type="spellStart"/>
            <w:r w:rsidRPr="00AB476E">
              <w:rPr>
                <w:sz w:val="22"/>
                <w:szCs w:val="22"/>
                <w:lang w:val="en-GB"/>
              </w:rPr>
              <w:t>etexilate</w:t>
            </w:r>
            <w:proofErr w:type="spellEnd"/>
            <w:r w:rsidRPr="00AB476E">
              <w:rPr>
                <w:sz w:val="22"/>
                <w:szCs w:val="22"/>
                <w:lang w:val="en-GB"/>
              </w:rPr>
              <w:t xml:space="preserve"> 110 mg twice daily</w:t>
            </w:r>
          </w:p>
        </w:tc>
        <w:tc>
          <w:tcPr>
            <w:tcW w:w="1273" w:type="pct"/>
            <w:tcBorders>
              <w:top w:val="single" w:sz="4" w:space="0" w:color="auto"/>
              <w:left w:val="single" w:sz="4" w:space="0" w:color="auto"/>
              <w:bottom w:val="nil"/>
              <w:right w:val="nil"/>
            </w:tcBorders>
            <w:vAlign w:val="bottom"/>
            <w:hideMark/>
          </w:tcPr>
          <w:p w14:paraId="7E1CFC7C" w14:textId="77777777" w:rsidR="00E607F1" w:rsidRPr="00AB476E" w:rsidRDefault="00E607F1" w:rsidP="00E928DC">
            <w:pPr>
              <w:rPr>
                <w:sz w:val="22"/>
                <w:szCs w:val="22"/>
                <w:lang w:val="en-GB"/>
              </w:rPr>
            </w:pPr>
            <w:r w:rsidRPr="00AB476E">
              <w:rPr>
                <w:sz w:val="22"/>
                <w:szCs w:val="22"/>
                <w:lang w:val="en-GB"/>
              </w:rPr>
              <w:t xml:space="preserve">Dabigatran </w:t>
            </w:r>
            <w:proofErr w:type="spellStart"/>
            <w:r w:rsidRPr="00AB476E">
              <w:rPr>
                <w:sz w:val="22"/>
                <w:szCs w:val="22"/>
                <w:lang w:val="en-GB"/>
              </w:rPr>
              <w:t>etexilate</w:t>
            </w:r>
            <w:proofErr w:type="spellEnd"/>
            <w:r w:rsidRPr="00AB476E">
              <w:rPr>
                <w:sz w:val="22"/>
                <w:szCs w:val="22"/>
                <w:lang w:val="en-GB"/>
              </w:rPr>
              <w:t xml:space="preserve"> 150 mg twice daily</w:t>
            </w:r>
          </w:p>
        </w:tc>
        <w:tc>
          <w:tcPr>
            <w:tcW w:w="1128" w:type="pct"/>
            <w:tcBorders>
              <w:top w:val="single" w:sz="4" w:space="0" w:color="auto"/>
              <w:left w:val="single" w:sz="4" w:space="0" w:color="auto"/>
              <w:bottom w:val="nil"/>
              <w:right w:val="single" w:sz="4" w:space="0" w:color="auto"/>
            </w:tcBorders>
            <w:hideMark/>
          </w:tcPr>
          <w:p w14:paraId="390F12DD" w14:textId="77777777" w:rsidR="00E607F1" w:rsidRPr="00AB476E" w:rsidRDefault="00E607F1" w:rsidP="00E928DC">
            <w:pPr>
              <w:rPr>
                <w:sz w:val="22"/>
                <w:szCs w:val="22"/>
                <w:lang w:val="en-GB"/>
              </w:rPr>
            </w:pPr>
            <w:r w:rsidRPr="00AB476E">
              <w:rPr>
                <w:sz w:val="22"/>
                <w:szCs w:val="22"/>
                <w:lang w:val="en-GB"/>
              </w:rPr>
              <w:t>Warfarin</w:t>
            </w:r>
          </w:p>
        </w:tc>
      </w:tr>
      <w:tr w:rsidR="00E607F1" w:rsidRPr="00AB476E" w14:paraId="48676CBF"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28355CFD" w14:textId="77777777" w:rsidR="00E607F1" w:rsidRPr="00AB476E" w:rsidRDefault="00E607F1" w:rsidP="00E928DC">
            <w:pPr>
              <w:rPr>
                <w:sz w:val="22"/>
                <w:szCs w:val="22"/>
                <w:lang w:val="en-GB"/>
              </w:rPr>
            </w:pPr>
            <w:r w:rsidRPr="00AB476E">
              <w:rPr>
                <w:sz w:val="22"/>
                <w:szCs w:val="22"/>
                <w:lang w:val="en-GB"/>
              </w:rPr>
              <w:t>Subjects randomised</w:t>
            </w:r>
          </w:p>
        </w:tc>
        <w:tc>
          <w:tcPr>
            <w:tcW w:w="1273" w:type="pct"/>
            <w:tcBorders>
              <w:top w:val="single" w:sz="4" w:space="0" w:color="auto"/>
              <w:left w:val="single" w:sz="4" w:space="0" w:color="auto"/>
              <w:bottom w:val="nil"/>
              <w:right w:val="nil"/>
            </w:tcBorders>
            <w:vAlign w:val="bottom"/>
            <w:hideMark/>
          </w:tcPr>
          <w:p w14:paraId="223D24D0" w14:textId="77777777" w:rsidR="00E607F1" w:rsidRPr="00AB476E" w:rsidRDefault="00E607F1" w:rsidP="00E928DC">
            <w:pPr>
              <w:rPr>
                <w:sz w:val="22"/>
                <w:szCs w:val="22"/>
                <w:lang w:val="en-GB"/>
              </w:rPr>
            </w:pPr>
            <w:r w:rsidRPr="00AB476E">
              <w:rPr>
                <w:sz w:val="22"/>
                <w:szCs w:val="22"/>
                <w:lang w:val="en-GB"/>
              </w:rPr>
              <w:t>6,015</w:t>
            </w:r>
          </w:p>
        </w:tc>
        <w:tc>
          <w:tcPr>
            <w:tcW w:w="1273" w:type="pct"/>
            <w:tcBorders>
              <w:top w:val="single" w:sz="4" w:space="0" w:color="auto"/>
              <w:left w:val="single" w:sz="4" w:space="0" w:color="auto"/>
              <w:bottom w:val="nil"/>
              <w:right w:val="nil"/>
            </w:tcBorders>
            <w:vAlign w:val="bottom"/>
            <w:hideMark/>
          </w:tcPr>
          <w:p w14:paraId="1EB9FD4E" w14:textId="77777777" w:rsidR="00E607F1" w:rsidRPr="00AB476E" w:rsidRDefault="00E607F1" w:rsidP="00E928DC">
            <w:pPr>
              <w:rPr>
                <w:sz w:val="22"/>
                <w:szCs w:val="22"/>
                <w:lang w:val="en-GB"/>
              </w:rPr>
            </w:pPr>
            <w:r w:rsidRPr="00AB476E">
              <w:rPr>
                <w:sz w:val="22"/>
                <w:szCs w:val="22"/>
                <w:lang w:val="en-GB"/>
              </w:rPr>
              <w:t>6,076</w:t>
            </w:r>
          </w:p>
        </w:tc>
        <w:tc>
          <w:tcPr>
            <w:tcW w:w="1128" w:type="pct"/>
            <w:tcBorders>
              <w:top w:val="single" w:sz="4" w:space="0" w:color="auto"/>
              <w:left w:val="single" w:sz="4" w:space="0" w:color="auto"/>
              <w:bottom w:val="nil"/>
              <w:right w:val="single" w:sz="4" w:space="0" w:color="auto"/>
            </w:tcBorders>
            <w:vAlign w:val="bottom"/>
            <w:hideMark/>
          </w:tcPr>
          <w:p w14:paraId="60376696" w14:textId="77777777" w:rsidR="00E607F1" w:rsidRPr="00AB476E" w:rsidRDefault="00E607F1" w:rsidP="00E928DC">
            <w:pPr>
              <w:rPr>
                <w:sz w:val="22"/>
                <w:szCs w:val="22"/>
                <w:lang w:val="en-GB"/>
              </w:rPr>
            </w:pPr>
            <w:r w:rsidRPr="00AB476E">
              <w:rPr>
                <w:sz w:val="22"/>
                <w:szCs w:val="22"/>
                <w:lang w:val="en-GB"/>
              </w:rPr>
              <w:t>6,022</w:t>
            </w:r>
          </w:p>
        </w:tc>
      </w:tr>
      <w:tr w:rsidR="00E607F1" w:rsidRPr="00AB476E" w14:paraId="0B94BDB2" w14:textId="77777777" w:rsidTr="00E928DC">
        <w:trPr>
          <w:trHeight w:val="57"/>
          <w:jc w:val="center"/>
        </w:trPr>
        <w:tc>
          <w:tcPr>
            <w:tcW w:w="1326" w:type="pct"/>
            <w:tcBorders>
              <w:top w:val="single" w:sz="4" w:space="0" w:color="auto"/>
              <w:left w:val="single" w:sz="4" w:space="0" w:color="auto"/>
              <w:bottom w:val="nil"/>
              <w:right w:val="nil"/>
            </w:tcBorders>
            <w:hideMark/>
          </w:tcPr>
          <w:p w14:paraId="42C3B693" w14:textId="77777777" w:rsidR="00E607F1" w:rsidRPr="00AB476E" w:rsidRDefault="00E607F1" w:rsidP="00E928DC">
            <w:pPr>
              <w:rPr>
                <w:sz w:val="22"/>
                <w:szCs w:val="22"/>
                <w:lang w:val="en-GB"/>
              </w:rPr>
            </w:pPr>
            <w:r w:rsidRPr="00AB476E">
              <w:rPr>
                <w:sz w:val="22"/>
                <w:szCs w:val="22"/>
                <w:lang w:val="en-GB"/>
              </w:rPr>
              <w:t>Stroke</w:t>
            </w:r>
          </w:p>
        </w:tc>
        <w:tc>
          <w:tcPr>
            <w:tcW w:w="1273" w:type="pct"/>
            <w:tcBorders>
              <w:top w:val="single" w:sz="4" w:space="0" w:color="auto"/>
              <w:left w:val="single" w:sz="4" w:space="0" w:color="auto"/>
              <w:bottom w:val="nil"/>
              <w:right w:val="nil"/>
            </w:tcBorders>
          </w:tcPr>
          <w:p w14:paraId="69400169" w14:textId="77777777" w:rsidR="00E607F1" w:rsidRPr="00AB476E" w:rsidRDefault="00E607F1" w:rsidP="00E928DC">
            <w:pPr>
              <w:rPr>
                <w:sz w:val="22"/>
                <w:szCs w:val="22"/>
                <w:lang w:val="en-GB"/>
              </w:rPr>
            </w:pPr>
          </w:p>
        </w:tc>
        <w:tc>
          <w:tcPr>
            <w:tcW w:w="1273" w:type="pct"/>
            <w:tcBorders>
              <w:top w:val="single" w:sz="4" w:space="0" w:color="auto"/>
              <w:left w:val="single" w:sz="4" w:space="0" w:color="auto"/>
              <w:bottom w:val="nil"/>
              <w:right w:val="nil"/>
            </w:tcBorders>
          </w:tcPr>
          <w:p w14:paraId="57831B72" w14:textId="77777777" w:rsidR="00E607F1" w:rsidRPr="00AB476E" w:rsidRDefault="00E607F1" w:rsidP="00E928DC">
            <w:pPr>
              <w:rPr>
                <w:sz w:val="22"/>
                <w:szCs w:val="22"/>
                <w:lang w:val="en-GB"/>
              </w:rPr>
            </w:pPr>
          </w:p>
        </w:tc>
        <w:tc>
          <w:tcPr>
            <w:tcW w:w="1128" w:type="pct"/>
            <w:tcBorders>
              <w:top w:val="single" w:sz="4" w:space="0" w:color="auto"/>
              <w:left w:val="single" w:sz="4" w:space="0" w:color="auto"/>
              <w:bottom w:val="nil"/>
              <w:right w:val="single" w:sz="4" w:space="0" w:color="auto"/>
            </w:tcBorders>
          </w:tcPr>
          <w:p w14:paraId="5BC0B962" w14:textId="77777777" w:rsidR="00E607F1" w:rsidRPr="00AB476E" w:rsidRDefault="00E607F1" w:rsidP="00E928DC">
            <w:pPr>
              <w:rPr>
                <w:sz w:val="22"/>
                <w:szCs w:val="22"/>
                <w:lang w:val="en-GB"/>
              </w:rPr>
            </w:pPr>
          </w:p>
        </w:tc>
      </w:tr>
      <w:tr w:rsidR="00E607F1" w:rsidRPr="00AB476E" w14:paraId="1FBAA28E"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643E0804" w14:textId="77777777" w:rsidR="00E607F1" w:rsidRPr="00AB476E" w:rsidRDefault="00E607F1" w:rsidP="00AB476E">
            <w:pPr>
              <w:ind w:left="264"/>
              <w:rPr>
                <w:sz w:val="22"/>
                <w:szCs w:val="22"/>
                <w:lang w:val="en-GB"/>
              </w:rPr>
            </w:pPr>
            <w:r w:rsidRPr="00AB476E">
              <w:rPr>
                <w:sz w:val="22"/>
                <w:szCs w:val="22"/>
                <w:lang w:val="en-GB"/>
              </w:rPr>
              <w:t>Incidences (%)</w:t>
            </w:r>
          </w:p>
        </w:tc>
        <w:tc>
          <w:tcPr>
            <w:tcW w:w="1273" w:type="pct"/>
            <w:tcBorders>
              <w:top w:val="single" w:sz="4" w:space="0" w:color="auto"/>
              <w:left w:val="single" w:sz="4" w:space="0" w:color="auto"/>
              <w:bottom w:val="nil"/>
              <w:right w:val="nil"/>
            </w:tcBorders>
            <w:vAlign w:val="bottom"/>
            <w:hideMark/>
          </w:tcPr>
          <w:p w14:paraId="3AC65DB1" w14:textId="77777777" w:rsidR="00E607F1" w:rsidRPr="00AB476E" w:rsidRDefault="00E607F1" w:rsidP="00E928DC">
            <w:pPr>
              <w:rPr>
                <w:sz w:val="22"/>
                <w:szCs w:val="22"/>
                <w:lang w:val="en-GB"/>
              </w:rPr>
            </w:pPr>
            <w:r w:rsidRPr="00AB476E">
              <w:rPr>
                <w:sz w:val="22"/>
                <w:szCs w:val="22"/>
                <w:lang w:val="en-GB"/>
              </w:rPr>
              <w:t>171 (1.44)</w:t>
            </w:r>
          </w:p>
        </w:tc>
        <w:tc>
          <w:tcPr>
            <w:tcW w:w="1273" w:type="pct"/>
            <w:tcBorders>
              <w:top w:val="single" w:sz="4" w:space="0" w:color="auto"/>
              <w:left w:val="single" w:sz="4" w:space="0" w:color="auto"/>
              <w:bottom w:val="nil"/>
              <w:right w:val="nil"/>
            </w:tcBorders>
            <w:vAlign w:val="bottom"/>
            <w:hideMark/>
          </w:tcPr>
          <w:p w14:paraId="670519C7" w14:textId="77777777" w:rsidR="00E607F1" w:rsidRPr="00AB476E" w:rsidRDefault="00E607F1" w:rsidP="00E928DC">
            <w:pPr>
              <w:rPr>
                <w:sz w:val="22"/>
                <w:szCs w:val="22"/>
                <w:lang w:val="en-GB"/>
              </w:rPr>
            </w:pPr>
            <w:r w:rsidRPr="00AB476E">
              <w:rPr>
                <w:sz w:val="22"/>
                <w:szCs w:val="22"/>
                <w:lang w:val="en-GB"/>
              </w:rPr>
              <w:t>123 (1.02)</w:t>
            </w:r>
          </w:p>
        </w:tc>
        <w:tc>
          <w:tcPr>
            <w:tcW w:w="1128" w:type="pct"/>
            <w:tcBorders>
              <w:top w:val="single" w:sz="4" w:space="0" w:color="auto"/>
              <w:left w:val="single" w:sz="4" w:space="0" w:color="auto"/>
              <w:bottom w:val="nil"/>
              <w:right w:val="single" w:sz="4" w:space="0" w:color="auto"/>
            </w:tcBorders>
            <w:vAlign w:val="bottom"/>
            <w:hideMark/>
          </w:tcPr>
          <w:p w14:paraId="49BAD643" w14:textId="77777777" w:rsidR="00E607F1" w:rsidRPr="00AB476E" w:rsidRDefault="00E607F1" w:rsidP="00E928DC">
            <w:pPr>
              <w:rPr>
                <w:sz w:val="22"/>
                <w:szCs w:val="22"/>
                <w:lang w:val="en-GB"/>
              </w:rPr>
            </w:pPr>
            <w:r w:rsidRPr="00AB476E">
              <w:rPr>
                <w:sz w:val="22"/>
                <w:szCs w:val="22"/>
                <w:lang w:val="en-GB"/>
              </w:rPr>
              <w:t>187 (1.59)</w:t>
            </w:r>
          </w:p>
        </w:tc>
      </w:tr>
      <w:tr w:rsidR="00E607F1" w:rsidRPr="00AB476E" w14:paraId="1F813020"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55FAEFBC" w14:textId="77777777" w:rsidR="00E607F1" w:rsidRPr="00AB476E" w:rsidRDefault="00E607F1" w:rsidP="00AB476E">
            <w:pPr>
              <w:ind w:left="264"/>
              <w:rPr>
                <w:sz w:val="22"/>
                <w:szCs w:val="22"/>
                <w:lang w:val="en-GB"/>
              </w:rPr>
            </w:pPr>
            <w:r w:rsidRPr="00AB476E">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16CBEA72" w14:textId="77777777" w:rsidR="00E607F1" w:rsidRPr="00AB476E" w:rsidRDefault="00E607F1" w:rsidP="00E928DC">
            <w:pPr>
              <w:rPr>
                <w:sz w:val="22"/>
                <w:szCs w:val="22"/>
                <w:lang w:val="en-GB"/>
              </w:rPr>
            </w:pPr>
            <w:r w:rsidRPr="00AB476E">
              <w:rPr>
                <w:sz w:val="22"/>
                <w:szCs w:val="22"/>
                <w:lang w:val="en-GB"/>
              </w:rPr>
              <w:t>0.91 (0.74, 1.12)</w:t>
            </w:r>
          </w:p>
        </w:tc>
        <w:tc>
          <w:tcPr>
            <w:tcW w:w="1273" w:type="pct"/>
            <w:tcBorders>
              <w:top w:val="single" w:sz="4" w:space="0" w:color="auto"/>
              <w:left w:val="single" w:sz="4" w:space="0" w:color="auto"/>
              <w:bottom w:val="nil"/>
              <w:right w:val="nil"/>
            </w:tcBorders>
            <w:hideMark/>
          </w:tcPr>
          <w:p w14:paraId="27EDE784" w14:textId="77777777" w:rsidR="00E607F1" w:rsidRPr="00AB476E" w:rsidRDefault="00E607F1" w:rsidP="00E928DC">
            <w:pPr>
              <w:rPr>
                <w:sz w:val="22"/>
                <w:szCs w:val="22"/>
                <w:lang w:val="en-GB"/>
              </w:rPr>
            </w:pPr>
            <w:r w:rsidRPr="00AB476E">
              <w:rPr>
                <w:sz w:val="22"/>
                <w:szCs w:val="22"/>
                <w:lang w:val="en-GB"/>
              </w:rPr>
              <w:t>0.64 (0.51, 0.81)</w:t>
            </w:r>
          </w:p>
        </w:tc>
        <w:tc>
          <w:tcPr>
            <w:tcW w:w="1128" w:type="pct"/>
            <w:tcBorders>
              <w:top w:val="single" w:sz="4" w:space="0" w:color="auto"/>
              <w:left w:val="single" w:sz="4" w:space="0" w:color="auto"/>
              <w:bottom w:val="nil"/>
              <w:right w:val="single" w:sz="4" w:space="0" w:color="auto"/>
            </w:tcBorders>
          </w:tcPr>
          <w:p w14:paraId="6CD76D18" w14:textId="77777777" w:rsidR="00E607F1" w:rsidRPr="00AB476E" w:rsidRDefault="00E607F1" w:rsidP="00E928DC">
            <w:pPr>
              <w:rPr>
                <w:sz w:val="22"/>
                <w:szCs w:val="22"/>
                <w:lang w:val="en-GB"/>
              </w:rPr>
            </w:pPr>
          </w:p>
        </w:tc>
      </w:tr>
      <w:tr w:rsidR="00E607F1" w:rsidRPr="00AB476E" w14:paraId="0015EDFA"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3A1FFF96" w14:textId="77777777" w:rsidR="00E607F1" w:rsidRPr="00AB476E" w:rsidRDefault="00E607F1" w:rsidP="00AB476E">
            <w:pPr>
              <w:ind w:left="264"/>
              <w:rPr>
                <w:sz w:val="22"/>
                <w:szCs w:val="22"/>
                <w:lang w:val="en-GB"/>
              </w:rPr>
            </w:pPr>
            <w:r w:rsidRPr="00AB476E">
              <w:rPr>
                <w:sz w:val="22"/>
                <w:szCs w:val="22"/>
                <w:lang w:val="en-GB"/>
              </w:rPr>
              <w:t>p-value</w:t>
            </w:r>
          </w:p>
        </w:tc>
        <w:tc>
          <w:tcPr>
            <w:tcW w:w="1273" w:type="pct"/>
            <w:tcBorders>
              <w:top w:val="single" w:sz="4" w:space="0" w:color="auto"/>
              <w:left w:val="single" w:sz="4" w:space="0" w:color="auto"/>
              <w:bottom w:val="nil"/>
              <w:right w:val="nil"/>
            </w:tcBorders>
            <w:vAlign w:val="bottom"/>
            <w:hideMark/>
          </w:tcPr>
          <w:p w14:paraId="789CEDAA" w14:textId="77777777" w:rsidR="00E607F1" w:rsidRPr="00AB476E" w:rsidRDefault="00E607F1" w:rsidP="00E928DC">
            <w:pPr>
              <w:rPr>
                <w:sz w:val="22"/>
                <w:szCs w:val="22"/>
                <w:lang w:val="en-GB"/>
              </w:rPr>
            </w:pPr>
            <w:r w:rsidRPr="00AB476E">
              <w:rPr>
                <w:sz w:val="22"/>
                <w:szCs w:val="22"/>
                <w:lang w:val="en-GB"/>
              </w:rPr>
              <w:t>0.3553</w:t>
            </w:r>
          </w:p>
        </w:tc>
        <w:tc>
          <w:tcPr>
            <w:tcW w:w="1273" w:type="pct"/>
            <w:tcBorders>
              <w:top w:val="single" w:sz="4" w:space="0" w:color="auto"/>
              <w:left w:val="single" w:sz="4" w:space="0" w:color="auto"/>
              <w:bottom w:val="nil"/>
              <w:right w:val="nil"/>
            </w:tcBorders>
            <w:vAlign w:val="bottom"/>
            <w:hideMark/>
          </w:tcPr>
          <w:p w14:paraId="37567A3C" w14:textId="77777777" w:rsidR="00E607F1" w:rsidRPr="00AB476E" w:rsidRDefault="00E607F1" w:rsidP="00E928DC">
            <w:pPr>
              <w:rPr>
                <w:sz w:val="22"/>
                <w:szCs w:val="22"/>
                <w:lang w:val="en-GB"/>
              </w:rPr>
            </w:pPr>
            <w:r w:rsidRPr="00AB476E">
              <w:rPr>
                <w:sz w:val="22"/>
                <w:szCs w:val="22"/>
                <w:lang w:val="en-GB"/>
              </w:rPr>
              <w:t>0.0001</w:t>
            </w:r>
          </w:p>
        </w:tc>
        <w:tc>
          <w:tcPr>
            <w:tcW w:w="1128" w:type="pct"/>
            <w:tcBorders>
              <w:top w:val="single" w:sz="4" w:space="0" w:color="auto"/>
              <w:left w:val="single" w:sz="4" w:space="0" w:color="auto"/>
              <w:bottom w:val="nil"/>
              <w:right w:val="single" w:sz="4" w:space="0" w:color="auto"/>
            </w:tcBorders>
          </w:tcPr>
          <w:p w14:paraId="0B9C23CC" w14:textId="77777777" w:rsidR="00E607F1" w:rsidRPr="00AB476E" w:rsidRDefault="00E607F1" w:rsidP="00E928DC">
            <w:pPr>
              <w:rPr>
                <w:sz w:val="22"/>
                <w:szCs w:val="22"/>
                <w:lang w:val="en-GB"/>
              </w:rPr>
            </w:pPr>
          </w:p>
        </w:tc>
      </w:tr>
      <w:tr w:rsidR="00E607F1" w:rsidRPr="00AB476E" w14:paraId="1B534538"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64575161" w14:textId="77777777" w:rsidR="00E607F1" w:rsidRPr="00AB476E" w:rsidRDefault="00E607F1" w:rsidP="00E928DC">
            <w:pPr>
              <w:rPr>
                <w:sz w:val="22"/>
                <w:szCs w:val="22"/>
                <w:lang w:val="en-GB"/>
              </w:rPr>
            </w:pPr>
            <w:r w:rsidRPr="00AB476E">
              <w:rPr>
                <w:sz w:val="22"/>
                <w:szCs w:val="22"/>
                <w:lang w:val="en-GB"/>
              </w:rPr>
              <w:t>Systemic embolism</w:t>
            </w:r>
          </w:p>
        </w:tc>
        <w:tc>
          <w:tcPr>
            <w:tcW w:w="1273" w:type="pct"/>
            <w:tcBorders>
              <w:top w:val="single" w:sz="4" w:space="0" w:color="auto"/>
              <w:left w:val="single" w:sz="4" w:space="0" w:color="auto"/>
              <w:bottom w:val="nil"/>
              <w:right w:val="nil"/>
            </w:tcBorders>
          </w:tcPr>
          <w:p w14:paraId="04D9F3F9" w14:textId="77777777" w:rsidR="00E607F1" w:rsidRPr="00AB476E" w:rsidRDefault="00E607F1" w:rsidP="00E928DC">
            <w:pPr>
              <w:rPr>
                <w:sz w:val="22"/>
                <w:szCs w:val="22"/>
                <w:lang w:val="en-GB"/>
              </w:rPr>
            </w:pPr>
          </w:p>
        </w:tc>
        <w:tc>
          <w:tcPr>
            <w:tcW w:w="1273" w:type="pct"/>
            <w:tcBorders>
              <w:top w:val="single" w:sz="4" w:space="0" w:color="auto"/>
              <w:left w:val="single" w:sz="4" w:space="0" w:color="auto"/>
              <w:bottom w:val="nil"/>
              <w:right w:val="nil"/>
            </w:tcBorders>
          </w:tcPr>
          <w:p w14:paraId="387150A1" w14:textId="77777777" w:rsidR="00E607F1" w:rsidRPr="00AB476E" w:rsidRDefault="00E607F1" w:rsidP="00E928DC">
            <w:pPr>
              <w:rPr>
                <w:sz w:val="22"/>
                <w:szCs w:val="22"/>
                <w:lang w:val="en-GB"/>
              </w:rPr>
            </w:pPr>
          </w:p>
        </w:tc>
        <w:tc>
          <w:tcPr>
            <w:tcW w:w="1128" w:type="pct"/>
            <w:tcBorders>
              <w:top w:val="single" w:sz="4" w:space="0" w:color="auto"/>
              <w:left w:val="single" w:sz="4" w:space="0" w:color="auto"/>
              <w:bottom w:val="nil"/>
              <w:right w:val="single" w:sz="4" w:space="0" w:color="auto"/>
            </w:tcBorders>
          </w:tcPr>
          <w:p w14:paraId="6E2EFAAA" w14:textId="77777777" w:rsidR="00E607F1" w:rsidRPr="00AB476E" w:rsidRDefault="00E607F1" w:rsidP="00E928DC">
            <w:pPr>
              <w:rPr>
                <w:sz w:val="22"/>
                <w:szCs w:val="22"/>
                <w:lang w:val="en-GB"/>
              </w:rPr>
            </w:pPr>
          </w:p>
        </w:tc>
      </w:tr>
      <w:tr w:rsidR="00E607F1" w:rsidRPr="00AB476E" w14:paraId="7F262167"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649339C0" w14:textId="77777777" w:rsidR="00E607F1" w:rsidRPr="00AB476E" w:rsidRDefault="00E607F1" w:rsidP="00AB476E">
            <w:pPr>
              <w:ind w:left="264"/>
              <w:rPr>
                <w:sz w:val="22"/>
                <w:szCs w:val="22"/>
                <w:lang w:val="en-GB"/>
              </w:rPr>
            </w:pPr>
            <w:r w:rsidRPr="00AB476E">
              <w:rPr>
                <w:sz w:val="22"/>
                <w:szCs w:val="22"/>
                <w:lang w:val="en-GB"/>
              </w:rPr>
              <w:t>Incidences (%)</w:t>
            </w:r>
          </w:p>
        </w:tc>
        <w:tc>
          <w:tcPr>
            <w:tcW w:w="1273" w:type="pct"/>
            <w:tcBorders>
              <w:top w:val="single" w:sz="4" w:space="0" w:color="auto"/>
              <w:left w:val="single" w:sz="4" w:space="0" w:color="auto"/>
              <w:bottom w:val="nil"/>
              <w:right w:val="nil"/>
            </w:tcBorders>
            <w:vAlign w:val="bottom"/>
            <w:hideMark/>
          </w:tcPr>
          <w:p w14:paraId="7F1B74BB" w14:textId="77777777" w:rsidR="00E607F1" w:rsidRPr="00AB476E" w:rsidRDefault="00E607F1" w:rsidP="00E928DC">
            <w:pPr>
              <w:rPr>
                <w:sz w:val="22"/>
                <w:szCs w:val="22"/>
                <w:lang w:val="en-GB"/>
              </w:rPr>
            </w:pPr>
            <w:r w:rsidRPr="00AB476E">
              <w:rPr>
                <w:sz w:val="22"/>
                <w:szCs w:val="22"/>
                <w:lang w:val="en-GB"/>
              </w:rPr>
              <w:t>15 (0.13)</w:t>
            </w:r>
          </w:p>
        </w:tc>
        <w:tc>
          <w:tcPr>
            <w:tcW w:w="1273" w:type="pct"/>
            <w:tcBorders>
              <w:top w:val="single" w:sz="4" w:space="0" w:color="auto"/>
              <w:left w:val="single" w:sz="4" w:space="0" w:color="auto"/>
              <w:bottom w:val="nil"/>
              <w:right w:val="nil"/>
            </w:tcBorders>
            <w:vAlign w:val="bottom"/>
            <w:hideMark/>
          </w:tcPr>
          <w:p w14:paraId="5B5A1F0C" w14:textId="77777777" w:rsidR="00E607F1" w:rsidRPr="00AB476E" w:rsidRDefault="00E607F1" w:rsidP="00E928DC">
            <w:pPr>
              <w:rPr>
                <w:sz w:val="22"/>
                <w:szCs w:val="22"/>
                <w:lang w:val="en-GB"/>
              </w:rPr>
            </w:pPr>
            <w:r w:rsidRPr="00AB476E">
              <w:rPr>
                <w:sz w:val="22"/>
                <w:szCs w:val="22"/>
                <w:lang w:val="en-GB"/>
              </w:rPr>
              <w:t>13 (0.11)</w:t>
            </w:r>
          </w:p>
        </w:tc>
        <w:tc>
          <w:tcPr>
            <w:tcW w:w="1128" w:type="pct"/>
            <w:tcBorders>
              <w:top w:val="single" w:sz="4" w:space="0" w:color="auto"/>
              <w:left w:val="single" w:sz="4" w:space="0" w:color="auto"/>
              <w:bottom w:val="nil"/>
              <w:right w:val="single" w:sz="4" w:space="0" w:color="auto"/>
            </w:tcBorders>
            <w:vAlign w:val="bottom"/>
            <w:hideMark/>
          </w:tcPr>
          <w:p w14:paraId="2B65E59A" w14:textId="77777777" w:rsidR="00E607F1" w:rsidRPr="00AB476E" w:rsidRDefault="00E607F1" w:rsidP="00E928DC">
            <w:pPr>
              <w:rPr>
                <w:sz w:val="22"/>
                <w:szCs w:val="22"/>
                <w:lang w:val="en-GB"/>
              </w:rPr>
            </w:pPr>
            <w:r w:rsidRPr="00AB476E">
              <w:rPr>
                <w:sz w:val="22"/>
                <w:szCs w:val="22"/>
                <w:lang w:val="en-GB"/>
              </w:rPr>
              <w:t>21 (0.18)</w:t>
            </w:r>
          </w:p>
        </w:tc>
      </w:tr>
      <w:tr w:rsidR="00E607F1" w:rsidRPr="00AB476E" w14:paraId="5F6DF0E7"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74DC7229" w14:textId="77777777" w:rsidR="00E607F1" w:rsidRPr="00AB476E" w:rsidRDefault="00E607F1" w:rsidP="00AB476E">
            <w:pPr>
              <w:ind w:left="264"/>
              <w:rPr>
                <w:sz w:val="22"/>
                <w:szCs w:val="22"/>
                <w:lang w:val="en-GB"/>
              </w:rPr>
            </w:pPr>
            <w:r w:rsidRPr="00AB476E">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481497F0" w14:textId="77777777" w:rsidR="00E607F1" w:rsidRPr="00AB476E" w:rsidRDefault="00E607F1" w:rsidP="00E928DC">
            <w:pPr>
              <w:rPr>
                <w:sz w:val="22"/>
                <w:szCs w:val="22"/>
                <w:lang w:val="en-GB"/>
              </w:rPr>
            </w:pPr>
            <w:r w:rsidRPr="00AB476E">
              <w:rPr>
                <w:sz w:val="22"/>
                <w:szCs w:val="22"/>
                <w:lang w:val="en-GB"/>
              </w:rPr>
              <w:t>0.71 (0.37, 1.38)</w:t>
            </w:r>
          </w:p>
        </w:tc>
        <w:tc>
          <w:tcPr>
            <w:tcW w:w="1273" w:type="pct"/>
            <w:tcBorders>
              <w:top w:val="single" w:sz="4" w:space="0" w:color="auto"/>
              <w:left w:val="single" w:sz="4" w:space="0" w:color="auto"/>
              <w:bottom w:val="nil"/>
              <w:right w:val="nil"/>
            </w:tcBorders>
            <w:hideMark/>
          </w:tcPr>
          <w:p w14:paraId="5915B491" w14:textId="77777777" w:rsidR="00E607F1" w:rsidRPr="00AB476E" w:rsidRDefault="00E607F1" w:rsidP="00E928DC">
            <w:pPr>
              <w:rPr>
                <w:sz w:val="22"/>
                <w:szCs w:val="22"/>
                <w:lang w:val="en-GB"/>
              </w:rPr>
            </w:pPr>
            <w:r w:rsidRPr="00AB476E">
              <w:rPr>
                <w:sz w:val="22"/>
                <w:szCs w:val="22"/>
                <w:lang w:val="en-GB"/>
              </w:rPr>
              <w:t>0.61 (0.30, 1.21)</w:t>
            </w:r>
          </w:p>
        </w:tc>
        <w:tc>
          <w:tcPr>
            <w:tcW w:w="1128" w:type="pct"/>
            <w:tcBorders>
              <w:top w:val="single" w:sz="4" w:space="0" w:color="auto"/>
              <w:left w:val="single" w:sz="4" w:space="0" w:color="auto"/>
              <w:bottom w:val="nil"/>
              <w:right w:val="single" w:sz="4" w:space="0" w:color="auto"/>
            </w:tcBorders>
          </w:tcPr>
          <w:p w14:paraId="30BD0B79" w14:textId="77777777" w:rsidR="00E607F1" w:rsidRPr="00AB476E" w:rsidRDefault="00E607F1" w:rsidP="00E928DC">
            <w:pPr>
              <w:rPr>
                <w:sz w:val="22"/>
                <w:szCs w:val="22"/>
                <w:lang w:val="en-GB"/>
              </w:rPr>
            </w:pPr>
          </w:p>
        </w:tc>
      </w:tr>
      <w:tr w:rsidR="00E607F1" w:rsidRPr="00AB476E" w14:paraId="68487436"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17BFC6DB" w14:textId="77777777" w:rsidR="00E607F1" w:rsidRPr="00AB476E" w:rsidRDefault="00E607F1" w:rsidP="00AB476E">
            <w:pPr>
              <w:ind w:left="264"/>
              <w:rPr>
                <w:sz w:val="22"/>
                <w:szCs w:val="22"/>
                <w:lang w:val="en-GB"/>
              </w:rPr>
            </w:pPr>
            <w:r w:rsidRPr="00AB476E">
              <w:rPr>
                <w:sz w:val="22"/>
                <w:szCs w:val="22"/>
                <w:lang w:val="en-GB"/>
              </w:rPr>
              <w:t>p-value</w:t>
            </w:r>
          </w:p>
        </w:tc>
        <w:tc>
          <w:tcPr>
            <w:tcW w:w="1273" w:type="pct"/>
            <w:tcBorders>
              <w:top w:val="single" w:sz="4" w:space="0" w:color="auto"/>
              <w:left w:val="single" w:sz="4" w:space="0" w:color="auto"/>
              <w:bottom w:val="nil"/>
              <w:right w:val="nil"/>
            </w:tcBorders>
            <w:vAlign w:val="bottom"/>
            <w:hideMark/>
          </w:tcPr>
          <w:p w14:paraId="333C797B" w14:textId="77777777" w:rsidR="00E607F1" w:rsidRPr="00AB476E" w:rsidRDefault="00E607F1" w:rsidP="00E928DC">
            <w:pPr>
              <w:rPr>
                <w:sz w:val="22"/>
                <w:szCs w:val="22"/>
                <w:lang w:val="en-GB"/>
              </w:rPr>
            </w:pPr>
            <w:r w:rsidRPr="00AB476E">
              <w:rPr>
                <w:sz w:val="22"/>
                <w:szCs w:val="22"/>
                <w:lang w:val="en-GB"/>
              </w:rPr>
              <w:t>0.3099</w:t>
            </w:r>
          </w:p>
        </w:tc>
        <w:tc>
          <w:tcPr>
            <w:tcW w:w="1273" w:type="pct"/>
            <w:tcBorders>
              <w:top w:val="single" w:sz="4" w:space="0" w:color="auto"/>
              <w:left w:val="single" w:sz="4" w:space="0" w:color="auto"/>
              <w:bottom w:val="nil"/>
              <w:right w:val="nil"/>
            </w:tcBorders>
            <w:vAlign w:val="bottom"/>
            <w:hideMark/>
          </w:tcPr>
          <w:p w14:paraId="320D26D2" w14:textId="77777777" w:rsidR="00E607F1" w:rsidRPr="00AB476E" w:rsidRDefault="00E607F1" w:rsidP="00E928DC">
            <w:pPr>
              <w:rPr>
                <w:sz w:val="22"/>
                <w:szCs w:val="22"/>
                <w:lang w:val="en-GB"/>
              </w:rPr>
            </w:pPr>
            <w:r w:rsidRPr="00AB476E">
              <w:rPr>
                <w:sz w:val="22"/>
                <w:szCs w:val="22"/>
                <w:lang w:val="en-GB"/>
              </w:rPr>
              <w:t>0.1582</w:t>
            </w:r>
          </w:p>
        </w:tc>
        <w:tc>
          <w:tcPr>
            <w:tcW w:w="1128" w:type="pct"/>
            <w:tcBorders>
              <w:top w:val="single" w:sz="4" w:space="0" w:color="auto"/>
              <w:left w:val="single" w:sz="4" w:space="0" w:color="auto"/>
              <w:bottom w:val="nil"/>
              <w:right w:val="single" w:sz="4" w:space="0" w:color="auto"/>
            </w:tcBorders>
          </w:tcPr>
          <w:p w14:paraId="3D97168A" w14:textId="77777777" w:rsidR="00E607F1" w:rsidRPr="00AB476E" w:rsidRDefault="00E607F1" w:rsidP="00E928DC">
            <w:pPr>
              <w:rPr>
                <w:sz w:val="22"/>
                <w:szCs w:val="22"/>
                <w:lang w:val="en-GB"/>
              </w:rPr>
            </w:pPr>
          </w:p>
        </w:tc>
      </w:tr>
      <w:tr w:rsidR="00E607F1" w:rsidRPr="00AB476E" w14:paraId="6C77C791" w14:textId="77777777" w:rsidTr="00E928DC">
        <w:trPr>
          <w:trHeight w:val="57"/>
          <w:jc w:val="center"/>
        </w:trPr>
        <w:tc>
          <w:tcPr>
            <w:tcW w:w="1326" w:type="pct"/>
            <w:tcBorders>
              <w:top w:val="single" w:sz="4" w:space="0" w:color="auto"/>
              <w:left w:val="single" w:sz="4" w:space="0" w:color="auto"/>
              <w:bottom w:val="single" w:sz="4" w:space="0" w:color="auto"/>
              <w:right w:val="nil"/>
            </w:tcBorders>
            <w:vAlign w:val="bottom"/>
            <w:hideMark/>
          </w:tcPr>
          <w:p w14:paraId="3E9F31C8" w14:textId="77777777" w:rsidR="00E607F1" w:rsidRPr="00AB476E" w:rsidRDefault="00E607F1" w:rsidP="00E928DC">
            <w:pPr>
              <w:rPr>
                <w:sz w:val="22"/>
                <w:szCs w:val="22"/>
                <w:lang w:val="en-GB"/>
              </w:rPr>
            </w:pPr>
            <w:r w:rsidRPr="00AB476E">
              <w:rPr>
                <w:sz w:val="22"/>
                <w:szCs w:val="22"/>
                <w:lang w:val="en-GB"/>
              </w:rPr>
              <w:t>Ischemic stroke</w:t>
            </w:r>
          </w:p>
        </w:tc>
        <w:tc>
          <w:tcPr>
            <w:tcW w:w="1273" w:type="pct"/>
            <w:tcBorders>
              <w:top w:val="single" w:sz="4" w:space="0" w:color="auto"/>
              <w:left w:val="single" w:sz="4" w:space="0" w:color="auto"/>
              <w:bottom w:val="single" w:sz="4" w:space="0" w:color="auto"/>
              <w:right w:val="nil"/>
            </w:tcBorders>
          </w:tcPr>
          <w:p w14:paraId="7C458A4A" w14:textId="77777777" w:rsidR="00E607F1" w:rsidRPr="00AB476E" w:rsidRDefault="00E607F1" w:rsidP="00E928DC">
            <w:pPr>
              <w:rPr>
                <w:sz w:val="22"/>
                <w:szCs w:val="22"/>
                <w:lang w:val="en-GB"/>
              </w:rPr>
            </w:pPr>
          </w:p>
        </w:tc>
        <w:tc>
          <w:tcPr>
            <w:tcW w:w="1273" w:type="pct"/>
            <w:tcBorders>
              <w:top w:val="single" w:sz="4" w:space="0" w:color="auto"/>
              <w:left w:val="single" w:sz="4" w:space="0" w:color="auto"/>
              <w:bottom w:val="single" w:sz="4" w:space="0" w:color="auto"/>
              <w:right w:val="nil"/>
            </w:tcBorders>
          </w:tcPr>
          <w:p w14:paraId="12D72169" w14:textId="77777777" w:rsidR="00E607F1" w:rsidRPr="00AB476E" w:rsidRDefault="00E607F1" w:rsidP="00E928DC">
            <w:pPr>
              <w:rPr>
                <w:sz w:val="22"/>
                <w:szCs w:val="22"/>
                <w:lang w:val="en-GB"/>
              </w:rPr>
            </w:pPr>
          </w:p>
        </w:tc>
        <w:tc>
          <w:tcPr>
            <w:tcW w:w="1128" w:type="pct"/>
            <w:tcBorders>
              <w:top w:val="single" w:sz="4" w:space="0" w:color="auto"/>
              <w:left w:val="single" w:sz="4" w:space="0" w:color="auto"/>
              <w:bottom w:val="single" w:sz="4" w:space="0" w:color="auto"/>
              <w:right w:val="single" w:sz="4" w:space="0" w:color="auto"/>
            </w:tcBorders>
          </w:tcPr>
          <w:p w14:paraId="62297B9B" w14:textId="77777777" w:rsidR="00E607F1" w:rsidRPr="00AB476E" w:rsidRDefault="00E607F1" w:rsidP="00E928DC">
            <w:pPr>
              <w:rPr>
                <w:sz w:val="22"/>
                <w:szCs w:val="22"/>
                <w:lang w:val="en-GB"/>
              </w:rPr>
            </w:pPr>
          </w:p>
        </w:tc>
      </w:tr>
      <w:tr w:rsidR="00E607F1" w:rsidRPr="00AB476E" w14:paraId="383D42DE" w14:textId="77777777" w:rsidTr="00E928DC">
        <w:trPr>
          <w:trHeight w:val="57"/>
          <w:jc w:val="center"/>
        </w:trPr>
        <w:tc>
          <w:tcPr>
            <w:tcW w:w="1326" w:type="pct"/>
            <w:tcBorders>
              <w:top w:val="single" w:sz="4" w:space="0" w:color="auto"/>
              <w:left w:val="single" w:sz="4" w:space="0" w:color="auto"/>
              <w:bottom w:val="single" w:sz="4" w:space="0" w:color="auto"/>
              <w:right w:val="single" w:sz="4" w:space="0" w:color="auto"/>
            </w:tcBorders>
            <w:vAlign w:val="bottom"/>
            <w:hideMark/>
          </w:tcPr>
          <w:p w14:paraId="4A2FF2D9" w14:textId="77777777" w:rsidR="00E607F1" w:rsidRPr="00AB476E" w:rsidRDefault="00E607F1" w:rsidP="00AB476E">
            <w:pPr>
              <w:ind w:left="264"/>
              <w:rPr>
                <w:sz w:val="22"/>
                <w:szCs w:val="22"/>
                <w:lang w:val="en-GB"/>
              </w:rPr>
            </w:pPr>
            <w:r w:rsidRPr="00AB476E">
              <w:rPr>
                <w:sz w:val="22"/>
                <w:szCs w:val="22"/>
                <w:lang w:val="en-GB"/>
              </w:rPr>
              <w:t>Incidences (%)</w:t>
            </w:r>
          </w:p>
        </w:tc>
        <w:tc>
          <w:tcPr>
            <w:tcW w:w="1273" w:type="pct"/>
            <w:tcBorders>
              <w:top w:val="single" w:sz="4" w:space="0" w:color="auto"/>
              <w:left w:val="single" w:sz="4" w:space="0" w:color="auto"/>
              <w:bottom w:val="single" w:sz="4" w:space="0" w:color="auto"/>
              <w:right w:val="single" w:sz="4" w:space="0" w:color="auto"/>
            </w:tcBorders>
            <w:vAlign w:val="bottom"/>
            <w:hideMark/>
          </w:tcPr>
          <w:p w14:paraId="2C843B56" w14:textId="77777777" w:rsidR="00E607F1" w:rsidRPr="00AB476E" w:rsidRDefault="00E607F1" w:rsidP="00E928DC">
            <w:pPr>
              <w:rPr>
                <w:sz w:val="22"/>
                <w:szCs w:val="22"/>
                <w:lang w:val="en-GB"/>
              </w:rPr>
            </w:pPr>
            <w:r w:rsidRPr="00AB476E">
              <w:rPr>
                <w:sz w:val="22"/>
                <w:szCs w:val="22"/>
                <w:lang w:val="en-GB"/>
              </w:rPr>
              <w:t>152 (1.28)</w:t>
            </w:r>
          </w:p>
        </w:tc>
        <w:tc>
          <w:tcPr>
            <w:tcW w:w="1273" w:type="pct"/>
            <w:tcBorders>
              <w:top w:val="single" w:sz="4" w:space="0" w:color="auto"/>
              <w:left w:val="single" w:sz="4" w:space="0" w:color="auto"/>
              <w:bottom w:val="single" w:sz="4" w:space="0" w:color="auto"/>
              <w:right w:val="single" w:sz="4" w:space="0" w:color="auto"/>
            </w:tcBorders>
            <w:vAlign w:val="bottom"/>
            <w:hideMark/>
          </w:tcPr>
          <w:p w14:paraId="67E5172D" w14:textId="77777777" w:rsidR="00E607F1" w:rsidRPr="00AB476E" w:rsidRDefault="00E607F1" w:rsidP="00E928DC">
            <w:pPr>
              <w:rPr>
                <w:sz w:val="22"/>
                <w:szCs w:val="22"/>
                <w:lang w:val="en-GB"/>
              </w:rPr>
            </w:pPr>
            <w:r w:rsidRPr="00AB476E">
              <w:rPr>
                <w:sz w:val="22"/>
                <w:szCs w:val="22"/>
                <w:lang w:val="en-GB"/>
              </w:rPr>
              <w:t>104 (0.86)</w:t>
            </w:r>
          </w:p>
        </w:tc>
        <w:tc>
          <w:tcPr>
            <w:tcW w:w="1128" w:type="pct"/>
            <w:tcBorders>
              <w:top w:val="single" w:sz="4" w:space="0" w:color="auto"/>
              <w:left w:val="single" w:sz="4" w:space="0" w:color="auto"/>
              <w:bottom w:val="single" w:sz="4" w:space="0" w:color="auto"/>
              <w:right w:val="single" w:sz="4" w:space="0" w:color="auto"/>
            </w:tcBorders>
            <w:vAlign w:val="bottom"/>
            <w:hideMark/>
          </w:tcPr>
          <w:p w14:paraId="5AB6F762" w14:textId="77777777" w:rsidR="00E607F1" w:rsidRPr="00AB476E" w:rsidRDefault="00E607F1" w:rsidP="00E928DC">
            <w:pPr>
              <w:rPr>
                <w:sz w:val="22"/>
                <w:szCs w:val="22"/>
                <w:lang w:val="en-GB"/>
              </w:rPr>
            </w:pPr>
            <w:r w:rsidRPr="00AB476E">
              <w:rPr>
                <w:sz w:val="22"/>
                <w:szCs w:val="22"/>
                <w:lang w:val="en-GB"/>
              </w:rPr>
              <w:t>134 (1.14)</w:t>
            </w:r>
          </w:p>
        </w:tc>
      </w:tr>
      <w:tr w:rsidR="00E607F1" w:rsidRPr="00AB476E" w14:paraId="31C4B074"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213B1771" w14:textId="77777777" w:rsidR="00E607F1" w:rsidRPr="00AB476E" w:rsidRDefault="00E607F1" w:rsidP="00AB476E">
            <w:pPr>
              <w:ind w:left="264"/>
              <w:rPr>
                <w:sz w:val="22"/>
                <w:szCs w:val="22"/>
                <w:lang w:val="en-GB"/>
              </w:rPr>
            </w:pPr>
            <w:r w:rsidRPr="00AB476E">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72FF06E4" w14:textId="77777777" w:rsidR="00E607F1" w:rsidRPr="00AB476E" w:rsidRDefault="00E607F1" w:rsidP="00E928DC">
            <w:pPr>
              <w:rPr>
                <w:sz w:val="22"/>
                <w:szCs w:val="22"/>
                <w:lang w:val="en-GB"/>
              </w:rPr>
            </w:pPr>
            <w:r w:rsidRPr="00AB476E">
              <w:rPr>
                <w:sz w:val="22"/>
                <w:szCs w:val="22"/>
                <w:lang w:val="en-GB"/>
              </w:rPr>
              <w:t>1.13 (0.89, 1.42)</w:t>
            </w:r>
          </w:p>
        </w:tc>
        <w:tc>
          <w:tcPr>
            <w:tcW w:w="1273" w:type="pct"/>
            <w:tcBorders>
              <w:top w:val="single" w:sz="4" w:space="0" w:color="auto"/>
              <w:left w:val="single" w:sz="4" w:space="0" w:color="auto"/>
              <w:bottom w:val="nil"/>
              <w:right w:val="nil"/>
            </w:tcBorders>
            <w:hideMark/>
          </w:tcPr>
          <w:p w14:paraId="3CB8458D" w14:textId="77777777" w:rsidR="00E607F1" w:rsidRPr="00AB476E" w:rsidRDefault="00E607F1" w:rsidP="00E928DC">
            <w:pPr>
              <w:rPr>
                <w:sz w:val="22"/>
                <w:szCs w:val="22"/>
                <w:lang w:val="en-GB"/>
              </w:rPr>
            </w:pPr>
            <w:r w:rsidRPr="00AB476E">
              <w:rPr>
                <w:sz w:val="22"/>
                <w:szCs w:val="22"/>
                <w:lang w:val="en-GB"/>
              </w:rPr>
              <w:t>0.76 (0.59, 0.98)</w:t>
            </w:r>
          </w:p>
        </w:tc>
        <w:tc>
          <w:tcPr>
            <w:tcW w:w="1128" w:type="pct"/>
            <w:tcBorders>
              <w:top w:val="single" w:sz="4" w:space="0" w:color="auto"/>
              <w:left w:val="single" w:sz="4" w:space="0" w:color="auto"/>
              <w:bottom w:val="nil"/>
              <w:right w:val="single" w:sz="4" w:space="0" w:color="auto"/>
            </w:tcBorders>
          </w:tcPr>
          <w:p w14:paraId="0450FB48" w14:textId="77777777" w:rsidR="00E607F1" w:rsidRPr="00AB476E" w:rsidRDefault="00E607F1" w:rsidP="00E928DC">
            <w:pPr>
              <w:rPr>
                <w:sz w:val="22"/>
                <w:szCs w:val="22"/>
                <w:lang w:val="en-GB"/>
              </w:rPr>
            </w:pPr>
          </w:p>
        </w:tc>
      </w:tr>
      <w:tr w:rsidR="00E607F1" w:rsidRPr="00AB476E" w14:paraId="43B2135C"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61B22DED" w14:textId="77777777" w:rsidR="00E607F1" w:rsidRPr="00AB476E" w:rsidRDefault="00E607F1" w:rsidP="00AB476E">
            <w:pPr>
              <w:ind w:left="264"/>
              <w:rPr>
                <w:sz w:val="22"/>
                <w:szCs w:val="22"/>
                <w:lang w:val="en-GB"/>
              </w:rPr>
            </w:pPr>
            <w:r w:rsidRPr="00AB476E">
              <w:rPr>
                <w:sz w:val="22"/>
                <w:szCs w:val="22"/>
                <w:lang w:val="en-GB"/>
              </w:rPr>
              <w:t>p-value</w:t>
            </w:r>
          </w:p>
        </w:tc>
        <w:tc>
          <w:tcPr>
            <w:tcW w:w="1273" w:type="pct"/>
            <w:tcBorders>
              <w:top w:val="single" w:sz="4" w:space="0" w:color="auto"/>
              <w:left w:val="single" w:sz="4" w:space="0" w:color="auto"/>
              <w:bottom w:val="nil"/>
              <w:right w:val="nil"/>
            </w:tcBorders>
            <w:vAlign w:val="bottom"/>
            <w:hideMark/>
          </w:tcPr>
          <w:p w14:paraId="0B98CA7F" w14:textId="77777777" w:rsidR="00E607F1" w:rsidRPr="00AB476E" w:rsidRDefault="00E607F1" w:rsidP="00E928DC">
            <w:pPr>
              <w:rPr>
                <w:sz w:val="22"/>
                <w:szCs w:val="22"/>
                <w:lang w:val="en-GB"/>
              </w:rPr>
            </w:pPr>
            <w:r w:rsidRPr="00AB476E">
              <w:rPr>
                <w:sz w:val="22"/>
                <w:szCs w:val="22"/>
                <w:lang w:val="en-GB"/>
              </w:rPr>
              <w:t>0.3138</w:t>
            </w:r>
          </w:p>
        </w:tc>
        <w:tc>
          <w:tcPr>
            <w:tcW w:w="1273" w:type="pct"/>
            <w:tcBorders>
              <w:top w:val="single" w:sz="4" w:space="0" w:color="auto"/>
              <w:left w:val="single" w:sz="4" w:space="0" w:color="auto"/>
              <w:bottom w:val="nil"/>
              <w:right w:val="nil"/>
            </w:tcBorders>
            <w:vAlign w:val="bottom"/>
            <w:hideMark/>
          </w:tcPr>
          <w:p w14:paraId="7F9D251A" w14:textId="77777777" w:rsidR="00E607F1" w:rsidRPr="00AB476E" w:rsidRDefault="00E607F1" w:rsidP="00E928DC">
            <w:pPr>
              <w:rPr>
                <w:sz w:val="22"/>
                <w:szCs w:val="22"/>
                <w:lang w:val="en-GB"/>
              </w:rPr>
            </w:pPr>
            <w:r w:rsidRPr="00AB476E">
              <w:rPr>
                <w:sz w:val="22"/>
                <w:szCs w:val="22"/>
                <w:lang w:val="en-GB"/>
              </w:rPr>
              <w:t>0.0351</w:t>
            </w:r>
          </w:p>
        </w:tc>
        <w:tc>
          <w:tcPr>
            <w:tcW w:w="1128" w:type="pct"/>
            <w:tcBorders>
              <w:top w:val="single" w:sz="4" w:space="0" w:color="auto"/>
              <w:left w:val="single" w:sz="4" w:space="0" w:color="auto"/>
              <w:bottom w:val="nil"/>
              <w:right w:val="single" w:sz="4" w:space="0" w:color="auto"/>
            </w:tcBorders>
          </w:tcPr>
          <w:p w14:paraId="4AA554C6" w14:textId="77777777" w:rsidR="00E607F1" w:rsidRPr="00AB476E" w:rsidRDefault="00E607F1" w:rsidP="00E928DC">
            <w:pPr>
              <w:rPr>
                <w:sz w:val="22"/>
                <w:szCs w:val="22"/>
                <w:lang w:val="en-GB"/>
              </w:rPr>
            </w:pPr>
          </w:p>
        </w:tc>
      </w:tr>
      <w:tr w:rsidR="00E607F1" w:rsidRPr="00AB476E" w14:paraId="24632069"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219D8BB0" w14:textId="77777777" w:rsidR="00E607F1" w:rsidRPr="00AB476E" w:rsidRDefault="00E607F1" w:rsidP="00E928DC">
            <w:pPr>
              <w:rPr>
                <w:sz w:val="22"/>
                <w:szCs w:val="22"/>
                <w:lang w:val="en-GB"/>
              </w:rPr>
            </w:pPr>
            <w:r w:rsidRPr="00AB476E">
              <w:rPr>
                <w:sz w:val="22"/>
                <w:szCs w:val="22"/>
                <w:lang w:val="en-GB"/>
              </w:rPr>
              <w:t>Haemorrhagic stroke</w:t>
            </w:r>
          </w:p>
        </w:tc>
        <w:tc>
          <w:tcPr>
            <w:tcW w:w="1273" w:type="pct"/>
            <w:tcBorders>
              <w:top w:val="single" w:sz="4" w:space="0" w:color="auto"/>
              <w:left w:val="single" w:sz="4" w:space="0" w:color="auto"/>
              <w:bottom w:val="nil"/>
              <w:right w:val="nil"/>
            </w:tcBorders>
          </w:tcPr>
          <w:p w14:paraId="34049B8E" w14:textId="77777777" w:rsidR="00E607F1" w:rsidRPr="00AB476E" w:rsidRDefault="00E607F1" w:rsidP="00E928DC">
            <w:pPr>
              <w:rPr>
                <w:sz w:val="22"/>
                <w:szCs w:val="22"/>
                <w:lang w:val="en-GB"/>
              </w:rPr>
            </w:pPr>
          </w:p>
        </w:tc>
        <w:tc>
          <w:tcPr>
            <w:tcW w:w="1273" w:type="pct"/>
            <w:tcBorders>
              <w:top w:val="single" w:sz="4" w:space="0" w:color="auto"/>
              <w:left w:val="single" w:sz="4" w:space="0" w:color="auto"/>
              <w:bottom w:val="nil"/>
              <w:right w:val="nil"/>
            </w:tcBorders>
          </w:tcPr>
          <w:p w14:paraId="2FD06E67" w14:textId="77777777" w:rsidR="00E607F1" w:rsidRPr="00AB476E" w:rsidRDefault="00E607F1" w:rsidP="00E928DC">
            <w:pPr>
              <w:rPr>
                <w:sz w:val="22"/>
                <w:szCs w:val="22"/>
                <w:lang w:val="en-GB"/>
              </w:rPr>
            </w:pPr>
          </w:p>
        </w:tc>
        <w:tc>
          <w:tcPr>
            <w:tcW w:w="1128" w:type="pct"/>
            <w:tcBorders>
              <w:top w:val="single" w:sz="4" w:space="0" w:color="auto"/>
              <w:left w:val="single" w:sz="4" w:space="0" w:color="auto"/>
              <w:bottom w:val="nil"/>
              <w:right w:val="single" w:sz="4" w:space="0" w:color="auto"/>
            </w:tcBorders>
          </w:tcPr>
          <w:p w14:paraId="6A283AC2" w14:textId="77777777" w:rsidR="00E607F1" w:rsidRPr="00AB476E" w:rsidRDefault="00E607F1" w:rsidP="00E928DC">
            <w:pPr>
              <w:rPr>
                <w:sz w:val="22"/>
                <w:szCs w:val="22"/>
                <w:lang w:val="en-GB"/>
              </w:rPr>
            </w:pPr>
          </w:p>
        </w:tc>
      </w:tr>
      <w:tr w:rsidR="00E607F1" w:rsidRPr="00AB476E" w14:paraId="5993CC6C"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09DF2042" w14:textId="77777777" w:rsidR="00E607F1" w:rsidRPr="00AB476E" w:rsidRDefault="00E607F1" w:rsidP="00AB476E">
            <w:pPr>
              <w:ind w:left="264"/>
              <w:rPr>
                <w:sz w:val="22"/>
                <w:szCs w:val="22"/>
                <w:lang w:val="en-GB"/>
              </w:rPr>
            </w:pPr>
            <w:r w:rsidRPr="00AB476E">
              <w:rPr>
                <w:sz w:val="22"/>
                <w:szCs w:val="22"/>
                <w:lang w:val="en-GB"/>
              </w:rPr>
              <w:t>Incidences (%)</w:t>
            </w:r>
          </w:p>
        </w:tc>
        <w:tc>
          <w:tcPr>
            <w:tcW w:w="1273" w:type="pct"/>
            <w:tcBorders>
              <w:top w:val="single" w:sz="4" w:space="0" w:color="auto"/>
              <w:left w:val="single" w:sz="4" w:space="0" w:color="auto"/>
              <w:bottom w:val="nil"/>
              <w:right w:val="nil"/>
            </w:tcBorders>
            <w:vAlign w:val="bottom"/>
            <w:hideMark/>
          </w:tcPr>
          <w:p w14:paraId="4FE53BB9" w14:textId="77777777" w:rsidR="00E607F1" w:rsidRPr="00AB476E" w:rsidRDefault="00E607F1" w:rsidP="00E928DC">
            <w:pPr>
              <w:rPr>
                <w:sz w:val="22"/>
                <w:szCs w:val="22"/>
                <w:lang w:val="en-GB"/>
              </w:rPr>
            </w:pPr>
            <w:r w:rsidRPr="00AB476E">
              <w:rPr>
                <w:sz w:val="22"/>
                <w:szCs w:val="22"/>
                <w:lang w:val="en-GB"/>
              </w:rPr>
              <w:t>14 (0.12)</w:t>
            </w:r>
          </w:p>
        </w:tc>
        <w:tc>
          <w:tcPr>
            <w:tcW w:w="1273" w:type="pct"/>
            <w:tcBorders>
              <w:top w:val="single" w:sz="4" w:space="0" w:color="auto"/>
              <w:left w:val="single" w:sz="4" w:space="0" w:color="auto"/>
              <w:bottom w:val="nil"/>
              <w:right w:val="nil"/>
            </w:tcBorders>
            <w:vAlign w:val="bottom"/>
            <w:hideMark/>
          </w:tcPr>
          <w:p w14:paraId="28310771" w14:textId="77777777" w:rsidR="00E607F1" w:rsidRPr="00AB476E" w:rsidRDefault="00E607F1" w:rsidP="00E928DC">
            <w:pPr>
              <w:rPr>
                <w:sz w:val="22"/>
                <w:szCs w:val="22"/>
                <w:lang w:val="en-GB"/>
              </w:rPr>
            </w:pPr>
            <w:r w:rsidRPr="00AB476E">
              <w:rPr>
                <w:sz w:val="22"/>
                <w:szCs w:val="22"/>
                <w:lang w:val="en-GB"/>
              </w:rPr>
              <w:t>12 (0.10)</w:t>
            </w:r>
          </w:p>
        </w:tc>
        <w:tc>
          <w:tcPr>
            <w:tcW w:w="1128" w:type="pct"/>
            <w:tcBorders>
              <w:top w:val="single" w:sz="4" w:space="0" w:color="auto"/>
              <w:left w:val="single" w:sz="4" w:space="0" w:color="auto"/>
              <w:bottom w:val="nil"/>
              <w:right w:val="single" w:sz="4" w:space="0" w:color="auto"/>
            </w:tcBorders>
            <w:vAlign w:val="bottom"/>
            <w:hideMark/>
          </w:tcPr>
          <w:p w14:paraId="7BF74EB7" w14:textId="77777777" w:rsidR="00E607F1" w:rsidRPr="00AB476E" w:rsidRDefault="00E607F1" w:rsidP="00E928DC">
            <w:pPr>
              <w:rPr>
                <w:sz w:val="22"/>
                <w:szCs w:val="22"/>
                <w:lang w:val="en-GB"/>
              </w:rPr>
            </w:pPr>
            <w:r w:rsidRPr="00AB476E">
              <w:rPr>
                <w:sz w:val="22"/>
                <w:szCs w:val="22"/>
                <w:lang w:val="en-GB"/>
              </w:rPr>
              <w:t>45 (0.38)</w:t>
            </w:r>
          </w:p>
        </w:tc>
      </w:tr>
      <w:tr w:rsidR="00E607F1" w:rsidRPr="00AB476E" w14:paraId="5AA36618"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16163483" w14:textId="77777777" w:rsidR="00E607F1" w:rsidRPr="00AB476E" w:rsidRDefault="00E607F1" w:rsidP="00AB476E">
            <w:pPr>
              <w:ind w:left="264"/>
              <w:rPr>
                <w:sz w:val="22"/>
                <w:szCs w:val="22"/>
                <w:lang w:val="en-GB"/>
              </w:rPr>
            </w:pPr>
            <w:r w:rsidRPr="00AB476E">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6CE940EE" w14:textId="77777777" w:rsidR="00E607F1" w:rsidRPr="00AB476E" w:rsidRDefault="00E607F1" w:rsidP="00E928DC">
            <w:pPr>
              <w:rPr>
                <w:sz w:val="22"/>
                <w:szCs w:val="22"/>
                <w:lang w:val="en-GB"/>
              </w:rPr>
            </w:pPr>
            <w:r w:rsidRPr="00AB476E">
              <w:rPr>
                <w:sz w:val="22"/>
                <w:szCs w:val="22"/>
                <w:lang w:val="en-GB"/>
              </w:rPr>
              <w:t>0.31 (0.17, 0.56)</w:t>
            </w:r>
          </w:p>
        </w:tc>
        <w:tc>
          <w:tcPr>
            <w:tcW w:w="1273" w:type="pct"/>
            <w:tcBorders>
              <w:top w:val="single" w:sz="4" w:space="0" w:color="auto"/>
              <w:left w:val="single" w:sz="4" w:space="0" w:color="auto"/>
              <w:bottom w:val="nil"/>
              <w:right w:val="nil"/>
            </w:tcBorders>
            <w:hideMark/>
          </w:tcPr>
          <w:p w14:paraId="4B6CE545" w14:textId="77777777" w:rsidR="00E607F1" w:rsidRPr="00AB476E" w:rsidRDefault="00E607F1" w:rsidP="00E928DC">
            <w:pPr>
              <w:rPr>
                <w:sz w:val="22"/>
                <w:szCs w:val="22"/>
                <w:lang w:val="en-GB"/>
              </w:rPr>
            </w:pPr>
            <w:r w:rsidRPr="00AB476E">
              <w:rPr>
                <w:sz w:val="22"/>
                <w:szCs w:val="22"/>
                <w:lang w:val="en-GB"/>
              </w:rPr>
              <w:t>0.26 (0.14, 0.49)</w:t>
            </w:r>
          </w:p>
        </w:tc>
        <w:tc>
          <w:tcPr>
            <w:tcW w:w="1128" w:type="pct"/>
            <w:tcBorders>
              <w:top w:val="single" w:sz="4" w:space="0" w:color="auto"/>
              <w:left w:val="single" w:sz="4" w:space="0" w:color="auto"/>
              <w:bottom w:val="nil"/>
              <w:right w:val="single" w:sz="4" w:space="0" w:color="auto"/>
            </w:tcBorders>
          </w:tcPr>
          <w:p w14:paraId="2BA456D1" w14:textId="77777777" w:rsidR="00E607F1" w:rsidRPr="00AB476E" w:rsidRDefault="00E607F1" w:rsidP="00E928DC">
            <w:pPr>
              <w:rPr>
                <w:sz w:val="22"/>
                <w:szCs w:val="22"/>
                <w:lang w:val="en-GB"/>
              </w:rPr>
            </w:pPr>
          </w:p>
        </w:tc>
      </w:tr>
      <w:tr w:rsidR="00E607F1" w:rsidRPr="00AB476E" w14:paraId="13F6010C" w14:textId="77777777" w:rsidTr="00E928DC">
        <w:trPr>
          <w:trHeight w:val="57"/>
          <w:jc w:val="center"/>
        </w:trPr>
        <w:tc>
          <w:tcPr>
            <w:tcW w:w="1326" w:type="pct"/>
            <w:tcBorders>
              <w:top w:val="single" w:sz="4" w:space="0" w:color="auto"/>
              <w:left w:val="single" w:sz="4" w:space="0" w:color="auto"/>
              <w:bottom w:val="single" w:sz="4" w:space="0" w:color="auto"/>
              <w:right w:val="nil"/>
            </w:tcBorders>
            <w:vAlign w:val="bottom"/>
            <w:hideMark/>
          </w:tcPr>
          <w:p w14:paraId="49907C36" w14:textId="77777777" w:rsidR="00E607F1" w:rsidRPr="00AB476E" w:rsidRDefault="00E607F1" w:rsidP="00AB476E">
            <w:pPr>
              <w:ind w:left="264"/>
              <w:rPr>
                <w:sz w:val="22"/>
                <w:szCs w:val="22"/>
                <w:lang w:val="en-GB"/>
              </w:rPr>
            </w:pPr>
            <w:r w:rsidRPr="00AB476E">
              <w:rPr>
                <w:sz w:val="22"/>
                <w:szCs w:val="22"/>
                <w:lang w:val="en-GB"/>
              </w:rPr>
              <w:t>p-value</w:t>
            </w:r>
          </w:p>
        </w:tc>
        <w:tc>
          <w:tcPr>
            <w:tcW w:w="1273" w:type="pct"/>
            <w:tcBorders>
              <w:top w:val="single" w:sz="4" w:space="0" w:color="auto"/>
              <w:left w:val="single" w:sz="4" w:space="0" w:color="auto"/>
              <w:bottom w:val="single" w:sz="4" w:space="0" w:color="auto"/>
              <w:right w:val="nil"/>
            </w:tcBorders>
            <w:vAlign w:val="bottom"/>
            <w:hideMark/>
          </w:tcPr>
          <w:p w14:paraId="46FA071F" w14:textId="77777777" w:rsidR="00E607F1" w:rsidRPr="00AB476E" w:rsidRDefault="00E607F1" w:rsidP="00E928DC">
            <w:pPr>
              <w:rPr>
                <w:sz w:val="22"/>
                <w:szCs w:val="22"/>
                <w:lang w:val="en-GB"/>
              </w:rPr>
            </w:pPr>
            <w:r w:rsidRPr="00AB476E">
              <w:rPr>
                <w:sz w:val="22"/>
                <w:szCs w:val="22"/>
                <w:lang w:val="en-GB"/>
              </w:rPr>
              <w:t>0.0001</w:t>
            </w:r>
          </w:p>
        </w:tc>
        <w:tc>
          <w:tcPr>
            <w:tcW w:w="1273" w:type="pct"/>
            <w:tcBorders>
              <w:top w:val="single" w:sz="4" w:space="0" w:color="auto"/>
              <w:left w:val="single" w:sz="4" w:space="0" w:color="auto"/>
              <w:bottom w:val="single" w:sz="4" w:space="0" w:color="auto"/>
              <w:right w:val="nil"/>
            </w:tcBorders>
            <w:vAlign w:val="bottom"/>
            <w:hideMark/>
          </w:tcPr>
          <w:p w14:paraId="00F0127F" w14:textId="77777777" w:rsidR="00E607F1" w:rsidRPr="00AB476E" w:rsidRDefault="00E607F1" w:rsidP="00E928DC">
            <w:pPr>
              <w:rPr>
                <w:sz w:val="22"/>
                <w:szCs w:val="22"/>
                <w:lang w:val="en-GB"/>
              </w:rPr>
            </w:pPr>
            <w:r w:rsidRPr="00AB476E">
              <w:rPr>
                <w:sz w:val="22"/>
                <w:szCs w:val="22"/>
                <w:lang w:val="en-GB"/>
              </w:rPr>
              <w:t>&lt; 0.0001</w:t>
            </w:r>
          </w:p>
        </w:tc>
        <w:tc>
          <w:tcPr>
            <w:tcW w:w="1128" w:type="pct"/>
            <w:tcBorders>
              <w:top w:val="single" w:sz="4" w:space="0" w:color="auto"/>
              <w:left w:val="single" w:sz="4" w:space="0" w:color="auto"/>
              <w:bottom w:val="single" w:sz="4" w:space="0" w:color="auto"/>
              <w:right w:val="single" w:sz="4" w:space="0" w:color="auto"/>
            </w:tcBorders>
          </w:tcPr>
          <w:p w14:paraId="15024AA3" w14:textId="77777777" w:rsidR="00E607F1" w:rsidRPr="00AB476E" w:rsidRDefault="00E607F1" w:rsidP="00E928DC">
            <w:pPr>
              <w:rPr>
                <w:sz w:val="22"/>
                <w:szCs w:val="22"/>
                <w:lang w:val="en-GB"/>
              </w:rPr>
            </w:pPr>
          </w:p>
        </w:tc>
      </w:tr>
    </w:tbl>
    <w:p w14:paraId="5F92E051" w14:textId="77777777" w:rsidR="00E607F1" w:rsidRPr="00B55C24" w:rsidRDefault="00E607F1" w:rsidP="000E69C6">
      <w:pPr>
        <w:rPr>
          <w:b/>
          <w:bCs/>
          <w:sz w:val="24"/>
          <w:szCs w:val="24"/>
          <w:lang w:val="en-GB"/>
        </w:rPr>
      </w:pPr>
      <w:r w:rsidRPr="00B55C24">
        <w:rPr>
          <w:sz w:val="24"/>
          <w:szCs w:val="24"/>
          <w:lang w:val="en-GB"/>
        </w:rPr>
        <w:t>% refers to yearly event rate</w:t>
      </w:r>
    </w:p>
    <w:p w14:paraId="20B47967" w14:textId="77777777" w:rsidR="00E607F1" w:rsidRPr="00B55C24" w:rsidRDefault="00E607F1" w:rsidP="00E607F1">
      <w:pPr>
        <w:tabs>
          <w:tab w:val="left" w:pos="851"/>
        </w:tabs>
        <w:ind w:left="851"/>
        <w:rPr>
          <w:sz w:val="24"/>
          <w:szCs w:val="24"/>
          <w:lang w:val="en-GB"/>
        </w:rPr>
      </w:pPr>
    </w:p>
    <w:p w14:paraId="46A22ADA"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19: Analysis of all cause and cardiovascular survival during the study period in RE-LY.</w:t>
      </w:r>
    </w:p>
    <w:p w14:paraId="5652BD25"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554"/>
        <w:gridCol w:w="2451"/>
        <w:gridCol w:w="2451"/>
        <w:gridCol w:w="2172"/>
      </w:tblGrid>
      <w:tr w:rsidR="00E607F1" w:rsidRPr="000E69C6" w14:paraId="4E8C54C3" w14:textId="77777777" w:rsidTr="00E928DC">
        <w:trPr>
          <w:trHeight w:val="57"/>
          <w:jc w:val="center"/>
        </w:trPr>
        <w:tc>
          <w:tcPr>
            <w:tcW w:w="1326" w:type="pct"/>
            <w:tcBorders>
              <w:top w:val="single" w:sz="4" w:space="0" w:color="auto"/>
              <w:left w:val="single" w:sz="4" w:space="0" w:color="auto"/>
              <w:bottom w:val="nil"/>
              <w:right w:val="nil"/>
            </w:tcBorders>
          </w:tcPr>
          <w:p w14:paraId="3F2F0703" w14:textId="77777777" w:rsidR="00E607F1" w:rsidRPr="000E69C6" w:rsidRDefault="00E607F1" w:rsidP="00E928DC">
            <w:pPr>
              <w:rPr>
                <w:sz w:val="22"/>
                <w:szCs w:val="22"/>
                <w:lang w:val="en-GB"/>
              </w:rPr>
            </w:pPr>
          </w:p>
        </w:tc>
        <w:tc>
          <w:tcPr>
            <w:tcW w:w="1273" w:type="pct"/>
            <w:tcBorders>
              <w:top w:val="single" w:sz="4" w:space="0" w:color="auto"/>
              <w:left w:val="single" w:sz="4" w:space="0" w:color="auto"/>
              <w:bottom w:val="nil"/>
              <w:right w:val="nil"/>
            </w:tcBorders>
            <w:vAlign w:val="bottom"/>
            <w:hideMark/>
          </w:tcPr>
          <w:p w14:paraId="0A2CDE60"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110 mg twice daily</w:t>
            </w:r>
          </w:p>
        </w:tc>
        <w:tc>
          <w:tcPr>
            <w:tcW w:w="1273" w:type="pct"/>
            <w:tcBorders>
              <w:top w:val="single" w:sz="4" w:space="0" w:color="auto"/>
              <w:left w:val="single" w:sz="4" w:space="0" w:color="auto"/>
              <w:bottom w:val="nil"/>
              <w:right w:val="nil"/>
            </w:tcBorders>
            <w:vAlign w:val="bottom"/>
            <w:hideMark/>
          </w:tcPr>
          <w:p w14:paraId="765BCC02"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w:t>
            </w:r>
          </w:p>
        </w:tc>
        <w:tc>
          <w:tcPr>
            <w:tcW w:w="1128" w:type="pct"/>
            <w:tcBorders>
              <w:top w:val="single" w:sz="4" w:space="0" w:color="auto"/>
              <w:left w:val="single" w:sz="4" w:space="0" w:color="auto"/>
              <w:bottom w:val="nil"/>
              <w:right w:val="single" w:sz="4" w:space="0" w:color="auto"/>
            </w:tcBorders>
            <w:hideMark/>
          </w:tcPr>
          <w:p w14:paraId="3AAE5F57" w14:textId="77777777" w:rsidR="00E607F1" w:rsidRPr="000E69C6" w:rsidRDefault="00E607F1" w:rsidP="00E928DC">
            <w:pPr>
              <w:rPr>
                <w:sz w:val="22"/>
                <w:szCs w:val="22"/>
                <w:lang w:val="en-GB"/>
              </w:rPr>
            </w:pPr>
            <w:r w:rsidRPr="000E69C6">
              <w:rPr>
                <w:sz w:val="22"/>
                <w:szCs w:val="22"/>
                <w:lang w:val="en-GB"/>
              </w:rPr>
              <w:t>Warfarin</w:t>
            </w:r>
          </w:p>
        </w:tc>
      </w:tr>
      <w:tr w:rsidR="00E607F1" w:rsidRPr="000E69C6" w14:paraId="740F4083"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789C939B" w14:textId="77777777" w:rsidR="00E607F1" w:rsidRPr="000E69C6" w:rsidRDefault="00E607F1" w:rsidP="00E928DC">
            <w:pPr>
              <w:rPr>
                <w:sz w:val="22"/>
                <w:szCs w:val="22"/>
                <w:lang w:val="en-GB"/>
              </w:rPr>
            </w:pPr>
            <w:r w:rsidRPr="000E69C6">
              <w:rPr>
                <w:sz w:val="22"/>
                <w:szCs w:val="22"/>
                <w:lang w:val="en-GB"/>
              </w:rPr>
              <w:t>Subjects randomised</w:t>
            </w:r>
          </w:p>
        </w:tc>
        <w:tc>
          <w:tcPr>
            <w:tcW w:w="1273" w:type="pct"/>
            <w:tcBorders>
              <w:top w:val="single" w:sz="4" w:space="0" w:color="auto"/>
              <w:left w:val="single" w:sz="4" w:space="0" w:color="auto"/>
              <w:bottom w:val="nil"/>
              <w:right w:val="nil"/>
            </w:tcBorders>
            <w:vAlign w:val="bottom"/>
            <w:hideMark/>
          </w:tcPr>
          <w:p w14:paraId="29D78830" w14:textId="77777777" w:rsidR="00E607F1" w:rsidRPr="000E69C6" w:rsidRDefault="00E607F1" w:rsidP="00E928DC">
            <w:pPr>
              <w:rPr>
                <w:sz w:val="22"/>
                <w:szCs w:val="22"/>
                <w:lang w:val="en-GB"/>
              </w:rPr>
            </w:pPr>
            <w:r w:rsidRPr="000E69C6">
              <w:rPr>
                <w:sz w:val="22"/>
                <w:szCs w:val="22"/>
                <w:lang w:val="en-GB"/>
              </w:rPr>
              <w:t>6,015</w:t>
            </w:r>
          </w:p>
        </w:tc>
        <w:tc>
          <w:tcPr>
            <w:tcW w:w="1273" w:type="pct"/>
            <w:tcBorders>
              <w:top w:val="single" w:sz="4" w:space="0" w:color="auto"/>
              <w:left w:val="single" w:sz="4" w:space="0" w:color="auto"/>
              <w:bottom w:val="nil"/>
              <w:right w:val="nil"/>
            </w:tcBorders>
            <w:vAlign w:val="bottom"/>
            <w:hideMark/>
          </w:tcPr>
          <w:p w14:paraId="4C905C0C" w14:textId="77777777" w:rsidR="00E607F1" w:rsidRPr="000E69C6" w:rsidRDefault="00E607F1" w:rsidP="00E928DC">
            <w:pPr>
              <w:rPr>
                <w:sz w:val="22"/>
                <w:szCs w:val="22"/>
                <w:lang w:val="en-GB"/>
              </w:rPr>
            </w:pPr>
            <w:r w:rsidRPr="000E69C6">
              <w:rPr>
                <w:sz w:val="22"/>
                <w:szCs w:val="22"/>
                <w:lang w:val="en-GB"/>
              </w:rPr>
              <w:t>6,076</w:t>
            </w:r>
          </w:p>
        </w:tc>
        <w:tc>
          <w:tcPr>
            <w:tcW w:w="1128" w:type="pct"/>
            <w:tcBorders>
              <w:top w:val="single" w:sz="4" w:space="0" w:color="auto"/>
              <w:left w:val="single" w:sz="4" w:space="0" w:color="auto"/>
              <w:bottom w:val="nil"/>
              <w:right w:val="single" w:sz="4" w:space="0" w:color="auto"/>
            </w:tcBorders>
            <w:vAlign w:val="bottom"/>
            <w:hideMark/>
          </w:tcPr>
          <w:p w14:paraId="5928248E" w14:textId="77777777" w:rsidR="00E607F1" w:rsidRPr="000E69C6" w:rsidRDefault="00E607F1" w:rsidP="00E928DC">
            <w:pPr>
              <w:rPr>
                <w:sz w:val="22"/>
                <w:szCs w:val="22"/>
                <w:lang w:val="en-GB"/>
              </w:rPr>
            </w:pPr>
            <w:r w:rsidRPr="000E69C6">
              <w:rPr>
                <w:sz w:val="22"/>
                <w:szCs w:val="22"/>
                <w:lang w:val="en-GB"/>
              </w:rPr>
              <w:t>6,022</w:t>
            </w:r>
          </w:p>
        </w:tc>
      </w:tr>
      <w:tr w:rsidR="00E607F1" w:rsidRPr="000E69C6" w14:paraId="597F8537"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082AD522" w14:textId="77777777" w:rsidR="00E607F1" w:rsidRPr="000E69C6" w:rsidRDefault="00E607F1" w:rsidP="00E928DC">
            <w:pPr>
              <w:rPr>
                <w:sz w:val="22"/>
                <w:szCs w:val="22"/>
                <w:lang w:val="en-GB"/>
              </w:rPr>
            </w:pPr>
            <w:r w:rsidRPr="000E69C6">
              <w:rPr>
                <w:sz w:val="22"/>
                <w:szCs w:val="22"/>
                <w:lang w:val="en-GB"/>
              </w:rPr>
              <w:t>All-cause mortality</w:t>
            </w:r>
          </w:p>
        </w:tc>
        <w:tc>
          <w:tcPr>
            <w:tcW w:w="1273" w:type="pct"/>
            <w:tcBorders>
              <w:top w:val="single" w:sz="4" w:space="0" w:color="auto"/>
              <w:left w:val="single" w:sz="4" w:space="0" w:color="auto"/>
              <w:bottom w:val="nil"/>
              <w:right w:val="nil"/>
            </w:tcBorders>
          </w:tcPr>
          <w:p w14:paraId="6E3F306C" w14:textId="77777777" w:rsidR="00E607F1" w:rsidRPr="000E69C6" w:rsidRDefault="00E607F1" w:rsidP="00E928DC">
            <w:pPr>
              <w:rPr>
                <w:sz w:val="22"/>
                <w:szCs w:val="22"/>
                <w:lang w:val="en-GB"/>
              </w:rPr>
            </w:pPr>
          </w:p>
        </w:tc>
        <w:tc>
          <w:tcPr>
            <w:tcW w:w="1273" w:type="pct"/>
            <w:tcBorders>
              <w:top w:val="single" w:sz="4" w:space="0" w:color="auto"/>
              <w:left w:val="single" w:sz="4" w:space="0" w:color="auto"/>
              <w:bottom w:val="nil"/>
              <w:right w:val="nil"/>
            </w:tcBorders>
          </w:tcPr>
          <w:p w14:paraId="09318C7C" w14:textId="77777777" w:rsidR="00E607F1" w:rsidRPr="000E69C6" w:rsidRDefault="00E607F1" w:rsidP="00E928DC">
            <w:pPr>
              <w:rPr>
                <w:sz w:val="22"/>
                <w:szCs w:val="22"/>
                <w:lang w:val="en-GB"/>
              </w:rPr>
            </w:pPr>
          </w:p>
        </w:tc>
        <w:tc>
          <w:tcPr>
            <w:tcW w:w="1128" w:type="pct"/>
            <w:tcBorders>
              <w:top w:val="single" w:sz="4" w:space="0" w:color="auto"/>
              <w:left w:val="single" w:sz="4" w:space="0" w:color="auto"/>
              <w:bottom w:val="nil"/>
              <w:right w:val="single" w:sz="4" w:space="0" w:color="auto"/>
            </w:tcBorders>
          </w:tcPr>
          <w:p w14:paraId="4CE71E3A" w14:textId="77777777" w:rsidR="00E607F1" w:rsidRPr="000E69C6" w:rsidRDefault="00E607F1" w:rsidP="00E928DC">
            <w:pPr>
              <w:rPr>
                <w:sz w:val="22"/>
                <w:szCs w:val="22"/>
                <w:lang w:val="en-GB"/>
              </w:rPr>
            </w:pPr>
          </w:p>
        </w:tc>
      </w:tr>
      <w:tr w:rsidR="00E607F1" w:rsidRPr="000E69C6" w14:paraId="5AE16C5B"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0C266946" w14:textId="77777777" w:rsidR="00E607F1" w:rsidRPr="000E69C6" w:rsidRDefault="00E607F1" w:rsidP="000E69C6">
            <w:pPr>
              <w:ind w:left="264"/>
              <w:rPr>
                <w:sz w:val="22"/>
                <w:szCs w:val="22"/>
                <w:lang w:val="en-GB"/>
              </w:rPr>
            </w:pPr>
            <w:r w:rsidRPr="000E69C6">
              <w:rPr>
                <w:sz w:val="22"/>
                <w:szCs w:val="22"/>
                <w:lang w:val="en-GB"/>
              </w:rPr>
              <w:t>Incidences (%)</w:t>
            </w:r>
          </w:p>
        </w:tc>
        <w:tc>
          <w:tcPr>
            <w:tcW w:w="1273" w:type="pct"/>
            <w:tcBorders>
              <w:top w:val="single" w:sz="4" w:space="0" w:color="auto"/>
              <w:left w:val="single" w:sz="4" w:space="0" w:color="auto"/>
              <w:bottom w:val="nil"/>
              <w:right w:val="nil"/>
            </w:tcBorders>
            <w:vAlign w:val="bottom"/>
            <w:hideMark/>
          </w:tcPr>
          <w:p w14:paraId="38A15130" w14:textId="77777777" w:rsidR="00E607F1" w:rsidRPr="000E69C6" w:rsidRDefault="00E607F1" w:rsidP="00E928DC">
            <w:pPr>
              <w:rPr>
                <w:sz w:val="22"/>
                <w:szCs w:val="22"/>
                <w:lang w:val="en-GB"/>
              </w:rPr>
            </w:pPr>
            <w:r w:rsidRPr="000E69C6">
              <w:rPr>
                <w:sz w:val="22"/>
                <w:szCs w:val="22"/>
                <w:lang w:val="en-GB"/>
              </w:rPr>
              <w:t>446 (3.75)</w:t>
            </w:r>
          </w:p>
        </w:tc>
        <w:tc>
          <w:tcPr>
            <w:tcW w:w="1273" w:type="pct"/>
            <w:tcBorders>
              <w:top w:val="single" w:sz="4" w:space="0" w:color="auto"/>
              <w:left w:val="single" w:sz="4" w:space="0" w:color="auto"/>
              <w:bottom w:val="nil"/>
              <w:right w:val="nil"/>
            </w:tcBorders>
            <w:vAlign w:val="bottom"/>
            <w:hideMark/>
          </w:tcPr>
          <w:p w14:paraId="1FB45F1A" w14:textId="77777777" w:rsidR="00E607F1" w:rsidRPr="000E69C6" w:rsidRDefault="00E607F1" w:rsidP="00E928DC">
            <w:pPr>
              <w:rPr>
                <w:sz w:val="22"/>
                <w:szCs w:val="22"/>
                <w:lang w:val="en-GB"/>
              </w:rPr>
            </w:pPr>
            <w:r w:rsidRPr="000E69C6">
              <w:rPr>
                <w:sz w:val="22"/>
                <w:szCs w:val="22"/>
                <w:lang w:val="en-GB"/>
              </w:rPr>
              <w:t>438 (3.64)</w:t>
            </w:r>
          </w:p>
        </w:tc>
        <w:tc>
          <w:tcPr>
            <w:tcW w:w="1128" w:type="pct"/>
            <w:tcBorders>
              <w:top w:val="single" w:sz="4" w:space="0" w:color="auto"/>
              <w:left w:val="single" w:sz="4" w:space="0" w:color="auto"/>
              <w:bottom w:val="nil"/>
              <w:right w:val="single" w:sz="4" w:space="0" w:color="auto"/>
            </w:tcBorders>
            <w:vAlign w:val="bottom"/>
            <w:hideMark/>
          </w:tcPr>
          <w:p w14:paraId="65B138EB" w14:textId="77777777" w:rsidR="00E607F1" w:rsidRPr="000E69C6" w:rsidRDefault="00E607F1" w:rsidP="00E928DC">
            <w:pPr>
              <w:rPr>
                <w:sz w:val="22"/>
                <w:szCs w:val="22"/>
                <w:lang w:val="en-GB"/>
              </w:rPr>
            </w:pPr>
            <w:r w:rsidRPr="000E69C6">
              <w:rPr>
                <w:sz w:val="22"/>
                <w:szCs w:val="22"/>
                <w:lang w:val="en-GB"/>
              </w:rPr>
              <w:t>487 (4.13)</w:t>
            </w:r>
          </w:p>
        </w:tc>
      </w:tr>
      <w:tr w:rsidR="00E607F1" w:rsidRPr="000E69C6" w14:paraId="22C8FE12"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1506C8DC" w14:textId="77777777" w:rsidR="00E607F1" w:rsidRPr="000E69C6" w:rsidRDefault="00E607F1" w:rsidP="000E69C6">
            <w:pPr>
              <w:ind w:left="264"/>
              <w:rPr>
                <w:sz w:val="22"/>
                <w:szCs w:val="22"/>
                <w:lang w:val="en-GB"/>
              </w:rPr>
            </w:pPr>
            <w:r w:rsidRPr="000E69C6">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405465AE" w14:textId="77777777" w:rsidR="00E607F1" w:rsidRPr="000E69C6" w:rsidRDefault="00E607F1" w:rsidP="00E928DC">
            <w:pPr>
              <w:rPr>
                <w:sz w:val="22"/>
                <w:szCs w:val="22"/>
                <w:lang w:val="en-GB"/>
              </w:rPr>
            </w:pPr>
            <w:r w:rsidRPr="000E69C6">
              <w:rPr>
                <w:sz w:val="22"/>
                <w:szCs w:val="22"/>
                <w:lang w:val="en-GB"/>
              </w:rPr>
              <w:t>0.91 (0.80, 1.03)</w:t>
            </w:r>
          </w:p>
        </w:tc>
        <w:tc>
          <w:tcPr>
            <w:tcW w:w="1273" w:type="pct"/>
            <w:tcBorders>
              <w:top w:val="single" w:sz="4" w:space="0" w:color="auto"/>
              <w:left w:val="single" w:sz="4" w:space="0" w:color="auto"/>
              <w:bottom w:val="nil"/>
              <w:right w:val="nil"/>
            </w:tcBorders>
            <w:hideMark/>
          </w:tcPr>
          <w:p w14:paraId="00CDA22D" w14:textId="77777777" w:rsidR="00E607F1" w:rsidRPr="000E69C6" w:rsidRDefault="00E607F1" w:rsidP="00E928DC">
            <w:pPr>
              <w:rPr>
                <w:sz w:val="22"/>
                <w:szCs w:val="22"/>
                <w:lang w:val="en-GB"/>
              </w:rPr>
            </w:pPr>
            <w:r w:rsidRPr="000E69C6">
              <w:rPr>
                <w:sz w:val="22"/>
                <w:szCs w:val="22"/>
                <w:lang w:val="en-GB"/>
              </w:rPr>
              <w:t>0.88 (0.77, 1.00)</w:t>
            </w:r>
          </w:p>
        </w:tc>
        <w:tc>
          <w:tcPr>
            <w:tcW w:w="1128" w:type="pct"/>
            <w:tcBorders>
              <w:top w:val="single" w:sz="4" w:space="0" w:color="auto"/>
              <w:left w:val="single" w:sz="4" w:space="0" w:color="auto"/>
              <w:bottom w:val="nil"/>
              <w:right w:val="single" w:sz="4" w:space="0" w:color="auto"/>
            </w:tcBorders>
          </w:tcPr>
          <w:p w14:paraId="6BD34347" w14:textId="77777777" w:rsidR="00E607F1" w:rsidRPr="000E69C6" w:rsidRDefault="00E607F1" w:rsidP="00E928DC">
            <w:pPr>
              <w:rPr>
                <w:sz w:val="22"/>
                <w:szCs w:val="22"/>
                <w:lang w:val="en-GB"/>
              </w:rPr>
            </w:pPr>
          </w:p>
        </w:tc>
      </w:tr>
      <w:tr w:rsidR="00E607F1" w:rsidRPr="000E69C6" w14:paraId="1736BCF1"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13C7C08C" w14:textId="77777777" w:rsidR="00E607F1" w:rsidRPr="000E69C6" w:rsidRDefault="00E607F1" w:rsidP="000E69C6">
            <w:pPr>
              <w:ind w:left="264"/>
              <w:rPr>
                <w:sz w:val="22"/>
                <w:szCs w:val="22"/>
                <w:lang w:val="en-GB"/>
              </w:rPr>
            </w:pPr>
            <w:r w:rsidRPr="000E69C6">
              <w:rPr>
                <w:sz w:val="22"/>
                <w:szCs w:val="22"/>
                <w:lang w:val="en-GB"/>
              </w:rPr>
              <w:t>p-value</w:t>
            </w:r>
          </w:p>
        </w:tc>
        <w:tc>
          <w:tcPr>
            <w:tcW w:w="1273" w:type="pct"/>
            <w:tcBorders>
              <w:top w:val="single" w:sz="4" w:space="0" w:color="auto"/>
              <w:left w:val="single" w:sz="4" w:space="0" w:color="auto"/>
              <w:bottom w:val="nil"/>
              <w:right w:val="nil"/>
            </w:tcBorders>
            <w:vAlign w:val="bottom"/>
            <w:hideMark/>
          </w:tcPr>
          <w:p w14:paraId="713283B0" w14:textId="77777777" w:rsidR="00E607F1" w:rsidRPr="000E69C6" w:rsidRDefault="00E607F1" w:rsidP="00E928DC">
            <w:pPr>
              <w:rPr>
                <w:sz w:val="22"/>
                <w:szCs w:val="22"/>
                <w:lang w:val="en-GB"/>
              </w:rPr>
            </w:pPr>
            <w:r w:rsidRPr="000E69C6">
              <w:rPr>
                <w:sz w:val="22"/>
                <w:szCs w:val="22"/>
                <w:lang w:val="en-GB"/>
              </w:rPr>
              <w:t>0.1308</w:t>
            </w:r>
          </w:p>
        </w:tc>
        <w:tc>
          <w:tcPr>
            <w:tcW w:w="1273" w:type="pct"/>
            <w:tcBorders>
              <w:top w:val="single" w:sz="4" w:space="0" w:color="auto"/>
              <w:left w:val="single" w:sz="4" w:space="0" w:color="auto"/>
              <w:bottom w:val="nil"/>
              <w:right w:val="nil"/>
            </w:tcBorders>
            <w:vAlign w:val="bottom"/>
            <w:hideMark/>
          </w:tcPr>
          <w:p w14:paraId="39F2E60F" w14:textId="77777777" w:rsidR="00E607F1" w:rsidRPr="000E69C6" w:rsidRDefault="00E607F1" w:rsidP="00E928DC">
            <w:pPr>
              <w:rPr>
                <w:sz w:val="22"/>
                <w:szCs w:val="22"/>
                <w:lang w:val="en-GB"/>
              </w:rPr>
            </w:pPr>
            <w:r w:rsidRPr="000E69C6">
              <w:rPr>
                <w:sz w:val="22"/>
                <w:szCs w:val="22"/>
                <w:lang w:val="en-GB"/>
              </w:rPr>
              <w:t>0.0517</w:t>
            </w:r>
          </w:p>
        </w:tc>
        <w:tc>
          <w:tcPr>
            <w:tcW w:w="1128" w:type="pct"/>
            <w:tcBorders>
              <w:top w:val="single" w:sz="4" w:space="0" w:color="auto"/>
              <w:left w:val="single" w:sz="4" w:space="0" w:color="auto"/>
              <w:bottom w:val="nil"/>
              <w:right w:val="single" w:sz="4" w:space="0" w:color="auto"/>
            </w:tcBorders>
          </w:tcPr>
          <w:p w14:paraId="36708F50" w14:textId="77777777" w:rsidR="00E607F1" w:rsidRPr="000E69C6" w:rsidRDefault="00E607F1" w:rsidP="00E928DC">
            <w:pPr>
              <w:rPr>
                <w:sz w:val="22"/>
                <w:szCs w:val="22"/>
                <w:lang w:val="en-GB"/>
              </w:rPr>
            </w:pPr>
          </w:p>
        </w:tc>
      </w:tr>
      <w:tr w:rsidR="00E607F1" w:rsidRPr="000E69C6" w14:paraId="0C414D0D"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29FB2AF7" w14:textId="77777777" w:rsidR="00E607F1" w:rsidRPr="000E69C6" w:rsidRDefault="00E607F1" w:rsidP="00E928DC">
            <w:pPr>
              <w:rPr>
                <w:sz w:val="22"/>
                <w:szCs w:val="22"/>
                <w:lang w:val="en-GB"/>
              </w:rPr>
            </w:pPr>
            <w:r w:rsidRPr="000E69C6">
              <w:rPr>
                <w:sz w:val="22"/>
                <w:szCs w:val="22"/>
                <w:lang w:val="en-GB"/>
              </w:rPr>
              <w:t>Vascular mortality</w:t>
            </w:r>
          </w:p>
        </w:tc>
        <w:tc>
          <w:tcPr>
            <w:tcW w:w="1273" w:type="pct"/>
            <w:tcBorders>
              <w:top w:val="single" w:sz="4" w:space="0" w:color="auto"/>
              <w:left w:val="single" w:sz="4" w:space="0" w:color="auto"/>
              <w:bottom w:val="nil"/>
              <w:right w:val="nil"/>
            </w:tcBorders>
          </w:tcPr>
          <w:p w14:paraId="23AC0F2A" w14:textId="77777777" w:rsidR="00E607F1" w:rsidRPr="000E69C6" w:rsidRDefault="00E607F1" w:rsidP="00E928DC">
            <w:pPr>
              <w:rPr>
                <w:sz w:val="22"/>
                <w:szCs w:val="22"/>
                <w:lang w:val="en-GB"/>
              </w:rPr>
            </w:pPr>
          </w:p>
        </w:tc>
        <w:tc>
          <w:tcPr>
            <w:tcW w:w="1273" w:type="pct"/>
            <w:tcBorders>
              <w:top w:val="single" w:sz="4" w:space="0" w:color="auto"/>
              <w:left w:val="single" w:sz="4" w:space="0" w:color="auto"/>
              <w:bottom w:val="nil"/>
              <w:right w:val="nil"/>
            </w:tcBorders>
          </w:tcPr>
          <w:p w14:paraId="1ACE7209" w14:textId="77777777" w:rsidR="00E607F1" w:rsidRPr="000E69C6" w:rsidRDefault="00E607F1" w:rsidP="00E928DC">
            <w:pPr>
              <w:rPr>
                <w:sz w:val="22"/>
                <w:szCs w:val="22"/>
                <w:lang w:val="en-GB"/>
              </w:rPr>
            </w:pPr>
          </w:p>
        </w:tc>
        <w:tc>
          <w:tcPr>
            <w:tcW w:w="1128" w:type="pct"/>
            <w:tcBorders>
              <w:top w:val="single" w:sz="4" w:space="0" w:color="auto"/>
              <w:left w:val="single" w:sz="4" w:space="0" w:color="auto"/>
              <w:bottom w:val="nil"/>
              <w:right w:val="single" w:sz="4" w:space="0" w:color="auto"/>
            </w:tcBorders>
          </w:tcPr>
          <w:p w14:paraId="7CF98A73" w14:textId="77777777" w:rsidR="00E607F1" w:rsidRPr="000E69C6" w:rsidRDefault="00E607F1" w:rsidP="00E928DC">
            <w:pPr>
              <w:rPr>
                <w:sz w:val="22"/>
                <w:szCs w:val="22"/>
                <w:lang w:val="en-GB"/>
              </w:rPr>
            </w:pPr>
          </w:p>
        </w:tc>
      </w:tr>
      <w:tr w:rsidR="00E607F1" w:rsidRPr="000E69C6" w14:paraId="6ED810E3"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40359529" w14:textId="77777777" w:rsidR="00E607F1" w:rsidRPr="000E69C6" w:rsidRDefault="00E607F1" w:rsidP="000E69C6">
            <w:pPr>
              <w:ind w:left="264"/>
              <w:rPr>
                <w:sz w:val="22"/>
                <w:szCs w:val="22"/>
                <w:lang w:val="en-GB"/>
              </w:rPr>
            </w:pPr>
            <w:r w:rsidRPr="000E69C6">
              <w:rPr>
                <w:sz w:val="22"/>
                <w:szCs w:val="22"/>
                <w:lang w:val="en-GB"/>
              </w:rPr>
              <w:t>Incidences (%)</w:t>
            </w:r>
          </w:p>
        </w:tc>
        <w:tc>
          <w:tcPr>
            <w:tcW w:w="1273" w:type="pct"/>
            <w:tcBorders>
              <w:top w:val="single" w:sz="4" w:space="0" w:color="auto"/>
              <w:left w:val="single" w:sz="4" w:space="0" w:color="auto"/>
              <w:bottom w:val="nil"/>
              <w:right w:val="nil"/>
            </w:tcBorders>
            <w:vAlign w:val="bottom"/>
            <w:hideMark/>
          </w:tcPr>
          <w:p w14:paraId="62A80A87" w14:textId="77777777" w:rsidR="00E607F1" w:rsidRPr="000E69C6" w:rsidRDefault="00E607F1" w:rsidP="00E928DC">
            <w:pPr>
              <w:rPr>
                <w:sz w:val="22"/>
                <w:szCs w:val="22"/>
                <w:lang w:val="en-GB"/>
              </w:rPr>
            </w:pPr>
            <w:r w:rsidRPr="000E69C6">
              <w:rPr>
                <w:sz w:val="22"/>
                <w:szCs w:val="22"/>
                <w:lang w:val="en-GB"/>
              </w:rPr>
              <w:t>289 (2.43)</w:t>
            </w:r>
          </w:p>
        </w:tc>
        <w:tc>
          <w:tcPr>
            <w:tcW w:w="1273" w:type="pct"/>
            <w:tcBorders>
              <w:top w:val="single" w:sz="4" w:space="0" w:color="auto"/>
              <w:left w:val="single" w:sz="4" w:space="0" w:color="auto"/>
              <w:bottom w:val="nil"/>
              <w:right w:val="nil"/>
            </w:tcBorders>
            <w:vAlign w:val="bottom"/>
            <w:hideMark/>
          </w:tcPr>
          <w:p w14:paraId="63A8C591" w14:textId="77777777" w:rsidR="00E607F1" w:rsidRPr="000E69C6" w:rsidRDefault="00E607F1" w:rsidP="00E928DC">
            <w:pPr>
              <w:rPr>
                <w:sz w:val="22"/>
                <w:szCs w:val="22"/>
                <w:lang w:val="en-GB"/>
              </w:rPr>
            </w:pPr>
            <w:r w:rsidRPr="000E69C6">
              <w:rPr>
                <w:sz w:val="22"/>
                <w:szCs w:val="22"/>
                <w:lang w:val="en-GB"/>
              </w:rPr>
              <w:t>274 (2.28)</w:t>
            </w:r>
          </w:p>
        </w:tc>
        <w:tc>
          <w:tcPr>
            <w:tcW w:w="1128" w:type="pct"/>
            <w:tcBorders>
              <w:top w:val="single" w:sz="4" w:space="0" w:color="auto"/>
              <w:left w:val="single" w:sz="4" w:space="0" w:color="auto"/>
              <w:bottom w:val="nil"/>
              <w:right w:val="single" w:sz="4" w:space="0" w:color="auto"/>
            </w:tcBorders>
            <w:vAlign w:val="bottom"/>
            <w:hideMark/>
          </w:tcPr>
          <w:p w14:paraId="5CB0346D" w14:textId="77777777" w:rsidR="00E607F1" w:rsidRPr="000E69C6" w:rsidRDefault="00E607F1" w:rsidP="00E928DC">
            <w:pPr>
              <w:rPr>
                <w:sz w:val="22"/>
                <w:szCs w:val="22"/>
                <w:lang w:val="en-GB"/>
              </w:rPr>
            </w:pPr>
            <w:r w:rsidRPr="000E69C6">
              <w:rPr>
                <w:sz w:val="22"/>
                <w:szCs w:val="22"/>
                <w:lang w:val="en-GB"/>
              </w:rPr>
              <w:t>317 (2.69)</w:t>
            </w:r>
          </w:p>
        </w:tc>
      </w:tr>
      <w:tr w:rsidR="00E607F1" w:rsidRPr="000E69C6" w14:paraId="20809AA3" w14:textId="77777777" w:rsidTr="00E928DC">
        <w:trPr>
          <w:trHeight w:val="57"/>
          <w:jc w:val="center"/>
        </w:trPr>
        <w:tc>
          <w:tcPr>
            <w:tcW w:w="1326" w:type="pct"/>
            <w:tcBorders>
              <w:top w:val="single" w:sz="4" w:space="0" w:color="auto"/>
              <w:left w:val="single" w:sz="4" w:space="0" w:color="auto"/>
              <w:bottom w:val="nil"/>
              <w:right w:val="nil"/>
            </w:tcBorders>
            <w:vAlign w:val="bottom"/>
            <w:hideMark/>
          </w:tcPr>
          <w:p w14:paraId="720CC5C1" w14:textId="77777777" w:rsidR="00E607F1" w:rsidRPr="000E69C6" w:rsidRDefault="00E607F1" w:rsidP="000E69C6">
            <w:pPr>
              <w:ind w:left="264"/>
              <w:rPr>
                <w:sz w:val="22"/>
                <w:szCs w:val="22"/>
                <w:lang w:val="en-GB"/>
              </w:rPr>
            </w:pPr>
            <w:r w:rsidRPr="000E69C6">
              <w:rPr>
                <w:sz w:val="22"/>
                <w:szCs w:val="22"/>
                <w:lang w:val="en-GB"/>
              </w:rPr>
              <w:t>Hazard ratio vs. warfarin (95 % CI)</w:t>
            </w:r>
          </w:p>
        </w:tc>
        <w:tc>
          <w:tcPr>
            <w:tcW w:w="1273" w:type="pct"/>
            <w:tcBorders>
              <w:top w:val="single" w:sz="4" w:space="0" w:color="auto"/>
              <w:left w:val="single" w:sz="4" w:space="0" w:color="auto"/>
              <w:bottom w:val="nil"/>
              <w:right w:val="nil"/>
            </w:tcBorders>
            <w:hideMark/>
          </w:tcPr>
          <w:p w14:paraId="6F0B6F87" w14:textId="77777777" w:rsidR="00E607F1" w:rsidRPr="000E69C6" w:rsidRDefault="00E607F1" w:rsidP="00E928DC">
            <w:pPr>
              <w:rPr>
                <w:sz w:val="22"/>
                <w:szCs w:val="22"/>
                <w:lang w:val="en-GB"/>
              </w:rPr>
            </w:pPr>
            <w:r w:rsidRPr="000E69C6">
              <w:rPr>
                <w:sz w:val="22"/>
                <w:szCs w:val="22"/>
                <w:lang w:val="en-GB"/>
              </w:rPr>
              <w:t>0.90 (0.77, 1.06)</w:t>
            </w:r>
          </w:p>
        </w:tc>
        <w:tc>
          <w:tcPr>
            <w:tcW w:w="1273" w:type="pct"/>
            <w:tcBorders>
              <w:top w:val="single" w:sz="4" w:space="0" w:color="auto"/>
              <w:left w:val="single" w:sz="4" w:space="0" w:color="auto"/>
              <w:bottom w:val="nil"/>
              <w:right w:val="nil"/>
            </w:tcBorders>
            <w:hideMark/>
          </w:tcPr>
          <w:p w14:paraId="24C275F8" w14:textId="77777777" w:rsidR="00E607F1" w:rsidRPr="000E69C6" w:rsidRDefault="00E607F1" w:rsidP="00E928DC">
            <w:pPr>
              <w:rPr>
                <w:sz w:val="22"/>
                <w:szCs w:val="22"/>
                <w:lang w:val="en-GB"/>
              </w:rPr>
            </w:pPr>
            <w:r w:rsidRPr="000E69C6">
              <w:rPr>
                <w:sz w:val="22"/>
                <w:szCs w:val="22"/>
                <w:lang w:val="en-GB"/>
              </w:rPr>
              <w:t>0.85 (0.72, 0.99)</w:t>
            </w:r>
          </w:p>
        </w:tc>
        <w:tc>
          <w:tcPr>
            <w:tcW w:w="1128" w:type="pct"/>
            <w:tcBorders>
              <w:top w:val="single" w:sz="4" w:space="0" w:color="auto"/>
              <w:left w:val="single" w:sz="4" w:space="0" w:color="auto"/>
              <w:bottom w:val="nil"/>
              <w:right w:val="single" w:sz="4" w:space="0" w:color="auto"/>
            </w:tcBorders>
          </w:tcPr>
          <w:p w14:paraId="53348289" w14:textId="77777777" w:rsidR="00E607F1" w:rsidRPr="000E69C6" w:rsidRDefault="00E607F1" w:rsidP="00E928DC">
            <w:pPr>
              <w:rPr>
                <w:sz w:val="22"/>
                <w:szCs w:val="22"/>
                <w:lang w:val="en-GB"/>
              </w:rPr>
            </w:pPr>
          </w:p>
        </w:tc>
      </w:tr>
      <w:tr w:rsidR="00E607F1" w:rsidRPr="000E69C6" w14:paraId="1B40FADC" w14:textId="77777777" w:rsidTr="00E928DC">
        <w:trPr>
          <w:trHeight w:val="57"/>
          <w:jc w:val="center"/>
        </w:trPr>
        <w:tc>
          <w:tcPr>
            <w:tcW w:w="1326" w:type="pct"/>
            <w:tcBorders>
              <w:top w:val="single" w:sz="4" w:space="0" w:color="auto"/>
              <w:left w:val="single" w:sz="4" w:space="0" w:color="auto"/>
              <w:bottom w:val="single" w:sz="4" w:space="0" w:color="auto"/>
              <w:right w:val="nil"/>
            </w:tcBorders>
            <w:vAlign w:val="bottom"/>
            <w:hideMark/>
          </w:tcPr>
          <w:p w14:paraId="00B92307" w14:textId="77777777" w:rsidR="00E607F1" w:rsidRPr="000E69C6" w:rsidRDefault="00E607F1" w:rsidP="000E69C6">
            <w:pPr>
              <w:ind w:left="264"/>
              <w:rPr>
                <w:sz w:val="22"/>
                <w:szCs w:val="22"/>
                <w:lang w:val="en-GB"/>
              </w:rPr>
            </w:pPr>
            <w:r w:rsidRPr="000E69C6">
              <w:rPr>
                <w:sz w:val="22"/>
                <w:szCs w:val="22"/>
                <w:lang w:val="en-GB"/>
              </w:rPr>
              <w:t>p-value</w:t>
            </w:r>
          </w:p>
        </w:tc>
        <w:tc>
          <w:tcPr>
            <w:tcW w:w="1273" w:type="pct"/>
            <w:tcBorders>
              <w:top w:val="single" w:sz="4" w:space="0" w:color="auto"/>
              <w:left w:val="single" w:sz="4" w:space="0" w:color="auto"/>
              <w:bottom w:val="single" w:sz="4" w:space="0" w:color="auto"/>
              <w:right w:val="nil"/>
            </w:tcBorders>
            <w:vAlign w:val="bottom"/>
            <w:hideMark/>
          </w:tcPr>
          <w:p w14:paraId="598185C7" w14:textId="77777777" w:rsidR="00E607F1" w:rsidRPr="000E69C6" w:rsidRDefault="00E607F1" w:rsidP="00E928DC">
            <w:pPr>
              <w:rPr>
                <w:sz w:val="22"/>
                <w:szCs w:val="22"/>
                <w:lang w:val="en-GB"/>
              </w:rPr>
            </w:pPr>
            <w:r w:rsidRPr="000E69C6">
              <w:rPr>
                <w:sz w:val="22"/>
                <w:szCs w:val="22"/>
                <w:lang w:val="en-GB"/>
              </w:rPr>
              <w:t>0.2081</w:t>
            </w:r>
          </w:p>
        </w:tc>
        <w:tc>
          <w:tcPr>
            <w:tcW w:w="1273" w:type="pct"/>
            <w:tcBorders>
              <w:top w:val="single" w:sz="4" w:space="0" w:color="auto"/>
              <w:left w:val="single" w:sz="4" w:space="0" w:color="auto"/>
              <w:bottom w:val="single" w:sz="4" w:space="0" w:color="auto"/>
              <w:right w:val="nil"/>
            </w:tcBorders>
            <w:vAlign w:val="bottom"/>
            <w:hideMark/>
          </w:tcPr>
          <w:p w14:paraId="58F61303" w14:textId="77777777" w:rsidR="00E607F1" w:rsidRPr="000E69C6" w:rsidRDefault="00E607F1" w:rsidP="00E928DC">
            <w:pPr>
              <w:rPr>
                <w:sz w:val="22"/>
                <w:szCs w:val="22"/>
                <w:lang w:val="en-GB"/>
              </w:rPr>
            </w:pPr>
            <w:r w:rsidRPr="000E69C6">
              <w:rPr>
                <w:sz w:val="22"/>
                <w:szCs w:val="22"/>
                <w:lang w:val="en-GB"/>
              </w:rPr>
              <w:t>0.0430</w:t>
            </w:r>
          </w:p>
        </w:tc>
        <w:tc>
          <w:tcPr>
            <w:tcW w:w="1128" w:type="pct"/>
            <w:tcBorders>
              <w:top w:val="single" w:sz="4" w:space="0" w:color="auto"/>
              <w:left w:val="single" w:sz="4" w:space="0" w:color="auto"/>
              <w:bottom w:val="single" w:sz="4" w:space="0" w:color="auto"/>
              <w:right w:val="single" w:sz="4" w:space="0" w:color="auto"/>
            </w:tcBorders>
          </w:tcPr>
          <w:p w14:paraId="734438B9" w14:textId="77777777" w:rsidR="00E607F1" w:rsidRPr="000E69C6" w:rsidRDefault="00E607F1" w:rsidP="00E928DC">
            <w:pPr>
              <w:rPr>
                <w:sz w:val="22"/>
                <w:szCs w:val="22"/>
                <w:lang w:val="en-GB"/>
              </w:rPr>
            </w:pPr>
          </w:p>
        </w:tc>
      </w:tr>
    </w:tbl>
    <w:p w14:paraId="26E481E5" w14:textId="77777777" w:rsidR="00E607F1" w:rsidRPr="000E69C6" w:rsidRDefault="00E607F1" w:rsidP="000E69C6">
      <w:pPr>
        <w:rPr>
          <w:sz w:val="24"/>
          <w:szCs w:val="24"/>
          <w:lang w:val="en-GB"/>
        </w:rPr>
      </w:pPr>
      <w:r w:rsidRPr="00B55C24">
        <w:rPr>
          <w:sz w:val="24"/>
          <w:szCs w:val="24"/>
          <w:lang w:val="en-GB"/>
        </w:rPr>
        <w:t>% refers to yearly event rate</w:t>
      </w:r>
    </w:p>
    <w:p w14:paraId="2757FBF8" w14:textId="77777777" w:rsidR="00E607F1" w:rsidRPr="00B55C24" w:rsidRDefault="00E607F1" w:rsidP="00E928DC">
      <w:pPr>
        <w:ind w:left="851"/>
        <w:rPr>
          <w:sz w:val="24"/>
          <w:szCs w:val="24"/>
          <w:lang w:val="en-GB"/>
        </w:rPr>
      </w:pPr>
    </w:p>
    <w:p w14:paraId="756A2166" w14:textId="77777777" w:rsidR="00E607F1" w:rsidRPr="00B55C24" w:rsidRDefault="00E607F1" w:rsidP="00E928DC">
      <w:pPr>
        <w:ind w:left="851"/>
        <w:rPr>
          <w:sz w:val="24"/>
          <w:szCs w:val="24"/>
          <w:lang w:val="en-GB"/>
        </w:rPr>
      </w:pPr>
      <w:r w:rsidRPr="00B55C24">
        <w:rPr>
          <w:sz w:val="24"/>
          <w:szCs w:val="24"/>
          <w:lang w:val="en-GB"/>
        </w:rPr>
        <w:t>Tables 20</w:t>
      </w:r>
      <w:r w:rsidRPr="00B55C24">
        <w:rPr>
          <w:sz w:val="24"/>
          <w:szCs w:val="24"/>
          <w:lang w:val="en-GB"/>
        </w:rPr>
        <w:noBreakHyphen/>
        <w:t>21 display results of the primary efficacy and safety endpoint in relevant sub-populations:</w:t>
      </w:r>
    </w:p>
    <w:p w14:paraId="03902AC3" w14:textId="77777777" w:rsidR="00E607F1" w:rsidRPr="00B55C24" w:rsidRDefault="00E607F1" w:rsidP="00E928DC">
      <w:pPr>
        <w:ind w:left="851"/>
        <w:rPr>
          <w:sz w:val="24"/>
          <w:szCs w:val="24"/>
          <w:lang w:val="en-GB"/>
        </w:rPr>
      </w:pPr>
    </w:p>
    <w:p w14:paraId="4CC5331C" w14:textId="77777777" w:rsidR="00E607F1" w:rsidRPr="00B55C24" w:rsidRDefault="00E607F1" w:rsidP="00E928DC">
      <w:pPr>
        <w:ind w:left="851"/>
        <w:rPr>
          <w:sz w:val="24"/>
          <w:szCs w:val="24"/>
          <w:lang w:val="en-GB"/>
        </w:rPr>
      </w:pPr>
      <w:r w:rsidRPr="00B55C24">
        <w:rPr>
          <w:sz w:val="24"/>
          <w:szCs w:val="24"/>
          <w:lang w:val="en-GB"/>
        </w:rPr>
        <w:t>For the primary endpoint, stroke and systemic embolism, no subgroups (i.e., age, weight, gender, renal function, ethnicity, etc.) were identified with a different risk ratio compared to warfarin.</w:t>
      </w:r>
    </w:p>
    <w:p w14:paraId="4446A2D2" w14:textId="77777777" w:rsidR="00E607F1" w:rsidRPr="00B55C24" w:rsidRDefault="00E607F1" w:rsidP="00E928DC">
      <w:pPr>
        <w:ind w:left="851"/>
        <w:rPr>
          <w:sz w:val="24"/>
          <w:szCs w:val="24"/>
          <w:lang w:val="en-GB"/>
        </w:rPr>
      </w:pPr>
    </w:p>
    <w:p w14:paraId="64E13079"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20: Hazard Ratio and 95 % CI for stroke/systemic embolism by subgroups</w:t>
      </w:r>
    </w:p>
    <w:p w14:paraId="2E0D7829"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45"/>
        <w:gridCol w:w="3398"/>
        <w:gridCol w:w="3285"/>
      </w:tblGrid>
      <w:tr w:rsidR="00E607F1" w:rsidRPr="00D476B2" w14:paraId="64D33421" w14:textId="77777777" w:rsidTr="00E928DC">
        <w:trPr>
          <w:trHeight w:val="57"/>
          <w:jc w:val="center"/>
        </w:trPr>
        <w:tc>
          <w:tcPr>
            <w:tcW w:w="1529" w:type="pct"/>
            <w:tcBorders>
              <w:top w:val="single" w:sz="4" w:space="0" w:color="auto"/>
              <w:left w:val="single" w:sz="4" w:space="0" w:color="auto"/>
              <w:bottom w:val="nil"/>
              <w:right w:val="nil"/>
            </w:tcBorders>
            <w:hideMark/>
          </w:tcPr>
          <w:p w14:paraId="55C78D71" w14:textId="77777777" w:rsidR="00E607F1" w:rsidRPr="000E69C6" w:rsidRDefault="00E607F1" w:rsidP="00E928DC">
            <w:pPr>
              <w:rPr>
                <w:sz w:val="22"/>
                <w:szCs w:val="22"/>
                <w:lang w:val="en-GB"/>
              </w:rPr>
            </w:pPr>
            <w:r w:rsidRPr="000E69C6">
              <w:rPr>
                <w:sz w:val="22"/>
                <w:szCs w:val="22"/>
                <w:lang w:val="en-GB"/>
              </w:rPr>
              <w:t>Endpoint</w:t>
            </w:r>
          </w:p>
        </w:tc>
        <w:tc>
          <w:tcPr>
            <w:tcW w:w="1764" w:type="pct"/>
            <w:tcBorders>
              <w:top w:val="single" w:sz="4" w:space="0" w:color="auto"/>
              <w:left w:val="single" w:sz="4" w:space="0" w:color="auto"/>
              <w:bottom w:val="nil"/>
              <w:right w:val="nil"/>
            </w:tcBorders>
            <w:vAlign w:val="bottom"/>
            <w:hideMark/>
          </w:tcPr>
          <w:p w14:paraId="638A0C01"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110 mg twice daily vs. warfarin</w:t>
            </w:r>
          </w:p>
        </w:tc>
        <w:tc>
          <w:tcPr>
            <w:tcW w:w="1706" w:type="pct"/>
            <w:tcBorders>
              <w:top w:val="single" w:sz="4" w:space="0" w:color="auto"/>
              <w:left w:val="single" w:sz="4" w:space="0" w:color="auto"/>
              <w:bottom w:val="nil"/>
              <w:right w:val="single" w:sz="4" w:space="0" w:color="auto"/>
            </w:tcBorders>
            <w:vAlign w:val="bottom"/>
            <w:hideMark/>
          </w:tcPr>
          <w:p w14:paraId="41FB680B"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 vs. warfarin</w:t>
            </w:r>
          </w:p>
        </w:tc>
      </w:tr>
      <w:tr w:rsidR="00E607F1" w:rsidRPr="000E69C6" w14:paraId="193BCC71"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1583B06E" w14:textId="77777777" w:rsidR="00E607F1" w:rsidRPr="000E69C6" w:rsidRDefault="00E607F1" w:rsidP="00E928DC">
            <w:pPr>
              <w:rPr>
                <w:sz w:val="22"/>
                <w:szCs w:val="22"/>
                <w:lang w:val="en-GB"/>
              </w:rPr>
            </w:pPr>
            <w:r w:rsidRPr="000E69C6">
              <w:rPr>
                <w:sz w:val="22"/>
                <w:szCs w:val="22"/>
                <w:lang w:val="en-GB"/>
              </w:rPr>
              <w:t>Age (years)</w:t>
            </w:r>
          </w:p>
        </w:tc>
        <w:tc>
          <w:tcPr>
            <w:tcW w:w="1764" w:type="pct"/>
            <w:tcBorders>
              <w:top w:val="single" w:sz="4" w:space="0" w:color="auto"/>
              <w:left w:val="single" w:sz="4" w:space="0" w:color="auto"/>
              <w:bottom w:val="nil"/>
              <w:right w:val="nil"/>
            </w:tcBorders>
          </w:tcPr>
          <w:p w14:paraId="781428A6" w14:textId="77777777" w:rsidR="00E607F1" w:rsidRPr="000E69C6" w:rsidRDefault="00E607F1" w:rsidP="00E928DC">
            <w:pPr>
              <w:rPr>
                <w:sz w:val="22"/>
                <w:szCs w:val="22"/>
                <w:lang w:val="en-GB"/>
              </w:rPr>
            </w:pPr>
          </w:p>
        </w:tc>
        <w:tc>
          <w:tcPr>
            <w:tcW w:w="1706" w:type="pct"/>
            <w:tcBorders>
              <w:top w:val="single" w:sz="4" w:space="0" w:color="auto"/>
              <w:left w:val="single" w:sz="4" w:space="0" w:color="auto"/>
              <w:bottom w:val="nil"/>
              <w:right w:val="single" w:sz="4" w:space="0" w:color="auto"/>
            </w:tcBorders>
          </w:tcPr>
          <w:p w14:paraId="38686D74" w14:textId="77777777" w:rsidR="00E607F1" w:rsidRPr="000E69C6" w:rsidRDefault="00E607F1" w:rsidP="00E928DC">
            <w:pPr>
              <w:rPr>
                <w:sz w:val="22"/>
                <w:szCs w:val="22"/>
                <w:lang w:val="en-GB"/>
              </w:rPr>
            </w:pPr>
          </w:p>
        </w:tc>
      </w:tr>
      <w:tr w:rsidR="00E607F1" w:rsidRPr="000E69C6" w14:paraId="7E1E448C"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261EC19A" w14:textId="77777777" w:rsidR="00E607F1" w:rsidRPr="000E69C6" w:rsidRDefault="00E607F1" w:rsidP="000E69C6">
            <w:pPr>
              <w:ind w:left="264"/>
              <w:rPr>
                <w:sz w:val="22"/>
                <w:szCs w:val="22"/>
                <w:lang w:val="en-GB"/>
              </w:rPr>
            </w:pPr>
            <w:r w:rsidRPr="000E69C6">
              <w:rPr>
                <w:sz w:val="22"/>
                <w:szCs w:val="22"/>
                <w:lang w:val="en-GB"/>
              </w:rPr>
              <w:t>&lt; 65</w:t>
            </w:r>
          </w:p>
        </w:tc>
        <w:tc>
          <w:tcPr>
            <w:tcW w:w="1764" w:type="pct"/>
            <w:tcBorders>
              <w:top w:val="single" w:sz="4" w:space="0" w:color="auto"/>
              <w:left w:val="single" w:sz="4" w:space="0" w:color="auto"/>
              <w:bottom w:val="nil"/>
              <w:right w:val="nil"/>
            </w:tcBorders>
            <w:vAlign w:val="bottom"/>
            <w:hideMark/>
          </w:tcPr>
          <w:p w14:paraId="04F5ED6B" w14:textId="77777777" w:rsidR="00E607F1" w:rsidRPr="000E69C6" w:rsidRDefault="00E607F1" w:rsidP="00E928DC">
            <w:pPr>
              <w:rPr>
                <w:sz w:val="22"/>
                <w:szCs w:val="22"/>
                <w:lang w:val="en-GB"/>
              </w:rPr>
            </w:pPr>
            <w:r w:rsidRPr="000E69C6">
              <w:rPr>
                <w:sz w:val="22"/>
                <w:szCs w:val="22"/>
                <w:lang w:val="en-GB"/>
              </w:rPr>
              <w:t>1.10 (0.64, 1.87)</w:t>
            </w:r>
          </w:p>
        </w:tc>
        <w:tc>
          <w:tcPr>
            <w:tcW w:w="1706" w:type="pct"/>
            <w:tcBorders>
              <w:top w:val="single" w:sz="4" w:space="0" w:color="auto"/>
              <w:left w:val="single" w:sz="4" w:space="0" w:color="auto"/>
              <w:bottom w:val="nil"/>
              <w:right w:val="single" w:sz="4" w:space="0" w:color="auto"/>
            </w:tcBorders>
            <w:vAlign w:val="bottom"/>
            <w:hideMark/>
          </w:tcPr>
          <w:p w14:paraId="69A1C563" w14:textId="77777777" w:rsidR="00E607F1" w:rsidRPr="000E69C6" w:rsidRDefault="00E607F1" w:rsidP="00E928DC">
            <w:pPr>
              <w:rPr>
                <w:sz w:val="22"/>
                <w:szCs w:val="22"/>
                <w:lang w:val="en-GB"/>
              </w:rPr>
            </w:pPr>
            <w:r w:rsidRPr="000E69C6">
              <w:rPr>
                <w:sz w:val="22"/>
                <w:szCs w:val="22"/>
                <w:lang w:val="en-GB"/>
              </w:rPr>
              <w:t>0.51 (0.26, 0.98)</w:t>
            </w:r>
          </w:p>
        </w:tc>
      </w:tr>
      <w:tr w:rsidR="00E607F1" w:rsidRPr="000E69C6" w14:paraId="5F442953"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6A38AA0A" w14:textId="77777777" w:rsidR="00E607F1" w:rsidRPr="000E69C6" w:rsidRDefault="00E607F1" w:rsidP="000E69C6">
            <w:pPr>
              <w:ind w:left="264"/>
              <w:rPr>
                <w:sz w:val="22"/>
                <w:szCs w:val="22"/>
                <w:lang w:val="en-GB"/>
              </w:rPr>
            </w:pPr>
            <w:r w:rsidRPr="000E69C6">
              <w:rPr>
                <w:sz w:val="22"/>
                <w:szCs w:val="22"/>
                <w:lang w:val="en-GB"/>
              </w:rPr>
              <w:t>65 ≤ and &lt; 75</w:t>
            </w:r>
          </w:p>
        </w:tc>
        <w:tc>
          <w:tcPr>
            <w:tcW w:w="1764" w:type="pct"/>
            <w:tcBorders>
              <w:top w:val="single" w:sz="4" w:space="0" w:color="auto"/>
              <w:left w:val="single" w:sz="4" w:space="0" w:color="auto"/>
              <w:bottom w:val="nil"/>
              <w:right w:val="nil"/>
            </w:tcBorders>
            <w:vAlign w:val="bottom"/>
            <w:hideMark/>
          </w:tcPr>
          <w:p w14:paraId="1AE03327" w14:textId="77777777" w:rsidR="00E607F1" w:rsidRPr="000E69C6" w:rsidRDefault="00E607F1" w:rsidP="00E928DC">
            <w:pPr>
              <w:rPr>
                <w:sz w:val="22"/>
                <w:szCs w:val="22"/>
                <w:lang w:val="en-GB"/>
              </w:rPr>
            </w:pPr>
            <w:r w:rsidRPr="000E69C6">
              <w:rPr>
                <w:sz w:val="22"/>
                <w:szCs w:val="22"/>
                <w:lang w:val="en-GB"/>
              </w:rPr>
              <w:t>0.86 (0.62, 1.19)</w:t>
            </w:r>
          </w:p>
        </w:tc>
        <w:tc>
          <w:tcPr>
            <w:tcW w:w="1706" w:type="pct"/>
            <w:tcBorders>
              <w:top w:val="single" w:sz="4" w:space="0" w:color="auto"/>
              <w:left w:val="single" w:sz="4" w:space="0" w:color="auto"/>
              <w:bottom w:val="nil"/>
              <w:right w:val="single" w:sz="4" w:space="0" w:color="auto"/>
            </w:tcBorders>
            <w:vAlign w:val="bottom"/>
            <w:hideMark/>
          </w:tcPr>
          <w:p w14:paraId="261719C4" w14:textId="77777777" w:rsidR="00E607F1" w:rsidRPr="000E69C6" w:rsidRDefault="00E607F1" w:rsidP="00E928DC">
            <w:pPr>
              <w:rPr>
                <w:sz w:val="22"/>
                <w:szCs w:val="22"/>
                <w:lang w:val="en-GB"/>
              </w:rPr>
            </w:pPr>
            <w:r w:rsidRPr="000E69C6">
              <w:rPr>
                <w:sz w:val="22"/>
                <w:szCs w:val="22"/>
                <w:lang w:val="en-GB"/>
              </w:rPr>
              <w:t>0.67 (0.47, 0.95)</w:t>
            </w:r>
          </w:p>
        </w:tc>
      </w:tr>
      <w:tr w:rsidR="00E607F1" w:rsidRPr="000E69C6" w14:paraId="01823806"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54F24D09" w14:textId="77777777" w:rsidR="00E607F1" w:rsidRPr="000E69C6" w:rsidRDefault="00E607F1" w:rsidP="000E69C6">
            <w:pPr>
              <w:ind w:left="264"/>
              <w:rPr>
                <w:sz w:val="22"/>
                <w:szCs w:val="22"/>
                <w:lang w:val="en-GB"/>
              </w:rPr>
            </w:pPr>
            <w:r w:rsidRPr="000E69C6">
              <w:rPr>
                <w:sz w:val="22"/>
                <w:szCs w:val="22"/>
                <w:lang w:val="en-GB"/>
              </w:rPr>
              <w:t>≥ 75</w:t>
            </w:r>
          </w:p>
        </w:tc>
        <w:tc>
          <w:tcPr>
            <w:tcW w:w="1764" w:type="pct"/>
            <w:tcBorders>
              <w:top w:val="single" w:sz="4" w:space="0" w:color="auto"/>
              <w:left w:val="single" w:sz="4" w:space="0" w:color="auto"/>
              <w:bottom w:val="nil"/>
              <w:right w:val="nil"/>
            </w:tcBorders>
            <w:vAlign w:val="bottom"/>
            <w:hideMark/>
          </w:tcPr>
          <w:p w14:paraId="6E824415" w14:textId="77777777" w:rsidR="00E607F1" w:rsidRPr="000E69C6" w:rsidRDefault="00E607F1" w:rsidP="00E928DC">
            <w:pPr>
              <w:rPr>
                <w:sz w:val="22"/>
                <w:szCs w:val="22"/>
                <w:lang w:val="en-GB"/>
              </w:rPr>
            </w:pPr>
            <w:r w:rsidRPr="000E69C6">
              <w:rPr>
                <w:sz w:val="22"/>
                <w:szCs w:val="22"/>
                <w:lang w:val="en-GB"/>
              </w:rPr>
              <w:t>0.88 (0.66, 1.17)</w:t>
            </w:r>
          </w:p>
        </w:tc>
        <w:tc>
          <w:tcPr>
            <w:tcW w:w="1706" w:type="pct"/>
            <w:tcBorders>
              <w:top w:val="single" w:sz="4" w:space="0" w:color="auto"/>
              <w:left w:val="single" w:sz="4" w:space="0" w:color="auto"/>
              <w:bottom w:val="nil"/>
              <w:right w:val="single" w:sz="4" w:space="0" w:color="auto"/>
            </w:tcBorders>
            <w:vAlign w:val="bottom"/>
            <w:hideMark/>
          </w:tcPr>
          <w:p w14:paraId="167AD676" w14:textId="77777777" w:rsidR="00E607F1" w:rsidRPr="000E69C6" w:rsidRDefault="00E607F1" w:rsidP="00E928DC">
            <w:pPr>
              <w:rPr>
                <w:sz w:val="22"/>
                <w:szCs w:val="22"/>
                <w:lang w:val="en-GB"/>
              </w:rPr>
            </w:pPr>
            <w:r w:rsidRPr="000E69C6">
              <w:rPr>
                <w:sz w:val="22"/>
                <w:szCs w:val="22"/>
                <w:lang w:val="en-GB"/>
              </w:rPr>
              <w:t>0.68 (0.50, 0.92)</w:t>
            </w:r>
          </w:p>
        </w:tc>
      </w:tr>
      <w:tr w:rsidR="00E607F1" w:rsidRPr="000E69C6" w14:paraId="5DDB8319"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7BABF8C5" w14:textId="77777777" w:rsidR="00E607F1" w:rsidRPr="000E69C6" w:rsidRDefault="00E607F1" w:rsidP="000E69C6">
            <w:pPr>
              <w:ind w:left="264"/>
              <w:rPr>
                <w:sz w:val="22"/>
                <w:szCs w:val="22"/>
                <w:lang w:val="en-GB"/>
              </w:rPr>
            </w:pPr>
            <w:r w:rsidRPr="000E69C6">
              <w:rPr>
                <w:sz w:val="22"/>
                <w:szCs w:val="22"/>
                <w:lang w:val="en-GB"/>
              </w:rPr>
              <w:t>≥ 80</w:t>
            </w:r>
          </w:p>
        </w:tc>
        <w:tc>
          <w:tcPr>
            <w:tcW w:w="1764" w:type="pct"/>
            <w:tcBorders>
              <w:top w:val="single" w:sz="4" w:space="0" w:color="auto"/>
              <w:left w:val="single" w:sz="4" w:space="0" w:color="auto"/>
              <w:bottom w:val="nil"/>
              <w:right w:val="nil"/>
            </w:tcBorders>
            <w:vAlign w:val="bottom"/>
            <w:hideMark/>
          </w:tcPr>
          <w:p w14:paraId="0F739F6C" w14:textId="77777777" w:rsidR="00E607F1" w:rsidRPr="000E69C6" w:rsidRDefault="00E607F1" w:rsidP="00E928DC">
            <w:pPr>
              <w:rPr>
                <w:sz w:val="22"/>
                <w:szCs w:val="22"/>
                <w:lang w:val="en-GB"/>
              </w:rPr>
            </w:pPr>
            <w:r w:rsidRPr="000E69C6">
              <w:rPr>
                <w:sz w:val="22"/>
                <w:szCs w:val="22"/>
                <w:lang w:val="en-GB"/>
              </w:rPr>
              <w:t>0.68 (0.44, 1.05)</w:t>
            </w:r>
          </w:p>
        </w:tc>
        <w:tc>
          <w:tcPr>
            <w:tcW w:w="1706" w:type="pct"/>
            <w:tcBorders>
              <w:top w:val="single" w:sz="4" w:space="0" w:color="auto"/>
              <w:left w:val="single" w:sz="4" w:space="0" w:color="auto"/>
              <w:bottom w:val="nil"/>
              <w:right w:val="single" w:sz="4" w:space="0" w:color="auto"/>
            </w:tcBorders>
            <w:vAlign w:val="bottom"/>
            <w:hideMark/>
          </w:tcPr>
          <w:p w14:paraId="61B7A901" w14:textId="77777777" w:rsidR="00E607F1" w:rsidRPr="000E69C6" w:rsidRDefault="00E607F1" w:rsidP="00E928DC">
            <w:pPr>
              <w:rPr>
                <w:sz w:val="22"/>
                <w:szCs w:val="22"/>
                <w:lang w:val="en-GB"/>
              </w:rPr>
            </w:pPr>
            <w:r w:rsidRPr="000E69C6">
              <w:rPr>
                <w:sz w:val="22"/>
                <w:szCs w:val="22"/>
                <w:lang w:val="en-GB"/>
              </w:rPr>
              <w:t>0.67 (0.44, 1.02)</w:t>
            </w:r>
          </w:p>
        </w:tc>
      </w:tr>
      <w:tr w:rsidR="00E607F1" w:rsidRPr="000E69C6" w14:paraId="7B598660"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494139F6" w14:textId="77777777" w:rsidR="00E607F1" w:rsidRPr="000E69C6" w:rsidRDefault="00E607F1" w:rsidP="00E928DC">
            <w:pPr>
              <w:rPr>
                <w:sz w:val="22"/>
                <w:szCs w:val="22"/>
                <w:lang w:val="en-GB"/>
              </w:rPr>
            </w:pPr>
            <w:proofErr w:type="spellStart"/>
            <w:r w:rsidRPr="000E69C6">
              <w:rPr>
                <w:sz w:val="22"/>
                <w:szCs w:val="22"/>
                <w:lang w:val="en-GB"/>
              </w:rPr>
              <w:t>CrCL</w:t>
            </w:r>
            <w:proofErr w:type="spellEnd"/>
            <w:r w:rsidRPr="000E69C6">
              <w:rPr>
                <w:sz w:val="22"/>
                <w:szCs w:val="22"/>
                <w:lang w:val="en-GB"/>
              </w:rPr>
              <w:t xml:space="preserve"> (mL/min)</w:t>
            </w:r>
          </w:p>
        </w:tc>
        <w:tc>
          <w:tcPr>
            <w:tcW w:w="1764" w:type="pct"/>
            <w:tcBorders>
              <w:top w:val="single" w:sz="4" w:space="0" w:color="auto"/>
              <w:left w:val="single" w:sz="4" w:space="0" w:color="auto"/>
              <w:bottom w:val="nil"/>
              <w:right w:val="nil"/>
            </w:tcBorders>
          </w:tcPr>
          <w:p w14:paraId="66597113" w14:textId="77777777" w:rsidR="00E607F1" w:rsidRPr="000E69C6" w:rsidRDefault="00E607F1" w:rsidP="00E928DC">
            <w:pPr>
              <w:rPr>
                <w:sz w:val="22"/>
                <w:szCs w:val="22"/>
                <w:lang w:val="en-GB"/>
              </w:rPr>
            </w:pPr>
          </w:p>
        </w:tc>
        <w:tc>
          <w:tcPr>
            <w:tcW w:w="1706" w:type="pct"/>
            <w:tcBorders>
              <w:top w:val="single" w:sz="4" w:space="0" w:color="auto"/>
              <w:left w:val="single" w:sz="4" w:space="0" w:color="auto"/>
              <w:bottom w:val="nil"/>
              <w:right w:val="single" w:sz="4" w:space="0" w:color="auto"/>
            </w:tcBorders>
          </w:tcPr>
          <w:p w14:paraId="1053D686" w14:textId="77777777" w:rsidR="00E607F1" w:rsidRPr="000E69C6" w:rsidRDefault="00E607F1" w:rsidP="00E928DC">
            <w:pPr>
              <w:rPr>
                <w:sz w:val="22"/>
                <w:szCs w:val="22"/>
                <w:lang w:val="en-GB"/>
              </w:rPr>
            </w:pPr>
          </w:p>
        </w:tc>
      </w:tr>
      <w:tr w:rsidR="00E607F1" w:rsidRPr="000E69C6" w14:paraId="748DDD59"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34851DD1" w14:textId="77777777" w:rsidR="00E607F1" w:rsidRPr="000E69C6" w:rsidRDefault="00E607F1" w:rsidP="000E69C6">
            <w:pPr>
              <w:ind w:left="264"/>
              <w:rPr>
                <w:sz w:val="22"/>
                <w:szCs w:val="22"/>
                <w:lang w:val="en-GB"/>
              </w:rPr>
            </w:pPr>
            <w:r w:rsidRPr="000E69C6">
              <w:rPr>
                <w:sz w:val="22"/>
                <w:szCs w:val="22"/>
                <w:lang w:val="en-GB"/>
              </w:rPr>
              <w:t>30 ≤ and &lt; 50</w:t>
            </w:r>
          </w:p>
        </w:tc>
        <w:tc>
          <w:tcPr>
            <w:tcW w:w="1764" w:type="pct"/>
            <w:tcBorders>
              <w:top w:val="single" w:sz="4" w:space="0" w:color="auto"/>
              <w:left w:val="single" w:sz="4" w:space="0" w:color="auto"/>
              <w:bottom w:val="nil"/>
              <w:right w:val="nil"/>
            </w:tcBorders>
            <w:vAlign w:val="bottom"/>
            <w:hideMark/>
          </w:tcPr>
          <w:p w14:paraId="71D5A806" w14:textId="77777777" w:rsidR="00E607F1" w:rsidRPr="000E69C6" w:rsidRDefault="00E607F1" w:rsidP="00E928DC">
            <w:pPr>
              <w:rPr>
                <w:sz w:val="22"/>
                <w:szCs w:val="22"/>
                <w:lang w:val="en-GB"/>
              </w:rPr>
            </w:pPr>
            <w:r w:rsidRPr="000E69C6">
              <w:rPr>
                <w:sz w:val="22"/>
                <w:szCs w:val="22"/>
                <w:lang w:val="en-GB"/>
              </w:rPr>
              <w:t>0.89 (0.61, 1.31)</w:t>
            </w:r>
          </w:p>
        </w:tc>
        <w:tc>
          <w:tcPr>
            <w:tcW w:w="1706" w:type="pct"/>
            <w:tcBorders>
              <w:top w:val="single" w:sz="4" w:space="0" w:color="auto"/>
              <w:left w:val="single" w:sz="4" w:space="0" w:color="auto"/>
              <w:bottom w:val="nil"/>
              <w:right w:val="single" w:sz="4" w:space="0" w:color="auto"/>
            </w:tcBorders>
            <w:vAlign w:val="bottom"/>
            <w:hideMark/>
          </w:tcPr>
          <w:p w14:paraId="2C9BEADD" w14:textId="77777777" w:rsidR="00E607F1" w:rsidRPr="000E69C6" w:rsidRDefault="00E607F1" w:rsidP="00E928DC">
            <w:pPr>
              <w:rPr>
                <w:sz w:val="22"/>
                <w:szCs w:val="22"/>
                <w:lang w:val="en-GB"/>
              </w:rPr>
            </w:pPr>
            <w:r w:rsidRPr="000E69C6">
              <w:rPr>
                <w:sz w:val="22"/>
                <w:szCs w:val="22"/>
                <w:lang w:val="en-GB"/>
              </w:rPr>
              <w:t>0.48 (0.31, 0.76)</w:t>
            </w:r>
          </w:p>
        </w:tc>
      </w:tr>
      <w:tr w:rsidR="00E607F1" w:rsidRPr="000E69C6" w14:paraId="272A3473" w14:textId="77777777" w:rsidTr="00E928DC">
        <w:trPr>
          <w:trHeight w:val="57"/>
          <w:jc w:val="center"/>
        </w:trPr>
        <w:tc>
          <w:tcPr>
            <w:tcW w:w="1529" w:type="pct"/>
            <w:tcBorders>
              <w:top w:val="single" w:sz="4" w:space="0" w:color="auto"/>
              <w:left w:val="single" w:sz="4" w:space="0" w:color="auto"/>
              <w:bottom w:val="nil"/>
              <w:right w:val="nil"/>
            </w:tcBorders>
            <w:vAlign w:val="bottom"/>
            <w:hideMark/>
          </w:tcPr>
          <w:p w14:paraId="0171A0F6" w14:textId="77777777" w:rsidR="00E607F1" w:rsidRPr="000E69C6" w:rsidRDefault="00E607F1" w:rsidP="000E69C6">
            <w:pPr>
              <w:ind w:left="264"/>
              <w:rPr>
                <w:sz w:val="22"/>
                <w:szCs w:val="22"/>
                <w:lang w:val="en-GB"/>
              </w:rPr>
            </w:pPr>
            <w:r w:rsidRPr="000E69C6">
              <w:rPr>
                <w:sz w:val="22"/>
                <w:szCs w:val="22"/>
                <w:lang w:val="en-GB"/>
              </w:rPr>
              <w:t>50 ≤ and &lt; 80</w:t>
            </w:r>
          </w:p>
        </w:tc>
        <w:tc>
          <w:tcPr>
            <w:tcW w:w="1764" w:type="pct"/>
            <w:tcBorders>
              <w:top w:val="single" w:sz="4" w:space="0" w:color="auto"/>
              <w:left w:val="single" w:sz="4" w:space="0" w:color="auto"/>
              <w:bottom w:val="nil"/>
              <w:right w:val="nil"/>
            </w:tcBorders>
            <w:vAlign w:val="bottom"/>
            <w:hideMark/>
          </w:tcPr>
          <w:p w14:paraId="7F38BA21" w14:textId="77777777" w:rsidR="00E607F1" w:rsidRPr="000E69C6" w:rsidRDefault="00E607F1" w:rsidP="00E928DC">
            <w:pPr>
              <w:rPr>
                <w:sz w:val="22"/>
                <w:szCs w:val="22"/>
                <w:lang w:val="en-GB"/>
              </w:rPr>
            </w:pPr>
            <w:r w:rsidRPr="000E69C6">
              <w:rPr>
                <w:sz w:val="22"/>
                <w:szCs w:val="22"/>
                <w:lang w:val="en-GB"/>
              </w:rPr>
              <w:t>0.91 (0.68, 1.20)</w:t>
            </w:r>
          </w:p>
        </w:tc>
        <w:tc>
          <w:tcPr>
            <w:tcW w:w="1706" w:type="pct"/>
            <w:tcBorders>
              <w:top w:val="single" w:sz="4" w:space="0" w:color="auto"/>
              <w:left w:val="single" w:sz="4" w:space="0" w:color="auto"/>
              <w:bottom w:val="nil"/>
              <w:right w:val="single" w:sz="4" w:space="0" w:color="auto"/>
            </w:tcBorders>
            <w:vAlign w:val="bottom"/>
            <w:hideMark/>
          </w:tcPr>
          <w:p w14:paraId="3E49901B" w14:textId="77777777" w:rsidR="00E607F1" w:rsidRPr="000E69C6" w:rsidRDefault="00E607F1" w:rsidP="00E928DC">
            <w:pPr>
              <w:rPr>
                <w:sz w:val="22"/>
                <w:szCs w:val="22"/>
                <w:lang w:val="en-GB"/>
              </w:rPr>
            </w:pPr>
            <w:r w:rsidRPr="000E69C6">
              <w:rPr>
                <w:sz w:val="22"/>
                <w:szCs w:val="22"/>
                <w:lang w:val="en-GB"/>
              </w:rPr>
              <w:t>0.65 (0.47, 0.88)</w:t>
            </w:r>
          </w:p>
        </w:tc>
      </w:tr>
      <w:tr w:rsidR="00E607F1" w:rsidRPr="000E69C6" w14:paraId="43126F51" w14:textId="77777777" w:rsidTr="00E928DC">
        <w:trPr>
          <w:trHeight w:val="57"/>
          <w:jc w:val="center"/>
        </w:trPr>
        <w:tc>
          <w:tcPr>
            <w:tcW w:w="1529" w:type="pct"/>
            <w:tcBorders>
              <w:top w:val="single" w:sz="4" w:space="0" w:color="auto"/>
              <w:left w:val="single" w:sz="4" w:space="0" w:color="auto"/>
              <w:bottom w:val="single" w:sz="4" w:space="0" w:color="auto"/>
              <w:right w:val="nil"/>
            </w:tcBorders>
            <w:vAlign w:val="bottom"/>
            <w:hideMark/>
          </w:tcPr>
          <w:p w14:paraId="192AF50C" w14:textId="77777777" w:rsidR="00E607F1" w:rsidRPr="000E69C6" w:rsidRDefault="00E607F1" w:rsidP="000E69C6">
            <w:pPr>
              <w:ind w:left="264"/>
              <w:rPr>
                <w:sz w:val="22"/>
                <w:szCs w:val="22"/>
                <w:lang w:val="en-GB"/>
              </w:rPr>
            </w:pPr>
            <w:r w:rsidRPr="000E69C6">
              <w:rPr>
                <w:sz w:val="22"/>
                <w:szCs w:val="22"/>
                <w:lang w:val="en-GB"/>
              </w:rPr>
              <w:t>≥ 80</w:t>
            </w:r>
          </w:p>
        </w:tc>
        <w:tc>
          <w:tcPr>
            <w:tcW w:w="1764" w:type="pct"/>
            <w:tcBorders>
              <w:top w:val="single" w:sz="4" w:space="0" w:color="auto"/>
              <w:left w:val="single" w:sz="4" w:space="0" w:color="auto"/>
              <w:bottom w:val="single" w:sz="4" w:space="0" w:color="auto"/>
              <w:right w:val="nil"/>
            </w:tcBorders>
            <w:vAlign w:val="bottom"/>
            <w:hideMark/>
          </w:tcPr>
          <w:p w14:paraId="20079BF6" w14:textId="77777777" w:rsidR="00E607F1" w:rsidRPr="000E69C6" w:rsidRDefault="00E607F1" w:rsidP="00E928DC">
            <w:pPr>
              <w:rPr>
                <w:sz w:val="22"/>
                <w:szCs w:val="22"/>
                <w:lang w:val="en-GB"/>
              </w:rPr>
            </w:pPr>
            <w:r w:rsidRPr="000E69C6">
              <w:rPr>
                <w:sz w:val="22"/>
                <w:szCs w:val="22"/>
                <w:lang w:val="en-GB"/>
              </w:rPr>
              <w:t>0.81 (0.51, 1.28)</w:t>
            </w:r>
          </w:p>
        </w:tc>
        <w:tc>
          <w:tcPr>
            <w:tcW w:w="1706" w:type="pct"/>
            <w:tcBorders>
              <w:top w:val="single" w:sz="4" w:space="0" w:color="auto"/>
              <w:left w:val="single" w:sz="4" w:space="0" w:color="auto"/>
              <w:bottom w:val="single" w:sz="4" w:space="0" w:color="auto"/>
              <w:right w:val="single" w:sz="4" w:space="0" w:color="auto"/>
            </w:tcBorders>
            <w:vAlign w:val="bottom"/>
            <w:hideMark/>
          </w:tcPr>
          <w:p w14:paraId="5EF6F499" w14:textId="77777777" w:rsidR="00E607F1" w:rsidRPr="000E69C6" w:rsidRDefault="00E607F1" w:rsidP="00E928DC">
            <w:pPr>
              <w:rPr>
                <w:sz w:val="22"/>
                <w:szCs w:val="22"/>
                <w:lang w:val="en-GB"/>
              </w:rPr>
            </w:pPr>
            <w:r w:rsidRPr="000E69C6">
              <w:rPr>
                <w:sz w:val="22"/>
                <w:szCs w:val="22"/>
                <w:lang w:val="en-GB"/>
              </w:rPr>
              <w:t>0.69 (0.43, 1.12)</w:t>
            </w:r>
          </w:p>
        </w:tc>
      </w:tr>
    </w:tbl>
    <w:p w14:paraId="3545592F" w14:textId="77777777" w:rsidR="00E607F1" w:rsidRPr="00B55C24" w:rsidRDefault="00E607F1" w:rsidP="00E607F1">
      <w:pPr>
        <w:tabs>
          <w:tab w:val="left" w:pos="851"/>
        </w:tabs>
        <w:ind w:left="851"/>
        <w:rPr>
          <w:sz w:val="24"/>
          <w:szCs w:val="24"/>
          <w:lang w:val="en-GB"/>
        </w:rPr>
      </w:pPr>
    </w:p>
    <w:p w14:paraId="407B22FC" w14:textId="77777777" w:rsidR="00E607F1" w:rsidRPr="00B55C24" w:rsidRDefault="00E607F1" w:rsidP="00E928DC">
      <w:pPr>
        <w:ind w:left="851"/>
        <w:rPr>
          <w:sz w:val="24"/>
          <w:szCs w:val="24"/>
          <w:lang w:val="en-GB"/>
        </w:rPr>
      </w:pPr>
      <w:r w:rsidRPr="00B55C24">
        <w:rPr>
          <w:sz w:val="24"/>
          <w:szCs w:val="24"/>
          <w:lang w:val="en-GB"/>
        </w:rPr>
        <w:t xml:space="preserve">For the primary safety endpoint of major bleeding there was an interaction of treatment effect and age. The relative risk of bleeding with dabigatran compared to warfarin increased with age. Relative risk was highest in patients ≥75 years. The concomitant use of antiplatelets ASA or clopidogrel approximately doubles MBE rates with both dabigatran </w:t>
      </w:r>
      <w:proofErr w:type="spellStart"/>
      <w:r w:rsidRPr="00B55C24">
        <w:rPr>
          <w:sz w:val="24"/>
          <w:szCs w:val="24"/>
          <w:lang w:val="en-GB"/>
        </w:rPr>
        <w:t>etexilate</w:t>
      </w:r>
      <w:proofErr w:type="spellEnd"/>
      <w:r w:rsidRPr="00B55C24">
        <w:rPr>
          <w:sz w:val="24"/>
          <w:szCs w:val="24"/>
          <w:lang w:val="en-GB"/>
        </w:rPr>
        <w:t xml:space="preserve"> and warfarin. There was no significant interaction of treatment effects with the subgroups of renal function and CHADS</w:t>
      </w:r>
      <w:r w:rsidRPr="00B55C24">
        <w:rPr>
          <w:sz w:val="24"/>
          <w:szCs w:val="24"/>
          <w:vertAlign w:val="subscript"/>
          <w:lang w:val="en-GB"/>
        </w:rPr>
        <w:t>2</w:t>
      </w:r>
      <w:r w:rsidRPr="00B55C24">
        <w:rPr>
          <w:sz w:val="24"/>
          <w:szCs w:val="24"/>
          <w:lang w:val="en-GB"/>
        </w:rPr>
        <w:t xml:space="preserve"> score.</w:t>
      </w:r>
    </w:p>
    <w:p w14:paraId="4EF9FF41" w14:textId="0410F569" w:rsidR="00322951" w:rsidRDefault="00322951">
      <w:pPr>
        <w:rPr>
          <w:sz w:val="24"/>
          <w:szCs w:val="24"/>
          <w:lang w:val="en-GB"/>
        </w:rPr>
      </w:pPr>
      <w:r>
        <w:rPr>
          <w:sz w:val="24"/>
          <w:szCs w:val="24"/>
          <w:lang w:val="en-GB"/>
        </w:rPr>
        <w:br w:type="page"/>
      </w:r>
    </w:p>
    <w:p w14:paraId="19A35D71" w14:textId="77777777" w:rsidR="00E607F1" w:rsidRPr="00B55C24" w:rsidRDefault="00E607F1" w:rsidP="00E607F1">
      <w:pPr>
        <w:tabs>
          <w:tab w:val="left" w:pos="851"/>
        </w:tabs>
        <w:ind w:left="851"/>
        <w:rPr>
          <w:sz w:val="24"/>
          <w:szCs w:val="24"/>
          <w:lang w:val="en-GB"/>
        </w:rPr>
      </w:pPr>
    </w:p>
    <w:p w14:paraId="67C2350E"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21: Hazard Ratio and 95 % CI for major bleeds by subgroups</w:t>
      </w:r>
    </w:p>
    <w:p w14:paraId="207A4F20"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35"/>
        <w:gridCol w:w="3408"/>
        <w:gridCol w:w="3285"/>
      </w:tblGrid>
      <w:tr w:rsidR="00E607F1" w:rsidRPr="00D476B2" w14:paraId="612E7121" w14:textId="77777777" w:rsidTr="00E928DC">
        <w:trPr>
          <w:trHeight w:val="57"/>
          <w:jc w:val="center"/>
        </w:trPr>
        <w:tc>
          <w:tcPr>
            <w:tcW w:w="1524" w:type="pct"/>
            <w:tcBorders>
              <w:top w:val="single" w:sz="4" w:space="0" w:color="auto"/>
              <w:left w:val="single" w:sz="4" w:space="0" w:color="auto"/>
              <w:bottom w:val="single" w:sz="4" w:space="0" w:color="auto"/>
              <w:right w:val="nil"/>
            </w:tcBorders>
            <w:hideMark/>
          </w:tcPr>
          <w:p w14:paraId="0F3A4DD4" w14:textId="77777777" w:rsidR="00E607F1" w:rsidRPr="000E69C6" w:rsidRDefault="00E607F1" w:rsidP="00E928DC">
            <w:pPr>
              <w:rPr>
                <w:sz w:val="22"/>
                <w:szCs w:val="22"/>
                <w:lang w:val="en-GB"/>
              </w:rPr>
            </w:pPr>
            <w:r w:rsidRPr="000E69C6">
              <w:rPr>
                <w:sz w:val="22"/>
                <w:szCs w:val="22"/>
                <w:lang w:val="en-GB"/>
              </w:rPr>
              <w:t>Endpoint</w:t>
            </w:r>
          </w:p>
        </w:tc>
        <w:tc>
          <w:tcPr>
            <w:tcW w:w="1770" w:type="pct"/>
            <w:tcBorders>
              <w:top w:val="single" w:sz="4" w:space="0" w:color="auto"/>
              <w:left w:val="single" w:sz="4" w:space="0" w:color="auto"/>
              <w:bottom w:val="single" w:sz="4" w:space="0" w:color="auto"/>
              <w:right w:val="nil"/>
            </w:tcBorders>
            <w:vAlign w:val="bottom"/>
            <w:hideMark/>
          </w:tcPr>
          <w:p w14:paraId="4AC87144"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110 mg twice daily vs. warfarin</w:t>
            </w:r>
          </w:p>
        </w:tc>
        <w:tc>
          <w:tcPr>
            <w:tcW w:w="1706" w:type="pct"/>
            <w:tcBorders>
              <w:top w:val="single" w:sz="4" w:space="0" w:color="auto"/>
              <w:left w:val="single" w:sz="4" w:space="0" w:color="auto"/>
              <w:bottom w:val="single" w:sz="4" w:space="0" w:color="auto"/>
              <w:right w:val="single" w:sz="4" w:space="0" w:color="auto"/>
            </w:tcBorders>
            <w:vAlign w:val="bottom"/>
            <w:hideMark/>
          </w:tcPr>
          <w:p w14:paraId="06AE20D6"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 vs. warfarin</w:t>
            </w:r>
          </w:p>
        </w:tc>
      </w:tr>
      <w:tr w:rsidR="00E607F1" w:rsidRPr="000E69C6" w14:paraId="42D43D29" w14:textId="77777777" w:rsidTr="00E928DC">
        <w:trPr>
          <w:trHeight w:val="57"/>
          <w:jc w:val="center"/>
        </w:trPr>
        <w:tc>
          <w:tcPr>
            <w:tcW w:w="1524" w:type="pct"/>
            <w:tcBorders>
              <w:top w:val="single" w:sz="4" w:space="0" w:color="auto"/>
              <w:left w:val="single" w:sz="4" w:space="0" w:color="auto"/>
              <w:bottom w:val="single" w:sz="4" w:space="0" w:color="auto"/>
              <w:right w:val="single" w:sz="4" w:space="0" w:color="auto"/>
            </w:tcBorders>
            <w:vAlign w:val="bottom"/>
            <w:hideMark/>
          </w:tcPr>
          <w:p w14:paraId="4DB6F274" w14:textId="77777777" w:rsidR="00E607F1" w:rsidRPr="000E69C6" w:rsidRDefault="00E607F1" w:rsidP="00E928DC">
            <w:pPr>
              <w:rPr>
                <w:sz w:val="22"/>
                <w:szCs w:val="22"/>
                <w:lang w:val="en-GB"/>
              </w:rPr>
            </w:pPr>
            <w:r w:rsidRPr="000E69C6">
              <w:rPr>
                <w:sz w:val="22"/>
                <w:szCs w:val="22"/>
                <w:lang w:val="en-GB"/>
              </w:rPr>
              <w:t>Age (years)</w:t>
            </w:r>
          </w:p>
        </w:tc>
        <w:tc>
          <w:tcPr>
            <w:tcW w:w="1770" w:type="pct"/>
            <w:tcBorders>
              <w:top w:val="single" w:sz="4" w:space="0" w:color="auto"/>
              <w:left w:val="single" w:sz="4" w:space="0" w:color="auto"/>
              <w:bottom w:val="single" w:sz="4" w:space="0" w:color="auto"/>
              <w:right w:val="single" w:sz="4" w:space="0" w:color="auto"/>
            </w:tcBorders>
          </w:tcPr>
          <w:p w14:paraId="7E802274" w14:textId="77777777" w:rsidR="00E607F1" w:rsidRPr="000E69C6" w:rsidRDefault="00E607F1" w:rsidP="00E928DC">
            <w:pPr>
              <w:rPr>
                <w:sz w:val="22"/>
                <w:szCs w:val="22"/>
                <w:lang w:val="en-GB"/>
              </w:rPr>
            </w:pPr>
          </w:p>
        </w:tc>
        <w:tc>
          <w:tcPr>
            <w:tcW w:w="1706" w:type="pct"/>
            <w:tcBorders>
              <w:top w:val="single" w:sz="4" w:space="0" w:color="auto"/>
              <w:left w:val="single" w:sz="4" w:space="0" w:color="auto"/>
              <w:bottom w:val="single" w:sz="4" w:space="0" w:color="auto"/>
              <w:right w:val="single" w:sz="4" w:space="0" w:color="auto"/>
            </w:tcBorders>
          </w:tcPr>
          <w:p w14:paraId="14B6C5F0" w14:textId="77777777" w:rsidR="00E607F1" w:rsidRPr="000E69C6" w:rsidRDefault="00E607F1" w:rsidP="00E928DC">
            <w:pPr>
              <w:rPr>
                <w:sz w:val="22"/>
                <w:szCs w:val="22"/>
                <w:lang w:val="en-GB"/>
              </w:rPr>
            </w:pPr>
          </w:p>
        </w:tc>
      </w:tr>
      <w:tr w:rsidR="00E607F1" w:rsidRPr="000E69C6" w14:paraId="526B3DDE"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633B37D7" w14:textId="77777777" w:rsidR="00E607F1" w:rsidRPr="000E69C6" w:rsidRDefault="00E607F1" w:rsidP="000E69C6">
            <w:pPr>
              <w:ind w:left="264"/>
              <w:rPr>
                <w:sz w:val="22"/>
                <w:szCs w:val="22"/>
                <w:lang w:val="en-GB"/>
              </w:rPr>
            </w:pPr>
            <w:r w:rsidRPr="000E69C6">
              <w:rPr>
                <w:sz w:val="22"/>
                <w:szCs w:val="22"/>
                <w:lang w:val="en-GB"/>
              </w:rPr>
              <w:t>&lt; 65</w:t>
            </w:r>
          </w:p>
        </w:tc>
        <w:tc>
          <w:tcPr>
            <w:tcW w:w="1770" w:type="pct"/>
            <w:tcBorders>
              <w:top w:val="single" w:sz="4" w:space="0" w:color="auto"/>
              <w:left w:val="single" w:sz="4" w:space="0" w:color="auto"/>
              <w:bottom w:val="nil"/>
              <w:right w:val="nil"/>
            </w:tcBorders>
            <w:vAlign w:val="bottom"/>
            <w:hideMark/>
          </w:tcPr>
          <w:p w14:paraId="71DA2D29" w14:textId="77777777" w:rsidR="00E607F1" w:rsidRPr="000E69C6" w:rsidRDefault="00E607F1" w:rsidP="00E928DC">
            <w:pPr>
              <w:rPr>
                <w:sz w:val="22"/>
                <w:szCs w:val="22"/>
                <w:lang w:val="en-GB"/>
              </w:rPr>
            </w:pPr>
            <w:r w:rsidRPr="000E69C6">
              <w:rPr>
                <w:sz w:val="22"/>
                <w:szCs w:val="22"/>
                <w:lang w:val="en-GB"/>
              </w:rPr>
              <w:t>0.32 (0.18, 0.57)</w:t>
            </w:r>
          </w:p>
        </w:tc>
        <w:tc>
          <w:tcPr>
            <w:tcW w:w="1706" w:type="pct"/>
            <w:tcBorders>
              <w:top w:val="single" w:sz="4" w:space="0" w:color="auto"/>
              <w:left w:val="single" w:sz="4" w:space="0" w:color="auto"/>
              <w:bottom w:val="nil"/>
              <w:right w:val="single" w:sz="4" w:space="0" w:color="auto"/>
            </w:tcBorders>
            <w:vAlign w:val="bottom"/>
            <w:hideMark/>
          </w:tcPr>
          <w:p w14:paraId="5A0379F9" w14:textId="77777777" w:rsidR="00E607F1" w:rsidRPr="000E69C6" w:rsidRDefault="00E607F1" w:rsidP="00E928DC">
            <w:pPr>
              <w:rPr>
                <w:sz w:val="22"/>
                <w:szCs w:val="22"/>
                <w:lang w:val="en-GB"/>
              </w:rPr>
            </w:pPr>
            <w:r w:rsidRPr="000E69C6">
              <w:rPr>
                <w:sz w:val="22"/>
                <w:szCs w:val="22"/>
                <w:lang w:val="en-GB"/>
              </w:rPr>
              <w:t>0.35 (0.20, 0.61)</w:t>
            </w:r>
          </w:p>
        </w:tc>
      </w:tr>
      <w:tr w:rsidR="00E607F1" w:rsidRPr="000E69C6" w14:paraId="433A8E2A"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77314383" w14:textId="77777777" w:rsidR="00E607F1" w:rsidRPr="000E69C6" w:rsidRDefault="00E607F1" w:rsidP="000E69C6">
            <w:pPr>
              <w:ind w:left="264"/>
              <w:rPr>
                <w:sz w:val="22"/>
                <w:szCs w:val="22"/>
                <w:lang w:val="en-GB"/>
              </w:rPr>
            </w:pPr>
            <w:r w:rsidRPr="000E69C6">
              <w:rPr>
                <w:sz w:val="22"/>
                <w:szCs w:val="22"/>
                <w:lang w:val="en-GB"/>
              </w:rPr>
              <w:t>65 ≤ and &lt; 75</w:t>
            </w:r>
          </w:p>
        </w:tc>
        <w:tc>
          <w:tcPr>
            <w:tcW w:w="1770" w:type="pct"/>
            <w:tcBorders>
              <w:top w:val="single" w:sz="4" w:space="0" w:color="auto"/>
              <w:left w:val="single" w:sz="4" w:space="0" w:color="auto"/>
              <w:bottom w:val="nil"/>
              <w:right w:val="nil"/>
            </w:tcBorders>
            <w:vAlign w:val="bottom"/>
            <w:hideMark/>
          </w:tcPr>
          <w:p w14:paraId="37F7FEF0" w14:textId="77777777" w:rsidR="00E607F1" w:rsidRPr="000E69C6" w:rsidRDefault="00E607F1" w:rsidP="00E928DC">
            <w:pPr>
              <w:rPr>
                <w:sz w:val="22"/>
                <w:szCs w:val="22"/>
                <w:lang w:val="en-GB"/>
              </w:rPr>
            </w:pPr>
            <w:r w:rsidRPr="000E69C6">
              <w:rPr>
                <w:sz w:val="22"/>
                <w:szCs w:val="22"/>
                <w:lang w:val="en-GB"/>
              </w:rPr>
              <w:t>0.71 (0.56, 0.89)</w:t>
            </w:r>
          </w:p>
        </w:tc>
        <w:tc>
          <w:tcPr>
            <w:tcW w:w="1706" w:type="pct"/>
            <w:tcBorders>
              <w:top w:val="single" w:sz="4" w:space="0" w:color="auto"/>
              <w:left w:val="single" w:sz="4" w:space="0" w:color="auto"/>
              <w:bottom w:val="nil"/>
              <w:right w:val="single" w:sz="4" w:space="0" w:color="auto"/>
            </w:tcBorders>
            <w:vAlign w:val="bottom"/>
            <w:hideMark/>
          </w:tcPr>
          <w:p w14:paraId="3FFC0AE3" w14:textId="77777777" w:rsidR="00E607F1" w:rsidRPr="000E69C6" w:rsidRDefault="00E607F1" w:rsidP="00E928DC">
            <w:pPr>
              <w:rPr>
                <w:sz w:val="22"/>
                <w:szCs w:val="22"/>
                <w:lang w:val="en-GB"/>
              </w:rPr>
            </w:pPr>
            <w:r w:rsidRPr="000E69C6">
              <w:rPr>
                <w:sz w:val="22"/>
                <w:szCs w:val="22"/>
                <w:lang w:val="en-GB"/>
              </w:rPr>
              <w:t>0.82 (0.66, 1.03)</w:t>
            </w:r>
          </w:p>
        </w:tc>
      </w:tr>
      <w:tr w:rsidR="00E607F1" w:rsidRPr="000E69C6" w14:paraId="57B213A4"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386CCA15" w14:textId="77777777" w:rsidR="00E607F1" w:rsidRPr="000E69C6" w:rsidRDefault="00E607F1" w:rsidP="000E69C6">
            <w:pPr>
              <w:ind w:left="264"/>
              <w:rPr>
                <w:sz w:val="22"/>
                <w:szCs w:val="22"/>
                <w:lang w:val="en-GB"/>
              </w:rPr>
            </w:pPr>
            <w:r w:rsidRPr="000E69C6">
              <w:rPr>
                <w:sz w:val="22"/>
                <w:szCs w:val="22"/>
                <w:lang w:val="en-GB"/>
              </w:rPr>
              <w:t>≥ 75</w:t>
            </w:r>
          </w:p>
        </w:tc>
        <w:tc>
          <w:tcPr>
            <w:tcW w:w="1770" w:type="pct"/>
            <w:tcBorders>
              <w:top w:val="single" w:sz="4" w:space="0" w:color="auto"/>
              <w:left w:val="single" w:sz="4" w:space="0" w:color="auto"/>
              <w:bottom w:val="nil"/>
              <w:right w:val="nil"/>
            </w:tcBorders>
            <w:vAlign w:val="bottom"/>
            <w:hideMark/>
          </w:tcPr>
          <w:p w14:paraId="409165E4" w14:textId="77777777" w:rsidR="00E607F1" w:rsidRPr="000E69C6" w:rsidRDefault="00E607F1" w:rsidP="00E928DC">
            <w:pPr>
              <w:rPr>
                <w:sz w:val="22"/>
                <w:szCs w:val="22"/>
                <w:lang w:val="en-GB"/>
              </w:rPr>
            </w:pPr>
            <w:r w:rsidRPr="000E69C6">
              <w:rPr>
                <w:sz w:val="22"/>
                <w:szCs w:val="22"/>
                <w:lang w:val="en-GB"/>
              </w:rPr>
              <w:t>1.01 (0.84, 1.23)</w:t>
            </w:r>
          </w:p>
        </w:tc>
        <w:tc>
          <w:tcPr>
            <w:tcW w:w="1706" w:type="pct"/>
            <w:tcBorders>
              <w:top w:val="single" w:sz="4" w:space="0" w:color="auto"/>
              <w:left w:val="single" w:sz="4" w:space="0" w:color="auto"/>
              <w:bottom w:val="nil"/>
              <w:right w:val="single" w:sz="4" w:space="0" w:color="auto"/>
            </w:tcBorders>
            <w:vAlign w:val="bottom"/>
            <w:hideMark/>
          </w:tcPr>
          <w:p w14:paraId="24FEA2A3" w14:textId="77777777" w:rsidR="00E607F1" w:rsidRPr="000E69C6" w:rsidRDefault="00E607F1" w:rsidP="00E928DC">
            <w:pPr>
              <w:rPr>
                <w:sz w:val="22"/>
                <w:szCs w:val="22"/>
                <w:lang w:val="en-GB"/>
              </w:rPr>
            </w:pPr>
            <w:r w:rsidRPr="000E69C6">
              <w:rPr>
                <w:sz w:val="22"/>
                <w:szCs w:val="22"/>
                <w:lang w:val="en-GB"/>
              </w:rPr>
              <w:t>1.19 (0.99, 1.43)</w:t>
            </w:r>
          </w:p>
        </w:tc>
      </w:tr>
      <w:tr w:rsidR="00E607F1" w:rsidRPr="000E69C6" w14:paraId="3A575614"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65A85EE8" w14:textId="77777777" w:rsidR="00E607F1" w:rsidRPr="000E69C6" w:rsidRDefault="00E607F1" w:rsidP="000E69C6">
            <w:pPr>
              <w:ind w:left="264"/>
              <w:rPr>
                <w:sz w:val="22"/>
                <w:szCs w:val="22"/>
                <w:lang w:val="en-GB"/>
              </w:rPr>
            </w:pPr>
            <w:r w:rsidRPr="000E69C6">
              <w:rPr>
                <w:sz w:val="22"/>
                <w:szCs w:val="22"/>
                <w:lang w:val="en-GB"/>
              </w:rPr>
              <w:t>≥ 80</w:t>
            </w:r>
          </w:p>
        </w:tc>
        <w:tc>
          <w:tcPr>
            <w:tcW w:w="1770" w:type="pct"/>
            <w:tcBorders>
              <w:top w:val="single" w:sz="4" w:space="0" w:color="auto"/>
              <w:left w:val="single" w:sz="4" w:space="0" w:color="auto"/>
              <w:bottom w:val="nil"/>
              <w:right w:val="nil"/>
            </w:tcBorders>
            <w:vAlign w:val="bottom"/>
            <w:hideMark/>
          </w:tcPr>
          <w:p w14:paraId="074DCC71" w14:textId="77777777" w:rsidR="00E607F1" w:rsidRPr="000E69C6" w:rsidRDefault="00E607F1" w:rsidP="00E928DC">
            <w:pPr>
              <w:rPr>
                <w:sz w:val="22"/>
                <w:szCs w:val="22"/>
                <w:lang w:val="en-GB"/>
              </w:rPr>
            </w:pPr>
            <w:r w:rsidRPr="000E69C6">
              <w:rPr>
                <w:sz w:val="22"/>
                <w:szCs w:val="22"/>
                <w:lang w:val="en-GB"/>
              </w:rPr>
              <w:t>1.14 (0.86, 1.51)</w:t>
            </w:r>
          </w:p>
        </w:tc>
        <w:tc>
          <w:tcPr>
            <w:tcW w:w="1706" w:type="pct"/>
            <w:tcBorders>
              <w:top w:val="single" w:sz="4" w:space="0" w:color="auto"/>
              <w:left w:val="single" w:sz="4" w:space="0" w:color="auto"/>
              <w:bottom w:val="nil"/>
              <w:right w:val="single" w:sz="4" w:space="0" w:color="auto"/>
            </w:tcBorders>
            <w:vAlign w:val="bottom"/>
            <w:hideMark/>
          </w:tcPr>
          <w:p w14:paraId="4EA8BC94" w14:textId="77777777" w:rsidR="00E607F1" w:rsidRPr="000E69C6" w:rsidRDefault="00E607F1" w:rsidP="00E928DC">
            <w:pPr>
              <w:rPr>
                <w:sz w:val="22"/>
                <w:szCs w:val="22"/>
                <w:lang w:val="en-GB"/>
              </w:rPr>
            </w:pPr>
            <w:r w:rsidRPr="000E69C6">
              <w:rPr>
                <w:sz w:val="22"/>
                <w:szCs w:val="22"/>
                <w:lang w:val="en-GB"/>
              </w:rPr>
              <w:t>1.35 (1.03, 1.76)</w:t>
            </w:r>
          </w:p>
        </w:tc>
      </w:tr>
      <w:tr w:rsidR="00E607F1" w:rsidRPr="000E69C6" w14:paraId="07DEB06C"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438E0EB6" w14:textId="77777777" w:rsidR="00E607F1" w:rsidRPr="000E69C6" w:rsidRDefault="00E607F1" w:rsidP="00E928DC">
            <w:pPr>
              <w:rPr>
                <w:sz w:val="22"/>
                <w:szCs w:val="22"/>
                <w:lang w:val="en-GB"/>
              </w:rPr>
            </w:pPr>
            <w:proofErr w:type="spellStart"/>
            <w:r w:rsidRPr="000E69C6">
              <w:rPr>
                <w:sz w:val="22"/>
                <w:szCs w:val="22"/>
                <w:lang w:val="en-GB"/>
              </w:rPr>
              <w:t>CrCL</w:t>
            </w:r>
            <w:proofErr w:type="spellEnd"/>
            <w:r w:rsidRPr="000E69C6">
              <w:rPr>
                <w:sz w:val="22"/>
                <w:szCs w:val="22"/>
                <w:lang w:val="en-GB"/>
              </w:rPr>
              <w:t xml:space="preserve"> (mL/min)</w:t>
            </w:r>
          </w:p>
        </w:tc>
        <w:tc>
          <w:tcPr>
            <w:tcW w:w="1770" w:type="pct"/>
            <w:tcBorders>
              <w:top w:val="single" w:sz="4" w:space="0" w:color="auto"/>
              <w:left w:val="single" w:sz="4" w:space="0" w:color="auto"/>
              <w:bottom w:val="nil"/>
              <w:right w:val="nil"/>
            </w:tcBorders>
          </w:tcPr>
          <w:p w14:paraId="3BD746F7" w14:textId="77777777" w:rsidR="00E607F1" w:rsidRPr="000E69C6" w:rsidRDefault="00E607F1" w:rsidP="00E928DC">
            <w:pPr>
              <w:rPr>
                <w:sz w:val="22"/>
                <w:szCs w:val="22"/>
                <w:lang w:val="en-GB"/>
              </w:rPr>
            </w:pPr>
          </w:p>
        </w:tc>
        <w:tc>
          <w:tcPr>
            <w:tcW w:w="1706" w:type="pct"/>
            <w:tcBorders>
              <w:top w:val="single" w:sz="4" w:space="0" w:color="auto"/>
              <w:left w:val="single" w:sz="4" w:space="0" w:color="auto"/>
              <w:bottom w:val="nil"/>
              <w:right w:val="single" w:sz="4" w:space="0" w:color="auto"/>
            </w:tcBorders>
          </w:tcPr>
          <w:p w14:paraId="4CCA4C51" w14:textId="77777777" w:rsidR="00E607F1" w:rsidRPr="000E69C6" w:rsidRDefault="00E607F1" w:rsidP="00E928DC">
            <w:pPr>
              <w:rPr>
                <w:sz w:val="22"/>
                <w:szCs w:val="22"/>
                <w:lang w:val="en-GB"/>
              </w:rPr>
            </w:pPr>
          </w:p>
        </w:tc>
      </w:tr>
      <w:tr w:rsidR="00E607F1" w:rsidRPr="000E69C6" w14:paraId="475DC03C"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0522CF6B" w14:textId="77777777" w:rsidR="00E607F1" w:rsidRPr="000E69C6" w:rsidRDefault="00E607F1" w:rsidP="000E69C6">
            <w:pPr>
              <w:ind w:left="264"/>
              <w:rPr>
                <w:sz w:val="22"/>
                <w:szCs w:val="22"/>
                <w:lang w:val="en-GB"/>
              </w:rPr>
            </w:pPr>
            <w:r w:rsidRPr="000E69C6">
              <w:rPr>
                <w:sz w:val="22"/>
                <w:szCs w:val="22"/>
                <w:lang w:val="en-GB"/>
              </w:rPr>
              <w:t>30 ≤ and &lt; 50</w:t>
            </w:r>
          </w:p>
        </w:tc>
        <w:tc>
          <w:tcPr>
            <w:tcW w:w="1770" w:type="pct"/>
            <w:tcBorders>
              <w:top w:val="single" w:sz="4" w:space="0" w:color="auto"/>
              <w:left w:val="single" w:sz="4" w:space="0" w:color="auto"/>
              <w:bottom w:val="nil"/>
              <w:right w:val="nil"/>
            </w:tcBorders>
            <w:vAlign w:val="bottom"/>
            <w:hideMark/>
          </w:tcPr>
          <w:p w14:paraId="237BE77B" w14:textId="77777777" w:rsidR="00E607F1" w:rsidRPr="000E69C6" w:rsidRDefault="00E607F1" w:rsidP="00E928DC">
            <w:pPr>
              <w:rPr>
                <w:sz w:val="22"/>
                <w:szCs w:val="22"/>
                <w:lang w:val="en-GB"/>
              </w:rPr>
            </w:pPr>
            <w:r w:rsidRPr="000E69C6">
              <w:rPr>
                <w:sz w:val="22"/>
                <w:szCs w:val="22"/>
                <w:lang w:val="en-GB"/>
              </w:rPr>
              <w:t>1.02 (0.79, 1.32)</w:t>
            </w:r>
          </w:p>
        </w:tc>
        <w:tc>
          <w:tcPr>
            <w:tcW w:w="1706" w:type="pct"/>
            <w:tcBorders>
              <w:top w:val="single" w:sz="4" w:space="0" w:color="auto"/>
              <w:left w:val="single" w:sz="4" w:space="0" w:color="auto"/>
              <w:bottom w:val="nil"/>
              <w:right w:val="single" w:sz="4" w:space="0" w:color="auto"/>
            </w:tcBorders>
            <w:vAlign w:val="bottom"/>
            <w:hideMark/>
          </w:tcPr>
          <w:p w14:paraId="636C2895" w14:textId="77777777" w:rsidR="00E607F1" w:rsidRPr="000E69C6" w:rsidRDefault="00E607F1" w:rsidP="00E928DC">
            <w:pPr>
              <w:rPr>
                <w:sz w:val="22"/>
                <w:szCs w:val="22"/>
                <w:lang w:val="en-GB"/>
              </w:rPr>
            </w:pPr>
            <w:r w:rsidRPr="000E69C6">
              <w:rPr>
                <w:sz w:val="22"/>
                <w:szCs w:val="22"/>
                <w:lang w:val="en-GB"/>
              </w:rPr>
              <w:t>0.94 (0.73, 1.22)</w:t>
            </w:r>
          </w:p>
        </w:tc>
      </w:tr>
      <w:tr w:rsidR="00E607F1" w:rsidRPr="000E69C6" w14:paraId="1F25A776"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72A48B0C" w14:textId="77777777" w:rsidR="00E607F1" w:rsidRPr="000E69C6" w:rsidRDefault="00E607F1" w:rsidP="000E69C6">
            <w:pPr>
              <w:ind w:left="264"/>
              <w:rPr>
                <w:sz w:val="22"/>
                <w:szCs w:val="22"/>
                <w:lang w:val="en-GB"/>
              </w:rPr>
            </w:pPr>
            <w:r w:rsidRPr="000E69C6">
              <w:rPr>
                <w:sz w:val="22"/>
                <w:szCs w:val="22"/>
                <w:lang w:val="en-GB"/>
              </w:rPr>
              <w:t>50 ≤ and &lt; 80</w:t>
            </w:r>
          </w:p>
        </w:tc>
        <w:tc>
          <w:tcPr>
            <w:tcW w:w="1770" w:type="pct"/>
            <w:tcBorders>
              <w:top w:val="single" w:sz="4" w:space="0" w:color="auto"/>
              <w:left w:val="single" w:sz="4" w:space="0" w:color="auto"/>
              <w:bottom w:val="nil"/>
              <w:right w:val="nil"/>
            </w:tcBorders>
            <w:vAlign w:val="bottom"/>
            <w:hideMark/>
          </w:tcPr>
          <w:p w14:paraId="2D772F9D" w14:textId="77777777" w:rsidR="00E607F1" w:rsidRPr="000E69C6" w:rsidRDefault="00E607F1" w:rsidP="00E928DC">
            <w:pPr>
              <w:rPr>
                <w:sz w:val="22"/>
                <w:szCs w:val="22"/>
                <w:lang w:val="en-GB"/>
              </w:rPr>
            </w:pPr>
            <w:r w:rsidRPr="000E69C6">
              <w:rPr>
                <w:sz w:val="22"/>
                <w:szCs w:val="22"/>
                <w:lang w:val="en-GB"/>
              </w:rPr>
              <w:t>0.75 (0.61, 0.92)</w:t>
            </w:r>
          </w:p>
        </w:tc>
        <w:tc>
          <w:tcPr>
            <w:tcW w:w="1706" w:type="pct"/>
            <w:tcBorders>
              <w:top w:val="single" w:sz="4" w:space="0" w:color="auto"/>
              <w:left w:val="single" w:sz="4" w:space="0" w:color="auto"/>
              <w:bottom w:val="nil"/>
              <w:right w:val="single" w:sz="4" w:space="0" w:color="auto"/>
            </w:tcBorders>
            <w:vAlign w:val="bottom"/>
            <w:hideMark/>
          </w:tcPr>
          <w:p w14:paraId="506A755F" w14:textId="77777777" w:rsidR="00E607F1" w:rsidRPr="000E69C6" w:rsidRDefault="00E607F1" w:rsidP="00E928DC">
            <w:pPr>
              <w:rPr>
                <w:sz w:val="22"/>
                <w:szCs w:val="22"/>
                <w:lang w:val="en-GB"/>
              </w:rPr>
            </w:pPr>
            <w:r w:rsidRPr="000E69C6">
              <w:rPr>
                <w:sz w:val="22"/>
                <w:szCs w:val="22"/>
                <w:lang w:val="en-GB"/>
              </w:rPr>
              <w:t>0.90 (0.74, 1.09)</w:t>
            </w:r>
          </w:p>
        </w:tc>
      </w:tr>
      <w:tr w:rsidR="00E607F1" w:rsidRPr="000E69C6" w14:paraId="473F0C83"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02962D91" w14:textId="77777777" w:rsidR="00E607F1" w:rsidRPr="000E69C6" w:rsidRDefault="00E607F1" w:rsidP="000E69C6">
            <w:pPr>
              <w:ind w:left="264"/>
              <w:rPr>
                <w:sz w:val="22"/>
                <w:szCs w:val="22"/>
                <w:lang w:val="en-GB"/>
              </w:rPr>
            </w:pPr>
            <w:r w:rsidRPr="000E69C6">
              <w:rPr>
                <w:sz w:val="22"/>
                <w:szCs w:val="22"/>
                <w:lang w:val="en-GB"/>
              </w:rPr>
              <w:t>≥ 80</w:t>
            </w:r>
          </w:p>
        </w:tc>
        <w:tc>
          <w:tcPr>
            <w:tcW w:w="1770" w:type="pct"/>
            <w:tcBorders>
              <w:top w:val="single" w:sz="4" w:space="0" w:color="auto"/>
              <w:left w:val="single" w:sz="4" w:space="0" w:color="auto"/>
              <w:bottom w:val="nil"/>
              <w:right w:val="nil"/>
            </w:tcBorders>
            <w:vAlign w:val="bottom"/>
            <w:hideMark/>
          </w:tcPr>
          <w:p w14:paraId="565EC308" w14:textId="77777777" w:rsidR="00E607F1" w:rsidRPr="000E69C6" w:rsidRDefault="00E607F1" w:rsidP="00E928DC">
            <w:pPr>
              <w:rPr>
                <w:sz w:val="22"/>
                <w:szCs w:val="22"/>
                <w:lang w:val="en-GB"/>
              </w:rPr>
            </w:pPr>
            <w:r w:rsidRPr="000E69C6">
              <w:rPr>
                <w:sz w:val="22"/>
                <w:szCs w:val="22"/>
                <w:lang w:val="en-GB"/>
              </w:rPr>
              <w:t>0.59 (0.43, 0.82)</w:t>
            </w:r>
          </w:p>
        </w:tc>
        <w:tc>
          <w:tcPr>
            <w:tcW w:w="1706" w:type="pct"/>
            <w:tcBorders>
              <w:top w:val="single" w:sz="4" w:space="0" w:color="auto"/>
              <w:left w:val="single" w:sz="4" w:space="0" w:color="auto"/>
              <w:bottom w:val="nil"/>
              <w:right w:val="single" w:sz="4" w:space="0" w:color="auto"/>
            </w:tcBorders>
            <w:vAlign w:val="bottom"/>
            <w:hideMark/>
          </w:tcPr>
          <w:p w14:paraId="0C6CDBF5" w14:textId="77777777" w:rsidR="00E607F1" w:rsidRPr="000E69C6" w:rsidRDefault="00E607F1" w:rsidP="00E928DC">
            <w:pPr>
              <w:rPr>
                <w:sz w:val="22"/>
                <w:szCs w:val="22"/>
                <w:lang w:val="en-GB"/>
              </w:rPr>
            </w:pPr>
            <w:r w:rsidRPr="000E69C6">
              <w:rPr>
                <w:sz w:val="22"/>
                <w:szCs w:val="22"/>
                <w:lang w:val="en-GB"/>
              </w:rPr>
              <w:t>0.87 (0.65, 1.17)</w:t>
            </w:r>
          </w:p>
        </w:tc>
      </w:tr>
      <w:tr w:rsidR="00E607F1" w:rsidRPr="000E69C6" w14:paraId="299428D8" w14:textId="77777777" w:rsidTr="00E928DC">
        <w:trPr>
          <w:trHeight w:val="57"/>
          <w:jc w:val="center"/>
        </w:trPr>
        <w:tc>
          <w:tcPr>
            <w:tcW w:w="1524" w:type="pct"/>
            <w:tcBorders>
              <w:top w:val="single" w:sz="4" w:space="0" w:color="auto"/>
              <w:left w:val="single" w:sz="4" w:space="0" w:color="auto"/>
              <w:bottom w:val="nil"/>
              <w:right w:val="nil"/>
            </w:tcBorders>
            <w:vAlign w:val="bottom"/>
            <w:hideMark/>
          </w:tcPr>
          <w:p w14:paraId="58CFD481" w14:textId="77777777" w:rsidR="00E607F1" w:rsidRPr="000E69C6" w:rsidRDefault="00E607F1" w:rsidP="000E69C6">
            <w:pPr>
              <w:ind w:left="264"/>
              <w:rPr>
                <w:sz w:val="22"/>
                <w:szCs w:val="22"/>
                <w:lang w:val="en-GB"/>
              </w:rPr>
            </w:pPr>
            <w:r w:rsidRPr="000E69C6">
              <w:rPr>
                <w:sz w:val="22"/>
                <w:szCs w:val="22"/>
                <w:lang w:val="en-GB"/>
              </w:rPr>
              <w:t>ASA use</w:t>
            </w:r>
          </w:p>
        </w:tc>
        <w:tc>
          <w:tcPr>
            <w:tcW w:w="1770" w:type="pct"/>
            <w:tcBorders>
              <w:top w:val="single" w:sz="4" w:space="0" w:color="auto"/>
              <w:left w:val="single" w:sz="4" w:space="0" w:color="auto"/>
              <w:bottom w:val="nil"/>
              <w:right w:val="nil"/>
            </w:tcBorders>
            <w:vAlign w:val="bottom"/>
            <w:hideMark/>
          </w:tcPr>
          <w:p w14:paraId="38184DAD" w14:textId="77777777" w:rsidR="00E607F1" w:rsidRPr="000E69C6" w:rsidRDefault="00E607F1" w:rsidP="00E928DC">
            <w:pPr>
              <w:rPr>
                <w:sz w:val="22"/>
                <w:szCs w:val="22"/>
                <w:lang w:val="en-GB"/>
              </w:rPr>
            </w:pPr>
            <w:r w:rsidRPr="000E69C6">
              <w:rPr>
                <w:sz w:val="22"/>
                <w:szCs w:val="22"/>
                <w:lang w:val="en-GB"/>
              </w:rPr>
              <w:t>0.84 (0.69, 1.03)</w:t>
            </w:r>
          </w:p>
        </w:tc>
        <w:tc>
          <w:tcPr>
            <w:tcW w:w="1706" w:type="pct"/>
            <w:tcBorders>
              <w:top w:val="single" w:sz="4" w:space="0" w:color="auto"/>
              <w:left w:val="single" w:sz="4" w:space="0" w:color="auto"/>
              <w:bottom w:val="nil"/>
              <w:right w:val="single" w:sz="4" w:space="0" w:color="auto"/>
            </w:tcBorders>
            <w:vAlign w:val="bottom"/>
            <w:hideMark/>
          </w:tcPr>
          <w:p w14:paraId="1768C682" w14:textId="77777777" w:rsidR="00E607F1" w:rsidRPr="000E69C6" w:rsidRDefault="00E607F1" w:rsidP="00E928DC">
            <w:pPr>
              <w:rPr>
                <w:sz w:val="22"/>
                <w:szCs w:val="22"/>
                <w:lang w:val="en-GB"/>
              </w:rPr>
            </w:pPr>
            <w:r w:rsidRPr="000E69C6">
              <w:rPr>
                <w:sz w:val="22"/>
                <w:szCs w:val="22"/>
                <w:lang w:val="en-GB"/>
              </w:rPr>
              <w:t>0.97 (0.79, 1.18)</w:t>
            </w:r>
          </w:p>
        </w:tc>
      </w:tr>
      <w:tr w:rsidR="00E607F1" w:rsidRPr="000E69C6" w14:paraId="2C14736E" w14:textId="77777777" w:rsidTr="00E928DC">
        <w:trPr>
          <w:trHeight w:val="57"/>
          <w:jc w:val="center"/>
        </w:trPr>
        <w:tc>
          <w:tcPr>
            <w:tcW w:w="1524" w:type="pct"/>
            <w:tcBorders>
              <w:top w:val="single" w:sz="4" w:space="0" w:color="auto"/>
              <w:left w:val="single" w:sz="4" w:space="0" w:color="auto"/>
              <w:bottom w:val="single" w:sz="4" w:space="0" w:color="auto"/>
              <w:right w:val="nil"/>
            </w:tcBorders>
            <w:vAlign w:val="bottom"/>
            <w:hideMark/>
          </w:tcPr>
          <w:p w14:paraId="33EFA21D" w14:textId="77777777" w:rsidR="00E607F1" w:rsidRPr="000E69C6" w:rsidRDefault="00E607F1" w:rsidP="000E69C6">
            <w:pPr>
              <w:ind w:left="264"/>
              <w:rPr>
                <w:sz w:val="22"/>
                <w:szCs w:val="22"/>
                <w:lang w:val="en-GB"/>
              </w:rPr>
            </w:pPr>
            <w:r w:rsidRPr="000E69C6">
              <w:rPr>
                <w:sz w:val="22"/>
                <w:szCs w:val="22"/>
                <w:lang w:val="en-GB"/>
              </w:rPr>
              <w:t>Clopidogrel use</w:t>
            </w:r>
          </w:p>
        </w:tc>
        <w:tc>
          <w:tcPr>
            <w:tcW w:w="1770" w:type="pct"/>
            <w:tcBorders>
              <w:top w:val="single" w:sz="4" w:space="0" w:color="auto"/>
              <w:left w:val="single" w:sz="4" w:space="0" w:color="auto"/>
              <w:bottom w:val="single" w:sz="4" w:space="0" w:color="auto"/>
              <w:right w:val="nil"/>
            </w:tcBorders>
            <w:vAlign w:val="bottom"/>
            <w:hideMark/>
          </w:tcPr>
          <w:p w14:paraId="0B2AFC7E" w14:textId="77777777" w:rsidR="00E607F1" w:rsidRPr="000E69C6" w:rsidRDefault="00E607F1" w:rsidP="00E928DC">
            <w:pPr>
              <w:rPr>
                <w:sz w:val="22"/>
                <w:szCs w:val="22"/>
                <w:lang w:val="en-GB"/>
              </w:rPr>
            </w:pPr>
            <w:r w:rsidRPr="000E69C6">
              <w:rPr>
                <w:sz w:val="22"/>
                <w:szCs w:val="22"/>
                <w:lang w:val="en-GB"/>
              </w:rPr>
              <w:t>0.89 (0.55, 1.45)</w:t>
            </w:r>
          </w:p>
        </w:tc>
        <w:tc>
          <w:tcPr>
            <w:tcW w:w="1706" w:type="pct"/>
            <w:tcBorders>
              <w:top w:val="single" w:sz="4" w:space="0" w:color="auto"/>
              <w:left w:val="single" w:sz="4" w:space="0" w:color="auto"/>
              <w:bottom w:val="single" w:sz="4" w:space="0" w:color="auto"/>
              <w:right w:val="single" w:sz="4" w:space="0" w:color="auto"/>
            </w:tcBorders>
            <w:vAlign w:val="bottom"/>
            <w:hideMark/>
          </w:tcPr>
          <w:p w14:paraId="0B252BF8" w14:textId="77777777" w:rsidR="00E607F1" w:rsidRPr="000E69C6" w:rsidRDefault="00E607F1" w:rsidP="00E928DC">
            <w:pPr>
              <w:rPr>
                <w:sz w:val="22"/>
                <w:szCs w:val="22"/>
                <w:lang w:val="en-GB"/>
              </w:rPr>
            </w:pPr>
            <w:r w:rsidRPr="000E69C6">
              <w:rPr>
                <w:sz w:val="22"/>
                <w:szCs w:val="22"/>
                <w:lang w:val="en-GB"/>
              </w:rPr>
              <w:t>0.92 (0.57, 1.48)</w:t>
            </w:r>
          </w:p>
        </w:tc>
      </w:tr>
    </w:tbl>
    <w:p w14:paraId="279D0E7E" w14:textId="77777777" w:rsidR="00E607F1" w:rsidRPr="00B55C24" w:rsidRDefault="00E607F1" w:rsidP="00E607F1">
      <w:pPr>
        <w:tabs>
          <w:tab w:val="left" w:pos="851"/>
        </w:tabs>
        <w:ind w:left="851"/>
        <w:rPr>
          <w:sz w:val="24"/>
          <w:szCs w:val="24"/>
          <w:lang w:val="en-GB"/>
        </w:rPr>
      </w:pPr>
    </w:p>
    <w:p w14:paraId="4F41AED8" w14:textId="77777777" w:rsidR="00E607F1" w:rsidRPr="000E69C6" w:rsidRDefault="00E607F1" w:rsidP="00E928DC">
      <w:pPr>
        <w:ind w:left="851"/>
        <w:rPr>
          <w:i/>
          <w:iCs/>
          <w:sz w:val="24"/>
          <w:szCs w:val="24"/>
          <w:lang w:val="en-GB"/>
        </w:rPr>
      </w:pPr>
      <w:r w:rsidRPr="000E69C6">
        <w:rPr>
          <w:i/>
          <w:iCs/>
          <w:sz w:val="24"/>
          <w:szCs w:val="24"/>
          <w:lang w:val="en-GB"/>
        </w:rPr>
        <w:t>RELY-ABLE (Long term multi-</w:t>
      </w:r>
      <w:proofErr w:type="spellStart"/>
      <w:r w:rsidRPr="000E69C6">
        <w:rPr>
          <w:i/>
          <w:iCs/>
          <w:sz w:val="24"/>
          <w:szCs w:val="24"/>
          <w:lang w:val="en-GB"/>
        </w:rPr>
        <w:t>center</w:t>
      </w:r>
      <w:proofErr w:type="spellEnd"/>
      <w:r w:rsidRPr="000E69C6">
        <w:rPr>
          <w:i/>
          <w:iCs/>
          <w:sz w:val="24"/>
          <w:szCs w:val="24"/>
          <w:lang w:val="en-GB"/>
        </w:rPr>
        <w:t xml:space="preserve"> extension of dabigatran treatment in patients with atrial fibrillation who completed the RE-LY trial)</w:t>
      </w:r>
    </w:p>
    <w:p w14:paraId="25DD81B7" w14:textId="77777777" w:rsidR="00E607F1" w:rsidRPr="00B55C24" w:rsidRDefault="00E607F1" w:rsidP="00E928DC">
      <w:pPr>
        <w:ind w:left="851"/>
        <w:rPr>
          <w:sz w:val="24"/>
          <w:szCs w:val="24"/>
          <w:lang w:val="en-GB"/>
        </w:rPr>
      </w:pPr>
    </w:p>
    <w:p w14:paraId="3DC61CE0" w14:textId="77777777" w:rsidR="00E607F1" w:rsidRPr="00B55C24" w:rsidRDefault="00E607F1" w:rsidP="00E928DC">
      <w:pPr>
        <w:ind w:left="851"/>
        <w:rPr>
          <w:sz w:val="24"/>
          <w:szCs w:val="24"/>
          <w:lang w:val="en-GB"/>
        </w:rPr>
      </w:pPr>
      <w:r w:rsidRPr="00B55C24">
        <w:rPr>
          <w:sz w:val="24"/>
          <w:szCs w:val="24"/>
          <w:lang w:val="en-GB"/>
        </w:rPr>
        <w:t xml:space="preserve">The RE-LY extension study (RELY-ABLE) provided additional safety information for a cohort of patients which continued the same dose of dabigatran </w:t>
      </w:r>
      <w:proofErr w:type="spellStart"/>
      <w:r w:rsidRPr="00B55C24">
        <w:rPr>
          <w:sz w:val="24"/>
          <w:szCs w:val="24"/>
          <w:lang w:val="en-GB"/>
        </w:rPr>
        <w:t>etexilate</w:t>
      </w:r>
      <w:proofErr w:type="spellEnd"/>
      <w:r w:rsidRPr="00B55C24">
        <w:rPr>
          <w:sz w:val="24"/>
          <w:szCs w:val="24"/>
          <w:lang w:val="en-GB"/>
        </w:rPr>
        <w:t xml:space="preserve"> as assigned in the RE-LY trial. Patients were eligible for the RELY-ABLE trial if they had not permanently discontinued study medication at the time of their final RE-LY study visit. Enrolled patients continued to receive the same double-blind dabigatran </w:t>
      </w:r>
      <w:proofErr w:type="spellStart"/>
      <w:r w:rsidRPr="00B55C24">
        <w:rPr>
          <w:sz w:val="24"/>
          <w:szCs w:val="24"/>
          <w:lang w:val="en-GB"/>
        </w:rPr>
        <w:t>etexilate</w:t>
      </w:r>
      <w:proofErr w:type="spellEnd"/>
      <w:r w:rsidRPr="00B55C24">
        <w:rPr>
          <w:sz w:val="24"/>
          <w:szCs w:val="24"/>
          <w:lang w:val="en-GB"/>
        </w:rPr>
        <w:t xml:space="preserve"> dose randomly allocated in RE-LY, for up to 43 months of follow up after RE-LY (total mean follow-up RE-LY + RELY-ABLE, 4.5 years). There were 5897 patients enrolled, representing 49% of patients originally randomly assigned to receive dabigatran </w:t>
      </w:r>
      <w:proofErr w:type="spellStart"/>
      <w:r w:rsidRPr="00B55C24">
        <w:rPr>
          <w:sz w:val="24"/>
          <w:szCs w:val="24"/>
          <w:lang w:val="en-GB"/>
        </w:rPr>
        <w:t>etexilate</w:t>
      </w:r>
      <w:proofErr w:type="spellEnd"/>
      <w:r w:rsidRPr="00B55C24">
        <w:rPr>
          <w:sz w:val="24"/>
          <w:szCs w:val="24"/>
          <w:lang w:val="en-GB"/>
        </w:rPr>
        <w:t xml:space="preserve"> in RE-LY and 86% of RELY-ABLE-eligible patients.</w:t>
      </w:r>
    </w:p>
    <w:p w14:paraId="744E9D94" w14:textId="1E4B8ECE" w:rsidR="00E607F1" w:rsidRPr="00B55C24" w:rsidRDefault="00E607F1" w:rsidP="00E928DC">
      <w:pPr>
        <w:ind w:left="851"/>
        <w:rPr>
          <w:sz w:val="24"/>
          <w:szCs w:val="24"/>
          <w:lang w:val="en-GB"/>
        </w:rPr>
      </w:pPr>
      <w:r w:rsidRPr="00B55C24">
        <w:rPr>
          <w:sz w:val="24"/>
          <w:szCs w:val="24"/>
          <w:lang w:val="en-GB"/>
        </w:rPr>
        <w:t xml:space="preserve">During the additional 2.5 years of treatment in RELY-ABLE, with a maximum exposure of over 6 years (total exposure in </w:t>
      </w:r>
      <w:proofErr w:type="gramStart"/>
      <w:r w:rsidRPr="00B55C24">
        <w:rPr>
          <w:sz w:val="24"/>
          <w:szCs w:val="24"/>
          <w:lang w:val="en-GB"/>
        </w:rPr>
        <w:t>RELY</w:t>
      </w:r>
      <w:proofErr w:type="gramEnd"/>
      <w:r w:rsidRPr="00B55C24">
        <w:rPr>
          <w:sz w:val="24"/>
          <w:szCs w:val="24"/>
          <w:lang w:val="en-GB"/>
        </w:rPr>
        <w:t xml:space="preserve"> + RELY-ABLE), the long-term safety profile of dabigatran </w:t>
      </w:r>
      <w:proofErr w:type="spellStart"/>
      <w:r w:rsidRPr="00B55C24">
        <w:rPr>
          <w:sz w:val="24"/>
          <w:szCs w:val="24"/>
          <w:lang w:val="en-GB"/>
        </w:rPr>
        <w:t>etexilate</w:t>
      </w:r>
      <w:proofErr w:type="spellEnd"/>
      <w:r w:rsidRPr="00B55C24">
        <w:rPr>
          <w:sz w:val="24"/>
          <w:szCs w:val="24"/>
          <w:lang w:val="en-GB"/>
        </w:rPr>
        <w:t xml:space="preserve"> was confirmed for both test doses 110 mg b.i.d. and 150 mg b.i.d. No new safety findings were observed.</w:t>
      </w:r>
    </w:p>
    <w:p w14:paraId="07003FAA" w14:textId="77777777" w:rsidR="00E607F1" w:rsidRPr="00B55C24" w:rsidRDefault="00E607F1" w:rsidP="00E928DC">
      <w:pPr>
        <w:ind w:left="851"/>
        <w:rPr>
          <w:sz w:val="24"/>
          <w:szCs w:val="24"/>
          <w:lang w:val="en-GB"/>
        </w:rPr>
      </w:pPr>
      <w:r w:rsidRPr="00B55C24">
        <w:rPr>
          <w:sz w:val="24"/>
          <w:szCs w:val="24"/>
          <w:lang w:val="en-GB"/>
        </w:rPr>
        <w:t>The rates of outcome events including, major bleed and other bleeding events were consistent with those seen in RE-LY.</w:t>
      </w:r>
    </w:p>
    <w:p w14:paraId="2F970AD7" w14:textId="77777777" w:rsidR="00E607F1" w:rsidRPr="00B55C24" w:rsidRDefault="00E607F1" w:rsidP="00E928DC">
      <w:pPr>
        <w:ind w:left="851"/>
        <w:rPr>
          <w:sz w:val="24"/>
          <w:szCs w:val="24"/>
          <w:lang w:val="en-GB"/>
        </w:rPr>
      </w:pPr>
    </w:p>
    <w:p w14:paraId="5087A8C8" w14:textId="77777777" w:rsidR="00E607F1" w:rsidRPr="000E69C6" w:rsidRDefault="00E607F1" w:rsidP="00E928DC">
      <w:pPr>
        <w:ind w:left="851"/>
        <w:rPr>
          <w:i/>
          <w:iCs/>
          <w:sz w:val="24"/>
          <w:szCs w:val="24"/>
          <w:lang w:val="en-GB"/>
        </w:rPr>
      </w:pPr>
      <w:r w:rsidRPr="000E69C6">
        <w:rPr>
          <w:i/>
          <w:iCs/>
          <w:sz w:val="24"/>
          <w:szCs w:val="24"/>
          <w:lang w:val="en-GB"/>
        </w:rPr>
        <w:t>Data from non-interventional studies</w:t>
      </w:r>
    </w:p>
    <w:p w14:paraId="7F62CFDA" w14:textId="77777777" w:rsidR="00E607F1" w:rsidRPr="00B55C24" w:rsidRDefault="00E607F1" w:rsidP="00E928DC">
      <w:pPr>
        <w:ind w:left="851"/>
        <w:rPr>
          <w:sz w:val="24"/>
          <w:szCs w:val="24"/>
          <w:lang w:val="en-GB"/>
        </w:rPr>
      </w:pPr>
    </w:p>
    <w:p w14:paraId="0CCCDE2D" w14:textId="77777777" w:rsidR="00E607F1" w:rsidRPr="00B55C24" w:rsidRDefault="00E607F1" w:rsidP="00E928DC">
      <w:pPr>
        <w:ind w:left="851"/>
        <w:rPr>
          <w:sz w:val="24"/>
          <w:szCs w:val="24"/>
          <w:lang w:val="en-GB"/>
        </w:rPr>
      </w:pPr>
      <w:r w:rsidRPr="00B55C24">
        <w:rPr>
          <w:sz w:val="24"/>
          <w:szCs w:val="24"/>
          <w:lang w:val="en-GB"/>
        </w:rPr>
        <w:t xml:space="preserve">A non-interventional study (GLORIA-AF) prospectively collected (in its second phase) safety and effectiveness data in newly diagnosed NVAF patients on dabigatran </w:t>
      </w:r>
      <w:proofErr w:type="spellStart"/>
      <w:r w:rsidRPr="00B55C24">
        <w:rPr>
          <w:sz w:val="24"/>
          <w:szCs w:val="24"/>
          <w:lang w:val="en-GB"/>
        </w:rPr>
        <w:t>etexilate</w:t>
      </w:r>
      <w:proofErr w:type="spellEnd"/>
      <w:r w:rsidRPr="00B55C24">
        <w:rPr>
          <w:sz w:val="24"/>
          <w:szCs w:val="24"/>
          <w:lang w:val="en-GB"/>
        </w:rPr>
        <w:t xml:space="preserve"> in a real-world setting. The study included 4,859 patients on dabigatran </w:t>
      </w:r>
      <w:proofErr w:type="spellStart"/>
      <w:r w:rsidRPr="00B55C24">
        <w:rPr>
          <w:sz w:val="24"/>
          <w:szCs w:val="24"/>
          <w:lang w:val="en-GB"/>
        </w:rPr>
        <w:t>etexilate</w:t>
      </w:r>
      <w:proofErr w:type="spellEnd"/>
      <w:r w:rsidRPr="00B55C24">
        <w:rPr>
          <w:sz w:val="24"/>
          <w:szCs w:val="24"/>
          <w:lang w:val="en-GB"/>
        </w:rPr>
        <w:t xml:space="preserve"> (55% treated with 150 mg bid, 43% treated with 110 mg bid, 2% treated with 75 mg bid). Patients were </w:t>
      </w:r>
      <w:proofErr w:type="gramStart"/>
      <w:r w:rsidRPr="00B55C24">
        <w:rPr>
          <w:sz w:val="24"/>
          <w:szCs w:val="24"/>
          <w:lang w:val="en-GB"/>
        </w:rPr>
        <w:t>followed-up</w:t>
      </w:r>
      <w:proofErr w:type="gramEnd"/>
      <w:r w:rsidRPr="00B55C24">
        <w:rPr>
          <w:sz w:val="24"/>
          <w:szCs w:val="24"/>
          <w:lang w:val="en-GB"/>
        </w:rPr>
        <w:t xml:space="preserve"> for 2 years. The mean CHADS2 and HAS-BLED scores were 1.9 and 1.2, respectively. Mean on-therapy follow-up time was 18.3 months. Major bleeding occurred in 0.97 per 100 patient-years. Life-threatening bleeding was reported in 0.46 per 100 patient-years, intracranial haemorrhage in 0.17 per 100 patient-years and gastrointestinal bleeding in 0.60 per 100 patient-years. Stroke occurred in 0.65 per 100 patient-years.</w:t>
      </w:r>
    </w:p>
    <w:p w14:paraId="2A74211E" w14:textId="77777777" w:rsidR="00E607F1" w:rsidRPr="00B55C24" w:rsidRDefault="00E607F1" w:rsidP="00E928DC">
      <w:pPr>
        <w:ind w:left="851"/>
        <w:rPr>
          <w:sz w:val="24"/>
          <w:szCs w:val="24"/>
          <w:lang w:val="en-GB"/>
        </w:rPr>
      </w:pPr>
    </w:p>
    <w:p w14:paraId="44273B4A" w14:textId="77777777" w:rsidR="00E607F1" w:rsidRPr="00B55C24" w:rsidRDefault="00E607F1" w:rsidP="00E928DC">
      <w:pPr>
        <w:ind w:left="851"/>
        <w:rPr>
          <w:sz w:val="24"/>
          <w:szCs w:val="24"/>
          <w:lang w:val="en-GB"/>
        </w:rPr>
      </w:pPr>
      <w:r w:rsidRPr="00B55C24">
        <w:rPr>
          <w:sz w:val="24"/>
          <w:szCs w:val="24"/>
          <w:lang w:val="en-GB"/>
        </w:rPr>
        <w:t>In addition, in a non-interventional study [Graham DJ et al., Circulation. 2015;131:157</w:t>
      </w:r>
      <w:r w:rsidRPr="00B55C24">
        <w:rPr>
          <w:sz w:val="24"/>
          <w:szCs w:val="24"/>
          <w:lang w:val="en-GB"/>
        </w:rPr>
        <w:noBreakHyphen/>
        <w:t xml:space="preserve">164] in more than 134,000 elderly patients with NVAF in the United States (contributing more than 37,500 patient-years of on-therapy follow-up time) dabigatran </w:t>
      </w:r>
      <w:proofErr w:type="spellStart"/>
      <w:r w:rsidRPr="00B55C24">
        <w:rPr>
          <w:sz w:val="24"/>
          <w:szCs w:val="24"/>
          <w:lang w:val="en-GB"/>
        </w:rPr>
        <w:t>etexilate</w:t>
      </w:r>
      <w:proofErr w:type="spellEnd"/>
      <w:r w:rsidRPr="00B55C24">
        <w:rPr>
          <w:sz w:val="24"/>
          <w:szCs w:val="24"/>
          <w:lang w:val="en-GB"/>
        </w:rPr>
        <w:t xml:space="preserve"> (84% patients treated with 150 mg bid, 16% patients treated with 75 mg bid) was associated with a reduced risk of ischemic stroke (hazard ratio 0.80, 95% confidence interval [CI] 0.67</w:t>
      </w:r>
      <w:r w:rsidRPr="00B55C24">
        <w:rPr>
          <w:sz w:val="24"/>
          <w:szCs w:val="24"/>
          <w:lang w:val="en-GB"/>
        </w:rPr>
        <w:noBreakHyphen/>
        <w:t>0.96), intracranial haemorrhage (hazard ratio 0.34, CI 0.26</w:t>
      </w:r>
      <w:r w:rsidRPr="00B55C24">
        <w:rPr>
          <w:sz w:val="24"/>
          <w:szCs w:val="24"/>
          <w:lang w:val="en-GB"/>
        </w:rPr>
        <w:noBreakHyphen/>
        <w:t>0.46), and mortality (hazard ratio 0.86, CI 0.77</w:t>
      </w:r>
      <w:r w:rsidRPr="00B55C24">
        <w:rPr>
          <w:sz w:val="24"/>
          <w:szCs w:val="24"/>
          <w:lang w:val="en-GB"/>
        </w:rPr>
        <w:noBreakHyphen/>
        <w:t>0.96) and increased risk of gastrointestinal bleeding (hazard ratio 1.28, CI 1.14</w:t>
      </w:r>
      <w:r w:rsidRPr="00B55C24">
        <w:rPr>
          <w:sz w:val="24"/>
          <w:szCs w:val="24"/>
          <w:lang w:val="en-GB"/>
        </w:rPr>
        <w:noBreakHyphen/>
        <w:t>1.44) compared to warfarin. No difference was found for major bleeding (hazard ratio 0.97, CI 0.88</w:t>
      </w:r>
      <w:r w:rsidRPr="00B55C24">
        <w:rPr>
          <w:sz w:val="24"/>
          <w:szCs w:val="24"/>
          <w:lang w:val="en-GB"/>
        </w:rPr>
        <w:noBreakHyphen/>
        <w:t>1.07).</w:t>
      </w:r>
    </w:p>
    <w:p w14:paraId="301A52FC" w14:textId="77777777" w:rsidR="00E607F1" w:rsidRPr="00B55C24" w:rsidRDefault="00E607F1" w:rsidP="00E928DC">
      <w:pPr>
        <w:ind w:left="851"/>
        <w:rPr>
          <w:sz w:val="24"/>
          <w:szCs w:val="24"/>
          <w:lang w:val="en-GB"/>
        </w:rPr>
      </w:pPr>
    </w:p>
    <w:p w14:paraId="7CEE63DC" w14:textId="77777777" w:rsidR="00E607F1" w:rsidRPr="00B55C24" w:rsidRDefault="00E607F1" w:rsidP="00E928DC">
      <w:pPr>
        <w:ind w:left="851"/>
        <w:rPr>
          <w:sz w:val="24"/>
          <w:szCs w:val="24"/>
          <w:lang w:val="en-GB"/>
        </w:rPr>
      </w:pPr>
      <w:r w:rsidRPr="00B55C24">
        <w:rPr>
          <w:sz w:val="24"/>
          <w:szCs w:val="24"/>
          <w:lang w:val="en-GB"/>
        </w:rPr>
        <w:t xml:space="preserve">These observations in real-world settings are consistent with the established safety and efficacy profile for dabigatran </w:t>
      </w:r>
      <w:proofErr w:type="spellStart"/>
      <w:r w:rsidRPr="00B55C24">
        <w:rPr>
          <w:sz w:val="24"/>
          <w:szCs w:val="24"/>
          <w:lang w:val="en-GB"/>
        </w:rPr>
        <w:t>etexilate</w:t>
      </w:r>
      <w:proofErr w:type="spellEnd"/>
      <w:r w:rsidRPr="00B55C24">
        <w:rPr>
          <w:sz w:val="24"/>
          <w:szCs w:val="24"/>
          <w:lang w:val="en-GB"/>
        </w:rPr>
        <w:t xml:space="preserve"> in the RE-LY study in this indication.</w:t>
      </w:r>
    </w:p>
    <w:p w14:paraId="6079F8B7" w14:textId="77777777" w:rsidR="00E607F1" w:rsidRPr="00B55C24" w:rsidRDefault="00E607F1" w:rsidP="00E928DC">
      <w:pPr>
        <w:ind w:left="851"/>
        <w:rPr>
          <w:sz w:val="24"/>
          <w:szCs w:val="24"/>
          <w:lang w:val="en-GB"/>
        </w:rPr>
      </w:pPr>
    </w:p>
    <w:p w14:paraId="42475FD1" w14:textId="77777777" w:rsidR="00E607F1" w:rsidRPr="000E69C6" w:rsidRDefault="00E607F1" w:rsidP="00E928DC">
      <w:pPr>
        <w:ind w:left="851"/>
        <w:rPr>
          <w:i/>
          <w:iCs/>
          <w:sz w:val="24"/>
          <w:szCs w:val="24"/>
          <w:lang w:val="en-GB"/>
        </w:rPr>
      </w:pPr>
      <w:r w:rsidRPr="000E69C6">
        <w:rPr>
          <w:i/>
          <w:iCs/>
          <w:sz w:val="24"/>
          <w:szCs w:val="24"/>
          <w:lang w:val="en-GB"/>
        </w:rPr>
        <w:t>Patients undergoing catheter ablation for atrial fibrillation</w:t>
      </w:r>
    </w:p>
    <w:p w14:paraId="4733BEE0" w14:textId="77777777" w:rsidR="00E607F1" w:rsidRPr="00B55C24" w:rsidRDefault="00E607F1" w:rsidP="00E928DC">
      <w:pPr>
        <w:ind w:left="851"/>
        <w:rPr>
          <w:sz w:val="24"/>
          <w:szCs w:val="24"/>
          <w:lang w:val="en-GB"/>
        </w:rPr>
      </w:pPr>
    </w:p>
    <w:p w14:paraId="272E6B12" w14:textId="77777777" w:rsidR="00E607F1" w:rsidRPr="00B55C24" w:rsidRDefault="00E607F1" w:rsidP="00E928DC">
      <w:pPr>
        <w:ind w:left="851"/>
        <w:rPr>
          <w:sz w:val="24"/>
          <w:szCs w:val="24"/>
          <w:lang w:val="en-GB"/>
        </w:rPr>
      </w:pPr>
      <w:r w:rsidRPr="00B55C24">
        <w:rPr>
          <w:sz w:val="24"/>
          <w:szCs w:val="24"/>
          <w:lang w:val="en-GB"/>
        </w:rPr>
        <w:t xml:space="preserve">A prospective, randomised, open-label, </w:t>
      </w:r>
      <w:proofErr w:type="spellStart"/>
      <w:r w:rsidRPr="00B55C24">
        <w:rPr>
          <w:sz w:val="24"/>
          <w:szCs w:val="24"/>
          <w:lang w:val="en-GB"/>
        </w:rPr>
        <w:t>multicenter</w:t>
      </w:r>
      <w:proofErr w:type="spellEnd"/>
      <w:r w:rsidRPr="00B55C24">
        <w:rPr>
          <w:sz w:val="24"/>
          <w:szCs w:val="24"/>
          <w:lang w:val="en-GB"/>
        </w:rPr>
        <w:t xml:space="preserve">, exploratory study with blinded, centrally adjudicated endpoint evaluation (RE-CIRCUIT) was conducted in 704 patients who were under stable anticoagulant treatment. The study compared 150 mg twice daily uninterrupted dabigatran </w:t>
      </w:r>
      <w:proofErr w:type="spellStart"/>
      <w:r w:rsidRPr="00B55C24">
        <w:rPr>
          <w:sz w:val="24"/>
          <w:szCs w:val="24"/>
          <w:lang w:val="en-GB"/>
        </w:rPr>
        <w:t>etexilate</w:t>
      </w:r>
      <w:proofErr w:type="spellEnd"/>
      <w:r w:rsidRPr="00B55C24">
        <w:rPr>
          <w:sz w:val="24"/>
          <w:szCs w:val="24"/>
          <w:lang w:val="en-GB"/>
        </w:rPr>
        <w:t xml:space="preserve"> with uninterrupted INR-adjusted warfarin in catheter ablation of paroxysmal or persistent atrial fibrillation. Of the 704 enrolled patients, 317 underwent atrial fibrillation ablation on uninterrupted dabigatran and 318 underwent atrial fibrillation ablation on uninterrupted warfarin. All patients underwent a Trans-oesophageal Echocardiography (TEE) prior to catheter ablation. The primary outcome (adjudicated major bleeding according to ISTH criteria) occurred in 5 (1.6%) patients in the dabigatran </w:t>
      </w:r>
      <w:proofErr w:type="spellStart"/>
      <w:r w:rsidRPr="00B55C24">
        <w:rPr>
          <w:sz w:val="24"/>
          <w:szCs w:val="24"/>
          <w:lang w:val="en-GB"/>
        </w:rPr>
        <w:t>etexilate</w:t>
      </w:r>
      <w:proofErr w:type="spellEnd"/>
      <w:r w:rsidRPr="00B55C24">
        <w:rPr>
          <w:sz w:val="24"/>
          <w:szCs w:val="24"/>
          <w:lang w:val="en-GB"/>
        </w:rPr>
        <w:t xml:space="preserve"> group and 22 (6.9%) patients in the warfarin group (risk difference -5.3%; 95% CI -8.4, -2.2; P = 0.0009). There was no stroke/systemic embolism/TIA (composite) event in the dabigatran </w:t>
      </w:r>
      <w:proofErr w:type="spellStart"/>
      <w:r w:rsidRPr="00B55C24">
        <w:rPr>
          <w:sz w:val="24"/>
          <w:szCs w:val="24"/>
          <w:lang w:val="en-GB"/>
        </w:rPr>
        <w:t>etexilate</w:t>
      </w:r>
      <w:proofErr w:type="spellEnd"/>
      <w:r w:rsidRPr="00B55C24">
        <w:rPr>
          <w:sz w:val="24"/>
          <w:szCs w:val="24"/>
          <w:lang w:val="en-GB"/>
        </w:rPr>
        <w:t xml:space="preserve"> arm, and one event (TIA) in the warfarin arm from the time of ablation and until 8 weeks post-ablation. This exploratory study showed that dabigatran </w:t>
      </w:r>
      <w:proofErr w:type="spellStart"/>
      <w:r w:rsidRPr="00B55C24">
        <w:rPr>
          <w:sz w:val="24"/>
          <w:szCs w:val="24"/>
          <w:lang w:val="en-GB"/>
        </w:rPr>
        <w:t>etexilate</w:t>
      </w:r>
      <w:proofErr w:type="spellEnd"/>
      <w:r w:rsidRPr="00B55C24">
        <w:rPr>
          <w:sz w:val="24"/>
          <w:szCs w:val="24"/>
          <w:lang w:val="en-GB"/>
        </w:rPr>
        <w:t xml:space="preserve"> was associated with a significant reduction in MBE rate compared with INR-adjusted warfarin in the setting of ablation.</w:t>
      </w:r>
    </w:p>
    <w:p w14:paraId="3ACE6742" w14:textId="77777777" w:rsidR="00E607F1" w:rsidRPr="00B55C24" w:rsidRDefault="00E607F1" w:rsidP="00E928DC">
      <w:pPr>
        <w:ind w:left="851"/>
        <w:rPr>
          <w:sz w:val="24"/>
          <w:szCs w:val="24"/>
          <w:lang w:val="en-GB"/>
        </w:rPr>
      </w:pPr>
    </w:p>
    <w:p w14:paraId="1B5C2107" w14:textId="77777777" w:rsidR="00E607F1" w:rsidRPr="000E69C6" w:rsidRDefault="00E607F1" w:rsidP="00E928DC">
      <w:pPr>
        <w:ind w:left="851"/>
        <w:rPr>
          <w:i/>
          <w:iCs/>
          <w:sz w:val="24"/>
          <w:szCs w:val="24"/>
          <w:lang w:val="en-GB"/>
        </w:rPr>
      </w:pPr>
      <w:r w:rsidRPr="000E69C6">
        <w:rPr>
          <w:i/>
          <w:iCs/>
          <w:sz w:val="24"/>
          <w:szCs w:val="24"/>
          <w:lang w:val="en-GB"/>
        </w:rPr>
        <w:t>Patients who underwent percutaneous coronary intervention (PCI) with stenting</w:t>
      </w:r>
    </w:p>
    <w:p w14:paraId="386BB90C" w14:textId="77777777" w:rsidR="00E607F1" w:rsidRPr="00B55C24" w:rsidRDefault="00E607F1" w:rsidP="00E928DC">
      <w:pPr>
        <w:ind w:left="851"/>
        <w:rPr>
          <w:sz w:val="24"/>
          <w:szCs w:val="24"/>
          <w:lang w:val="en-GB"/>
        </w:rPr>
      </w:pPr>
    </w:p>
    <w:p w14:paraId="17A6E158" w14:textId="76DDBE6B" w:rsidR="00E607F1" w:rsidRPr="00B55C24" w:rsidRDefault="00E607F1" w:rsidP="00E928DC">
      <w:pPr>
        <w:ind w:left="851"/>
        <w:rPr>
          <w:sz w:val="24"/>
          <w:szCs w:val="24"/>
          <w:lang w:val="en-GB"/>
        </w:rPr>
      </w:pPr>
      <w:r w:rsidRPr="00B55C24">
        <w:rPr>
          <w:sz w:val="24"/>
          <w:szCs w:val="24"/>
          <w:lang w:val="en-GB"/>
        </w:rPr>
        <w:t xml:space="preserve">A prospective, randomised, open-label, blinded endpoint (PROBE) study (Phase </w:t>
      </w:r>
      <w:proofErr w:type="spellStart"/>
      <w:r w:rsidRPr="00B55C24">
        <w:rPr>
          <w:sz w:val="24"/>
          <w:szCs w:val="24"/>
          <w:lang w:val="en-GB"/>
        </w:rPr>
        <w:t>IIIb</w:t>
      </w:r>
      <w:proofErr w:type="spellEnd"/>
      <w:r w:rsidRPr="00B55C24">
        <w:rPr>
          <w:sz w:val="24"/>
          <w:szCs w:val="24"/>
          <w:lang w:val="en-GB"/>
        </w:rPr>
        <w:t xml:space="preserve">) to evaluate </w:t>
      </w:r>
      <w:proofErr w:type="spellStart"/>
      <w:r w:rsidRPr="00B55C24">
        <w:rPr>
          <w:sz w:val="24"/>
          <w:szCs w:val="24"/>
          <w:lang w:val="en-GB"/>
        </w:rPr>
        <w:t>dual</w:t>
      </w:r>
      <w:r w:rsidRPr="00B55C24">
        <w:rPr>
          <w:sz w:val="24"/>
          <w:szCs w:val="24"/>
          <w:lang w:val="en-GB"/>
        </w:rPr>
        <w:softHyphen/>
        <w:t>therapy</w:t>
      </w:r>
      <w:proofErr w:type="spellEnd"/>
      <w:r w:rsidRPr="00B55C24">
        <w:rPr>
          <w:sz w:val="24"/>
          <w:szCs w:val="24"/>
          <w:lang w:val="en-GB"/>
        </w:rPr>
        <w:t xml:space="preserve"> with dabigatran </w:t>
      </w:r>
      <w:proofErr w:type="spellStart"/>
      <w:r w:rsidRPr="00B55C24">
        <w:rPr>
          <w:sz w:val="24"/>
          <w:szCs w:val="24"/>
          <w:lang w:val="en-GB"/>
        </w:rPr>
        <w:t>etexilate</w:t>
      </w:r>
      <w:proofErr w:type="spellEnd"/>
      <w:r w:rsidRPr="00B55C24">
        <w:rPr>
          <w:sz w:val="24"/>
          <w:szCs w:val="24"/>
          <w:lang w:val="en-GB"/>
        </w:rPr>
        <w:t xml:space="preserve"> (110 mg or 150 mg bid) plus clopidogrel or ticagrelor (P2Y12 antagonist) vs. triple-therapy with warfarin (adjusted to a INR 2.0</w:t>
      </w:r>
      <w:r w:rsidRPr="00B55C24">
        <w:rPr>
          <w:sz w:val="24"/>
          <w:szCs w:val="24"/>
          <w:lang w:val="en-GB"/>
        </w:rPr>
        <w:noBreakHyphen/>
        <w:t>3.0) plus clopidogrel or ticagrelor and ASA was conducted in 2725 patients with non</w:t>
      </w:r>
      <w:r w:rsidRPr="00B55C24">
        <w:rPr>
          <w:sz w:val="24"/>
          <w:szCs w:val="24"/>
          <w:lang w:val="en-GB"/>
        </w:rPr>
        <w:noBreakHyphen/>
        <w:t xml:space="preserve">valvular atrial fibrillation who underwent a PCI with stenting (RE-DUAL PCI). Patients were randomised to dabigatran </w:t>
      </w:r>
      <w:proofErr w:type="spellStart"/>
      <w:r w:rsidRPr="00B55C24">
        <w:rPr>
          <w:sz w:val="24"/>
          <w:szCs w:val="24"/>
          <w:lang w:val="en-GB"/>
        </w:rPr>
        <w:t>etexilate</w:t>
      </w:r>
      <w:proofErr w:type="spellEnd"/>
      <w:r w:rsidRPr="00B55C24">
        <w:rPr>
          <w:sz w:val="24"/>
          <w:szCs w:val="24"/>
          <w:lang w:val="en-GB"/>
        </w:rPr>
        <w:t xml:space="preserve"> 110 mg bid </w:t>
      </w:r>
      <w:proofErr w:type="spellStart"/>
      <w:r w:rsidRPr="00B55C24">
        <w:rPr>
          <w:sz w:val="24"/>
          <w:szCs w:val="24"/>
          <w:lang w:val="en-GB"/>
        </w:rPr>
        <w:t>dual</w:t>
      </w:r>
      <w:r w:rsidRPr="00B55C24">
        <w:rPr>
          <w:sz w:val="24"/>
          <w:szCs w:val="24"/>
          <w:lang w:val="en-GB"/>
        </w:rPr>
        <w:softHyphen/>
        <w:t>therapy</w:t>
      </w:r>
      <w:proofErr w:type="spellEnd"/>
      <w:r w:rsidRPr="00B55C24">
        <w:rPr>
          <w:sz w:val="24"/>
          <w:szCs w:val="24"/>
          <w:lang w:val="en-GB"/>
        </w:rPr>
        <w:t xml:space="preserve">, dabigatran </w:t>
      </w:r>
      <w:proofErr w:type="spellStart"/>
      <w:r w:rsidRPr="00B55C24">
        <w:rPr>
          <w:sz w:val="24"/>
          <w:szCs w:val="24"/>
          <w:lang w:val="en-GB"/>
        </w:rPr>
        <w:t>etexilate</w:t>
      </w:r>
      <w:proofErr w:type="spellEnd"/>
      <w:r w:rsidRPr="00B55C24">
        <w:rPr>
          <w:sz w:val="24"/>
          <w:szCs w:val="24"/>
          <w:lang w:val="en-GB"/>
        </w:rPr>
        <w:t xml:space="preserve"> 150 mg bid dual-therapy or warfarin triple-therapy. Elderly patients outside of the United States (≥</w:t>
      </w:r>
      <w:r w:rsidR="00A14925">
        <w:rPr>
          <w:sz w:val="24"/>
          <w:szCs w:val="24"/>
          <w:lang w:val="en-GB"/>
        </w:rPr>
        <w:t> </w:t>
      </w:r>
      <w:r w:rsidRPr="00B55C24">
        <w:rPr>
          <w:sz w:val="24"/>
          <w:szCs w:val="24"/>
          <w:lang w:val="en-GB"/>
        </w:rPr>
        <w:t xml:space="preserve">80 years of age for all countries, ≥70 years of age for Japan) were randomly assigned to the dabigatran </w:t>
      </w:r>
      <w:proofErr w:type="spellStart"/>
      <w:r w:rsidRPr="00B55C24">
        <w:rPr>
          <w:sz w:val="24"/>
          <w:szCs w:val="24"/>
          <w:lang w:val="en-GB"/>
        </w:rPr>
        <w:t>etexilate</w:t>
      </w:r>
      <w:proofErr w:type="spellEnd"/>
      <w:r w:rsidRPr="00B55C24">
        <w:rPr>
          <w:sz w:val="24"/>
          <w:szCs w:val="24"/>
          <w:lang w:val="en-GB"/>
        </w:rPr>
        <w:t xml:space="preserve"> 110 mg dual-therapy group or the warfarin triple-therapy group. The primary endpoint was a combined endpoint of major bleeds based on ISTH definition or clinically relevant non-major bleeding event.</w:t>
      </w:r>
    </w:p>
    <w:p w14:paraId="781FBA97" w14:textId="77777777" w:rsidR="00E607F1" w:rsidRPr="00B55C24" w:rsidRDefault="00E607F1" w:rsidP="00E928DC">
      <w:pPr>
        <w:ind w:left="851"/>
        <w:rPr>
          <w:sz w:val="24"/>
          <w:szCs w:val="24"/>
          <w:lang w:val="en-GB"/>
        </w:rPr>
      </w:pPr>
    </w:p>
    <w:p w14:paraId="452A0C4C" w14:textId="4BCD2BFD" w:rsidR="00E607F1" w:rsidRPr="00B55C24" w:rsidRDefault="00E607F1" w:rsidP="00E928DC">
      <w:pPr>
        <w:ind w:left="851"/>
        <w:rPr>
          <w:sz w:val="24"/>
          <w:szCs w:val="24"/>
          <w:lang w:val="en-GB"/>
        </w:rPr>
      </w:pPr>
      <w:r w:rsidRPr="00B55C24">
        <w:rPr>
          <w:sz w:val="24"/>
          <w:szCs w:val="24"/>
          <w:lang w:val="en-GB"/>
        </w:rPr>
        <w:t xml:space="preserve">The incidence of the primary endpoint was 15.4% (151 patients) in the dabigatran </w:t>
      </w:r>
      <w:proofErr w:type="spellStart"/>
      <w:r w:rsidRPr="00B55C24">
        <w:rPr>
          <w:sz w:val="24"/>
          <w:szCs w:val="24"/>
          <w:lang w:val="en-GB"/>
        </w:rPr>
        <w:t>etexilate</w:t>
      </w:r>
      <w:proofErr w:type="spellEnd"/>
      <w:r w:rsidRPr="00B55C24">
        <w:rPr>
          <w:sz w:val="24"/>
          <w:szCs w:val="24"/>
          <w:lang w:val="en-GB"/>
        </w:rPr>
        <w:t xml:space="preserve"> 110 mg dual-therapy group as compared with 26.9% (264 patients) in the warfarin triple-therapy group (HR 0.52; 95% CI 0.42, 0.63; P &lt; 0.0001 for non-inferiority and P &lt; 0.0001 for superiority) and 20.2% (154 patients) in the dabigatran </w:t>
      </w:r>
      <w:proofErr w:type="spellStart"/>
      <w:r w:rsidRPr="00B55C24">
        <w:rPr>
          <w:sz w:val="24"/>
          <w:szCs w:val="24"/>
          <w:lang w:val="en-GB"/>
        </w:rPr>
        <w:t>etexilate</w:t>
      </w:r>
      <w:proofErr w:type="spellEnd"/>
      <w:r w:rsidRPr="00B55C24">
        <w:rPr>
          <w:sz w:val="24"/>
          <w:szCs w:val="24"/>
          <w:lang w:val="en-GB"/>
        </w:rPr>
        <w:t xml:space="preserve"> 150 mg dual-therapy group as compared with 25.7% (196 patients) in the corresponding warfarin triple-therapy group (HR 0.72; 95% CI 0.58, 0.88; P &lt; 0.0001 for non-inferiority and P = 0.002 for superiority). As part of the descriptive analysis, TIMI (Thrombolysis In Myocardial Infarction) major bleeding events was lower in both dabigatran </w:t>
      </w:r>
      <w:proofErr w:type="spellStart"/>
      <w:r w:rsidRPr="00B55C24">
        <w:rPr>
          <w:sz w:val="24"/>
          <w:szCs w:val="24"/>
          <w:lang w:val="en-GB"/>
        </w:rPr>
        <w:t>etexilate</w:t>
      </w:r>
      <w:proofErr w:type="spellEnd"/>
      <w:r w:rsidRPr="00B55C24">
        <w:rPr>
          <w:sz w:val="24"/>
          <w:szCs w:val="24"/>
          <w:lang w:val="en-GB"/>
        </w:rPr>
        <w:t xml:space="preserve"> dual-therapy groups than in the warfarin triple-therapy group: 14 events (1.4%) in the dabigatran </w:t>
      </w:r>
      <w:proofErr w:type="spellStart"/>
      <w:r w:rsidRPr="00B55C24">
        <w:rPr>
          <w:sz w:val="24"/>
          <w:szCs w:val="24"/>
          <w:lang w:val="en-GB"/>
        </w:rPr>
        <w:t>etexilate</w:t>
      </w:r>
      <w:proofErr w:type="spellEnd"/>
      <w:r w:rsidRPr="00B55C24">
        <w:rPr>
          <w:sz w:val="24"/>
          <w:szCs w:val="24"/>
          <w:lang w:val="en-GB"/>
        </w:rPr>
        <w:t xml:space="preserve"> 110 mg dual-therapy group as compared with 37 events (3.8%) in the warfarin triple-therapy group (HR 0.37; 95% CI 0.20, 0.68; P = 0.002) and 16 events (2.1%) in the dabigatran </w:t>
      </w:r>
      <w:proofErr w:type="spellStart"/>
      <w:r w:rsidRPr="00B55C24">
        <w:rPr>
          <w:sz w:val="24"/>
          <w:szCs w:val="24"/>
          <w:lang w:val="en-GB"/>
        </w:rPr>
        <w:t>etexilate</w:t>
      </w:r>
      <w:proofErr w:type="spellEnd"/>
      <w:r w:rsidRPr="00B55C24">
        <w:rPr>
          <w:sz w:val="24"/>
          <w:szCs w:val="24"/>
          <w:lang w:val="en-GB"/>
        </w:rPr>
        <w:t xml:space="preserve"> 150 mg dual-therapy group as compared with 30 events (3.9%) in the corresponding warfarin triple-therapy group (HR 0.51; 95% CI 0.28, 0.93; P = 0.03). Both dabigatran </w:t>
      </w:r>
      <w:proofErr w:type="spellStart"/>
      <w:r w:rsidRPr="00B55C24">
        <w:rPr>
          <w:sz w:val="24"/>
          <w:szCs w:val="24"/>
          <w:lang w:val="en-GB"/>
        </w:rPr>
        <w:t>etexilate</w:t>
      </w:r>
      <w:proofErr w:type="spellEnd"/>
      <w:r w:rsidRPr="00B55C24">
        <w:rPr>
          <w:sz w:val="24"/>
          <w:szCs w:val="24"/>
          <w:lang w:val="en-GB"/>
        </w:rPr>
        <w:t xml:space="preserve"> dual-therapy groups had lower rates of intracranial </w:t>
      </w:r>
      <w:proofErr w:type="spellStart"/>
      <w:r w:rsidRPr="00B55C24">
        <w:rPr>
          <w:sz w:val="24"/>
          <w:szCs w:val="24"/>
          <w:lang w:val="en-GB"/>
        </w:rPr>
        <w:t>hemorrhage</w:t>
      </w:r>
      <w:proofErr w:type="spellEnd"/>
      <w:r w:rsidRPr="00B55C24">
        <w:rPr>
          <w:sz w:val="24"/>
          <w:szCs w:val="24"/>
          <w:lang w:val="en-GB"/>
        </w:rPr>
        <w:t xml:space="preserve"> than the corresponding warfarin triple-therapy group: 3 events (0.3%) in the 110 mg dabigatran </w:t>
      </w:r>
      <w:proofErr w:type="spellStart"/>
      <w:r w:rsidRPr="00B55C24">
        <w:rPr>
          <w:sz w:val="24"/>
          <w:szCs w:val="24"/>
          <w:lang w:val="en-GB"/>
        </w:rPr>
        <w:t>etexilate</w:t>
      </w:r>
      <w:proofErr w:type="spellEnd"/>
      <w:r w:rsidRPr="00B55C24">
        <w:rPr>
          <w:sz w:val="24"/>
          <w:szCs w:val="24"/>
          <w:lang w:val="en-GB"/>
        </w:rPr>
        <w:t xml:space="preserve"> dual-therapy group as compared with 10 events (1.0%) in the warfarin triple-therapy group (HR 0.30; 95% CI 0.08, 1.07; P = 0.06) and 1 event (0.1%) in the 150 mg dabigatran </w:t>
      </w:r>
      <w:proofErr w:type="spellStart"/>
      <w:r w:rsidRPr="00B55C24">
        <w:rPr>
          <w:sz w:val="24"/>
          <w:szCs w:val="24"/>
          <w:lang w:val="en-GB"/>
        </w:rPr>
        <w:t>etexilate</w:t>
      </w:r>
      <w:proofErr w:type="spellEnd"/>
      <w:r w:rsidRPr="00B55C24">
        <w:rPr>
          <w:sz w:val="24"/>
          <w:szCs w:val="24"/>
          <w:lang w:val="en-GB"/>
        </w:rPr>
        <w:t xml:space="preserve"> dual-therapy group as compared with 8 events (1.0%) in the corresponding warfarin triple-therapy group (HR 0.12; 95% CI 0.02, 0.98; P = 0.047). The incidence of the composite efficacy endpoint of death, thromboembolic events (myocardial infarction, stroke, or systemic embolism) or unplanned revascularization in the two dabigatran </w:t>
      </w:r>
      <w:proofErr w:type="spellStart"/>
      <w:r w:rsidRPr="00B55C24">
        <w:rPr>
          <w:sz w:val="24"/>
          <w:szCs w:val="24"/>
          <w:lang w:val="en-GB"/>
        </w:rPr>
        <w:t>etexilate</w:t>
      </w:r>
      <w:proofErr w:type="spellEnd"/>
      <w:r w:rsidRPr="00B55C24">
        <w:rPr>
          <w:sz w:val="24"/>
          <w:szCs w:val="24"/>
          <w:lang w:val="en-GB"/>
        </w:rPr>
        <w:t xml:space="preserve"> dual-therapy groups combined was non-inferior to the warfarin triple-therapy group (13.7% vs. 13.4% respectively; HR 1.04; 95% CI: 0.84, 1.29; P = 0.0047 for non-inferiority).There were no statistical differences in the individual components of the efficacy endpoints between either dabigatran </w:t>
      </w:r>
      <w:proofErr w:type="spellStart"/>
      <w:r w:rsidRPr="00B55C24">
        <w:rPr>
          <w:sz w:val="24"/>
          <w:szCs w:val="24"/>
          <w:lang w:val="en-GB"/>
        </w:rPr>
        <w:t>etexilate</w:t>
      </w:r>
      <w:proofErr w:type="spellEnd"/>
      <w:r w:rsidRPr="00B55C24">
        <w:rPr>
          <w:sz w:val="24"/>
          <w:szCs w:val="24"/>
          <w:lang w:val="en-GB"/>
        </w:rPr>
        <w:t xml:space="preserve"> dual-therapy groups and warfarin triple-therapy.</w:t>
      </w:r>
    </w:p>
    <w:p w14:paraId="7926A489" w14:textId="77777777" w:rsidR="00E607F1" w:rsidRPr="00B55C24" w:rsidRDefault="00E607F1" w:rsidP="00E928DC">
      <w:pPr>
        <w:ind w:left="851"/>
        <w:rPr>
          <w:sz w:val="24"/>
          <w:szCs w:val="24"/>
          <w:lang w:val="en-GB"/>
        </w:rPr>
      </w:pPr>
    </w:p>
    <w:p w14:paraId="5A830F4F" w14:textId="77777777" w:rsidR="00E607F1" w:rsidRPr="00B55C24" w:rsidRDefault="00E607F1" w:rsidP="00E928DC">
      <w:pPr>
        <w:ind w:left="851"/>
        <w:rPr>
          <w:sz w:val="24"/>
          <w:szCs w:val="24"/>
          <w:lang w:val="en-GB"/>
        </w:rPr>
      </w:pPr>
      <w:r w:rsidRPr="00B55C24">
        <w:rPr>
          <w:sz w:val="24"/>
          <w:szCs w:val="24"/>
          <w:lang w:val="en-GB"/>
        </w:rPr>
        <w:t xml:space="preserve">This study demonstrated that dual-therapy with dabigatran </w:t>
      </w:r>
      <w:proofErr w:type="spellStart"/>
      <w:r w:rsidRPr="00B55C24">
        <w:rPr>
          <w:sz w:val="24"/>
          <w:szCs w:val="24"/>
          <w:lang w:val="en-GB"/>
        </w:rPr>
        <w:t>etexilate</w:t>
      </w:r>
      <w:proofErr w:type="spellEnd"/>
      <w:r w:rsidRPr="00B55C24">
        <w:rPr>
          <w:sz w:val="24"/>
          <w:szCs w:val="24"/>
          <w:lang w:val="en-GB"/>
        </w:rPr>
        <w:t xml:space="preserve"> and a P2Y12 antagonist significantly reduced the risk of bleeding vs. warfarin triple-therapy with non-inferiority for composite of thromboembolic events in patients with atrial fibrillation who underwent a PCI with stenting.</w:t>
      </w:r>
    </w:p>
    <w:p w14:paraId="70EF2722" w14:textId="77777777" w:rsidR="00E607F1" w:rsidRPr="00B55C24" w:rsidRDefault="00E607F1" w:rsidP="00E928DC">
      <w:pPr>
        <w:ind w:left="851"/>
        <w:rPr>
          <w:sz w:val="24"/>
          <w:szCs w:val="24"/>
          <w:lang w:val="en-GB"/>
        </w:rPr>
      </w:pPr>
    </w:p>
    <w:p w14:paraId="21BD3099" w14:textId="77777777" w:rsidR="00E607F1" w:rsidRPr="000E69C6" w:rsidRDefault="00E607F1" w:rsidP="00E928DC">
      <w:pPr>
        <w:ind w:left="851"/>
        <w:rPr>
          <w:i/>
          <w:iCs/>
          <w:sz w:val="24"/>
          <w:szCs w:val="24"/>
          <w:lang w:val="en-GB"/>
        </w:rPr>
      </w:pPr>
      <w:r w:rsidRPr="000E69C6">
        <w:rPr>
          <w:i/>
          <w:iCs/>
          <w:sz w:val="24"/>
          <w:szCs w:val="24"/>
          <w:u w:val="single"/>
          <w:lang w:val="en-GB"/>
        </w:rPr>
        <w:t>Treatment of DVT and PE in adults (DVT/PE treatment)</w:t>
      </w:r>
    </w:p>
    <w:p w14:paraId="71FE3120" w14:textId="77777777" w:rsidR="00E607F1" w:rsidRPr="00B55C24" w:rsidRDefault="00E607F1" w:rsidP="00E928DC">
      <w:pPr>
        <w:ind w:left="851"/>
        <w:rPr>
          <w:sz w:val="24"/>
          <w:szCs w:val="24"/>
          <w:lang w:val="en-GB"/>
        </w:rPr>
      </w:pPr>
    </w:p>
    <w:p w14:paraId="3FAF86C5" w14:textId="191D59D6" w:rsidR="00E607F1" w:rsidRPr="00B55C24" w:rsidRDefault="00E607F1" w:rsidP="00E928DC">
      <w:pPr>
        <w:ind w:left="851"/>
        <w:rPr>
          <w:sz w:val="24"/>
          <w:szCs w:val="24"/>
          <w:lang w:val="en-GB"/>
        </w:rPr>
      </w:pPr>
      <w:r w:rsidRPr="00B55C24">
        <w:rPr>
          <w:sz w:val="24"/>
          <w:szCs w:val="24"/>
          <w:lang w:val="en-GB"/>
        </w:rPr>
        <w:t>The efficacy and safety were investigated in two multi-</w:t>
      </w:r>
      <w:proofErr w:type="spellStart"/>
      <w:proofErr w:type="gramStart"/>
      <w:r w:rsidRPr="00B55C24">
        <w:rPr>
          <w:sz w:val="24"/>
          <w:szCs w:val="24"/>
          <w:lang w:val="en-GB"/>
        </w:rPr>
        <w:t>center</w:t>
      </w:r>
      <w:proofErr w:type="spellEnd"/>
      <w:proofErr w:type="gramEnd"/>
      <w:r w:rsidRPr="00B55C24">
        <w:rPr>
          <w:sz w:val="24"/>
          <w:szCs w:val="24"/>
          <w:lang w:val="en-GB"/>
        </w:rPr>
        <w:t xml:space="preserve">, randomised, double blind, parallel-group, replicate studies RE-COVER and RE-COVER II. These studies compared dabigatran </w:t>
      </w:r>
      <w:proofErr w:type="spellStart"/>
      <w:r w:rsidRPr="00B55C24">
        <w:rPr>
          <w:sz w:val="24"/>
          <w:szCs w:val="24"/>
          <w:lang w:val="en-GB"/>
        </w:rPr>
        <w:t>etexilate</w:t>
      </w:r>
      <w:proofErr w:type="spellEnd"/>
      <w:r w:rsidRPr="00B55C24">
        <w:rPr>
          <w:sz w:val="24"/>
          <w:szCs w:val="24"/>
          <w:lang w:val="en-GB"/>
        </w:rPr>
        <w:t xml:space="preserve"> (150 mg bid) with warfarin (target INR 2.0-3.0) in patients with acute DVT and/or PE. The primary objective of these studies was to determine if dabigatran </w:t>
      </w:r>
      <w:proofErr w:type="spellStart"/>
      <w:r w:rsidRPr="00B55C24">
        <w:rPr>
          <w:sz w:val="24"/>
          <w:szCs w:val="24"/>
          <w:lang w:val="en-GB"/>
        </w:rPr>
        <w:t>etexilate</w:t>
      </w:r>
      <w:proofErr w:type="spellEnd"/>
      <w:r w:rsidRPr="00B55C24">
        <w:rPr>
          <w:sz w:val="24"/>
          <w:szCs w:val="24"/>
          <w:lang w:val="en-GB"/>
        </w:rPr>
        <w:t xml:space="preserve"> was non-inferior to warfarin in reducing the occurrence of the primary endpoint which was the composite of recurrent symptomatic DVT and/or PE and related deaths within the 6-month treatment period.</w:t>
      </w:r>
    </w:p>
    <w:p w14:paraId="4BD20E01" w14:textId="77777777" w:rsidR="00E607F1" w:rsidRPr="00B55C24" w:rsidRDefault="00E607F1" w:rsidP="00E928DC">
      <w:pPr>
        <w:ind w:left="851"/>
        <w:rPr>
          <w:sz w:val="24"/>
          <w:szCs w:val="24"/>
          <w:lang w:val="en-GB"/>
        </w:rPr>
      </w:pPr>
    </w:p>
    <w:p w14:paraId="54701F6B" w14:textId="77777777" w:rsidR="00E607F1" w:rsidRPr="00B55C24" w:rsidRDefault="00E607F1" w:rsidP="00E928DC">
      <w:pPr>
        <w:ind w:left="851"/>
        <w:rPr>
          <w:sz w:val="24"/>
          <w:szCs w:val="24"/>
          <w:lang w:val="en-GB"/>
        </w:rPr>
      </w:pPr>
      <w:r w:rsidRPr="00B55C24">
        <w:rPr>
          <w:sz w:val="24"/>
          <w:szCs w:val="24"/>
          <w:lang w:val="en-GB"/>
        </w:rPr>
        <w:t>In the pooled RE-COVER and RE-COVER II studies, a total of 5,153 patients were randomised and 5,107 were treated.</w:t>
      </w:r>
    </w:p>
    <w:p w14:paraId="6C722AA7" w14:textId="77777777" w:rsidR="00E607F1" w:rsidRPr="00B55C24" w:rsidRDefault="00E607F1" w:rsidP="00E928DC">
      <w:pPr>
        <w:ind w:left="851"/>
        <w:rPr>
          <w:sz w:val="24"/>
          <w:szCs w:val="24"/>
          <w:lang w:val="en-GB"/>
        </w:rPr>
      </w:pPr>
    </w:p>
    <w:p w14:paraId="72DB4040" w14:textId="77777777" w:rsidR="00E607F1" w:rsidRPr="00B55C24" w:rsidRDefault="00E607F1" w:rsidP="00E928DC">
      <w:pPr>
        <w:ind w:left="851"/>
        <w:rPr>
          <w:sz w:val="24"/>
          <w:szCs w:val="24"/>
          <w:lang w:val="en-GB"/>
        </w:rPr>
      </w:pPr>
      <w:r w:rsidRPr="00B55C24">
        <w:rPr>
          <w:sz w:val="24"/>
          <w:szCs w:val="24"/>
          <w:lang w:val="en-GB"/>
        </w:rPr>
        <w:t>The duration of treatment with fixed dose of dabigatran was 174.0 days without coagulation monitoring. For patients randomised to warfarin, the median time in therapeutic range (INR 2.0 to 3.0) was 60.6%.</w:t>
      </w:r>
    </w:p>
    <w:p w14:paraId="603CD38E" w14:textId="77777777" w:rsidR="00E607F1" w:rsidRPr="00B55C24" w:rsidRDefault="00E607F1" w:rsidP="00E928DC">
      <w:pPr>
        <w:ind w:left="851"/>
        <w:rPr>
          <w:sz w:val="24"/>
          <w:szCs w:val="24"/>
          <w:lang w:val="en-GB"/>
        </w:rPr>
      </w:pPr>
    </w:p>
    <w:p w14:paraId="188CD59D" w14:textId="77777777" w:rsidR="00E607F1" w:rsidRPr="00B55C24" w:rsidRDefault="00E607F1" w:rsidP="00E928DC">
      <w:pPr>
        <w:ind w:left="851"/>
        <w:rPr>
          <w:sz w:val="24"/>
          <w:szCs w:val="24"/>
          <w:lang w:val="en-GB"/>
        </w:rPr>
      </w:pPr>
      <w:r w:rsidRPr="00B55C24">
        <w:rPr>
          <w:sz w:val="24"/>
          <w:szCs w:val="24"/>
          <w:lang w:val="en-GB"/>
        </w:rPr>
        <w:t xml:space="preserve">The trials demonstrated that treatment with dabigatran </w:t>
      </w:r>
      <w:proofErr w:type="spellStart"/>
      <w:r w:rsidRPr="00B55C24">
        <w:rPr>
          <w:sz w:val="24"/>
          <w:szCs w:val="24"/>
          <w:lang w:val="en-GB"/>
        </w:rPr>
        <w:t>etexilate</w:t>
      </w:r>
      <w:proofErr w:type="spellEnd"/>
      <w:r w:rsidRPr="00B55C24">
        <w:rPr>
          <w:sz w:val="24"/>
          <w:szCs w:val="24"/>
          <w:lang w:val="en-GB"/>
        </w:rPr>
        <w:t xml:space="preserve"> 150 mg twice daily was non-inferior to the treatment with warfarin (non-inferiority margin for RE-COVER and RE-COVER II: 3.6 for risk difference and 2.75 for hazard ratio).</w:t>
      </w:r>
    </w:p>
    <w:p w14:paraId="6DEBB881" w14:textId="2B44768B" w:rsidR="00322951" w:rsidRDefault="00322951">
      <w:pPr>
        <w:rPr>
          <w:sz w:val="24"/>
          <w:szCs w:val="24"/>
          <w:lang w:val="en-GB"/>
        </w:rPr>
      </w:pPr>
      <w:r>
        <w:rPr>
          <w:sz w:val="24"/>
          <w:szCs w:val="24"/>
          <w:lang w:val="en-GB"/>
        </w:rPr>
        <w:br w:type="page"/>
      </w:r>
    </w:p>
    <w:p w14:paraId="7C8478B3" w14:textId="77777777" w:rsidR="00E607F1" w:rsidRPr="00B55C24" w:rsidRDefault="00E607F1" w:rsidP="00E607F1">
      <w:pPr>
        <w:tabs>
          <w:tab w:val="left" w:pos="851"/>
        </w:tabs>
        <w:ind w:left="851"/>
        <w:rPr>
          <w:sz w:val="24"/>
          <w:szCs w:val="24"/>
          <w:lang w:val="en-GB"/>
        </w:rPr>
      </w:pPr>
    </w:p>
    <w:p w14:paraId="07123037" w14:textId="160C20D1" w:rsidR="00E607F1" w:rsidRPr="00B55C24" w:rsidRDefault="00E607F1" w:rsidP="00E607F1">
      <w:pPr>
        <w:tabs>
          <w:tab w:val="left" w:pos="851"/>
        </w:tabs>
        <w:ind w:left="851"/>
        <w:rPr>
          <w:b/>
          <w:bCs/>
          <w:sz w:val="24"/>
          <w:szCs w:val="24"/>
          <w:lang w:val="en-GB"/>
        </w:rPr>
      </w:pPr>
      <w:r w:rsidRPr="00B55C24">
        <w:rPr>
          <w:b/>
          <w:bCs/>
          <w:sz w:val="24"/>
          <w:szCs w:val="24"/>
          <w:lang w:val="en-GB"/>
        </w:rPr>
        <w:t>Table 22: Analysis of the primary and secondary efficacy endpoints (VTE is a composite of DVT and/or PE) until the end of post-treatment period for the pooled studies RE</w:t>
      </w:r>
      <w:r w:rsidRPr="00B55C24">
        <w:rPr>
          <w:b/>
          <w:bCs/>
          <w:sz w:val="24"/>
          <w:szCs w:val="24"/>
          <w:lang w:val="en-GB"/>
        </w:rPr>
        <w:softHyphen/>
        <w:t>COVER and RE-COVER II</w:t>
      </w:r>
    </w:p>
    <w:p w14:paraId="5FD0717D" w14:textId="77777777" w:rsidR="00E607F1" w:rsidRPr="00B55C24" w:rsidRDefault="00E607F1" w:rsidP="00E607F1">
      <w:pPr>
        <w:tabs>
          <w:tab w:val="left" w:pos="851"/>
        </w:tabs>
        <w:ind w:left="851"/>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4811"/>
        <w:gridCol w:w="2861"/>
        <w:gridCol w:w="1956"/>
      </w:tblGrid>
      <w:tr w:rsidR="00E607F1" w:rsidRPr="000E69C6" w14:paraId="1C3DFB2F" w14:textId="77777777" w:rsidTr="00E928DC">
        <w:trPr>
          <w:trHeight w:val="57"/>
        </w:trPr>
        <w:tc>
          <w:tcPr>
            <w:tcW w:w="2498" w:type="pct"/>
            <w:tcBorders>
              <w:top w:val="single" w:sz="4" w:space="0" w:color="auto"/>
              <w:left w:val="single" w:sz="4" w:space="0" w:color="auto"/>
              <w:bottom w:val="nil"/>
              <w:right w:val="nil"/>
            </w:tcBorders>
          </w:tcPr>
          <w:p w14:paraId="5A9EBB80" w14:textId="77777777" w:rsidR="00E607F1" w:rsidRPr="000E69C6" w:rsidRDefault="00E607F1" w:rsidP="00E928DC">
            <w:pPr>
              <w:rPr>
                <w:sz w:val="22"/>
                <w:szCs w:val="22"/>
                <w:lang w:val="en-GB"/>
              </w:rPr>
            </w:pPr>
          </w:p>
        </w:tc>
        <w:tc>
          <w:tcPr>
            <w:tcW w:w="1486" w:type="pct"/>
            <w:tcBorders>
              <w:top w:val="single" w:sz="4" w:space="0" w:color="auto"/>
              <w:left w:val="single" w:sz="4" w:space="0" w:color="auto"/>
              <w:bottom w:val="nil"/>
              <w:right w:val="nil"/>
            </w:tcBorders>
            <w:vAlign w:val="bottom"/>
            <w:hideMark/>
          </w:tcPr>
          <w:p w14:paraId="168BF758" w14:textId="77777777" w:rsidR="00E607F1" w:rsidRPr="000E69C6" w:rsidRDefault="00E607F1" w:rsidP="00E928DC">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w:t>
            </w:r>
          </w:p>
        </w:tc>
        <w:tc>
          <w:tcPr>
            <w:tcW w:w="1016" w:type="pct"/>
            <w:tcBorders>
              <w:top w:val="single" w:sz="4" w:space="0" w:color="auto"/>
              <w:left w:val="single" w:sz="4" w:space="0" w:color="auto"/>
              <w:bottom w:val="nil"/>
              <w:right w:val="single" w:sz="4" w:space="0" w:color="auto"/>
            </w:tcBorders>
            <w:hideMark/>
          </w:tcPr>
          <w:p w14:paraId="129C9648" w14:textId="77777777" w:rsidR="00E607F1" w:rsidRPr="000E69C6" w:rsidRDefault="00E607F1" w:rsidP="00E928DC">
            <w:pPr>
              <w:rPr>
                <w:sz w:val="22"/>
                <w:szCs w:val="22"/>
                <w:lang w:val="en-GB"/>
              </w:rPr>
            </w:pPr>
            <w:r w:rsidRPr="000E69C6">
              <w:rPr>
                <w:sz w:val="22"/>
                <w:szCs w:val="22"/>
                <w:lang w:val="en-GB"/>
              </w:rPr>
              <w:t>Warfarin</w:t>
            </w:r>
          </w:p>
        </w:tc>
      </w:tr>
      <w:tr w:rsidR="00E607F1" w:rsidRPr="000E69C6" w14:paraId="6CA7DFBD" w14:textId="77777777" w:rsidTr="00E928DC">
        <w:trPr>
          <w:trHeight w:val="57"/>
        </w:trPr>
        <w:tc>
          <w:tcPr>
            <w:tcW w:w="2498" w:type="pct"/>
            <w:tcBorders>
              <w:top w:val="single" w:sz="4" w:space="0" w:color="auto"/>
              <w:left w:val="single" w:sz="4" w:space="0" w:color="auto"/>
              <w:bottom w:val="nil"/>
              <w:right w:val="nil"/>
            </w:tcBorders>
            <w:vAlign w:val="bottom"/>
            <w:hideMark/>
          </w:tcPr>
          <w:p w14:paraId="10DA084D" w14:textId="77777777" w:rsidR="00E607F1" w:rsidRPr="000E69C6" w:rsidRDefault="00E607F1" w:rsidP="00E928DC">
            <w:pPr>
              <w:rPr>
                <w:sz w:val="22"/>
                <w:szCs w:val="22"/>
                <w:lang w:val="en-GB"/>
              </w:rPr>
            </w:pPr>
            <w:r w:rsidRPr="000E69C6">
              <w:rPr>
                <w:sz w:val="22"/>
                <w:szCs w:val="22"/>
                <w:lang w:val="en-GB"/>
              </w:rPr>
              <w:t>Treated patients</w:t>
            </w:r>
          </w:p>
        </w:tc>
        <w:tc>
          <w:tcPr>
            <w:tcW w:w="1486" w:type="pct"/>
            <w:tcBorders>
              <w:top w:val="single" w:sz="4" w:space="0" w:color="auto"/>
              <w:left w:val="single" w:sz="4" w:space="0" w:color="auto"/>
              <w:bottom w:val="nil"/>
              <w:right w:val="nil"/>
            </w:tcBorders>
            <w:vAlign w:val="bottom"/>
            <w:hideMark/>
          </w:tcPr>
          <w:p w14:paraId="177D3DBA" w14:textId="77777777" w:rsidR="00E607F1" w:rsidRPr="000E69C6" w:rsidRDefault="00E607F1" w:rsidP="00E928DC">
            <w:pPr>
              <w:rPr>
                <w:sz w:val="22"/>
                <w:szCs w:val="22"/>
                <w:lang w:val="en-GB"/>
              </w:rPr>
            </w:pPr>
            <w:r w:rsidRPr="000E69C6">
              <w:rPr>
                <w:sz w:val="22"/>
                <w:szCs w:val="22"/>
                <w:lang w:val="en-GB"/>
              </w:rPr>
              <w:t>2,553</w:t>
            </w:r>
          </w:p>
        </w:tc>
        <w:tc>
          <w:tcPr>
            <w:tcW w:w="1016" w:type="pct"/>
            <w:tcBorders>
              <w:top w:val="single" w:sz="4" w:space="0" w:color="auto"/>
              <w:left w:val="single" w:sz="4" w:space="0" w:color="auto"/>
              <w:bottom w:val="nil"/>
              <w:right w:val="single" w:sz="4" w:space="0" w:color="auto"/>
            </w:tcBorders>
            <w:vAlign w:val="bottom"/>
            <w:hideMark/>
          </w:tcPr>
          <w:p w14:paraId="3AB5D48C" w14:textId="77777777" w:rsidR="00E607F1" w:rsidRPr="000E69C6" w:rsidRDefault="00E607F1" w:rsidP="00E928DC">
            <w:pPr>
              <w:rPr>
                <w:sz w:val="22"/>
                <w:szCs w:val="22"/>
                <w:lang w:val="en-GB"/>
              </w:rPr>
            </w:pPr>
            <w:r w:rsidRPr="000E69C6">
              <w:rPr>
                <w:sz w:val="22"/>
                <w:szCs w:val="22"/>
                <w:lang w:val="en-GB"/>
              </w:rPr>
              <w:t>2,554</w:t>
            </w:r>
          </w:p>
        </w:tc>
      </w:tr>
      <w:tr w:rsidR="00E607F1" w:rsidRPr="000E69C6" w14:paraId="047E3265" w14:textId="77777777" w:rsidTr="00E928DC">
        <w:trPr>
          <w:trHeight w:val="57"/>
        </w:trPr>
        <w:tc>
          <w:tcPr>
            <w:tcW w:w="2498" w:type="pct"/>
            <w:tcBorders>
              <w:top w:val="single" w:sz="4" w:space="0" w:color="auto"/>
              <w:left w:val="single" w:sz="4" w:space="0" w:color="auto"/>
              <w:bottom w:val="nil"/>
              <w:right w:val="nil"/>
            </w:tcBorders>
            <w:hideMark/>
          </w:tcPr>
          <w:p w14:paraId="7F3F508A" w14:textId="77777777" w:rsidR="00E607F1" w:rsidRPr="000E69C6" w:rsidRDefault="00E607F1" w:rsidP="00E928DC">
            <w:pPr>
              <w:rPr>
                <w:sz w:val="22"/>
                <w:szCs w:val="22"/>
                <w:lang w:val="en-GB"/>
              </w:rPr>
            </w:pPr>
            <w:r w:rsidRPr="000E69C6">
              <w:rPr>
                <w:sz w:val="22"/>
                <w:szCs w:val="22"/>
                <w:lang w:val="en-GB"/>
              </w:rPr>
              <w:t>Recurrent symptomatic VTE and VTE-related death</w:t>
            </w:r>
          </w:p>
        </w:tc>
        <w:tc>
          <w:tcPr>
            <w:tcW w:w="1486" w:type="pct"/>
            <w:tcBorders>
              <w:top w:val="single" w:sz="4" w:space="0" w:color="auto"/>
              <w:left w:val="single" w:sz="4" w:space="0" w:color="auto"/>
              <w:bottom w:val="nil"/>
              <w:right w:val="nil"/>
            </w:tcBorders>
            <w:hideMark/>
          </w:tcPr>
          <w:p w14:paraId="3B01BA24" w14:textId="77777777" w:rsidR="00E607F1" w:rsidRPr="000E69C6" w:rsidRDefault="00E607F1" w:rsidP="00E928DC">
            <w:pPr>
              <w:rPr>
                <w:sz w:val="22"/>
                <w:szCs w:val="22"/>
                <w:lang w:val="en-GB"/>
              </w:rPr>
            </w:pPr>
            <w:r w:rsidRPr="000E69C6">
              <w:rPr>
                <w:sz w:val="22"/>
                <w:szCs w:val="22"/>
                <w:lang w:val="en-GB"/>
              </w:rPr>
              <w:t>68 (2.7 %)</w:t>
            </w:r>
          </w:p>
        </w:tc>
        <w:tc>
          <w:tcPr>
            <w:tcW w:w="1016" w:type="pct"/>
            <w:tcBorders>
              <w:top w:val="single" w:sz="4" w:space="0" w:color="auto"/>
              <w:left w:val="single" w:sz="4" w:space="0" w:color="auto"/>
              <w:bottom w:val="nil"/>
              <w:right w:val="single" w:sz="4" w:space="0" w:color="auto"/>
            </w:tcBorders>
            <w:hideMark/>
          </w:tcPr>
          <w:p w14:paraId="4C4EC23B" w14:textId="77777777" w:rsidR="00E607F1" w:rsidRPr="000E69C6" w:rsidRDefault="00E607F1" w:rsidP="00E928DC">
            <w:pPr>
              <w:rPr>
                <w:sz w:val="22"/>
                <w:szCs w:val="22"/>
                <w:lang w:val="en-GB"/>
              </w:rPr>
            </w:pPr>
            <w:r w:rsidRPr="000E69C6">
              <w:rPr>
                <w:sz w:val="22"/>
                <w:szCs w:val="22"/>
                <w:lang w:val="en-GB"/>
              </w:rPr>
              <w:t>62 (2.4 %)</w:t>
            </w:r>
          </w:p>
        </w:tc>
      </w:tr>
      <w:tr w:rsidR="00E607F1" w:rsidRPr="000E69C6" w14:paraId="202EB8E7" w14:textId="77777777" w:rsidTr="00E928DC">
        <w:trPr>
          <w:trHeight w:val="57"/>
        </w:trPr>
        <w:tc>
          <w:tcPr>
            <w:tcW w:w="2498" w:type="pct"/>
            <w:tcBorders>
              <w:top w:val="single" w:sz="4" w:space="0" w:color="auto"/>
              <w:left w:val="single" w:sz="4" w:space="0" w:color="auto"/>
              <w:bottom w:val="nil"/>
              <w:right w:val="nil"/>
            </w:tcBorders>
            <w:vAlign w:val="bottom"/>
            <w:hideMark/>
          </w:tcPr>
          <w:p w14:paraId="786001D0" w14:textId="77777777" w:rsidR="00E607F1" w:rsidRPr="000E69C6" w:rsidRDefault="00E607F1" w:rsidP="00E928DC">
            <w:pPr>
              <w:rPr>
                <w:sz w:val="22"/>
                <w:szCs w:val="22"/>
                <w:lang w:val="en-GB"/>
              </w:rPr>
            </w:pPr>
            <w:r w:rsidRPr="000E69C6">
              <w:rPr>
                <w:sz w:val="22"/>
                <w:szCs w:val="22"/>
                <w:lang w:val="en-GB"/>
              </w:rPr>
              <w:t>Hazard ratio vs warfarin (95% confidence interval)</w:t>
            </w:r>
          </w:p>
        </w:tc>
        <w:tc>
          <w:tcPr>
            <w:tcW w:w="1486" w:type="pct"/>
            <w:tcBorders>
              <w:top w:val="single" w:sz="4" w:space="0" w:color="auto"/>
              <w:left w:val="single" w:sz="4" w:space="0" w:color="auto"/>
              <w:bottom w:val="nil"/>
              <w:right w:val="nil"/>
            </w:tcBorders>
            <w:hideMark/>
          </w:tcPr>
          <w:p w14:paraId="16328073" w14:textId="77777777" w:rsidR="00E607F1" w:rsidRPr="000E69C6" w:rsidRDefault="00E607F1" w:rsidP="00E928DC">
            <w:pPr>
              <w:rPr>
                <w:sz w:val="22"/>
                <w:szCs w:val="22"/>
                <w:lang w:val="en-GB"/>
              </w:rPr>
            </w:pPr>
            <w:r w:rsidRPr="000E69C6">
              <w:rPr>
                <w:sz w:val="22"/>
                <w:szCs w:val="22"/>
                <w:lang w:val="en-GB"/>
              </w:rPr>
              <w:t>1.09 (0.77, 1.54)</w:t>
            </w:r>
          </w:p>
        </w:tc>
        <w:tc>
          <w:tcPr>
            <w:tcW w:w="1016" w:type="pct"/>
            <w:tcBorders>
              <w:top w:val="single" w:sz="4" w:space="0" w:color="auto"/>
              <w:left w:val="single" w:sz="4" w:space="0" w:color="auto"/>
              <w:bottom w:val="nil"/>
              <w:right w:val="single" w:sz="4" w:space="0" w:color="auto"/>
            </w:tcBorders>
          </w:tcPr>
          <w:p w14:paraId="2A76873B" w14:textId="77777777" w:rsidR="00E607F1" w:rsidRPr="000E69C6" w:rsidRDefault="00E607F1" w:rsidP="00E928DC">
            <w:pPr>
              <w:rPr>
                <w:sz w:val="22"/>
                <w:szCs w:val="22"/>
                <w:lang w:val="en-GB"/>
              </w:rPr>
            </w:pPr>
          </w:p>
        </w:tc>
      </w:tr>
      <w:tr w:rsidR="00E607F1" w:rsidRPr="000E69C6" w14:paraId="45B6523E" w14:textId="77777777" w:rsidTr="00E928DC">
        <w:trPr>
          <w:trHeight w:val="57"/>
        </w:trPr>
        <w:tc>
          <w:tcPr>
            <w:tcW w:w="2498" w:type="pct"/>
            <w:tcBorders>
              <w:top w:val="single" w:sz="4" w:space="0" w:color="auto"/>
              <w:left w:val="single" w:sz="4" w:space="0" w:color="auto"/>
              <w:bottom w:val="nil"/>
              <w:right w:val="nil"/>
            </w:tcBorders>
            <w:vAlign w:val="bottom"/>
            <w:hideMark/>
          </w:tcPr>
          <w:p w14:paraId="3B7840EC" w14:textId="77777777" w:rsidR="00E607F1" w:rsidRPr="000E69C6" w:rsidRDefault="00E607F1" w:rsidP="00E928DC">
            <w:pPr>
              <w:rPr>
                <w:sz w:val="22"/>
                <w:szCs w:val="22"/>
                <w:lang w:val="en-GB"/>
              </w:rPr>
            </w:pPr>
            <w:r w:rsidRPr="000E69C6">
              <w:rPr>
                <w:sz w:val="22"/>
                <w:szCs w:val="22"/>
                <w:lang w:val="en-GB"/>
              </w:rPr>
              <w:t>Secondary efficacy endpoints</w:t>
            </w:r>
          </w:p>
        </w:tc>
        <w:tc>
          <w:tcPr>
            <w:tcW w:w="1486" w:type="pct"/>
            <w:tcBorders>
              <w:top w:val="single" w:sz="4" w:space="0" w:color="auto"/>
              <w:left w:val="single" w:sz="4" w:space="0" w:color="auto"/>
              <w:bottom w:val="nil"/>
              <w:right w:val="nil"/>
            </w:tcBorders>
          </w:tcPr>
          <w:p w14:paraId="0F5F70C2" w14:textId="77777777" w:rsidR="00E607F1" w:rsidRPr="000E69C6" w:rsidRDefault="00E607F1" w:rsidP="00E928DC">
            <w:pPr>
              <w:rPr>
                <w:sz w:val="22"/>
                <w:szCs w:val="22"/>
                <w:lang w:val="en-GB"/>
              </w:rPr>
            </w:pPr>
          </w:p>
        </w:tc>
        <w:tc>
          <w:tcPr>
            <w:tcW w:w="1016" w:type="pct"/>
            <w:tcBorders>
              <w:top w:val="single" w:sz="4" w:space="0" w:color="auto"/>
              <w:left w:val="single" w:sz="4" w:space="0" w:color="auto"/>
              <w:bottom w:val="nil"/>
              <w:right w:val="single" w:sz="4" w:space="0" w:color="auto"/>
            </w:tcBorders>
          </w:tcPr>
          <w:p w14:paraId="5B757FD7" w14:textId="77777777" w:rsidR="00E607F1" w:rsidRPr="000E69C6" w:rsidRDefault="00E607F1" w:rsidP="00E928DC">
            <w:pPr>
              <w:rPr>
                <w:sz w:val="22"/>
                <w:szCs w:val="22"/>
                <w:lang w:val="en-GB"/>
              </w:rPr>
            </w:pPr>
          </w:p>
        </w:tc>
      </w:tr>
      <w:tr w:rsidR="00E607F1" w:rsidRPr="000E69C6" w14:paraId="404BD78C" w14:textId="77777777" w:rsidTr="00E928DC">
        <w:trPr>
          <w:trHeight w:val="57"/>
        </w:trPr>
        <w:tc>
          <w:tcPr>
            <w:tcW w:w="2498" w:type="pct"/>
            <w:tcBorders>
              <w:top w:val="single" w:sz="4" w:space="0" w:color="auto"/>
              <w:left w:val="single" w:sz="4" w:space="0" w:color="auto"/>
              <w:bottom w:val="nil"/>
              <w:right w:val="nil"/>
            </w:tcBorders>
            <w:vAlign w:val="bottom"/>
            <w:hideMark/>
          </w:tcPr>
          <w:p w14:paraId="7E7DE704" w14:textId="77777777" w:rsidR="00E607F1" w:rsidRPr="000E69C6" w:rsidRDefault="00E607F1" w:rsidP="00E928DC">
            <w:pPr>
              <w:rPr>
                <w:sz w:val="22"/>
                <w:szCs w:val="22"/>
                <w:lang w:val="en-GB"/>
              </w:rPr>
            </w:pPr>
            <w:r w:rsidRPr="000E69C6">
              <w:rPr>
                <w:sz w:val="22"/>
                <w:szCs w:val="22"/>
                <w:lang w:val="en-GB"/>
              </w:rPr>
              <w:t>Recurrent symptomatic VTE and all-cause deaths</w:t>
            </w:r>
          </w:p>
        </w:tc>
        <w:tc>
          <w:tcPr>
            <w:tcW w:w="1486" w:type="pct"/>
            <w:tcBorders>
              <w:top w:val="single" w:sz="4" w:space="0" w:color="auto"/>
              <w:left w:val="single" w:sz="4" w:space="0" w:color="auto"/>
              <w:bottom w:val="nil"/>
              <w:right w:val="nil"/>
            </w:tcBorders>
            <w:vAlign w:val="center"/>
            <w:hideMark/>
          </w:tcPr>
          <w:p w14:paraId="3F148422" w14:textId="77777777" w:rsidR="00E607F1" w:rsidRPr="000E69C6" w:rsidRDefault="00E607F1" w:rsidP="00E928DC">
            <w:pPr>
              <w:rPr>
                <w:sz w:val="22"/>
                <w:szCs w:val="22"/>
                <w:lang w:val="en-GB"/>
              </w:rPr>
            </w:pPr>
            <w:r w:rsidRPr="000E69C6">
              <w:rPr>
                <w:sz w:val="22"/>
                <w:szCs w:val="22"/>
                <w:lang w:val="en-GB"/>
              </w:rPr>
              <w:t>109 (4.3 %)</w:t>
            </w:r>
          </w:p>
        </w:tc>
        <w:tc>
          <w:tcPr>
            <w:tcW w:w="1016" w:type="pct"/>
            <w:tcBorders>
              <w:top w:val="single" w:sz="4" w:space="0" w:color="auto"/>
              <w:left w:val="single" w:sz="4" w:space="0" w:color="auto"/>
              <w:bottom w:val="nil"/>
              <w:right w:val="single" w:sz="4" w:space="0" w:color="auto"/>
            </w:tcBorders>
            <w:vAlign w:val="center"/>
            <w:hideMark/>
          </w:tcPr>
          <w:p w14:paraId="111DD39D" w14:textId="77777777" w:rsidR="00E607F1" w:rsidRPr="000E69C6" w:rsidRDefault="00E607F1" w:rsidP="00E928DC">
            <w:pPr>
              <w:rPr>
                <w:sz w:val="22"/>
                <w:szCs w:val="22"/>
                <w:lang w:val="en-GB"/>
              </w:rPr>
            </w:pPr>
            <w:r w:rsidRPr="000E69C6">
              <w:rPr>
                <w:sz w:val="22"/>
                <w:szCs w:val="22"/>
                <w:lang w:val="en-GB"/>
              </w:rPr>
              <w:t>104 (4.1 %)</w:t>
            </w:r>
          </w:p>
        </w:tc>
      </w:tr>
      <w:tr w:rsidR="00E607F1" w:rsidRPr="000E69C6" w14:paraId="6E533B91" w14:textId="77777777" w:rsidTr="00E928DC">
        <w:trPr>
          <w:trHeight w:val="57"/>
        </w:trPr>
        <w:tc>
          <w:tcPr>
            <w:tcW w:w="2498" w:type="pct"/>
            <w:tcBorders>
              <w:top w:val="single" w:sz="4" w:space="0" w:color="auto"/>
              <w:left w:val="single" w:sz="4" w:space="0" w:color="auto"/>
              <w:bottom w:val="nil"/>
              <w:right w:val="nil"/>
            </w:tcBorders>
            <w:hideMark/>
          </w:tcPr>
          <w:p w14:paraId="3898E176" w14:textId="77777777" w:rsidR="00E607F1" w:rsidRPr="000E69C6" w:rsidRDefault="00E607F1" w:rsidP="00E928DC">
            <w:pPr>
              <w:rPr>
                <w:sz w:val="22"/>
                <w:szCs w:val="22"/>
                <w:lang w:val="en-GB"/>
              </w:rPr>
            </w:pPr>
            <w:r w:rsidRPr="000E69C6">
              <w:rPr>
                <w:sz w:val="22"/>
                <w:szCs w:val="22"/>
                <w:lang w:val="en-GB"/>
              </w:rPr>
              <w:t>95 % confidence interval</w:t>
            </w:r>
          </w:p>
        </w:tc>
        <w:tc>
          <w:tcPr>
            <w:tcW w:w="1486" w:type="pct"/>
            <w:tcBorders>
              <w:top w:val="single" w:sz="4" w:space="0" w:color="auto"/>
              <w:left w:val="single" w:sz="4" w:space="0" w:color="auto"/>
              <w:bottom w:val="nil"/>
              <w:right w:val="nil"/>
            </w:tcBorders>
            <w:vAlign w:val="center"/>
            <w:hideMark/>
          </w:tcPr>
          <w:p w14:paraId="5C0E5045" w14:textId="77777777" w:rsidR="00E607F1" w:rsidRPr="000E69C6" w:rsidRDefault="00E607F1" w:rsidP="00E928DC">
            <w:pPr>
              <w:rPr>
                <w:sz w:val="22"/>
                <w:szCs w:val="22"/>
                <w:lang w:val="en-GB"/>
              </w:rPr>
            </w:pPr>
            <w:r w:rsidRPr="000E69C6">
              <w:rPr>
                <w:sz w:val="22"/>
                <w:szCs w:val="22"/>
                <w:lang w:val="en-GB"/>
              </w:rPr>
              <w:t>3.52, 5.13</w:t>
            </w:r>
          </w:p>
        </w:tc>
        <w:tc>
          <w:tcPr>
            <w:tcW w:w="1016" w:type="pct"/>
            <w:tcBorders>
              <w:top w:val="single" w:sz="4" w:space="0" w:color="auto"/>
              <w:left w:val="single" w:sz="4" w:space="0" w:color="auto"/>
              <w:bottom w:val="nil"/>
              <w:right w:val="single" w:sz="4" w:space="0" w:color="auto"/>
            </w:tcBorders>
            <w:vAlign w:val="center"/>
            <w:hideMark/>
          </w:tcPr>
          <w:p w14:paraId="2C2A5031" w14:textId="77777777" w:rsidR="00E607F1" w:rsidRPr="000E69C6" w:rsidRDefault="00E607F1" w:rsidP="00E928DC">
            <w:pPr>
              <w:rPr>
                <w:sz w:val="22"/>
                <w:szCs w:val="22"/>
                <w:lang w:val="en-GB"/>
              </w:rPr>
            </w:pPr>
            <w:r w:rsidRPr="000E69C6">
              <w:rPr>
                <w:sz w:val="22"/>
                <w:szCs w:val="22"/>
                <w:lang w:val="en-GB"/>
              </w:rPr>
              <w:t>3.34, 4.91</w:t>
            </w:r>
          </w:p>
        </w:tc>
      </w:tr>
      <w:tr w:rsidR="00E607F1" w:rsidRPr="000E69C6" w14:paraId="6D982697" w14:textId="77777777" w:rsidTr="00E928DC">
        <w:trPr>
          <w:trHeight w:val="57"/>
        </w:trPr>
        <w:tc>
          <w:tcPr>
            <w:tcW w:w="2498" w:type="pct"/>
            <w:tcBorders>
              <w:top w:val="single" w:sz="4" w:space="0" w:color="auto"/>
              <w:left w:val="single" w:sz="4" w:space="0" w:color="auto"/>
              <w:bottom w:val="nil"/>
              <w:right w:val="nil"/>
            </w:tcBorders>
            <w:vAlign w:val="bottom"/>
            <w:hideMark/>
          </w:tcPr>
          <w:p w14:paraId="0A212CBB" w14:textId="77777777" w:rsidR="00E607F1" w:rsidRPr="000E69C6" w:rsidRDefault="00E607F1" w:rsidP="00E928DC">
            <w:pPr>
              <w:rPr>
                <w:sz w:val="22"/>
                <w:szCs w:val="22"/>
                <w:lang w:val="en-GB"/>
              </w:rPr>
            </w:pPr>
            <w:r w:rsidRPr="000E69C6">
              <w:rPr>
                <w:sz w:val="22"/>
                <w:szCs w:val="22"/>
                <w:lang w:val="en-GB"/>
              </w:rPr>
              <w:t>Symptomatic DVT</w:t>
            </w:r>
          </w:p>
        </w:tc>
        <w:tc>
          <w:tcPr>
            <w:tcW w:w="1486" w:type="pct"/>
            <w:tcBorders>
              <w:top w:val="single" w:sz="4" w:space="0" w:color="auto"/>
              <w:left w:val="single" w:sz="4" w:space="0" w:color="auto"/>
              <w:bottom w:val="nil"/>
              <w:right w:val="nil"/>
            </w:tcBorders>
            <w:vAlign w:val="bottom"/>
            <w:hideMark/>
          </w:tcPr>
          <w:p w14:paraId="35BDA992" w14:textId="77777777" w:rsidR="00E607F1" w:rsidRPr="000E69C6" w:rsidRDefault="00E607F1" w:rsidP="00E928DC">
            <w:pPr>
              <w:rPr>
                <w:sz w:val="22"/>
                <w:szCs w:val="22"/>
                <w:lang w:val="en-GB"/>
              </w:rPr>
            </w:pPr>
            <w:r w:rsidRPr="000E69C6">
              <w:rPr>
                <w:sz w:val="22"/>
                <w:szCs w:val="22"/>
                <w:lang w:val="en-GB"/>
              </w:rPr>
              <w:t>45 (1.8 %)</w:t>
            </w:r>
          </w:p>
        </w:tc>
        <w:tc>
          <w:tcPr>
            <w:tcW w:w="1016" w:type="pct"/>
            <w:tcBorders>
              <w:top w:val="single" w:sz="4" w:space="0" w:color="auto"/>
              <w:left w:val="single" w:sz="4" w:space="0" w:color="auto"/>
              <w:bottom w:val="nil"/>
              <w:right w:val="single" w:sz="4" w:space="0" w:color="auto"/>
            </w:tcBorders>
            <w:vAlign w:val="bottom"/>
            <w:hideMark/>
          </w:tcPr>
          <w:p w14:paraId="481F2340" w14:textId="77777777" w:rsidR="00E607F1" w:rsidRPr="000E69C6" w:rsidRDefault="00E607F1" w:rsidP="00E928DC">
            <w:pPr>
              <w:rPr>
                <w:sz w:val="22"/>
                <w:szCs w:val="22"/>
                <w:lang w:val="en-GB"/>
              </w:rPr>
            </w:pPr>
            <w:r w:rsidRPr="000E69C6">
              <w:rPr>
                <w:sz w:val="22"/>
                <w:szCs w:val="22"/>
                <w:lang w:val="en-GB"/>
              </w:rPr>
              <w:t>39 (1.5 %)</w:t>
            </w:r>
          </w:p>
        </w:tc>
      </w:tr>
      <w:tr w:rsidR="00E607F1" w:rsidRPr="000E69C6" w14:paraId="600A566A" w14:textId="77777777" w:rsidTr="00E928DC">
        <w:trPr>
          <w:trHeight w:val="57"/>
        </w:trPr>
        <w:tc>
          <w:tcPr>
            <w:tcW w:w="2498" w:type="pct"/>
            <w:tcBorders>
              <w:top w:val="single" w:sz="4" w:space="0" w:color="auto"/>
              <w:left w:val="single" w:sz="4" w:space="0" w:color="auto"/>
              <w:bottom w:val="nil"/>
              <w:right w:val="nil"/>
            </w:tcBorders>
            <w:hideMark/>
          </w:tcPr>
          <w:p w14:paraId="010D4E9E" w14:textId="77777777" w:rsidR="00E607F1" w:rsidRPr="000E69C6" w:rsidRDefault="00E607F1" w:rsidP="00E928DC">
            <w:pPr>
              <w:rPr>
                <w:sz w:val="22"/>
                <w:szCs w:val="22"/>
                <w:lang w:val="en-GB"/>
              </w:rPr>
            </w:pPr>
            <w:r w:rsidRPr="000E69C6">
              <w:rPr>
                <w:sz w:val="22"/>
                <w:szCs w:val="22"/>
                <w:lang w:val="en-GB"/>
              </w:rPr>
              <w:t>95 % confidence interval</w:t>
            </w:r>
          </w:p>
        </w:tc>
        <w:tc>
          <w:tcPr>
            <w:tcW w:w="1486" w:type="pct"/>
            <w:tcBorders>
              <w:top w:val="single" w:sz="4" w:space="0" w:color="auto"/>
              <w:left w:val="single" w:sz="4" w:space="0" w:color="auto"/>
              <w:bottom w:val="nil"/>
              <w:right w:val="nil"/>
            </w:tcBorders>
            <w:vAlign w:val="center"/>
            <w:hideMark/>
          </w:tcPr>
          <w:p w14:paraId="768DBC44" w14:textId="77777777" w:rsidR="00E607F1" w:rsidRPr="000E69C6" w:rsidRDefault="00E607F1" w:rsidP="00E928DC">
            <w:pPr>
              <w:rPr>
                <w:sz w:val="22"/>
                <w:szCs w:val="22"/>
                <w:lang w:val="en-GB"/>
              </w:rPr>
            </w:pPr>
            <w:r w:rsidRPr="000E69C6">
              <w:rPr>
                <w:sz w:val="22"/>
                <w:szCs w:val="22"/>
                <w:lang w:val="en-GB"/>
              </w:rPr>
              <w:t>1.29, 2.35</w:t>
            </w:r>
          </w:p>
        </w:tc>
        <w:tc>
          <w:tcPr>
            <w:tcW w:w="1016" w:type="pct"/>
            <w:tcBorders>
              <w:top w:val="single" w:sz="4" w:space="0" w:color="auto"/>
              <w:left w:val="single" w:sz="4" w:space="0" w:color="auto"/>
              <w:bottom w:val="nil"/>
              <w:right w:val="single" w:sz="4" w:space="0" w:color="auto"/>
            </w:tcBorders>
            <w:vAlign w:val="center"/>
            <w:hideMark/>
          </w:tcPr>
          <w:p w14:paraId="367C77BD" w14:textId="77777777" w:rsidR="00E607F1" w:rsidRPr="000E69C6" w:rsidRDefault="00E607F1" w:rsidP="00E928DC">
            <w:pPr>
              <w:rPr>
                <w:sz w:val="22"/>
                <w:szCs w:val="22"/>
                <w:lang w:val="en-GB"/>
              </w:rPr>
            </w:pPr>
            <w:r w:rsidRPr="000E69C6">
              <w:rPr>
                <w:sz w:val="22"/>
                <w:szCs w:val="22"/>
                <w:lang w:val="en-GB"/>
              </w:rPr>
              <w:t>1.09, 2.08</w:t>
            </w:r>
          </w:p>
        </w:tc>
      </w:tr>
      <w:tr w:rsidR="00E607F1" w:rsidRPr="000E69C6" w14:paraId="01377E12" w14:textId="77777777" w:rsidTr="00E928DC">
        <w:trPr>
          <w:trHeight w:val="57"/>
        </w:trPr>
        <w:tc>
          <w:tcPr>
            <w:tcW w:w="2498" w:type="pct"/>
            <w:tcBorders>
              <w:top w:val="single" w:sz="4" w:space="0" w:color="auto"/>
              <w:left w:val="single" w:sz="4" w:space="0" w:color="auto"/>
              <w:bottom w:val="nil"/>
              <w:right w:val="nil"/>
            </w:tcBorders>
            <w:vAlign w:val="bottom"/>
            <w:hideMark/>
          </w:tcPr>
          <w:p w14:paraId="07A208A9" w14:textId="77777777" w:rsidR="00E607F1" w:rsidRPr="000E69C6" w:rsidRDefault="00E607F1" w:rsidP="00E928DC">
            <w:pPr>
              <w:rPr>
                <w:sz w:val="22"/>
                <w:szCs w:val="22"/>
                <w:lang w:val="en-GB"/>
              </w:rPr>
            </w:pPr>
            <w:r w:rsidRPr="000E69C6">
              <w:rPr>
                <w:sz w:val="22"/>
                <w:szCs w:val="22"/>
                <w:lang w:val="en-GB"/>
              </w:rPr>
              <w:t>Symptomatic PE</w:t>
            </w:r>
          </w:p>
        </w:tc>
        <w:tc>
          <w:tcPr>
            <w:tcW w:w="1486" w:type="pct"/>
            <w:tcBorders>
              <w:top w:val="single" w:sz="4" w:space="0" w:color="auto"/>
              <w:left w:val="single" w:sz="4" w:space="0" w:color="auto"/>
              <w:bottom w:val="nil"/>
              <w:right w:val="nil"/>
            </w:tcBorders>
            <w:vAlign w:val="bottom"/>
            <w:hideMark/>
          </w:tcPr>
          <w:p w14:paraId="6E33014D" w14:textId="77777777" w:rsidR="00E607F1" w:rsidRPr="000E69C6" w:rsidRDefault="00E607F1" w:rsidP="00E928DC">
            <w:pPr>
              <w:rPr>
                <w:sz w:val="22"/>
                <w:szCs w:val="22"/>
                <w:lang w:val="en-GB"/>
              </w:rPr>
            </w:pPr>
            <w:r w:rsidRPr="000E69C6">
              <w:rPr>
                <w:sz w:val="22"/>
                <w:szCs w:val="22"/>
                <w:lang w:val="en-GB"/>
              </w:rPr>
              <w:t>27 (1.1 %)</w:t>
            </w:r>
          </w:p>
        </w:tc>
        <w:tc>
          <w:tcPr>
            <w:tcW w:w="1016" w:type="pct"/>
            <w:tcBorders>
              <w:top w:val="single" w:sz="4" w:space="0" w:color="auto"/>
              <w:left w:val="single" w:sz="4" w:space="0" w:color="auto"/>
              <w:bottom w:val="nil"/>
              <w:right w:val="single" w:sz="4" w:space="0" w:color="auto"/>
            </w:tcBorders>
            <w:vAlign w:val="bottom"/>
            <w:hideMark/>
          </w:tcPr>
          <w:p w14:paraId="35C5D2DF" w14:textId="77777777" w:rsidR="00E607F1" w:rsidRPr="000E69C6" w:rsidRDefault="00E607F1" w:rsidP="00E928DC">
            <w:pPr>
              <w:rPr>
                <w:sz w:val="22"/>
                <w:szCs w:val="22"/>
                <w:lang w:val="en-GB"/>
              </w:rPr>
            </w:pPr>
            <w:r w:rsidRPr="000E69C6">
              <w:rPr>
                <w:sz w:val="22"/>
                <w:szCs w:val="22"/>
                <w:lang w:val="en-GB"/>
              </w:rPr>
              <w:t>26 (1.0 %)</w:t>
            </w:r>
          </w:p>
        </w:tc>
      </w:tr>
      <w:tr w:rsidR="00E607F1" w:rsidRPr="000E69C6" w14:paraId="6664FE3B" w14:textId="77777777" w:rsidTr="00E928DC">
        <w:trPr>
          <w:trHeight w:val="57"/>
        </w:trPr>
        <w:tc>
          <w:tcPr>
            <w:tcW w:w="2498" w:type="pct"/>
            <w:tcBorders>
              <w:top w:val="single" w:sz="4" w:space="0" w:color="auto"/>
              <w:left w:val="single" w:sz="4" w:space="0" w:color="auto"/>
              <w:bottom w:val="nil"/>
              <w:right w:val="nil"/>
            </w:tcBorders>
            <w:hideMark/>
          </w:tcPr>
          <w:p w14:paraId="48EC2FD6" w14:textId="77777777" w:rsidR="00E607F1" w:rsidRPr="000E69C6" w:rsidRDefault="00E607F1" w:rsidP="00E928DC">
            <w:pPr>
              <w:rPr>
                <w:sz w:val="22"/>
                <w:szCs w:val="22"/>
                <w:lang w:val="en-GB"/>
              </w:rPr>
            </w:pPr>
            <w:r w:rsidRPr="000E69C6">
              <w:rPr>
                <w:sz w:val="22"/>
                <w:szCs w:val="22"/>
                <w:lang w:val="en-GB"/>
              </w:rPr>
              <w:t>95 % confidence interval</w:t>
            </w:r>
          </w:p>
        </w:tc>
        <w:tc>
          <w:tcPr>
            <w:tcW w:w="1486" w:type="pct"/>
            <w:tcBorders>
              <w:top w:val="single" w:sz="4" w:space="0" w:color="auto"/>
              <w:left w:val="single" w:sz="4" w:space="0" w:color="auto"/>
              <w:bottom w:val="nil"/>
              <w:right w:val="nil"/>
            </w:tcBorders>
            <w:vAlign w:val="center"/>
            <w:hideMark/>
          </w:tcPr>
          <w:p w14:paraId="27F40088" w14:textId="77777777" w:rsidR="00E607F1" w:rsidRPr="000E69C6" w:rsidRDefault="00E607F1" w:rsidP="00E928DC">
            <w:pPr>
              <w:rPr>
                <w:sz w:val="22"/>
                <w:szCs w:val="22"/>
                <w:lang w:val="en-GB"/>
              </w:rPr>
            </w:pPr>
            <w:r w:rsidRPr="000E69C6">
              <w:rPr>
                <w:sz w:val="22"/>
                <w:szCs w:val="22"/>
                <w:lang w:val="en-GB"/>
              </w:rPr>
              <w:t>0.70, 1.54</w:t>
            </w:r>
          </w:p>
        </w:tc>
        <w:tc>
          <w:tcPr>
            <w:tcW w:w="1016" w:type="pct"/>
            <w:tcBorders>
              <w:top w:val="single" w:sz="4" w:space="0" w:color="auto"/>
              <w:left w:val="single" w:sz="4" w:space="0" w:color="auto"/>
              <w:bottom w:val="nil"/>
              <w:right w:val="single" w:sz="4" w:space="0" w:color="auto"/>
            </w:tcBorders>
            <w:vAlign w:val="center"/>
            <w:hideMark/>
          </w:tcPr>
          <w:p w14:paraId="56C533E7" w14:textId="77777777" w:rsidR="00E607F1" w:rsidRPr="000E69C6" w:rsidRDefault="00E607F1" w:rsidP="00E928DC">
            <w:pPr>
              <w:rPr>
                <w:sz w:val="22"/>
                <w:szCs w:val="22"/>
                <w:lang w:val="en-GB"/>
              </w:rPr>
            </w:pPr>
            <w:r w:rsidRPr="000E69C6">
              <w:rPr>
                <w:sz w:val="22"/>
                <w:szCs w:val="22"/>
                <w:lang w:val="en-GB"/>
              </w:rPr>
              <w:t>0.67, 1.49</w:t>
            </w:r>
          </w:p>
        </w:tc>
      </w:tr>
      <w:tr w:rsidR="00E607F1" w:rsidRPr="000E69C6" w14:paraId="16227580" w14:textId="77777777" w:rsidTr="00E928DC">
        <w:trPr>
          <w:trHeight w:val="57"/>
        </w:trPr>
        <w:tc>
          <w:tcPr>
            <w:tcW w:w="2498" w:type="pct"/>
            <w:tcBorders>
              <w:top w:val="single" w:sz="4" w:space="0" w:color="auto"/>
              <w:left w:val="single" w:sz="4" w:space="0" w:color="auto"/>
              <w:bottom w:val="nil"/>
              <w:right w:val="nil"/>
            </w:tcBorders>
            <w:vAlign w:val="bottom"/>
            <w:hideMark/>
          </w:tcPr>
          <w:p w14:paraId="4B7A0B0E" w14:textId="77777777" w:rsidR="00E607F1" w:rsidRPr="000E69C6" w:rsidRDefault="00E607F1" w:rsidP="00E928DC">
            <w:pPr>
              <w:rPr>
                <w:sz w:val="22"/>
                <w:szCs w:val="22"/>
                <w:lang w:val="en-GB"/>
              </w:rPr>
            </w:pPr>
            <w:r w:rsidRPr="000E69C6">
              <w:rPr>
                <w:sz w:val="22"/>
                <w:szCs w:val="22"/>
                <w:lang w:val="en-GB"/>
              </w:rPr>
              <w:t>VTE-related deaths</w:t>
            </w:r>
          </w:p>
        </w:tc>
        <w:tc>
          <w:tcPr>
            <w:tcW w:w="1486" w:type="pct"/>
            <w:tcBorders>
              <w:top w:val="single" w:sz="4" w:space="0" w:color="auto"/>
              <w:left w:val="single" w:sz="4" w:space="0" w:color="auto"/>
              <w:bottom w:val="nil"/>
              <w:right w:val="nil"/>
            </w:tcBorders>
            <w:vAlign w:val="bottom"/>
            <w:hideMark/>
          </w:tcPr>
          <w:p w14:paraId="2406E7F6" w14:textId="77777777" w:rsidR="00E607F1" w:rsidRPr="000E69C6" w:rsidRDefault="00E607F1" w:rsidP="00E928DC">
            <w:pPr>
              <w:rPr>
                <w:sz w:val="22"/>
                <w:szCs w:val="22"/>
                <w:lang w:val="en-GB"/>
              </w:rPr>
            </w:pPr>
            <w:r w:rsidRPr="000E69C6">
              <w:rPr>
                <w:sz w:val="22"/>
                <w:szCs w:val="22"/>
                <w:lang w:val="en-GB"/>
              </w:rPr>
              <w:t>4 (0.2 %)</w:t>
            </w:r>
          </w:p>
        </w:tc>
        <w:tc>
          <w:tcPr>
            <w:tcW w:w="1016" w:type="pct"/>
            <w:tcBorders>
              <w:top w:val="single" w:sz="4" w:space="0" w:color="auto"/>
              <w:left w:val="single" w:sz="4" w:space="0" w:color="auto"/>
              <w:bottom w:val="nil"/>
              <w:right w:val="single" w:sz="4" w:space="0" w:color="auto"/>
            </w:tcBorders>
            <w:vAlign w:val="bottom"/>
            <w:hideMark/>
          </w:tcPr>
          <w:p w14:paraId="37FD93F8" w14:textId="77777777" w:rsidR="00E607F1" w:rsidRPr="000E69C6" w:rsidRDefault="00E607F1" w:rsidP="00E928DC">
            <w:pPr>
              <w:rPr>
                <w:sz w:val="22"/>
                <w:szCs w:val="22"/>
                <w:lang w:val="en-GB"/>
              </w:rPr>
            </w:pPr>
            <w:r w:rsidRPr="000E69C6">
              <w:rPr>
                <w:sz w:val="22"/>
                <w:szCs w:val="22"/>
                <w:lang w:val="en-GB"/>
              </w:rPr>
              <w:t>3 (0.1 %)</w:t>
            </w:r>
          </w:p>
        </w:tc>
      </w:tr>
      <w:tr w:rsidR="00E607F1" w:rsidRPr="000E69C6" w14:paraId="6F6A63D8" w14:textId="77777777" w:rsidTr="00E928DC">
        <w:trPr>
          <w:trHeight w:val="57"/>
        </w:trPr>
        <w:tc>
          <w:tcPr>
            <w:tcW w:w="2498" w:type="pct"/>
            <w:tcBorders>
              <w:top w:val="single" w:sz="4" w:space="0" w:color="auto"/>
              <w:left w:val="single" w:sz="4" w:space="0" w:color="auto"/>
              <w:bottom w:val="nil"/>
              <w:right w:val="nil"/>
            </w:tcBorders>
            <w:hideMark/>
          </w:tcPr>
          <w:p w14:paraId="43027243" w14:textId="77777777" w:rsidR="00E607F1" w:rsidRPr="000E69C6" w:rsidRDefault="00E607F1" w:rsidP="00E928DC">
            <w:pPr>
              <w:rPr>
                <w:sz w:val="22"/>
                <w:szCs w:val="22"/>
                <w:lang w:val="en-GB"/>
              </w:rPr>
            </w:pPr>
            <w:r w:rsidRPr="000E69C6">
              <w:rPr>
                <w:sz w:val="22"/>
                <w:szCs w:val="22"/>
                <w:lang w:val="en-GB"/>
              </w:rPr>
              <w:t>95 % confidence interval</w:t>
            </w:r>
          </w:p>
        </w:tc>
        <w:tc>
          <w:tcPr>
            <w:tcW w:w="1486" w:type="pct"/>
            <w:tcBorders>
              <w:top w:val="single" w:sz="4" w:space="0" w:color="auto"/>
              <w:left w:val="single" w:sz="4" w:space="0" w:color="auto"/>
              <w:bottom w:val="nil"/>
              <w:right w:val="nil"/>
            </w:tcBorders>
            <w:vAlign w:val="center"/>
            <w:hideMark/>
          </w:tcPr>
          <w:p w14:paraId="4FE6481C" w14:textId="77777777" w:rsidR="00E607F1" w:rsidRPr="000E69C6" w:rsidRDefault="00E607F1" w:rsidP="00E928DC">
            <w:pPr>
              <w:rPr>
                <w:sz w:val="22"/>
                <w:szCs w:val="22"/>
                <w:lang w:val="en-GB"/>
              </w:rPr>
            </w:pPr>
            <w:r w:rsidRPr="000E69C6">
              <w:rPr>
                <w:sz w:val="22"/>
                <w:szCs w:val="22"/>
                <w:lang w:val="en-GB"/>
              </w:rPr>
              <w:t>0.04, 0.40</w:t>
            </w:r>
          </w:p>
        </w:tc>
        <w:tc>
          <w:tcPr>
            <w:tcW w:w="1016" w:type="pct"/>
            <w:tcBorders>
              <w:top w:val="single" w:sz="4" w:space="0" w:color="auto"/>
              <w:left w:val="single" w:sz="4" w:space="0" w:color="auto"/>
              <w:bottom w:val="nil"/>
              <w:right w:val="single" w:sz="4" w:space="0" w:color="auto"/>
            </w:tcBorders>
            <w:vAlign w:val="center"/>
            <w:hideMark/>
          </w:tcPr>
          <w:p w14:paraId="506936DC" w14:textId="77777777" w:rsidR="00E607F1" w:rsidRPr="000E69C6" w:rsidRDefault="00E607F1" w:rsidP="00E928DC">
            <w:pPr>
              <w:rPr>
                <w:sz w:val="22"/>
                <w:szCs w:val="22"/>
                <w:lang w:val="en-GB"/>
              </w:rPr>
            </w:pPr>
            <w:r w:rsidRPr="000E69C6">
              <w:rPr>
                <w:sz w:val="22"/>
                <w:szCs w:val="22"/>
                <w:lang w:val="en-GB"/>
              </w:rPr>
              <w:t>0.02, 0.34</w:t>
            </w:r>
          </w:p>
        </w:tc>
      </w:tr>
      <w:tr w:rsidR="00E607F1" w:rsidRPr="000E69C6" w14:paraId="5B71A81E" w14:textId="77777777" w:rsidTr="00E928DC">
        <w:trPr>
          <w:trHeight w:val="57"/>
        </w:trPr>
        <w:tc>
          <w:tcPr>
            <w:tcW w:w="2498" w:type="pct"/>
            <w:tcBorders>
              <w:top w:val="single" w:sz="4" w:space="0" w:color="auto"/>
              <w:left w:val="single" w:sz="4" w:space="0" w:color="auto"/>
              <w:bottom w:val="nil"/>
              <w:right w:val="nil"/>
            </w:tcBorders>
            <w:vAlign w:val="bottom"/>
            <w:hideMark/>
          </w:tcPr>
          <w:p w14:paraId="5F855213" w14:textId="77777777" w:rsidR="00E607F1" w:rsidRPr="000E69C6" w:rsidRDefault="00E607F1" w:rsidP="00E928DC">
            <w:pPr>
              <w:rPr>
                <w:sz w:val="22"/>
                <w:szCs w:val="22"/>
                <w:lang w:val="en-GB"/>
              </w:rPr>
            </w:pPr>
            <w:r w:rsidRPr="000E69C6">
              <w:rPr>
                <w:sz w:val="22"/>
                <w:szCs w:val="22"/>
                <w:lang w:val="en-GB"/>
              </w:rPr>
              <w:t>All-cause deaths</w:t>
            </w:r>
          </w:p>
        </w:tc>
        <w:tc>
          <w:tcPr>
            <w:tcW w:w="1486" w:type="pct"/>
            <w:tcBorders>
              <w:top w:val="single" w:sz="4" w:space="0" w:color="auto"/>
              <w:left w:val="single" w:sz="4" w:space="0" w:color="auto"/>
              <w:bottom w:val="nil"/>
              <w:right w:val="nil"/>
            </w:tcBorders>
            <w:vAlign w:val="bottom"/>
            <w:hideMark/>
          </w:tcPr>
          <w:p w14:paraId="18AA7F71" w14:textId="77777777" w:rsidR="00E607F1" w:rsidRPr="000E69C6" w:rsidRDefault="00E607F1" w:rsidP="00E928DC">
            <w:pPr>
              <w:rPr>
                <w:sz w:val="22"/>
                <w:szCs w:val="22"/>
                <w:lang w:val="en-GB"/>
              </w:rPr>
            </w:pPr>
            <w:r w:rsidRPr="000E69C6">
              <w:rPr>
                <w:sz w:val="22"/>
                <w:szCs w:val="22"/>
                <w:lang w:val="en-GB"/>
              </w:rPr>
              <w:t>51 (2.0 %)</w:t>
            </w:r>
          </w:p>
        </w:tc>
        <w:tc>
          <w:tcPr>
            <w:tcW w:w="1016" w:type="pct"/>
            <w:tcBorders>
              <w:top w:val="single" w:sz="4" w:space="0" w:color="auto"/>
              <w:left w:val="single" w:sz="4" w:space="0" w:color="auto"/>
              <w:bottom w:val="nil"/>
              <w:right w:val="single" w:sz="4" w:space="0" w:color="auto"/>
            </w:tcBorders>
            <w:vAlign w:val="bottom"/>
            <w:hideMark/>
          </w:tcPr>
          <w:p w14:paraId="5FE7D20A" w14:textId="77777777" w:rsidR="00E607F1" w:rsidRPr="000E69C6" w:rsidRDefault="00E607F1" w:rsidP="00E928DC">
            <w:pPr>
              <w:rPr>
                <w:sz w:val="22"/>
                <w:szCs w:val="22"/>
                <w:lang w:val="en-GB"/>
              </w:rPr>
            </w:pPr>
            <w:r w:rsidRPr="000E69C6">
              <w:rPr>
                <w:sz w:val="22"/>
                <w:szCs w:val="22"/>
                <w:lang w:val="en-GB"/>
              </w:rPr>
              <w:t>52 (2.0 %)</w:t>
            </w:r>
          </w:p>
        </w:tc>
      </w:tr>
      <w:tr w:rsidR="00E607F1" w:rsidRPr="000E69C6" w14:paraId="1F749C5D" w14:textId="77777777" w:rsidTr="00E928DC">
        <w:trPr>
          <w:trHeight w:val="57"/>
        </w:trPr>
        <w:tc>
          <w:tcPr>
            <w:tcW w:w="2498" w:type="pct"/>
            <w:tcBorders>
              <w:top w:val="single" w:sz="4" w:space="0" w:color="auto"/>
              <w:left w:val="single" w:sz="4" w:space="0" w:color="auto"/>
              <w:bottom w:val="single" w:sz="4" w:space="0" w:color="auto"/>
              <w:right w:val="nil"/>
            </w:tcBorders>
            <w:hideMark/>
          </w:tcPr>
          <w:p w14:paraId="324B629D" w14:textId="77777777" w:rsidR="00E607F1" w:rsidRPr="000E69C6" w:rsidRDefault="00E607F1" w:rsidP="00E928DC">
            <w:pPr>
              <w:rPr>
                <w:sz w:val="22"/>
                <w:szCs w:val="22"/>
                <w:lang w:val="en-GB"/>
              </w:rPr>
            </w:pPr>
            <w:r w:rsidRPr="000E69C6">
              <w:rPr>
                <w:sz w:val="22"/>
                <w:szCs w:val="22"/>
                <w:lang w:val="en-GB"/>
              </w:rPr>
              <w:t>95 % confidence interval</w:t>
            </w:r>
          </w:p>
        </w:tc>
        <w:tc>
          <w:tcPr>
            <w:tcW w:w="1486" w:type="pct"/>
            <w:tcBorders>
              <w:top w:val="single" w:sz="4" w:space="0" w:color="auto"/>
              <w:left w:val="single" w:sz="4" w:space="0" w:color="auto"/>
              <w:bottom w:val="single" w:sz="4" w:space="0" w:color="auto"/>
              <w:right w:val="nil"/>
            </w:tcBorders>
            <w:vAlign w:val="center"/>
            <w:hideMark/>
          </w:tcPr>
          <w:p w14:paraId="1112E11A" w14:textId="77777777" w:rsidR="00E607F1" w:rsidRPr="000E69C6" w:rsidRDefault="00E607F1" w:rsidP="00E928DC">
            <w:pPr>
              <w:rPr>
                <w:sz w:val="22"/>
                <w:szCs w:val="22"/>
                <w:lang w:val="en-GB"/>
              </w:rPr>
            </w:pPr>
            <w:r w:rsidRPr="000E69C6">
              <w:rPr>
                <w:sz w:val="22"/>
                <w:szCs w:val="22"/>
                <w:lang w:val="en-GB"/>
              </w:rPr>
              <w:t>1.49, 2.62</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C52618A" w14:textId="77777777" w:rsidR="00E607F1" w:rsidRPr="000E69C6" w:rsidRDefault="00E607F1" w:rsidP="00E928DC">
            <w:pPr>
              <w:rPr>
                <w:sz w:val="22"/>
                <w:szCs w:val="22"/>
                <w:lang w:val="en-GB"/>
              </w:rPr>
            </w:pPr>
            <w:r w:rsidRPr="000E69C6">
              <w:rPr>
                <w:sz w:val="22"/>
                <w:szCs w:val="22"/>
                <w:lang w:val="en-GB"/>
              </w:rPr>
              <w:t>1.52, 2.66</w:t>
            </w:r>
          </w:p>
        </w:tc>
      </w:tr>
    </w:tbl>
    <w:p w14:paraId="579F5C39" w14:textId="77777777" w:rsidR="00E607F1" w:rsidRPr="00B55C24" w:rsidRDefault="00E607F1" w:rsidP="00E607F1">
      <w:pPr>
        <w:tabs>
          <w:tab w:val="left" w:pos="851"/>
        </w:tabs>
        <w:ind w:left="851"/>
        <w:rPr>
          <w:sz w:val="24"/>
          <w:szCs w:val="24"/>
          <w:lang w:val="en-GB"/>
        </w:rPr>
      </w:pPr>
    </w:p>
    <w:p w14:paraId="17A1D8A4" w14:textId="77777777" w:rsidR="00E607F1" w:rsidRPr="000E69C6" w:rsidRDefault="00E607F1" w:rsidP="00E928DC">
      <w:pPr>
        <w:ind w:left="851"/>
        <w:rPr>
          <w:i/>
          <w:iCs/>
          <w:sz w:val="24"/>
          <w:szCs w:val="24"/>
          <w:u w:val="single"/>
          <w:lang w:val="en-GB"/>
        </w:rPr>
      </w:pPr>
      <w:r w:rsidRPr="000E69C6">
        <w:rPr>
          <w:i/>
          <w:iCs/>
          <w:sz w:val="24"/>
          <w:szCs w:val="24"/>
          <w:u w:val="single"/>
          <w:lang w:val="en-GB"/>
        </w:rPr>
        <w:t>Prevention of recurrent DVT and PE in adults (DVT/PE prevention)</w:t>
      </w:r>
    </w:p>
    <w:p w14:paraId="3700CE91" w14:textId="77777777" w:rsidR="00E607F1" w:rsidRPr="00B55C24" w:rsidRDefault="00E607F1" w:rsidP="00E928DC">
      <w:pPr>
        <w:ind w:left="851"/>
        <w:rPr>
          <w:sz w:val="24"/>
          <w:szCs w:val="24"/>
          <w:lang w:val="en-GB"/>
        </w:rPr>
      </w:pPr>
    </w:p>
    <w:p w14:paraId="350152FD" w14:textId="77777777" w:rsidR="00E607F1" w:rsidRPr="00B55C24" w:rsidRDefault="00E607F1" w:rsidP="00E928DC">
      <w:pPr>
        <w:ind w:left="851"/>
        <w:rPr>
          <w:sz w:val="24"/>
          <w:szCs w:val="24"/>
          <w:lang w:val="en-GB"/>
        </w:rPr>
      </w:pPr>
      <w:r w:rsidRPr="00B55C24">
        <w:rPr>
          <w:sz w:val="24"/>
          <w:szCs w:val="24"/>
          <w:lang w:val="en-GB"/>
        </w:rPr>
        <w:t xml:space="preserve">Two randomised, parallel group, double-blind studies were performed in patients previously treated with anticoagulation therapy. RE-MEDY, </w:t>
      </w:r>
      <w:proofErr w:type="gramStart"/>
      <w:r w:rsidRPr="00B55C24">
        <w:rPr>
          <w:sz w:val="24"/>
          <w:szCs w:val="24"/>
          <w:lang w:val="en-GB"/>
        </w:rPr>
        <w:t>warfarin controlled</w:t>
      </w:r>
      <w:proofErr w:type="gramEnd"/>
      <w:r w:rsidRPr="00B55C24">
        <w:rPr>
          <w:sz w:val="24"/>
          <w:szCs w:val="24"/>
          <w:lang w:val="en-GB"/>
        </w:rPr>
        <w:t xml:space="preserve"> study, enrolled patients already treated for 3 to 12 months with the need for further anticoagulant treatment and RE-SONATE, the placebo controlled study, enrolled patients already treated for 6 to 18 months with Vitamin K inhibitors.</w:t>
      </w:r>
    </w:p>
    <w:p w14:paraId="0ED9843D" w14:textId="77777777" w:rsidR="00E607F1" w:rsidRPr="00B55C24" w:rsidRDefault="00E607F1" w:rsidP="00E928DC">
      <w:pPr>
        <w:ind w:left="851"/>
        <w:rPr>
          <w:sz w:val="24"/>
          <w:szCs w:val="24"/>
          <w:lang w:val="en-GB"/>
        </w:rPr>
      </w:pPr>
    </w:p>
    <w:p w14:paraId="49B2C0D9" w14:textId="77777777" w:rsidR="00E607F1" w:rsidRPr="00B55C24" w:rsidRDefault="00E607F1" w:rsidP="00E928DC">
      <w:pPr>
        <w:ind w:left="851"/>
        <w:rPr>
          <w:sz w:val="24"/>
          <w:szCs w:val="24"/>
          <w:lang w:val="en-GB"/>
        </w:rPr>
      </w:pPr>
      <w:r w:rsidRPr="00B55C24">
        <w:rPr>
          <w:sz w:val="24"/>
          <w:szCs w:val="24"/>
          <w:lang w:val="en-GB"/>
        </w:rPr>
        <w:t xml:space="preserve">The objective of the RE-MEDY study was to compare the safety and efficacy of oral dabigatran </w:t>
      </w:r>
      <w:proofErr w:type="spellStart"/>
      <w:r w:rsidRPr="00B55C24">
        <w:rPr>
          <w:sz w:val="24"/>
          <w:szCs w:val="24"/>
          <w:lang w:val="en-GB"/>
        </w:rPr>
        <w:t>etexilate</w:t>
      </w:r>
      <w:proofErr w:type="spellEnd"/>
      <w:r w:rsidRPr="00B55C24">
        <w:rPr>
          <w:sz w:val="24"/>
          <w:szCs w:val="24"/>
          <w:lang w:val="en-GB"/>
        </w:rPr>
        <w:t xml:space="preserve"> (150 mg bid) to warfarin (target INR 2.0</w:t>
      </w:r>
      <w:r w:rsidRPr="00B55C24">
        <w:rPr>
          <w:sz w:val="24"/>
          <w:szCs w:val="24"/>
          <w:lang w:val="en-GB"/>
        </w:rPr>
        <w:noBreakHyphen/>
        <w:t xml:space="preserve">3.0) for the long-term treatment and prevention of recurrent, symptomatic DVT and/or PE. A total of 2,866 patients were </w:t>
      </w:r>
      <w:proofErr w:type="gramStart"/>
      <w:r w:rsidRPr="00B55C24">
        <w:rPr>
          <w:sz w:val="24"/>
          <w:szCs w:val="24"/>
          <w:lang w:val="en-GB"/>
        </w:rPr>
        <w:t>randomised</w:t>
      </w:r>
      <w:proofErr w:type="gramEnd"/>
      <w:r w:rsidRPr="00B55C24">
        <w:rPr>
          <w:sz w:val="24"/>
          <w:szCs w:val="24"/>
          <w:lang w:val="en-GB"/>
        </w:rPr>
        <w:t xml:space="preserve"> and 2,856 patients were treated. Duration of dabigatran </w:t>
      </w:r>
      <w:proofErr w:type="spellStart"/>
      <w:r w:rsidRPr="00B55C24">
        <w:rPr>
          <w:sz w:val="24"/>
          <w:szCs w:val="24"/>
          <w:lang w:val="en-GB"/>
        </w:rPr>
        <w:t>etexilate</w:t>
      </w:r>
      <w:proofErr w:type="spellEnd"/>
      <w:r w:rsidRPr="00B55C24">
        <w:rPr>
          <w:sz w:val="24"/>
          <w:szCs w:val="24"/>
          <w:lang w:val="en-GB"/>
        </w:rPr>
        <w:t xml:space="preserve"> treatment ranged from 6 to 36 months (median 534.0 days). For patients randomised to warfarin, the median time in therapeutic range (INR 2.0</w:t>
      </w:r>
      <w:r w:rsidRPr="00B55C24">
        <w:rPr>
          <w:sz w:val="24"/>
          <w:szCs w:val="24"/>
          <w:lang w:val="en-GB"/>
        </w:rPr>
        <w:noBreakHyphen/>
        <w:t>3.0) was 64.9%.</w:t>
      </w:r>
    </w:p>
    <w:p w14:paraId="699D1082" w14:textId="77777777" w:rsidR="00E607F1" w:rsidRPr="00B55C24" w:rsidRDefault="00E607F1" w:rsidP="00E928DC">
      <w:pPr>
        <w:ind w:left="851"/>
        <w:rPr>
          <w:sz w:val="24"/>
          <w:szCs w:val="24"/>
          <w:lang w:val="en-GB"/>
        </w:rPr>
      </w:pPr>
    </w:p>
    <w:p w14:paraId="498F3699" w14:textId="77777777" w:rsidR="00E607F1" w:rsidRPr="00B55C24" w:rsidRDefault="00E607F1" w:rsidP="00E928DC">
      <w:pPr>
        <w:ind w:left="851"/>
        <w:rPr>
          <w:sz w:val="24"/>
          <w:szCs w:val="24"/>
          <w:lang w:val="en-GB"/>
        </w:rPr>
      </w:pPr>
      <w:r w:rsidRPr="00B55C24">
        <w:rPr>
          <w:sz w:val="24"/>
          <w:szCs w:val="24"/>
          <w:lang w:val="en-GB"/>
        </w:rPr>
        <w:t xml:space="preserve">RE-MEDY demonstrated that treatment with dabigatran </w:t>
      </w:r>
      <w:proofErr w:type="spellStart"/>
      <w:r w:rsidRPr="00B55C24">
        <w:rPr>
          <w:sz w:val="24"/>
          <w:szCs w:val="24"/>
          <w:lang w:val="en-GB"/>
        </w:rPr>
        <w:t>etexilate</w:t>
      </w:r>
      <w:proofErr w:type="spellEnd"/>
      <w:r w:rsidRPr="00B55C24">
        <w:rPr>
          <w:sz w:val="24"/>
          <w:szCs w:val="24"/>
          <w:lang w:val="en-GB"/>
        </w:rPr>
        <w:t xml:space="preserve"> 150 mg twice daily was non-inferior to warfarin (non-inferiority margin: 2.85 for hazard ratio and 2.8 for risk difference).</w:t>
      </w:r>
    </w:p>
    <w:p w14:paraId="162E7097" w14:textId="011772CD" w:rsidR="00322951" w:rsidRDefault="00322951">
      <w:pPr>
        <w:rPr>
          <w:sz w:val="24"/>
          <w:szCs w:val="24"/>
          <w:lang w:val="en-GB"/>
        </w:rPr>
      </w:pPr>
      <w:r>
        <w:rPr>
          <w:sz w:val="24"/>
          <w:szCs w:val="24"/>
          <w:lang w:val="en-GB"/>
        </w:rPr>
        <w:br w:type="page"/>
      </w:r>
    </w:p>
    <w:p w14:paraId="7B9BDB0A" w14:textId="77777777" w:rsidR="00E607F1" w:rsidRPr="00B55C24" w:rsidRDefault="00E607F1" w:rsidP="00E607F1">
      <w:pPr>
        <w:tabs>
          <w:tab w:val="left" w:pos="851"/>
        </w:tabs>
        <w:ind w:left="851"/>
        <w:rPr>
          <w:sz w:val="24"/>
          <w:szCs w:val="24"/>
          <w:lang w:val="en-GB"/>
        </w:rPr>
      </w:pPr>
    </w:p>
    <w:p w14:paraId="0EA1FEA4"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23: Analysis of the primary and secondary efficacy endpoints (VTE is a composite of DVT and/or PE) until the end of post-treatment period for the RE-MEDY study</w:t>
      </w:r>
    </w:p>
    <w:p w14:paraId="77B28C60" w14:textId="77777777" w:rsidR="00E607F1" w:rsidRPr="00B55C24" w:rsidRDefault="00E607F1" w:rsidP="00E607F1">
      <w:pPr>
        <w:tabs>
          <w:tab w:val="left" w:pos="851"/>
        </w:tabs>
        <w:ind w:left="851"/>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4429"/>
        <w:gridCol w:w="2906"/>
        <w:gridCol w:w="2293"/>
      </w:tblGrid>
      <w:tr w:rsidR="00E607F1" w:rsidRPr="000E69C6" w14:paraId="5B38F0B2" w14:textId="77777777" w:rsidTr="00B55C24">
        <w:trPr>
          <w:trHeight w:val="57"/>
        </w:trPr>
        <w:tc>
          <w:tcPr>
            <w:tcW w:w="2300" w:type="pct"/>
            <w:tcBorders>
              <w:top w:val="single" w:sz="4" w:space="0" w:color="auto"/>
              <w:left w:val="single" w:sz="4" w:space="0" w:color="auto"/>
              <w:bottom w:val="nil"/>
              <w:right w:val="nil"/>
            </w:tcBorders>
          </w:tcPr>
          <w:p w14:paraId="17C044ED" w14:textId="77777777" w:rsidR="00E607F1" w:rsidRPr="000E69C6" w:rsidRDefault="00E607F1" w:rsidP="00B55C24">
            <w:pPr>
              <w:rPr>
                <w:sz w:val="22"/>
                <w:szCs w:val="22"/>
                <w:lang w:val="en-GB"/>
              </w:rPr>
            </w:pPr>
          </w:p>
        </w:tc>
        <w:tc>
          <w:tcPr>
            <w:tcW w:w="1509" w:type="pct"/>
            <w:tcBorders>
              <w:top w:val="single" w:sz="4" w:space="0" w:color="auto"/>
              <w:left w:val="single" w:sz="4" w:space="0" w:color="auto"/>
              <w:bottom w:val="nil"/>
              <w:right w:val="nil"/>
            </w:tcBorders>
            <w:hideMark/>
          </w:tcPr>
          <w:p w14:paraId="4620E9ED" w14:textId="77777777" w:rsidR="00E607F1" w:rsidRPr="000E69C6" w:rsidRDefault="00E607F1" w:rsidP="00B55C24">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w:t>
            </w:r>
          </w:p>
        </w:tc>
        <w:tc>
          <w:tcPr>
            <w:tcW w:w="1191" w:type="pct"/>
            <w:tcBorders>
              <w:top w:val="single" w:sz="4" w:space="0" w:color="auto"/>
              <w:left w:val="single" w:sz="4" w:space="0" w:color="auto"/>
              <w:bottom w:val="nil"/>
              <w:right w:val="single" w:sz="4" w:space="0" w:color="auto"/>
            </w:tcBorders>
            <w:hideMark/>
          </w:tcPr>
          <w:p w14:paraId="77BAFAEB" w14:textId="77777777" w:rsidR="00E607F1" w:rsidRPr="000E69C6" w:rsidRDefault="00E607F1" w:rsidP="00B55C24">
            <w:pPr>
              <w:rPr>
                <w:sz w:val="22"/>
                <w:szCs w:val="22"/>
                <w:lang w:val="en-GB"/>
              </w:rPr>
            </w:pPr>
            <w:r w:rsidRPr="000E69C6">
              <w:rPr>
                <w:sz w:val="22"/>
                <w:szCs w:val="22"/>
                <w:lang w:val="en-GB"/>
              </w:rPr>
              <w:t>Warfarin</w:t>
            </w:r>
          </w:p>
        </w:tc>
      </w:tr>
      <w:tr w:rsidR="00E607F1" w:rsidRPr="000E69C6" w14:paraId="3B544668" w14:textId="77777777" w:rsidTr="00B55C24">
        <w:trPr>
          <w:trHeight w:val="57"/>
        </w:trPr>
        <w:tc>
          <w:tcPr>
            <w:tcW w:w="2300" w:type="pct"/>
            <w:tcBorders>
              <w:top w:val="single" w:sz="4" w:space="0" w:color="auto"/>
              <w:left w:val="single" w:sz="4" w:space="0" w:color="auto"/>
              <w:bottom w:val="nil"/>
              <w:right w:val="nil"/>
            </w:tcBorders>
            <w:vAlign w:val="bottom"/>
            <w:hideMark/>
          </w:tcPr>
          <w:p w14:paraId="3276C916" w14:textId="77777777" w:rsidR="00E607F1" w:rsidRPr="000E69C6" w:rsidRDefault="00E607F1" w:rsidP="00B55C24">
            <w:pPr>
              <w:rPr>
                <w:sz w:val="22"/>
                <w:szCs w:val="22"/>
                <w:lang w:val="en-GB"/>
              </w:rPr>
            </w:pPr>
            <w:r w:rsidRPr="000E69C6">
              <w:rPr>
                <w:sz w:val="22"/>
                <w:szCs w:val="22"/>
                <w:lang w:val="en-GB"/>
              </w:rPr>
              <w:t>Treated patients</w:t>
            </w:r>
          </w:p>
        </w:tc>
        <w:tc>
          <w:tcPr>
            <w:tcW w:w="1509" w:type="pct"/>
            <w:tcBorders>
              <w:top w:val="single" w:sz="4" w:space="0" w:color="auto"/>
              <w:left w:val="single" w:sz="4" w:space="0" w:color="auto"/>
              <w:bottom w:val="nil"/>
              <w:right w:val="nil"/>
            </w:tcBorders>
            <w:vAlign w:val="bottom"/>
            <w:hideMark/>
          </w:tcPr>
          <w:p w14:paraId="120D2477" w14:textId="77777777" w:rsidR="00E607F1" w:rsidRPr="000E69C6" w:rsidRDefault="00E607F1" w:rsidP="00B55C24">
            <w:pPr>
              <w:rPr>
                <w:sz w:val="22"/>
                <w:szCs w:val="22"/>
                <w:lang w:val="en-GB"/>
              </w:rPr>
            </w:pPr>
            <w:r w:rsidRPr="000E69C6">
              <w:rPr>
                <w:sz w:val="22"/>
                <w:szCs w:val="22"/>
                <w:lang w:val="en-GB"/>
              </w:rPr>
              <w:t>1430</w:t>
            </w:r>
          </w:p>
        </w:tc>
        <w:tc>
          <w:tcPr>
            <w:tcW w:w="1191" w:type="pct"/>
            <w:tcBorders>
              <w:top w:val="single" w:sz="4" w:space="0" w:color="auto"/>
              <w:left w:val="single" w:sz="4" w:space="0" w:color="auto"/>
              <w:bottom w:val="nil"/>
              <w:right w:val="single" w:sz="4" w:space="0" w:color="auto"/>
            </w:tcBorders>
            <w:vAlign w:val="bottom"/>
            <w:hideMark/>
          </w:tcPr>
          <w:p w14:paraId="1D3CAA0C" w14:textId="77777777" w:rsidR="00E607F1" w:rsidRPr="000E69C6" w:rsidRDefault="00E607F1" w:rsidP="00B55C24">
            <w:pPr>
              <w:rPr>
                <w:sz w:val="22"/>
                <w:szCs w:val="22"/>
                <w:lang w:val="en-GB"/>
              </w:rPr>
            </w:pPr>
            <w:r w:rsidRPr="000E69C6">
              <w:rPr>
                <w:sz w:val="22"/>
                <w:szCs w:val="22"/>
                <w:lang w:val="en-GB"/>
              </w:rPr>
              <w:t>1426</w:t>
            </w:r>
          </w:p>
        </w:tc>
      </w:tr>
      <w:tr w:rsidR="00E607F1" w:rsidRPr="000E69C6" w14:paraId="40AE79EB" w14:textId="77777777" w:rsidTr="00B55C24">
        <w:trPr>
          <w:trHeight w:val="57"/>
        </w:trPr>
        <w:tc>
          <w:tcPr>
            <w:tcW w:w="2300" w:type="pct"/>
            <w:tcBorders>
              <w:top w:val="single" w:sz="4" w:space="0" w:color="auto"/>
              <w:left w:val="single" w:sz="4" w:space="0" w:color="auto"/>
              <w:bottom w:val="nil"/>
              <w:right w:val="nil"/>
            </w:tcBorders>
            <w:hideMark/>
          </w:tcPr>
          <w:p w14:paraId="2B1DD887" w14:textId="77777777" w:rsidR="00E607F1" w:rsidRPr="000E69C6" w:rsidRDefault="00E607F1" w:rsidP="00B55C24">
            <w:pPr>
              <w:rPr>
                <w:sz w:val="22"/>
                <w:szCs w:val="22"/>
                <w:lang w:val="en-GB"/>
              </w:rPr>
            </w:pPr>
            <w:r w:rsidRPr="000E69C6">
              <w:rPr>
                <w:sz w:val="22"/>
                <w:szCs w:val="22"/>
                <w:lang w:val="en-GB"/>
              </w:rPr>
              <w:t>Recurrent symptomatic VTE and VTE- related death</w:t>
            </w:r>
          </w:p>
        </w:tc>
        <w:tc>
          <w:tcPr>
            <w:tcW w:w="1509" w:type="pct"/>
            <w:tcBorders>
              <w:top w:val="single" w:sz="4" w:space="0" w:color="auto"/>
              <w:left w:val="single" w:sz="4" w:space="0" w:color="auto"/>
              <w:bottom w:val="nil"/>
              <w:right w:val="nil"/>
            </w:tcBorders>
            <w:hideMark/>
          </w:tcPr>
          <w:p w14:paraId="3308773B" w14:textId="77777777" w:rsidR="00E607F1" w:rsidRPr="000E69C6" w:rsidRDefault="00E607F1" w:rsidP="00B55C24">
            <w:pPr>
              <w:rPr>
                <w:sz w:val="22"/>
                <w:szCs w:val="22"/>
                <w:lang w:val="en-GB"/>
              </w:rPr>
            </w:pPr>
            <w:r w:rsidRPr="000E69C6">
              <w:rPr>
                <w:sz w:val="22"/>
                <w:szCs w:val="22"/>
                <w:lang w:val="en-GB"/>
              </w:rPr>
              <w:t>26 (1.8%)</w:t>
            </w:r>
          </w:p>
        </w:tc>
        <w:tc>
          <w:tcPr>
            <w:tcW w:w="1191" w:type="pct"/>
            <w:tcBorders>
              <w:top w:val="single" w:sz="4" w:space="0" w:color="auto"/>
              <w:left w:val="single" w:sz="4" w:space="0" w:color="auto"/>
              <w:bottom w:val="nil"/>
              <w:right w:val="single" w:sz="4" w:space="0" w:color="auto"/>
            </w:tcBorders>
            <w:hideMark/>
          </w:tcPr>
          <w:p w14:paraId="66D2D126" w14:textId="77777777" w:rsidR="00E607F1" w:rsidRPr="000E69C6" w:rsidRDefault="00E607F1" w:rsidP="00B55C24">
            <w:pPr>
              <w:rPr>
                <w:sz w:val="22"/>
                <w:szCs w:val="22"/>
                <w:lang w:val="en-GB"/>
              </w:rPr>
            </w:pPr>
            <w:r w:rsidRPr="000E69C6">
              <w:rPr>
                <w:sz w:val="22"/>
                <w:szCs w:val="22"/>
                <w:lang w:val="en-GB"/>
              </w:rPr>
              <w:t>18 (1.3%)</w:t>
            </w:r>
          </w:p>
        </w:tc>
      </w:tr>
      <w:tr w:rsidR="00E607F1" w:rsidRPr="000E69C6" w14:paraId="711D894A" w14:textId="77777777" w:rsidTr="00B55C24">
        <w:trPr>
          <w:trHeight w:val="57"/>
        </w:trPr>
        <w:tc>
          <w:tcPr>
            <w:tcW w:w="2300" w:type="pct"/>
            <w:tcBorders>
              <w:top w:val="single" w:sz="4" w:space="0" w:color="auto"/>
              <w:left w:val="single" w:sz="4" w:space="0" w:color="auto"/>
              <w:bottom w:val="nil"/>
              <w:right w:val="nil"/>
            </w:tcBorders>
            <w:vAlign w:val="bottom"/>
            <w:hideMark/>
          </w:tcPr>
          <w:p w14:paraId="0088016B" w14:textId="77777777" w:rsidR="00E607F1" w:rsidRPr="000E69C6" w:rsidRDefault="00E607F1" w:rsidP="00B55C24">
            <w:pPr>
              <w:rPr>
                <w:sz w:val="22"/>
                <w:szCs w:val="22"/>
                <w:lang w:val="en-GB"/>
              </w:rPr>
            </w:pPr>
            <w:r w:rsidRPr="000E69C6">
              <w:rPr>
                <w:sz w:val="22"/>
                <w:szCs w:val="22"/>
                <w:lang w:val="en-GB"/>
              </w:rPr>
              <w:t>Hazard ratio vs warfarin (95% confidence interval)</w:t>
            </w:r>
          </w:p>
        </w:tc>
        <w:tc>
          <w:tcPr>
            <w:tcW w:w="1509" w:type="pct"/>
            <w:tcBorders>
              <w:top w:val="single" w:sz="4" w:space="0" w:color="auto"/>
              <w:left w:val="single" w:sz="4" w:space="0" w:color="auto"/>
              <w:bottom w:val="nil"/>
              <w:right w:val="nil"/>
            </w:tcBorders>
            <w:hideMark/>
          </w:tcPr>
          <w:p w14:paraId="7CAB1F90" w14:textId="77777777" w:rsidR="00E607F1" w:rsidRPr="000E69C6" w:rsidRDefault="00E607F1" w:rsidP="00B55C24">
            <w:pPr>
              <w:rPr>
                <w:sz w:val="22"/>
                <w:szCs w:val="22"/>
                <w:lang w:val="en-GB"/>
              </w:rPr>
            </w:pPr>
            <w:r w:rsidRPr="000E69C6">
              <w:rPr>
                <w:sz w:val="22"/>
                <w:szCs w:val="22"/>
                <w:lang w:val="en-GB"/>
              </w:rPr>
              <w:t>1.44 (0.78, 2.64)</w:t>
            </w:r>
          </w:p>
        </w:tc>
        <w:tc>
          <w:tcPr>
            <w:tcW w:w="1191" w:type="pct"/>
            <w:tcBorders>
              <w:top w:val="single" w:sz="4" w:space="0" w:color="auto"/>
              <w:left w:val="single" w:sz="4" w:space="0" w:color="auto"/>
              <w:bottom w:val="nil"/>
              <w:right w:val="single" w:sz="4" w:space="0" w:color="auto"/>
            </w:tcBorders>
          </w:tcPr>
          <w:p w14:paraId="4BE6D245" w14:textId="77777777" w:rsidR="00E607F1" w:rsidRPr="000E69C6" w:rsidRDefault="00E607F1" w:rsidP="00B55C24">
            <w:pPr>
              <w:rPr>
                <w:sz w:val="22"/>
                <w:szCs w:val="22"/>
                <w:lang w:val="en-GB"/>
              </w:rPr>
            </w:pPr>
          </w:p>
        </w:tc>
      </w:tr>
      <w:tr w:rsidR="00E607F1" w:rsidRPr="000E69C6" w14:paraId="3C0758BC" w14:textId="77777777" w:rsidTr="00B55C24">
        <w:trPr>
          <w:trHeight w:val="57"/>
        </w:trPr>
        <w:tc>
          <w:tcPr>
            <w:tcW w:w="2300" w:type="pct"/>
            <w:tcBorders>
              <w:top w:val="single" w:sz="4" w:space="0" w:color="auto"/>
              <w:left w:val="single" w:sz="4" w:space="0" w:color="auto"/>
              <w:bottom w:val="nil"/>
              <w:right w:val="nil"/>
            </w:tcBorders>
            <w:vAlign w:val="bottom"/>
            <w:hideMark/>
          </w:tcPr>
          <w:p w14:paraId="1528CF20" w14:textId="77777777" w:rsidR="00E607F1" w:rsidRPr="000E69C6" w:rsidRDefault="00E607F1" w:rsidP="00B55C24">
            <w:pPr>
              <w:rPr>
                <w:sz w:val="22"/>
                <w:szCs w:val="22"/>
                <w:lang w:val="en-GB"/>
              </w:rPr>
            </w:pPr>
            <w:r w:rsidRPr="000E69C6">
              <w:rPr>
                <w:sz w:val="22"/>
                <w:szCs w:val="22"/>
                <w:lang w:val="en-GB"/>
              </w:rPr>
              <w:t>non-inferiority margin</w:t>
            </w:r>
          </w:p>
        </w:tc>
        <w:tc>
          <w:tcPr>
            <w:tcW w:w="1509" w:type="pct"/>
            <w:tcBorders>
              <w:top w:val="single" w:sz="4" w:space="0" w:color="auto"/>
              <w:left w:val="single" w:sz="4" w:space="0" w:color="auto"/>
              <w:bottom w:val="nil"/>
              <w:right w:val="nil"/>
            </w:tcBorders>
            <w:vAlign w:val="bottom"/>
            <w:hideMark/>
          </w:tcPr>
          <w:p w14:paraId="599EC030" w14:textId="77777777" w:rsidR="00E607F1" w:rsidRPr="000E69C6" w:rsidRDefault="00E607F1" w:rsidP="00B55C24">
            <w:pPr>
              <w:rPr>
                <w:sz w:val="22"/>
                <w:szCs w:val="22"/>
                <w:lang w:val="en-GB"/>
              </w:rPr>
            </w:pPr>
            <w:r w:rsidRPr="000E69C6">
              <w:rPr>
                <w:sz w:val="22"/>
                <w:szCs w:val="22"/>
                <w:lang w:val="en-GB"/>
              </w:rPr>
              <w:t>2.85</w:t>
            </w:r>
          </w:p>
        </w:tc>
        <w:tc>
          <w:tcPr>
            <w:tcW w:w="1191" w:type="pct"/>
            <w:tcBorders>
              <w:top w:val="single" w:sz="4" w:space="0" w:color="auto"/>
              <w:left w:val="single" w:sz="4" w:space="0" w:color="auto"/>
              <w:bottom w:val="nil"/>
              <w:right w:val="single" w:sz="4" w:space="0" w:color="auto"/>
            </w:tcBorders>
          </w:tcPr>
          <w:p w14:paraId="3A3FC8CE" w14:textId="77777777" w:rsidR="00E607F1" w:rsidRPr="000E69C6" w:rsidRDefault="00E607F1" w:rsidP="00B55C24">
            <w:pPr>
              <w:rPr>
                <w:sz w:val="22"/>
                <w:szCs w:val="22"/>
                <w:lang w:val="en-GB"/>
              </w:rPr>
            </w:pPr>
          </w:p>
        </w:tc>
      </w:tr>
      <w:tr w:rsidR="00E607F1" w:rsidRPr="000E69C6" w14:paraId="7FC6B548" w14:textId="77777777" w:rsidTr="00B55C24">
        <w:trPr>
          <w:trHeight w:val="57"/>
        </w:trPr>
        <w:tc>
          <w:tcPr>
            <w:tcW w:w="2300" w:type="pct"/>
            <w:tcBorders>
              <w:top w:val="single" w:sz="4" w:space="0" w:color="auto"/>
              <w:left w:val="single" w:sz="4" w:space="0" w:color="auto"/>
              <w:bottom w:val="nil"/>
              <w:right w:val="nil"/>
            </w:tcBorders>
            <w:vAlign w:val="bottom"/>
            <w:hideMark/>
          </w:tcPr>
          <w:p w14:paraId="00E3EC3B" w14:textId="77777777" w:rsidR="00E607F1" w:rsidRPr="000E69C6" w:rsidRDefault="00E607F1" w:rsidP="00B55C24">
            <w:pPr>
              <w:rPr>
                <w:sz w:val="22"/>
                <w:szCs w:val="22"/>
                <w:lang w:val="en-GB"/>
              </w:rPr>
            </w:pPr>
            <w:r w:rsidRPr="000E69C6">
              <w:rPr>
                <w:sz w:val="22"/>
                <w:szCs w:val="22"/>
                <w:lang w:val="en-GB"/>
              </w:rPr>
              <w:t>Patients with event at 18 months</w:t>
            </w:r>
          </w:p>
        </w:tc>
        <w:tc>
          <w:tcPr>
            <w:tcW w:w="1509" w:type="pct"/>
            <w:tcBorders>
              <w:top w:val="single" w:sz="4" w:space="0" w:color="auto"/>
              <w:left w:val="single" w:sz="4" w:space="0" w:color="auto"/>
              <w:bottom w:val="nil"/>
              <w:right w:val="nil"/>
            </w:tcBorders>
            <w:vAlign w:val="bottom"/>
            <w:hideMark/>
          </w:tcPr>
          <w:p w14:paraId="42EA554C" w14:textId="77777777" w:rsidR="00E607F1" w:rsidRPr="000E69C6" w:rsidRDefault="00E607F1" w:rsidP="00B55C24">
            <w:pPr>
              <w:rPr>
                <w:sz w:val="22"/>
                <w:szCs w:val="22"/>
                <w:lang w:val="en-GB"/>
              </w:rPr>
            </w:pPr>
            <w:r w:rsidRPr="000E69C6">
              <w:rPr>
                <w:sz w:val="22"/>
                <w:szCs w:val="22"/>
                <w:lang w:val="en-GB"/>
              </w:rPr>
              <w:t>22</w:t>
            </w:r>
          </w:p>
        </w:tc>
        <w:tc>
          <w:tcPr>
            <w:tcW w:w="1191" w:type="pct"/>
            <w:tcBorders>
              <w:top w:val="single" w:sz="4" w:space="0" w:color="auto"/>
              <w:left w:val="single" w:sz="4" w:space="0" w:color="auto"/>
              <w:bottom w:val="nil"/>
              <w:right w:val="single" w:sz="4" w:space="0" w:color="auto"/>
            </w:tcBorders>
            <w:vAlign w:val="bottom"/>
            <w:hideMark/>
          </w:tcPr>
          <w:p w14:paraId="32D7117D" w14:textId="77777777" w:rsidR="00E607F1" w:rsidRPr="000E69C6" w:rsidRDefault="00E607F1" w:rsidP="00B55C24">
            <w:pPr>
              <w:rPr>
                <w:sz w:val="22"/>
                <w:szCs w:val="22"/>
                <w:lang w:val="en-GB"/>
              </w:rPr>
            </w:pPr>
            <w:r w:rsidRPr="000E69C6">
              <w:rPr>
                <w:sz w:val="22"/>
                <w:szCs w:val="22"/>
                <w:lang w:val="en-GB"/>
              </w:rPr>
              <w:t>17</w:t>
            </w:r>
          </w:p>
        </w:tc>
      </w:tr>
      <w:tr w:rsidR="00E607F1" w:rsidRPr="000E69C6" w14:paraId="45558401" w14:textId="77777777" w:rsidTr="00B55C24">
        <w:trPr>
          <w:trHeight w:val="57"/>
        </w:trPr>
        <w:tc>
          <w:tcPr>
            <w:tcW w:w="2300" w:type="pct"/>
            <w:tcBorders>
              <w:top w:val="single" w:sz="4" w:space="0" w:color="auto"/>
              <w:left w:val="single" w:sz="4" w:space="0" w:color="auto"/>
              <w:bottom w:val="nil"/>
              <w:right w:val="nil"/>
            </w:tcBorders>
            <w:vAlign w:val="bottom"/>
            <w:hideMark/>
          </w:tcPr>
          <w:p w14:paraId="0525994D" w14:textId="77777777" w:rsidR="00E607F1" w:rsidRPr="000E69C6" w:rsidRDefault="00E607F1" w:rsidP="00B55C24">
            <w:pPr>
              <w:rPr>
                <w:sz w:val="22"/>
                <w:szCs w:val="22"/>
                <w:lang w:val="en-GB"/>
              </w:rPr>
            </w:pPr>
            <w:r w:rsidRPr="000E69C6">
              <w:rPr>
                <w:sz w:val="22"/>
                <w:szCs w:val="22"/>
                <w:lang w:val="en-GB"/>
              </w:rPr>
              <w:t>Cumulative risk at 18 months (%)</w:t>
            </w:r>
          </w:p>
        </w:tc>
        <w:tc>
          <w:tcPr>
            <w:tcW w:w="1509" w:type="pct"/>
            <w:tcBorders>
              <w:top w:val="single" w:sz="4" w:space="0" w:color="auto"/>
              <w:left w:val="single" w:sz="4" w:space="0" w:color="auto"/>
              <w:bottom w:val="nil"/>
              <w:right w:val="nil"/>
            </w:tcBorders>
            <w:vAlign w:val="center"/>
            <w:hideMark/>
          </w:tcPr>
          <w:p w14:paraId="0E76C21E" w14:textId="77777777" w:rsidR="00E607F1" w:rsidRPr="000E69C6" w:rsidRDefault="00E607F1" w:rsidP="00B55C24">
            <w:pPr>
              <w:rPr>
                <w:sz w:val="22"/>
                <w:szCs w:val="22"/>
                <w:lang w:val="en-GB"/>
              </w:rPr>
            </w:pPr>
            <w:r w:rsidRPr="000E69C6">
              <w:rPr>
                <w:sz w:val="22"/>
                <w:szCs w:val="22"/>
                <w:lang w:val="en-GB"/>
              </w:rPr>
              <w:t>1.7</w:t>
            </w:r>
          </w:p>
        </w:tc>
        <w:tc>
          <w:tcPr>
            <w:tcW w:w="1191" w:type="pct"/>
            <w:tcBorders>
              <w:top w:val="single" w:sz="4" w:space="0" w:color="auto"/>
              <w:left w:val="single" w:sz="4" w:space="0" w:color="auto"/>
              <w:bottom w:val="nil"/>
              <w:right w:val="single" w:sz="4" w:space="0" w:color="auto"/>
            </w:tcBorders>
            <w:vAlign w:val="center"/>
            <w:hideMark/>
          </w:tcPr>
          <w:p w14:paraId="7D01B3A4" w14:textId="77777777" w:rsidR="00E607F1" w:rsidRPr="000E69C6" w:rsidRDefault="00E607F1" w:rsidP="00B55C24">
            <w:pPr>
              <w:rPr>
                <w:sz w:val="22"/>
                <w:szCs w:val="22"/>
                <w:lang w:val="en-GB"/>
              </w:rPr>
            </w:pPr>
            <w:r w:rsidRPr="000E69C6">
              <w:rPr>
                <w:sz w:val="22"/>
                <w:szCs w:val="22"/>
                <w:lang w:val="en-GB"/>
              </w:rPr>
              <w:t>1.4</w:t>
            </w:r>
          </w:p>
        </w:tc>
      </w:tr>
      <w:tr w:rsidR="00E607F1" w:rsidRPr="000E69C6" w14:paraId="4DD073BF" w14:textId="77777777" w:rsidTr="00B55C24">
        <w:trPr>
          <w:trHeight w:val="57"/>
        </w:trPr>
        <w:tc>
          <w:tcPr>
            <w:tcW w:w="2300" w:type="pct"/>
            <w:tcBorders>
              <w:top w:val="single" w:sz="4" w:space="0" w:color="auto"/>
              <w:left w:val="single" w:sz="4" w:space="0" w:color="auto"/>
              <w:bottom w:val="nil"/>
              <w:right w:val="nil"/>
            </w:tcBorders>
            <w:hideMark/>
          </w:tcPr>
          <w:p w14:paraId="7CB5E3B7" w14:textId="77777777" w:rsidR="00E607F1" w:rsidRPr="000E69C6" w:rsidRDefault="00E607F1" w:rsidP="00B55C24">
            <w:pPr>
              <w:rPr>
                <w:sz w:val="22"/>
                <w:szCs w:val="22"/>
                <w:lang w:val="en-GB"/>
              </w:rPr>
            </w:pPr>
            <w:r w:rsidRPr="000E69C6">
              <w:rPr>
                <w:sz w:val="22"/>
                <w:szCs w:val="22"/>
                <w:lang w:val="en-GB"/>
              </w:rPr>
              <w:t>Risk difference vs. warfarin (%)</w:t>
            </w:r>
          </w:p>
        </w:tc>
        <w:tc>
          <w:tcPr>
            <w:tcW w:w="1509" w:type="pct"/>
            <w:tcBorders>
              <w:top w:val="single" w:sz="4" w:space="0" w:color="auto"/>
              <w:left w:val="single" w:sz="4" w:space="0" w:color="auto"/>
              <w:bottom w:val="nil"/>
              <w:right w:val="nil"/>
            </w:tcBorders>
            <w:hideMark/>
          </w:tcPr>
          <w:p w14:paraId="68EDDD03" w14:textId="77777777" w:rsidR="00E607F1" w:rsidRPr="000E69C6" w:rsidRDefault="00E607F1" w:rsidP="00B55C24">
            <w:pPr>
              <w:rPr>
                <w:sz w:val="22"/>
                <w:szCs w:val="22"/>
                <w:lang w:val="en-GB"/>
              </w:rPr>
            </w:pPr>
            <w:r w:rsidRPr="000E69C6">
              <w:rPr>
                <w:sz w:val="22"/>
                <w:szCs w:val="22"/>
                <w:lang w:val="en-GB"/>
              </w:rPr>
              <w:t>0.4</w:t>
            </w:r>
          </w:p>
        </w:tc>
        <w:tc>
          <w:tcPr>
            <w:tcW w:w="1191" w:type="pct"/>
            <w:tcBorders>
              <w:top w:val="single" w:sz="4" w:space="0" w:color="auto"/>
              <w:left w:val="single" w:sz="4" w:space="0" w:color="auto"/>
              <w:bottom w:val="nil"/>
              <w:right w:val="single" w:sz="4" w:space="0" w:color="auto"/>
            </w:tcBorders>
          </w:tcPr>
          <w:p w14:paraId="0844ADE9" w14:textId="77777777" w:rsidR="00E607F1" w:rsidRPr="000E69C6" w:rsidRDefault="00E607F1" w:rsidP="00B55C24">
            <w:pPr>
              <w:rPr>
                <w:sz w:val="22"/>
                <w:szCs w:val="22"/>
                <w:lang w:val="en-GB"/>
              </w:rPr>
            </w:pPr>
          </w:p>
        </w:tc>
      </w:tr>
      <w:tr w:rsidR="00E607F1" w:rsidRPr="000E69C6" w14:paraId="388D2C7A" w14:textId="77777777" w:rsidTr="00B55C24">
        <w:trPr>
          <w:trHeight w:val="57"/>
        </w:trPr>
        <w:tc>
          <w:tcPr>
            <w:tcW w:w="2300" w:type="pct"/>
            <w:tcBorders>
              <w:top w:val="single" w:sz="4" w:space="0" w:color="auto"/>
              <w:left w:val="single" w:sz="4" w:space="0" w:color="auto"/>
              <w:bottom w:val="nil"/>
              <w:right w:val="nil"/>
            </w:tcBorders>
            <w:hideMark/>
          </w:tcPr>
          <w:p w14:paraId="50F557C1" w14:textId="77777777" w:rsidR="00E607F1" w:rsidRPr="000E69C6" w:rsidRDefault="00E607F1" w:rsidP="00B55C24">
            <w:pPr>
              <w:rPr>
                <w:sz w:val="22"/>
                <w:szCs w:val="22"/>
                <w:lang w:val="en-GB"/>
              </w:rPr>
            </w:pPr>
            <w:r w:rsidRPr="000E69C6">
              <w:rPr>
                <w:sz w:val="22"/>
                <w:szCs w:val="22"/>
                <w:lang w:val="en-GB"/>
              </w:rPr>
              <w:t>95% confidence interval</w:t>
            </w:r>
          </w:p>
        </w:tc>
        <w:tc>
          <w:tcPr>
            <w:tcW w:w="1509" w:type="pct"/>
            <w:tcBorders>
              <w:top w:val="single" w:sz="4" w:space="0" w:color="auto"/>
              <w:left w:val="single" w:sz="4" w:space="0" w:color="auto"/>
              <w:bottom w:val="nil"/>
              <w:right w:val="nil"/>
            </w:tcBorders>
          </w:tcPr>
          <w:p w14:paraId="6F345A22" w14:textId="77777777" w:rsidR="00E607F1" w:rsidRPr="000E69C6" w:rsidRDefault="00E607F1" w:rsidP="00B55C24">
            <w:pPr>
              <w:rPr>
                <w:sz w:val="22"/>
                <w:szCs w:val="22"/>
                <w:lang w:val="en-GB"/>
              </w:rPr>
            </w:pPr>
          </w:p>
        </w:tc>
        <w:tc>
          <w:tcPr>
            <w:tcW w:w="1191" w:type="pct"/>
            <w:tcBorders>
              <w:top w:val="single" w:sz="4" w:space="0" w:color="auto"/>
              <w:left w:val="single" w:sz="4" w:space="0" w:color="auto"/>
              <w:bottom w:val="nil"/>
              <w:right w:val="single" w:sz="4" w:space="0" w:color="auto"/>
            </w:tcBorders>
          </w:tcPr>
          <w:p w14:paraId="4672AE15" w14:textId="77777777" w:rsidR="00E607F1" w:rsidRPr="000E69C6" w:rsidRDefault="00E607F1" w:rsidP="00B55C24">
            <w:pPr>
              <w:rPr>
                <w:sz w:val="22"/>
                <w:szCs w:val="22"/>
                <w:lang w:val="en-GB"/>
              </w:rPr>
            </w:pPr>
          </w:p>
        </w:tc>
      </w:tr>
      <w:tr w:rsidR="00E607F1" w:rsidRPr="000E69C6" w14:paraId="2BBB4963" w14:textId="77777777" w:rsidTr="00B55C24">
        <w:trPr>
          <w:trHeight w:val="57"/>
        </w:trPr>
        <w:tc>
          <w:tcPr>
            <w:tcW w:w="2300" w:type="pct"/>
            <w:tcBorders>
              <w:top w:val="single" w:sz="4" w:space="0" w:color="auto"/>
              <w:left w:val="single" w:sz="4" w:space="0" w:color="auto"/>
              <w:bottom w:val="nil"/>
              <w:right w:val="nil"/>
            </w:tcBorders>
            <w:vAlign w:val="bottom"/>
            <w:hideMark/>
          </w:tcPr>
          <w:p w14:paraId="1AF01DCA" w14:textId="77777777" w:rsidR="00E607F1" w:rsidRPr="000E69C6" w:rsidRDefault="00E607F1" w:rsidP="00B55C24">
            <w:pPr>
              <w:rPr>
                <w:sz w:val="22"/>
                <w:szCs w:val="22"/>
                <w:lang w:val="en-GB"/>
              </w:rPr>
            </w:pPr>
            <w:r w:rsidRPr="000E69C6">
              <w:rPr>
                <w:sz w:val="22"/>
                <w:szCs w:val="22"/>
                <w:lang w:val="en-GB"/>
              </w:rPr>
              <w:t>non-inferiority margin</w:t>
            </w:r>
          </w:p>
        </w:tc>
        <w:tc>
          <w:tcPr>
            <w:tcW w:w="1509" w:type="pct"/>
            <w:tcBorders>
              <w:top w:val="single" w:sz="4" w:space="0" w:color="auto"/>
              <w:left w:val="single" w:sz="4" w:space="0" w:color="auto"/>
              <w:bottom w:val="nil"/>
              <w:right w:val="nil"/>
            </w:tcBorders>
            <w:vAlign w:val="bottom"/>
            <w:hideMark/>
          </w:tcPr>
          <w:p w14:paraId="08B37D37" w14:textId="77777777" w:rsidR="00E607F1" w:rsidRPr="000E69C6" w:rsidRDefault="00E607F1" w:rsidP="00B55C24">
            <w:pPr>
              <w:rPr>
                <w:sz w:val="22"/>
                <w:szCs w:val="22"/>
                <w:lang w:val="en-GB"/>
              </w:rPr>
            </w:pPr>
            <w:r w:rsidRPr="000E69C6">
              <w:rPr>
                <w:sz w:val="22"/>
                <w:szCs w:val="22"/>
                <w:lang w:val="en-GB"/>
              </w:rPr>
              <w:t>2.8</w:t>
            </w:r>
          </w:p>
        </w:tc>
        <w:tc>
          <w:tcPr>
            <w:tcW w:w="1191" w:type="pct"/>
            <w:tcBorders>
              <w:top w:val="single" w:sz="4" w:space="0" w:color="auto"/>
              <w:left w:val="single" w:sz="4" w:space="0" w:color="auto"/>
              <w:bottom w:val="nil"/>
              <w:right w:val="single" w:sz="4" w:space="0" w:color="auto"/>
            </w:tcBorders>
          </w:tcPr>
          <w:p w14:paraId="68D76E9C" w14:textId="77777777" w:rsidR="00E607F1" w:rsidRPr="000E69C6" w:rsidRDefault="00E607F1" w:rsidP="00B55C24">
            <w:pPr>
              <w:rPr>
                <w:sz w:val="22"/>
                <w:szCs w:val="22"/>
                <w:lang w:val="en-GB"/>
              </w:rPr>
            </w:pPr>
          </w:p>
        </w:tc>
      </w:tr>
      <w:tr w:rsidR="00E607F1" w:rsidRPr="000E69C6" w14:paraId="5722ED27" w14:textId="77777777" w:rsidTr="00B55C24">
        <w:trPr>
          <w:trHeight w:val="57"/>
        </w:trPr>
        <w:tc>
          <w:tcPr>
            <w:tcW w:w="2300" w:type="pct"/>
            <w:tcBorders>
              <w:top w:val="single" w:sz="4" w:space="0" w:color="auto"/>
              <w:left w:val="single" w:sz="4" w:space="0" w:color="auto"/>
              <w:bottom w:val="nil"/>
              <w:right w:val="nil"/>
            </w:tcBorders>
            <w:vAlign w:val="bottom"/>
            <w:hideMark/>
          </w:tcPr>
          <w:p w14:paraId="4AFB3853" w14:textId="77777777" w:rsidR="00E607F1" w:rsidRPr="000E69C6" w:rsidRDefault="00E607F1" w:rsidP="00B55C24">
            <w:pPr>
              <w:rPr>
                <w:sz w:val="22"/>
                <w:szCs w:val="22"/>
                <w:lang w:val="en-GB"/>
              </w:rPr>
            </w:pPr>
            <w:r w:rsidRPr="000E69C6">
              <w:rPr>
                <w:sz w:val="22"/>
                <w:szCs w:val="22"/>
                <w:lang w:val="en-GB"/>
              </w:rPr>
              <w:t>Secondary efficacy endpoints</w:t>
            </w:r>
          </w:p>
        </w:tc>
        <w:tc>
          <w:tcPr>
            <w:tcW w:w="1509" w:type="pct"/>
            <w:tcBorders>
              <w:top w:val="single" w:sz="4" w:space="0" w:color="auto"/>
              <w:left w:val="single" w:sz="4" w:space="0" w:color="auto"/>
              <w:bottom w:val="nil"/>
              <w:right w:val="nil"/>
            </w:tcBorders>
          </w:tcPr>
          <w:p w14:paraId="22ACAE6E" w14:textId="77777777" w:rsidR="00E607F1" w:rsidRPr="000E69C6" w:rsidRDefault="00E607F1" w:rsidP="00B55C24">
            <w:pPr>
              <w:rPr>
                <w:sz w:val="22"/>
                <w:szCs w:val="22"/>
                <w:lang w:val="en-GB"/>
              </w:rPr>
            </w:pPr>
          </w:p>
        </w:tc>
        <w:tc>
          <w:tcPr>
            <w:tcW w:w="1191" w:type="pct"/>
            <w:tcBorders>
              <w:top w:val="single" w:sz="4" w:space="0" w:color="auto"/>
              <w:left w:val="single" w:sz="4" w:space="0" w:color="auto"/>
              <w:bottom w:val="nil"/>
              <w:right w:val="single" w:sz="4" w:space="0" w:color="auto"/>
            </w:tcBorders>
          </w:tcPr>
          <w:p w14:paraId="55AC897A" w14:textId="77777777" w:rsidR="00E607F1" w:rsidRPr="000E69C6" w:rsidRDefault="00E607F1" w:rsidP="00B55C24">
            <w:pPr>
              <w:rPr>
                <w:sz w:val="22"/>
                <w:szCs w:val="22"/>
                <w:lang w:val="en-GB"/>
              </w:rPr>
            </w:pPr>
          </w:p>
        </w:tc>
      </w:tr>
      <w:tr w:rsidR="00E607F1" w:rsidRPr="000E69C6" w14:paraId="32BAB390" w14:textId="77777777" w:rsidTr="00B55C24">
        <w:trPr>
          <w:trHeight w:val="57"/>
        </w:trPr>
        <w:tc>
          <w:tcPr>
            <w:tcW w:w="2300" w:type="pct"/>
            <w:tcBorders>
              <w:top w:val="single" w:sz="4" w:space="0" w:color="auto"/>
              <w:left w:val="single" w:sz="4" w:space="0" w:color="auto"/>
              <w:bottom w:val="nil"/>
              <w:right w:val="nil"/>
            </w:tcBorders>
            <w:hideMark/>
          </w:tcPr>
          <w:p w14:paraId="71F0D738" w14:textId="77777777" w:rsidR="00E607F1" w:rsidRPr="000E69C6" w:rsidRDefault="00E607F1" w:rsidP="00B55C24">
            <w:pPr>
              <w:rPr>
                <w:sz w:val="22"/>
                <w:szCs w:val="22"/>
                <w:lang w:val="en-GB"/>
              </w:rPr>
            </w:pPr>
            <w:r w:rsidRPr="000E69C6">
              <w:rPr>
                <w:sz w:val="22"/>
                <w:szCs w:val="22"/>
                <w:lang w:val="en-GB"/>
              </w:rPr>
              <w:t>Recurrent symptomatic VTE and all-cause deaths</w:t>
            </w:r>
          </w:p>
        </w:tc>
        <w:tc>
          <w:tcPr>
            <w:tcW w:w="1509" w:type="pct"/>
            <w:tcBorders>
              <w:top w:val="single" w:sz="4" w:space="0" w:color="auto"/>
              <w:left w:val="single" w:sz="4" w:space="0" w:color="auto"/>
              <w:bottom w:val="nil"/>
              <w:right w:val="nil"/>
            </w:tcBorders>
            <w:hideMark/>
          </w:tcPr>
          <w:p w14:paraId="3F7D6852" w14:textId="77777777" w:rsidR="00E607F1" w:rsidRPr="000E69C6" w:rsidRDefault="00E607F1" w:rsidP="00B55C24">
            <w:pPr>
              <w:rPr>
                <w:sz w:val="22"/>
                <w:szCs w:val="22"/>
                <w:lang w:val="en-GB"/>
              </w:rPr>
            </w:pPr>
            <w:r w:rsidRPr="000E69C6">
              <w:rPr>
                <w:sz w:val="22"/>
                <w:szCs w:val="22"/>
                <w:lang w:val="en-GB"/>
              </w:rPr>
              <w:t>42 (2.9%)</w:t>
            </w:r>
          </w:p>
        </w:tc>
        <w:tc>
          <w:tcPr>
            <w:tcW w:w="1191" w:type="pct"/>
            <w:tcBorders>
              <w:top w:val="single" w:sz="4" w:space="0" w:color="auto"/>
              <w:left w:val="single" w:sz="4" w:space="0" w:color="auto"/>
              <w:bottom w:val="nil"/>
              <w:right w:val="single" w:sz="4" w:space="0" w:color="auto"/>
            </w:tcBorders>
            <w:hideMark/>
          </w:tcPr>
          <w:p w14:paraId="4917D7B2" w14:textId="77777777" w:rsidR="00E607F1" w:rsidRPr="000E69C6" w:rsidRDefault="00E607F1" w:rsidP="00B55C24">
            <w:pPr>
              <w:rPr>
                <w:sz w:val="22"/>
                <w:szCs w:val="22"/>
                <w:lang w:val="en-GB"/>
              </w:rPr>
            </w:pPr>
            <w:r w:rsidRPr="000E69C6">
              <w:rPr>
                <w:sz w:val="22"/>
                <w:szCs w:val="22"/>
                <w:lang w:val="en-GB"/>
              </w:rPr>
              <w:t>36 (2.5%)</w:t>
            </w:r>
          </w:p>
        </w:tc>
      </w:tr>
      <w:tr w:rsidR="00E607F1" w:rsidRPr="000E69C6" w14:paraId="67B7CFF1" w14:textId="77777777" w:rsidTr="00B55C24">
        <w:trPr>
          <w:trHeight w:val="57"/>
        </w:trPr>
        <w:tc>
          <w:tcPr>
            <w:tcW w:w="2300" w:type="pct"/>
            <w:tcBorders>
              <w:top w:val="single" w:sz="4" w:space="0" w:color="auto"/>
              <w:left w:val="single" w:sz="4" w:space="0" w:color="auto"/>
              <w:bottom w:val="nil"/>
              <w:right w:val="nil"/>
            </w:tcBorders>
            <w:vAlign w:val="bottom"/>
            <w:hideMark/>
          </w:tcPr>
          <w:p w14:paraId="3F87645E" w14:textId="77777777" w:rsidR="00E607F1" w:rsidRPr="000E69C6" w:rsidRDefault="00E607F1" w:rsidP="00B55C24">
            <w:pPr>
              <w:rPr>
                <w:sz w:val="22"/>
                <w:szCs w:val="22"/>
                <w:lang w:val="en-GB"/>
              </w:rPr>
            </w:pPr>
            <w:r w:rsidRPr="000E69C6">
              <w:rPr>
                <w:sz w:val="22"/>
                <w:szCs w:val="22"/>
                <w:lang w:val="en-GB"/>
              </w:rPr>
              <w:t>95 % confidence interval</w:t>
            </w:r>
          </w:p>
        </w:tc>
        <w:tc>
          <w:tcPr>
            <w:tcW w:w="1509" w:type="pct"/>
            <w:tcBorders>
              <w:top w:val="single" w:sz="4" w:space="0" w:color="auto"/>
              <w:left w:val="single" w:sz="4" w:space="0" w:color="auto"/>
              <w:bottom w:val="nil"/>
              <w:right w:val="nil"/>
            </w:tcBorders>
            <w:vAlign w:val="bottom"/>
            <w:hideMark/>
          </w:tcPr>
          <w:p w14:paraId="482247CF" w14:textId="77777777" w:rsidR="00E607F1" w:rsidRPr="000E69C6" w:rsidRDefault="00E607F1" w:rsidP="00B55C24">
            <w:pPr>
              <w:rPr>
                <w:sz w:val="22"/>
                <w:szCs w:val="22"/>
                <w:lang w:val="en-GB"/>
              </w:rPr>
            </w:pPr>
            <w:r w:rsidRPr="000E69C6">
              <w:rPr>
                <w:sz w:val="22"/>
                <w:szCs w:val="22"/>
                <w:lang w:val="en-GB"/>
              </w:rPr>
              <w:t>2.12, 3.95</w:t>
            </w:r>
          </w:p>
        </w:tc>
        <w:tc>
          <w:tcPr>
            <w:tcW w:w="1191" w:type="pct"/>
            <w:tcBorders>
              <w:top w:val="single" w:sz="4" w:space="0" w:color="auto"/>
              <w:left w:val="single" w:sz="4" w:space="0" w:color="auto"/>
              <w:bottom w:val="nil"/>
              <w:right w:val="single" w:sz="4" w:space="0" w:color="auto"/>
            </w:tcBorders>
            <w:vAlign w:val="bottom"/>
            <w:hideMark/>
          </w:tcPr>
          <w:p w14:paraId="6629ABFC" w14:textId="77777777" w:rsidR="00E607F1" w:rsidRPr="000E69C6" w:rsidRDefault="00E607F1" w:rsidP="00B55C24">
            <w:pPr>
              <w:rPr>
                <w:sz w:val="22"/>
                <w:szCs w:val="22"/>
                <w:lang w:val="en-GB"/>
              </w:rPr>
            </w:pPr>
            <w:r w:rsidRPr="000E69C6">
              <w:rPr>
                <w:sz w:val="22"/>
                <w:szCs w:val="22"/>
                <w:lang w:val="en-GB"/>
              </w:rPr>
              <w:t>1.77, 3.48</w:t>
            </w:r>
          </w:p>
        </w:tc>
      </w:tr>
      <w:tr w:rsidR="00E607F1" w:rsidRPr="000E69C6" w14:paraId="01FC83D6" w14:textId="77777777" w:rsidTr="00B55C24">
        <w:trPr>
          <w:trHeight w:val="57"/>
        </w:trPr>
        <w:tc>
          <w:tcPr>
            <w:tcW w:w="2300" w:type="pct"/>
            <w:tcBorders>
              <w:top w:val="single" w:sz="4" w:space="0" w:color="auto"/>
              <w:left w:val="single" w:sz="4" w:space="0" w:color="auto"/>
              <w:bottom w:val="nil"/>
              <w:right w:val="nil"/>
            </w:tcBorders>
            <w:vAlign w:val="bottom"/>
            <w:hideMark/>
          </w:tcPr>
          <w:p w14:paraId="11B131E3" w14:textId="77777777" w:rsidR="00E607F1" w:rsidRPr="000E69C6" w:rsidRDefault="00E607F1" w:rsidP="00B55C24">
            <w:pPr>
              <w:rPr>
                <w:sz w:val="22"/>
                <w:szCs w:val="22"/>
                <w:lang w:val="en-GB"/>
              </w:rPr>
            </w:pPr>
            <w:r w:rsidRPr="000E69C6">
              <w:rPr>
                <w:sz w:val="22"/>
                <w:szCs w:val="22"/>
                <w:lang w:val="en-GB"/>
              </w:rPr>
              <w:t>Symptomatic DVT</w:t>
            </w:r>
          </w:p>
        </w:tc>
        <w:tc>
          <w:tcPr>
            <w:tcW w:w="1509" w:type="pct"/>
            <w:tcBorders>
              <w:top w:val="single" w:sz="4" w:space="0" w:color="auto"/>
              <w:left w:val="single" w:sz="4" w:space="0" w:color="auto"/>
              <w:bottom w:val="nil"/>
              <w:right w:val="nil"/>
            </w:tcBorders>
            <w:vAlign w:val="bottom"/>
            <w:hideMark/>
          </w:tcPr>
          <w:p w14:paraId="55D38311" w14:textId="77777777" w:rsidR="00E607F1" w:rsidRPr="000E69C6" w:rsidRDefault="00E607F1" w:rsidP="00B55C24">
            <w:pPr>
              <w:rPr>
                <w:sz w:val="22"/>
                <w:szCs w:val="22"/>
                <w:lang w:val="en-GB"/>
              </w:rPr>
            </w:pPr>
            <w:r w:rsidRPr="000E69C6">
              <w:rPr>
                <w:sz w:val="22"/>
                <w:szCs w:val="22"/>
                <w:lang w:val="en-GB"/>
              </w:rPr>
              <w:t>17 (1.2%)</w:t>
            </w:r>
          </w:p>
        </w:tc>
        <w:tc>
          <w:tcPr>
            <w:tcW w:w="1191" w:type="pct"/>
            <w:tcBorders>
              <w:top w:val="single" w:sz="4" w:space="0" w:color="auto"/>
              <w:left w:val="single" w:sz="4" w:space="0" w:color="auto"/>
              <w:bottom w:val="nil"/>
              <w:right w:val="single" w:sz="4" w:space="0" w:color="auto"/>
            </w:tcBorders>
            <w:vAlign w:val="bottom"/>
            <w:hideMark/>
          </w:tcPr>
          <w:p w14:paraId="2E580675" w14:textId="77777777" w:rsidR="00E607F1" w:rsidRPr="000E69C6" w:rsidRDefault="00E607F1" w:rsidP="00B55C24">
            <w:pPr>
              <w:rPr>
                <w:sz w:val="22"/>
                <w:szCs w:val="22"/>
                <w:lang w:val="en-GB"/>
              </w:rPr>
            </w:pPr>
            <w:r w:rsidRPr="000E69C6">
              <w:rPr>
                <w:sz w:val="22"/>
                <w:szCs w:val="22"/>
                <w:lang w:val="en-GB"/>
              </w:rPr>
              <w:t>13 (0.9%)</w:t>
            </w:r>
          </w:p>
        </w:tc>
      </w:tr>
      <w:tr w:rsidR="00E607F1" w:rsidRPr="000E69C6" w14:paraId="051F8838" w14:textId="77777777" w:rsidTr="00B55C24">
        <w:trPr>
          <w:trHeight w:val="57"/>
        </w:trPr>
        <w:tc>
          <w:tcPr>
            <w:tcW w:w="2300" w:type="pct"/>
            <w:tcBorders>
              <w:top w:val="single" w:sz="4" w:space="0" w:color="auto"/>
              <w:left w:val="single" w:sz="4" w:space="0" w:color="auto"/>
              <w:bottom w:val="nil"/>
              <w:right w:val="nil"/>
            </w:tcBorders>
            <w:vAlign w:val="bottom"/>
            <w:hideMark/>
          </w:tcPr>
          <w:p w14:paraId="4F5A473D" w14:textId="77777777" w:rsidR="00E607F1" w:rsidRPr="000E69C6" w:rsidRDefault="00E607F1" w:rsidP="00B55C24">
            <w:pPr>
              <w:rPr>
                <w:sz w:val="22"/>
                <w:szCs w:val="22"/>
                <w:lang w:val="en-GB"/>
              </w:rPr>
            </w:pPr>
            <w:r w:rsidRPr="000E69C6">
              <w:rPr>
                <w:sz w:val="22"/>
                <w:szCs w:val="22"/>
                <w:lang w:val="en-GB"/>
              </w:rPr>
              <w:t>95 % confidence interval</w:t>
            </w:r>
          </w:p>
        </w:tc>
        <w:tc>
          <w:tcPr>
            <w:tcW w:w="1509" w:type="pct"/>
            <w:tcBorders>
              <w:top w:val="single" w:sz="4" w:space="0" w:color="auto"/>
              <w:left w:val="single" w:sz="4" w:space="0" w:color="auto"/>
              <w:bottom w:val="nil"/>
              <w:right w:val="nil"/>
            </w:tcBorders>
            <w:vAlign w:val="bottom"/>
            <w:hideMark/>
          </w:tcPr>
          <w:p w14:paraId="556BC63A" w14:textId="77777777" w:rsidR="00E607F1" w:rsidRPr="000E69C6" w:rsidRDefault="00E607F1" w:rsidP="00B55C24">
            <w:pPr>
              <w:rPr>
                <w:sz w:val="22"/>
                <w:szCs w:val="22"/>
                <w:lang w:val="en-GB"/>
              </w:rPr>
            </w:pPr>
            <w:r w:rsidRPr="000E69C6">
              <w:rPr>
                <w:sz w:val="22"/>
                <w:szCs w:val="22"/>
                <w:lang w:val="en-GB"/>
              </w:rPr>
              <w:t>0.69, 1.90</w:t>
            </w:r>
          </w:p>
        </w:tc>
        <w:tc>
          <w:tcPr>
            <w:tcW w:w="1191" w:type="pct"/>
            <w:tcBorders>
              <w:top w:val="single" w:sz="4" w:space="0" w:color="auto"/>
              <w:left w:val="single" w:sz="4" w:space="0" w:color="auto"/>
              <w:bottom w:val="nil"/>
              <w:right w:val="single" w:sz="4" w:space="0" w:color="auto"/>
            </w:tcBorders>
            <w:vAlign w:val="bottom"/>
            <w:hideMark/>
          </w:tcPr>
          <w:p w14:paraId="22A09276" w14:textId="77777777" w:rsidR="00E607F1" w:rsidRPr="000E69C6" w:rsidRDefault="00E607F1" w:rsidP="00B55C24">
            <w:pPr>
              <w:rPr>
                <w:sz w:val="22"/>
                <w:szCs w:val="22"/>
                <w:lang w:val="en-GB"/>
              </w:rPr>
            </w:pPr>
            <w:r w:rsidRPr="000E69C6">
              <w:rPr>
                <w:sz w:val="22"/>
                <w:szCs w:val="22"/>
                <w:lang w:val="en-GB"/>
              </w:rPr>
              <w:t>0.49, 1.55</w:t>
            </w:r>
          </w:p>
        </w:tc>
      </w:tr>
      <w:tr w:rsidR="00E607F1" w:rsidRPr="000E69C6" w14:paraId="0C4C1FD0" w14:textId="77777777" w:rsidTr="00B55C24">
        <w:trPr>
          <w:trHeight w:val="57"/>
        </w:trPr>
        <w:tc>
          <w:tcPr>
            <w:tcW w:w="2300" w:type="pct"/>
            <w:tcBorders>
              <w:top w:val="single" w:sz="4" w:space="0" w:color="auto"/>
              <w:left w:val="single" w:sz="4" w:space="0" w:color="auto"/>
              <w:bottom w:val="nil"/>
              <w:right w:val="nil"/>
            </w:tcBorders>
            <w:vAlign w:val="bottom"/>
            <w:hideMark/>
          </w:tcPr>
          <w:p w14:paraId="25B98D89" w14:textId="77777777" w:rsidR="00E607F1" w:rsidRPr="000E69C6" w:rsidRDefault="00E607F1" w:rsidP="00B55C24">
            <w:pPr>
              <w:rPr>
                <w:sz w:val="22"/>
                <w:szCs w:val="22"/>
                <w:lang w:val="en-GB"/>
              </w:rPr>
            </w:pPr>
            <w:r w:rsidRPr="000E69C6">
              <w:rPr>
                <w:sz w:val="22"/>
                <w:szCs w:val="22"/>
                <w:lang w:val="en-GB"/>
              </w:rPr>
              <w:t>Symptomatic PE</w:t>
            </w:r>
          </w:p>
        </w:tc>
        <w:tc>
          <w:tcPr>
            <w:tcW w:w="1509" w:type="pct"/>
            <w:tcBorders>
              <w:top w:val="single" w:sz="4" w:space="0" w:color="auto"/>
              <w:left w:val="single" w:sz="4" w:space="0" w:color="auto"/>
              <w:bottom w:val="nil"/>
              <w:right w:val="nil"/>
            </w:tcBorders>
            <w:vAlign w:val="bottom"/>
            <w:hideMark/>
          </w:tcPr>
          <w:p w14:paraId="5A77754B" w14:textId="77777777" w:rsidR="00E607F1" w:rsidRPr="000E69C6" w:rsidRDefault="00E607F1" w:rsidP="00B55C24">
            <w:pPr>
              <w:rPr>
                <w:sz w:val="22"/>
                <w:szCs w:val="22"/>
                <w:lang w:val="en-GB"/>
              </w:rPr>
            </w:pPr>
            <w:r w:rsidRPr="000E69C6">
              <w:rPr>
                <w:sz w:val="22"/>
                <w:szCs w:val="22"/>
                <w:lang w:val="en-GB"/>
              </w:rPr>
              <w:t>10 (0.7%)</w:t>
            </w:r>
          </w:p>
        </w:tc>
        <w:tc>
          <w:tcPr>
            <w:tcW w:w="1191" w:type="pct"/>
            <w:tcBorders>
              <w:top w:val="single" w:sz="4" w:space="0" w:color="auto"/>
              <w:left w:val="single" w:sz="4" w:space="0" w:color="auto"/>
              <w:bottom w:val="nil"/>
              <w:right w:val="single" w:sz="4" w:space="0" w:color="auto"/>
            </w:tcBorders>
            <w:vAlign w:val="bottom"/>
            <w:hideMark/>
          </w:tcPr>
          <w:p w14:paraId="33DBA4C0" w14:textId="77777777" w:rsidR="00E607F1" w:rsidRPr="000E69C6" w:rsidRDefault="00E607F1" w:rsidP="00B55C24">
            <w:pPr>
              <w:rPr>
                <w:sz w:val="22"/>
                <w:szCs w:val="22"/>
                <w:lang w:val="en-GB"/>
              </w:rPr>
            </w:pPr>
            <w:r w:rsidRPr="000E69C6">
              <w:rPr>
                <w:sz w:val="22"/>
                <w:szCs w:val="22"/>
                <w:lang w:val="en-GB"/>
              </w:rPr>
              <w:t>5 (0.4%)</w:t>
            </w:r>
          </w:p>
        </w:tc>
      </w:tr>
      <w:tr w:rsidR="00E607F1" w:rsidRPr="000E69C6" w14:paraId="63CE148F" w14:textId="77777777" w:rsidTr="00B55C24">
        <w:trPr>
          <w:trHeight w:val="57"/>
        </w:trPr>
        <w:tc>
          <w:tcPr>
            <w:tcW w:w="2300" w:type="pct"/>
            <w:tcBorders>
              <w:top w:val="single" w:sz="4" w:space="0" w:color="auto"/>
              <w:left w:val="single" w:sz="4" w:space="0" w:color="auto"/>
              <w:bottom w:val="nil"/>
              <w:right w:val="nil"/>
            </w:tcBorders>
            <w:vAlign w:val="bottom"/>
            <w:hideMark/>
          </w:tcPr>
          <w:p w14:paraId="5F6D1BAB" w14:textId="77777777" w:rsidR="00E607F1" w:rsidRPr="000E69C6" w:rsidRDefault="00E607F1" w:rsidP="00B55C24">
            <w:pPr>
              <w:rPr>
                <w:sz w:val="22"/>
                <w:szCs w:val="22"/>
                <w:lang w:val="en-GB"/>
              </w:rPr>
            </w:pPr>
            <w:r w:rsidRPr="000E69C6">
              <w:rPr>
                <w:sz w:val="22"/>
                <w:szCs w:val="22"/>
                <w:lang w:val="en-GB"/>
              </w:rPr>
              <w:t>95 % confidence interval</w:t>
            </w:r>
          </w:p>
        </w:tc>
        <w:tc>
          <w:tcPr>
            <w:tcW w:w="1509" w:type="pct"/>
            <w:tcBorders>
              <w:top w:val="single" w:sz="4" w:space="0" w:color="auto"/>
              <w:left w:val="single" w:sz="4" w:space="0" w:color="auto"/>
              <w:bottom w:val="nil"/>
              <w:right w:val="nil"/>
            </w:tcBorders>
            <w:vAlign w:val="bottom"/>
            <w:hideMark/>
          </w:tcPr>
          <w:p w14:paraId="77CB564B" w14:textId="77777777" w:rsidR="00E607F1" w:rsidRPr="000E69C6" w:rsidRDefault="00E607F1" w:rsidP="00B55C24">
            <w:pPr>
              <w:rPr>
                <w:sz w:val="22"/>
                <w:szCs w:val="22"/>
                <w:lang w:val="en-GB"/>
              </w:rPr>
            </w:pPr>
            <w:r w:rsidRPr="000E69C6">
              <w:rPr>
                <w:sz w:val="22"/>
                <w:szCs w:val="22"/>
                <w:lang w:val="en-GB"/>
              </w:rPr>
              <w:t>0.34, 1.28</w:t>
            </w:r>
          </w:p>
        </w:tc>
        <w:tc>
          <w:tcPr>
            <w:tcW w:w="1191" w:type="pct"/>
            <w:tcBorders>
              <w:top w:val="single" w:sz="4" w:space="0" w:color="auto"/>
              <w:left w:val="single" w:sz="4" w:space="0" w:color="auto"/>
              <w:bottom w:val="nil"/>
              <w:right w:val="single" w:sz="4" w:space="0" w:color="auto"/>
            </w:tcBorders>
            <w:vAlign w:val="bottom"/>
            <w:hideMark/>
          </w:tcPr>
          <w:p w14:paraId="4EBA8005" w14:textId="77777777" w:rsidR="00E607F1" w:rsidRPr="000E69C6" w:rsidRDefault="00E607F1" w:rsidP="00B55C24">
            <w:pPr>
              <w:rPr>
                <w:sz w:val="22"/>
                <w:szCs w:val="22"/>
                <w:lang w:val="en-GB"/>
              </w:rPr>
            </w:pPr>
            <w:r w:rsidRPr="000E69C6">
              <w:rPr>
                <w:sz w:val="22"/>
                <w:szCs w:val="22"/>
                <w:lang w:val="en-GB"/>
              </w:rPr>
              <w:t>0.11, 0.82</w:t>
            </w:r>
          </w:p>
        </w:tc>
      </w:tr>
      <w:tr w:rsidR="00E607F1" w:rsidRPr="000E69C6" w14:paraId="0E3383B6" w14:textId="77777777" w:rsidTr="00B55C24">
        <w:trPr>
          <w:trHeight w:val="57"/>
        </w:trPr>
        <w:tc>
          <w:tcPr>
            <w:tcW w:w="2300" w:type="pct"/>
            <w:tcBorders>
              <w:top w:val="single" w:sz="4" w:space="0" w:color="auto"/>
              <w:left w:val="single" w:sz="4" w:space="0" w:color="auto"/>
              <w:bottom w:val="nil"/>
              <w:right w:val="nil"/>
            </w:tcBorders>
            <w:vAlign w:val="bottom"/>
            <w:hideMark/>
          </w:tcPr>
          <w:p w14:paraId="73F79C7F" w14:textId="77777777" w:rsidR="00E607F1" w:rsidRPr="000E69C6" w:rsidRDefault="00E607F1" w:rsidP="00B55C24">
            <w:pPr>
              <w:rPr>
                <w:sz w:val="22"/>
                <w:szCs w:val="22"/>
                <w:lang w:val="en-GB"/>
              </w:rPr>
            </w:pPr>
            <w:r w:rsidRPr="000E69C6">
              <w:rPr>
                <w:sz w:val="22"/>
                <w:szCs w:val="22"/>
                <w:lang w:val="en-GB"/>
              </w:rPr>
              <w:t>VTE-related deaths</w:t>
            </w:r>
          </w:p>
        </w:tc>
        <w:tc>
          <w:tcPr>
            <w:tcW w:w="1509" w:type="pct"/>
            <w:tcBorders>
              <w:top w:val="single" w:sz="4" w:space="0" w:color="auto"/>
              <w:left w:val="single" w:sz="4" w:space="0" w:color="auto"/>
              <w:bottom w:val="nil"/>
              <w:right w:val="nil"/>
            </w:tcBorders>
            <w:vAlign w:val="bottom"/>
            <w:hideMark/>
          </w:tcPr>
          <w:p w14:paraId="7D3B9936" w14:textId="77777777" w:rsidR="00E607F1" w:rsidRPr="000E69C6" w:rsidRDefault="00E607F1" w:rsidP="00B55C24">
            <w:pPr>
              <w:rPr>
                <w:sz w:val="22"/>
                <w:szCs w:val="22"/>
                <w:lang w:val="en-GB"/>
              </w:rPr>
            </w:pPr>
            <w:r w:rsidRPr="000E69C6">
              <w:rPr>
                <w:sz w:val="22"/>
                <w:szCs w:val="22"/>
                <w:lang w:val="en-GB"/>
              </w:rPr>
              <w:t>1 (0.1%)</w:t>
            </w:r>
          </w:p>
        </w:tc>
        <w:tc>
          <w:tcPr>
            <w:tcW w:w="1191" w:type="pct"/>
            <w:tcBorders>
              <w:top w:val="single" w:sz="4" w:space="0" w:color="auto"/>
              <w:left w:val="single" w:sz="4" w:space="0" w:color="auto"/>
              <w:bottom w:val="nil"/>
              <w:right w:val="single" w:sz="4" w:space="0" w:color="auto"/>
            </w:tcBorders>
            <w:vAlign w:val="bottom"/>
            <w:hideMark/>
          </w:tcPr>
          <w:p w14:paraId="7271AE2A" w14:textId="77777777" w:rsidR="00E607F1" w:rsidRPr="000E69C6" w:rsidRDefault="00E607F1" w:rsidP="00B55C24">
            <w:pPr>
              <w:rPr>
                <w:sz w:val="22"/>
                <w:szCs w:val="22"/>
                <w:lang w:val="en-GB"/>
              </w:rPr>
            </w:pPr>
            <w:r w:rsidRPr="000E69C6">
              <w:rPr>
                <w:sz w:val="22"/>
                <w:szCs w:val="22"/>
                <w:lang w:val="en-GB"/>
              </w:rPr>
              <w:t>1 (0.1%)</w:t>
            </w:r>
          </w:p>
        </w:tc>
      </w:tr>
      <w:tr w:rsidR="00E607F1" w:rsidRPr="000E69C6" w14:paraId="355D074F" w14:textId="77777777" w:rsidTr="00B55C24">
        <w:trPr>
          <w:trHeight w:val="57"/>
        </w:trPr>
        <w:tc>
          <w:tcPr>
            <w:tcW w:w="2300" w:type="pct"/>
            <w:tcBorders>
              <w:top w:val="single" w:sz="4" w:space="0" w:color="auto"/>
              <w:left w:val="single" w:sz="4" w:space="0" w:color="auto"/>
              <w:bottom w:val="nil"/>
              <w:right w:val="nil"/>
            </w:tcBorders>
            <w:vAlign w:val="bottom"/>
            <w:hideMark/>
          </w:tcPr>
          <w:p w14:paraId="695099BB" w14:textId="77777777" w:rsidR="00E607F1" w:rsidRPr="000E69C6" w:rsidRDefault="00E607F1" w:rsidP="00B55C24">
            <w:pPr>
              <w:rPr>
                <w:sz w:val="22"/>
                <w:szCs w:val="22"/>
                <w:lang w:val="en-GB"/>
              </w:rPr>
            </w:pPr>
            <w:r w:rsidRPr="000E69C6">
              <w:rPr>
                <w:sz w:val="22"/>
                <w:szCs w:val="22"/>
                <w:lang w:val="en-GB"/>
              </w:rPr>
              <w:t>95 % confidence interval</w:t>
            </w:r>
          </w:p>
        </w:tc>
        <w:tc>
          <w:tcPr>
            <w:tcW w:w="1509" w:type="pct"/>
            <w:tcBorders>
              <w:top w:val="single" w:sz="4" w:space="0" w:color="auto"/>
              <w:left w:val="single" w:sz="4" w:space="0" w:color="auto"/>
              <w:bottom w:val="nil"/>
              <w:right w:val="nil"/>
            </w:tcBorders>
            <w:vAlign w:val="bottom"/>
            <w:hideMark/>
          </w:tcPr>
          <w:p w14:paraId="5426991D" w14:textId="77777777" w:rsidR="00E607F1" w:rsidRPr="000E69C6" w:rsidRDefault="00E607F1" w:rsidP="00B55C24">
            <w:pPr>
              <w:rPr>
                <w:sz w:val="22"/>
                <w:szCs w:val="22"/>
                <w:lang w:val="en-GB"/>
              </w:rPr>
            </w:pPr>
            <w:r w:rsidRPr="000E69C6">
              <w:rPr>
                <w:sz w:val="22"/>
                <w:szCs w:val="22"/>
                <w:lang w:val="en-GB"/>
              </w:rPr>
              <w:t>0.00, 0.39</w:t>
            </w:r>
          </w:p>
        </w:tc>
        <w:tc>
          <w:tcPr>
            <w:tcW w:w="1191" w:type="pct"/>
            <w:tcBorders>
              <w:top w:val="single" w:sz="4" w:space="0" w:color="auto"/>
              <w:left w:val="single" w:sz="4" w:space="0" w:color="auto"/>
              <w:bottom w:val="nil"/>
              <w:right w:val="single" w:sz="4" w:space="0" w:color="auto"/>
            </w:tcBorders>
            <w:vAlign w:val="bottom"/>
            <w:hideMark/>
          </w:tcPr>
          <w:p w14:paraId="67CCC2E0" w14:textId="77777777" w:rsidR="00E607F1" w:rsidRPr="000E69C6" w:rsidRDefault="00E607F1" w:rsidP="00B55C24">
            <w:pPr>
              <w:rPr>
                <w:sz w:val="22"/>
                <w:szCs w:val="22"/>
                <w:lang w:val="en-GB"/>
              </w:rPr>
            </w:pPr>
            <w:r w:rsidRPr="000E69C6">
              <w:rPr>
                <w:sz w:val="22"/>
                <w:szCs w:val="22"/>
                <w:lang w:val="en-GB"/>
              </w:rPr>
              <w:t>0.00, 0.39</w:t>
            </w:r>
          </w:p>
        </w:tc>
      </w:tr>
      <w:tr w:rsidR="00E607F1" w:rsidRPr="000E69C6" w14:paraId="43A35A7E" w14:textId="77777777" w:rsidTr="00B55C24">
        <w:trPr>
          <w:trHeight w:val="57"/>
        </w:trPr>
        <w:tc>
          <w:tcPr>
            <w:tcW w:w="2300" w:type="pct"/>
            <w:tcBorders>
              <w:top w:val="single" w:sz="4" w:space="0" w:color="auto"/>
              <w:left w:val="single" w:sz="4" w:space="0" w:color="auto"/>
              <w:bottom w:val="nil"/>
              <w:right w:val="nil"/>
            </w:tcBorders>
            <w:vAlign w:val="bottom"/>
            <w:hideMark/>
          </w:tcPr>
          <w:p w14:paraId="4CEE25CF" w14:textId="77777777" w:rsidR="00E607F1" w:rsidRPr="000E69C6" w:rsidRDefault="00E607F1" w:rsidP="00B55C24">
            <w:pPr>
              <w:rPr>
                <w:sz w:val="22"/>
                <w:szCs w:val="22"/>
                <w:lang w:val="en-GB"/>
              </w:rPr>
            </w:pPr>
            <w:r w:rsidRPr="000E69C6">
              <w:rPr>
                <w:sz w:val="22"/>
                <w:szCs w:val="22"/>
                <w:lang w:val="en-GB"/>
              </w:rPr>
              <w:t>All-cause deaths</w:t>
            </w:r>
          </w:p>
        </w:tc>
        <w:tc>
          <w:tcPr>
            <w:tcW w:w="1509" w:type="pct"/>
            <w:tcBorders>
              <w:top w:val="single" w:sz="4" w:space="0" w:color="auto"/>
              <w:left w:val="single" w:sz="4" w:space="0" w:color="auto"/>
              <w:bottom w:val="nil"/>
              <w:right w:val="nil"/>
            </w:tcBorders>
            <w:vAlign w:val="bottom"/>
            <w:hideMark/>
          </w:tcPr>
          <w:p w14:paraId="672D544F" w14:textId="77777777" w:rsidR="00E607F1" w:rsidRPr="000E69C6" w:rsidRDefault="00E607F1" w:rsidP="00B55C24">
            <w:pPr>
              <w:rPr>
                <w:sz w:val="22"/>
                <w:szCs w:val="22"/>
                <w:lang w:val="en-GB"/>
              </w:rPr>
            </w:pPr>
            <w:r w:rsidRPr="000E69C6">
              <w:rPr>
                <w:sz w:val="22"/>
                <w:szCs w:val="22"/>
                <w:lang w:val="en-GB"/>
              </w:rPr>
              <w:t>17 (1.2%)</w:t>
            </w:r>
          </w:p>
        </w:tc>
        <w:tc>
          <w:tcPr>
            <w:tcW w:w="1191" w:type="pct"/>
            <w:tcBorders>
              <w:top w:val="single" w:sz="4" w:space="0" w:color="auto"/>
              <w:left w:val="single" w:sz="4" w:space="0" w:color="auto"/>
              <w:bottom w:val="nil"/>
              <w:right w:val="single" w:sz="4" w:space="0" w:color="auto"/>
            </w:tcBorders>
            <w:vAlign w:val="bottom"/>
            <w:hideMark/>
          </w:tcPr>
          <w:p w14:paraId="510839EF" w14:textId="77777777" w:rsidR="00E607F1" w:rsidRPr="000E69C6" w:rsidRDefault="00E607F1" w:rsidP="00B55C24">
            <w:pPr>
              <w:rPr>
                <w:sz w:val="22"/>
                <w:szCs w:val="22"/>
                <w:lang w:val="en-GB"/>
              </w:rPr>
            </w:pPr>
            <w:r w:rsidRPr="000E69C6">
              <w:rPr>
                <w:sz w:val="22"/>
                <w:szCs w:val="22"/>
                <w:lang w:val="en-GB"/>
              </w:rPr>
              <w:t>19 (1.3%)</w:t>
            </w:r>
          </w:p>
        </w:tc>
      </w:tr>
      <w:tr w:rsidR="00E607F1" w:rsidRPr="000E69C6" w14:paraId="0518C208" w14:textId="77777777" w:rsidTr="00B55C24">
        <w:trPr>
          <w:trHeight w:val="57"/>
        </w:trPr>
        <w:tc>
          <w:tcPr>
            <w:tcW w:w="2300" w:type="pct"/>
            <w:tcBorders>
              <w:top w:val="single" w:sz="4" w:space="0" w:color="auto"/>
              <w:left w:val="single" w:sz="4" w:space="0" w:color="auto"/>
              <w:bottom w:val="single" w:sz="4" w:space="0" w:color="auto"/>
              <w:right w:val="nil"/>
            </w:tcBorders>
            <w:vAlign w:val="bottom"/>
            <w:hideMark/>
          </w:tcPr>
          <w:p w14:paraId="6CD3775A" w14:textId="77777777" w:rsidR="00E607F1" w:rsidRPr="000E69C6" w:rsidRDefault="00E607F1" w:rsidP="00B55C24">
            <w:pPr>
              <w:rPr>
                <w:sz w:val="22"/>
                <w:szCs w:val="22"/>
                <w:lang w:val="en-GB"/>
              </w:rPr>
            </w:pPr>
            <w:r w:rsidRPr="000E69C6">
              <w:rPr>
                <w:sz w:val="22"/>
                <w:szCs w:val="22"/>
                <w:lang w:val="en-GB"/>
              </w:rPr>
              <w:t>95 % confidence interval</w:t>
            </w:r>
          </w:p>
        </w:tc>
        <w:tc>
          <w:tcPr>
            <w:tcW w:w="1509" w:type="pct"/>
            <w:tcBorders>
              <w:top w:val="single" w:sz="4" w:space="0" w:color="auto"/>
              <w:left w:val="single" w:sz="4" w:space="0" w:color="auto"/>
              <w:bottom w:val="single" w:sz="4" w:space="0" w:color="auto"/>
              <w:right w:val="nil"/>
            </w:tcBorders>
            <w:vAlign w:val="bottom"/>
            <w:hideMark/>
          </w:tcPr>
          <w:p w14:paraId="0796A0E6" w14:textId="77777777" w:rsidR="00E607F1" w:rsidRPr="000E69C6" w:rsidRDefault="00E607F1" w:rsidP="00B55C24">
            <w:pPr>
              <w:rPr>
                <w:sz w:val="22"/>
                <w:szCs w:val="22"/>
                <w:lang w:val="en-GB"/>
              </w:rPr>
            </w:pPr>
            <w:r w:rsidRPr="000E69C6">
              <w:rPr>
                <w:sz w:val="22"/>
                <w:szCs w:val="22"/>
                <w:lang w:val="en-GB"/>
              </w:rPr>
              <w:t>0.69, 1.90</w:t>
            </w:r>
          </w:p>
        </w:tc>
        <w:tc>
          <w:tcPr>
            <w:tcW w:w="1191" w:type="pct"/>
            <w:tcBorders>
              <w:top w:val="single" w:sz="4" w:space="0" w:color="auto"/>
              <w:left w:val="single" w:sz="4" w:space="0" w:color="auto"/>
              <w:bottom w:val="single" w:sz="4" w:space="0" w:color="auto"/>
              <w:right w:val="single" w:sz="4" w:space="0" w:color="auto"/>
            </w:tcBorders>
            <w:vAlign w:val="bottom"/>
            <w:hideMark/>
          </w:tcPr>
          <w:p w14:paraId="38A74BEE" w14:textId="77777777" w:rsidR="00E607F1" w:rsidRPr="000E69C6" w:rsidRDefault="00E607F1" w:rsidP="00B55C24">
            <w:pPr>
              <w:rPr>
                <w:sz w:val="22"/>
                <w:szCs w:val="22"/>
                <w:lang w:val="en-GB"/>
              </w:rPr>
            </w:pPr>
            <w:r w:rsidRPr="000E69C6">
              <w:rPr>
                <w:sz w:val="22"/>
                <w:szCs w:val="22"/>
                <w:lang w:val="en-GB"/>
              </w:rPr>
              <w:t>0.80, 2.07</w:t>
            </w:r>
          </w:p>
        </w:tc>
      </w:tr>
    </w:tbl>
    <w:p w14:paraId="21D854D8" w14:textId="77777777" w:rsidR="00E607F1" w:rsidRPr="00B55C24" w:rsidRDefault="00E607F1" w:rsidP="00E607F1">
      <w:pPr>
        <w:tabs>
          <w:tab w:val="left" w:pos="851"/>
        </w:tabs>
        <w:ind w:left="851"/>
        <w:rPr>
          <w:sz w:val="24"/>
          <w:szCs w:val="24"/>
          <w:lang w:val="en-GB"/>
        </w:rPr>
      </w:pPr>
    </w:p>
    <w:p w14:paraId="033BB532" w14:textId="77777777" w:rsidR="00E607F1" w:rsidRPr="00B55C24" w:rsidRDefault="00E607F1" w:rsidP="00B55C24">
      <w:pPr>
        <w:ind w:left="851"/>
        <w:rPr>
          <w:sz w:val="24"/>
          <w:szCs w:val="24"/>
          <w:lang w:val="en-GB"/>
        </w:rPr>
      </w:pPr>
      <w:r w:rsidRPr="00B55C24">
        <w:rPr>
          <w:sz w:val="24"/>
          <w:szCs w:val="24"/>
          <w:lang w:val="en-GB"/>
        </w:rPr>
        <w:t xml:space="preserve">The objective of the RE-SONATE study was to evaluate superiority of dabigatran </w:t>
      </w:r>
      <w:proofErr w:type="spellStart"/>
      <w:r w:rsidRPr="00B55C24">
        <w:rPr>
          <w:sz w:val="24"/>
          <w:szCs w:val="24"/>
          <w:lang w:val="en-GB"/>
        </w:rPr>
        <w:t>etexilate</w:t>
      </w:r>
      <w:proofErr w:type="spellEnd"/>
      <w:r w:rsidRPr="00B55C24">
        <w:rPr>
          <w:sz w:val="24"/>
          <w:szCs w:val="24"/>
          <w:lang w:val="en-GB"/>
        </w:rPr>
        <w:t xml:space="preserve"> versus placebo for the prevention of recurrent symptomatic DVT and/or PE in patients who had already completed 6 to 18 months of treatment with VKA. The intended therapy was 6 months dabigatran </w:t>
      </w:r>
      <w:proofErr w:type="spellStart"/>
      <w:r w:rsidRPr="00B55C24">
        <w:rPr>
          <w:sz w:val="24"/>
          <w:szCs w:val="24"/>
          <w:lang w:val="en-GB"/>
        </w:rPr>
        <w:t>etexilate</w:t>
      </w:r>
      <w:proofErr w:type="spellEnd"/>
      <w:r w:rsidRPr="00B55C24">
        <w:rPr>
          <w:sz w:val="24"/>
          <w:szCs w:val="24"/>
          <w:lang w:val="en-GB"/>
        </w:rPr>
        <w:t xml:space="preserve"> 150 mg twice daily without need for monitoring.</w:t>
      </w:r>
    </w:p>
    <w:p w14:paraId="24A2E0A9" w14:textId="77777777" w:rsidR="00E607F1" w:rsidRPr="00B55C24" w:rsidRDefault="00E607F1" w:rsidP="00B55C24">
      <w:pPr>
        <w:ind w:left="851"/>
        <w:rPr>
          <w:sz w:val="24"/>
          <w:szCs w:val="24"/>
          <w:lang w:val="en-GB"/>
        </w:rPr>
      </w:pPr>
    </w:p>
    <w:p w14:paraId="17916E4B" w14:textId="77777777" w:rsidR="00E607F1" w:rsidRPr="00B55C24" w:rsidRDefault="00E607F1" w:rsidP="00B55C24">
      <w:pPr>
        <w:ind w:left="851"/>
        <w:rPr>
          <w:sz w:val="24"/>
          <w:szCs w:val="24"/>
          <w:lang w:val="en-GB"/>
        </w:rPr>
      </w:pPr>
      <w:r w:rsidRPr="00B55C24">
        <w:rPr>
          <w:sz w:val="24"/>
          <w:szCs w:val="24"/>
          <w:lang w:val="en-GB"/>
        </w:rPr>
        <w:t xml:space="preserve">RE-SONATE demonstrated dabigatran </w:t>
      </w:r>
      <w:proofErr w:type="spellStart"/>
      <w:r w:rsidRPr="00B55C24">
        <w:rPr>
          <w:sz w:val="24"/>
          <w:szCs w:val="24"/>
          <w:lang w:val="en-GB"/>
        </w:rPr>
        <w:t>etexilate</w:t>
      </w:r>
      <w:proofErr w:type="spellEnd"/>
      <w:r w:rsidRPr="00B55C24">
        <w:rPr>
          <w:sz w:val="24"/>
          <w:szCs w:val="24"/>
          <w:lang w:val="en-GB"/>
        </w:rPr>
        <w:t xml:space="preserve"> was superior to placebo for the prevention of recurrent symptomatic DVT/PE events including unexplained deaths, with a risk reduction from 5.6% to 0.4% (relative risk reduction 92% based on hazard ratio) during the treatment period (p &lt; 0.0001).</w:t>
      </w:r>
    </w:p>
    <w:p w14:paraId="4140F4E2" w14:textId="77777777" w:rsidR="00E607F1" w:rsidRPr="00B55C24" w:rsidRDefault="00E607F1" w:rsidP="00B55C24">
      <w:pPr>
        <w:ind w:left="851"/>
        <w:rPr>
          <w:sz w:val="24"/>
          <w:szCs w:val="24"/>
          <w:lang w:val="en-GB"/>
        </w:rPr>
      </w:pPr>
      <w:r w:rsidRPr="00B55C24">
        <w:rPr>
          <w:sz w:val="24"/>
          <w:szCs w:val="24"/>
          <w:lang w:val="en-GB"/>
        </w:rPr>
        <w:t xml:space="preserve">All secondary and sensitivity analyses of the primary endpoint and all secondary endpoints showed superiority of dabigatran </w:t>
      </w:r>
      <w:proofErr w:type="spellStart"/>
      <w:r w:rsidRPr="00B55C24">
        <w:rPr>
          <w:sz w:val="24"/>
          <w:szCs w:val="24"/>
          <w:lang w:val="en-GB"/>
        </w:rPr>
        <w:t>etexilate</w:t>
      </w:r>
      <w:proofErr w:type="spellEnd"/>
      <w:r w:rsidRPr="00B55C24">
        <w:rPr>
          <w:sz w:val="24"/>
          <w:szCs w:val="24"/>
          <w:lang w:val="en-GB"/>
        </w:rPr>
        <w:t xml:space="preserve"> over placebo.</w:t>
      </w:r>
    </w:p>
    <w:p w14:paraId="73FF606F" w14:textId="77777777" w:rsidR="00E607F1" w:rsidRPr="00B55C24" w:rsidRDefault="00E607F1" w:rsidP="00B55C24">
      <w:pPr>
        <w:ind w:left="851"/>
        <w:rPr>
          <w:sz w:val="24"/>
          <w:szCs w:val="24"/>
          <w:lang w:val="en-GB"/>
        </w:rPr>
      </w:pPr>
    </w:p>
    <w:p w14:paraId="27237677" w14:textId="77777777" w:rsidR="00E607F1" w:rsidRPr="00B55C24" w:rsidRDefault="00E607F1" w:rsidP="00B55C24">
      <w:pPr>
        <w:ind w:left="851"/>
        <w:rPr>
          <w:sz w:val="24"/>
          <w:szCs w:val="24"/>
          <w:lang w:val="en-GB"/>
        </w:rPr>
      </w:pPr>
      <w:r w:rsidRPr="00B55C24">
        <w:rPr>
          <w:sz w:val="24"/>
          <w:szCs w:val="24"/>
          <w:lang w:val="en-GB"/>
        </w:rPr>
        <w:t xml:space="preserve">The study included observational follow-up for 12 months after the conclusion of treatment. After discontinuation of study </w:t>
      </w:r>
      <w:proofErr w:type="gramStart"/>
      <w:r w:rsidRPr="00B55C24">
        <w:rPr>
          <w:sz w:val="24"/>
          <w:szCs w:val="24"/>
          <w:lang w:val="en-GB"/>
        </w:rPr>
        <w:t>medication</w:t>
      </w:r>
      <w:proofErr w:type="gramEnd"/>
      <w:r w:rsidRPr="00B55C24">
        <w:rPr>
          <w:sz w:val="24"/>
          <w:szCs w:val="24"/>
          <w:lang w:val="en-GB"/>
        </w:rPr>
        <w:t xml:space="preserve"> the effect was maintained until the end of the follow-up, indicating that the initial treatment effect of dabigatran </w:t>
      </w:r>
      <w:proofErr w:type="spellStart"/>
      <w:r w:rsidRPr="00B55C24">
        <w:rPr>
          <w:sz w:val="24"/>
          <w:szCs w:val="24"/>
          <w:lang w:val="en-GB"/>
        </w:rPr>
        <w:t>etexilate</w:t>
      </w:r>
      <w:proofErr w:type="spellEnd"/>
      <w:r w:rsidRPr="00B55C24">
        <w:rPr>
          <w:sz w:val="24"/>
          <w:szCs w:val="24"/>
          <w:lang w:val="en-GB"/>
        </w:rPr>
        <w:t xml:space="preserve"> was sustained. No rebound effect was observed. At the end of the follow-up VTE events in patients treated with dabigatran </w:t>
      </w:r>
      <w:proofErr w:type="spellStart"/>
      <w:r w:rsidRPr="00B55C24">
        <w:rPr>
          <w:sz w:val="24"/>
          <w:szCs w:val="24"/>
          <w:lang w:val="en-GB"/>
        </w:rPr>
        <w:t>etexilate</w:t>
      </w:r>
      <w:proofErr w:type="spellEnd"/>
      <w:r w:rsidRPr="00B55C24">
        <w:rPr>
          <w:sz w:val="24"/>
          <w:szCs w:val="24"/>
          <w:lang w:val="en-GB"/>
        </w:rPr>
        <w:t xml:space="preserve"> was 6.9% vs. 10.7% among the placebo group (hazard ratio 0.61 (95% CI 0.42, 0.88), p = 0.0082).</w:t>
      </w:r>
    </w:p>
    <w:p w14:paraId="16847BB0" w14:textId="252F1428" w:rsidR="00322951" w:rsidRDefault="00322951">
      <w:pPr>
        <w:rPr>
          <w:sz w:val="24"/>
          <w:szCs w:val="24"/>
          <w:lang w:val="en-GB"/>
        </w:rPr>
      </w:pPr>
      <w:r>
        <w:rPr>
          <w:sz w:val="24"/>
          <w:szCs w:val="24"/>
          <w:lang w:val="en-GB"/>
        </w:rPr>
        <w:br w:type="page"/>
      </w:r>
    </w:p>
    <w:p w14:paraId="1A251BC6" w14:textId="77777777" w:rsidR="00E607F1" w:rsidRPr="00B55C24" w:rsidRDefault="00E607F1" w:rsidP="00E607F1">
      <w:pPr>
        <w:tabs>
          <w:tab w:val="left" w:pos="851"/>
        </w:tabs>
        <w:ind w:left="851"/>
        <w:rPr>
          <w:sz w:val="24"/>
          <w:szCs w:val="24"/>
          <w:lang w:val="en-GB"/>
        </w:rPr>
      </w:pPr>
    </w:p>
    <w:p w14:paraId="7389DB36"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24: Analysis of the primary and secondary efficacy endpoints (VTE is a composite of DVT and/or PE) until the end of post-treatment period for the RE-SONATE study.</w:t>
      </w:r>
    </w:p>
    <w:p w14:paraId="0AABA360" w14:textId="77777777" w:rsidR="00E607F1" w:rsidRPr="00B55C24" w:rsidRDefault="00E607F1" w:rsidP="00E607F1">
      <w:pPr>
        <w:tabs>
          <w:tab w:val="left" w:pos="851"/>
        </w:tabs>
        <w:ind w:left="851"/>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4416"/>
        <w:gridCol w:w="2685"/>
        <w:gridCol w:w="2527"/>
      </w:tblGrid>
      <w:tr w:rsidR="00E607F1" w:rsidRPr="000E69C6" w14:paraId="2C3B9B60" w14:textId="77777777" w:rsidTr="00B55C24">
        <w:trPr>
          <w:trHeight w:val="57"/>
        </w:trPr>
        <w:tc>
          <w:tcPr>
            <w:tcW w:w="2293" w:type="pct"/>
            <w:tcBorders>
              <w:top w:val="single" w:sz="4" w:space="0" w:color="auto"/>
              <w:left w:val="single" w:sz="4" w:space="0" w:color="auto"/>
              <w:bottom w:val="single" w:sz="4" w:space="0" w:color="auto"/>
              <w:right w:val="nil"/>
            </w:tcBorders>
          </w:tcPr>
          <w:p w14:paraId="75A75DFB" w14:textId="77777777" w:rsidR="00E607F1" w:rsidRPr="000E69C6" w:rsidRDefault="00E607F1" w:rsidP="00B55C24">
            <w:pPr>
              <w:rPr>
                <w:sz w:val="22"/>
                <w:szCs w:val="22"/>
                <w:lang w:val="en-GB"/>
              </w:rPr>
            </w:pPr>
          </w:p>
        </w:tc>
        <w:tc>
          <w:tcPr>
            <w:tcW w:w="1394" w:type="pct"/>
            <w:tcBorders>
              <w:top w:val="single" w:sz="4" w:space="0" w:color="auto"/>
              <w:left w:val="single" w:sz="4" w:space="0" w:color="auto"/>
              <w:bottom w:val="single" w:sz="4" w:space="0" w:color="auto"/>
              <w:right w:val="nil"/>
            </w:tcBorders>
            <w:hideMark/>
          </w:tcPr>
          <w:p w14:paraId="30CD6AA8" w14:textId="77777777" w:rsidR="00E607F1" w:rsidRPr="000E69C6" w:rsidRDefault="00E607F1" w:rsidP="00B55C24">
            <w:pPr>
              <w:rPr>
                <w:sz w:val="22"/>
                <w:szCs w:val="22"/>
                <w:lang w:val="en-GB"/>
              </w:rPr>
            </w:pPr>
            <w:r w:rsidRPr="000E69C6">
              <w:rPr>
                <w:sz w:val="22"/>
                <w:szCs w:val="22"/>
                <w:lang w:val="en-GB"/>
              </w:rPr>
              <w:t xml:space="preserve">Dabigatran </w:t>
            </w:r>
            <w:proofErr w:type="spellStart"/>
            <w:r w:rsidRPr="000E69C6">
              <w:rPr>
                <w:sz w:val="22"/>
                <w:szCs w:val="22"/>
                <w:lang w:val="en-GB"/>
              </w:rPr>
              <w:t>etexilate</w:t>
            </w:r>
            <w:proofErr w:type="spellEnd"/>
            <w:r w:rsidRPr="000E69C6">
              <w:rPr>
                <w:sz w:val="22"/>
                <w:szCs w:val="22"/>
                <w:lang w:val="en-GB"/>
              </w:rPr>
              <w:t xml:space="preserve"> 150 mg twice daily</w:t>
            </w:r>
          </w:p>
        </w:tc>
        <w:tc>
          <w:tcPr>
            <w:tcW w:w="1312" w:type="pct"/>
            <w:tcBorders>
              <w:top w:val="single" w:sz="4" w:space="0" w:color="auto"/>
              <w:left w:val="single" w:sz="4" w:space="0" w:color="auto"/>
              <w:bottom w:val="single" w:sz="4" w:space="0" w:color="auto"/>
              <w:right w:val="single" w:sz="4" w:space="0" w:color="auto"/>
            </w:tcBorders>
            <w:hideMark/>
          </w:tcPr>
          <w:p w14:paraId="53818E44" w14:textId="77777777" w:rsidR="00E607F1" w:rsidRPr="000E69C6" w:rsidRDefault="00E607F1" w:rsidP="00B55C24">
            <w:pPr>
              <w:rPr>
                <w:sz w:val="22"/>
                <w:szCs w:val="22"/>
                <w:lang w:val="en-GB"/>
              </w:rPr>
            </w:pPr>
            <w:r w:rsidRPr="000E69C6">
              <w:rPr>
                <w:sz w:val="22"/>
                <w:szCs w:val="22"/>
                <w:lang w:val="en-GB"/>
              </w:rPr>
              <w:t>Placebo</w:t>
            </w:r>
          </w:p>
        </w:tc>
      </w:tr>
      <w:tr w:rsidR="00E607F1" w:rsidRPr="000E69C6" w14:paraId="502040B8" w14:textId="77777777" w:rsidTr="00B55C24">
        <w:trPr>
          <w:trHeight w:val="57"/>
        </w:trPr>
        <w:tc>
          <w:tcPr>
            <w:tcW w:w="2293" w:type="pct"/>
            <w:tcBorders>
              <w:top w:val="single" w:sz="4" w:space="0" w:color="auto"/>
              <w:left w:val="single" w:sz="4" w:space="0" w:color="auto"/>
              <w:bottom w:val="single" w:sz="4" w:space="0" w:color="auto"/>
              <w:right w:val="single" w:sz="4" w:space="0" w:color="auto"/>
            </w:tcBorders>
            <w:vAlign w:val="bottom"/>
            <w:hideMark/>
          </w:tcPr>
          <w:p w14:paraId="05C46F18" w14:textId="77777777" w:rsidR="00E607F1" w:rsidRPr="000E69C6" w:rsidRDefault="00E607F1" w:rsidP="00B55C24">
            <w:pPr>
              <w:rPr>
                <w:sz w:val="22"/>
                <w:szCs w:val="22"/>
                <w:lang w:val="en-GB"/>
              </w:rPr>
            </w:pPr>
            <w:r w:rsidRPr="000E69C6">
              <w:rPr>
                <w:sz w:val="22"/>
                <w:szCs w:val="22"/>
                <w:lang w:val="en-GB"/>
              </w:rPr>
              <w:t>Treated patients</w:t>
            </w:r>
          </w:p>
        </w:tc>
        <w:tc>
          <w:tcPr>
            <w:tcW w:w="1394" w:type="pct"/>
            <w:tcBorders>
              <w:top w:val="single" w:sz="4" w:space="0" w:color="auto"/>
              <w:left w:val="single" w:sz="4" w:space="0" w:color="auto"/>
              <w:bottom w:val="single" w:sz="4" w:space="0" w:color="auto"/>
              <w:right w:val="single" w:sz="4" w:space="0" w:color="auto"/>
            </w:tcBorders>
            <w:vAlign w:val="bottom"/>
            <w:hideMark/>
          </w:tcPr>
          <w:p w14:paraId="5BE6AE8E" w14:textId="77777777" w:rsidR="00E607F1" w:rsidRPr="000E69C6" w:rsidRDefault="00E607F1" w:rsidP="00B55C24">
            <w:pPr>
              <w:rPr>
                <w:sz w:val="22"/>
                <w:szCs w:val="22"/>
                <w:lang w:val="en-GB"/>
              </w:rPr>
            </w:pPr>
            <w:r w:rsidRPr="000E69C6">
              <w:rPr>
                <w:sz w:val="22"/>
                <w:szCs w:val="22"/>
                <w:lang w:val="en-GB"/>
              </w:rPr>
              <w:t>681</w:t>
            </w:r>
          </w:p>
        </w:tc>
        <w:tc>
          <w:tcPr>
            <w:tcW w:w="1312" w:type="pct"/>
            <w:tcBorders>
              <w:top w:val="single" w:sz="4" w:space="0" w:color="auto"/>
              <w:left w:val="single" w:sz="4" w:space="0" w:color="auto"/>
              <w:bottom w:val="single" w:sz="4" w:space="0" w:color="auto"/>
              <w:right w:val="single" w:sz="4" w:space="0" w:color="auto"/>
            </w:tcBorders>
            <w:vAlign w:val="bottom"/>
            <w:hideMark/>
          </w:tcPr>
          <w:p w14:paraId="3BC35853" w14:textId="77777777" w:rsidR="00E607F1" w:rsidRPr="000E69C6" w:rsidRDefault="00E607F1" w:rsidP="00B55C24">
            <w:pPr>
              <w:rPr>
                <w:sz w:val="22"/>
                <w:szCs w:val="22"/>
                <w:lang w:val="en-GB"/>
              </w:rPr>
            </w:pPr>
            <w:r w:rsidRPr="000E69C6">
              <w:rPr>
                <w:sz w:val="22"/>
                <w:szCs w:val="22"/>
                <w:lang w:val="en-GB"/>
              </w:rPr>
              <w:t>662</w:t>
            </w:r>
          </w:p>
        </w:tc>
      </w:tr>
      <w:tr w:rsidR="00E607F1" w:rsidRPr="000E69C6" w14:paraId="23492241" w14:textId="77777777" w:rsidTr="00B55C24">
        <w:trPr>
          <w:trHeight w:val="57"/>
        </w:trPr>
        <w:tc>
          <w:tcPr>
            <w:tcW w:w="2293" w:type="pct"/>
            <w:tcBorders>
              <w:top w:val="single" w:sz="4" w:space="0" w:color="auto"/>
              <w:left w:val="single" w:sz="4" w:space="0" w:color="auto"/>
              <w:bottom w:val="nil"/>
              <w:right w:val="nil"/>
            </w:tcBorders>
            <w:hideMark/>
          </w:tcPr>
          <w:p w14:paraId="005FA126" w14:textId="77777777" w:rsidR="00E607F1" w:rsidRPr="000E69C6" w:rsidRDefault="00E607F1" w:rsidP="00B55C24">
            <w:pPr>
              <w:rPr>
                <w:sz w:val="22"/>
                <w:szCs w:val="22"/>
                <w:lang w:val="en-GB"/>
              </w:rPr>
            </w:pPr>
            <w:r w:rsidRPr="000E69C6">
              <w:rPr>
                <w:sz w:val="22"/>
                <w:szCs w:val="22"/>
                <w:lang w:val="en-GB"/>
              </w:rPr>
              <w:t>Recurrent symptomatic VTE and related deaths</w:t>
            </w:r>
          </w:p>
        </w:tc>
        <w:tc>
          <w:tcPr>
            <w:tcW w:w="1394" w:type="pct"/>
            <w:tcBorders>
              <w:top w:val="single" w:sz="4" w:space="0" w:color="auto"/>
              <w:left w:val="single" w:sz="4" w:space="0" w:color="auto"/>
              <w:bottom w:val="nil"/>
              <w:right w:val="nil"/>
            </w:tcBorders>
            <w:hideMark/>
          </w:tcPr>
          <w:p w14:paraId="6FB5DB29" w14:textId="77777777" w:rsidR="00E607F1" w:rsidRPr="000E69C6" w:rsidRDefault="00E607F1" w:rsidP="00B55C24">
            <w:pPr>
              <w:rPr>
                <w:sz w:val="22"/>
                <w:szCs w:val="22"/>
                <w:lang w:val="en-GB"/>
              </w:rPr>
            </w:pPr>
            <w:r w:rsidRPr="000E69C6">
              <w:rPr>
                <w:sz w:val="22"/>
                <w:szCs w:val="22"/>
                <w:lang w:val="en-GB"/>
              </w:rPr>
              <w:t>3 (0.4%)</w:t>
            </w:r>
          </w:p>
        </w:tc>
        <w:tc>
          <w:tcPr>
            <w:tcW w:w="1312" w:type="pct"/>
            <w:tcBorders>
              <w:top w:val="single" w:sz="4" w:space="0" w:color="auto"/>
              <w:left w:val="single" w:sz="4" w:space="0" w:color="auto"/>
              <w:bottom w:val="nil"/>
              <w:right w:val="single" w:sz="4" w:space="0" w:color="auto"/>
            </w:tcBorders>
            <w:hideMark/>
          </w:tcPr>
          <w:p w14:paraId="2EA5A21E" w14:textId="77777777" w:rsidR="00E607F1" w:rsidRPr="000E69C6" w:rsidRDefault="00E607F1" w:rsidP="00B55C24">
            <w:pPr>
              <w:rPr>
                <w:sz w:val="22"/>
                <w:szCs w:val="22"/>
                <w:lang w:val="en-GB"/>
              </w:rPr>
            </w:pPr>
            <w:r w:rsidRPr="000E69C6">
              <w:rPr>
                <w:sz w:val="22"/>
                <w:szCs w:val="22"/>
                <w:lang w:val="en-GB"/>
              </w:rPr>
              <w:t>37 (5.6%)</w:t>
            </w:r>
          </w:p>
        </w:tc>
      </w:tr>
      <w:tr w:rsidR="00E607F1" w:rsidRPr="000E69C6" w14:paraId="1E67B0D2" w14:textId="77777777" w:rsidTr="00B55C24">
        <w:trPr>
          <w:trHeight w:val="57"/>
        </w:trPr>
        <w:tc>
          <w:tcPr>
            <w:tcW w:w="2293" w:type="pct"/>
            <w:tcBorders>
              <w:top w:val="single" w:sz="4" w:space="0" w:color="auto"/>
              <w:left w:val="single" w:sz="4" w:space="0" w:color="auto"/>
              <w:bottom w:val="nil"/>
              <w:right w:val="nil"/>
            </w:tcBorders>
            <w:vAlign w:val="bottom"/>
            <w:hideMark/>
          </w:tcPr>
          <w:p w14:paraId="47B3EAC9" w14:textId="77777777" w:rsidR="00E607F1" w:rsidRPr="000E69C6" w:rsidRDefault="00E607F1" w:rsidP="00B55C24">
            <w:pPr>
              <w:rPr>
                <w:sz w:val="22"/>
                <w:szCs w:val="22"/>
                <w:lang w:val="en-GB"/>
              </w:rPr>
            </w:pPr>
            <w:r w:rsidRPr="000E69C6">
              <w:rPr>
                <w:sz w:val="22"/>
                <w:szCs w:val="22"/>
                <w:lang w:val="en-GB"/>
              </w:rPr>
              <w:t>Hazard Ratio vs placebo (95% confidence interval)</w:t>
            </w:r>
          </w:p>
        </w:tc>
        <w:tc>
          <w:tcPr>
            <w:tcW w:w="1394" w:type="pct"/>
            <w:tcBorders>
              <w:top w:val="single" w:sz="4" w:space="0" w:color="auto"/>
              <w:left w:val="single" w:sz="4" w:space="0" w:color="auto"/>
              <w:bottom w:val="nil"/>
              <w:right w:val="nil"/>
            </w:tcBorders>
            <w:hideMark/>
          </w:tcPr>
          <w:p w14:paraId="5C42EC52" w14:textId="77777777" w:rsidR="00E607F1" w:rsidRPr="000E69C6" w:rsidRDefault="00E607F1" w:rsidP="00B55C24">
            <w:pPr>
              <w:rPr>
                <w:sz w:val="22"/>
                <w:szCs w:val="22"/>
                <w:lang w:val="en-GB"/>
              </w:rPr>
            </w:pPr>
            <w:r w:rsidRPr="000E69C6">
              <w:rPr>
                <w:sz w:val="22"/>
                <w:szCs w:val="22"/>
                <w:lang w:val="en-GB"/>
              </w:rPr>
              <w:t>0.08 (0.02, 0.25)</w:t>
            </w:r>
          </w:p>
        </w:tc>
        <w:tc>
          <w:tcPr>
            <w:tcW w:w="1312" w:type="pct"/>
            <w:tcBorders>
              <w:top w:val="single" w:sz="4" w:space="0" w:color="auto"/>
              <w:left w:val="single" w:sz="4" w:space="0" w:color="auto"/>
              <w:bottom w:val="nil"/>
              <w:right w:val="single" w:sz="4" w:space="0" w:color="auto"/>
            </w:tcBorders>
          </w:tcPr>
          <w:p w14:paraId="0E70F4B0" w14:textId="77777777" w:rsidR="00E607F1" w:rsidRPr="000E69C6" w:rsidRDefault="00E607F1" w:rsidP="00B55C24">
            <w:pPr>
              <w:rPr>
                <w:sz w:val="22"/>
                <w:szCs w:val="22"/>
                <w:lang w:val="en-GB"/>
              </w:rPr>
            </w:pPr>
          </w:p>
        </w:tc>
      </w:tr>
      <w:tr w:rsidR="00E607F1" w:rsidRPr="000E69C6" w14:paraId="78C2A9C3" w14:textId="77777777" w:rsidTr="00B55C24">
        <w:trPr>
          <w:trHeight w:val="57"/>
        </w:trPr>
        <w:tc>
          <w:tcPr>
            <w:tcW w:w="2293" w:type="pct"/>
            <w:tcBorders>
              <w:top w:val="single" w:sz="4" w:space="0" w:color="auto"/>
              <w:left w:val="single" w:sz="4" w:space="0" w:color="auto"/>
              <w:bottom w:val="nil"/>
              <w:right w:val="nil"/>
            </w:tcBorders>
            <w:vAlign w:val="bottom"/>
            <w:hideMark/>
          </w:tcPr>
          <w:p w14:paraId="0AF73A90" w14:textId="77777777" w:rsidR="00E607F1" w:rsidRPr="000E69C6" w:rsidRDefault="00E607F1" w:rsidP="00B55C24">
            <w:pPr>
              <w:rPr>
                <w:sz w:val="22"/>
                <w:szCs w:val="22"/>
                <w:lang w:val="en-GB"/>
              </w:rPr>
            </w:pPr>
            <w:r w:rsidRPr="000E69C6">
              <w:rPr>
                <w:sz w:val="22"/>
                <w:szCs w:val="22"/>
                <w:lang w:val="en-GB"/>
              </w:rPr>
              <w:t>p-value for superiority</w:t>
            </w:r>
          </w:p>
        </w:tc>
        <w:tc>
          <w:tcPr>
            <w:tcW w:w="1394" w:type="pct"/>
            <w:tcBorders>
              <w:top w:val="single" w:sz="4" w:space="0" w:color="auto"/>
              <w:left w:val="single" w:sz="4" w:space="0" w:color="auto"/>
              <w:bottom w:val="nil"/>
              <w:right w:val="nil"/>
            </w:tcBorders>
            <w:vAlign w:val="bottom"/>
            <w:hideMark/>
          </w:tcPr>
          <w:p w14:paraId="498E6AB9" w14:textId="77777777" w:rsidR="00E607F1" w:rsidRPr="000E69C6" w:rsidRDefault="00E607F1" w:rsidP="00B55C24">
            <w:pPr>
              <w:rPr>
                <w:sz w:val="22"/>
                <w:szCs w:val="22"/>
                <w:lang w:val="en-GB"/>
              </w:rPr>
            </w:pPr>
            <w:r w:rsidRPr="000E69C6">
              <w:rPr>
                <w:sz w:val="22"/>
                <w:szCs w:val="22"/>
                <w:lang w:val="en-GB"/>
              </w:rPr>
              <w:t>&lt; 0.0001</w:t>
            </w:r>
          </w:p>
        </w:tc>
        <w:tc>
          <w:tcPr>
            <w:tcW w:w="1312" w:type="pct"/>
            <w:tcBorders>
              <w:top w:val="single" w:sz="4" w:space="0" w:color="auto"/>
              <w:left w:val="single" w:sz="4" w:space="0" w:color="auto"/>
              <w:bottom w:val="nil"/>
              <w:right w:val="single" w:sz="4" w:space="0" w:color="auto"/>
            </w:tcBorders>
          </w:tcPr>
          <w:p w14:paraId="77A10ED3" w14:textId="77777777" w:rsidR="00E607F1" w:rsidRPr="000E69C6" w:rsidRDefault="00E607F1" w:rsidP="00B55C24">
            <w:pPr>
              <w:rPr>
                <w:sz w:val="22"/>
                <w:szCs w:val="22"/>
                <w:lang w:val="en-GB"/>
              </w:rPr>
            </w:pPr>
          </w:p>
        </w:tc>
      </w:tr>
      <w:tr w:rsidR="00E607F1" w:rsidRPr="000E69C6" w14:paraId="3B8449F9" w14:textId="77777777" w:rsidTr="00B55C24">
        <w:trPr>
          <w:trHeight w:val="57"/>
        </w:trPr>
        <w:tc>
          <w:tcPr>
            <w:tcW w:w="2293" w:type="pct"/>
            <w:tcBorders>
              <w:top w:val="single" w:sz="4" w:space="0" w:color="auto"/>
              <w:left w:val="single" w:sz="4" w:space="0" w:color="auto"/>
              <w:bottom w:val="nil"/>
              <w:right w:val="nil"/>
            </w:tcBorders>
            <w:vAlign w:val="bottom"/>
            <w:hideMark/>
          </w:tcPr>
          <w:p w14:paraId="5EF79A72" w14:textId="77777777" w:rsidR="00E607F1" w:rsidRPr="000E69C6" w:rsidRDefault="00E607F1" w:rsidP="00B55C24">
            <w:pPr>
              <w:rPr>
                <w:sz w:val="22"/>
                <w:szCs w:val="22"/>
                <w:lang w:val="en-GB"/>
              </w:rPr>
            </w:pPr>
            <w:r w:rsidRPr="000E69C6">
              <w:rPr>
                <w:sz w:val="22"/>
                <w:szCs w:val="22"/>
                <w:lang w:val="en-GB"/>
              </w:rPr>
              <w:t>Secondary efficacy endpoints</w:t>
            </w:r>
          </w:p>
        </w:tc>
        <w:tc>
          <w:tcPr>
            <w:tcW w:w="1394" w:type="pct"/>
            <w:tcBorders>
              <w:top w:val="single" w:sz="4" w:space="0" w:color="auto"/>
              <w:left w:val="single" w:sz="4" w:space="0" w:color="auto"/>
              <w:bottom w:val="nil"/>
              <w:right w:val="nil"/>
            </w:tcBorders>
          </w:tcPr>
          <w:p w14:paraId="5BECE3F3" w14:textId="77777777" w:rsidR="00E607F1" w:rsidRPr="000E69C6" w:rsidRDefault="00E607F1" w:rsidP="00B55C24">
            <w:pPr>
              <w:rPr>
                <w:sz w:val="22"/>
                <w:szCs w:val="22"/>
                <w:lang w:val="en-GB"/>
              </w:rPr>
            </w:pPr>
          </w:p>
        </w:tc>
        <w:tc>
          <w:tcPr>
            <w:tcW w:w="1312" w:type="pct"/>
            <w:tcBorders>
              <w:top w:val="single" w:sz="4" w:space="0" w:color="auto"/>
              <w:left w:val="single" w:sz="4" w:space="0" w:color="auto"/>
              <w:bottom w:val="nil"/>
              <w:right w:val="single" w:sz="4" w:space="0" w:color="auto"/>
            </w:tcBorders>
          </w:tcPr>
          <w:p w14:paraId="29F1C7A2" w14:textId="77777777" w:rsidR="00E607F1" w:rsidRPr="000E69C6" w:rsidRDefault="00E607F1" w:rsidP="00B55C24">
            <w:pPr>
              <w:rPr>
                <w:sz w:val="22"/>
                <w:szCs w:val="22"/>
                <w:lang w:val="en-GB"/>
              </w:rPr>
            </w:pPr>
          </w:p>
        </w:tc>
      </w:tr>
      <w:tr w:rsidR="00E607F1" w:rsidRPr="000E69C6" w14:paraId="3EA9DD27" w14:textId="77777777" w:rsidTr="00B55C24">
        <w:trPr>
          <w:trHeight w:val="57"/>
        </w:trPr>
        <w:tc>
          <w:tcPr>
            <w:tcW w:w="2293" w:type="pct"/>
            <w:tcBorders>
              <w:top w:val="single" w:sz="4" w:space="0" w:color="auto"/>
              <w:left w:val="single" w:sz="4" w:space="0" w:color="auto"/>
              <w:bottom w:val="nil"/>
              <w:right w:val="nil"/>
            </w:tcBorders>
            <w:hideMark/>
          </w:tcPr>
          <w:p w14:paraId="5D16B12B" w14:textId="77777777" w:rsidR="00E607F1" w:rsidRPr="000E69C6" w:rsidRDefault="00E607F1" w:rsidP="00B55C24">
            <w:pPr>
              <w:rPr>
                <w:sz w:val="22"/>
                <w:szCs w:val="22"/>
                <w:lang w:val="en-GB"/>
              </w:rPr>
            </w:pPr>
            <w:r w:rsidRPr="000E69C6">
              <w:rPr>
                <w:sz w:val="22"/>
                <w:szCs w:val="22"/>
                <w:lang w:val="en-GB"/>
              </w:rPr>
              <w:t>Recurrent symptomatic VTE and all-cause deaths</w:t>
            </w:r>
          </w:p>
        </w:tc>
        <w:tc>
          <w:tcPr>
            <w:tcW w:w="1394" w:type="pct"/>
            <w:tcBorders>
              <w:top w:val="single" w:sz="4" w:space="0" w:color="auto"/>
              <w:left w:val="single" w:sz="4" w:space="0" w:color="auto"/>
              <w:bottom w:val="nil"/>
              <w:right w:val="nil"/>
            </w:tcBorders>
            <w:hideMark/>
          </w:tcPr>
          <w:p w14:paraId="4A97A50C" w14:textId="77777777" w:rsidR="00E607F1" w:rsidRPr="000E69C6" w:rsidRDefault="00E607F1" w:rsidP="00B55C24">
            <w:pPr>
              <w:rPr>
                <w:sz w:val="22"/>
                <w:szCs w:val="22"/>
                <w:lang w:val="en-GB"/>
              </w:rPr>
            </w:pPr>
            <w:r w:rsidRPr="000E69C6">
              <w:rPr>
                <w:sz w:val="22"/>
                <w:szCs w:val="22"/>
                <w:lang w:val="en-GB"/>
              </w:rPr>
              <w:t>3 (0.4%)</w:t>
            </w:r>
          </w:p>
        </w:tc>
        <w:tc>
          <w:tcPr>
            <w:tcW w:w="1312" w:type="pct"/>
            <w:tcBorders>
              <w:top w:val="single" w:sz="4" w:space="0" w:color="auto"/>
              <w:left w:val="single" w:sz="4" w:space="0" w:color="auto"/>
              <w:bottom w:val="nil"/>
              <w:right w:val="single" w:sz="4" w:space="0" w:color="auto"/>
            </w:tcBorders>
            <w:hideMark/>
          </w:tcPr>
          <w:p w14:paraId="36A3A2D0" w14:textId="77777777" w:rsidR="00E607F1" w:rsidRPr="000E69C6" w:rsidRDefault="00E607F1" w:rsidP="00B55C24">
            <w:pPr>
              <w:rPr>
                <w:sz w:val="22"/>
                <w:szCs w:val="22"/>
                <w:lang w:val="en-GB"/>
              </w:rPr>
            </w:pPr>
            <w:r w:rsidRPr="000E69C6">
              <w:rPr>
                <w:sz w:val="22"/>
                <w:szCs w:val="22"/>
                <w:lang w:val="en-GB"/>
              </w:rPr>
              <w:t>37 (5.6%)</w:t>
            </w:r>
          </w:p>
        </w:tc>
      </w:tr>
      <w:tr w:rsidR="00E607F1" w:rsidRPr="000E69C6" w14:paraId="236CE5B8" w14:textId="77777777" w:rsidTr="00B55C24">
        <w:trPr>
          <w:trHeight w:val="57"/>
        </w:trPr>
        <w:tc>
          <w:tcPr>
            <w:tcW w:w="2293" w:type="pct"/>
            <w:tcBorders>
              <w:top w:val="single" w:sz="4" w:space="0" w:color="auto"/>
              <w:left w:val="single" w:sz="4" w:space="0" w:color="auto"/>
              <w:bottom w:val="nil"/>
              <w:right w:val="nil"/>
            </w:tcBorders>
            <w:vAlign w:val="bottom"/>
            <w:hideMark/>
          </w:tcPr>
          <w:p w14:paraId="159607F9"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nil"/>
              <w:right w:val="nil"/>
            </w:tcBorders>
            <w:vAlign w:val="bottom"/>
            <w:hideMark/>
          </w:tcPr>
          <w:p w14:paraId="37BC9707" w14:textId="77777777" w:rsidR="00E607F1" w:rsidRPr="000E69C6" w:rsidRDefault="00E607F1" w:rsidP="00B55C24">
            <w:pPr>
              <w:rPr>
                <w:sz w:val="22"/>
                <w:szCs w:val="22"/>
                <w:lang w:val="en-GB"/>
              </w:rPr>
            </w:pPr>
            <w:r w:rsidRPr="000E69C6">
              <w:rPr>
                <w:sz w:val="22"/>
                <w:szCs w:val="22"/>
                <w:lang w:val="en-GB"/>
              </w:rPr>
              <w:t>0.09, 1.28</w:t>
            </w:r>
          </w:p>
        </w:tc>
        <w:tc>
          <w:tcPr>
            <w:tcW w:w="1312" w:type="pct"/>
            <w:tcBorders>
              <w:top w:val="single" w:sz="4" w:space="0" w:color="auto"/>
              <w:left w:val="single" w:sz="4" w:space="0" w:color="auto"/>
              <w:bottom w:val="nil"/>
              <w:right w:val="single" w:sz="4" w:space="0" w:color="auto"/>
            </w:tcBorders>
            <w:vAlign w:val="bottom"/>
            <w:hideMark/>
          </w:tcPr>
          <w:p w14:paraId="58FAAA87" w14:textId="77777777" w:rsidR="00E607F1" w:rsidRPr="000E69C6" w:rsidRDefault="00E607F1" w:rsidP="00B55C24">
            <w:pPr>
              <w:rPr>
                <w:sz w:val="22"/>
                <w:szCs w:val="22"/>
                <w:lang w:val="en-GB"/>
              </w:rPr>
            </w:pPr>
            <w:r w:rsidRPr="000E69C6">
              <w:rPr>
                <w:sz w:val="22"/>
                <w:szCs w:val="22"/>
                <w:lang w:val="en-GB"/>
              </w:rPr>
              <w:t>3.97, 7.62</w:t>
            </w:r>
          </w:p>
        </w:tc>
      </w:tr>
      <w:tr w:rsidR="00E607F1" w:rsidRPr="000E69C6" w14:paraId="744B3E44" w14:textId="77777777" w:rsidTr="00B55C24">
        <w:trPr>
          <w:trHeight w:val="57"/>
        </w:trPr>
        <w:tc>
          <w:tcPr>
            <w:tcW w:w="2293" w:type="pct"/>
            <w:tcBorders>
              <w:top w:val="single" w:sz="4" w:space="0" w:color="auto"/>
              <w:left w:val="single" w:sz="4" w:space="0" w:color="auto"/>
              <w:bottom w:val="nil"/>
              <w:right w:val="nil"/>
            </w:tcBorders>
            <w:vAlign w:val="bottom"/>
            <w:hideMark/>
          </w:tcPr>
          <w:p w14:paraId="23B5942B" w14:textId="77777777" w:rsidR="00E607F1" w:rsidRPr="000E69C6" w:rsidRDefault="00E607F1" w:rsidP="00B55C24">
            <w:pPr>
              <w:rPr>
                <w:sz w:val="22"/>
                <w:szCs w:val="22"/>
                <w:lang w:val="en-GB"/>
              </w:rPr>
            </w:pPr>
            <w:r w:rsidRPr="000E69C6">
              <w:rPr>
                <w:sz w:val="22"/>
                <w:szCs w:val="22"/>
                <w:lang w:val="en-GB"/>
              </w:rPr>
              <w:t>Symptomatic DVT</w:t>
            </w:r>
          </w:p>
        </w:tc>
        <w:tc>
          <w:tcPr>
            <w:tcW w:w="1394" w:type="pct"/>
            <w:tcBorders>
              <w:top w:val="single" w:sz="4" w:space="0" w:color="auto"/>
              <w:left w:val="single" w:sz="4" w:space="0" w:color="auto"/>
              <w:bottom w:val="nil"/>
              <w:right w:val="nil"/>
            </w:tcBorders>
            <w:vAlign w:val="bottom"/>
            <w:hideMark/>
          </w:tcPr>
          <w:p w14:paraId="080204AD" w14:textId="77777777" w:rsidR="00E607F1" w:rsidRPr="000E69C6" w:rsidRDefault="00E607F1" w:rsidP="00B55C24">
            <w:pPr>
              <w:rPr>
                <w:sz w:val="22"/>
                <w:szCs w:val="22"/>
                <w:lang w:val="en-GB"/>
              </w:rPr>
            </w:pPr>
            <w:r w:rsidRPr="000E69C6">
              <w:rPr>
                <w:sz w:val="22"/>
                <w:szCs w:val="22"/>
                <w:lang w:val="en-GB"/>
              </w:rPr>
              <w:t>2 (0.3%)</w:t>
            </w:r>
          </w:p>
        </w:tc>
        <w:tc>
          <w:tcPr>
            <w:tcW w:w="1312" w:type="pct"/>
            <w:tcBorders>
              <w:top w:val="single" w:sz="4" w:space="0" w:color="auto"/>
              <w:left w:val="single" w:sz="4" w:space="0" w:color="auto"/>
              <w:bottom w:val="nil"/>
              <w:right w:val="single" w:sz="4" w:space="0" w:color="auto"/>
            </w:tcBorders>
            <w:vAlign w:val="bottom"/>
            <w:hideMark/>
          </w:tcPr>
          <w:p w14:paraId="507A0629" w14:textId="77777777" w:rsidR="00E607F1" w:rsidRPr="000E69C6" w:rsidRDefault="00E607F1" w:rsidP="00B55C24">
            <w:pPr>
              <w:rPr>
                <w:sz w:val="22"/>
                <w:szCs w:val="22"/>
                <w:lang w:val="en-GB"/>
              </w:rPr>
            </w:pPr>
            <w:r w:rsidRPr="000E69C6">
              <w:rPr>
                <w:sz w:val="22"/>
                <w:szCs w:val="22"/>
                <w:lang w:val="en-GB"/>
              </w:rPr>
              <w:t>23 (3.5%)</w:t>
            </w:r>
          </w:p>
        </w:tc>
      </w:tr>
      <w:tr w:rsidR="00E607F1" w:rsidRPr="000E69C6" w14:paraId="753854AD" w14:textId="77777777" w:rsidTr="00B55C24">
        <w:trPr>
          <w:trHeight w:val="57"/>
        </w:trPr>
        <w:tc>
          <w:tcPr>
            <w:tcW w:w="2293" w:type="pct"/>
            <w:tcBorders>
              <w:top w:val="single" w:sz="4" w:space="0" w:color="auto"/>
              <w:left w:val="single" w:sz="4" w:space="0" w:color="auto"/>
              <w:bottom w:val="nil"/>
              <w:right w:val="nil"/>
            </w:tcBorders>
            <w:vAlign w:val="bottom"/>
            <w:hideMark/>
          </w:tcPr>
          <w:p w14:paraId="05A09BB6"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nil"/>
              <w:right w:val="nil"/>
            </w:tcBorders>
            <w:vAlign w:val="bottom"/>
            <w:hideMark/>
          </w:tcPr>
          <w:p w14:paraId="7D8242E5" w14:textId="77777777" w:rsidR="00E607F1" w:rsidRPr="000E69C6" w:rsidRDefault="00E607F1" w:rsidP="00B55C24">
            <w:pPr>
              <w:rPr>
                <w:sz w:val="22"/>
                <w:szCs w:val="22"/>
                <w:lang w:val="en-GB"/>
              </w:rPr>
            </w:pPr>
            <w:r w:rsidRPr="000E69C6">
              <w:rPr>
                <w:sz w:val="22"/>
                <w:szCs w:val="22"/>
                <w:lang w:val="en-GB"/>
              </w:rPr>
              <w:t>0.04, 1.06</w:t>
            </w:r>
          </w:p>
        </w:tc>
        <w:tc>
          <w:tcPr>
            <w:tcW w:w="1312" w:type="pct"/>
            <w:tcBorders>
              <w:top w:val="single" w:sz="4" w:space="0" w:color="auto"/>
              <w:left w:val="single" w:sz="4" w:space="0" w:color="auto"/>
              <w:bottom w:val="nil"/>
              <w:right w:val="single" w:sz="4" w:space="0" w:color="auto"/>
            </w:tcBorders>
            <w:vAlign w:val="bottom"/>
            <w:hideMark/>
          </w:tcPr>
          <w:p w14:paraId="094D4AB9" w14:textId="77777777" w:rsidR="00E607F1" w:rsidRPr="000E69C6" w:rsidRDefault="00E607F1" w:rsidP="00B55C24">
            <w:pPr>
              <w:rPr>
                <w:sz w:val="22"/>
                <w:szCs w:val="22"/>
                <w:lang w:val="en-GB"/>
              </w:rPr>
            </w:pPr>
            <w:r w:rsidRPr="000E69C6">
              <w:rPr>
                <w:sz w:val="22"/>
                <w:szCs w:val="22"/>
                <w:lang w:val="en-GB"/>
              </w:rPr>
              <w:t>2.21, 5.17</w:t>
            </w:r>
          </w:p>
        </w:tc>
      </w:tr>
      <w:tr w:rsidR="00E607F1" w:rsidRPr="000E69C6" w14:paraId="7F2515DE" w14:textId="77777777" w:rsidTr="00B55C24">
        <w:trPr>
          <w:trHeight w:val="57"/>
        </w:trPr>
        <w:tc>
          <w:tcPr>
            <w:tcW w:w="2293" w:type="pct"/>
            <w:tcBorders>
              <w:top w:val="single" w:sz="4" w:space="0" w:color="auto"/>
              <w:left w:val="single" w:sz="4" w:space="0" w:color="auto"/>
              <w:bottom w:val="nil"/>
              <w:right w:val="nil"/>
            </w:tcBorders>
            <w:vAlign w:val="bottom"/>
            <w:hideMark/>
          </w:tcPr>
          <w:p w14:paraId="0D1556E7" w14:textId="77777777" w:rsidR="00E607F1" w:rsidRPr="000E69C6" w:rsidRDefault="00E607F1" w:rsidP="00B55C24">
            <w:pPr>
              <w:rPr>
                <w:sz w:val="22"/>
                <w:szCs w:val="22"/>
                <w:lang w:val="en-GB"/>
              </w:rPr>
            </w:pPr>
            <w:r w:rsidRPr="000E69C6">
              <w:rPr>
                <w:sz w:val="22"/>
                <w:szCs w:val="22"/>
                <w:lang w:val="en-GB"/>
              </w:rPr>
              <w:t>Symptomatic PE</w:t>
            </w:r>
          </w:p>
        </w:tc>
        <w:tc>
          <w:tcPr>
            <w:tcW w:w="1394" w:type="pct"/>
            <w:tcBorders>
              <w:top w:val="single" w:sz="4" w:space="0" w:color="auto"/>
              <w:left w:val="single" w:sz="4" w:space="0" w:color="auto"/>
              <w:bottom w:val="nil"/>
              <w:right w:val="nil"/>
            </w:tcBorders>
            <w:vAlign w:val="bottom"/>
            <w:hideMark/>
          </w:tcPr>
          <w:p w14:paraId="06B39EAF" w14:textId="77777777" w:rsidR="00E607F1" w:rsidRPr="000E69C6" w:rsidRDefault="00E607F1" w:rsidP="00B55C24">
            <w:pPr>
              <w:rPr>
                <w:sz w:val="22"/>
                <w:szCs w:val="22"/>
                <w:lang w:val="en-GB"/>
              </w:rPr>
            </w:pPr>
            <w:r w:rsidRPr="000E69C6">
              <w:rPr>
                <w:sz w:val="22"/>
                <w:szCs w:val="22"/>
                <w:lang w:val="en-GB"/>
              </w:rPr>
              <w:t>1 (0.1%)</w:t>
            </w:r>
          </w:p>
        </w:tc>
        <w:tc>
          <w:tcPr>
            <w:tcW w:w="1312" w:type="pct"/>
            <w:tcBorders>
              <w:top w:val="single" w:sz="4" w:space="0" w:color="auto"/>
              <w:left w:val="single" w:sz="4" w:space="0" w:color="auto"/>
              <w:bottom w:val="nil"/>
              <w:right w:val="single" w:sz="4" w:space="0" w:color="auto"/>
            </w:tcBorders>
            <w:vAlign w:val="bottom"/>
            <w:hideMark/>
          </w:tcPr>
          <w:p w14:paraId="33DB4CFB" w14:textId="77777777" w:rsidR="00E607F1" w:rsidRPr="000E69C6" w:rsidRDefault="00E607F1" w:rsidP="00B55C24">
            <w:pPr>
              <w:rPr>
                <w:sz w:val="22"/>
                <w:szCs w:val="22"/>
                <w:lang w:val="en-GB"/>
              </w:rPr>
            </w:pPr>
            <w:r w:rsidRPr="000E69C6">
              <w:rPr>
                <w:sz w:val="22"/>
                <w:szCs w:val="22"/>
                <w:lang w:val="en-GB"/>
              </w:rPr>
              <w:t>14 (2.1%)</w:t>
            </w:r>
          </w:p>
        </w:tc>
      </w:tr>
      <w:tr w:rsidR="00E607F1" w:rsidRPr="000E69C6" w14:paraId="47E0389E" w14:textId="77777777" w:rsidTr="00B55C24">
        <w:trPr>
          <w:trHeight w:val="57"/>
        </w:trPr>
        <w:tc>
          <w:tcPr>
            <w:tcW w:w="2293" w:type="pct"/>
            <w:tcBorders>
              <w:top w:val="single" w:sz="4" w:space="0" w:color="auto"/>
              <w:left w:val="single" w:sz="4" w:space="0" w:color="auto"/>
              <w:bottom w:val="nil"/>
              <w:right w:val="nil"/>
            </w:tcBorders>
            <w:vAlign w:val="bottom"/>
            <w:hideMark/>
          </w:tcPr>
          <w:p w14:paraId="4CC4D9F0"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nil"/>
              <w:right w:val="nil"/>
            </w:tcBorders>
            <w:vAlign w:val="bottom"/>
            <w:hideMark/>
          </w:tcPr>
          <w:p w14:paraId="36E9A26E" w14:textId="77777777" w:rsidR="00E607F1" w:rsidRPr="000E69C6" w:rsidRDefault="00E607F1" w:rsidP="00B55C24">
            <w:pPr>
              <w:rPr>
                <w:sz w:val="22"/>
                <w:szCs w:val="22"/>
                <w:lang w:val="en-GB"/>
              </w:rPr>
            </w:pPr>
            <w:r w:rsidRPr="000E69C6">
              <w:rPr>
                <w:sz w:val="22"/>
                <w:szCs w:val="22"/>
                <w:lang w:val="en-GB"/>
              </w:rPr>
              <w:t>0.00, 0.82</w:t>
            </w:r>
          </w:p>
        </w:tc>
        <w:tc>
          <w:tcPr>
            <w:tcW w:w="1312" w:type="pct"/>
            <w:tcBorders>
              <w:top w:val="single" w:sz="4" w:space="0" w:color="auto"/>
              <w:left w:val="single" w:sz="4" w:space="0" w:color="auto"/>
              <w:bottom w:val="nil"/>
              <w:right w:val="single" w:sz="4" w:space="0" w:color="auto"/>
            </w:tcBorders>
            <w:vAlign w:val="bottom"/>
            <w:hideMark/>
          </w:tcPr>
          <w:p w14:paraId="3C09326C" w14:textId="77777777" w:rsidR="00E607F1" w:rsidRPr="000E69C6" w:rsidRDefault="00E607F1" w:rsidP="00B55C24">
            <w:pPr>
              <w:rPr>
                <w:sz w:val="22"/>
                <w:szCs w:val="22"/>
                <w:lang w:val="en-GB"/>
              </w:rPr>
            </w:pPr>
            <w:r w:rsidRPr="000E69C6">
              <w:rPr>
                <w:sz w:val="22"/>
                <w:szCs w:val="22"/>
                <w:lang w:val="en-GB"/>
              </w:rPr>
              <w:t>1.16, 3.52</w:t>
            </w:r>
          </w:p>
        </w:tc>
      </w:tr>
      <w:tr w:rsidR="00E607F1" w:rsidRPr="000E69C6" w14:paraId="214BC763" w14:textId="77777777" w:rsidTr="00B55C24">
        <w:trPr>
          <w:trHeight w:val="57"/>
        </w:trPr>
        <w:tc>
          <w:tcPr>
            <w:tcW w:w="2293" w:type="pct"/>
            <w:tcBorders>
              <w:top w:val="single" w:sz="4" w:space="0" w:color="auto"/>
              <w:left w:val="single" w:sz="4" w:space="0" w:color="auto"/>
              <w:bottom w:val="nil"/>
              <w:right w:val="nil"/>
            </w:tcBorders>
            <w:vAlign w:val="bottom"/>
            <w:hideMark/>
          </w:tcPr>
          <w:p w14:paraId="7FE8E800" w14:textId="77777777" w:rsidR="00E607F1" w:rsidRPr="000E69C6" w:rsidRDefault="00E607F1" w:rsidP="00B55C24">
            <w:pPr>
              <w:rPr>
                <w:sz w:val="22"/>
                <w:szCs w:val="22"/>
                <w:lang w:val="en-GB"/>
              </w:rPr>
            </w:pPr>
            <w:r w:rsidRPr="000E69C6">
              <w:rPr>
                <w:sz w:val="22"/>
                <w:szCs w:val="22"/>
                <w:lang w:val="en-GB"/>
              </w:rPr>
              <w:t>VTE-related deaths</w:t>
            </w:r>
          </w:p>
        </w:tc>
        <w:tc>
          <w:tcPr>
            <w:tcW w:w="1394" w:type="pct"/>
            <w:tcBorders>
              <w:top w:val="single" w:sz="4" w:space="0" w:color="auto"/>
              <w:left w:val="single" w:sz="4" w:space="0" w:color="auto"/>
              <w:bottom w:val="nil"/>
              <w:right w:val="nil"/>
            </w:tcBorders>
            <w:vAlign w:val="bottom"/>
            <w:hideMark/>
          </w:tcPr>
          <w:p w14:paraId="251949B4" w14:textId="77777777" w:rsidR="00E607F1" w:rsidRPr="000E69C6" w:rsidRDefault="00E607F1" w:rsidP="00B55C24">
            <w:pPr>
              <w:rPr>
                <w:sz w:val="22"/>
                <w:szCs w:val="22"/>
                <w:lang w:val="en-GB"/>
              </w:rPr>
            </w:pPr>
            <w:r w:rsidRPr="000E69C6">
              <w:rPr>
                <w:sz w:val="22"/>
                <w:szCs w:val="22"/>
                <w:lang w:val="en-GB"/>
              </w:rPr>
              <w:t>0 (0)</w:t>
            </w:r>
          </w:p>
        </w:tc>
        <w:tc>
          <w:tcPr>
            <w:tcW w:w="1312" w:type="pct"/>
            <w:tcBorders>
              <w:top w:val="single" w:sz="4" w:space="0" w:color="auto"/>
              <w:left w:val="single" w:sz="4" w:space="0" w:color="auto"/>
              <w:bottom w:val="nil"/>
              <w:right w:val="single" w:sz="4" w:space="0" w:color="auto"/>
            </w:tcBorders>
            <w:vAlign w:val="bottom"/>
            <w:hideMark/>
          </w:tcPr>
          <w:p w14:paraId="562D420D" w14:textId="77777777" w:rsidR="00E607F1" w:rsidRPr="000E69C6" w:rsidRDefault="00E607F1" w:rsidP="00B55C24">
            <w:pPr>
              <w:rPr>
                <w:sz w:val="22"/>
                <w:szCs w:val="22"/>
                <w:lang w:val="en-GB"/>
              </w:rPr>
            </w:pPr>
            <w:r w:rsidRPr="000E69C6">
              <w:rPr>
                <w:sz w:val="22"/>
                <w:szCs w:val="22"/>
                <w:lang w:val="en-GB"/>
              </w:rPr>
              <w:t>0 (0)</w:t>
            </w:r>
          </w:p>
        </w:tc>
      </w:tr>
      <w:tr w:rsidR="00E607F1" w:rsidRPr="000E69C6" w14:paraId="2EFE9B52" w14:textId="77777777" w:rsidTr="00B55C24">
        <w:trPr>
          <w:trHeight w:val="57"/>
        </w:trPr>
        <w:tc>
          <w:tcPr>
            <w:tcW w:w="2293" w:type="pct"/>
            <w:tcBorders>
              <w:top w:val="single" w:sz="4" w:space="0" w:color="auto"/>
              <w:left w:val="single" w:sz="4" w:space="0" w:color="auto"/>
              <w:bottom w:val="nil"/>
              <w:right w:val="nil"/>
            </w:tcBorders>
            <w:vAlign w:val="bottom"/>
            <w:hideMark/>
          </w:tcPr>
          <w:p w14:paraId="732CF28F"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nil"/>
              <w:right w:val="nil"/>
            </w:tcBorders>
            <w:vAlign w:val="bottom"/>
            <w:hideMark/>
          </w:tcPr>
          <w:p w14:paraId="1E6250BC" w14:textId="77777777" w:rsidR="00E607F1" w:rsidRPr="000E69C6" w:rsidRDefault="00E607F1" w:rsidP="00B55C24">
            <w:pPr>
              <w:rPr>
                <w:sz w:val="22"/>
                <w:szCs w:val="22"/>
                <w:lang w:val="en-GB"/>
              </w:rPr>
            </w:pPr>
            <w:r w:rsidRPr="000E69C6">
              <w:rPr>
                <w:sz w:val="22"/>
                <w:szCs w:val="22"/>
                <w:lang w:val="en-GB"/>
              </w:rPr>
              <w:t>0.00, 0.54</w:t>
            </w:r>
          </w:p>
        </w:tc>
        <w:tc>
          <w:tcPr>
            <w:tcW w:w="1312" w:type="pct"/>
            <w:tcBorders>
              <w:top w:val="single" w:sz="4" w:space="0" w:color="auto"/>
              <w:left w:val="single" w:sz="4" w:space="0" w:color="auto"/>
              <w:bottom w:val="nil"/>
              <w:right w:val="single" w:sz="4" w:space="0" w:color="auto"/>
            </w:tcBorders>
            <w:vAlign w:val="bottom"/>
            <w:hideMark/>
          </w:tcPr>
          <w:p w14:paraId="3CC00EA5" w14:textId="77777777" w:rsidR="00E607F1" w:rsidRPr="000E69C6" w:rsidRDefault="00E607F1" w:rsidP="00B55C24">
            <w:pPr>
              <w:rPr>
                <w:sz w:val="22"/>
                <w:szCs w:val="22"/>
                <w:lang w:val="en-GB"/>
              </w:rPr>
            </w:pPr>
            <w:r w:rsidRPr="000E69C6">
              <w:rPr>
                <w:sz w:val="22"/>
                <w:szCs w:val="22"/>
                <w:lang w:val="en-GB"/>
              </w:rPr>
              <w:t>0.00, 0.56</w:t>
            </w:r>
          </w:p>
        </w:tc>
      </w:tr>
      <w:tr w:rsidR="00E607F1" w:rsidRPr="000E69C6" w14:paraId="524A04C3" w14:textId="77777777" w:rsidTr="00B55C24">
        <w:trPr>
          <w:trHeight w:val="57"/>
        </w:trPr>
        <w:tc>
          <w:tcPr>
            <w:tcW w:w="2293" w:type="pct"/>
            <w:tcBorders>
              <w:top w:val="single" w:sz="4" w:space="0" w:color="auto"/>
              <w:left w:val="single" w:sz="4" w:space="0" w:color="auto"/>
              <w:bottom w:val="nil"/>
              <w:right w:val="nil"/>
            </w:tcBorders>
            <w:vAlign w:val="bottom"/>
            <w:hideMark/>
          </w:tcPr>
          <w:p w14:paraId="78996849" w14:textId="77777777" w:rsidR="00E607F1" w:rsidRPr="000E69C6" w:rsidRDefault="00E607F1" w:rsidP="00B55C24">
            <w:pPr>
              <w:rPr>
                <w:sz w:val="22"/>
                <w:szCs w:val="22"/>
                <w:lang w:val="en-GB"/>
              </w:rPr>
            </w:pPr>
            <w:r w:rsidRPr="000E69C6">
              <w:rPr>
                <w:sz w:val="22"/>
                <w:szCs w:val="22"/>
                <w:lang w:val="en-GB"/>
              </w:rPr>
              <w:t>Unexplained deaths</w:t>
            </w:r>
          </w:p>
        </w:tc>
        <w:tc>
          <w:tcPr>
            <w:tcW w:w="1394" w:type="pct"/>
            <w:tcBorders>
              <w:top w:val="single" w:sz="4" w:space="0" w:color="auto"/>
              <w:left w:val="single" w:sz="4" w:space="0" w:color="auto"/>
              <w:bottom w:val="nil"/>
              <w:right w:val="nil"/>
            </w:tcBorders>
            <w:vAlign w:val="bottom"/>
            <w:hideMark/>
          </w:tcPr>
          <w:p w14:paraId="3042AE02" w14:textId="77777777" w:rsidR="00E607F1" w:rsidRPr="000E69C6" w:rsidRDefault="00E607F1" w:rsidP="00B55C24">
            <w:pPr>
              <w:rPr>
                <w:sz w:val="22"/>
                <w:szCs w:val="22"/>
                <w:lang w:val="en-GB"/>
              </w:rPr>
            </w:pPr>
            <w:r w:rsidRPr="000E69C6">
              <w:rPr>
                <w:sz w:val="22"/>
                <w:szCs w:val="22"/>
                <w:lang w:val="en-GB"/>
              </w:rPr>
              <w:t>0 (0)</w:t>
            </w:r>
          </w:p>
        </w:tc>
        <w:tc>
          <w:tcPr>
            <w:tcW w:w="1312" w:type="pct"/>
            <w:tcBorders>
              <w:top w:val="single" w:sz="4" w:space="0" w:color="auto"/>
              <w:left w:val="single" w:sz="4" w:space="0" w:color="auto"/>
              <w:bottom w:val="nil"/>
              <w:right w:val="single" w:sz="4" w:space="0" w:color="auto"/>
            </w:tcBorders>
            <w:vAlign w:val="bottom"/>
            <w:hideMark/>
          </w:tcPr>
          <w:p w14:paraId="091A5560" w14:textId="77777777" w:rsidR="00E607F1" w:rsidRPr="000E69C6" w:rsidRDefault="00E607F1" w:rsidP="00B55C24">
            <w:pPr>
              <w:rPr>
                <w:sz w:val="22"/>
                <w:szCs w:val="22"/>
                <w:lang w:val="en-GB"/>
              </w:rPr>
            </w:pPr>
            <w:r w:rsidRPr="000E69C6">
              <w:rPr>
                <w:sz w:val="22"/>
                <w:szCs w:val="22"/>
                <w:lang w:val="en-GB"/>
              </w:rPr>
              <w:t>2 (0.3 %)</w:t>
            </w:r>
          </w:p>
        </w:tc>
      </w:tr>
      <w:tr w:rsidR="00E607F1" w:rsidRPr="000E69C6" w14:paraId="3BF30C4D" w14:textId="77777777" w:rsidTr="00B55C24">
        <w:trPr>
          <w:trHeight w:val="57"/>
        </w:trPr>
        <w:tc>
          <w:tcPr>
            <w:tcW w:w="2293" w:type="pct"/>
            <w:tcBorders>
              <w:top w:val="single" w:sz="4" w:space="0" w:color="auto"/>
              <w:left w:val="single" w:sz="4" w:space="0" w:color="auto"/>
              <w:bottom w:val="nil"/>
              <w:right w:val="nil"/>
            </w:tcBorders>
            <w:vAlign w:val="bottom"/>
            <w:hideMark/>
          </w:tcPr>
          <w:p w14:paraId="7CA59237"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nil"/>
              <w:right w:val="nil"/>
            </w:tcBorders>
            <w:vAlign w:val="bottom"/>
            <w:hideMark/>
          </w:tcPr>
          <w:p w14:paraId="76E73EF7" w14:textId="77777777" w:rsidR="00E607F1" w:rsidRPr="000E69C6" w:rsidRDefault="00E607F1" w:rsidP="00B55C24">
            <w:pPr>
              <w:rPr>
                <w:sz w:val="22"/>
                <w:szCs w:val="22"/>
                <w:lang w:val="en-GB"/>
              </w:rPr>
            </w:pPr>
            <w:r w:rsidRPr="000E69C6">
              <w:rPr>
                <w:sz w:val="22"/>
                <w:szCs w:val="22"/>
                <w:lang w:val="en-GB"/>
              </w:rPr>
              <w:t>0.00, 0.54</w:t>
            </w:r>
          </w:p>
        </w:tc>
        <w:tc>
          <w:tcPr>
            <w:tcW w:w="1312" w:type="pct"/>
            <w:tcBorders>
              <w:top w:val="single" w:sz="4" w:space="0" w:color="auto"/>
              <w:left w:val="single" w:sz="4" w:space="0" w:color="auto"/>
              <w:bottom w:val="nil"/>
              <w:right w:val="single" w:sz="4" w:space="0" w:color="auto"/>
            </w:tcBorders>
            <w:vAlign w:val="bottom"/>
            <w:hideMark/>
          </w:tcPr>
          <w:p w14:paraId="206774A8" w14:textId="77777777" w:rsidR="00E607F1" w:rsidRPr="000E69C6" w:rsidRDefault="00E607F1" w:rsidP="00B55C24">
            <w:pPr>
              <w:rPr>
                <w:sz w:val="22"/>
                <w:szCs w:val="22"/>
                <w:lang w:val="en-GB"/>
              </w:rPr>
            </w:pPr>
            <w:r w:rsidRPr="000E69C6">
              <w:rPr>
                <w:sz w:val="22"/>
                <w:szCs w:val="22"/>
                <w:lang w:val="en-GB"/>
              </w:rPr>
              <w:t>0.04, 1.09</w:t>
            </w:r>
          </w:p>
        </w:tc>
      </w:tr>
      <w:tr w:rsidR="00E607F1" w:rsidRPr="000E69C6" w14:paraId="0B25A915" w14:textId="77777777" w:rsidTr="00B55C24">
        <w:trPr>
          <w:trHeight w:val="57"/>
        </w:trPr>
        <w:tc>
          <w:tcPr>
            <w:tcW w:w="2293" w:type="pct"/>
            <w:tcBorders>
              <w:top w:val="single" w:sz="4" w:space="0" w:color="auto"/>
              <w:left w:val="single" w:sz="4" w:space="0" w:color="auto"/>
              <w:bottom w:val="nil"/>
              <w:right w:val="nil"/>
            </w:tcBorders>
            <w:vAlign w:val="bottom"/>
            <w:hideMark/>
          </w:tcPr>
          <w:p w14:paraId="762BB372" w14:textId="77777777" w:rsidR="00E607F1" w:rsidRPr="000E69C6" w:rsidRDefault="00E607F1" w:rsidP="00B55C24">
            <w:pPr>
              <w:rPr>
                <w:sz w:val="22"/>
                <w:szCs w:val="22"/>
                <w:lang w:val="en-GB"/>
              </w:rPr>
            </w:pPr>
            <w:r w:rsidRPr="000E69C6">
              <w:rPr>
                <w:sz w:val="22"/>
                <w:szCs w:val="22"/>
                <w:lang w:val="en-GB"/>
              </w:rPr>
              <w:t>All-cause deaths</w:t>
            </w:r>
          </w:p>
        </w:tc>
        <w:tc>
          <w:tcPr>
            <w:tcW w:w="1394" w:type="pct"/>
            <w:tcBorders>
              <w:top w:val="single" w:sz="4" w:space="0" w:color="auto"/>
              <w:left w:val="single" w:sz="4" w:space="0" w:color="auto"/>
              <w:bottom w:val="nil"/>
              <w:right w:val="nil"/>
            </w:tcBorders>
            <w:vAlign w:val="bottom"/>
            <w:hideMark/>
          </w:tcPr>
          <w:p w14:paraId="05901594" w14:textId="77777777" w:rsidR="00E607F1" w:rsidRPr="000E69C6" w:rsidRDefault="00E607F1" w:rsidP="00B55C24">
            <w:pPr>
              <w:rPr>
                <w:sz w:val="22"/>
                <w:szCs w:val="22"/>
                <w:lang w:val="en-GB"/>
              </w:rPr>
            </w:pPr>
            <w:r w:rsidRPr="000E69C6">
              <w:rPr>
                <w:sz w:val="22"/>
                <w:szCs w:val="22"/>
                <w:lang w:val="en-GB"/>
              </w:rPr>
              <w:t>0 (0)</w:t>
            </w:r>
          </w:p>
        </w:tc>
        <w:tc>
          <w:tcPr>
            <w:tcW w:w="1312" w:type="pct"/>
            <w:tcBorders>
              <w:top w:val="single" w:sz="4" w:space="0" w:color="auto"/>
              <w:left w:val="single" w:sz="4" w:space="0" w:color="auto"/>
              <w:bottom w:val="nil"/>
              <w:right w:val="single" w:sz="4" w:space="0" w:color="auto"/>
            </w:tcBorders>
            <w:vAlign w:val="bottom"/>
            <w:hideMark/>
          </w:tcPr>
          <w:p w14:paraId="0398774E" w14:textId="77777777" w:rsidR="00E607F1" w:rsidRPr="000E69C6" w:rsidRDefault="00E607F1" w:rsidP="00B55C24">
            <w:pPr>
              <w:rPr>
                <w:sz w:val="22"/>
                <w:szCs w:val="22"/>
                <w:lang w:val="en-GB"/>
              </w:rPr>
            </w:pPr>
            <w:r w:rsidRPr="000E69C6">
              <w:rPr>
                <w:sz w:val="22"/>
                <w:szCs w:val="22"/>
                <w:lang w:val="en-GB"/>
              </w:rPr>
              <w:t>2 (0.3 %)</w:t>
            </w:r>
          </w:p>
        </w:tc>
      </w:tr>
      <w:tr w:rsidR="00E607F1" w:rsidRPr="000E69C6" w14:paraId="2B03E824" w14:textId="77777777" w:rsidTr="00B55C24">
        <w:trPr>
          <w:trHeight w:val="57"/>
        </w:trPr>
        <w:tc>
          <w:tcPr>
            <w:tcW w:w="2293" w:type="pct"/>
            <w:tcBorders>
              <w:top w:val="single" w:sz="4" w:space="0" w:color="auto"/>
              <w:left w:val="single" w:sz="4" w:space="0" w:color="auto"/>
              <w:bottom w:val="single" w:sz="4" w:space="0" w:color="auto"/>
              <w:right w:val="nil"/>
            </w:tcBorders>
            <w:vAlign w:val="bottom"/>
            <w:hideMark/>
          </w:tcPr>
          <w:p w14:paraId="3ED43184" w14:textId="77777777" w:rsidR="00E607F1" w:rsidRPr="000E69C6" w:rsidRDefault="00E607F1" w:rsidP="00B55C24">
            <w:pPr>
              <w:rPr>
                <w:sz w:val="22"/>
                <w:szCs w:val="22"/>
                <w:lang w:val="en-GB"/>
              </w:rPr>
            </w:pPr>
            <w:r w:rsidRPr="000E69C6">
              <w:rPr>
                <w:sz w:val="22"/>
                <w:szCs w:val="22"/>
                <w:lang w:val="en-GB"/>
              </w:rPr>
              <w:t>95% confidence interval</w:t>
            </w:r>
          </w:p>
        </w:tc>
        <w:tc>
          <w:tcPr>
            <w:tcW w:w="1394" w:type="pct"/>
            <w:tcBorders>
              <w:top w:val="single" w:sz="4" w:space="0" w:color="auto"/>
              <w:left w:val="single" w:sz="4" w:space="0" w:color="auto"/>
              <w:bottom w:val="single" w:sz="4" w:space="0" w:color="auto"/>
              <w:right w:val="nil"/>
            </w:tcBorders>
            <w:vAlign w:val="bottom"/>
            <w:hideMark/>
          </w:tcPr>
          <w:p w14:paraId="6D7C7934" w14:textId="77777777" w:rsidR="00E607F1" w:rsidRPr="000E69C6" w:rsidRDefault="00E607F1" w:rsidP="00B55C24">
            <w:pPr>
              <w:rPr>
                <w:sz w:val="22"/>
                <w:szCs w:val="22"/>
                <w:lang w:val="en-GB"/>
              </w:rPr>
            </w:pPr>
            <w:r w:rsidRPr="000E69C6">
              <w:rPr>
                <w:sz w:val="22"/>
                <w:szCs w:val="22"/>
                <w:lang w:val="en-GB"/>
              </w:rPr>
              <w:t>0.00, 0.54</w:t>
            </w:r>
          </w:p>
        </w:tc>
        <w:tc>
          <w:tcPr>
            <w:tcW w:w="1312" w:type="pct"/>
            <w:tcBorders>
              <w:top w:val="single" w:sz="4" w:space="0" w:color="auto"/>
              <w:left w:val="single" w:sz="4" w:space="0" w:color="auto"/>
              <w:bottom w:val="single" w:sz="4" w:space="0" w:color="auto"/>
              <w:right w:val="single" w:sz="4" w:space="0" w:color="auto"/>
            </w:tcBorders>
            <w:vAlign w:val="bottom"/>
            <w:hideMark/>
          </w:tcPr>
          <w:p w14:paraId="5B42C171" w14:textId="77777777" w:rsidR="00E607F1" w:rsidRPr="000E69C6" w:rsidRDefault="00E607F1" w:rsidP="00B55C24">
            <w:pPr>
              <w:rPr>
                <w:sz w:val="22"/>
                <w:szCs w:val="22"/>
                <w:lang w:val="en-GB"/>
              </w:rPr>
            </w:pPr>
            <w:r w:rsidRPr="000E69C6">
              <w:rPr>
                <w:sz w:val="22"/>
                <w:szCs w:val="22"/>
                <w:lang w:val="en-GB"/>
              </w:rPr>
              <w:t>0.04, 1.09</w:t>
            </w:r>
          </w:p>
        </w:tc>
      </w:tr>
    </w:tbl>
    <w:p w14:paraId="4FED699F" w14:textId="77777777" w:rsidR="00E607F1" w:rsidRPr="00B55C24" w:rsidRDefault="00E607F1" w:rsidP="00E607F1">
      <w:pPr>
        <w:tabs>
          <w:tab w:val="left" w:pos="851"/>
        </w:tabs>
        <w:ind w:left="851"/>
        <w:rPr>
          <w:sz w:val="24"/>
          <w:szCs w:val="24"/>
          <w:lang w:val="en-GB"/>
        </w:rPr>
      </w:pPr>
    </w:p>
    <w:p w14:paraId="61F9C99C" w14:textId="77777777" w:rsidR="00E607F1" w:rsidRPr="000E69C6" w:rsidRDefault="00E607F1" w:rsidP="00B55C24">
      <w:pPr>
        <w:ind w:left="851"/>
        <w:rPr>
          <w:i/>
          <w:iCs/>
          <w:sz w:val="24"/>
          <w:szCs w:val="24"/>
          <w:u w:val="single"/>
          <w:lang w:val="en-GB"/>
        </w:rPr>
      </w:pPr>
      <w:r w:rsidRPr="000E69C6">
        <w:rPr>
          <w:i/>
          <w:iCs/>
          <w:sz w:val="24"/>
          <w:szCs w:val="24"/>
          <w:u w:val="single"/>
          <w:lang w:val="en-GB"/>
        </w:rPr>
        <w:t>Clinical trials for the prevention of thromboembolism in patients with prosthetic heart valves</w:t>
      </w:r>
    </w:p>
    <w:p w14:paraId="46B83F23" w14:textId="77777777" w:rsidR="00E607F1" w:rsidRPr="00B55C24" w:rsidRDefault="00E607F1" w:rsidP="00B55C24">
      <w:pPr>
        <w:ind w:left="851"/>
        <w:rPr>
          <w:sz w:val="24"/>
          <w:szCs w:val="24"/>
          <w:lang w:val="en-GB"/>
        </w:rPr>
      </w:pPr>
    </w:p>
    <w:p w14:paraId="255AF6E9" w14:textId="77777777" w:rsidR="00E607F1" w:rsidRPr="00B55C24" w:rsidRDefault="00E607F1" w:rsidP="00B55C24">
      <w:pPr>
        <w:ind w:left="851"/>
        <w:rPr>
          <w:sz w:val="24"/>
          <w:szCs w:val="24"/>
          <w:lang w:val="en-GB"/>
        </w:rPr>
      </w:pPr>
      <w:r w:rsidRPr="00B55C24">
        <w:rPr>
          <w:sz w:val="24"/>
          <w:szCs w:val="24"/>
          <w:lang w:val="en-GB"/>
        </w:rPr>
        <w:t xml:space="preserve">A phase II study examined dabigatran </w:t>
      </w:r>
      <w:proofErr w:type="spellStart"/>
      <w:r w:rsidRPr="00B55C24">
        <w:rPr>
          <w:sz w:val="24"/>
          <w:szCs w:val="24"/>
          <w:lang w:val="en-GB"/>
        </w:rPr>
        <w:t>etexilate</w:t>
      </w:r>
      <w:proofErr w:type="spellEnd"/>
      <w:r w:rsidRPr="00B55C24">
        <w:rPr>
          <w:sz w:val="24"/>
          <w:szCs w:val="24"/>
          <w:lang w:val="en-GB"/>
        </w:rPr>
        <w:t xml:space="preserve"> and warfarin in a total of 252 patients with recent mechanical valve replacement surgery (i.e. within the current hospital stay) and in patients who received a mechanical heart valve replacement more than three months ago. More thromboembolic events (mainly strokes and symptomatic/asymptomatic prosthetic valve thrombosis) and more bleeding events were observed with dabigatran </w:t>
      </w:r>
      <w:proofErr w:type="spellStart"/>
      <w:r w:rsidRPr="00B55C24">
        <w:rPr>
          <w:sz w:val="24"/>
          <w:szCs w:val="24"/>
          <w:lang w:val="en-GB"/>
        </w:rPr>
        <w:t>etexilate</w:t>
      </w:r>
      <w:proofErr w:type="spellEnd"/>
      <w:r w:rsidRPr="00B55C24">
        <w:rPr>
          <w:sz w:val="24"/>
          <w:szCs w:val="24"/>
          <w:lang w:val="en-GB"/>
        </w:rPr>
        <w:t xml:space="preserve"> than with warfarin. In the early post-operative patients, major bleeding manifested predominantly as haemorrhagic pericardial effusions, specifically in patients who started dabigatran </w:t>
      </w:r>
      <w:proofErr w:type="spellStart"/>
      <w:r w:rsidRPr="00B55C24">
        <w:rPr>
          <w:sz w:val="24"/>
          <w:szCs w:val="24"/>
          <w:lang w:val="en-GB"/>
        </w:rPr>
        <w:t>etexilate</w:t>
      </w:r>
      <w:proofErr w:type="spellEnd"/>
      <w:r w:rsidRPr="00B55C24">
        <w:rPr>
          <w:sz w:val="24"/>
          <w:szCs w:val="24"/>
          <w:lang w:val="en-GB"/>
        </w:rPr>
        <w:t xml:space="preserve"> early (i.e. on Day 3) after heart valve replacement surgery (see section 4.3).</w:t>
      </w:r>
    </w:p>
    <w:p w14:paraId="2DBF1047" w14:textId="77777777" w:rsidR="00E607F1" w:rsidRPr="00B55C24" w:rsidRDefault="00E607F1" w:rsidP="00B55C24">
      <w:pPr>
        <w:ind w:left="851"/>
        <w:rPr>
          <w:sz w:val="24"/>
          <w:szCs w:val="24"/>
          <w:lang w:val="en-GB"/>
        </w:rPr>
      </w:pPr>
    </w:p>
    <w:p w14:paraId="15E04026" w14:textId="77777777" w:rsidR="00E607F1" w:rsidRPr="000E69C6" w:rsidRDefault="00E607F1" w:rsidP="00B55C24">
      <w:pPr>
        <w:ind w:left="851"/>
        <w:rPr>
          <w:i/>
          <w:iCs/>
          <w:sz w:val="24"/>
          <w:szCs w:val="24"/>
          <w:u w:val="single"/>
          <w:lang w:val="en-GB"/>
        </w:rPr>
      </w:pPr>
      <w:r w:rsidRPr="000E69C6">
        <w:rPr>
          <w:i/>
          <w:iCs/>
          <w:sz w:val="24"/>
          <w:szCs w:val="24"/>
          <w:u w:val="single"/>
          <w:lang w:val="en-GB"/>
        </w:rPr>
        <w:t>Paediatric population</w:t>
      </w:r>
    </w:p>
    <w:p w14:paraId="5709A8CD" w14:textId="77777777" w:rsidR="00E607F1" w:rsidRPr="00B55C24" w:rsidRDefault="00E607F1" w:rsidP="00B55C24">
      <w:pPr>
        <w:ind w:left="851"/>
        <w:rPr>
          <w:sz w:val="24"/>
          <w:szCs w:val="24"/>
          <w:lang w:val="en-GB"/>
        </w:rPr>
      </w:pPr>
    </w:p>
    <w:p w14:paraId="289DA6C0" w14:textId="77777777" w:rsidR="00E607F1" w:rsidRPr="000E69C6" w:rsidRDefault="00E607F1" w:rsidP="00B55C24">
      <w:pPr>
        <w:ind w:left="851"/>
        <w:rPr>
          <w:i/>
          <w:iCs/>
          <w:sz w:val="24"/>
          <w:szCs w:val="24"/>
          <w:u w:val="single"/>
          <w:lang w:val="en-GB"/>
        </w:rPr>
      </w:pPr>
      <w:r w:rsidRPr="000E69C6">
        <w:rPr>
          <w:i/>
          <w:iCs/>
          <w:sz w:val="24"/>
          <w:szCs w:val="24"/>
          <w:u w:val="single"/>
          <w:lang w:val="en-GB"/>
        </w:rPr>
        <w:t>Prevention of stroke and systemic embolism in adult patients with NVAF with one or more risk factors</w:t>
      </w:r>
    </w:p>
    <w:p w14:paraId="4312EB44" w14:textId="77777777" w:rsidR="00E607F1" w:rsidRPr="00B55C24" w:rsidRDefault="00E607F1" w:rsidP="00B55C24">
      <w:pPr>
        <w:ind w:left="851"/>
        <w:rPr>
          <w:sz w:val="24"/>
          <w:szCs w:val="24"/>
          <w:lang w:val="en-GB"/>
        </w:rPr>
      </w:pPr>
    </w:p>
    <w:p w14:paraId="47D86F89" w14:textId="77777777" w:rsidR="00E607F1" w:rsidRPr="00B55C24" w:rsidRDefault="00E607F1" w:rsidP="00B55C24">
      <w:pPr>
        <w:ind w:left="851"/>
        <w:rPr>
          <w:sz w:val="24"/>
          <w:szCs w:val="24"/>
          <w:lang w:val="en-GB"/>
        </w:rPr>
      </w:pPr>
      <w:r w:rsidRPr="00B55C24">
        <w:rPr>
          <w:sz w:val="24"/>
          <w:szCs w:val="24"/>
          <w:lang w:val="en-GB"/>
        </w:rPr>
        <w:t xml:space="preserve">The European Medicines Agency has waived the obligation to submit the results of studies with reference medicinal product containing dabigatran </w:t>
      </w:r>
      <w:proofErr w:type="spellStart"/>
      <w:r w:rsidRPr="00B55C24">
        <w:rPr>
          <w:sz w:val="24"/>
          <w:szCs w:val="24"/>
          <w:lang w:val="en-GB"/>
        </w:rPr>
        <w:t>etexilate</w:t>
      </w:r>
      <w:proofErr w:type="spellEnd"/>
      <w:r w:rsidRPr="00B55C24">
        <w:rPr>
          <w:sz w:val="24"/>
          <w:szCs w:val="24"/>
          <w:lang w:val="en-GB"/>
        </w:rPr>
        <w:t xml:space="preserve"> in all subsets of the paediatric population for the indication of prevention of stroke and systemic embolism in patients with NVAF (see section 4.2 for information on paediatric use).</w:t>
      </w:r>
    </w:p>
    <w:p w14:paraId="553BC0D2" w14:textId="1CA73B38" w:rsidR="00322951" w:rsidRDefault="00322951">
      <w:pPr>
        <w:rPr>
          <w:sz w:val="24"/>
          <w:szCs w:val="24"/>
          <w:lang w:val="en-GB"/>
        </w:rPr>
      </w:pPr>
      <w:r>
        <w:rPr>
          <w:sz w:val="24"/>
          <w:szCs w:val="24"/>
          <w:lang w:val="en-GB"/>
        </w:rPr>
        <w:br w:type="page"/>
      </w:r>
    </w:p>
    <w:p w14:paraId="5697A756" w14:textId="77777777" w:rsidR="00E607F1" w:rsidRPr="00B55C24" w:rsidRDefault="00E607F1" w:rsidP="00B55C24">
      <w:pPr>
        <w:ind w:left="851"/>
        <w:rPr>
          <w:sz w:val="24"/>
          <w:szCs w:val="24"/>
          <w:lang w:val="en-GB"/>
        </w:rPr>
      </w:pPr>
    </w:p>
    <w:p w14:paraId="70612143" w14:textId="77777777" w:rsidR="00E607F1" w:rsidRPr="000E69C6" w:rsidRDefault="00E607F1" w:rsidP="00B55C24">
      <w:pPr>
        <w:ind w:left="851"/>
        <w:rPr>
          <w:i/>
          <w:iCs/>
          <w:sz w:val="24"/>
          <w:szCs w:val="24"/>
          <w:u w:val="single"/>
          <w:lang w:val="en-GB"/>
        </w:rPr>
      </w:pPr>
      <w:r w:rsidRPr="000E69C6">
        <w:rPr>
          <w:i/>
          <w:iCs/>
          <w:sz w:val="24"/>
          <w:szCs w:val="24"/>
          <w:u w:val="single"/>
          <w:lang w:val="en-GB"/>
        </w:rPr>
        <w:t>Treatment of VTE and prevention of recurrent VTE in paediatric patients</w:t>
      </w:r>
    </w:p>
    <w:p w14:paraId="5945F389" w14:textId="77777777" w:rsidR="00E607F1" w:rsidRPr="00B55C24" w:rsidRDefault="00E607F1" w:rsidP="00B55C24">
      <w:pPr>
        <w:ind w:left="851"/>
        <w:rPr>
          <w:sz w:val="24"/>
          <w:szCs w:val="24"/>
          <w:lang w:val="en-GB"/>
        </w:rPr>
      </w:pPr>
    </w:p>
    <w:p w14:paraId="6B9CB3B2" w14:textId="12FB7FD6" w:rsidR="00E607F1" w:rsidRPr="00B55C24" w:rsidRDefault="00E607F1" w:rsidP="00B55C24">
      <w:pPr>
        <w:ind w:left="851"/>
        <w:rPr>
          <w:sz w:val="24"/>
          <w:szCs w:val="24"/>
          <w:lang w:val="en-GB"/>
        </w:rPr>
      </w:pPr>
      <w:r w:rsidRPr="00B55C24">
        <w:rPr>
          <w:sz w:val="24"/>
          <w:szCs w:val="24"/>
          <w:lang w:val="en-GB"/>
        </w:rPr>
        <w:t xml:space="preserve">The DIVERSITY study was conducted to demonstrate the efficacy and safety of dabigatran </w:t>
      </w:r>
      <w:proofErr w:type="spellStart"/>
      <w:r w:rsidRPr="00B55C24">
        <w:rPr>
          <w:sz w:val="24"/>
          <w:szCs w:val="24"/>
          <w:lang w:val="en-GB"/>
        </w:rPr>
        <w:t>etexilate</w:t>
      </w:r>
      <w:proofErr w:type="spellEnd"/>
      <w:r w:rsidRPr="00B55C24">
        <w:rPr>
          <w:sz w:val="24"/>
          <w:szCs w:val="24"/>
          <w:lang w:val="en-GB"/>
        </w:rPr>
        <w:t xml:space="preserve"> compared to standard of care (SOC) for the treatment of VTE in paediatric patients from birth to less than 18 years of age. The study was designed as an open-label, randomised, parallel-group, non</w:t>
      </w:r>
      <w:r w:rsidRPr="00B55C24">
        <w:rPr>
          <w:sz w:val="24"/>
          <w:szCs w:val="24"/>
          <w:lang w:val="en-GB"/>
        </w:rPr>
        <w:softHyphen/>
        <w:t xml:space="preserve">inferiority study. Patients enrolled were randomised according to a 2:1 scheme to either an age-appropriate formulation (capsules, coated granules or oral solution) of dabigatran </w:t>
      </w:r>
      <w:proofErr w:type="spellStart"/>
      <w:r w:rsidRPr="00B55C24">
        <w:rPr>
          <w:sz w:val="24"/>
          <w:szCs w:val="24"/>
          <w:lang w:val="en-GB"/>
        </w:rPr>
        <w:t>etexilate</w:t>
      </w:r>
      <w:proofErr w:type="spellEnd"/>
      <w:r w:rsidRPr="00B55C24">
        <w:rPr>
          <w:sz w:val="24"/>
          <w:szCs w:val="24"/>
          <w:lang w:val="en-GB"/>
        </w:rPr>
        <w:t xml:space="preserve"> (doses adjusted for age and weight) or SOC comprised of low molecular weight heparins (LMWH) or vitamin K antagonists (VKA) or fondaparinux (1 patient 12 years old). The primary endpoint was a composite endpoint of patients with complete thrombus resolution, freedom from recurrent VTE, and freedom from mortality related to VTE. Exclusion criteria included active meningitis, encephalitis and intracranial abscess.</w:t>
      </w:r>
    </w:p>
    <w:p w14:paraId="75A6A733" w14:textId="77777777" w:rsidR="00E607F1" w:rsidRPr="00B55C24" w:rsidRDefault="00E607F1" w:rsidP="00B55C24">
      <w:pPr>
        <w:ind w:left="851"/>
        <w:rPr>
          <w:sz w:val="24"/>
          <w:szCs w:val="24"/>
          <w:lang w:val="en-GB"/>
        </w:rPr>
      </w:pPr>
      <w:r w:rsidRPr="00B55C24">
        <w:rPr>
          <w:sz w:val="24"/>
          <w:szCs w:val="24"/>
          <w:lang w:val="en-GB"/>
        </w:rPr>
        <w:t xml:space="preserve">In total, 267 patients had been randomised. Of those, 176 patients were treated with dabigatran </w:t>
      </w:r>
      <w:proofErr w:type="spellStart"/>
      <w:r w:rsidRPr="00B55C24">
        <w:rPr>
          <w:sz w:val="24"/>
          <w:szCs w:val="24"/>
          <w:lang w:val="en-GB"/>
        </w:rPr>
        <w:t>etexilate</w:t>
      </w:r>
      <w:proofErr w:type="spellEnd"/>
      <w:r w:rsidRPr="00B55C24">
        <w:rPr>
          <w:sz w:val="24"/>
          <w:szCs w:val="24"/>
          <w:lang w:val="en-GB"/>
        </w:rPr>
        <w:t xml:space="preserve"> and 90 patients according to SOC (1 randomised patient was not treated). 168 patients were 12 to less than 18 years old, 64 patients 2 to less than 12 years, and 35 patients were younger than </w:t>
      </w:r>
      <w:r w:rsidRPr="00B55C24">
        <w:rPr>
          <w:sz w:val="24"/>
          <w:szCs w:val="24"/>
          <w:lang w:val="en-GB"/>
        </w:rPr>
        <w:br/>
        <w:t>2 years.</w:t>
      </w:r>
    </w:p>
    <w:p w14:paraId="15695354" w14:textId="664E9213" w:rsidR="00E607F1" w:rsidRPr="00B55C24" w:rsidRDefault="00E607F1" w:rsidP="00B55C24">
      <w:pPr>
        <w:ind w:left="851"/>
        <w:rPr>
          <w:sz w:val="24"/>
          <w:szCs w:val="24"/>
          <w:lang w:val="en-GB"/>
        </w:rPr>
      </w:pPr>
      <w:r w:rsidRPr="00B55C24">
        <w:rPr>
          <w:sz w:val="24"/>
          <w:szCs w:val="24"/>
          <w:lang w:val="en-GB"/>
        </w:rPr>
        <w:t xml:space="preserve">Of the 267 randomised patients, 81 patients (45.8%) in the dabigatran </w:t>
      </w:r>
      <w:proofErr w:type="spellStart"/>
      <w:r w:rsidRPr="00B55C24">
        <w:rPr>
          <w:sz w:val="24"/>
          <w:szCs w:val="24"/>
          <w:lang w:val="en-GB"/>
        </w:rPr>
        <w:t>etexilate</w:t>
      </w:r>
      <w:proofErr w:type="spellEnd"/>
      <w:r w:rsidRPr="00B55C24">
        <w:rPr>
          <w:sz w:val="24"/>
          <w:szCs w:val="24"/>
          <w:lang w:val="en-GB"/>
        </w:rPr>
        <w:t xml:space="preserve"> group and 38 patients (42.2%) in the SOC group met the criteria for the composite primary endpoint (complete thrombus resolution, freedom from recurrent VTE, and freedom from mortality-related VTE). The corresponding rate difference demonstrated non-inferiority of dabigatran </w:t>
      </w:r>
      <w:proofErr w:type="spellStart"/>
      <w:r w:rsidRPr="00B55C24">
        <w:rPr>
          <w:sz w:val="24"/>
          <w:szCs w:val="24"/>
          <w:lang w:val="en-GB"/>
        </w:rPr>
        <w:t>etexilate</w:t>
      </w:r>
      <w:proofErr w:type="spellEnd"/>
      <w:r w:rsidRPr="00B55C24">
        <w:rPr>
          <w:sz w:val="24"/>
          <w:szCs w:val="24"/>
          <w:lang w:val="en-GB"/>
        </w:rPr>
        <w:t xml:space="preserve"> to SOC. Consistent results were also generally observed across subgroups: there were no significant differences in the treatment effect for the subgroups by age, sex, region, and presence of certain risk factors. For the 3 different age strata, the proportions of patients that met the primary efficacy endpoint in the dabigatran </w:t>
      </w:r>
      <w:proofErr w:type="spellStart"/>
      <w:r w:rsidRPr="00B55C24">
        <w:rPr>
          <w:sz w:val="24"/>
          <w:szCs w:val="24"/>
          <w:lang w:val="en-GB"/>
        </w:rPr>
        <w:t>etexilate</w:t>
      </w:r>
      <w:proofErr w:type="spellEnd"/>
      <w:r w:rsidRPr="00B55C24">
        <w:rPr>
          <w:sz w:val="24"/>
          <w:szCs w:val="24"/>
          <w:lang w:val="en-GB"/>
        </w:rPr>
        <w:t xml:space="preserve"> and SOC groups, respectively, were 13/22 (59.1%) and 7/13 (53.8%) for patients from birth to &lt; 2 years, 21/43 (48.8%) and 12/21 (57.1%) for patients aged 2 to &lt; 12 years, and 47/112 (42.0%) and 19/56 (33.9%) for patients aged 12 to &lt; 18 years.</w:t>
      </w:r>
    </w:p>
    <w:p w14:paraId="04AE847A" w14:textId="6F46D637" w:rsidR="00E607F1" w:rsidRPr="00B55C24" w:rsidRDefault="00E607F1" w:rsidP="00B55C24">
      <w:pPr>
        <w:ind w:left="851"/>
        <w:rPr>
          <w:sz w:val="24"/>
          <w:szCs w:val="24"/>
          <w:lang w:val="en-GB"/>
        </w:rPr>
      </w:pPr>
      <w:r w:rsidRPr="00B55C24">
        <w:rPr>
          <w:sz w:val="24"/>
          <w:szCs w:val="24"/>
          <w:lang w:val="en-GB"/>
        </w:rPr>
        <w:t xml:space="preserve">Adjudicated major bleeds were reported for 4 patients (2.3%) in the dabigatran </w:t>
      </w:r>
      <w:proofErr w:type="spellStart"/>
      <w:r w:rsidRPr="00B55C24">
        <w:rPr>
          <w:sz w:val="24"/>
          <w:szCs w:val="24"/>
          <w:lang w:val="en-GB"/>
        </w:rPr>
        <w:t>etexilate</w:t>
      </w:r>
      <w:proofErr w:type="spellEnd"/>
      <w:r w:rsidRPr="00B55C24">
        <w:rPr>
          <w:sz w:val="24"/>
          <w:szCs w:val="24"/>
          <w:lang w:val="en-GB"/>
        </w:rPr>
        <w:t xml:space="preserve"> group and 2 patients (2.2%) in the SOC group. There was no statistically significant difference in the time to first major bleeding event. Thirty-eight patients (21.6%) in the dabigatran </w:t>
      </w:r>
      <w:proofErr w:type="spellStart"/>
      <w:r w:rsidRPr="00B55C24">
        <w:rPr>
          <w:sz w:val="24"/>
          <w:szCs w:val="24"/>
          <w:lang w:val="en-GB"/>
        </w:rPr>
        <w:t>etexilate</w:t>
      </w:r>
      <w:proofErr w:type="spellEnd"/>
      <w:r w:rsidRPr="00B55C24">
        <w:rPr>
          <w:sz w:val="24"/>
          <w:szCs w:val="24"/>
          <w:lang w:val="en-GB"/>
        </w:rPr>
        <w:t xml:space="preserve"> arm and 22 patients (24.4%) in the SOC arm had any adjudicated bleeding event, most of them categorised as minor. The combined endpoint of adjudicated major bleeding event (MBE) or clinically relevant non-major (CRNM) bleeding (on treatment) was reported for 6 (3.4%) patients in the dabigatran </w:t>
      </w:r>
      <w:proofErr w:type="spellStart"/>
      <w:r w:rsidRPr="00B55C24">
        <w:rPr>
          <w:sz w:val="24"/>
          <w:szCs w:val="24"/>
          <w:lang w:val="en-GB"/>
        </w:rPr>
        <w:t>etexilate</w:t>
      </w:r>
      <w:proofErr w:type="spellEnd"/>
      <w:r w:rsidRPr="00B55C24">
        <w:rPr>
          <w:sz w:val="24"/>
          <w:szCs w:val="24"/>
          <w:lang w:val="en-GB"/>
        </w:rPr>
        <w:t xml:space="preserve"> group and 3 (3.3%) patients in the SOC group.</w:t>
      </w:r>
    </w:p>
    <w:p w14:paraId="361CF052" w14:textId="77777777" w:rsidR="00E607F1" w:rsidRPr="00B55C24" w:rsidRDefault="00E607F1" w:rsidP="00B55C24">
      <w:pPr>
        <w:ind w:left="851"/>
        <w:rPr>
          <w:sz w:val="24"/>
          <w:szCs w:val="24"/>
          <w:lang w:val="en-GB"/>
        </w:rPr>
      </w:pPr>
    </w:p>
    <w:p w14:paraId="0F3C55E1" w14:textId="77777777" w:rsidR="00E607F1" w:rsidRPr="00B55C24" w:rsidRDefault="00E607F1" w:rsidP="00B55C24">
      <w:pPr>
        <w:ind w:left="851"/>
        <w:rPr>
          <w:sz w:val="24"/>
          <w:szCs w:val="24"/>
          <w:lang w:val="en-GB"/>
        </w:rPr>
      </w:pPr>
      <w:r w:rsidRPr="00B55C24">
        <w:rPr>
          <w:sz w:val="24"/>
          <w:szCs w:val="24"/>
          <w:lang w:val="en-GB"/>
        </w:rPr>
        <w:t xml:space="preserve">An open label, single arm safety prospective cohort, multi-centre, phase III study (1160.108) was conducted to assess the safety of dabigatran </w:t>
      </w:r>
      <w:proofErr w:type="spellStart"/>
      <w:r w:rsidRPr="00B55C24">
        <w:rPr>
          <w:sz w:val="24"/>
          <w:szCs w:val="24"/>
          <w:lang w:val="en-GB"/>
        </w:rPr>
        <w:t>etexilate</w:t>
      </w:r>
      <w:proofErr w:type="spellEnd"/>
      <w:r w:rsidRPr="00B55C24">
        <w:rPr>
          <w:sz w:val="24"/>
          <w:szCs w:val="24"/>
          <w:lang w:val="en-GB"/>
        </w:rPr>
        <w:t xml:space="preserve"> for the prevention of recurrent VTE in paediatric patients from birth to less than 18 years. Patients who required further anticoagulation due to the presence of a clinical risk factor after completing the 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w:t>
      </w:r>
      <w:proofErr w:type="spellStart"/>
      <w:r w:rsidRPr="00B55C24">
        <w:rPr>
          <w:sz w:val="24"/>
          <w:szCs w:val="24"/>
          <w:lang w:val="en-GB"/>
        </w:rPr>
        <w:t>etexilate</w:t>
      </w:r>
      <w:proofErr w:type="spellEnd"/>
      <w:r w:rsidRPr="00B55C24">
        <w:rPr>
          <w:sz w:val="24"/>
          <w:szCs w:val="24"/>
          <w:lang w:val="en-GB"/>
        </w:rPr>
        <w:t xml:space="preserve"> until the clinical risk factor resolved, or up to </w:t>
      </w:r>
      <w:r w:rsidRPr="00B55C24">
        <w:rPr>
          <w:sz w:val="24"/>
          <w:szCs w:val="24"/>
          <w:lang w:val="en-GB"/>
        </w:rPr>
        <w:br/>
        <w:t>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18B75548" w14:textId="77777777" w:rsidR="00E607F1" w:rsidRPr="00B55C24" w:rsidRDefault="00E607F1" w:rsidP="00B55C24">
      <w:pPr>
        <w:ind w:left="851"/>
        <w:rPr>
          <w:sz w:val="24"/>
          <w:szCs w:val="24"/>
          <w:lang w:val="en-GB"/>
        </w:rPr>
      </w:pPr>
      <w:r w:rsidRPr="00B55C24">
        <w:rPr>
          <w:sz w:val="24"/>
          <w:szCs w:val="24"/>
          <w:lang w:val="en-GB"/>
        </w:rPr>
        <w:t xml:space="preserve">Overall, 214 patients entered the </w:t>
      </w:r>
      <w:proofErr w:type="gramStart"/>
      <w:r w:rsidRPr="00B55C24">
        <w:rPr>
          <w:sz w:val="24"/>
          <w:szCs w:val="24"/>
          <w:lang w:val="en-GB"/>
        </w:rPr>
        <w:t>study;</w:t>
      </w:r>
      <w:proofErr w:type="gramEnd"/>
      <w:r w:rsidRPr="00B55C24">
        <w:rPr>
          <w:sz w:val="24"/>
          <w:szCs w:val="24"/>
          <w:lang w:val="en-GB"/>
        </w:rPr>
        <w:t xml:space="preserve"> among them 162 patients in age stratum 1 (from 12 to less than 18 years of age), 43 patients in age stratum 2 (from 2 to less than 12 years of age) and 9 patients in age stratum 3 (from birth to less than 2 years of age). During the on-treatment period, 3 patients (1.4%) had an adjudication-confirmed recurrent VTE within the first 12 months after treatment start.</w:t>
      </w:r>
    </w:p>
    <w:p w14:paraId="4C4F7C01" w14:textId="33DF0722" w:rsidR="00E607F1" w:rsidRPr="00B55C24" w:rsidRDefault="00E607F1" w:rsidP="00B55C24">
      <w:pPr>
        <w:ind w:left="851"/>
        <w:rPr>
          <w:sz w:val="24"/>
          <w:szCs w:val="24"/>
          <w:lang w:val="en-GB"/>
        </w:rPr>
      </w:pPr>
      <w:r w:rsidRPr="00B55C24">
        <w:rPr>
          <w:sz w:val="24"/>
          <w:szCs w:val="24"/>
          <w:lang w:val="en-GB"/>
        </w:rPr>
        <w:t xml:space="preserve">Adjudication-confirmed bleeding events during the on-treatment period were reported for 48 patients (22.5%) within the first 12 months. </w:t>
      </w:r>
      <w:proofErr w:type="gramStart"/>
      <w:r w:rsidRPr="00B55C24">
        <w:rPr>
          <w:sz w:val="24"/>
          <w:szCs w:val="24"/>
          <w:lang w:val="en-GB"/>
        </w:rPr>
        <w:t>The majority of</w:t>
      </w:r>
      <w:proofErr w:type="gramEnd"/>
      <w:r w:rsidRPr="00B55C24">
        <w:rPr>
          <w:sz w:val="24"/>
          <w:szCs w:val="24"/>
          <w:lang w:val="en-GB"/>
        </w:rPr>
        <w:t xml:space="preserve"> the bleeding events were minor. In 3 patients (1.4%), an adjudication-confirmed major bleeding event occurred within the first 12 months. For 3 patients (1.4%), adjudication-confirmed CRNM bleeding was reported within the first 12 months. No on-treatment deaths occurred. During the on-treatment period, 3 patients (1.4%) developed post-thrombotic syndrome (PTS) or had worsening of PTS within the first 12 months.</w:t>
      </w:r>
    </w:p>
    <w:p w14:paraId="1235DAA0" w14:textId="77777777" w:rsidR="007C5D2A" w:rsidRPr="00B55C24" w:rsidRDefault="007C5D2A" w:rsidP="003E0341">
      <w:pPr>
        <w:tabs>
          <w:tab w:val="left" w:pos="851"/>
        </w:tabs>
        <w:ind w:left="851"/>
        <w:rPr>
          <w:sz w:val="24"/>
          <w:szCs w:val="24"/>
          <w:lang w:val="en-GB"/>
        </w:rPr>
      </w:pPr>
    </w:p>
    <w:p w14:paraId="3710DD81" w14:textId="183FF5BC" w:rsidR="007C5D2A" w:rsidRPr="00B55C24" w:rsidRDefault="007C5D2A" w:rsidP="007C5D2A">
      <w:pPr>
        <w:tabs>
          <w:tab w:val="left" w:pos="851"/>
        </w:tabs>
        <w:ind w:left="851" w:hanging="851"/>
        <w:rPr>
          <w:b/>
          <w:sz w:val="24"/>
          <w:szCs w:val="24"/>
          <w:lang w:val="en-GB"/>
        </w:rPr>
      </w:pPr>
      <w:r w:rsidRPr="00B55C24">
        <w:rPr>
          <w:b/>
          <w:sz w:val="24"/>
          <w:szCs w:val="24"/>
          <w:lang w:val="en-GB"/>
        </w:rPr>
        <w:t>5.2</w:t>
      </w:r>
      <w:r w:rsidRPr="00B55C24">
        <w:rPr>
          <w:b/>
          <w:sz w:val="24"/>
          <w:szCs w:val="24"/>
          <w:lang w:val="en-GB"/>
        </w:rPr>
        <w:tab/>
        <w:t>Pharmacokinetic properties</w:t>
      </w:r>
    </w:p>
    <w:p w14:paraId="7F3DBFB5" w14:textId="77777777" w:rsidR="00E607F1" w:rsidRPr="00B55C24" w:rsidRDefault="00E607F1" w:rsidP="00B55C24">
      <w:pPr>
        <w:ind w:left="851"/>
        <w:rPr>
          <w:sz w:val="24"/>
          <w:szCs w:val="24"/>
          <w:lang w:val="en-GB"/>
        </w:rPr>
      </w:pPr>
      <w:r w:rsidRPr="00B55C24">
        <w:rPr>
          <w:sz w:val="24"/>
          <w:szCs w:val="24"/>
          <w:lang w:val="en-GB"/>
        </w:rPr>
        <w:t xml:space="preserve">After oral administration, dabigatran </w:t>
      </w:r>
      <w:proofErr w:type="spellStart"/>
      <w:r w:rsidRPr="00B55C24">
        <w:rPr>
          <w:sz w:val="24"/>
          <w:szCs w:val="24"/>
          <w:lang w:val="en-GB"/>
        </w:rPr>
        <w:t>etexilate</w:t>
      </w:r>
      <w:proofErr w:type="spellEnd"/>
      <w:r w:rsidRPr="00B55C24">
        <w:rPr>
          <w:sz w:val="24"/>
          <w:szCs w:val="24"/>
          <w:lang w:val="en-GB"/>
        </w:rPr>
        <w:t xml:space="preserve"> is rapidly and completely converted to dabigatran, which is the active form in plasma. The cleavage of the prodrug dabigatran </w:t>
      </w:r>
      <w:proofErr w:type="spellStart"/>
      <w:r w:rsidRPr="00B55C24">
        <w:rPr>
          <w:sz w:val="24"/>
          <w:szCs w:val="24"/>
          <w:lang w:val="en-GB"/>
        </w:rPr>
        <w:t>etexilate</w:t>
      </w:r>
      <w:proofErr w:type="spellEnd"/>
      <w:r w:rsidRPr="00B55C24">
        <w:rPr>
          <w:sz w:val="24"/>
          <w:szCs w:val="24"/>
          <w:lang w:val="en-GB"/>
        </w:rPr>
        <w:t xml:space="preserve"> by esterase-catalysed hydrolysis to the active </w:t>
      </w:r>
      <w:proofErr w:type="gramStart"/>
      <w:r w:rsidRPr="00B55C24">
        <w:rPr>
          <w:sz w:val="24"/>
          <w:szCs w:val="24"/>
          <w:lang w:val="en-GB"/>
        </w:rPr>
        <w:t>principle</w:t>
      </w:r>
      <w:proofErr w:type="gramEnd"/>
      <w:r w:rsidRPr="00B55C24">
        <w:rPr>
          <w:sz w:val="24"/>
          <w:szCs w:val="24"/>
          <w:lang w:val="en-GB"/>
        </w:rPr>
        <w:t xml:space="preserve"> dabigatran is the predominant metabolic reaction. </w:t>
      </w:r>
      <w:r w:rsidRPr="00B55C24">
        <w:rPr>
          <w:sz w:val="24"/>
          <w:szCs w:val="24"/>
          <w:lang w:val="en-GB"/>
        </w:rPr>
        <w:br/>
        <w:t xml:space="preserve">The absolute bioavailability of dabigatran following oral administration of dabigatran </w:t>
      </w:r>
      <w:proofErr w:type="spellStart"/>
      <w:r w:rsidRPr="00B55C24">
        <w:rPr>
          <w:sz w:val="24"/>
          <w:szCs w:val="24"/>
          <w:lang w:val="en-GB"/>
        </w:rPr>
        <w:t>etexilate</w:t>
      </w:r>
      <w:proofErr w:type="spellEnd"/>
      <w:r w:rsidRPr="00B55C24">
        <w:rPr>
          <w:sz w:val="24"/>
          <w:szCs w:val="24"/>
          <w:lang w:val="en-GB"/>
        </w:rPr>
        <w:t xml:space="preserve"> was approximately 6.5%.</w:t>
      </w:r>
    </w:p>
    <w:p w14:paraId="7EF08B0C" w14:textId="77777777" w:rsidR="00E607F1" w:rsidRPr="00B55C24" w:rsidRDefault="00E607F1" w:rsidP="00B55C24">
      <w:pPr>
        <w:ind w:left="851"/>
        <w:rPr>
          <w:sz w:val="24"/>
          <w:szCs w:val="24"/>
          <w:lang w:val="en-GB"/>
        </w:rPr>
      </w:pPr>
      <w:r w:rsidRPr="00B55C24">
        <w:rPr>
          <w:sz w:val="24"/>
          <w:szCs w:val="24"/>
          <w:lang w:val="en-GB"/>
        </w:rPr>
        <w:t xml:space="preserve">After oral administration of dabigatran </w:t>
      </w:r>
      <w:proofErr w:type="spellStart"/>
      <w:r w:rsidRPr="00B55C24">
        <w:rPr>
          <w:sz w:val="24"/>
          <w:szCs w:val="24"/>
          <w:lang w:val="en-GB"/>
        </w:rPr>
        <w:t>etexilate</w:t>
      </w:r>
      <w:proofErr w:type="spellEnd"/>
      <w:r w:rsidRPr="00B55C24">
        <w:rPr>
          <w:sz w:val="24"/>
          <w:szCs w:val="24"/>
          <w:lang w:val="en-GB"/>
        </w:rPr>
        <w:t xml:space="preserve"> in healthy volunteers, the pharmacokinetic profile of dabigatran in plasma is characterised by a rapid increase in plasma concentrations with C</w:t>
      </w:r>
      <w:r w:rsidRPr="00B55C24">
        <w:rPr>
          <w:sz w:val="24"/>
          <w:szCs w:val="24"/>
          <w:vertAlign w:val="subscript"/>
          <w:lang w:val="en-GB"/>
        </w:rPr>
        <w:t>max</w:t>
      </w:r>
      <w:r w:rsidRPr="00B55C24">
        <w:rPr>
          <w:sz w:val="24"/>
          <w:szCs w:val="24"/>
          <w:lang w:val="en-GB"/>
        </w:rPr>
        <w:t xml:space="preserve"> attained within </w:t>
      </w:r>
      <w:proofErr w:type="gramStart"/>
      <w:r w:rsidRPr="00B55C24">
        <w:rPr>
          <w:sz w:val="24"/>
          <w:szCs w:val="24"/>
          <w:lang w:val="en-GB"/>
        </w:rPr>
        <w:t>0.5 and 2.0 hours</w:t>
      </w:r>
      <w:proofErr w:type="gramEnd"/>
      <w:r w:rsidRPr="00B55C24">
        <w:rPr>
          <w:sz w:val="24"/>
          <w:szCs w:val="24"/>
          <w:lang w:val="en-GB"/>
        </w:rPr>
        <w:t xml:space="preserve"> post administration.</w:t>
      </w:r>
    </w:p>
    <w:p w14:paraId="6D1334C8" w14:textId="77777777" w:rsidR="00E607F1" w:rsidRPr="00B55C24" w:rsidRDefault="00E607F1" w:rsidP="00B55C24">
      <w:pPr>
        <w:ind w:left="851"/>
        <w:rPr>
          <w:sz w:val="24"/>
          <w:szCs w:val="24"/>
          <w:lang w:val="en-GB"/>
        </w:rPr>
      </w:pPr>
    </w:p>
    <w:p w14:paraId="14DCCC61" w14:textId="77777777" w:rsidR="00E607F1" w:rsidRPr="00B55C24" w:rsidRDefault="00E607F1" w:rsidP="00B55C24">
      <w:pPr>
        <w:ind w:left="851"/>
        <w:rPr>
          <w:sz w:val="24"/>
          <w:szCs w:val="24"/>
          <w:lang w:val="en-GB"/>
        </w:rPr>
      </w:pPr>
      <w:r w:rsidRPr="00B55C24">
        <w:rPr>
          <w:sz w:val="24"/>
          <w:szCs w:val="24"/>
          <w:u w:val="single"/>
          <w:lang w:val="en-GB"/>
        </w:rPr>
        <w:t>Absorption</w:t>
      </w:r>
    </w:p>
    <w:p w14:paraId="7599521E" w14:textId="77777777" w:rsidR="00E607F1" w:rsidRPr="00B55C24" w:rsidRDefault="00E607F1" w:rsidP="00B55C24">
      <w:pPr>
        <w:ind w:left="851"/>
        <w:rPr>
          <w:sz w:val="24"/>
          <w:szCs w:val="24"/>
          <w:lang w:val="en-GB"/>
        </w:rPr>
      </w:pPr>
    </w:p>
    <w:p w14:paraId="15F04189" w14:textId="77777777" w:rsidR="00E607F1" w:rsidRPr="00B55C24" w:rsidRDefault="00E607F1" w:rsidP="00B55C24">
      <w:pPr>
        <w:ind w:left="851"/>
        <w:rPr>
          <w:sz w:val="24"/>
          <w:szCs w:val="24"/>
          <w:lang w:val="en-GB"/>
        </w:rPr>
      </w:pPr>
      <w:r w:rsidRPr="00B55C24">
        <w:rPr>
          <w:sz w:val="24"/>
          <w:szCs w:val="24"/>
          <w:lang w:val="en-GB"/>
        </w:rPr>
        <w:t xml:space="preserve">A study evaluating post-operative absorption of dabigatran </w:t>
      </w:r>
      <w:proofErr w:type="spellStart"/>
      <w:r w:rsidRPr="00B55C24">
        <w:rPr>
          <w:sz w:val="24"/>
          <w:szCs w:val="24"/>
          <w:lang w:val="en-GB"/>
        </w:rPr>
        <w:t>etexilate</w:t>
      </w:r>
      <w:proofErr w:type="spellEnd"/>
      <w:r w:rsidRPr="00B55C24">
        <w:rPr>
          <w:sz w:val="24"/>
          <w:szCs w:val="24"/>
          <w:lang w:val="en-GB"/>
        </w:rPr>
        <w:t>, 1</w:t>
      </w:r>
      <w:r w:rsidRPr="00B55C24">
        <w:rPr>
          <w:sz w:val="24"/>
          <w:szCs w:val="24"/>
          <w:lang w:val="en-GB"/>
        </w:rPr>
        <w:noBreakHyphen/>
        <w:t>3 hours following surgery, demonstrated relatively slow absorption compared with that in healthy volunteers, showing a smooth plasma concentration-time profile without high peak plasma concentrations. Peak plasma concentrations are reached at 6 hours following administration in a postoperative period due to contributing factors such as anaesthesia, GI 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 hours after medicinal product administration.</w:t>
      </w:r>
    </w:p>
    <w:p w14:paraId="3D0EE954" w14:textId="77777777" w:rsidR="00E607F1" w:rsidRPr="00B55C24" w:rsidRDefault="00E607F1" w:rsidP="00B55C24">
      <w:pPr>
        <w:ind w:left="851"/>
        <w:rPr>
          <w:sz w:val="24"/>
          <w:szCs w:val="24"/>
          <w:lang w:val="en-GB"/>
        </w:rPr>
      </w:pPr>
    </w:p>
    <w:p w14:paraId="001A1D14" w14:textId="77777777" w:rsidR="00E607F1" w:rsidRPr="00B55C24" w:rsidRDefault="00E607F1" w:rsidP="00B55C24">
      <w:pPr>
        <w:ind w:left="851"/>
        <w:rPr>
          <w:sz w:val="24"/>
          <w:szCs w:val="24"/>
          <w:lang w:val="en-GB"/>
        </w:rPr>
      </w:pPr>
      <w:r w:rsidRPr="00B55C24">
        <w:rPr>
          <w:sz w:val="24"/>
          <w:szCs w:val="24"/>
          <w:lang w:val="en-GB"/>
        </w:rPr>
        <w:t xml:space="preserve">Food does not affect the bioavailability of dabigatran </w:t>
      </w:r>
      <w:proofErr w:type="spellStart"/>
      <w:r w:rsidRPr="00B55C24">
        <w:rPr>
          <w:sz w:val="24"/>
          <w:szCs w:val="24"/>
          <w:lang w:val="en-GB"/>
        </w:rPr>
        <w:t>etexilate</w:t>
      </w:r>
      <w:proofErr w:type="spellEnd"/>
      <w:r w:rsidRPr="00B55C24">
        <w:rPr>
          <w:sz w:val="24"/>
          <w:szCs w:val="24"/>
          <w:lang w:val="en-GB"/>
        </w:rPr>
        <w:t xml:space="preserve"> but delays the time to peak plasma concentrations by 2 hours.</w:t>
      </w:r>
    </w:p>
    <w:p w14:paraId="04DA286A" w14:textId="77777777" w:rsidR="00E607F1" w:rsidRPr="00B55C24" w:rsidRDefault="00E607F1" w:rsidP="00B55C24">
      <w:pPr>
        <w:ind w:left="851"/>
        <w:rPr>
          <w:sz w:val="24"/>
          <w:szCs w:val="24"/>
          <w:lang w:val="en-GB"/>
        </w:rPr>
      </w:pPr>
    </w:p>
    <w:p w14:paraId="404D1B10" w14:textId="77777777" w:rsidR="00E607F1" w:rsidRPr="00B55C24" w:rsidRDefault="00E607F1" w:rsidP="00B55C24">
      <w:pPr>
        <w:ind w:left="851"/>
        <w:rPr>
          <w:sz w:val="24"/>
          <w:szCs w:val="24"/>
          <w:lang w:val="en-GB"/>
        </w:rPr>
      </w:pPr>
      <w:r w:rsidRPr="00B55C24">
        <w:rPr>
          <w:sz w:val="24"/>
          <w:szCs w:val="24"/>
          <w:lang w:val="en-GB"/>
        </w:rPr>
        <w:t>C</w:t>
      </w:r>
      <w:r w:rsidRPr="00B55C24">
        <w:rPr>
          <w:sz w:val="24"/>
          <w:szCs w:val="24"/>
          <w:vertAlign w:val="subscript"/>
          <w:lang w:val="en-GB"/>
        </w:rPr>
        <w:t>max</w:t>
      </w:r>
      <w:r w:rsidRPr="00B55C24">
        <w:rPr>
          <w:sz w:val="24"/>
          <w:szCs w:val="24"/>
          <w:lang w:val="en-GB"/>
        </w:rPr>
        <w:t xml:space="preserve"> and AUC were dose proportional.</w:t>
      </w:r>
    </w:p>
    <w:p w14:paraId="691411A2" w14:textId="77777777" w:rsidR="00E607F1" w:rsidRPr="00B55C24" w:rsidRDefault="00E607F1" w:rsidP="00B55C24">
      <w:pPr>
        <w:ind w:left="851"/>
        <w:rPr>
          <w:sz w:val="24"/>
          <w:szCs w:val="24"/>
          <w:lang w:val="en-GB"/>
        </w:rPr>
      </w:pPr>
    </w:p>
    <w:p w14:paraId="41F55F39" w14:textId="77777777" w:rsidR="00E607F1" w:rsidRPr="00B55C24" w:rsidRDefault="00E607F1" w:rsidP="00B55C24">
      <w:pPr>
        <w:ind w:left="851"/>
        <w:rPr>
          <w:sz w:val="24"/>
          <w:szCs w:val="24"/>
          <w:lang w:val="en-GB"/>
        </w:rPr>
      </w:pPr>
      <w:r w:rsidRPr="00B55C24">
        <w:rPr>
          <w:sz w:val="24"/>
          <w:szCs w:val="24"/>
          <w:lang w:val="en-GB"/>
        </w:rPr>
        <w:t xml:space="preserve">The oral bioavailability may be increased by 75% after a single dose and 37% at steady state compared to the reference capsule formulation when the pellets are taken without the </w:t>
      </w:r>
      <w:proofErr w:type="spellStart"/>
      <w:r w:rsidRPr="00B55C24">
        <w:rPr>
          <w:sz w:val="24"/>
          <w:szCs w:val="24"/>
          <w:lang w:val="en-GB"/>
        </w:rPr>
        <w:t>Hydroxypropylmethylcellulose</w:t>
      </w:r>
      <w:proofErr w:type="spellEnd"/>
      <w:r w:rsidRPr="00B55C24">
        <w:rPr>
          <w:sz w:val="24"/>
          <w:szCs w:val="24"/>
          <w:lang w:val="en-GB"/>
        </w:rPr>
        <w:t xml:space="preserve"> (HPMC) capsule shell. Hence, the integrity of the HPMC capsules should always be preserved in clinical use to avoid unintentionally increased bioavailability of dabigatran </w:t>
      </w:r>
      <w:proofErr w:type="spellStart"/>
      <w:r w:rsidRPr="00B55C24">
        <w:rPr>
          <w:sz w:val="24"/>
          <w:szCs w:val="24"/>
          <w:lang w:val="en-GB"/>
        </w:rPr>
        <w:t>etexilate</w:t>
      </w:r>
      <w:proofErr w:type="spellEnd"/>
      <w:r w:rsidRPr="00B55C24">
        <w:rPr>
          <w:sz w:val="24"/>
          <w:szCs w:val="24"/>
          <w:lang w:val="en-GB"/>
        </w:rPr>
        <w:t xml:space="preserve"> (see section 4.2).</w:t>
      </w:r>
    </w:p>
    <w:p w14:paraId="7D52F2B5" w14:textId="5563F64E" w:rsidR="00322951" w:rsidRDefault="00322951">
      <w:pPr>
        <w:rPr>
          <w:sz w:val="24"/>
          <w:szCs w:val="24"/>
          <w:lang w:val="en-GB"/>
        </w:rPr>
      </w:pPr>
      <w:r>
        <w:rPr>
          <w:sz w:val="24"/>
          <w:szCs w:val="24"/>
          <w:lang w:val="en-GB"/>
        </w:rPr>
        <w:br w:type="page"/>
      </w:r>
    </w:p>
    <w:p w14:paraId="76ECE5B3" w14:textId="77777777" w:rsidR="00E607F1" w:rsidRPr="00B55C24" w:rsidRDefault="00E607F1" w:rsidP="00B55C24">
      <w:pPr>
        <w:ind w:left="851"/>
        <w:rPr>
          <w:sz w:val="24"/>
          <w:szCs w:val="24"/>
          <w:lang w:val="en-GB"/>
        </w:rPr>
      </w:pPr>
    </w:p>
    <w:p w14:paraId="72360442" w14:textId="77777777" w:rsidR="00E607F1" w:rsidRPr="00B55C24" w:rsidRDefault="00E607F1" w:rsidP="00B55C24">
      <w:pPr>
        <w:ind w:left="851"/>
        <w:rPr>
          <w:sz w:val="24"/>
          <w:szCs w:val="24"/>
          <w:lang w:val="en-GB"/>
        </w:rPr>
      </w:pPr>
      <w:r w:rsidRPr="00B55C24">
        <w:rPr>
          <w:sz w:val="24"/>
          <w:szCs w:val="24"/>
          <w:u w:val="single"/>
          <w:lang w:val="en-GB"/>
        </w:rPr>
        <w:t>Distribution</w:t>
      </w:r>
    </w:p>
    <w:p w14:paraId="1D4E5795" w14:textId="77777777" w:rsidR="00E607F1" w:rsidRPr="00B55C24" w:rsidRDefault="00E607F1" w:rsidP="00B55C24">
      <w:pPr>
        <w:ind w:left="851"/>
        <w:rPr>
          <w:sz w:val="24"/>
          <w:szCs w:val="24"/>
          <w:lang w:val="en-GB"/>
        </w:rPr>
      </w:pPr>
    </w:p>
    <w:p w14:paraId="6182AF7E" w14:textId="77777777" w:rsidR="00E607F1" w:rsidRPr="00B55C24" w:rsidRDefault="00E607F1" w:rsidP="00B55C24">
      <w:pPr>
        <w:ind w:left="851"/>
        <w:rPr>
          <w:sz w:val="24"/>
          <w:szCs w:val="24"/>
          <w:lang w:val="en-GB"/>
        </w:rPr>
      </w:pPr>
      <w:r w:rsidRPr="00B55C24">
        <w:rPr>
          <w:sz w:val="24"/>
          <w:szCs w:val="24"/>
          <w:lang w:val="en-GB"/>
        </w:rPr>
        <w:t>Low (34</w:t>
      </w:r>
      <w:r w:rsidRPr="00B55C24">
        <w:rPr>
          <w:sz w:val="24"/>
          <w:szCs w:val="24"/>
          <w:lang w:val="en-GB"/>
        </w:rPr>
        <w:noBreakHyphen/>
        <w:t>35%) concentration independent binding of dabigatran to human plasma proteins was observed. The volume of distribution of dabigatran of 60</w:t>
      </w:r>
      <w:r w:rsidRPr="00B55C24">
        <w:rPr>
          <w:sz w:val="24"/>
          <w:szCs w:val="24"/>
          <w:lang w:val="en-GB"/>
        </w:rPr>
        <w:noBreakHyphen/>
        <w:t>70 L exceeded the volume of total body water indicating moderate tissue distribution of dabigatran.</w:t>
      </w:r>
    </w:p>
    <w:p w14:paraId="6D934FBC" w14:textId="77777777" w:rsidR="00E607F1" w:rsidRPr="00B55C24" w:rsidRDefault="00E607F1" w:rsidP="00B55C24">
      <w:pPr>
        <w:ind w:left="851"/>
        <w:rPr>
          <w:sz w:val="24"/>
          <w:szCs w:val="24"/>
          <w:lang w:val="en-GB"/>
        </w:rPr>
      </w:pPr>
    </w:p>
    <w:p w14:paraId="4766CCC4" w14:textId="77777777" w:rsidR="00E607F1" w:rsidRPr="00B55C24" w:rsidRDefault="00E607F1" w:rsidP="00B55C24">
      <w:pPr>
        <w:ind w:left="851"/>
        <w:rPr>
          <w:sz w:val="24"/>
          <w:szCs w:val="24"/>
          <w:lang w:val="en-GB"/>
        </w:rPr>
      </w:pPr>
      <w:r w:rsidRPr="00B55C24">
        <w:rPr>
          <w:sz w:val="24"/>
          <w:szCs w:val="24"/>
          <w:u w:val="single"/>
          <w:lang w:val="en-GB"/>
        </w:rPr>
        <w:t>Biotransformation</w:t>
      </w:r>
    </w:p>
    <w:p w14:paraId="4DCA6394" w14:textId="77777777" w:rsidR="00E607F1" w:rsidRPr="00B55C24" w:rsidRDefault="00E607F1" w:rsidP="00B55C24">
      <w:pPr>
        <w:ind w:left="851"/>
        <w:rPr>
          <w:sz w:val="24"/>
          <w:szCs w:val="24"/>
          <w:lang w:val="en-GB"/>
        </w:rPr>
      </w:pPr>
    </w:p>
    <w:p w14:paraId="685AFF94" w14:textId="77777777" w:rsidR="00E607F1" w:rsidRPr="00B55C24" w:rsidRDefault="00E607F1" w:rsidP="00B55C24">
      <w:pPr>
        <w:ind w:left="851"/>
        <w:rPr>
          <w:sz w:val="24"/>
          <w:szCs w:val="24"/>
          <w:lang w:val="en-GB"/>
        </w:rPr>
      </w:pPr>
      <w:r w:rsidRPr="00B55C24">
        <w:rPr>
          <w:sz w:val="24"/>
          <w:szCs w:val="24"/>
          <w:lang w:val="en-GB"/>
        </w:rPr>
        <w:t xml:space="preserve">Metabolism and excretion of dabigatran were studied following a single intravenous dose of </w:t>
      </w:r>
      <w:proofErr w:type="spellStart"/>
      <w:r w:rsidRPr="00B55C24">
        <w:rPr>
          <w:sz w:val="24"/>
          <w:szCs w:val="24"/>
          <w:lang w:val="en-GB"/>
        </w:rPr>
        <w:t>radiolabeled</w:t>
      </w:r>
      <w:proofErr w:type="spellEnd"/>
      <w:r w:rsidRPr="00B55C24">
        <w:rPr>
          <w:sz w:val="24"/>
          <w:szCs w:val="24"/>
          <w:lang w:val="en-GB"/>
        </w:rPr>
        <w:t xml:space="preserve"> dabigatran in healthy male subjects. After an intravenous dose, the dabigatran-derived radioactivity was eliminated primarily in the urine (85%). Faecal excretion accounted for 6% of the administered dose. Recovery of the total radioactivity ranged from 88</w:t>
      </w:r>
      <w:r w:rsidRPr="00B55C24">
        <w:rPr>
          <w:sz w:val="24"/>
          <w:szCs w:val="24"/>
          <w:lang w:val="en-GB"/>
        </w:rPr>
        <w:noBreakHyphen/>
        <w:t>94% of the administered dose by 168 hours post dose.</w:t>
      </w:r>
    </w:p>
    <w:p w14:paraId="060BB04E" w14:textId="77777777" w:rsidR="00E607F1" w:rsidRPr="00B55C24" w:rsidRDefault="00E607F1" w:rsidP="00B55C24">
      <w:pPr>
        <w:ind w:left="851"/>
        <w:rPr>
          <w:sz w:val="24"/>
          <w:szCs w:val="24"/>
          <w:lang w:val="en-GB"/>
        </w:rPr>
      </w:pPr>
      <w:r w:rsidRPr="00B55C24">
        <w:rPr>
          <w:sz w:val="24"/>
          <w:szCs w:val="24"/>
          <w:lang w:val="en-GB"/>
        </w:rPr>
        <w:t xml:space="preserve">Dabigatran is subject to conjugation forming pharmacologically active </w:t>
      </w:r>
      <w:proofErr w:type="spellStart"/>
      <w:r w:rsidRPr="00B55C24">
        <w:rPr>
          <w:sz w:val="24"/>
          <w:szCs w:val="24"/>
          <w:lang w:val="en-GB"/>
        </w:rPr>
        <w:t>acylglucuronides</w:t>
      </w:r>
      <w:proofErr w:type="spellEnd"/>
      <w:r w:rsidRPr="00B55C24">
        <w:rPr>
          <w:sz w:val="24"/>
          <w:szCs w:val="24"/>
          <w:lang w:val="en-GB"/>
        </w:rPr>
        <w:t xml:space="preserve">. Four positional isomers, 1-O, 2-O, 3-O, 4-O-acylglucuronide exist, each </w:t>
      </w:r>
      <w:proofErr w:type="gramStart"/>
      <w:r w:rsidRPr="00B55C24">
        <w:rPr>
          <w:sz w:val="24"/>
          <w:szCs w:val="24"/>
          <w:lang w:val="en-GB"/>
        </w:rPr>
        <w:t>accounts</w:t>
      </w:r>
      <w:proofErr w:type="gramEnd"/>
      <w:r w:rsidRPr="00B55C24">
        <w:rPr>
          <w:sz w:val="24"/>
          <w:szCs w:val="24"/>
          <w:lang w:val="en-GB"/>
        </w:rPr>
        <w:t xml:space="preserve"> for less than 10% of total dabigatran in plasma. Traces of other metabolites were only detectable with highly sensitive analytical methods. Dabigatran is eliminated primarily in the unchanged form in the urine, at a rate of approximately 100 mL/min corresponding to the glomerular filtration rate.</w:t>
      </w:r>
    </w:p>
    <w:p w14:paraId="09774428" w14:textId="77777777" w:rsidR="00E607F1" w:rsidRPr="00B55C24" w:rsidRDefault="00E607F1" w:rsidP="00B55C24">
      <w:pPr>
        <w:ind w:left="851"/>
        <w:rPr>
          <w:sz w:val="24"/>
          <w:szCs w:val="24"/>
          <w:lang w:val="en-GB"/>
        </w:rPr>
      </w:pPr>
    </w:p>
    <w:p w14:paraId="3F7E5F44" w14:textId="77777777" w:rsidR="00E607F1" w:rsidRPr="00B55C24" w:rsidRDefault="00E607F1" w:rsidP="00B55C24">
      <w:pPr>
        <w:ind w:left="851"/>
        <w:rPr>
          <w:sz w:val="24"/>
          <w:szCs w:val="24"/>
          <w:u w:val="single"/>
          <w:lang w:val="en-GB"/>
        </w:rPr>
      </w:pPr>
      <w:r w:rsidRPr="00B55C24">
        <w:rPr>
          <w:sz w:val="24"/>
          <w:szCs w:val="24"/>
          <w:u w:val="single"/>
          <w:lang w:val="en-GB"/>
        </w:rPr>
        <w:t>Elimination</w:t>
      </w:r>
    </w:p>
    <w:p w14:paraId="6E197809" w14:textId="77777777" w:rsidR="00E607F1" w:rsidRPr="00B55C24" w:rsidRDefault="00E607F1" w:rsidP="00B55C24">
      <w:pPr>
        <w:ind w:left="851"/>
        <w:rPr>
          <w:sz w:val="24"/>
          <w:szCs w:val="24"/>
          <w:lang w:val="en-GB"/>
        </w:rPr>
      </w:pPr>
    </w:p>
    <w:p w14:paraId="621EE448" w14:textId="77777777" w:rsidR="00E607F1" w:rsidRPr="00B55C24" w:rsidRDefault="00E607F1" w:rsidP="00B55C24">
      <w:pPr>
        <w:ind w:left="851"/>
        <w:rPr>
          <w:sz w:val="24"/>
          <w:szCs w:val="24"/>
          <w:lang w:val="en-GB"/>
        </w:rPr>
      </w:pPr>
      <w:r w:rsidRPr="00B55C24">
        <w:rPr>
          <w:sz w:val="24"/>
          <w:szCs w:val="24"/>
          <w:lang w:val="en-GB"/>
        </w:rPr>
        <w:t>Plasma concentrations of dabigatran showed a biexponential decline with a mean terminal half-life of 11 hours in healthy elderly subjects. After multiple doses a terminal half-life of about 12</w:t>
      </w:r>
      <w:r w:rsidRPr="00B55C24">
        <w:rPr>
          <w:sz w:val="24"/>
          <w:szCs w:val="24"/>
          <w:lang w:val="en-GB"/>
        </w:rPr>
        <w:noBreakHyphen/>
        <w:t>14 hours was observed. The half-life was independent of dose. Half-life is prolonged if renal function is impaired as shown in table 25.</w:t>
      </w:r>
    </w:p>
    <w:p w14:paraId="56289777" w14:textId="77777777" w:rsidR="00E607F1" w:rsidRPr="00B55C24" w:rsidRDefault="00E607F1" w:rsidP="00B55C24">
      <w:pPr>
        <w:ind w:left="851"/>
        <w:rPr>
          <w:sz w:val="24"/>
          <w:szCs w:val="24"/>
          <w:lang w:val="en-GB"/>
        </w:rPr>
      </w:pPr>
    </w:p>
    <w:p w14:paraId="6E478CFD" w14:textId="77777777" w:rsidR="00E607F1" w:rsidRPr="00B55C24" w:rsidRDefault="00E607F1" w:rsidP="00B55C24">
      <w:pPr>
        <w:ind w:left="851"/>
        <w:rPr>
          <w:sz w:val="24"/>
          <w:szCs w:val="24"/>
          <w:lang w:val="en-GB"/>
        </w:rPr>
      </w:pPr>
      <w:r w:rsidRPr="00B55C24">
        <w:rPr>
          <w:sz w:val="24"/>
          <w:szCs w:val="24"/>
          <w:u w:val="single"/>
          <w:lang w:val="en-GB"/>
        </w:rPr>
        <w:t>Special populations</w:t>
      </w:r>
    </w:p>
    <w:p w14:paraId="49F8C12B" w14:textId="77777777" w:rsidR="00E607F1" w:rsidRPr="00B55C24" w:rsidRDefault="00E607F1" w:rsidP="00B55C24">
      <w:pPr>
        <w:ind w:left="851"/>
        <w:rPr>
          <w:sz w:val="24"/>
          <w:szCs w:val="24"/>
          <w:lang w:val="en-GB"/>
        </w:rPr>
      </w:pPr>
    </w:p>
    <w:p w14:paraId="671760D1" w14:textId="77777777" w:rsidR="00E607F1" w:rsidRPr="00B55C24" w:rsidRDefault="00E607F1" w:rsidP="00B55C24">
      <w:pPr>
        <w:ind w:left="851"/>
        <w:rPr>
          <w:sz w:val="24"/>
          <w:szCs w:val="24"/>
          <w:lang w:val="en-GB"/>
        </w:rPr>
      </w:pPr>
      <w:r w:rsidRPr="00B55C24">
        <w:rPr>
          <w:i/>
          <w:iCs/>
          <w:sz w:val="24"/>
          <w:szCs w:val="24"/>
          <w:u w:val="single"/>
          <w:lang w:val="en-GB"/>
        </w:rPr>
        <w:t>Renal insufficiency</w:t>
      </w:r>
    </w:p>
    <w:p w14:paraId="06EA15BC" w14:textId="6AFDA707" w:rsidR="00E607F1" w:rsidRPr="00B55C24" w:rsidRDefault="00E607F1" w:rsidP="00B55C24">
      <w:pPr>
        <w:ind w:left="851"/>
        <w:rPr>
          <w:sz w:val="24"/>
          <w:szCs w:val="24"/>
          <w:lang w:val="en-GB"/>
        </w:rPr>
      </w:pPr>
      <w:r w:rsidRPr="00B55C24">
        <w:rPr>
          <w:sz w:val="24"/>
          <w:szCs w:val="24"/>
          <w:lang w:val="en-GB"/>
        </w:rPr>
        <w:t xml:space="preserve">In phase I studies the exposure (AUC) of dabigatran after the oral administration of dabigatran </w:t>
      </w:r>
      <w:proofErr w:type="spellStart"/>
      <w:r w:rsidRPr="00B55C24">
        <w:rPr>
          <w:sz w:val="24"/>
          <w:szCs w:val="24"/>
          <w:lang w:val="en-GB"/>
        </w:rPr>
        <w:t>etexilate</w:t>
      </w:r>
      <w:proofErr w:type="spellEnd"/>
      <w:r w:rsidRPr="00B55C24">
        <w:rPr>
          <w:sz w:val="24"/>
          <w:szCs w:val="24"/>
          <w:lang w:val="en-GB"/>
        </w:rPr>
        <w:t xml:space="preserve"> is approximately 2.7-fold higher in adult volunteers with moderate renal insufficiency (</w:t>
      </w:r>
      <w:proofErr w:type="spellStart"/>
      <w:r w:rsidRPr="00B55C24">
        <w:rPr>
          <w:sz w:val="24"/>
          <w:szCs w:val="24"/>
          <w:lang w:val="en-GB"/>
        </w:rPr>
        <w:t>CrCL</w:t>
      </w:r>
      <w:proofErr w:type="spellEnd"/>
      <w:r w:rsidRPr="00B55C24">
        <w:rPr>
          <w:sz w:val="24"/>
          <w:szCs w:val="24"/>
          <w:lang w:val="en-GB"/>
        </w:rPr>
        <w:t xml:space="preserve"> between 30 and 50 mL/min) than in those without renal insufficiency.</w:t>
      </w:r>
    </w:p>
    <w:p w14:paraId="5D507EAC" w14:textId="77777777" w:rsidR="00E607F1" w:rsidRPr="00B55C24" w:rsidRDefault="00E607F1" w:rsidP="00B55C24">
      <w:pPr>
        <w:ind w:left="851"/>
        <w:rPr>
          <w:sz w:val="24"/>
          <w:szCs w:val="24"/>
          <w:lang w:val="en-GB"/>
        </w:rPr>
      </w:pPr>
    </w:p>
    <w:p w14:paraId="74188138" w14:textId="1FFD9FFF" w:rsidR="00E607F1" w:rsidRPr="00B55C24" w:rsidRDefault="00E607F1" w:rsidP="00B55C24">
      <w:pPr>
        <w:ind w:left="851"/>
        <w:rPr>
          <w:sz w:val="24"/>
          <w:szCs w:val="24"/>
          <w:lang w:val="en-GB"/>
        </w:rPr>
      </w:pPr>
      <w:r w:rsidRPr="00B55C24">
        <w:rPr>
          <w:sz w:val="24"/>
          <w:szCs w:val="24"/>
          <w:lang w:val="en-GB"/>
        </w:rPr>
        <w:t>In a small number of adult volunteers with severe renal insufficiency (</w:t>
      </w:r>
      <w:proofErr w:type="spellStart"/>
      <w:r w:rsidRPr="00B55C24">
        <w:rPr>
          <w:sz w:val="24"/>
          <w:szCs w:val="24"/>
          <w:lang w:val="en-GB"/>
        </w:rPr>
        <w:t>CrCL</w:t>
      </w:r>
      <w:proofErr w:type="spellEnd"/>
      <w:r w:rsidRPr="00B55C24">
        <w:rPr>
          <w:sz w:val="24"/>
          <w:szCs w:val="24"/>
          <w:lang w:val="en-GB"/>
        </w:rPr>
        <w:t xml:space="preserve"> 10</w:t>
      </w:r>
      <w:r w:rsidRPr="00B55C24">
        <w:rPr>
          <w:sz w:val="24"/>
          <w:szCs w:val="24"/>
          <w:lang w:val="en-GB"/>
        </w:rPr>
        <w:noBreakHyphen/>
        <w:t>30 mL/min), the exposure (AUC) to dabigatran was approximately 6 times higher and the half-life approximately 2 times longer than that observed in a population without renal insufficiency (see sections 4.2, 4.3 and 4.4).</w:t>
      </w:r>
    </w:p>
    <w:p w14:paraId="6B224165" w14:textId="77777777" w:rsidR="00E607F1" w:rsidRPr="00B55C24" w:rsidRDefault="00E607F1" w:rsidP="00B55C24">
      <w:pPr>
        <w:ind w:left="851"/>
        <w:rPr>
          <w:sz w:val="24"/>
          <w:szCs w:val="24"/>
          <w:lang w:val="en-GB"/>
        </w:rPr>
      </w:pPr>
    </w:p>
    <w:p w14:paraId="1C33A9DE" w14:textId="77777777" w:rsidR="00E607F1" w:rsidRPr="00B55C24" w:rsidRDefault="00E607F1" w:rsidP="00E607F1">
      <w:pPr>
        <w:tabs>
          <w:tab w:val="left" w:pos="851"/>
        </w:tabs>
        <w:ind w:left="851"/>
        <w:rPr>
          <w:b/>
          <w:bCs/>
          <w:sz w:val="24"/>
          <w:szCs w:val="24"/>
          <w:lang w:val="en-GB"/>
        </w:rPr>
      </w:pPr>
      <w:r w:rsidRPr="00B55C24">
        <w:rPr>
          <w:b/>
          <w:bCs/>
          <w:sz w:val="24"/>
          <w:szCs w:val="24"/>
          <w:lang w:val="en-GB"/>
        </w:rPr>
        <w:t>Table 25: Half-life of total dabigatran in healthy subjects and subjects with impaired renal function.</w:t>
      </w:r>
    </w:p>
    <w:p w14:paraId="05086BF7" w14:textId="77777777" w:rsidR="00E607F1" w:rsidRPr="00B55C24" w:rsidRDefault="00E607F1" w:rsidP="00E607F1">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08"/>
        <w:gridCol w:w="6720"/>
      </w:tblGrid>
      <w:tr w:rsidR="00E607F1" w:rsidRPr="00D476B2" w14:paraId="467E155F" w14:textId="77777777" w:rsidTr="00B55C24">
        <w:trPr>
          <w:trHeight w:val="57"/>
          <w:jc w:val="center"/>
        </w:trPr>
        <w:tc>
          <w:tcPr>
            <w:tcW w:w="1510" w:type="pct"/>
            <w:tcBorders>
              <w:top w:val="single" w:sz="4" w:space="0" w:color="auto"/>
              <w:left w:val="single" w:sz="4" w:space="0" w:color="auto"/>
              <w:bottom w:val="nil"/>
              <w:right w:val="nil"/>
            </w:tcBorders>
            <w:hideMark/>
          </w:tcPr>
          <w:p w14:paraId="2F228CB1" w14:textId="77777777" w:rsidR="00E607F1" w:rsidRPr="000E69C6" w:rsidRDefault="00E607F1" w:rsidP="00B55C24">
            <w:pPr>
              <w:rPr>
                <w:sz w:val="22"/>
                <w:szCs w:val="22"/>
                <w:lang w:val="en-GB"/>
              </w:rPr>
            </w:pPr>
            <w:r w:rsidRPr="000E69C6">
              <w:rPr>
                <w:sz w:val="22"/>
                <w:szCs w:val="22"/>
                <w:lang w:val="en-GB"/>
              </w:rPr>
              <w:t>glomerular filtration rate</w:t>
            </w:r>
            <w:r w:rsidRPr="000E69C6">
              <w:rPr>
                <w:sz w:val="22"/>
                <w:szCs w:val="22"/>
                <w:lang w:val="en-GB"/>
              </w:rPr>
              <w:br/>
              <w:t>(</w:t>
            </w:r>
            <w:proofErr w:type="spellStart"/>
            <w:r w:rsidRPr="000E69C6">
              <w:rPr>
                <w:sz w:val="22"/>
                <w:szCs w:val="22"/>
                <w:lang w:val="en-GB"/>
              </w:rPr>
              <w:t>CrCL</w:t>
            </w:r>
            <w:proofErr w:type="spellEnd"/>
            <w:r w:rsidRPr="000E69C6">
              <w:rPr>
                <w:sz w:val="22"/>
                <w:szCs w:val="22"/>
                <w:lang w:val="en-GB"/>
              </w:rPr>
              <w:t>) [mL/min]</w:t>
            </w:r>
          </w:p>
        </w:tc>
        <w:tc>
          <w:tcPr>
            <w:tcW w:w="3490" w:type="pct"/>
            <w:tcBorders>
              <w:top w:val="single" w:sz="4" w:space="0" w:color="auto"/>
              <w:left w:val="single" w:sz="4" w:space="0" w:color="auto"/>
              <w:bottom w:val="nil"/>
              <w:right w:val="single" w:sz="4" w:space="0" w:color="auto"/>
            </w:tcBorders>
            <w:hideMark/>
          </w:tcPr>
          <w:p w14:paraId="5B7C3159" w14:textId="77777777" w:rsidR="00E607F1" w:rsidRPr="000E69C6" w:rsidRDefault="00E607F1" w:rsidP="00B55C24">
            <w:pPr>
              <w:rPr>
                <w:sz w:val="22"/>
                <w:szCs w:val="22"/>
                <w:lang w:val="en-GB"/>
              </w:rPr>
            </w:pPr>
            <w:proofErr w:type="spellStart"/>
            <w:r w:rsidRPr="000E69C6">
              <w:rPr>
                <w:sz w:val="22"/>
                <w:szCs w:val="22"/>
                <w:lang w:val="en-GB"/>
              </w:rPr>
              <w:t>gMean</w:t>
            </w:r>
            <w:proofErr w:type="spellEnd"/>
            <w:r w:rsidRPr="000E69C6">
              <w:rPr>
                <w:sz w:val="22"/>
                <w:szCs w:val="22"/>
                <w:lang w:val="en-GB"/>
              </w:rPr>
              <w:t xml:space="preserve"> (</w:t>
            </w:r>
            <w:proofErr w:type="spellStart"/>
            <w:r w:rsidRPr="000E69C6">
              <w:rPr>
                <w:sz w:val="22"/>
                <w:szCs w:val="22"/>
                <w:lang w:val="en-GB"/>
              </w:rPr>
              <w:t>gCV</w:t>
            </w:r>
            <w:proofErr w:type="spellEnd"/>
            <w:r w:rsidRPr="000E69C6">
              <w:rPr>
                <w:sz w:val="22"/>
                <w:szCs w:val="22"/>
                <w:lang w:val="en-GB"/>
              </w:rPr>
              <w:t xml:space="preserve"> %; range)</w:t>
            </w:r>
            <w:r w:rsidRPr="000E69C6">
              <w:rPr>
                <w:sz w:val="22"/>
                <w:szCs w:val="22"/>
                <w:lang w:val="en-GB"/>
              </w:rPr>
              <w:br/>
              <w:t>half-life [h]</w:t>
            </w:r>
          </w:p>
        </w:tc>
      </w:tr>
      <w:tr w:rsidR="00E607F1" w:rsidRPr="000E69C6" w14:paraId="08FABEF5" w14:textId="77777777" w:rsidTr="00B55C24">
        <w:trPr>
          <w:trHeight w:val="57"/>
          <w:jc w:val="center"/>
        </w:trPr>
        <w:tc>
          <w:tcPr>
            <w:tcW w:w="1510" w:type="pct"/>
            <w:tcBorders>
              <w:top w:val="single" w:sz="4" w:space="0" w:color="auto"/>
              <w:left w:val="single" w:sz="4" w:space="0" w:color="auto"/>
              <w:bottom w:val="nil"/>
              <w:right w:val="nil"/>
            </w:tcBorders>
            <w:hideMark/>
          </w:tcPr>
          <w:p w14:paraId="6E06C8E2" w14:textId="77777777" w:rsidR="00E607F1" w:rsidRPr="000E69C6" w:rsidRDefault="00E607F1" w:rsidP="00B55C24">
            <w:pPr>
              <w:rPr>
                <w:sz w:val="22"/>
                <w:szCs w:val="22"/>
                <w:lang w:val="en-GB"/>
              </w:rPr>
            </w:pPr>
            <w:r w:rsidRPr="000E69C6">
              <w:rPr>
                <w:sz w:val="22"/>
                <w:szCs w:val="22"/>
                <w:lang w:val="hu-HU"/>
              </w:rPr>
              <w:t>&gt;</w:t>
            </w:r>
            <w:r w:rsidRPr="000E69C6">
              <w:rPr>
                <w:sz w:val="22"/>
                <w:szCs w:val="22"/>
                <w:lang w:val="en-GB"/>
              </w:rPr>
              <w:t xml:space="preserve"> 80</w:t>
            </w:r>
          </w:p>
        </w:tc>
        <w:tc>
          <w:tcPr>
            <w:tcW w:w="3490" w:type="pct"/>
            <w:tcBorders>
              <w:top w:val="single" w:sz="4" w:space="0" w:color="auto"/>
              <w:left w:val="single" w:sz="4" w:space="0" w:color="auto"/>
              <w:bottom w:val="nil"/>
              <w:right w:val="single" w:sz="4" w:space="0" w:color="auto"/>
            </w:tcBorders>
            <w:hideMark/>
          </w:tcPr>
          <w:p w14:paraId="15556B1C" w14:textId="77777777" w:rsidR="00E607F1" w:rsidRPr="000E69C6" w:rsidRDefault="00E607F1" w:rsidP="00B55C24">
            <w:pPr>
              <w:rPr>
                <w:sz w:val="22"/>
                <w:szCs w:val="22"/>
                <w:lang w:val="en-GB"/>
              </w:rPr>
            </w:pPr>
            <w:r w:rsidRPr="000E69C6">
              <w:rPr>
                <w:sz w:val="22"/>
                <w:szCs w:val="22"/>
                <w:lang w:val="en-GB"/>
              </w:rPr>
              <w:t>13.4 (25.7%; 11.0-21.6)</w:t>
            </w:r>
          </w:p>
        </w:tc>
      </w:tr>
      <w:tr w:rsidR="00E607F1" w:rsidRPr="000E69C6" w14:paraId="4EDEF36E" w14:textId="77777777" w:rsidTr="00B55C24">
        <w:trPr>
          <w:trHeight w:val="57"/>
          <w:jc w:val="center"/>
        </w:trPr>
        <w:tc>
          <w:tcPr>
            <w:tcW w:w="1510" w:type="pct"/>
            <w:tcBorders>
              <w:top w:val="single" w:sz="4" w:space="0" w:color="auto"/>
              <w:left w:val="single" w:sz="4" w:space="0" w:color="auto"/>
              <w:bottom w:val="nil"/>
              <w:right w:val="nil"/>
            </w:tcBorders>
            <w:hideMark/>
          </w:tcPr>
          <w:p w14:paraId="167C6FCF" w14:textId="77777777" w:rsidR="00E607F1" w:rsidRPr="000E69C6" w:rsidRDefault="00E607F1" w:rsidP="00B55C24">
            <w:pPr>
              <w:rPr>
                <w:sz w:val="22"/>
                <w:szCs w:val="22"/>
                <w:lang w:val="en-GB"/>
              </w:rPr>
            </w:pPr>
            <w:r w:rsidRPr="000E69C6">
              <w:rPr>
                <w:sz w:val="22"/>
                <w:szCs w:val="22"/>
                <w:lang w:val="hu-HU"/>
              </w:rPr>
              <w:t>&gt;</w:t>
            </w:r>
            <w:r w:rsidRPr="000E69C6">
              <w:rPr>
                <w:sz w:val="22"/>
                <w:szCs w:val="22"/>
                <w:lang w:val="en-GB"/>
              </w:rPr>
              <w:t xml:space="preserve"> 50 </w:t>
            </w:r>
            <w:r w:rsidRPr="000E69C6">
              <w:rPr>
                <w:sz w:val="22"/>
                <w:szCs w:val="22"/>
                <w:lang w:val="en-GB"/>
              </w:rPr>
              <w:noBreakHyphen/>
              <w:t> </w:t>
            </w:r>
            <w:r w:rsidRPr="000E69C6">
              <w:rPr>
                <w:sz w:val="22"/>
                <w:szCs w:val="22"/>
                <w:lang w:val="hu-HU"/>
              </w:rPr>
              <w:t>≤</w:t>
            </w:r>
            <w:r w:rsidRPr="000E69C6">
              <w:rPr>
                <w:sz w:val="22"/>
                <w:szCs w:val="22"/>
                <w:lang w:val="en-GB"/>
              </w:rPr>
              <w:t xml:space="preserve"> 80</w:t>
            </w:r>
          </w:p>
        </w:tc>
        <w:tc>
          <w:tcPr>
            <w:tcW w:w="3490" w:type="pct"/>
            <w:tcBorders>
              <w:top w:val="single" w:sz="4" w:space="0" w:color="auto"/>
              <w:left w:val="single" w:sz="4" w:space="0" w:color="auto"/>
              <w:bottom w:val="nil"/>
              <w:right w:val="single" w:sz="4" w:space="0" w:color="auto"/>
            </w:tcBorders>
            <w:hideMark/>
          </w:tcPr>
          <w:p w14:paraId="3EDA1185" w14:textId="77777777" w:rsidR="00E607F1" w:rsidRPr="000E69C6" w:rsidRDefault="00E607F1" w:rsidP="00B55C24">
            <w:pPr>
              <w:rPr>
                <w:sz w:val="22"/>
                <w:szCs w:val="22"/>
                <w:lang w:val="en-GB"/>
              </w:rPr>
            </w:pPr>
            <w:r w:rsidRPr="000E69C6">
              <w:rPr>
                <w:sz w:val="22"/>
                <w:szCs w:val="22"/>
                <w:lang w:val="en-GB"/>
              </w:rPr>
              <w:t>15.3 (42.7%;11.7-34.1)</w:t>
            </w:r>
          </w:p>
        </w:tc>
      </w:tr>
      <w:tr w:rsidR="00E607F1" w:rsidRPr="000E69C6" w14:paraId="342C10B8" w14:textId="77777777" w:rsidTr="00B55C24">
        <w:trPr>
          <w:trHeight w:val="57"/>
          <w:jc w:val="center"/>
        </w:trPr>
        <w:tc>
          <w:tcPr>
            <w:tcW w:w="1510" w:type="pct"/>
            <w:tcBorders>
              <w:top w:val="single" w:sz="4" w:space="0" w:color="auto"/>
              <w:left w:val="single" w:sz="4" w:space="0" w:color="auto"/>
              <w:bottom w:val="nil"/>
              <w:right w:val="nil"/>
            </w:tcBorders>
            <w:hideMark/>
          </w:tcPr>
          <w:p w14:paraId="5A2DB42D" w14:textId="77777777" w:rsidR="00E607F1" w:rsidRPr="000E69C6" w:rsidRDefault="00E607F1" w:rsidP="00B55C24">
            <w:pPr>
              <w:rPr>
                <w:sz w:val="22"/>
                <w:szCs w:val="22"/>
                <w:lang w:val="en-GB"/>
              </w:rPr>
            </w:pPr>
            <w:r w:rsidRPr="000E69C6">
              <w:rPr>
                <w:sz w:val="22"/>
                <w:szCs w:val="22"/>
                <w:lang w:val="hu-HU"/>
              </w:rPr>
              <w:t>&gt;</w:t>
            </w:r>
            <w:r w:rsidRPr="000E69C6">
              <w:rPr>
                <w:sz w:val="22"/>
                <w:szCs w:val="22"/>
                <w:lang w:val="en-GB"/>
              </w:rPr>
              <w:t xml:space="preserve"> 30 </w:t>
            </w:r>
            <w:r w:rsidRPr="000E69C6">
              <w:rPr>
                <w:sz w:val="22"/>
                <w:szCs w:val="22"/>
                <w:lang w:val="en-GB"/>
              </w:rPr>
              <w:noBreakHyphen/>
              <w:t> </w:t>
            </w:r>
            <w:r w:rsidRPr="000E69C6">
              <w:rPr>
                <w:sz w:val="22"/>
                <w:szCs w:val="22"/>
                <w:lang w:val="hu-HU"/>
              </w:rPr>
              <w:t>≤</w:t>
            </w:r>
            <w:r w:rsidRPr="000E69C6">
              <w:rPr>
                <w:sz w:val="22"/>
                <w:szCs w:val="22"/>
                <w:lang w:val="en-GB"/>
              </w:rPr>
              <w:t xml:space="preserve"> 50</w:t>
            </w:r>
          </w:p>
        </w:tc>
        <w:tc>
          <w:tcPr>
            <w:tcW w:w="3490" w:type="pct"/>
            <w:tcBorders>
              <w:top w:val="single" w:sz="4" w:space="0" w:color="auto"/>
              <w:left w:val="single" w:sz="4" w:space="0" w:color="auto"/>
              <w:bottom w:val="nil"/>
              <w:right w:val="single" w:sz="4" w:space="0" w:color="auto"/>
            </w:tcBorders>
            <w:hideMark/>
          </w:tcPr>
          <w:p w14:paraId="26660DCC" w14:textId="77777777" w:rsidR="00E607F1" w:rsidRPr="000E69C6" w:rsidRDefault="00E607F1" w:rsidP="00B55C24">
            <w:pPr>
              <w:rPr>
                <w:sz w:val="22"/>
                <w:szCs w:val="22"/>
                <w:lang w:val="en-GB"/>
              </w:rPr>
            </w:pPr>
            <w:r w:rsidRPr="000E69C6">
              <w:rPr>
                <w:sz w:val="22"/>
                <w:szCs w:val="22"/>
                <w:lang w:val="en-GB"/>
              </w:rPr>
              <w:t>18.4 (18.5%;13.3-23.0)</w:t>
            </w:r>
          </w:p>
        </w:tc>
      </w:tr>
      <w:tr w:rsidR="00E607F1" w:rsidRPr="000E69C6" w14:paraId="35B4359A" w14:textId="77777777" w:rsidTr="00B55C24">
        <w:trPr>
          <w:trHeight w:val="57"/>
          <w:jc w:val="center"/>
        </w:trPr>
        <w:tc>
          <w:tcPr>
            <w:tcW w:w="1510" w:type="pct"/>
            <w:tcBorders>
              <w:top w:val="single" w:sz="4" w:space="0" w:color="auto"/>
              <w:left w:val="single" w:sz="4" w:space="0" w:color="auto"/>
              <w:bottom w:val="single" w:sz="4" w:space="0" w:color="auto"/>
              <w:right w:val="nil"/>
            </w:tcBorders>
            <w:hideMark/>
          </w:tcPr>
          <w:p w14:paraId="198A32DF" w14:textId="77777777" w:rsidR="00E607F1" w:rsidRPr="000E69C6" w:rsidRDefault="00E607F1" w:rsidP="00B55C24">
            <w:pPr>
              <w:rPr>
                <w:sz w:val="22"/>
                <w:szCs w:val="22"/>
                <w:lang w:val="en-GB"/>
              </w:rPr>
            </w:pPr>
            <w:r w:rsidRPr="000E69C6">
              <w:rPr>
                <w:sz w:val="22"/>
                <w:szCs w:val="22"/>
                <w:lang w:val="hu-HU"/>
              </w:rPr>
              <w:t>≤</w:t>
            </w:r>
            <w:r w:rsidRPr="000E69C6">
              <w:rPr>
                <w:sz w:val="22"/>
                <w:szCs w:val="22"/>
                <w:lang w:val="en-GB"/>
              </w:rPr>
              <w:t xml:space="preserve"> 30</w:t>
            </w:r>
          </w:p>
        </w:tc>
        <w:tc>
          <w:tcPr>
            <w:tcW w:w="3490" w:type="pct"/>
            <w:tcBorders>
              <w:top w:val="single" w:sz="4" w:space="0" w:color="auto"/>
              <w:left w:val="single" w:sz="4" w:space="0" w:color="auto"/>
              <w:bottom w:val="single" w:sz="4" w:space="0" w:color="auto"/>
              <w:right w:val="single" w:sz="4" w:space="0" w:color="auto"/>
            </w:tcBorders>
            <w:hideMark/>
          </w:tcPr>
          <w:p w14:paraId="65CE4830" w14:textId="77777777" w:rsidR="00E607F1" w:rsidRPr="000E69C6" w:rsidRDefault="00E607F1" w:rsidP="00B55C24">
            <w:pPr>
              <w:rPr>
                <w:sz w:val="22"/>
                <w:szCs w:val="22"/>
                <w:lang w:val="en-GB"/>
              </w:rPr>
            </w:pPr>
            <w:r w:rsidRPr="000E69C6">
              <w:rPr>
                <w:sz w:val="22"/>
                <w:szCs w:val="22"/>
                <w:lang w:val="en-GB"/>
              </w:rPr>
              <w:t>27.2 (15.3%; 21.6-35.0)</w:t>
            </w:r>
          </w:p>
        </w:tc>
      </w:tr>
    </w:tbl>
    <w:p w14:paraId="5D791874" w14:textId="77777777" w:rsidR="00E607F1" w:rsidRPr="00B55C24" w:rsidRDefault="00E607F1" w:rsidP="00E607F1">
      <w:pPr>
        <w:tabs>
          <w:tab w:val="left" w:pos="851"/>
        </w:tabs>
        <w:ind w:left="851"/>
        <w:rPr>
          <w:sz w:val="24"/>
          <w:szCs w:val="24"/>
          <w:lang w:val="en-GB"/>
        </w:rPr>
      </w:pPr>
    </w:p>
    <w:p w14:paraId="09AC0D3C" w14:textId="77777777" w:rsidR="00E607F1" w:rsidRPr="00B55C24" w:rsidRDefault="00E607F1" w:rsidP="00B55C24">
      <w:pPr>
        <w:ind w:left="851"/>
        <w:rPr>
          <w:sz w:val="24"/>
          <w:szCs w:val="24"/>
          <w:lang w:val="en-GB"/>
        </w:rPr>
      </w:pPr>
      <w:r w:rsidRPr="00B55C24">
        <w:rPr>
          <w:sz w:val="24"/>
          <w:szCs w:val="24"/>
          <w:lang w:val="en-GB"/>
        </w:rPr>
        <w:t>Additionally, dabigatran exposure (at trough and peak) was assessed in a prospective open label randomised pharmacokinetic study in NVAF patients with severe renal impairment (defined as creatinine clearance [</w:t>
      </w:r>
      <w:proofErr w:type="spellStart"/>
      <w:r w:rsidRPr="00B55C24">
        <w:rPr>
          <w:sz w:val="24"/>
          <w:szCs w:val="24"/>
          <w:lang w:val="en-GB"/>
        </w:rPr>
        <w:t>CrCl</w:t>
      </w:r>
      <w:proofErr w:type="spellEnd"/>
      <w:r w:rsidRPr="00B55C24">
        <w:rPr>
          <w:sz w:val="24"/>
          <w:szCs w:val="24"/>
          <w:lang w:val="en-GB"/>
        </w:rPr>
        <w:t>] 15</w:t>
      </w:r>
      <w:r w:rsidRPr="00B55C24">
        <w:rPr>
          <w:sz w:val="24"/>
          <w:szCs w:val="24"/>
          <w:lang w:val="en-GB"/>
        </w:rPr>
        <w:noBreakHyphen/>
        <w:t xml:space="preserve">30 mL/min) receiving dabigatran </w:t>
      </w:r>
      <w:proofErr w:type="spellStart"/>
      <w:r w:rsidRPr="00B55C24">
        <w:rPr>
          <w:sz w:val="24"/>
          <w:szCs w:val="24"/>
          <w:lang w:val="en-GB"/>
        </w:rPr>
        <w:t>etexilate</w:t>
      </w:r>
      <w:proofErr w:type="spellEnd"/>
      <w:r w:rsidRPr="00B55C24">
        <w:rPr>
          <w:sz w:val="24"/>
          <w:szCs w:val="24"/>
          <w:lang w:val="en-GB"/>
        </w:rPr>
        <w:t xml:space="preserve"> 75 mg twice daily. </w:t>
      </w:r>
      <w:r w:rsidRPr="00B55C24">
        <w:rPr>
          <w:sz w:val="24"/>
          <w:szCs w:val="24"/>
          <w:lang w:val="en-GB"/>
        </w:rPr>
        <w:br/>
        <w:t>This regimen resulted in a geometric mean trough concentration of 155 ng/mL (</w:t>
      </w:r>
      <w:proofErr w:type="spellStart"/>
      <w:r w:rsidRPr="00B55C24">
        <w:rPr>
          <w:sz w:val="24"/>
          <w:szCs w:val="24"/>
          <w:lang w:val="en-GB"/>
        </w:rPr>
        <w:t>gCV</w:t>
      </w:r>
      <w:proofErr w:type="spellEnd"/>
      <w:r w:rsidRPr="00B55C24">
        <w:rPr>
          <w:sz w:val="24"/>
          <w:szCs w:val="24"/>
          <w:lang w:val="en-GB"/>
        </w:rPr>
        <w:t xml:space="preserve"> of 76.9%), measured immediately before administration of the next dose and in a geometric mean peak concentration of 202 ng/mL (</w:t>
      </w:r>
      <w:proofErr w:type="spellStart"/>
      <w:r w:rsidRPr="00B55C24">
        <w:rPr>
          <w:sz w:val="24"/>
          <w:szCs w:val="24"/>
          <w:lang w:val="en-GB"/>
        </w:rPr>
        <w:t>gCV</w:t>
      </w:r>
      <w:proofErr w:type="spellEnd"/>
      <w:r w:rsidRPr="00B55C24">
        <w:rPr>
          <w:sz w:val="24"/>
          <w:szCs w:val="24"/>
          <w:lang w:val="en-GB"/>
        </w:rPr>
        <w:t xml:space="preserve"> of 70.6%) measured two hours after the administration of the last dose.</w:t>
      </w:r>
    </w:p>
    <w:p w14:paraId="28846A46" w14:textId="77777777" w:rsidR="00E607F1" w:rsidRPr="00B55C24" w:rsidRDefault="00E607F1" w:rsidP="00B55C24">
      <w:pPr>
        <w:ind w:left="851"/>
        <w:rPr>
          <w:sz w:val="24"/>
          <w:szCs w:val="24"/>
          <w:lang w:val="en-GB"/>
        </w:rPr>
      </w:pPr>
    </w:p>
    <w:p w14:paraId="7AEDD119" w14:textId="77777777" w:rsidR="00E607F1" w:rsidRPr="00B55C24" w:rsidRDefault="00E607F1" w:rsidP="00B55C24">
      <w:pPr>
        <w:ind w:left="851"/>
        <w:rPr>
          <w:sz w:val="24"/>
          <w:szCs w:val="24"/>
          <w:lang w:val="en-GB"/>
        </w:rPr>
      </w:pPr>
      <w:r w:rsidRPr="00B55C24">
        <w:rPr>
          <w:sz w:val="24"/>
          <w:szCs w:val="24"/>
          <w:lang w:val="en-GB"/>
        </w:rPr>
        <w:t>Clearance of dabigatran by haemodialysis was investigated in 7 adult patients with end-stage renal disease (ESRD) without atrial fibrillation. Dialysis was conducted with 700 mL/min dialysate flow rate, four-hour duration and a blood flow rate of either 200 mL/min or 350</w:t>
      </w:r>
      <w:r w:rsidRPr="00B55C24">
        <w:rPr>
          <w:sz w:val="24"/>
          <w:szCs w:val="24"/>
          <w:lang w:val="en-GB"/>
        </w:rPr>
        <w:noBreakHyphen/>
        <w:t>390 mL/min. This resulted in a removal of 50% to 60% of dabigatran concentrations, respectively. The amount of substance cleared by dialysis is proportional to the blood flow rate up to a blood flow rate of 300 mL/min. The anticoagulant activity of dabigatran decreased with decreasing plasma concentrations and the PK/PD relationship was not affected by the procedure.</w:t>
      </w:r>
    </w:p>
    <w:p w14:paraId="107BABD7" w14:textId="77777777" w:rsidR="00E607F1" w:rsidRPr="00B55C24" w:rsidRDefault="00E607F1" w:rsidP="00B55C24">
      <w:pPr>
        <w:ind w:left="851"/>
        <w:rPr>
          <w:sz w:val="24"/>
          <w:szCs w:val="24"/>
          <w:lang w:val="en-GB"/>
        </w:rPr>
      </w:pPr>
    </w:p>
    <w:p w14:paraId="737BFF0A" w14:textId="0D11062F" w:rsidR="00E607F1" w:rsidRPr="00B55C24" w:rsidRDefault="00E607F1" w:rsidP="00B55C24">
      <w:pPr>
        <w:ind w:left="851"/>
        <w:rPr>
          <w:sz w:val="24"/>
          <w:szCs w:val="24"/>
          <w:lang w:val="en-GB"/>
        </w:rPr>
      </w:pPr>
      <w:r w:rsidRPr="00B55C24">
        <w:rPr>
          <w:sz w:val="24"/>
          <w:szCs w:val="24"/>
          <w:lang w:val="en-GB"/>
        </w:rPr>
        <w:t xml:space="preserve">The median </w:t>
      </w:r>
      <w:proofErr w:type="spellStart"/>
      <w:r w:rsidRPr="00B55C24">
        <w:rPr>
          <w:sz w:val="24"/>
          <w:szCs w:val="24"/>
          <w:lang w:val="en-GB"/>
        </w:rPr>
        <w:t>CrCL</w:t>
      </w:r>
      <w:proofErr w:type="spellEnd"/>
      <w:r w:rsidRPr="00B55C24">
        <w:rPr>
          <w:sz w:val="24"/>
          <w:szCs w:val="24"/>
          <w:lang w:val="en-GB"/>
        </w:rPr>
        <w:t xml:space="preserve"> in RE-LY was 68.4 mL/min. Almost half (45.8%) of the RE-LY patients had a </w:t>
      </w:r>
      <w:proofErr w:type="spellStart"/>
      <w:r w:rsidRPr="00B55C24">
        <w:rPr>
          <w:sz w:val="24"/>
          <w:szCs w:val="24"/>
          <w:lang w:val="en-GB"/>
        </w:rPr>
        <w:t>CrCL</w:t>
      </w:r>
      <w:proofErr w:type="spellEnd"/>
      <w:r w:rsidRPr="00B55C24">
        <w:rPr>
          <w:sz w:val="24"/>
          <w:szCs w:val="24"/>
          <w:lang w:val="en-GB"/>
        </w:rPr>
        <w:t xml:space="preserve"> &gt; 50 </w:t>
      </w:r>
      <w:r w:rsidRPr="00B55C24">
        <w:rPr>
          <w:sz w:val="24"/>
          <w:szCs w:val="24"/>
          <w:lang w:val="en-GB"/>
        </w:rPr>
        <w:noBreakHyphen/>
        <w:t> &lt; 80 mL/min. Patients with moderate renal impairment (</w:t>
      </w:r>
      <w:proofErr w:type="spellStart"/>
      <w:r w:rsidRPr="00B55C24">
        <w:rPr>
          <w:sz w:val="24"/>
          <w:szCs w:val="24"/>
          <w:lang w:val="en-GB"/>
        </w:rPr>
        <w:t>CrCL</w:t>
      </w:r>
      <w:proofErr w:type="spellEnd"/>
      <w:r w:rsidRPr="00B55C24">
        <w:rPr>
          <w:sz w:val="24"/>
          <w:szCs w:val="24"/>
          <w:lang w:val="en-GB"/>
        </w:rPr>
        <w:t xml:space="preserve"> between 30 and 50 mL/min) had on average 2.29-fold and 1.81-fold higher pre- and post-dose dabigatran plasma concentrations, respectively, when compared with patients without renal impairment (</w:t>
      </w:r>
      <w:proofErr w:type="spellStart"/>
      <w:r w:rsidRPr="00B55C24">
        <w:rPr>
          <w:sz w:val="24"/>
          <w:szCs w:val="24"/>
          <w:lang w:val="en-GB"/>
        </w:rPr>
        <w:t>CrCL</w:t>
      </w:r>
      <w:proofErr w:type="spellEnd"/>
      <w:r w:rsidRPr="00B55C24">
        <w:rPr>
          <w:sz w:val="24"/>
          <w:szCs w:val="24"/>
          <w:lang w:val="en-GB"/>
        </w:rPr>
        <w:t xml:space="preserve"> ≥ 80 mL/min).</w:t>
      </w:r>
    </w:p>
    <w:p w14:paraId="76F41BB7" w14:textId="77777777" w:rsidR="00E607F1" w:rsidRPr="00B55C24" w:rsidRDefault="00E607F1" w:rsidP="00B55C24">
      <w:pPr>
        <w:ind w:left="851"/>
        <w:rPr>
          <w:sz w:val="24"/>
          <w:szCs w:val="24"/>
          <w:lang w:val="en-GB"/>
        </w:rPr>
      </w:pPr>
    </w:p>
    <w:p w14:paraId="0DD829B4" w14:textId="2C2E3BD4" w:rsidR="00E607F1" w:rsidRPr="00B55C24" w:rsidRDefault="00E607F1" w:rsidP="00B55C24">
      <w:pPr>
        <w:ind w:left="851"/>
        <w:rPr>
          <w:sz w:val="24"/>
          <w:szCs w:val="24"/>
          <w:lang w:val="en-GB"/>
        </w:rPr>
      </w:pPr>
      <w:r w:rsidRPr="00B55C24">
        <w:rPr>
          <w:sz w:val="24"/>
          <w:szCs w:val="24"/>
          <w:lang w:val="en-GB"/>
        </w:rPr>
        <w:t xml:space="preserve">The median </w:t>
      </w:r>
      <w:proofErr w:type="spellStart"/>
      <w:r w:rsidRPr="00B55C24">
        <w:rPr>
          <w:sz w:val="24"/>
          <w:szCs w:val="24"/>
          <w:lang w:val="en-GB"/>
        </w:rPr>
        <w:t>CrCL</w:t>
      </w:r>
      <w:proofErr w:type="spellEnd"/>
      <w:r w:rsidRPr="00B55C24">
        <w:rPr>
          <w:sz w:val="24"/>
          <w:szCs w:val="24"/>
          <w:lang w:val="en-GB"/>
        </w:rPr>
        <w:t xml:space="preserve"> in the RE-COVER study was 100.3 mL/min. 21.7% of patients had mild renal impairment (</w:t>
      </w:r>
      <w:proofErr w:type="spellStart"/>
      <w:r w:rsidRPr="00B55C24">
        <w:rPr>
          <w:sz w:val="24"/>
          <w:szCs w:val="24"/>
          <w:lang w:val="en-GB"/>
        </w:rPr>
        <w:t>CrCL</w:t>
      </w:r>
      <w:proofErr w:type="spellEnd"/>
      <w:r w:rsidRPr="00B55C24">
        <w:rPr>
          <w:sz w:val="24"/>
          <w:szCs w:val="24"/>
          <w:lang w:val="en-GB"/>
        </w:rPr>
        <w:t xml:space="preserve"> &gt;50 </w:t>
      </w:r>
      <w:r w:rsidRPr="00B55C24">
        <w:rPr>
          <w:sz w:val="24"/>
          <w:szCs w:val="24"/>
          <w:lang w:val="en-GB"/>
        </w:rPr>
        <w:noBreakHyphen/>
        <w:t> &lt; 80 mL/min) and 4.5% of patients had a moderate renal impairment (</w:t>
      </w:r>
      <w:proofErr w:type="spellStart"/>
      <w:r w:rsidRPr="00B55C24">
        <w:rPr>
          <w:sz w:val="24"/>
          <w:szCs w:val="24"/>
          <w:lang w:val="en-GB"/>
        </w:rPr>
        <w:t>CrCL</w:t>
      </w:r>
      <w:proofErr w:type="spellEnd"/>
      <w:r w:rsidRPr="00B55C24">
        <w:rPr>
          <w:sz w:val="24"/>
          <w:szCs w:val="24"/>
          <w:lang w:val="en-GB"/>
        </w:rPr>
        <w:t xml:space="preserve"> between 30 and 50 mL/min). Patients with mild and moderate renal impairment had at steady state an average 1.8-fold and 3.6-fold higher pre-dose dabigatran plasma concentrations compared with patients with </w:t>
      </w:r>
      <w:proofErr w:type="spellStart"/>
      <w:r w:rsidRPr="00B55C24">
        <w:rPr>
          <w:sz w:val="24"/>
          <w:szCs w:val="24"/>
          <w:lang w:val="en-GB"/>
        </w:rPr>
        <w:t>CrCL</w:t>
      </w:r>
      <w:proofErr w:type="spellEnd"/>
      <w:r w:rsidRPr="00B55C24">
        <w:rPr>
          <w:sz w:val="24"/>
          <w:szCs w:val="24"/>
          <w:lang w:val="en-GB"/>
        </w:rPr>
        <w:t xml:space="preserve"> &gt;80 mL/min, respectively. Similar values for </w:t>
      </w:r>
      <w:proofErr w:type="spellStart"/>
      <w:r w:rsidRPr="00B55C24">
        <w:rPr>
          <w:sz w:val="24"/>
          <w:szCs w:val="24"/>
          <w:lang w:val="en-GB"/>
        </w:rPr>
        <w:t>CrCL</w:t>
      </w:r>
      <w:proofErr w:type="spellEnd"/>
      <w:r w:rsidRPr="00B55C24">
        <w:rPr>
          <w:sz w:val="24"/>
          <w:szCs w:val="24"/>
          <w:lang w:val="en-GB"/>
        </w:rPr>
        <w:t xml:space="preserve"> were found in RE-COVER II.</w:t>
      </w:r>
    </w:p>
    <w:p w14:paraId="38C4995C" w14:textId="77777777" w:rsidR="00E607F1" w:rsidRPr="00B55C24" w:rsidRDefault="00E607F1" w:rsidP="00B55C24">
      <w:pPr>
        <w:ind w:left="851"/>
        <w:rPr>
          <w:sz w:val="24"/>
          <w:szCs w:val="24"/>
          <w:lang w:val="en-GB"/>
        </w:rPr>
      </w:pPr>
    </w:p>
    <w:p w14:paraId="693C3663" w14:textId="33207141" w:rsidR="00E607F1" w:rsidRPr="00B55C24" w:rsidRDefault="00E607F1" w:rsidP="00B55C24">
      <w:pPr>
        <w:ind w:left="851"/>
        <w:rPr>
          <w:sz w:val="24"/>
          <w:szCs w:val="24"/>
          <w:lang w:val="en-GB"/>
        </w:rPr>
      </w:pPr>
      <w:r w:rsidRPr="00B55C24">
        <w:rPr>
          <w:sz w:val="24"/>
          <w:szCs w:val="24"/>
          <w:lang w:val="en-GB"/>
        </w:rPr>
        <w:t xml:space="preserve">The median </w:t>
      </w:r>
      <w:proofErr w:type="spellStart"/>
      <w:r w:rsidRPr="00B55C24">
        <w:rPr>
          <w:sz w:val="24"/>
          <w:szCs w:val="24"/>
          <w:lang w:val="en-GB"/>
        </w:rPr>
        <w:t>CrCL</w:t>
      </w:r>
      <w:proofErr w:type="spellEnd"/>
      <w:r w:rsidRPr="00B55C24">
        <w:rPr>
          <w:sz w:val="24"/>
          <w:szCs w:val="24"/>
          <w:lang w:val="en-GB"/>
        </w:rPr>
        <w:t xml:space="preserve"> in the RE-MEDY and RE-SONATE studies were 99.0 mL/min and 99.7 mL/min, respectively. 22.9% and 22.5% of the patients had a </w:t>
      </w:r>
      <w:proofErr w:type="spellStart"/>
      <w:r w:rsidRPr="00B55C24">
        <w:rPr>
          <w:sz w:val="24"/>
          <w:szCs w:val="24"/>
          <w:lang w:val="en-GB"/>
        </w:rPr>
        <w:t>CrCL</w:t>
      </w:r>
      <w:proofErr w:type="spellEnd"/>
      <w:r w:rsidRPr="00B55C24">
        <w:rPr>
          <w:sz w:val="24"/>
          <w:szCs w:val="24"/>
          <w:lang w:val="en-GB"/>
        </w:rPr>
        <w:t xml:space="preserve"> &gt;</w:t>
      </w:r>
      <w:r w:rsidR="00A14925">
        <w:rPr>
          <w:sz w:val="24"/>
          <w:szCs w:val="24"/>
          <w:lang w:val="en-GB"/>
        </w:rPr>
        <w:t> </w:t>
      </w:r>
      <w:r w:rsidRPr="00B55C24">
        <w:rPr>
          <w:sz w:val="24"/>
          <w:szCs w:val="24"/>
          <w:lang w:val="en-GB"/>
        </w:rPr>
        <w:t>50 </w:t>
      </w:r>
      <w:r w:rsidRPr="00B55C24">
        <w:rPr>
          <w:sz w:val="24"/>
          <w:szCs w:val="24"/>
          <w:lang w:val="en-GB"/>
        </w:rPr>
        <w:noBreakHyphen/>
        <w:t> &lt;</w:t>
      </w:r>
      <w:r w:rsidR="00322951">
        <w:rPr>
          <w:sz w:val="24"/>
          <w:szCs w:val="24"/>
          <w:lang w:val="en-GB"/>
        </w:rPr>
        <w:t> </w:t>
      </w:r>
      <w:r w:rsidRPr="00B55C24">
        <w:rPr>
          <w:sz w:val="24"/>
          <w:szCs w:val="24"/>
          <w:lang w:val="en-GB"/>
        </w:rPr>
        <w:t xml:space="preserve">80 mL/min, and 4.1% and 4.8% had a </w:t>
      </w:r>
      <w:proofErr w:type="spellStart"/>
      <w:r w:rsidRPr="00B55C24">
        <w:rPr>
          <w:sz w:val="24"/>
          <w:szCs w:val="24"/>
          <w:lang w:val="en-GB"/>
        </w:rPr>
        <w:t>CrCL</w:t>
      </w:r>
      <w:proofErr w:type="spellEnd"/>
      <w:r w:rsidRPr="00B55C24">
        <w:rPr>
          <w:sz w:val="24"/>
          <w:szCs w:val="24"/>
          <w:lang w:val="en-GB"/>
        </w:rPr>
        <w:t xml:space="preserve"> between 30 and 50 mL/min in the RE-MEDY and RE-SONATE studies.</w:t>
      </w:r>
    </w:p>
    <w:p w14:paraId="45FF573F" w14:textId="77777777" w:rsidR="00E607F1" w:rsidRPr="00B55C24" w:rsidRDefault="00E607F1" w:rsidP="00B55C24">
      <w:pPr>
        <w:ind w:left="851"/>
        <w:rPr>
          <w:sz w:val="24"/>
          <w:szCs w:val="24"/>
          <w:lang w:val="en-GB"/>
        </w:rPr>
      </w:pPr>
    </w:p>
    <w:p w14:paraId="6FC2D936" w14:textId="77777777" w:rsidR="00E607F1" w:rsidRPr="00B55C24" w:rsidRDefault="00E607F1" w:rsidP="00B55C24">
      <w:pPr>
        <w:ind w:left="851"/>
        <w:rPr>
          <w:sz w:val="24"/>
          <w:szCs w:val="24"/>
          <w:lang w:val="en-GB"/>
        </w:rPr>
      </w:pPr>
      <w:r w:rsidRPr="00B55C24">
        <w:rPr>
          <w:i/>
          <w:iCs/>
          <w:sz w:val="24"/>
          <w:szCs w:val="24"/>
          <w:u w:val="single"/>
          <w:lang w:val="en-GB"/>
        </w:rPr>
        <w:t>Elderly patients</w:t>
      </w:r>
    </w:p>
    <w:p w14:paraId="2113D7D7" w14:textId="77777777" w:rsidR="00E607F1" w:rsidRPr="00B55C24" w:rsidRDefault="00E607F1" w:rsidP="00B55C24">
      <w:pPr>
        <w:ind w:left="851"/>
        <w:rPr>
          <w:sz w:val="24"/>
          <w:szCs w:val="24"/>
          <w:lang w:val="en-GB"/>
        </w:rPr>
      </w:pPr>
      <w:r w:rsidRPr="00B55C24">
        <w:rPr>
          <w:sz w:val="24"/>
          <w:szCs w:val="24"/>
          <w:lang w:val="en-GB"/>
        </w:rPr>
        <w:t>Specific pharmacokinetic phase I studies with elderly subjects showed an increase of 40 to 60% in the AUC and of more than 25% in C</w:t>
      </w:r>
      <w:r w:rsidRPr="00B55C24">
        <w:rPr>
          <w:sz w:val="24"/>
          <w:szCs w:val="24"/>
          <w:vertAlign w:val="subscript"/>
          <w:lang w:val="en-GB"/>
        </w:rPr>
        <w:t>max</w:t>
      </w:r>
      <w:r w:rsidRPr="00B55C24">
        <w:rPr>
          <w:sz w:val="24"/>
          <w:szCs w:val="24"/>
          <w:lang w:val="en-GB"/>
        </w:rPr>
        <w:t xml:space="preserve"> compared to young subjects.</w:t>
      </w:r>
    </w:p>
    <w:p w14:paraId="114C2A40" w14:textId="4A7475BC" w:rsidR="00E607F1" w:rsidRPr="00B55C24" w:rsidRDefault="00E607F1" w:rsidP="00B55C24">
      <w:pPr>
        <w:ind w:left="851"/>
        <w:rPr>
          <w:sz w:val="24"/>
          <w:szCs w:val="24"/>
          <w:lang w:val="en-GB"/>
        </w:rPr>
      </w:pPr>
      <w:r w:rsidRPr="00B55C24">
        <w:rPr>
          <w:sz w:val="24"/>
          <w:szCs w:val="24"/>
          <w:lang w:val="en-GB"/>
        </w:rPr>
        <w:t>The effect by age on exposure to dabigatran was confirmed in the RE-LY study with an about 31% higher trough concentration for subjects ≥75 years and by about 22% lower trough level for subjects &lt; 65 years compared to subjects between 65 and 75 years (see sections 4.2 and 4.4).</w:t>
      </w:r>
    </w:p>
    <w:p w14:paraId="31FD963E" w14:textId="77777777" w:rsidR="00E607F1" w:rsidRPr="00B55C24" w:rsidRDefault="00E607F1" w:rsidP="00B55C24">
      <w:pPr>
        <w:ind w:left="851"/>
        <w:rPr>
          <w:sz w:val="24"/>
          <w:szCs w:val="24"/>
          <w:lang w:val="en-GB"/>
        </w:rPr>
      </w:pPr>
    </w:p>
    <w:p w14:paraId="68799CD1" w14:textId="77777777" w:rsidR="00E607F1" w:rsidRPr="00B55C24" w:rsidRDefault="00E607F1" w:rsidP="00B55C24">
      <w:pPr>
        <w:ind w:left="851"/>
        <w:rPr>
          <w:sz w:val="24"/>
          <w:szCs w:val="24"/>
          <w:lang w:val="en-GB"/>
        </w:rPr>
      </w:pPr>
      <w:r w:rsidRPr="00B55C24">
        <w:rPr>
          <w:i/>
          <w:iCs/>
          <w:sz w:val="24"/>
          <w:szCs w:val="24"/>
          <w:u w:val="single"/>
          <w:lang w:val="en-GB"/>
        </w:rPr>
        <w:t>Hepatic impairment</w:t>
      </w:r>
    </w:p>
    <w:p w14:paraId="1C81E508" w14:textId="77777777" w:rsidR="00E607F1" w:rsidRPr="00B55C24" w:rsidRDefault="00E607F1" w:rsidP="00B55C24">
      <w:pPr>
        <w:ind w:left="851"/>
        <w:rPr>
          <w:sz w:val="24"/>
          <w:szCs w:val="24"/>
          <w:lang w:val="en-GB"/>
        </w:rPr>
      </w:pPr>
      <w:r w:rsidRPr="00B55C24">
        <w:rPr>
          <w:sz w:val="24"/>
          <w:szCs w:val="24"/>
          <w:lang w:val="en-GB"/>
        </w:rPr>
        <w:t>No change in dabigatran exposure was seen in 12 adult subjects with moderate hepatic insufficiency (Child Pugh B) compared to 12 controls (see sections 4.2 and 4.4).</w:t>
      </w:r>
    </w:p>
    <w:p w14:paraId="3E3C14FC" w14:textId="77777777" w:rsidR="00E607F1" w:rsidRPr="00B55C24" w:rsidRDefault="00E607F1" w:rsidP="00B55C24">
      <w:pPr>
        <w:ind w:left="851"/>
        <w:rPr>
          <w:sz w:val="24"/>
          <w:szCs w:val="24"/>
          <w:lang w:val="en-GB"/>
        </w:rPr>
      </w:pPr>
    </w:p>
    <w:p w14:paraId="21FDE06A" w14:textId="77777777" w:rsidR="00E607F1" w:rsidRPr="00B55C24" w:rsidRDefault="00E607F1" w:rsidP="00B55C24">
      <w:pPr>
        <w:ind w:left="851"/>
        <w:rPr>
          <w:sz w:val="24"/>
          <w:szCs w:val="24"/>
          <w:lang w:val="en-GB"/>
        </w:rPr>
      </w:pPr>
      <w:r w:rsidRPr="00B55C24">
        <w:rPr>
          <w:i/>
          <w:iCs/>
          <w:sz w:val="24"/>
          <w:szCs w:val="24"/>
          <w:u w:val="single"/>
          <w:lang w:val="en-GB"/>
        </w:rPr>
        <w:t>Body weight</w:t>
      </w:r>
    </w:p>
    <w:p w14:paraId="23970652" w14:textId="6F25AE13" w:rsidR="00E607F1" w:rsidRPr="00B55C24" w:rsidRDefault="00E607F1" w:rsidP="00B55C24">
      <w:pPr>
        <w:ind w:left="851"/>
        <w:rPr>
          <w:sz w:val="24"/>
          <w:szCs w:val="24"/>
          <w:lang w:val="en-GB"/>
        </w:rPr>
      </w:pPr>
      <w:r w:rsidRPr="00B55C24">
        <w:rPr>
          <w:sz w:val="24"/>
          <w:szCs w:val="24"/>
          <w:lang w:val="en-GB"/>
        </w:rPr>
        <w:t>The dabigatran trough concentrations were about 20% lower in adult patients with a body weight &gt; 100 kg compared with 50</w:t>
      </w:r>
      <w:r w:rsidRPr="00B55C24">
        <w:rPr>
          <w:sz w:val="24"/>
          <w:szCs w:val="24"/>
          <w:lang w:val="en-GB"/>
        </w:rPr>
        <w:noBreakHyphen/>
        <w:t>100 kg. The majority (80.8%) of the subjects were in the ≥ 50 kg and &lt; 100 kg category with no clear difference detected (see sections 4.2 and 4.4). Limited clinical data in adult patients &lt; 50 kg are available.</w:t>
      </w:r>
    </w:p>
    <w:p w14:paraId="73DA3A06" w14:textId="77777777" w:rsidR="00E607F1" w:rsidRPr="00B55C24" w:rsidRDefault="00E607F1" w:rsidP="00B55C24">
      <w:pPr>
        <w:ind w:left="851"/>
        <w:rPr>
          <w:sz w:val="24"/>
          <w:szCs w:val="24"/>
          <w:lang w:val="en-GB"/>
        </w:rPr>
      </w:pPr>
    </w:p>
    <w:p w14:paraId="15F0E7E7" w14:textId="77777777" w:rsidR="00E607F1" w:rsidRPr="00B55C24" w:rsidRDefault="00E607F1" w:rsidP="00B55C24">
      <w:pPr>
        <w:ind w:left="851"/>
        <w:rPr>
          <w:sz w:val="24"/>
          <w:szCs w:val="24"/>
          <w:lang w:val="en-GB"/>
        </w:rPr>
      </w:pPr>
      <w:r w:rsidRPr="00B55C24">
        <w:rPr>
          <w:i/>
          <w:iCs/>
          <w:sz w:val="24"/>
          <w:szCs w:val="24"/>
          <w:u w:val="single"/>
          <w:lang w:val="en-GB"/>
        </w:rPr>
        <w:t>Gender</w:t>
      </w:r>
    </w:p>
    <w:p w14:paraId="55FD35CD" w14:textId="77777777" w:rsidR="00E607F1" w:rsidRPr="00B55C24" w:rsidRDefault="00E607F1" w:rsidP="00B55C24">
      <w:pPr>
        <w:ind w:left="851"/>
        <w:rPr>
          <w:sz w:val="24"/>
          <w:szCs w:val="24"/>
          <w:lang w:val="en-GB"/>
        </w:rPr>
      </w:pPr>
      <w:r w:rsidRPr="00B55C24">
        <w:rPr>
          <w:sz w:val="24"/>
          <w:szCs w:val="24"/>
          <w:lang w:val="en-GB"/>
        </w:rPr>
        <w:t xml:space="preserve">In atrial fibrillation </w:t>
      </w:r>
      <w:proofErr w:type="gramStart"/>
      <w:r w:rsidRPr="00B55C24">
        <w:rPr>
          <w:sz w:val="24"/>
          <w:szCs w:val="24"/>
          <w:lang w:val="en-GB"/>
        </w:rPr>
        <w:t>patients</w:t>
      </w:r>
      <w:proofErr w:type="gramEnd"/>
      <w:r w:rsidRPr="00B55C24">
        <w:rPr>
          <w:sz w:val="24"/>
          <w:szCs w:val="24"/>
          <w:lang w:val="en-GB"/>
        </w:rPr>
        <w:t xml:space="preserve"> females had on average 30% higher trough and post-dose concentrations.</w:t>
      </w:r>
    </w:p>
    <w:p w14:paraId="6E05CBBE" w14:textId="77777777" w:rsidR="00E607F1" w:rsidRPr="00B55C24" w:rsidRDefault="00E607F1" w:rsidP="00B55C24">
      <w:pPr>
        <w:ind w:left="851"/>
        <w:rPr>
          <w:sz w:val="24"/>
          <w:szCs w:val="24"/>
          <w:lang w:val="en-GB"/>
        </w:rPr>
      </w:pPr>
      <w:r w:rsidRPr="00B55C24">
        <w:rPr>
          <w:sz w:val="24"/>
          <w:szCs w:val="24"/>
          <w:lang w:val="en-GB"/>
        </w:rPr>
        <w:t>No dose adjustment is required (see section 4.2).</w:t>
      </w:r>
    </w:p>
    <w:p w14:paraId="6F6622CB" w14:textId="77777777" w:rsidR="00E607F1" w:rsidRPr="00B55C24" w:rsidRDefault="00E607F1" w:rsidP="00B55C24">
      <w:pPr>
        <w:ind w:left="851"/>
        <w:rPr>
          <w:sz w:val="24"/>
          <w:szCs w:val="24"/>
          <w:lang w:val="en-GB"/>
        </w:rPr>
      </w:pPr>
    </w:p>
    <w:p w14:paraId="3C51BFCE" w14:textId="77777777" w:rsidR="00E607F1" w:rsidRPr="00B55C24" w:rsidRDefault="00E607F1" w:rsidP="00B55C24">
      <w:pPr>
        <w:ind w:left="851"/>
        <w:rPr>
          <w:sz w:val="24"/>
          <w:szCs w:val="24"/>
          <w:lang w:val="en-GB"/>
        </w:rPr>
      </w:pPr>
      <w:r w:rsidRPr="00B55C24">
        <w:rPr>
          <w:i/>
          <w:iCs/>
          <w:sz w:val="24"/>
          <w:szCs w:val="24"/>
          <w:u w:val="single"/>
          <w:lang w:val="en-GB"/>
        </w:rPr>
        <w:t>Ethnic origin</w:t>
      </w:r>
    </w:p>
    <w:p w14:paraId="273817A1" w14:textId="77777777" w:rsidR="00E607F1" w:rsidRPr="00B55C24" w:rsidRDefault="00E607F1" w:rsidP="00B55C24">
      <w:pPr>
        <w:ind w:left="851"/>
        <w:rPr>
          <w:sz w:val="24"/>
          <w:szCs w:val="24"/>
          <w:lang w:val="en-GB"/>
        </w:rPr>
      </w:pPr>
      <w:r w:rsidRPr="00B55C24">
        <w:rPr>
          <w:sz w:val="24"/>
          <w:szCs w:val="24"/>
          <w:lang w:val="en-GB"/>
        </w:rPr>
        <w:t xml:space="preserve">No clinically relevant inter-ethnic differences among Caucasian, </w:t>
      </w:r>
      <w:proofErr w:type="gramStart"/>
      <w:r w:rsidRPr="00B55C24">
        <w:rPr>
          <w:sz w:val="24"/>
          <w:szCs w:val="24"/>
          <w:lang w:val="en-GB"/>
        </w:rPr>
        <w:t>African-American</w:t>
      </w:r>
      <w:proofErr w:type="gramEnd"/>
      <w:r w:rsidRPr="00B55C24">
        <w:rPr>
          <w:sz w:val="24"/>
          <w:szCs w:val="24"/>
          <w:lang w:val="en-GB"/>
        </w:rPr>
        <w:t>, Hispanic, Japanese or Chinese patients were observed regarding dabigatran pharmacokinetics and pharmacodynamics.</w:t>
      </w:r>
    </w:p>
    <w:p w14:paraId="2DEF5481" w14:textId="77777777" w:rsidR="00E607F1" w:rsidRPr="00B55C24" w:rsidRDefault="00E607F1" w:rsidP="00B55C24">
      <w:pPr>
        <w:ind w:left="851"/>
        <w:rPr>
          <w:sz w:val="24"/>
          <w:szCs w:val="24"/>
          <w:lang w:val="en-GB"/>
        </w:rPr>
      </w:pPr>
    </w:p>
    <w:p w14:paraId="5189AA9C" w14:textId="77777777" w:rsidR="00E607F1" w:rsidRPr="00B55C24" w:rsidRDefault="00E607F1" w:rsidP="00B55C24">
      <w:pPr>
        <w:ind w:left="851"/>
        <w:rPr>
          <w:sz w:val="24"/>
          <w:szCs w:val="24"/>
          <w:lang w:val="en-GB"/>
        </w:rPr>
      </w:pPr>
      <w:r w:rsidRPr="00B55C24">
        <w:rPr>
          <w:i/>
          <w:iCs/>
          <w:sz w:val="24"/>
          <w:szCs w:val="24"/>
          <w:u w:val="single"/>
          <w:lang w:val="en-GB"/>
        </w:rPr>
        <w:t>Paediatric population</w:t>
      </w:r>
    </w:p>
    <w:p w14:paraId="29630308" w14:textId="77777777" w:rsidR="00E607F1" w:rsidRPr="00B55C24" w:rsidRDefault="00E607F1" w:rsidP="00B55C24">
      <w:pPr>
        <w:ind w:left="851"/>
        <w:rPr>
          <w:sz w:val="24"/>
          <w:szCs w:val="24"/>
          <w:lang w:val="en-GB"/>
        </w:rPr>
      </w:pPr>
      <w:r w:rsidRPr="00B55C24">
        <w:rPr>
          <w:sz w:val="24"/>
          <w:szCs w:val="24"/>
          <w:lang w:val="en-GB"/>
        </w:rPr>
        <w:t xml:space="preserve">Oral administration of dabigatran </w:t>
      </w:r>
      <w:proofErr w:type="spellStart"/>
      <w:r w:rsidRPr="00B55C24">
        <w:rPr>
          <w:sz w:val="24"/>
          <w:szCs w:val="24"/>
          <w:lang w:val="en-GB"/>
        </w:rPr>
        <w:t>etexilate</w:t>
      </w:r>
      <w:proofErr w:type="spellEnd"/>
      <w:r w:rsidRPr="00B55C24">
        <w:rPr>
          <w:sz w:val="24"/>
          <w:szCs w:val="24"/>
          <w:lang w:val="en-GB"/>
        </w:rPr>
        <w:t xml:space="preserve"> according to the protocol defined dosing algorithm resulted in exposure within the range observed in adults with DVT/PE. Based on the pooled analysis of pharmacokinetic data of studies DIVERSITY and 1160.108, the observed geometric mean trough exposures were 53.9 ng/mL, 63.0 ng/mL and 99.1 ng/mL in 0 to &lt; 2-year-old, 2 to &lt; 12-year-old and 12 to &lt; 18-year-old paediatric VTE patients, respectively.</w:t>
      </w:r>
    </w:p>
    <w:p w14:paraId="56781402" w14:textId="77777777" w:rsidR="00E607F1" w:rsidRPr="00B55C24" w:rsidRDefault="00E607F1" w:rsidP="00B55C24">
      <w:pPr>
        <w:ind w:left="851"/>
        <w:rPr>
          <w:sz w:val="24"/>
          <w:szCs w:val="24"/>
          <w:lang w:val="en-GB"/>
        </w:rPr>
      </w:pPr>
    </w:p>
    <w:p w14:paraId="57A48337" w14:textId="77777777" w:rsidR="00E607F1" w:rsidRPr="00B55C24" w:rsidRDefault="00E607F1" w:rsidP="00B55C24">
      <w:pPr>
        <w:ind w:left="851"/>
        <w:rPr>
          <w:sz w:val="24"/>
          <w:szCs w:val="24"/>
          <w:lang w:val="en-GB"/>
        </w:rPr>
      </w:pPr>
      <w:r w:rsidRPr="00B55C24">
        <w:rPr>
          <w:sz w:val="24"/>
          <w:szCs w:val="24"/>
          <w:u w:val="single"/>
          <w:lang w:val="en-GB"/>
        </w:rPr>
        <w:t>Pharmacokinetic interactions</w:t>
      </w:r>
    </w:p>
    <w:p w14:paraId="5D4AC3CC" w14:textId="77777777" w:rsidR="00E607F1" w:rsidRPr="00B55C24" w:rsidRDefault="00E607F1" w:rsidP="00B55C24">
      <w:pPr>
        <w:ind w:left="851"/>
        <w:rPr>
          <w:i/>
          <w:iCs/>
          <w:sz w:val="24"/>
          <w:szCs w:val="24"/>
          <w:lang w:val="en-GB"/>
        </w:rPr>
      </w:pPr>
    </w:p>
    <w:p w14:paraId="18465BC1" w14:textId="77777777" w:rsidR="00E607F1" w:rsidRPr="00B55C24" w:rsidRDefault="00E607F1" w:rsidP="00B55C24">
      <w:pPr>
        <w:ind w:left="851"/>
        <w:rPr>
          <w:sz w:val="24"/>
          <w:szCs w:val="24"/>
          <w:lang w:val="en-GB"/>
        </w:rPr>
      </w:pPr>
      <w:r w:rsidRPr="00B55C24">
        <w:rPr>
          <w:i/>
          <w:iCs/>
          <w:sz w:val="24"/>
          <w:szCs w:val="24"/>
          <w:lang w:val="en-GB"/>
        </w:rPr>
        <w:t>In vitro</w:t>
      </w:r>
      <w:r w:rsidRPr="00B55C24">
        <w:rPr>
          <w:sz w:val="24"/>
          <w:szCs w:val="24"/>
          <w:lang w:val="en-GB"/>
        </w:rPr>
        <w:t xml:space="preserve"> interaction studies did not show any inhibition or induction of the principal isoenzymes of cytochrome P450. This has been confirmed by </w:t>
      </w:r>
      <w:r w:rsidRPr="00B55C24">
        <w:rPr>
          <w:i/>
          <w:iCs/>
          <w:sz w:val="24"/>
          <w:szCs w:val="24"/>
          <w:lang w:val="en-GB"/>
        </w:rPr>
        <w:t>in vivo</w:t>
      </w:r>
      <w:r w:rsidRPr="00B55C24">
        <w:rPr>
          <w:sz w:val="24"/>
          <w:szCs w:val="24"/>
          <w:lang w:val="en-GB"/>
        </w:rPr>
        <w:t xml:space="preserve"> studies with healthy volunteers, who did not show any interaction between this treatment and the following active substances: atorvastatin (CYP3A4), digoxin (P-</w:t>
      </w:r>
      <w:proofErr w:type="spellStart"/>
      <w:r w:rsidRPr="00B55C24">
        <w:rPr>
          <w:sz w:val="24"/>
          <w:szCs w:val="24"/>
          <w:lang w:val="en-GB"/>
        </w:rPr>
        <w:t>gp</w:t>
      </w:r>
      <w:proofErr w:type="spellEnd"/>
      <w:r w:rsidRPr="00B55C24">
        <w:rPr>
          <w:sz w:val="24"/>
          <w:szCs w:val="24"/>
          <w:lang w:val="en-GB"/>
        </w:rPr>
        <w:t xml:space="preserve"> transporter interaction) and diclofenac (CYP2C9).</w:t>
      </w:r>
    </w:p>
    <w:p w14:paraId="4D5B39D9" w14:textId="77777777" w:rsidR="007C5D2A" w:rsidRPr="00B55C24" w:rsidRDefault="007C5D2A" w:rsidP="003E0341">
      <w:pPr>
        <w:tabs>
          <w:tab w:val="left" w:pos="851"/>
        </w:tabs>
        <w:ind w:left="851"/>
        <w:rPr>
          <w:sz w:val="24"/>
          <w:szCs w:val="24"/>
          <w:lang w:val="en-GB"/>
        </w:rPr>
      </w:pPr>
    </w:p>
    <w:p w14:paraId="3FC723EE" w14:textId="77777777" w:rsidR="007C5D2A" w:rsidRPr="00B55C24" w:rsidRDefault="00180A12" w:rsidP="007C5D2A">
      <w:pPr>
        <w:tabs>
          <w:tab w:val="left" w:pos="851"/>
        </w:tabs>
        <w:ind w:left="851" w:hanging="851"/>
        <w:rPr>
          <w:b/>
          <w:sz w:val="24"/>
          <w:szCs w:val="24"/>
          <w:lang w:val="en-GB"/>
        </w:rPr>
      </w:pPr>
      <w:r w:rsidRPr="00B55C24">
        <w:rPr>
          <w:b/>
          <w:sz w:val="24"/>
          <w:szCs w:val="24"/>
          <w:lang w:val="en-GB"/>
        </w:rPr>
        <w:t>5.3</w:t>
      </w:r>
      <w:r w:rsidRPr="00B55C24">
        <w:rPr>
          <w:b/>
          <w:sz w:val="24"/>
          <w:szCs w:val="24"/>
          <w:lang w:val="en-GB"/>
        </w:rPr>
        <w:tab/>
        <w:t>Preclinical safety data</w:t>
      </w:r>
    </w:p>
    <w:p w14:paraId="471C40BE" w14:textId="77777777" w:rsidR="00E607F1" w:rsidRPr="00B55C24" w:rsidRDefault="00E607F1" w:rsidP="00B55C24">
      <w:pPr>
        <w:ind w:left="851"/>
        <w:rPr>
          <w:sz w:val="24"/>
          <w:szCs w:val="24"/>
          <w:lang w:val="en-GB"/>
        </w:rPr>
      </w:pPr>
      <w:r w:rsidRPr="00B55C24">
        <w:rPr>
          <w:sz w:val="24"/>
          <w:szCs w:val="24"/>
          <w:lang w:val="en-GB"/>
        </w:rPr>
        <w:t>Non-clinical data reveal no special hazard for humans based on conventional studies of safety pharmacology, repeated dose toxicity and genotoxicity.</w:t>
      </w:r>
    </w:p>
    <w:p w14:paraId="21ECA49F" w14:textId="77777777" w:rsidR="00E607F1" w:rsidRPr="00B55C24" w:rsidRDefault="00E607F1" w:rsidP="00B55C24">
      <w:pPr>
        <w:ind w:left="851"/>
        <w:rPr>
          <w:sz w:val="24"/>
          <w:szCs w:val="24"/>
          <w:lang w:val="en-GB"/>
        </w:rPr>
      </w:pPr>
    </w:p>
    <w:p w14:paraId="0E743B4F" w14:textId="77777777" w:rsidR="00E607F1" w:rsidRPr="00B55C24" w:rsidRDefault="00E607F1" w:rsidP="00B55C24">
      <w:pPr>
        <w:ind w:left="851"/>
        <w:rPr>
          <w:sz w:val="24"/>
          <w:szCs w:val="24"/>
          <w:lang w:val="en-GB"/>
        </w:rPr>
      </w:pPr>
      <w:r w:rsidRPr="00B55C24">
        <w:rPr>
          <w:sz w:val="24"/>
          <w:szCs w:val="24"/>
          <w:lang w:val="en-GB"/>
        </w:rPr>
        <w:t>Effects observed in the repeated dose toxicity studies were due to the exaggerated pharmacodynamic effect of dabigatran.</w:t>
      </w:r>
    </w:p>
    <w:p w14:paraId="1C140D7C" w14:textId="77777777" w:rsidR="00E607F1" w:rsidRPr="00B55C24" w:rsidRDefault="00E607F1" w:rsidP="00B55C24">
      <w:pPr>
        <w:ind w:left="851"/>
        <w:rPr>
          <w:sz w:val="24"/>
          <w:szCs w:val="24"/>
          <w:lang w:val="en-GB"/>
        </w:rPr>
      </w:pPr>
    </w:p>
    <w:p w14:paraId="485601F9" w14:textId="77777777" w:rsidR="00E607F1" w:rsidRPr="00B55C24" w:rsidRDefault="00E607F1" w:rsidP="00B55C24">
      <w:pPr>
        <w:ind w:left="851"/>
        <w:rPr>
          <w:sz w:val="24"/>
          <w:szCs w:val="24"/>
          <w:lang w:val="en-GB"/>
        </w:rPr>
      </w:pPr>
      <w:r w:rsidRPr="00B55C24">
        <w:rPr>
          <w:sz w:val="24"/>
          <w:szCs w:val="24"/>
          <w:lang w:val="en-GB"/>
        </w:rPr>
        <w:t>An effect on female fertility was observed in the form of a decrease in implantations and an increase in pre-implantation loss at 70 mg/kg (5-fold the plasma exposure level in patients). At doses that were toxic to the mothers (5- to 10-fold the plasma exposure level in patients), a decrease in foetal body weight and viability along with an increase in foetal variations were observed in rats and rabbits. In the pre- and post-natal study, an increase in foetal mortality was observed at doses that were toxic to the dams (a dose corresponding to a plasma exposure level 4-fold higher than observed in patients).</w:t>
      </w:r>
    </w:p>
    <w:p w14:paraId="26968294" w14:textId="77777777" w:rsidR="00E607F1" w:rsidRPr="00B55C24" w:rsidRDefault="00E607F1" w:rsidP="00B55C24">
      <w:pPr>
        <w:ind w:left="851"/>
        <w:rPr>
          <w:sz w:val="24"/>
          <w:szCs w:val="24"/>
          <w:lang w:val="en-GB"/>
        </w:rPr>
      </w:pPr>
    </w:p>
    <w:p w14:paraId="771C286D" w14:textId="77777777" w:rsidR="00E607F1" w:rsidRPr="00B55C24" w:rsidRDefault="00E607F1" w:rsidP="00B55C24">
      <w:pPr>
        <w:ind w:left="851"/>
        <w:rPr>
          <w:sz w:val="24"/>
          <w:szCs w:val="24"/>
          <w:lang w:val="en-GB"/>
        </w:rPr>
      </w:pPr>
      <w:r w:rsidRPr="00B55C24">
        <w:rPr>
          <w:sz w:val="24"/>
          <w:szCs w:val="24"/>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B55C24">
        <w:rPr>
          <w:sz w:val="24"/>
          <w:szCs w:val="24"/>
          <w:lang w:val="en-GB"/>
        </w:rPr>
        <w:t>is considered to be</w:t>
      </w:r>
      <w:proofErr w:type="gramEnd"/>
      <w:r w:rsidRPr="00B55C24">
        <w:rPr>
          <w:sz w:val="24"/>
          <w:szCs w:val="24"/>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0E47D470" w14:textId="77777777" w:rsidR="00E607F1" w:rsidRPr="00B55C24" w:rsidRDefault="00E607F1" w:rsidP="00B55C24">
      <w:pPr>
        <w:ind w:left="851"/>
        <w:rPr>
          <w:sz w:val="24"/>
          <w:szCs w:val="24"/>
          <w:lang w:val="en-GB"/>
        </w:rPr>
      </w:pPr>
    </w:p>
    <w:p w14:paraId="74AD8375" w14:textId="77777777" w:rsidR="00E607F1" w:rsidRPr="00B55C24" w:rsidRDefault="00E607F1" w:rsidP="00B55C24">
      <w:pPr>
        <w:ind w:left="851"/>
        <w:rPr>
          <w:sz w:val="24"/>
          <w:szCs w:val="24"/>
          <w:lang w:val="en-GB"/>
        </w:rPr>
      </w:pPr>
      <w:r w:rsidRPr="00B55C24">
        <w:rPr>
          <w:sz w:val="24"/>
          <w:szCs w:val="24"/>
          <w:lang w:val="en-GB"/>
        </w:rPr>
        <w:t>In lifetime toxicology studies in rats and mice, there was no evidence for a tumorigenic potential of dabigatran up to maximum doses of 200 mg/kg.</w:t>
      </w:r>
    </w:p>
    <w:p w14:paraId="3F99173D" w14:textId="77777777" w:rsidR="00E607F1" w:rsidRPr="00B55C24" w:rsidRDefault="00E607F1" w:rsidP="00B55C24">
      <w:pPr>
        <w:ind w:left="851"/>
        <w:rPr>
          <w:sz w:val="24"/>
          <w:szCs w:val="24"/>
          <w:lang w:val="en-GB"/>
        </w:rPr>
      </w:pPr>
    </w:p>
    <w:p w14:paraId="6F1D6330" w14:textId="77777777" w:rsidR="00E607F1" w:rsidRPr="00B55C24" w:rsidRDefault="00E607F1" w:rsidP="00B55C24">
      <w:pPr>
        <w:ind w:left="851"/>
        <w:rPr>
          <w:sz w:val="24"/>
          <w:szCs w:val="24"/>
          <w:lang w:val="en-GB"/>
        </w:rPr>
      </w:pPr>
      <w:r w:rsidRPr="00B55C24">
        <w:rPr>
          <w:sz w:val="24"/>
          <w:szCs w:val="24"/>
          <w:lang w:val="en-GB"/>
        </w:rPr>
        <w:t xml:space="preserve">Dabigatran, the active moiety of dabigatran </w:t>
      </w:r>
      <w:proofErr w:type="spellStart"/>
      <w:r w:rsidRPr="00B55C24">
        <w:rPr>
          <w:sz w:val="24"/>
          <w:szCs w:val="24"/>
          <w:lang w:val="en-GB"/>
        </w:rPr>
        <w:t>etexilate</w:t>
      </w:r>
      <w:proofErr w:type="spellEnd"/>
      <w:r w:rsidRPr="00B55C24">
        <w:rPr>
          <w:sz w:val="24"/>
          <w:szCs w:val="24"/>
          <w:lang w:val="en-GB"/>
        </w:rPr>
        <w:t xml:space="preserve"> </w:t>
      </w:r>
      <w:proofErr w:type="spellStart"/>
      <w:r w:rsidRPr="00B55C24">
        <w:rPr>
          <w:sz w:val="24"/>
          <w:szCs w:val="24"/>
          <w:lang w:val="en-GB"/>
        </w:rPr>
        <w:t>mesilate</w:t>
      </w:r>
      <w:proofErr w:type="spellEnd"/>
      <w:r w:rsidRPr="00B55C24">
        <w:rPr>
          <w:sz w:val="24"/>
          <w:szCs w:val="24"/>
          <w:lang w:val="en-GB"/>
        </w:rPr>
        <w:t>, is persistent in the environment.</w:t>
      </w:r>
    </w:p>
    <w:p w14:paraId="65ACBD31" w14:textId="77777777" w:rsidR="007C5D2A" w:rsidRPr="00B55C24" w:rsidRDefault="007C5D2A" w:rsidP="003E0341">
      <w:pPr>
        <w:tabs>
          <w:tab w:val="left" w:pos="851"/>
        </w:tabs>
        <w:ind w:left="851"/>
        <w:rPr>
          <w:sz w:val="24"/>
          <w:szCs w:val="24"/>
          <w:lang w:val="en-GB"/>
        </w:rPr>
      </w:pPr>
    </w:p>
    <w:p w14:paraId="2EE2F9F6" w14:textId="77777777" w:rsidR="007C5D2A" w:rsidRPr="00B55C24" w:rsidRDefault="007C5D2A" w:rsidP="003E0341">
      <w:pPr>
        <w:tabs>
          <w:tab w:val="left" w:pos="851"/>
        </w:tabs>
        <w:ind w:left="851"/>
        <w:rPr>
          <w:sz w:val="24"/>
          <w:szCs w:val="24"/>
          <w:lang w:val="en-GB"/>
        </w:rPr>
      </w:pPr>
    </w:p>
    <w:p w14:paraId="549C2131" w14:textId="77777777" w:rsidR="007C5D2A" w:rsidRPr="00B55C24" w:rsidRDefault="009925C9" w:rsidP="007C5D2A">
      <w:pPr>
        <w:ind w:left="851" w:hanging="851"/>
        <w:rPr>
          <w:b/>
          <w:sz w:val="24"/>
          <w:szCs w:val="24"/>
          <w:lang w:val="en-GB"/>
        </w:rPr>
      </w:pPr>
      <w:r w:rsidRPr="00B55C24">
        <w:rPr>
          <w:b/>
          <w:sz w:val="24"/>
          <w:szCs w:val="24"/>
          <w:lang w:val="en-GB"/>
        </w:rPr>
        <w:t>6.</w:t>
      </w:r>
      <w:r w:rsidR="007C5D2A" w:rsidRPr="00B55C24">
        <w:rPr>
          <w:b/>
          <w:sz w:val="24"/>
          <w:szCs w:val="24"/>
          <w:lang w:val="en-GB"/>
        </w:rPr>
        <w:tab/>
        <w:t>PHARMACEUTICAL PARTICULARS</w:t>
      </w:r>
    </w:p>
    <w:p w14:paraId="04B231F1" w14:textId="77777777" w:rsidR="007C5D2A" w:rsidRPr="00B55C24" w:rsidRDefault="007C5D2A" w:rsidP="003E0341">
      <w:pPr>
        <w:tabs>
          <w:tab w:val="left" w:pos="851"/>
        </w:tabs>
        <w:ind w:left="851"/>
        <w:rPr>
          <w:sz w:val="24"/>
          <w:szCs w:val="24"/>
          <w:lang w:val="en-GB"/>
        </w:rPr>
      </w:pPr>
    </w:p>
    <w:p w14:paraId="4332958F" w14:textId="77777777" w:rsidR="007C5D2A" w:rsidRPr="00B55C24" w:rsidRDefault="007C5D2A" w:rsidP="007C5D2A">
      <w:pPr>
        <w:ind w:left="851" w:hanging="851"/>
        <w:rPr>
          <w:b/>
          <w:sz w:val="24"/>
          <w:szCs w:val="24"/>
          <w:lang w:val="en-GB"/>
        </w:rPr>
      </w:pPr>
      <w:r w:rsidRPr="00B55C24">
        <w:rPr>
          <w:b/>
          <w:sz w:val="24"/>
          <w:szCs w:val="24"/>
          <w:lang w:val="en-GB"/>
        </w:rPr>
        <w:t>6.1</w:t>
      </w:r>
      <w:r w:rsidRPr="00B55C24">
        <w:rPr>
          <w:b/>
          <w:sz w:val="24"/>
          <w:szCs w:val="24"/>
          <w:lang w:val="en-GB"/>
        </w:rPr>
        <w:tab/>
        <w:t>List of excipients</w:t>
      </w:r>
    </w:p>
    <w:p w14:paraId="1F6B49F4" w14:textId="77777777" w:rsidR="00BE5F23" w:rsidRDefault="00BE5F23" w:rsidP="00B55C24">
      <w:pPr>
        <w:ind w:left="851"/>
        <w:rPr>
          <w:sz w:val="24"/>
          <w:szCs w:val="24"/>
          <w:lang w:val="en-GB"/>
        </w:rPr>
      </w:pPr>
    </w:p>
    <w:p w14:paraId="3FA92E8F" w14:textId="122137ED" w:rsidR="00E607F1" w:rsidRPr="00BE5F23" w:rsidRDefault="00E607F1" w:rsidP="00B55C24">
      <w:pPr>
        <w:ind w:left="851"/>
        <w:rPr>
          <w:sz w:val="24"/>
          <w:szCs w:val="24"/>
          <w:u w:val="single"/>
          <w:lang w:val="en-GB"/>
        </w:rPr>
      </w:pPr>
      <w:r w:rsidRPr="00BE5F23">
        <w:rPr>
          <w:sz w:val="24"/>
          <w:szCs w:val="24"/>
          <w:u w:val="single"/>
          <w:lang w:val="en-GB"/>
        </w:rPr>
        <w:t>Capsule content</w:t>
      </w:r>
    </w:p>
    <w:p w14:paraId="586BFB77" w14:textId="77777777" w:rsidR="00E607F1" w:rsidRPr="00B55C24" w:rsidRDefault="00E607F1" w:rsidP="00B55C24">
      <w:pPr>
        <w:ind w:left="851"/>
        <w:rPr>
          <w:sz w:val="24"/>
          <w:szCs w:val="24"/>
          <w:lang w:val="en-GB"/>
        </w:rPr>
      </w:pPr>
      <w:r w:rsidRPr="00B55C24">
        <w:rPr>
          <w:sz w:val="24"/>
          <w:szCs w:val="24"/>
          <w:lang w:val="en-GB"/>
        </w:rPr>
        <w:t>Tartaric acid</w:t>
      </w:r>
    </w:p>
    <w:p w14:paraId="419AE410" w14:textId="77777777" w:rsidR="00E607F1" w:rsidRPr="00B55C24" w:rsidRDefault="00E607F1" w:rsidP="00B55C24">
      <w:pPr>
        <w:ind w:left="851"/>
        <w:rPr>
          <w:sz w:val="24"/>
          <w:szCs w:val="24"/>
          <w:lang w:val="en-GB"/>
        </w:rPr>
      </w:pPr>
      <w:r w:rsidRPr="00B55C24">
        <w:rPr>
          <w:sz w:val="24"/>
          <w:szCs w:val="24"/>
          <w:lang w:val="en-GB"/>
        </w:rPr>
        <w:t>Hypromellose</w:t>
      </w:r>
    </w:p>
    <w:p w14:paraId="6E2C1FDD" w14:textId="77777777" w:rsidR="00E607F1" w:rsidRPr="00B55C24" w:rsidRDefault="00E607F1" w:rsidP="00B55C24">
      <w:pPr>
        <w:ind w:left="851"/>
        <w:rPr>
          <w:sz w:val="24"/>
          <w:szCs w:val="24"/>
          <w:lang w:val="en-GB"/>
        </w:rPr>
      </w:pPr>
      <w:proofErr w:type="spellStart"/>
      <w:r w:rsidRPr="00B55C24">
        <w:rPr>
          <w:sz w:val="24"/>
          <w:szCs w:val="24"/>
          <w:lang w:val="en-GB"/>
        </w:rPr>
        <w:t>Dimeticone</w:t>
      </w:r>
      <w:proofErr w:type="spellEnd"/>
      <w:r w:rsidRPr="00B55C24">
        <w:rPr>
          <w:sz w:val="24"/>
          <w:szCs w:val="24"/>
          <w:lang w:val="en-GB"/>
        </w:rPr>
        <w:t xml:space="preserve"> 350</w:t>
      </w:r>
    </w:p>
    <w:p w14:paraId="2DCF4A43" w14:textId="77777777" w:rsidR="00E607F1" w:rsidRPr="00B55C24" w:rsidRDefault="00E607F1" w:rsidP="00B55C24">
      <w:pPr>
        <w:ind w:left="851"/>
        <w:rPr>
          <w:sz w:val="24"/>
          <w:szCs w:val="24"/>
          <w:lang w:val="en-GB"/>
        </w:rPr>
      </w:pPr>
      <w:r w:rsidRPr="00B55C24">
        <w:rPr>
          <w:sz w:val="24"/>
          <w:szCs w:val="24"/>
          <w:lang w:val="en-GB"/>
        </w:rPr>
        <w:t>Talc</w:t>
      </w:r>
    </w:p>
    <w:p w14:paraId="0460B240" w14:textId="77777777" w:rsidR="00E607F1" w:rsidRPr="00B55C24" w:rsidRDefault="00E607F1" w:rsidP="00B55C24">
      <w:pPr>
        <w:ind w:left="851"/>
        <w:rPr>
          <w:sz w:val="24"/>
          <w:szCs w:val="24"/>
          <w:lang w:val="en-GB"/>
        </w:rPr>
      </w:pPr>
      <w:proofErr w:type="spellStart"/>
      <w:r w:rsidRPr="00B55C24">
        <w:rPr>
          <w:sz w:val="24"/>
          <w:szCs w:val="24"/>
          <w:lang w:val="en-GB"/>
        </w:rPr>
        <w:t>Hydroxypropylcellulose</w:t>
      </w:r>
      <w:proofErr w:type="spellEnd"/>
    </w:p>
    <w:p w14:paraId="0CA306C9" w14:textId="77777777" w:rsidR="00E607F1" w:rsidRPr="00B55C24" w:rsidRDefault="00E607F1" w:rsidP="00B55C24">
      <w:pPr>
        <w:ind w:left="851"/>
        <w:rPr>
          <w:sz w:val="24"/>
          <w:szCs w:val="24"/>
          <w:lang w:val="en-GB"/>
        </w:rPr>
      </w:pPr>
    </w:p>
    <w:p w14:paraId="65481613" w14:textId="77777777" w:rsidR="00E607F1" w:rsidRPr="00BE5F23" w:rsidRDefault="00E607F1" w:rsidP="00B55C24">
      <w:pPr>
        <w:ind w:left="851"/>
        <w:rPr>
          <w:sz w:val="24"/>
          <w:szCs w:val="24"/>
          <w:u w:val="single"/>
          <w:lang w:val="en-GB"/>
        </w:rPr>
      </w:pPr>
      <w:r w:rsidRPr="00BE5F23">
        <w:rPr>
          <w:sz w:val="24"/>
          <w:szCs w:val="24"/>
          <w:u w:val="single"/>
          <w:lang w:val="en-GB"/>
        </w:rPr>
        <w:t>Capsule shell</w:t>
      </w:r>
    </w:p>
    <w:p w14:paraId="1983B491" w14:textId="77777777" w:rsidR="00E607F1" w:rsidRPr="00B55C24" w:rsidRDefault="00E607F1" w:rsidP="00B55C24">
      <w:pPr>
        <w:ind w:left="851"/>
        <w:rPr>
          <w:sz w:val="24"/>
          <w:szCs w:val="24"/>
          <w:lang w:val="en-GB"/>
        </w:rPr>
      </w:pPr>
      <w:r w:rsidRPr="00B55C24">
        <w:rPr>
          <w:sz w:val="24"/>
          <w:szCs w:val="24"/>
          <w:lang w:val="en-GB"/>
        </w:rPr>
        <w:t>Carrageenan (E 407)</w:t>
      </w:r>
    </w:p>
    <w:p w14:paraId="6CB2D419" w14:textId="77777777" w:rsidR="00E607F1" w:rsidRPr="00B55C24" w:rsidRDefault="00E607F1" w:rsidP="00B55C24">
      <w:pPr>
        <w:ind w:left="851"/>
        <w:rPr>
          <w:sz w:val="24"/>
          <w:szCs w:val="24"/>
          <w:lang w:val="en-GB"/>
        </w:rPr>
      </w:pPr>
      <w:r w:rsidRPr="00B55C24">
        <w:rPr>
          <w:sz w:val="24"/>
          <w:szCs w:val="24"/>
          <w:lang w:val="en-GB"/>
        </w:rPr>
        <w:t>Potassium chloride</w:t>
      </w:r>
    </w:p>
    <w:p w14:paraId="237FB07B" w14:textId="77777777" w:rsidR="00E607F1" w:rsidRPr="00B55C24" w:rsidRDefault="00E607F1" w:rsidP="00B55C24">
      <w:pPr>
        <w:ind w:left="851"/>
        <w:rPr>
          <w:sz w:val="24"/>
          <w:szCs w:val="24"/>
          <w:lang w:val="en-GB"/>
        </w:rPr>
      </w:pPr>
      <w:r w:rsidRPr="00B55C24">
        <w:rPr>
          <w:sz w:val="24"/>
          <w:szCs w:val="24"/>
          <w:lang w:val="en-GB"/>
        </w:rPr>
        <w:t>Titanium dioxide (E 171)</w:t>
      </w:r>
    </w:p>
    <w:p w14:paraId="74A219A6" w14:textId="77777777" w:rsidR="00E607F1" w:rsidRPr="00B55C24" w:rsidRDefault="00E607F1" w:rsidP="00B55C24">
      <w:pPr>
        <w:ind w:left="851"/>
        <w:rPr>
          <w:sz w:val="24"/>
          <w:szCs w:val="24"/>
          <w:lang w:val="en-GB"/>
        </w:rPr>
      </w:pPr>
      <w:proofErr w:type="spellStart"/>
      <w:r w:rsidRPr="00B55C24">
        <w:rPr>
          <w:sz w:val="24"/>
          <w:szCs w:val="24"/>
          <w:lang w:val="en-GB"/>
        </w:rPr>
        <w:t>Indigotine</w:t>
      </w:r>
      <w:proofErr w:type="spellEnd"/>
      <w:r w:rsidRPr="00B55C24">
        <w:rPr>
          <w:sz w:val="24"/>
          <w:szCs w:val="24"/>
          <w:lang w:val="en-GB"/>
        </w:rPr>
        <w:t xml:space="preserve"> – FD&amp;C Blue2 (E 132)</w:t>
      </w:r>
    </w:p>
    <w:p w14:paraId="09BEF3A3" w14:textId="77777777" w:rsidR="00E607F1" w:rsidRPr="00B55C24" w:rsidRDefault="00E607F1" w:rsidP="00B55C24">
      <w:pPr>
        <w:ind w:left="851"/>
        <w:rPr>
          <w:sz w:val="24"/>
          <w:szCs w:val="24"/>
          <w:lang w:val="en-GB"/>
        </w:rPr>
      </w:pPr>
      <w:r w:rsidRPr="00B55C24">
        <w:rPr>
          <w:sz w:val="24"/>
          <w:szCs w:val="24"/>
          <w:lang w:val="en-GB"/>
        </w:rPr>
        <w:t>Hypromellose</w:t>
      </w:r>
    </w:p>
    <w:p w14:paraId="7D957147" w14:textId="77777777" w:rsidR="00E607F1" w:rsidRPr="00B55C24" w:rsidRDefault="00E607F1" w:rsidP="00B55C24">
      <w:pPr>
        <w:ind w:left="851"/>
        <w:rPr>
          <w:sz w:val="24"/>
          <w:szCs w:val="24"/>
          <w:lang w:val="en-GB"/>
        </w:rPr>
      </w:pPr>
    </w:p>
    <w:p w14:paraId="6927B26B" w14:textId="77777777" w:rsidR="00E607F1" w:rsidRPr="00BE5F23" w:rsidRDefault="00E607F1" w:rsidP="00B55C24">
      <w:pPr>
        <w:ind w:left="851"/>
        <w:rPr>
          <w:sz w:val="24"/>
          <w:szCs w:val="24"/>
          <w:u w:val="single"/>
          <w:lang w:val="en-GB"/>
        </w:rPr>
      </w:pPr>
      <w:r w:rsidRPr="00BE5F23">
        <w:rPr>
          <w:sz w:val="24"/>
          <w:szCs w:val="24"/>
          <w:u w:val="single"/>
          <w:lang w:val="en-GB"/>
        </w:rPr>
        <w:t>Black printing ink</w:t>
      </w:r>
    </w:p>
    <w:p w14:paraId="32F49601" w14:textId="77777777" w:rsidR="00E607F1" w:rsidRPr="00B55C24" w:rsidRDefault="00E607F1" w:rsidP="00B55C24">
      <w:pPr>
        <w:ind w:left="851"/>
        <w:rPr>
          <w:sz w:val="24"/>
          <w:szCs w:val="24"/>
          <w:lang w:val="en-GB"/>
        </w:rPr>
      </w:pPr>
      <w:r w:rsidRPr="00B55C24">
        <w:rPr>
          <w:sz w:val="24"/>
          <w:szCs w:val="24"/>
          <w:lang w:val="en-GB"/>
        </w:rPr>
        <w:t>Shellac (E 904)</w:t>
      </w:r>
    </w:p>
    <w:p w14:paraId="6C2B63C0" w14:textId="77777777" w:rsidR="00E607F1" w:rsidRPr="00B55C24" w:rsidRDefault="00E607F1" w:rsidP="00B55C24">
      <w:pPr>
        <w:ind w:left="851"/>
        <w:rPr>
          <w:sz w:val="24"/>
          <w:szCs w:val="24"/>
          <w:lang w:val="en-GB"/>
        </w:rPr>
      </w:pPr>
      <w:r w:rsidRPr="00B55C24">
        <w:rPr>
          <w:sz w:val="24"/>
          <w:szCs w:val="24"/>
          <w:lang w:val="en-GB"/>
        </w:rPr>
        <w:t>Black iron oxide (E 172)</w:t>
      </w:r>
    </w:p>
    <w:p w14:paraId="579EB037" w14:textId="77777777" w:rsidR="00E607F1" w:rsidRPr="00B55C24" w:rsidRDefault="00E607F1" w:rsidP="00B55C24">
      <w:pPr>
        <w:ind w:left="851"/>
        <w:rPr>
          <w:sz w:val="24"/>
          <w:szCs w:val="24"/>
          <w:lang w:val="en-GB"/>
        </w:rPr>
      </w:pPr>
      <w:r w:rsidRPr="00B55C24">
        <w:rPr>
          <w:sz w:val="24"/>
          <w:szCs w:val="24"/>
          <w:lang w:val="en-GB"/>
        </w:rPr>
        <w:t>Propylene glycol (E 1520)</w:t>
      </w:r>
    </w:p>
    <w:p w14:paraId="7DDB045F" w14:textId="77777777" w:rsidR="00E607F1" w:rsidRPr="00B55C24" w:rsidRDefault="00E607F1" w:rsidP="00B55C24">
      <w:pPr>
        <w:ind w:left="851"/>
        <w:rPr>
          <w:sz w:val="24"/>
          <w:szCs w:val="24"/>
          <w:lang w:val="en-GB"/>
        </w:rPr>
      </w:pPr>
      <w:r w:rsidRPr="00B55C24">
        <w:rPr>
          <w:sz w:val="24"/>
          <w:szCs w:val="24"/>
          <w:lang w:val="en-GB"/>
        </w:rPr>
        <w:t>Ammonia solution, concentrated (E 527)</w:t>
      </w:r>
    </w:p>
    <w:p w14:paraId="56439AE9" w14:textId="77777777" w:rsidR="00E607F1" w:rsidRPr="00B55C24" w:rsidRDefault="00E607F1" w:rsidP="00B55C24">
      <w:pPr>
        <w:ind w:left="851"/>
        <w:rPr>
          <w:sz w:val="24"/>
          <w:szCs w:val="24"/>
          <w:lang w:val="en-GB"/>
        </w:rPr>
      </w:pPr>
      <w:r w:rsidRPr="00B55C24">
        <w:rPr>
          <w:sz w:val="24"/>
          <w:szCs w:val="24"/>
          <w:lang w:val="en-GB"/>
        </w:rPr>
        <w:t>Potassium hydroxide (E 525)</w:t>
      </w:r>
    </w:p>
    <w:p w14:paraId="54620DB9" w14:textId="77777777" w:rsidR="007C5D2A" w:rsidRPr="00B55C24" w:rsidRDefault="007C5D2A" w:rsidP="003D727E">
      <w:pPr>
        <w:tabs>
          <w:tab w:val="left" w:pos="851"/>
        </w:tabs>
        <w:ind w:left="851"/>
        <w:rPr>
          <w:sz w:val="24"/>
          <w:szCs w:val="24"/>
          <w:lang w:val="en-GB"/>
        </w:rPr>
      </w:pPr>
    </w:p>
    <w:p w14:paraId="50B562D3" w14:textId="77777777" w:rsidR="007C5D2A" w:rsidRPr="00B55C24" w:rsidRDefault="007C5D2A" w:rsidP="007C5D2A">
      <w:pPr>
        <w:ind w:left="851" w:hanging="851"/>
        <w:rPr>
          <w:b/>
          <w:sz w:val="24"/>
          <w:szCs w:val="24"/>
          <w:lang w:val="en-GB"/>
        </w:rPr>
      </w:pPr>
      <w:r w:rsidRPr="00B55C24">
        <w:rPr>
          <w:b/>
          <w:sz w:val="24"/>
          <w:szCs w:val="24"/>
          <w:lang w:val="en-GB"/>
        </w:rPr>
        <w:t>6.2</w:t>
      </w:r>
      <w:r w:rsidRPr="00B55C24">
        <w:rPr>
          <w:b/>
          <w:sz w:val="24"/>
          <w:szCs w:val="24"/>
          <w:lang w:val="en-GB"/>
        </w:rPr>
        <w:tab/>
        <w:t>Incompatibilities</w:t>
      </w:r>
    </w:p>
    <w:p w14:paraId="3702D880" w14:textId="77777777" w:rsidR="00E607F1" w:rsidRPr="00B55C24" w:rsidRDefault="00E607F1" w:rsidP="00B55C24">
      <w:pPr>
        <w:ind w:left="851"/>
        <w:rPr>
          <w:sz w:val="24"/>
          <w:szCs w:val="24"/>
          <w:lang w:val="en-GB"/>
        </w:rPr>
      </w:pPr>
      <w:r w:rsidRPr="00B55C24">
        <w:rPr>
          <w:sz w:val="24"/>
          <w:szCs w:val="24"/>
          <w:lang w:val="en-GB"/>
        </w:rPr>
        <w:t>Not applicable.</w:t>
      </w:r>
    </w:p>
    <w:p w14:paraId="79E3DD0E" w14:textId="77777777" w:rsidR="007C5D2A" w:rsidRPr="00B55C24" w:rsidRDefault="007C5D2A" w:rsidP="003E0341">
      <w:pPr>
        <w:tabs>
          <w:tab w:val="left" w:pos="851"/>
        </w:tabs>
        <w:ind w:left="851"/>
        <w:rPr>
          <w:sz w:val="24"/>
          <w:szCs w:val="24"/>
          <w:lang w:val="en-GB"/>
        </w:rPr>
      </w:pPr>
    </w:p>
    <w:p w14:paraId="35A4557A" w14:textId="77777777" w:rsidR="007C5D2A" w:rsidRPr="00B55C24" w:rsidRDefault="007C5D2A" w:rsidP="007C5D2A">
      <w:pPr>
        <w:ind w:left="851" w:hanging="851"/>
        <w:rPr>
          <w:b/>
          <w:sz w:val="24"/>
          <w:szCs w:val="24"/>
          <w:lang w:val="en-GB"/>
        </w:rPr>
      </w:pPr>
      <w:r w:rsidRPr="00B55C24">
        <w:rPr>
          <w:b/>
          <w:sz w:val="24"/>
          <w:szCs w:val="24"/>
          <w:lang w:val="en-GB"/>
        </w:rPr>
        <w:t>6.3</w:t>
      </w:r>
      <w:r w:rsidRPr="00B55C24">
        <w:rPr>
          <w:b/>
          <w:sz w:val="24"/>
          <w:szCs w:val="24"/>
          <w:lang w:val="en-GB"/>
        </w:rPr>
        <w:tab/>
        <w:t>Shelf</w:t>
      </w:r>
      <w:r w:rsidR="00B45DC5" w:rsidRPr="00B55C24">
        <w:rPr>
          <w:b/>
          <w:sz w:val="24"/>
          <w:szCs w:val="24"/>
          <w:lang w:val="en-GB"/>
        </w:rPr>
        <w:t xml:space="preserve"> </w:t>
      </w:r>
      <w:r w:rsidRPr="00B55C24">
        <w:rPr>
          <w:b/>
          <w:sz w:val="24"/>
          <w:szCs w:val="24"/>
          <w:lang w:val="en-GB"/>
        </w:rPr>
        <w:t>life</w:t>
      </w:r>
    </w:p>
    <w:p w14:paraId="100AA9CB" w14:textId="77777777" w:rsidR="00E607F1" w:rsidRPr="00B55C24" w:rsidRDefault="00E607F1" w:rsidP="00B55C24">
      <w:pPr>
        <w:ind w:left="851"/>
        <w:rPr>
          <w:sz w:val="24"/>
          <w:szCs w:val="24"/>
          <w:lang w:val="en-GB"/>
        </w:rPr>
      </w:pPr>
      <w:r w:rsidRPr="00B55C24">
        <w:rPr>
          <w:sz w:val="24"/>
          <w:szCs w:val="24"/>
          <w:lang w:val="en-GB"/>
        </w:rPr>
        <w:t>2 years</w:t>
      </w:r>
    </w:p>
    <w:p w14:paraId="6EA39FAB" w14:textId="77777777" w:rsidR="007C5D2A" w:rsidRPr="00B55C24" w:rsidRDefault="007C5D2A" w:rsidP="003E0341">
      <w:pPr>
        <w:tabs>
          <w:tab w:val="left" w:pos="851"/>
        </w:tabs>
        <w:ind w:left="851"/>
        <w:rPr>
          <w:sz w:val="24"/>
          <w:szCs w:val="24"/>
          <w:lang w:val="en-GB"/>
        </w:rPr>
      </w:pPr>
    </w:p>
    <w:p w14:paraId="16316486" w14:textId="77777777" w:rsidR="007C5D2A" w:rsidRPr="00B55C24" w:rsidRDefault="007C5D2A" w:rsidP="007C5D2A">
      <w:pPr>
        <w:ind w:left="851" w:hanging="851"/>
        <w:rPr>
          <w:b/>
          <w:sz w:val="24"/>
          <w:szCs w:val="24"/>
          <w:lang w:val="en-GB"/>
        </w:rPr>
      </w:pPr>
      <w:r w:rsidRPr="00B55C24">
        <w:rPr>
          <w:b/>
          <w:sz w:val="24"/>
          <w:szCs w:val="24"/>
          <w:lang w:val="en-GB"/>
        </w:rPr>
        <w:t>6.4</w:t>
      </w:r>
      <w:r w:rsidRPr="00B55C24">
        <w:rPr>
          <w:b/>
          <w:sz w:val="24"/>
          <w:szCs w:val="24"/>
          <w:lang w:val="en-GB"/>
        </w:rPr>
        <w:tab/>
        <w:t>Special precautions for storage</w:t>
      </w:r>
    </w:p>
    <w:p w14:paraId="25D3D72E" w14:textId="77777777" w:rsidR="00BE5F23" w:rsidRDefault="00E607F1" w:rsidP="00B55C24">
      <w:pPr>
        <w:ind w:left="851"/>
        <w:rPr>
          <w:sz w:val="24"/>
          <w:szCs w:val="24"/>
          <w:lang w:val="en-GB"/>
        </w:rPr>
      </w:pPr>
      <w:r w:rsidRPr="00B55C24">
        <w:rPr>
          <w:sz w:val="24"/>
          <w:szCs w:val="24"/>
          <w:lang w:val="en-GB"/>
        </w:rPr>
        <w:t xml:space="preserve">This medicinal product does not require any special temperature storage conditions. </w:t>
      </w:r>
    </w:p>
    <w:p w14:paraId="16ABBDC7" w14:textId="7200DAB9" w:rsidR="00E607F1" w:rsidRPr="00B55C24" w:rsidRDefault="00E607F1" w:rsidP="00B55C24">
      <w:pPr>
        <w:ind w:left="851"/>
        <w:rPr>
          <w:sz w:val="24"/>
          <w:szCs w:val="24"/>
          <w:lang w:val="en-GB"/>
        </w:rPr>
      </w:pPr>
      <w:r w:rsidRPr="00B55C24">
        <w:rPr>
          <w:sz w:val="24"/>
          <w:szCs w:val="24"/>
          <w:lang w:val="en-GB"/>
        </w:rPr>
        <w:t xml:space="preserve">Store in the original package </w:t>
      </w:r>
      <w:proofErr w:type="gramStart"/>
      <w:r w:rsidRPr="00B55C24">
        <w:rPr>
          <w:sz w:val="24"/>
          <w:szCs w:val="24"/>
          <w:lang w:val="en-GB"/>
        </w:rPr>
        <w:t>in order to</w:t>
      </w:r>
      <w:proofErr w:type="gramEnd"/>
      <w:r w:rsidRPr="00B55C24">
        <w:rPr>
          <w:sz w:val="24"/>
          <w:szCs w:val="24"/>
          <w:lang w:val="en-GB"/>
        </w:rPr>
        <w:t xml:space="preserve"> protect from moisture.</w:t>
      </w:r>
    </w:p>
    <w:p w14:paraId="57464E29" w14:textId="77777777" w:rsidR="007C5D2A" w:rsidRPr="00B55C24" w:rsidRDefault="007C5D2A" w:rsidP="003E0341">
      <w:pPr>
        <w:tabs>
          <w:tab w:val="left" w:pos="851"/>
        </w:tabs>
        <w:ind w:left="851"/>
        <w:rPr>
          <w:sz w:val="24"/>
          <w:szCs w:val="24"/>
          <w:lang w:val="en-GB"/>
        </w:rPr>
      </w:pPr>
    </w:p>
    <w:p w14:paraId="3F317182" w14:textId="77777777" w:rsidR="007C5D2A" w:rsidRPr="00B55C24" w:rsidRDefault="007C5D2A" w:rsidP="007C5D2A">
      <w:pPr>
        <w:ind w:left="851" w:hanging="851"/>
        <w:rPr>
          <w:b/>
          <w:sz w:val="24"/>
          <w:szCs w:val="24"/>
          <w:lang w:val="en-GB"/>
        </w:rPr>
      </w:pPr>
      <w:r w:rsidRPr="00B55C24">
        <w:rPr>
          <w:b/>
          <w:sz w:val="24"/>
          <w:szCs w:val="24"/>
          <w:lang w:val="en-GB"/>
        </w:rPr>
        <w:t>6.5</w:t>
      </w:r>
      <w:r w:rsidRPr="00B55C24">
        <w:rPr>
          <w:b/>
          <w:sz w:val="24"/>
          <w:szCs w:val="24"/>
          <w:lang w:val="en-GB"/>
        </w:rPr>
        <w:tab/>
        <w:t>Nature and contents of container</w:t>
      </w:r>
    </w:p>
    <w:p w14:paraId="760F310F" w14:textId="77777777" w:rsidR="00E607F1" w:rsidRPr="00B55C24" w:rsidRDefault="00E607F1" w:rsidP="00B55C24">
      <w:pPr>
        <w:ind w:left="851"/>
        <w:rPr>
          <w:sz w:val="24"/>
          <w:szCs w:val="24"/>
          <w:lang w:val="en-GB"/>
        </w:rPr>
      </w:pPr>
      <w:r w:rsidRPr="00B55C24">
        <w:rPr>
          <w:sz w:val="24"/>
          <w:szCs w:val="24"/>
          <w:lang w:val="en-GB"/>
        </w:rPr>
        <w:t>Al/Al blisters consisted of OPA/ALU/PE soft foil with integrated desiccant and hard Aluminium foil containing 10 hard capsules. Each carton contains 10, 30 or 60 hard capsules.</w:t>
      </w:r>
    </w:p>
    <w:p w14:paraId="3FDA042F" w14:textId="77777777" w:rsidR="00E607F1" w:rsidRPr="00B55C24" w:rsidRDefault="00E607F1" w:rsidP="00B55C24">
      <w:pPr>
        <w:ind w:left="851"/>
        <w:rPr>
          <w:sz w:val="24"/>
          <w:szCs w:val="24"/>
          <w:lang w:val="en-GB"/>
        </w:rPr>
      </w:pPr>
    </w:p>
    <w:p w14:paraId="29DF631B" w14:textId="77777777" w:rsidR="00E607F1" w:rsidRPr="00B55C24" w:rsidRDefault="00E607F1" w:rsidP="00B55C24">
      <w:pPr>
        <w:ind w:left="851"/>
        <w:rPr>
          <w:sz w:val="24"/>
          <w:szCs w:val="24"/>
          <w:lang w:val="en-GB"/>
        </w:rPr>
      </w:pPr>
      <w:r w:rsidRPr="00B55C24">
        <w:rPr>
          <w:sz w:val="24"/>
          <w:szCs w:val="24"/>
          <w:lang w:val="en-GB"/>
        </w:rPr>
        <w:t>Multipack containing 3 packs of 60 hard capsules (180 hard capsules). Each individual pack of the multipack contains 6 Al/Al blisters of 10 hard capsules.</w:t>
      </w:r>
    </w:p>
    <w:p w14:paraId="79E9C917" w14:textId="77777777" w:rsidR="00E607F1" w:rsidRPr="00B55C24" w:rsidRDefault="00E607F1" w:rsidP="00B55C24">
      <w:pPr>
        <w:ind w:left="851"/>
        <w:rPr>
          <w:sz w:val="24"/>
          <w:szCs w:val="24"/>
          <w:lang w:val="en-GB"/>
        </w:rPr>
      </w:pPr>
    </w:p>
    <w:p w14:paraId="18D45FBC" w14:textId="77777777" w:rsidR="00E607F1" w:rsidRPr="00B55C24" w:rsidRDefault="00E607F1" w:rsidP="00B55C24">
      <w:pPr>
        <w:ind w:left="851"/>
        <w:rPr>
          <w:sz w:val="24"/>
          <w:szCs w:val="24"/>
          <w:lang w:val="en-GB"/>
        </w:rPr>
      </w:pPr>
      <w:r w:rsidRPr="00B55C24">
        <w:rPr>
          <w:sz w:val="24"/>
          <w:szCs w:val="24"/>
          <w:lang w:val="en-GB"/>
        </w:rPr>
        <w:t>Al/Al perforated blisters consisted of OPA/ALU/PE soft foil with integrated desiccant and hard Aluminium foil containing 10 hard capsules. Each carton contains 10, 30 or 60 hard capsules.</w:t>
      </w:r>
    </w:p>
    <w:p w14:paraId="266963D3" w14:textId="77777777" w:rsidR="00E607F1" w:rsidRPr="00B55C24" w:rsidRDefault="00E607F1" w:rsidP="00B55C24">
      <w:pPr>
        <w:ind w:left="851"/>
        <w:rPr>
          <w:sz w:val="24"/>
          <w:szCs w:val="24"/>
          <w:lang w:val="en-GB"/>
        </w:rPr>
      </w:pPr>
    </w:p>
    <w:p w14:paraId="342755CB" w14:textId="77777777" w:rsidR="00E607F1" w:rsidRPr="00B55C24" w:rsidRDefault="00E607F1" w:rsidP="00B55C24">
      <w:pPr>
        <w:ind w:left="851"/>
        <w:rPr>
          <w:sz w:val="24"/>
          <w:szCs w:val="24"/>
          <w:lang w:val="en-GB"/>
        </w:rPr>
      </w:pPr>
      <w:r w:rsidRPr="00B55C24">
        <w:rPr>
          <w:sz w:val="24"/>
          <w:szCs w:val="24"/>
          <w:lang w:val="en-GB"/>
        </w:rPr>
        <w:t>Multipack containing 3 packs of 60 hard capsules (180 hard capsules). Each individual pack of the multipack contains 6 Al/Al perforated blisters of 10 hard capsules.</w:t>
      </w:r>
    </w:p>
    <w:p w14:paraId="641312CD" w14:textId="77777777" w:rsidR="00E607F1" w:rsidRPr="00B55C24" w:rsidRDefault="00E607F1" w:rsidP="00B55C24">
      <w:pPr>
        <w:ind w:left="851"/>
        <w:rPr>
          <w:sz w:val="24"/>
          <w:szCs w:val="24"/>
          <w:lang w:val="en-GB"/>
        </w:rPr>
      </w:pPr>
    </w:p>
    <w:p w14:paraId="4AC53C4E" w14:textId="77777777" w:rsidR="00E607F1" w:rsidRPr="00B55C24" w:rsidRDefault="00E607F1" w:rsidP="00B55C24">
      <w:pPr>
        <w:ind w:left="851"/>
        <w:rPr>
          <w:sz w:val="24"/>
          <w:szCs w:val="24"/>
          <w:lang w:val="en-GB"/>
        </w:rPr>
      </w:pPr>
      <w:r w:rsidRPr="00B55C24">
        <w:rPr>
          <w:sz w:val="24"/>
          <w:szCs w:val="24"/>
          <w:lang w:val="en-GB"/>
        </w:rPr>
        <w:t>Not all pack sizes may be marketed.</w:t>
      </w:r>
    </w:p>
    <w:p w14:paraId="2D01B680" w14:textId="77777777" w:rsidR="007C5D2A" w:rsidRPr="00B55C24" w:rsidRDefault="007C5D2A" w:rsidP="003E0341">
      <w:pPr>
        <w:tabs>
          <w:tab w:val="left" w:pos="851"/>
        </w:tabs>
        <w:ind w:left="851"/>
        <w:rPr>
          <w:sz w:val="24"/>
          <w:szCs w:val="24"/>
          <w:lang w:val="en-GB"/>
        </w:rPr>
      </w:pPr>
    </w:p>
    <w:p w14:paraId="35C31123" w14:textId="77777777" w:rsidR="007C5D2A" w:rsidRPr="00B55C24" w:rsidRDefault="007C5D2A" w:rsidP="007C5D2A">
      <w:pPr>
        <w:ind w:left="851" w:hanging="851"/>
        <w:rPr>
          <w:b/>
          <w:sz w:val="24"/>
          <w:szCs w:val="24"/>
          <w:lang w:val="en-GB"/>
        </w:rPr>
      </w:pPr>
      <w:r w:rsidRPr="00B55C24">
        <w:rPr>
          <w:b/>
          <w:sz w:val="24"/>
          <w:szCs w:val="24"/>
          <w:lang w:val="en-GB"/>
        </w:rPr>
        <w:t>6.6</w:t>
      </w:r>
      <w:r w:rsidRPr="00B55C24">
        <w:rPr>
          <w:b/>
          <w:sz w:val="24"/>
          <w:szCs w:val="24"/>
          <w:lang w:val="en-GB"/>
        </w:rPr>
        <w:tab/>
        <w:t>Special precautions for disposal and other handling</w:t>
      </w:r>
    </w:p>
    <w:p w14:paraId="7D0537E1" w14:textId="7146DD24" w:rsidR="00E607F1" w:rsidRPr="00B55C24" w:rsidRDefault="00E607F1" w:rsidP="00B55C24">
      <w:pPr>
        <w:ind w:left="851"/>
        <w:rPr>
          <w:sz w:val="24"/>
          <w:szCs w:val="24"/>
          <w:lang w:val="en-GB"/>
        </w:rPr>
      </w:pPr>
      <w:r w:rsidRPr="00B55C24">
        <w:rPr>
          <w:sz w:val="24"/>
          <w:szCs w:val="24"/>
          <w:lang w:val="en-GB"/>
        </w:rPr>
        <w:t xml:space="preserve">When taking </w:t>
      </w:r>
      <w:proofErr w:type="spellStart"/>
      <w:r w:rsidR="004A5906" w:rsidRPr="00B55C24">
        <w:rPr>
          <w:sz w:val="24"/>
          <w:szCs w:val="24"/>
          <w:lang w:val="en-GB"/>
        </w:rPr>
        <w:t>Dabigatranetexilat</w:t>
      </w:r>
      <w:proofErr w:type="spellEnd"/>
      <w:r w:rsidR="004A5906" w:rsidRPr="00B55C24">
        <w:rPr>
          <w:sz w:val="24"/>
          <w:szCs w:val="24"/>
          <w:lang w:val="en-GB"/>
        </w:rPr>
        <w:t xml:space="preserve"> "Gedeon Richter"</w:t>
      </w:r>
      <w:r w:rsidRPr="00B55C24">
        <w:rPr>
          <w:sz w:val="24"/>
          <w:szCs w:val="24"/>
          <w:lang w:val="en-GB"/>
        </w:rPr>
        <w:t xml:space="preserve"> capsules out of the blister pack, the following instructions should be followed:</w:t>
      </w:r>
    </w:p>
    <w:p w14:paraId="4C3DB3D7" w14:textId="77777777" w:rsidR="00E607F1" w:rsidRPr="00BE5F23" w:rsidRDefault="00E607F1" w:rsidP="00BE5F23">
      <w:pPr>
        <w:pStyle w:val="Listeafsnit"/>
        <w:numPr>
          <w:ilvl w:val="0"/>
          <w:numId w:val="19"/>
        </w:numPr>
        <w:ind w:left="1276" w:hanging="425"/>
        <w:rPr>
          <w:sz w:val="24"/>
          <w:szCs w:val="24"/>
          <w:lang w:val="en-GB"/>
        </w:rPr>
      </w:pPr>
      <w:r w:rsidRPr="00BE5F23">
        <w:rPr>
          <w:sz w:val="24"/>
          <w:szCs w:val="24"/>
          <w:lang w:val="en-GB"/>
        </w:rPr>
        <w:t>In the case of perforated foil: One individual blister should be teared off from the blister card along the perforated line.</w:t>
      </w:r>
    </w:p>
    <w:p w14:paraId="762917BE" w14:textId="77777777" w:rsidR="00E607F1" w:rsidRPr="00BE5F23" w:rsidRDefault="00E607F1" w:rsidP="00BE5F23">
      <w:pPr>
        <w:pStyle w:val="Listeafsnit"/>
        <w:numPr>
          <w:ilvl w:val="0"/>
          <w:numId w:val="19"/>
        </w:numPr>
        <w:ind w:left="1276" w:hanging="425"/>
        <w:rPr>
          <w:sz w:val="24"/>
          <w:szCs w:val="24"/>
          <w:lang w:val="en-GB"/>
        </w:rPr>
      </w:pPr>
      <w:r w:rsidRPr="00BE5F23">
        <w:rPr>
          <w:sz w:val="24"/>
          <w:szCs w:val="24"/>
          <w:lang w:val="en-GB"/>
        </w:rPr>
        <w:t>The hard capsules should be pushed through the blister foil.</w:t>
      </w:r>
    </w:p>
    <w:p w14:paraId="2180CFA8" w14:textId="77777777" w:rsidR="00E607F1" w:rsidRPr="00B55C24" w:rsidRDefault="00E607F1" w:rsidP="00B55C24">
      <w:pPr>
        <w:ind w:left="851"/>
        <w:rPr>
          <w:sz w:val="24"/>
          <w:szCs w:val="24"/>
          <w:lang w:val="en-GB"/>
        </w:rPr>
      </w:pPr>
    </w:p>
    <w:p w14:paraId="65AB2EC7" w14:textId="77777777" w:rsidR="00E607F1" w:rsidRPr="00B55C24" w:rsidRDefault="00E607F1" w:rsidP="00B55C24">
      <w:pPr>
        <w:ind w:left="851"/>
        <w:rPr>
          <w:sz w:val="24"/>
          <w:szCs w:val="24"/>
          <w:lang w:val="en-GB"/>
        </w:rPr>
      </w:pPr>
      <w:r w:rsidRPr="00B55C24">
        <w:rPr>
          <w:sz w:val="24"/>
          <w:szCs w:val="24"/>
          <w:lang w:val="en-GB"/>
        </w:rPr>
        <w:t>Any unused medicinal product or waste material should be disposed of in accordance with local requirements.</w:t>
      </w:r>
    </w:p>
    <w:p w14:paraId="056DD321" w14:textId="77777777" w:rsidR="007C5D2A" w:rsidRPr="00B55C24" w:rsidRDefault="007C5D2A" w:rsidP="00AB4376">
      <w:pPr>
        <w:tabs>
          <w:tab w:val="left" w:pos="851"/>
        </w:tabs>
        <w:ind w:left="851"/>
        <w:rPr>
          <w:sz w:val="24"/>
          <w:szCs w:val="24"/>
          <w:lang w:val="en-GB"/>
        </w:rPr>
      </w:pPr>
    </w:p>
    <w:p w14:paraId="614949EA" w14:textId="77777777" w:rsidR="007C5D2A" w:rsidRPr="00B55C24" w:rsidRDefault="007C5D2A" w:rsidP="007C5D2A">
      <w:pPr>
        <w:tabs>
          <w:tab w:val="left" w:pos="851"/>
        </w:tabs>
        <w:ind w:left="851" w:hanging="851"/>
        <w:jc w:val="both"/>
        <w:rPr>
          <w:b/>
          <w:sz w:val="24"/>
          <w:szCs w:val="24"/>
          <w:lang w:val="en-GB"/>
        </w:rPr>
      </w:pPr>
      <w:r w:rsidRPr="00B55C24">
        <w:rPr>
          <w:b/>
          <w:sz w:val="24"/>
          <w:szCs w:val="24"/>
          <w:lang w:val="en-GB"/>
        </w:rPr>
        <w:t>7.</w:t>
      </w:r>
      <w:r w:rsidRPr="00B55C24">
        <w:rPr>
          <w:b/>
          <w:sz w:val="24"/>
          <w:szCs w:val="24"/>
          <w:lang w:val="en-GB"/>
        </w:rPr>
        <w:tab/>
        <w:t>MARKETING AUTHORISATION HOLDER</w:t>
      </w:r>
    </w:p>
    <w:p w14:paraId="6401E7DD" w14:textId="77777777" w:rsidR="005C6955" w:rsidRPr="00B55C24" w:rsidRDefault="005C6955" w:rsidP="005C6955">
      <w:pPr>
        <w:tabs>
          <w:tab w:val="left" w:pos="851"/>
        </w:tabs>
        <w:ind w:left="851"/>
        <w:jc w:val="both"/>
        <w:rPr>
          <w:sz w:val="24"/>
          <w:szCs w:val="24"/>
          <w:lang w:val="en-GB"/>
        </w:rPr>
      </w:pPr>
      <w:r w:rsidRPr="00B55C24">
        <w:rPr>
          <w:sz w:val="24"/>
          <w:szCs w:val="24"/>
          <w:lang w:val="en-GB"/>
        </w:rPr>
        <w:t>Gedeon Richter Plc.</w:t>
      </w:r>
    </w:p>
    <w:p w14:paraId="3828E513" w14:textId="77777777" w:rsidR="005C6955" w:rsidRPr="00B55C24" w:rsidRDefault="005C6955" w:rsidP="005C6955">
      <w:pPr>
        <w:tabs>
          <w:tab w:val="left" w:pos="851"/>
        </w:tabs>
        <w:ind w:left="851"/>
        <w:jc w:val="both"/>
        <w:rPr>
          <w:sz w:val="24"/>
          <w:szCs w:val="24"/>
          <w:lang w:val="en-GB"/>
        </w:rPr>
      </w:pPr>
      <w:proofErr w:type="spellStart"/>
      <w:r w:rsidRPr="00B55C24">
        <w:rPr>
          <w:sz w:val="24"/>
          <w:szCs w:val="24"/>
          <w:lang w:val="en-GB"/>
        </w:rPr>
        <w:t>Gyomroi</w:t>
      </w:r>
      <w:proofErr w:type="spellEnd"/>
      <w:r w:rsidRPr="00B55C24">
        <w:rPr>
          <w:sz w:val="24"/>
          <w:szCs w:val="24"/>
          <w:lang w:val="en-GB"/>
        </w:rPr>
        <w:t xml:space="preserve"> Ut 19-21</w:t>
      </w:r>
    </w:p>
    <w:p w14:paraId="13E8D0F0" w14:textId="77777777" w:rsidR="005C6955" w:rsidRPr="00B55C24" w:rsidRDefault="005C6955" w:rsidP="005C6955">
      <w:pPr>
        <w:tabs>
          <w:tab w:val="left" w:pos="851"/>
        </w:tabs>
        <w:ind w:left="851"/>
        <w:jc w:val="both"/>
        <w:rPr>
          <w:sz w:val="24"/>
          <w:szCs w:val="24"/>
          <w:lang w:val="en-GB"/>
        </w:rPr>
      </w:pPr>
      <w:r w:rsidRPr="00B55C24">
        <w:rPr>
          <w:sz w:val="24"/>
          <w:szCs w:val="24"/>
          <w:lang w:val="en-GB"/>
        </w:rPr>
        <w:t>1103 Budapest</w:t>
      </w:r>
    </w:p>
    <w:p w14:paraId="65A44227" w14:textId="77777777" w:rsidR="005C6955" w:rsidRPr="00B55C24" w:rsidRDefault="005C6955" w:rsidP="005C6955">
      <w:pPr>
        <w:tabs>
          <w:tab w:val="left" w:pos="851"/>
        </w:tabs>
        <w:ind w:left="851"/>
        <w:jc w:val="both"/>
        <w:rPr>
          <w:sz w:val="24"/>
          <w:szCs w:val="24"/>
          <w:lang w:val="en-GB"/>
        </w:rPr>
      </w:pPr>
      <w:proofErr w:type="spellStart"/>
      <w:r w:rsidRPr="00B55C24">
        <w:rPr>
          <w:sz w:val="24"/>
          <w:szCs w:val="24"/>
          <w:lang w:val="en-GB"/>
        </w:rPr>
        <w:t>Ungarn</w:t>
      </w:r>
      <w:proofErr w:type="spellEnd"/>
    </w:p>
    <w:p w14:paraId="698AD07F" w14:textId="77777777" w:rsidR="005C6955" w:rsidRPr="00B55C24" w:rsidRDefault="005C6955" w:rsidP="005C6955">
      <w:pPr>
        <w:tabs>
          <w:tab w:val="left" w:pos="851"/>
        </w:tabs>
        <w:ind w:left="851"/>
        <w:jc w:val="both"/>
        <w:rPr>
          <w:sz w:val="24"/>
          <w:szCs w:val="24"/>
          <w:lang w:val="en-GB"/>
        </w:rPr>
      </w:pPr>
    </w:p>
    <w:p w14:paraId="0D6D7B6C" w14:textId="77777777" w:rsidR="005C6955" w:rsidRPr="00B55C24" w:rsidRDefault="005C6955" w:rsidP="005C6955">
      <w:pPr>
        <w:tabs>
          <w:tab w:val="left" w:pos="851"/>
        </w:tabs>
        <w:ind w:left="851"/>
        <w:jc w:val="both"/>
        <w:rPr>
          <w:b/>
          <w:sz w:val="24"/>
          <w:szCs w:val="24"/>
          <w:lang w:val="en-GB"/>
        </w:rPr>
      </w:pPr>
      <w:r w:rsidRPr="00B55C24">
        <w:rPr>
          <w:b/>
          <w:sz w:val="24"/>
          <w:szCs w:val="24"/>
          <w:lang w:val="en-GB"/>
        </w:rPr>
        <w:t>Representative</w:t>
      </w:r>
    </w:p>
    <w:p w14:paraId="3C248533" w14:textId="77777777" w:rsidR="005C6955" w:rsidRPr="00B55C24" w:rsidRDefault="005C6955" w:rsidP="005C6955">
      <w:pPr>
        <w:tabs>
          <w:tab w:val="left" w:pos="851"/>
        </w:tabs>
        <w:ind w:left="851"/>
        <w:jc w:val="both"/>
        <w:rPr>
          <w:sz w:val="24"/>
          <w:szCs w:val="24"/>
          <w:lang w:val="en-GB"/>
        </w:rPr>
      </w:pPr>
      <w:r w:rsidRPr="00B55C24">
        <w:rPr>
          <w:sz w:val="24"/>
          <w:szCs w:val="24"/>
          <w:lang w:val="en-GB"/>
        </w:rPr>
        <w:t>Gedeon Richter Nordics AB</w:t>
      </w:r>
    </w:p>
    <w:p w14:paraId="6016BA63" w14:textId="77777777" w:rsidR="005C6955" w:rsidRPr="00B55C24" w:rsidRDefault="005C6955" w:rsidP="005C6955">
      <w:pPr>
        <w:tabs>
          <w:tab w:val="left" w:pos="851"/>
        </w:tabs>
        <w:ind w:left="851"/>
        <w:jc w:val="both"/>
        <w:rPr>
          <w:sz w:val="24"/>
          <w:szCs w:val="24"/>
          <w:lang w:val="en-GB"/>
        </w:rPr>
      </w:pPr>
      <w:proofErr w:type="spellStart"/>
      <w:r w:rsidRPr="00B55C24">
        <w:rPr>
          <w:sz w:val="24"/>
          <w:szCs w:val="24"/>
          <w:lang w:val="en-GB"/>
        </w:rPr>
        <w:t>Barnhusgatan</w:t>
      </w:r>
      <w:proofErr w:type="spellEnd"/>
      <w:r w:rsidRPr="00B55C24">
        <w:rPr>
          <w:sz w:val="24"/>
          <w:szCs w:val="24"/>
          <w:lang w:val="en-GB"/>
        </w:rPr>
        <w:t xml:space="preserve"> 22</w:t>
      </w:r>
    </w:p>
    <w:p w14:paraId="62F93F08" w14:textId="77777777" w:rsidR="005C6955" w:rsidRPr="00B55C24" w:rsidRDefault="005C6955" w:rsidP="005C6955">
      <w:pPr>
        <w:tabs>
          <w:tab w:val="left" w:pos="851"/>
        </w:tabs>
        <w:ind w:left="851"/>
        <w:jc w:val="both"/>
        <w:rPr>
          <w:sz w:val="24"/>
          <w:szCs w:val="24"/>
          <w:lang w:val="en-GB"/>
        </w:rPr>
      </w:pPr>
      <w:r w:rsidRPr="00B55C24">
        <w:rPr>
          <w:sz w:val="24"/>
          <w:szCs w:val="24"/>
          <w:lang w:val="en-GB"/>
        </w:rPr>
        <w:t>Adolf Fredrik</w:t>
      </w:r>
    </w:p>
    <w:p w14:paraId="0EF3F24C" w14:textId="77777777" w:rsidR="005C6955" w:rsidRPr="00B55C24" w:rsidRDefault="005C6955" w:rsidP="005C6955">
      <w:pPr>
        <w:tabs>
          <w:tab w:val="left" w:pos="851"/>
        </w:tabs>
        <w:ind w:left="851"/>
        <w:jc w:val="both"/>
        <w:rPr>
          <w:sz w:val="24"/>
          <w:szCs w:val="24"/>
          <w:lang w:val="en-GB"/>
        </w:rPr>
      </w:pPr>
      <w:r w:rsidRPr="00B55C24">
        <w:rPr>
          <w:sz w:val="24"/>
          <w:szCs w:val="24"/>
          <w:lang w:val="en-GB"/>
        </w:rPr>
        <w:t>111 23 Stockholm</w:t>
      </w:r>
    </w:p>
    <w:p w14:paraId="3FA2FFA9" w14:textId="77777777" w:rsidR="005C6955" w:rsidRPr="00B55C24" w:rsidRDefault="005C6955" w:rsidP="005C6955">
      <w:pPr>
        <w:tabs>
          <w:tab w:val="left" w:pos="851"/>
        </w:tabs>
        <w:ind w:left="851"/>
        <w:jc w:val="both"/>
        <w:rPr>
          <w:sz w:val="24"/>
          <w:szCs w:val="24"/>
          <w:lang w:val="en-GB"/>
        </w:rPr>
      </w:pPr>
      <w:r w:rsidRPr="00B55C24">
        <w:rPr>
          <w:sz w:val="24"/>
          <w:szCs w:val="24"/>
          <w:lang w:val="en-GB"/>
        </w:rPr>
        <w:t>Sverige</w:t>
      </w:r>
    </w:p>
    <w:p w14:paraId="54AC405A" w14:textId="77777777" w:rsidR="008A24F6" w:rsidRPr="00B55C24" w:rsidRDefault="008A24F6" w:rsidP="003E0341">
      <w:pPr>
        <w:tabs>
          <w:tab w:val="left" w:pos="851"/>
        </w:tabs>
        <w:ind w:left="851"/>
        <w:jc w:val="both"/>
        <w:rPr>
          <w:sz w:val="24"/>
          <w:szCs w:val="24"/>
          <w:lang w:val="en-GB"/>
        </w:rPr>
      </w:pPr>
    </w:p>
    <w:p w14:paraId="6F2DAA9D" w14:textId="77777777" w:rsidR="007C5D2A" w:rsidRPr="00B55C24" w:rsidRDefault="007C5D2A" w:rsidP="007C5D2A">
      <w:pPr>
        <w:ind w:left="851" w:hanging="851"/>
        <w:jc w:val="both"/>
        <w:rPr>
          <w:b/>
          <w:sz w:val="24"/>
          <w:szCs w:val="24"/>
          <w:lang w:val="en-GB"/>
        </w:rPr>
      </w:pPr>
      <w:r w:rsidRPr="00B55C24">
        <w:rPr>
          <w:b/>
          <w:sz w:val="24"/>
          <w:szCs w:val="24"/>
          <w:lang w:val="en-GB"/>
        </w:rPr>
        <w:t>8.</w:t>
      </w:r>
      <w:r w:rsidRPr="00B55C24">
        <w:rPr>
          <w:b/>
          <w:sz w:val="24"/>
          <w:szCs w:val="24"/>
          <w:lang w:val="en-GB"/>
        </w:rPr>
        <w:tab/>
        <w:t>MARKETING AUTHORISATION NUMBER(S)</w:t>
      </w:r>
    </w:p>
    <w:p w14:paraId="45F734C8" w14:textId="5E53C2F8" w:rsidR="007C5D2A" w:rsidRPr="00B55C24" w:rsidRDefault="00E607F1" w:rsidP="00A85D26">
      <w:pPr>
        <w:tabs>
          <w:tab w:val="left" w:pos="851"/>
        </w:tabs>
        <w:ind w:left="851"/>
        <w:jc w:val="both"/>
        <w:rPr>
          <w:sz w:val="24"/>
          <w:szCs w:val="24"/>
          <w:lang w:val="en-GB"/>
        </w:rPr>
      </w:pPr>
      <w:r w:rsidRPr="00B55C24">
        <w:rPr>
          <w:sz w:val="24"/>
          <w:szCs w:val="24"/>
          <w:lang w:val="en-GB"/>
        </w:rPr>
        <w:t>71754</w:t>
      </w:r>
    </w:p>
    <w:p w14:paraId="37B0BE4A" w14:textId="77777777" w:rsidR="007C5D2A" w:rsidRPr="00B55C24" w:rsidRDefault="007C5D2A" w:rsidP="00180A12">
      <w:pPr>
        <w:tabs>
          <w:tab w:val="left" w:pos="851"/>
        </w:tabs>
        <w:ind w:left="851"/>
        <w:jc w:val="both"/>
        <w:rPr>
          <w:sz w:val="24"/>
          <w:szCs w:val="24"/>
          <w:lang w:val="en-GB"/>
        </w:rPr>
      </w:pPr>
    </w:p>
    <w:p w14:paraId="1280EA5D" w14:textId="77777777" w:rsidR="007C5D2A" w:rsidRPr="00B55C24" w:rsidRDefault="007C5D2A" w:rsidP="007C5D2A">
      <w:pPr>
        <w:tabs>
          <w:tab w:val="left" w:pos="851"/>
        </w:tabs>
        <w:jc w:val="both"/>
        <w:rPr>
          <w:sz w:val="24"/>
          <w:szCs w:val="24"/>
          <w:lang w:val="en-GB"/>
        </w:rPr>
      </w:pPr>
      <w:r w:rsidRPr="00B55C24">
        <w:rPr>
          <w:b/>
          <w:sz w:val="24"/>
          <w:szCs w:val="24"/>
          <w:lang w:val="en-GB"/>
        </w:rPr>
        <w:t>9.</w:t>
      </w:r>
      <w:r w:rsidRPr="00B55C24">
        <w:rPr>
          <w:b/>
          <w:sz w:val="24"/>
          <w:szCs w:val="24"/>
          <w:lang w:val="en-GB"/>
        </w:rPr>
        <w:tab/>
        <w:t>DATE OF FIRST AUTHORISATION</w:t>
      </w:r>
    </w:p>
    <w:p w14:paraId="76AB9E37" w14:textId="2FB3994C" w:rsidR="007C5D2A" w:rsidRPr="00B55C24" w:rsidRDefault="00A14925" w:rsidP="00A85D26">
      <w:pPr>
        <w:ind w:left="851"/>
        <w:jc w:val="both"/>
        <w:rPr>
          <w:sz w:val="24"/>
          <w:szCs w:val="24"/>
          <w:lang w:val="en-GB"/>
        </w:rPr>
      </w:pPr>
      <w:r>
        <w:rPr>
          <w:sz w:val="24"/>
          <w:szCs w:val="24"/>
          <w:lang w:val="en-GB"/>
        </w:rPr>
        <w:t>12 March 2026</w:t>
      </w:r>
    </w:p>
    <w:p w14:paraId="30E1992B" w14:textId="77777777" w:rsidR="007C5D2A" w:rsidRPr="00B55C24" w:rsidRDefault="007C5D2A" w:rsidP="003E0341">
      <w:pPr>
        <w:tabs>
          <w:tab w:val="left" w:pos="851"/>
        </w:tabs>
        <w:ind w:left="851"/>
        <w:jc w:val="both"/>
        <w:rPr>
          <w:sz w:val="24"/>
          <w:szCs w:val="24"/>
          <w:lang w:val="en-GB"/>
        </w:rPr>
      </w:pPr>
    </w:p>
    <w:p w14:paraId="59BDE3C1" w14:textId="77777777" w:rsidR="007C5D2A" w:rsidRPr="00B55C24" w:rsidRDefault="007C5D2A" w:rsidP="007C5D2A">
      <w:pPr>
        <w:tabs>
          <w:tab w:val="left" w:pos="851"/>
        </w:tabs>
        <w:jc w:val="both"/>
        <w:rPr>
          <w:sz w:val="24"/>
          <w:szCs w:val="24"/>
          <w:lang w:val="en-GB"/>
        </w:rPr>
      </w:pPr>
      <w:r w:rsidRPr="00B55C24">
        <w:rPr>
          <w:b/>
          <w:sz w:val="24"/>
          <w:szCs w:val="24"/>
          <w:lang w:val="en-GB"/>
        </w:rPr>
        <w:t>10.</w:t>
      </w:r>
      <w:r w:rsidRPr="00B55C24">
        <w:rPr>
          <w:b/>
          <w:sz w:val="24"/>
          <w:szCs w:val="24"/>
          <w:lang w:val="en-GB"/>
        </w:rPr>
        <w:tab/>
        <w:t>DATE OF REVISION OF THE TEXT</w:t>
      </w:r>
    </w:p>
    <w:p w14:paraId="64D75AD9" w14:textId="401B3C58" w:rsidR="007C5D2A" w:rsidRPr="00B55C24" w:rsidRDefault="00E607F1" w:rsidP="003E0341">
      <w:pPr>
        <w:tabs>
          <w:tab w:val="left" w:pos="851"/>
        </w:tabs>
        <w:ind w:left="851"/>
        <w:jc w:val="both"/>
        <w:rPr>
          <w:sz w:val="24"/>
          <w:szCs w:val="24"/>
          <w:lang w:val="en-GB"/>
        </w:rPr>
      </w:pPr>
      <w:r w:rsidRPr="00B55C24">
        <w:rPr>
          <w:sz w:val="24"/>
          <w:szCs w:val="24"/>
          <w:lang w:val="en-GB"/>
        </w:rPr>
        <w:t>-</w:t>
      </w:r>
    </w:p>
    <w:sectPr w:rsidR="007C5D2A" w:rsidRPr="00B55C24" w:rsidSect="004A3BF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728" w14:textId="77777777" w:rsidR="002052C6" w:rsidRDefault="002052C6">
      <w:r>
        <w:separator/>
      </w:r>
    </w:p>
  </w:endnote>
  <w:endnote w:type="continuationSeparator" w:id="0">
    <w:p w14:paraId="4065C136" w14:textId="77777777" w:rsidR="002052C6" w:rsidRDefault="0020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635A"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09DA" w14:textId="77777777" w:rsidR="00864538" w:rsidRDefault="00864538">
    <w:pPr>
      <w:pStyle w:val="Sidefod"/>
      <w:pBdr>
        <w:bottom w:val="single" w:sz="6" w:space="1" w:color="auto"/>
      </w:pBdr>
    </w:pPr>
  </w:p>
  <w:p w14:paraId="19E7B43C" w14:textId="77777777" w:rsidR="00864538" w:rsidRDefault="00864538">
    <w:pPr>
      <w:pStyle w:val="Sidefod"/>
      <w:tabs>
        <w:tab w:val="clear" w:pos="4819"/>
        <w:tab w:val="left" w:pos="8647"/>
      </w:tabs>
      <w:rPr>
        <w:i/>
        <w:snapToGrid w:val="0"/>
        <w:sz w:val="18"/>
      </w:rPr>
    </w:pPr>
  </w:p>
  <w:p w14:paraId="68FA1293" w14:textId="374BFE0A"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22951">
      <w:rPr>
        <w:i/>
        <w:noProof/>
        <w:snapToGrid w:val="0"/>
        <w:sz w:val="18"/>
      </w:rPr>
      <w:t>Dabigatranetexilat Gedeon Richter, hårde kapsler 150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8D90" w14:textId="77777777" w:rsidR="00864538" w:rsidRDefault="00864538">
    <w:pPr>
      <w:pStyle w:val="Sidefod"/>
      <w:pBdr>
        <w:bottom w:val="single" w:sz="6" w:space="1" w:color="auto"/>
      </w:pBdr>
      <w:tabs>
        <w:tab w:val="clear" w:pos="4819"/>
        <w:tab w:val="left" w:pos="8789"/>
      </w:tabs>
      <w:rPr>
        <w:i/>
        <w:snapToGrid w:val="0"/>
        <w:sz w:val="18"/>
      </w:rPr>
    </w:pPr>
  </w:p>
  <w:p w14:paraId="41B3A62D" w14:textId="77777777" w:rsidR="00864538" w:rsidRDefault="00864538">
    <w:pPr>
      <w:pStyle w:val="Sidefod"/>
      <w:tabs>
        <w:tab w:val="clear" w:pos="4819"/>
        <w:tab w:val="left" w:pos="8789"/>
      </w:tabs>
      <w:rPr>
        <w:i/>
        <w:snapToGrid w:val="0"/>
        <w:sz w:val="18"/>
      </w:rPr>
    </w:pPr>
  </w:p>
  <w:p w14:paraId="23FAF686" w14:textId="18BE6AFE"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22951">
      <w:rPr>
        <w:i/>
        <w:noProof/>
        <w:snapToGrid w:val="0"/>
        <w:sz w:val="18"/>
      </w:rPr>
      <w:t>Dabigatranetexilat Gedeon Richter, hårde kapsler 150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3A37" w14:textId="77777777" w:rsidR="002052C6" w:rsidRDefault="002052C6">
      <w:r>
        <w:separator/>
      </w:r>
    </w:p>
  </w:footnote>
  <w:footnote w:type="continuationSeparator" w:id="0">
    <w:p w14:paraId="7C1F9CCC" w14:textId="77777777" w:rsidR="002052C6" w:rsidRDefault="0020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D199"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79A8"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AC6"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AD66AE3"/>
    <w:multiLevelType w:val="hybridMultilevel"/>
    <w:tmpl w:val="89EC8B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577F32"/>
    <w:multiLevelType w:val="hybridMultilevel"/>
    <w:tmpl w:val="D5C691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3E57233"/>
    <w:multiLevelType w:val="multilevel"/>
    <w:tmpl w:val="D95E9A8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867E17"/>
    <w:multiLevelType w:val="multilevel"/>
    <w:tmpl w:val="CFF0C3E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DA04202"/>
    <w:multiLevelType w:val="hybridMultilevel"/>
    <w:tmpl w:val="32984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8B547E"/>
    <w:multiLevelType w:val="multilevel"/>
    <w:tmpl w:val="646863F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F031592"/>
    <w:multiLevelType w:val="hybridMultilevel"/>
    <w:tmpl w:val="C3284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1FF2888"/>
    <w:multiLevelType w:val="hybridMultilevel"/>
    <w:tmpl w:val="2B6C1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BD0510"/>
    <w:multiLevelType w:val="multilevel"/>
    <w:tmpl w:val="778E239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7A958CF"/>
    <w:multiLevelType w:val="hybridMultilevel"/>
    <w:tmpl w:val="708C4CC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4DB26FF6"/>
    <w:multiLevelType w:val="hybridMultilevel"/>
    <w:tmpl w:val="202486C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5B924043"/>
    <w:multiLevelType w:val="hybridMultilevel"/>
    <w:tmpl w:val="372030B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6" w15:restartNumberingAfterBreak="0">
    <w:nsid w:val="6A0874EC"/>
    <w:multiLevelType w:val="hybridMultilevel"/>
    <w:tmpl w:val="A7C0ED1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70A962D8"/>
    <w:multiLevelType w:val="hybridMultilevel"/>
    <w:tmpl w:val="7D7686D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99D3C04"/>
    <w:multiLevelType w:val="hybridMultilevel"/>
    <w:tmpl w:val="61A2FD7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2028559244">
    <w:abstractNumId w:val="5"/>
  </w:num>
  <w:num w:numId="2" w16cid:durableId="1593516044">
    <w:abstractNumId w:val="0"/>
  </w:num>
  <w:num w:numId="3" w16cid:durableId="1755273101">
    <w:abstractNumId w:val="15"/>
  </w:num>
  <w:num w:numId="4" w16cid:durableId="894439252">
    <w:abstractNumId w:val="1"/>
  </w:num>
  <w:num w:numId="5" w16cid:durableId="2083022864">
    <w:abstractNumId w:val="3"/>
  </w:num>
  <w:num w:numId="6" w16cid:durableId="984090127">
    <w:abstractNumId w:val="6"/>
  </w:num>
  <w:num w:numId="7" w16cid:durableId="1881281023">
    <w:abstractNumId w:val="11"/>
  </w:num>
  <w:num w:numId="8" w16cid:durableId="1431504867">
    <w:abstractNumId w:val="8"/>
  </w:num>
  <w:num w:numId="9" w16cid:durableId="1703819257">
    <w:abstractNumId w:val="4"/>
  </w:num>
  <w:num w:numId="10" w16cid:durableId="1592616868">
    <w:abstractNumId w:val="10"/>
  </w:num>
  <w:num w:numId="11" w16cid:durableId="749423456">
    <w:abstractNumId w:val="14"/>
  </w:num>
  <w:num w:numId="12" w16cid:durableId="849637773">
    <w:abstractNumId w:val="18"/>
  </w:num>
  <w:num w:numId="13" w16cid:durableId="169027011">
    <w:abstractNumId w:val="16"/>
  </w:num>
  <w:num w:numId="14" w16cid:durableId="54548869">
    <w:abstractNumId w:val="7"/>
  </w:num>
  <w:num w:numId="15" w16cid:durableId="776683135">
    <w:abstractNumId w:val="9"/>
  </w:num>
  <w:num w:numId="16" w16cid:durableId="2113696422">
    <w:abstractNumId w:val="2"/>
  </w:num>
  <w:num w:numId="17" w16cid:durableId="1561860622">
    <w:abstractNumId w:val="12"/>
  </w:num>
  <w:num w:numId="18" w16cid:durableId="2146003646">
    <w:abstractNumId w:val="13"/>
  </w:num>
  <w:num w:numId="19" w16cid:durableId="1015575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C6"/>
    <w:rsid w:val="00056601"/>
    <w:rsid w:val="000C3846"/>
    <w:rsid w:val="000C6218"/>
    <w:rsid w:val="000D3C9D"/>
    <w:rsid w:val="000E69C6"/>
    <w:rsid w:val="000F0D47"/>
    <w:rsid w:val="001242DE"/>
    <w:rsid w:val="00180A12"/>
    <w:rsid w:val="002052C6"/>
    <w:rsid w:val="00214331"/>
    <w:rsid w:val="00214CF4"/>
    <w:rsid w:val="00281F03"/>
    <w:rsid w:val="0029458A"/>
    <w:rsid w:val="002A1587"/>
    <w:rsid w:val="002B27C5"/>
    <w:rsid w:val="002F6D9C"/>
    <w:rsid w:val="00303008"/>
    <w:rsid w:val="00322951"/>
    <w:rsid w:val="00373B55"/>
    <w:rsid w:val="003D727E"/>
    <w:rsid w:val="003E0341"/>
    <w:rsid w:val="003E3402"/>
    <w:rsid w:val="003F4736"/>
    <w:rsid w:val="00401B49"/>
    <w:rsid w:val="0042292D"/>
    <w:rsid w:val="00437D5B"/>
    <w:rsid w:val="00440254"/>
    <w:rsid w:val="004860D3"/>
    <w:rsid w:val="004A3BF4"/>
    <w:rsid w:val="004A5906"/>
    <w:rsid w:val="004A5DB3"/>
    <w:rsid w:val="005152D9"/>
    <w:rsid w:val="00533AD4"/>
    <w:rsid w:val="00534849"/>
    <w:rsid w:val="00560102"/>
    <w:rsid w:val="00562EA1"/>
    <w:rsid w:val="005A498B"/>
    <w:rsid w:val="005C6955"/>
    <w:rsid w:val="00617BB8"/>
    <w:rsid w:val="006207FF"/>
    <w:rsid w:val="00646C48"/>
    <w:rsid w:val="00680052"/>
    <w:rsid w:val="00683267"/>
    <w:rsid w:val="006844E9"/>
    <w:rsid w:val="006847E1"/>
    <w:rsid w:val="006B3847"/>
    <w:rsid w:val="0070635E"/>
    <w:rsid w:val="0075453D"/>
    <w:rsid w:val="00756FAF"/>
    <w:rsid w:val="007A4CC6"/>
    <w:rsid w:val="007C3623"/>
    <w:rsid w:val="007C5D2A"/>
    <w:rsid w:val="007F1E00"/>
    <w:rsid w:val="00827444"/>
    <w:rsid w:val="008400E3"/>
    <w:rsid w:val="00864538"/>
    <w:rsid w:val="00873B4F"/>
    <w:rsid w:val="008979AD"/>
    <w:rsid w:val="008A24F6"/>
    <w:rsid w:val="008E51AE"/>
    <w:rsid w:val="008F2F8C"/>
    <w:rsid w:val="00946A77"/>
    <w:rsid w:val="009925C9"/>
    <w:rsid w:val="00A14925"/>
    <w:rsid w:val="00A179D0"/>
    <w:rsid w:val="00A32C3B"/>
    <w:rsid w:val="00A358A3"/>
    <w:rsid w:val="00A46747"/>
    <w:rsid w:val="00A80446"/>
    <w:rsid w:val="00A85D26"/>
    <w:rsid w:val="00A9153A"/>
    <w:rsid w:val="00AB4376"/>
    <w:rsid w:val="00AB476E"/>
    <w:rsid w:val="00AB7D1F"/>
    <w:rsid w:val="00AC033C"/>
    <w:rsid w:val="00AD2E36"/>
    <w:rsid w:val="00B45DC5"/>
    <w:rsid w:val="00B55C24"/>
    <w:rsid w:val="00BD3490"/>
    <w:rsid w:val="00BE5A7A"/>
    <w:rsid w:val="00BE5F23"/>
    <w:rsid w:val="00C26226"/>
    <w:rsid w:val="00C3571D"/>
    <w:rsid w:val="00C54F0B"/>
    <w:rsid w:val="00C82621"/>
    <w:rsid w:val="00CB1423"/>
    <w:rsid w:val="00D02508"/>
    <w:rsid w:val="00D476B2"/>
    <w:rsid w:val="00D778CC"/>
    <w:rsid w:val="00D82FE9"/>
    <w:rsid w:val="00D97B77"/>
    <w:rsid w:val="00DB6A85"/>
    <w:rsid w:val="00E06B32"/>
    <w:rsid w:val="00E1290F"/>
    <w:rsid w:val="00E36A80"/>
    <w:rsid w:val="00E607F1"/>
    <w:rsid w:val="00E63838"/>
    <w:rsid w:val="00E928DC"/>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1D232"/>
  <w15:chartTrackingRefBased/>
  <w15:docId w15:val="{E5949365-D36B-4CF7-B170-9D5C3BCF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styleId="Hyperlink">
    <w:name w:val="Hyperlink"/>
    <w:basedOn w:val="Standardskrifttypeiafsnit"/>
    <w:uiPriority w:val="99"/>
    <w:unhideWhenUsed/>
    <w:rsid w:val="00E607F1"/>
    <w:rPr>
      <w:color w:val="0563C1" w:themeColor="hyperlink"/>
      <w:u w:val="single"/>
    </w:rPr>
  </w:style>
  <w:style w:type="character" w:styleId="Ulstomtale">
    <w:name w:val="Unresolved Mention"/>
    <w:basedOn w:val="Standardskrifttypeiafsnit"/>
    <w:uiPriority w:val="99"/>
    <w:semiHidden/>
    <w:unhideWhenUsed/>
    <w:rsid w:val="00E607F1"/>
    <w:rPr>
      <w:color w:val="605E5C"/>
      <w:shd w:val="clear" w:color="auto" w:fill="E1DFDD"/>
    </w:rPr>
  </w:style>
  <w:style w:type="paragraph" w:styleId="Listeafsnit">
    <w:name w:val="List Paragraph"/>
    <w:basedOn w:val="Normal"/>
    <w:uiPriority w:val="34"/>
    <w:qFormat/>
    <w:rsid w:val="004A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7618">
      <w:bodyDiv w:val="1"/>
      <w:marLeft w:val="0"/>
      <w:marRight w:val="0"/>
      <w:marTop w:val="0"/>
      <w:marBottom w:val="0"/>
      <w:divBdr>
        <w:top w:val="none" w:sz="0" w:space="0" w:color="auto"/>
        <w:left w:val="none" w:sz="0" w:space="0" w:color="auto"/>
        <w:bottom w:val="none" w:sz="0" w:space="0" w:color="auto"/>
        <w:right w:val="none" w:sz="0" w:space="0" w:color="auto"/>
      </w:divBdr>
    </w:div>
    <w:div w:id="67895508">
      <w:bodyDiv w:val="1"/>
      <w:marLeft w:val="0"/>
      <w:marRight w:val="0"/>
      <w:marTop w:val="0"/>
      <w:marBottom w:val="0"/>
      <w:divBdr>
        <w:top w:val="none" w:sz="0" w:space="0" w:color="auto"/>
        <w:left w:val="none" w:sz="0" w:space="0" w:color="auto"/>
        <w:bottom w:val="none" w:sz="0" w:space="0" w:color="auto"/>
        <w:right w:val="none" w:sz="0" w:space="0" w:color="auto"/>
      </w:divBdr>
    </w:div>
    <w:div w:id="68357956">
      <w:bodyDiv w:val="1"/>
      <w:marLeft w:val="0"/>
      <w:marRight w:val="0"/>
      <w:marTop w:val="0"/>
      <w:marBottom w:val="0"/>
      <w:divBdr>
        <w:top w:val="none" w:sz="0" w:space="0" w:color="auto"/>
        <w:left w:val="none" w:sz="0" w:space="0" w:color="auto"/>
        <w:bottom w:val="none" w:sz="0" w:space="0" w:color="auto"/>
        <w:right w:val="none" w:sz="0" w:space="0" w:color="auto"/>
      </w:divBdr>
    </w:div>
    <w:div w:id="166136207">
      <w:bodyDiv w:val="1"/>
      <w:marLeft w:val="0"/>
      <w:marRight w:val="0"/>
      <w:marTop w:val="0"/>
      <w:marBottom w:val="0"/>
      <w:divBdr>
        <w:top w:val="none" w:sz="0" w:space="0" w:color="auto"/>
        <w:left w:val="none" w:sz="0" w:space="0" w:color="auto"/>
        <w:bottom w:val="none" w:sz="0" w:space="0" w:color="auto"/>
        <w:right w:val="none" w:sz="0" w:space="0" w:color="auto"/>
      </w:divBdr>
    </w:div>
    <w:div w:id="180820869">
      <w:bodyDiv w:val="1"/>
      <w:marLeft w:val="0"/>
      <w:marRight w:val="0"/>
      <w:marTop w:val="0"/>
      <w:marBottom w:val="0"/>
      <w:divBdr>
        <w:top w:val="none" w:sz="0" w:space="0" w:color="auto"/>
        <w:left w:val="none" w:sz="0" w:space="0" w:color="auto"/>
        <w:bottom w:val="none" w:sz="0" w:space="0" w:color="auto"/>
        <w:right w:val="none" w:sz="0" w:space="0" w:color="auto"/>
      </w:divBdr>
    </w:div>
    <w:div w:id="233324515">
      <w:bodyDiv w:val="1"/>
      <w:marLeft w:val="0"/>
      <w:marRight w:val="0"/>
      <w:marTop w:val="0"/>
      <w:marBottom w:val="0"/>
      <w:divBdr>
        <w:top w:val="none" w:sz="0" w:space="0" w:color="auto"/>
        <w:left w:val="none" w:sz="0" w:space="0" w:color="auto"/>
        <w:bottom w:val="none" w:sz="0" w:space="0" w:color="auto"/>
        <w:right w:val="none" w:sz="0" w:space="0" w:color="auto"/>
      </w:divBdr>
    </w:div>
    <w:div w:id="245773629">
      <w:bodyDiv w:val="1"/>
      <w:marLeft w:val="0"/>
      <w:marRight w:val="0"/>
      <w:marTop w:val="0"/>
      <w:marBottom w:val="0"/>
      <w:divBdr>
        <w:top w:val="none" w:sz="0" w:space="0" w:color="auto"/>
        <w:left w:val="none" w:sz="0" w:space="0" w:color="auto"/>
        <w:bottom w:val="none" w:sz="0" w:space="0" w:color="auto"/>
        <w:right w:val="none" w:sz="0" w:space="0" w:color="auto"/>
      </w:divBdr>
    </w:div>
    <w:div w:id="359163780">
      <w:bodyDiv w:val="1"/>
      <w:marLeft w:val="0"/>
      <w:marRight w:val="0"/>
      <w:marTop w:val="0"/>
      <w:marBottom w:val="0"/>
      <w:divBdr>
        <w:top w:val="none" w:sz="0" w:space="0" w:color="auto"/>
        <w:left w:val="none" w:sz="0" w:space="0" w:color="auto"/>
        <w:bottom w:val="none" w:sz="0" w:space="0" w:color="auto"/>
        <w:right w:val="none" w:sz="0" w:space="0" w:color="auto"/>
      </w:divBdr>
    </w:div>
    <w:div w:id="411126715">
      <w:bodyDiv w:val="1"/>
      <w:marLeft w:val="0"/>
      <w:marRight w:val="0"/>
      <w:marTop w:val="0"/>
      <w:marBottom w:val="0"/>
      <w:divBdr>
        <w:top w:val="none" w:sz="0" w:space="0" w:color="auto"/>
        <w:left w:val="none" w:sz="0" w:space="0" w:color="auto"/>
        <w:bottom w:val="none" w:sz="0" w:space="0" w:color="auto"/>
        <w:right w:val="none" w:sz="0" w:space="0" w:color="auto"/>
      </w:divBdr>
    </w:div>
    <w:div w:id="414668463">
      <w:bodyDiv w:val="1"/>
      <w:marLeft w:val="0"/>
      <w:marRight w:val="0"/>
      <w:marTop w:val="0"/>
      <w:marBottom w:val="0"/>
      <w:divBdr>
        <w:top w:val="none" w:sz="0" w:space="0" w:color="auto"/>
        <w:left w:val="none" w:sz="0" w:space="0" w:color="auto"/>
        <w:bottom w:val="none" w:sz="0" w:space="0" w:color="auto"/>
        <w:right w:val="none" w:sz="0" w:space="0" w:color="auto"/>
      </w:divBdr>
    </w:div>
    <w:div w:id="436484694">
      <w:bodyDiv w:val="1"/>
      <w:marLeft w:val="0"/>
      <w:marRight w:val="0"/>
      <w:marTop w:val="0"/>
      <w:marBottom w:val="0"/>
      <w:divBdr>
        <w:top w:val="none" w:sz="0" w:space="0" w:color="auto"/>
        <w:left w:val="none" w:sz="0" w:space="0" w:color="auto"/>
        <w:bottom w:val="none" w:sz="0" w:space="0" w:color="auto"/>
        <w:right w:val="none" w:sz="0" w:space="0" w:color="auto"/>
      </w:divBdr>
    </w:div>
    <w:div w:id="580139081">
      <w:bodyDiv w:val="1"/>
      <w:marLeft w:val="0"/>
      <w:marRight w:val="0"/>
      <w:marTop w:val="0"/>
      <w:marBottom w:val="0"/>
      <w:divBdr>
        <w:top w:val="none" w:sz="0" w:space="0" w:color="auto"/>
        <w:left w:val="none" w:sz="0" w:space="0" w:color="auto"/>
        <w:bottom w:val="none" w:sz="0" w:space="0" w:color="auto"/>
        <w:right w:val="none" w:sz="0" w:space="0" w:color="auto"/>
      </w:divBdr>
    </w:div>
    <w:div w:id="664480999">
      <w:bodyDiv w:val="1"/>
      <w:marLeft w:val="0"/>
      <w:marRight w:val="0"/>
      <w:marTop w:val="0"/>
      <w:marBottom w:val="0"/>
      <w:divBdr>
        <w:top w:val="none" w:sz="0" w:space="0" w:color="auto"/>
        <w:left w:val="none" w:sz="0" w:space="0" w:color="auto"/>
        <w:bottom w:val="none" w:sz="0" w:space="0" w:color="auto"/>
        <w:right w:val="none" w:sz="0" w:space="0" w:color="auto"/>
      </w:divBdr>
    </w:div>
    <w:div w:id="690297208">
      <w:bodyDiv w:val="1"/>
      <w:marLeft w:val="0"/>
      <w:marRight w:val="0"/>
      <w:marTop w:val="0"/>
      <w:marBottom w:val="0"/>
      <w:divBdr>
        <w:top w:val="none" w:sz="0" w:space="0" w:color="auto"/>
        <w:left w:val="none" w:sz="0" w:space="0" w:color="auto"/>
        <w:bottom w:val="none" w:sz="0" w:space="0" w:color="auto"/>
        <w:right w:val="none" w:sz="0" w:space="0" w:color="auto"/>
      </w:divBdr>
    </w:div>
    <w:div w:id="792481030">
      <w:bodyDiv w:val="1"/>
      <w:marLeft w:val="0"/>
      <w:marRight w:val="0"/>
      <w:marTop w:val="0"/>
      <w:marBottom w:val="0"/>
      <w:divBdr>
        <w:top w:val="none" w:sz="0" w:space="0" w:color="auto"/>
        <w:left w:val="none" w:sz="0" w:space="0" w:color="auto"/>
        <w:bottom w:val="none" w:sz="0" w:space="0" w:color="auto"/>
        <w:right w:val="none" w:sz="0" w:space="0" w:color="auto"/>
      </w:divBdr>
    </w:div>
    <w:div w:id="865682276">
      <w:bodyDiv w:val="1"/>
      <w:marLeft w:val="0"/>
      <w:marRight w:val="0"/>
      <w:marTop w:val="0"/>
      <w:marBottom w:val="0"/>
      <w:divBdr>
        <w:top w:val="none" w:sz="0" w:space="0" w:color="auto"/>
        <w:left w:val="none" w:sz="0" w:space="0" w:color="auto"/>
        <w:bottom w:val="none" w:sz="0" w:space="0" w:color="auto"/>
        <w:right w:val="none" w:sz="0" w:space="0" w:color="auto"/>
      </w:divBdr>
    </w:div>
    <w:div w:id="874317033">
      <w:bodyDiv w:val="1"/>
      <w:marLeft w:val="0"/>
      <w:marRight w:val="0"/>
      <w:marTop w:val="0"/>
      <w:marBottom w:val="0"/>
      <w:divBdr>
        <w:top w:val="none" w:sz="0" w:space="0" w:color="auto"/>
        <w:left w:val="none" w:sz="0" w:space="0" w:color="auto"/>
        <w:bottom w:val="none" w:sz="0" w:space="0" w:color="auto"/>
        <w:right w:val="none" w:sz="0" w:space="0" w:color="auto"/>
      </w:divBdr>
    </w:div>
    <w:div w:id="945620179">
      <w:bodyDiv w:val="1"/>
      <w:marLeft w:val="0"/>
      <w:marRight w:val="0"/>
      <w:marTop w:val="0"/>
      <w:marBottom w:val="0"/>
      <w:divBdr>
        <w:top w:val="none" w:sz="0" w:space="0" w:color="auto"/>
        <w:left w:val="none" w:sz="0" w:space="0" w:color="auto"/>
        <w:bottom w:val="none" w:sz="0" w:space="0" w:color="auto"/>
        <w:right w:val="none" w:sz="0" w:space="0" w:color="auto"/>
      </w:divBdr>
    </w:div>
    <w:div w:id="947152414">
      <w:bodyDiv w:val="1"/>
      <w:marLeft w:val="0"/>
      <w:marRight w:val="0"/>
      <w:marTop w:val="0"/>
      <w:marBottom w:val="0"/>
      <w:divBdr>
        <w:top w:val="none" w:sz="0" w:space="0" w:color="auto"/>
        <w:left w:val="none" w:sz="0" w:space="0" w:color="auto"/>
        <w:bottom w:val="none" w:sz="0" w:space="0" w:color="auto"/>
        <w:right w:val="none" w:sz="0" w:space="0" w:color="auto"/>
      </w:divBdr>
    </w:div>
    <w:div w:id="1022246867">
      <w:bodyDiv w:val="1"/>
      <w:marLeft w:val="0"/>
      <w:marRight w:val="0"/>
      <w:marTop w:val="0"/>
      <w:marBottom w:val="0"/>
      <w:divBdr>
        <w:top w:val="none" w:sz="0" w:space="0" w:color="auto"/>
        <w:left w:val="none" w:sz="0" w:space="0" w:color="auto"/>
        <w:bottom w:val="none" w:sz="0" w:space="0" w:color="auto"/>
        <w:right w:val="none" w:sz="0" w:space="0" w:color="auto"/>
      </w:divBdr>
    </w:div>
    <w:div w:id="1027178475">
      <w:bodyDiv w:val="1"/>
      <w:marLeft w:val="0"/>
      <w:marRight w:val="0"/>
      <w:marTop w:val="0"/>
      <w:marBottom w:val="0"/>
      <w:divBdr>
        <w:top w:val="none" w:sz="0" w:space="0" w:color="auto"/>
        <w:left w:val="none" w:sz="0" w:space="0" w:color="auto"/>
        <w:bottom w:val="none" w:sz="0" w:space="0" w:color="auto"/>
        <w:right w:val="none" w:sz="0" w:space="0" w:color="auto"/>
      </w:divBdr>
    </w:div>
    <w:div w:id="1044869928">
      <w:bodyDiv w:val="1"/>
      <w:marLeft w:val="0"/>
      <w:marRight w:val="0"/>
      <w:marTop w:val="0"/>
      <w:marBottom w:val="0"/>
      <w:divBdr>
        <w:top w:val="none" w:sz="0" w:space="0" w:color="auto"/>
        <w:left w:val="none" w:sz="0" w:space="0" w:color="auto"/>
        <w:bottom w:val="none" w:sz="0" w:space="0" w:color="auto"/>
        <w:right w:val="none" w:sz="0" w:space="0" w:color="auto"/>
      </w:divBdr>
    </w:div>
    <w:div w:id="1089887528">
      <w:bodyDiv w:val="1"/>
      <w:marLeft w:val="0"/>
      <w:marRight w:val="0"/>
      <w:marTop w:val="0"/>
      <w:marBottom w:val="0"/>
      <w:divBdr>
        <w:top w:val="none" w:sz="0" w:space="0" w:color="auto"/>
        <w:left w:val="none" w:sz="0" w:space="0" w:color="auto"/>
        <w:bottom w:val="none" w:sz="0" w:space="0" w:color="auto"/>
        <w:right w:val="none" w:sz="0" w:space="0" w:color="auto"/>
      </w:divBdr>
    </w:div>
    <w:div w:id="1140420356">
      <w:bodyDiv w:val="1"/>
      <w:marLeft w:val="0"/>
      <w:marRight w:val="0"/>
      <w:marTop w:val="0"/>
      <w:marBottom w:val="0"/>
      <w:divBdr>
        <w:top w:val="none" w:sz="0" w:space="0" w:color="auto"/>
        <w:left w:val="none" w:sz="0" w:space="0" w:color="auto"/>
        <w:bottom w:val="none" w:sz="0" w:space="0" w:color="auto"/>
        <w:right w:val="none" w:sz="0" w:space="0" w:color="auto"/>
      </w:divBdr>
    </w:div>
    <w:div w:id="1163737057">
      <w:bodyDiv w:val="1"/>
      <w:marLeft w:val="0"/>
      <w:marRight w:val="0"/>
      <w:marTop w:val="0"/>
      <w:marBottom w:val="0"/>
      <w:divBdr>
        <w:top w:val="none" w:sz="0" w:space="0" w:color="auto"/>
        <w:left w:val="none" w:sz="0" w:space="0" w:color="auto"/>
        <w:bottom w:val="none" w:sz="0" w:space="0" w:color="auto"/>
        <w:right w:val="none" w:sz="0" w:space="0" w:color="auto"/>
      </w:divBdr>
    </w:div>
    <w:div w:id="1169521937">
      <w:bodyDiv w:val="1"/>
      <w:marLeft w:val="0"/>
      <w:marRight w:val="0"/>
      <w:marTop w:val="0"/>
      <w:marBottom w:val="0"/>
      <w:divBdr>
        <w:top w:val="none" w:sz="0" w:space="0" w:color="auto"/>
        <w:left w:val="none" w:sz="0" w:space="0" w:color="auto"/>
        <w:bottom w:val="none" w:sz="0" w:space="0" w:color="auto"/>
        <w:right w:val="none" w:sz="0" w:space="0" w:color="auto"/>
      </w:divBdr>
    </w:div>
    <w:div w:id="1383602447">
      <w:bodyDiv w:val="1"/>
      <w:marLeft w:val="0"/>
      <w:marRight w:val="0"/>
      <w:marTop w:val="0"/>
      <w:marBottom w:val="0"/>
      <w:divBdr>
        <w:top w:val="none" w:sz="0" w:space="0" w:color="auto"/>
        <w:left w:val="none" w:sz="0" w:space="0" w:color="auto"/>
        <w:bottom w:val="none" w:sz="0" w:space="0" w:color="auto"/>
        <w:right w:val="none" w:sz="0" w:space="0" w:color="auto"/>
      </w:divBdr>
    </w:div>
    <w:div w:id="1433672552">
      <w:bodyDiv w:val="1"/>
      <w:marLeft w:val="0"/>
      <w:marRight w:val="0"/>
      <w:marTop w:val="0"/>
      <w:marBottom w:val="0"/>
      <w:divBdr>
        <w:top w:val="none" w:sz="0" w:space="0" w:color="auto"/>
        <w:left w:val="none" w:sz="0" w:space="0" w:color="auto"/>
        <w:bottom w:val="none" w:sz="0" w:space="0" w:color="auto"/>
        <w:right w:val="none" w:sz="0" w:space="0" w:color="auto"/>
      </w:divBdr>
    </w:div>
    <w:div w:id="1442795740">
      <w:bodyDiv w:val="1"/>
      <w:marLeft w:val="0"/>
      <w:marRight w:val="0"/>
      <w:marTop w:val="0"/>
      <w:marBottom w:val="0"/>
      <w:divBdr>
        <w:top w:val="none" w:sz="0" w:space="0" w:color="auto"/>
        <w:left w:val="none" w:sz="0" w:space="0" w:color="auto"/>
        <w:bottom w:val="none" w:sz="0" w:space="0" w:color="auto"/>
        <w:right w:val="none" w:sz="0" w:space="0" w:color="auto"/>
      </w:divBdr>
    </w:div>
    <w:div w:id="1592619734">
      <w:bodyDiv w:val="1"/>
      <w:marLeft w:val="0"/>
      <w:marRight w:val="0"/>
      <w:marTop w:val="0"/>
      <w:marBottom w:val="0"/>
      <w:divBdr>
        <w:top w:val="none" w:sz="0" w:space="0" w:color="auto"/>
        <w:left w:val="none" w:sz="0" w:space="0" w:color="auto"/>
        <w:bottom w:val="none" w:sz="0" w:space="0" w:color="auto"/>
        <w:right w:val="none" w:sz="0" w:space="0" w:color="auto"/>
      </w:divBdr>
    </w:div>
    <w:div w:id="1745181251">
      <w:bodyDiv w:val="1"/>
      <w:marLeft w:val="0"/>
      <w:marRight w:val="0"/>
      <w:marTop w:val="0"/>
      <w:marBottom w:val="0"/>
      <w:divBdr>
        <w:top w:val="none" w:sz="0" w:space="0" w:color="auto"/>
        <w:left w:val="none" w:sz="0" w:space="0" w:color="auto"/>
        <w:bottom w:val="none" w:sz="0" w:space="0" w:color="auto"/>
        <w:right w:val="none" w:sz="0" w:space="0" w:color="auto"/>
      </w:divBdr>
    </w:div>
    <w:div w:id="1829976917">
      <w:bodyDiv w:val="1"/>
      <w:marLeft w:val="0"/>
      <w:marRight w:val="0"/>
      <w:marTop w:val="0"/>
      <w:marBottom w:val="0"/>
      <w:divBdr>
        <w:top w:val="none" w:sz="0" w:space="0" w:color="auto"/>
        <w:left w:val="none" w:sz="0" w:space="0" w:color="auto"/>
        <w:bottom w:val="none" w:sz="0" w:space="0" w:color="auto"/>
        <w:right w:val="none" w:sz="0" w:space="0" w:color="auto"/>
      </w:divBdr>
    </w:div>
    <w:div w:id="1844316325">
      <w:bodyDiv w:val="1"/>
      <w:marLeft w:val="0"/>
      <w:marRight w:val="0"/>
      <w:marTop w:val="0"/>
      <w:marBottom w:val="0"/>
      <w:divBdr>
        <w:top w:val="none" w:sz="0" w:space="0" w:color="auto"/>
        <w:left w:val="none" w:sz="0" w:space="0" w:color="auto"/>
        <w:bottom w:val="none" w:sz="0" w:space="0" w:color="auto"/>
        <w:right w:val="none" w:sz="0" w:space="0" w:color="auto"/>
      </w:divBdr>
    </w:div>
    <w:div w:id="1889296094">
      <w:bodyDiv w:val="1"/>
      <w:marLeft w:val="0"/>
      <w:marRight w:val="0"/>
      <w:marTop w:val="0"/>
      <w:marBottom w:val="0"/>
      <w:divBdr>
        <w:top w:val="none" w:sz="0" w:space="0" w:color="auto"/>
        <w:left w:val="none" w:sz="0" w:space="0" w:color="auto"/>
        <w:bottom w:val="none" w:sz="0" w:space="0" w:color="auto"/>
        <w:right w:val="none" w:sz="0" w:space="0" w:color="auto"/>
      </w:divBdr>
    </w:div>
    <w:div w:id="1969970789">
      <w:bodyDiv w:val="1"/>
      <w:marLeft w:val="0"/>
      <w:marRight w:val="0"/>
      <w:marTop w:val="0"/>
      <w:marBottom w:val="0"/>
      <w:divBdr>
        <w:top w:val="none" w:sz="0" w:space="0" w:color="auto"/>
        <w:left w:val="none" w:sz="0" w:space="0" w:color="auto"/>
        <w:bottom w:val="none" w:sz="0" w:space="0" w:color="auto"/>
        <w:right w:val="none" w:sz="0" w:space="0" w:color="auto"/>
      </w:divBdr>
    </w:div>
    <w:div w:id="1980766792">
      <w:bodyDiv w:val="1"/>
      <w:marLeft w:val="0"/>
      <w:marRight w:val="0"/>
      <w:marTop w:val="0"/>
      <w:marBottom w:val="0"/>
      <w:divBdr>
        <w:top w:val="none" w:sz="0" w:space="0" w:color="auto"/>
        <w:left w:val="none" w:sz="0" w:space="0" w:color="auto"/>
        <w:bottom w:val="none" w:sz="0" w:space="0" w:color="auto"/>
        <w:right w:val="none" w:sz="0" w:space="0" w:color="auto"/>
      </w:divBdr>
    </w:div>
    <w:div w:id="2040233402">
      <w:bodyDiv w:val="1"/>
      <w:marLeft w:val="0"/>
      <w:marRight w:val="0"/>
      <w:marTop w:val="0"/>
      <w:marBottom w:val="0"/>
      <w:divBdr>
        <w:top w:val="none" w:sz="0" w:space="0" w:color="auto"/>
        <w:left w:val="none" w:sz="0" w:space="0" w:color="auto"/>
        <w:bottom w:val="none" w:sz="0" w:space="0" w:color="auto"/>
        <w:right w:val="none" w:sz="0" w:space="0" w:color="auto"/>
      </w:divBdr>
    </w:div>
    <w:div w:id="2071339235">
      <w:bodyDiv w:val="1"/>
      <w:marLeft w:val="0"/>
      <w:marRight w:val="0"/>
      <w:marTop w:val="0"/>
      <w:marBottom w:val="0"/>
      <w:divBdr>
        <w:top w:val="none" w:sz="0" w:space="0" w:color="auto"/>
        <w:left w:val="none" w:sz="0" w:space="0" w:color="auto"/>
        <w:bottom w:val="none" w:sz="0" w:space="0" w:color="auto"/>
        <w:right w:val="none" w:sz="0" w:space="0" w:color="auto"/>
      </w:divBdr>
    </w:div>
    <w:div w:id="2110853493">
      <w:bodyDiv w:val="1"/>
      <w:marLeft w:val="0"/>
      <w:marRight w:val="0"/>
      <w:marTop w:val="0"/>
      <w:marBottom w:val="0"/>
      <w:divBdr>
        <w:top w:val="none" w:sz="0" w:space="0" w:color="auto"/>
        <w:left w:val="none" w:sz="0" w:space="0" w:color="auto"/>
        <w:bottom w:val="none" w:sz="0" w:space="0" w:color="auto"/>
        <w:right w:val="none" w:sz="0" w:space="0" w:color="auto"/>
      </w:divBdr>
    </w:div>
    <w:div w:id="21264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FB83-24AD-462D-A9DA-6F963CD0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006-01-SKB SPC Hum skabelon - engelsk.dotx</Template>
  <TotalTime>92</TotalTime>
  <Pages>43</Pages>
  <Words>15747</Words>
  <Characters>90742</Characters>
  <Application>Microsoft Office Word</Application>
  <DocSecurity>0</DocSecurity>
  <Lines>756</Lines>
  <Paragraphs>212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2024050102, MT</dc:description>
  <cp:lastModifiedBy>Gitte Jørgensen</cp:lastModifiedBy>
  <cp:revision>14</cp:revision>
  <cp:lastPrinted>2006-02-24T09:31:00Z</cp:lastPrinted>
  <dcterms:created xsi:type="dcterms:W3CDTF">2026-03-11T10:04:00Z</dcterms:created>
  <dcterms:modified xsi:type="dcterms:W3CDTF">2026-03-12T08:25:00Z</dcterms:modified>
</cp:coreProperties>
</file>